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Mar>
          <w:left w:w="0" w:type="dxa"/>
          <w:right w:w="0" w:type="dxa"/>
        </w:tblCellMar>
        <w:tblLook w:val="04A0" w:firstRow="1" w:lastRow="0" w:firstColumn="1" w:lastColumn="0" w:noHBand="0" w:noVBand="1"/>
        <w:tblCaption w:val="Cover page header for compiled AASB Standard / Interpretations"/>
        <w:tblDescription w:val="Identification that the pronouncement is a compiled AASB Standard or Interpretation, the pronouncement number, month of issue and title"/>
      </w:tblPr>
      <w:tblGrid>
        <w:gridCol w:w="4508"/>
        <w:gridCol w:w="4509"/>
      </w:tblGrid>
      <w:tr w:rsidR="00456F3A" w:rsidRPr="00456F3A" w14:paraId="0BB2DE96" w14:textId="77777777" w:rsidTr="00561600">
        <w:trPr>
          <w:trHeight w:val="278"/>
          <w:tblHeader/>
        </w:trPr>
        <w:tc>
          <w:tcPr>
            <w:tcW w:w="4508" w:type="dxa"/>
          </w:tcPr>
          <w:p w14:paraId="0BB2DE94" w14:textId="415897BE" w:rsidR="002D17D4" w:rsidRPr="00456F3A" w:rsidRDefault="00456F3A" w:rsidP="004D6E4E">
            <w:pPr>
              <w:pStyle w:val="AASBStandardCover"/>
              <w:rPr>
                <w:color w:val="000000" w:themeColor="text1"/>
                <w:sz w:val="24"/>
              </w:rPr>
            </w:pPr>
            <w:bookmarkStart w:id="0" w:name="_Hlk80695504"/>
            <w:bookmarkEnd w:id="0"/>
            <w:r>
              <w:rPr>
                <w:color w:val="000000" w:themeColor="text1"/>
                <w:sz w:val="24"/>
              </w:rPr>
              <w:t xml:space="preserve">Compiled </w:t>
            </w:r>
            <w:r w:rsidR="002D17D4" w:rsidRPr="00456F3A">
              <w:rPr>
                <w:color w:val="000000" w:themeColor="text1"/>
                <w:sz w:val="24"/>
              </w:rPr>
              <w:t xml:space="preserve">AASB </w:t>
            </w:r>
            <w:bookmarkStart w:id="1" w:name="DocType"/>
            <w:r w:rsidR="002D17D4" w:rsidRPr="00456F3A">
              <w:rPr>
                <w:color w:val="000000" w:themeColor="text1"/>
                <w:sz w:val="24"/>
              </w:rPr>
              <w:t>Standard</w:t>
            </w:r>
            <w:bookmarkEnd w:id="1"/>
          </w:p>
        </w:tc>
        <w:tc>
          <w:tcPr>
            <w:tcW w:w="4509" w:type="dxa"/>
          </w:tcPr>
          <w:p w14:paraId="0BB2DE95" w14:textId="1F3E79F2" w:rsidR="002D17D4" w:rsidRPr="00456F3A" w:rsidRDefault="002D17D4" w:rsidP="00456F3A">
            <w:pPr>
              <w:pStyle w:val="AASBStandardNumber"/>
              <w:rPr>
                <w:rFonts w:ascii="HelveticaNeueLT Std" w:hAnsi="HelveticaNeueLT Std"/>
                <w:b/>
                <w:color w:val="000000" w:themeColor="text1"/>
              </w:rPr>
            </w:pPr>
            <w:bookmarkStart w:id="2" w:name="DocTypeAbb"/>
            <w:r w:rsidRPr="00456F3A">
              <w:rPr>
                <w:rFonts w:ascii="HelveticaNeueLT Std" w:hAnsi="HelveticaNeueLT Std"/>
                <w:b/>
                <w:color w:val="000000" w:themeColor="text1"/>
              </w:rPr>
              <w:t>AASB</w:t>
            </w:r>
            <w:bookmarkEnd w:id="2"/>
            <w:r w:rsidRPr="00456F3A">
              <w:rPr>
                <w:rFonts w:ascii="HelveticaNeueLT Std" w:hAnsi="HelveticaNeueLT Std"/>
                <w:b/>
                <w:color w:val="000000" w:themeColor="text1"/>
              </w:rPr>
              <w:t xml:space="preserve"> </w:t>
            </w:r>
            <w:bookmarkStart w:id="3" w:name="DocNo"/>
            <w:r w:rsidRPr="00456F3A">
              <w:rPr>
                <w:rFonts w:ascii="HelveticaNeueLT Std" w:hAnsi="HelveticaNeueLT Std"/>
                <w:b/>
                <w:color w:val="000000" w:themeColor="text1"/>
              </w:rPr>
              <w:t>136</w:t>
            </w:r>
            <w:bookmarkEnd w:id="3"/>
          </w:p>
        </w:tc>
      </w:tr>
    </w:tbl>
    <w:p w14:paraId="0BB2DE97" w14:textId="441D58C8" w:rsidR="002D17D4" w:rsidRPr="00456F3A" w:rsidRDefault="002D17D4" w:rsidP="00456F3A">
      <w:pPr>
        <w:pStyle w:val="AASBStandardTitle"/>
        <w:pBdr>
          <w:bottom w:val="single" w:sz="4" w:space="1" w:color="auto"/>
        </w:pBdr>
        <w:rPr>
          <w:color w:val="000000" w:themeColor="text1"/>
        </w:rPr>
      </w:pPr>
      <w:bookmarkStart w:id="4" w:name="DocTitle"/>
      <w:r w:rsidRPr="00456F3A">
        <w:rPr>
          <w:color w:val="000000" w:themeColor="text1"/>
        </w:rPr>
        <w:t>Impairment of Assets</w:t>
      </w:r>
      <w:bookmarkEnd w:id="4"/>
    </w:p>
    <w:p w14:paraId="0BB2DE98" w14:textId="77777777" w:rsidR="00456F3A" w:rsidRDefault="00456F3A" w:rsidP="004D6E4E">
      <w:pPr>
        <w:pStyle w:val="AASBBase"/>
      </w:pPr>
    </w:p>
    <w:p w14:paraId="0BB2DE9F" w14:textId="162A5297" w:rsidR="003D7AA4" w:rsidRDefault="00456F3A" w:rsidP="009D5E84">
      <w:pPr>
        <w:pStyle w:val="AASBNormal"/>
      </w:pPr>
      <w:r w:rsidRPr="00485BA8">
        <w:t xml:space="preserve">This compiled Standard applies to annual periods </w:t>
      </w:r>
      <w:bookmarkStart w:id="5" w:name="ApplyTextCompile"/>
      <w:r w:rsidRPr="00485BA8">
        <w:t>beginning</w:t>
      </w:r>
      <w:bookmarkEnd w:id="5"/>
      <w:r w:rsidRPr="00485BA8">
        <w:t xml:space="preserve"> on or after </w:t>
      </w:r>
      <w:bookmarkStart w:id="6" w:name="ApplyDateCompile"/>
      <w:r w:rsidRPr="00485BA8" w:rsidDel="001D073E">
        <w:t xml:space="preserve">1 </w:t>
      </w:r>
      <w:r w:rsidR="00990B1F">
        <w:t>January 202</w:t>
      </w:r>
      <w:r w:rsidR="00AF44E9">
        <w:t>3 but before 1 July</w:t>
      </w:r>
      <w:r w:rsidR="006B37A3">
        <w:t xml:space="preserve"> 2026</w:t>
      </w:r>
      <w:bookmarkEnd w:id="6"/>
      <w:r w:rsidRPr="00485BA8">
        <w:t xml:space="preserve">.  </w:t>
      </w:r>
      <w:r>
        <w:t>Earlier</w:t>
      </w:r>
      <w:r w:rsidRPr="00485BA8">
        <w:t xml:space="preserve"> application is </w:t>
      </w:r>
      <w:bookmarkStart w:id="7" w:name="EarlyTextCompile"/>
      <w:r w:rsidRPr="00485BA8">
        <w:t>permitte</w:t>
      </w:r>
      <w:r>
        <w:t>d</w:t>
      </w:r>
      <w:bookmarkEnd w:id="7"/>
      <w:r w:rsidR="003D7AA4">
        <w:t xml:space="preserve"> for periods beginning after 24 July 2014 but before 1 </w:t>
      </w:r>
      <w:r w:rsidR="00313AE5">
        <w:t xml:space="preserve">January </w:t>
      </w:r>
      <w:r w:rsidR="003D7AA4">
        <w:t>20</w:t>
      </w:r>
      <w:r w:rsidR="00F21C6C">
        <w:t>2</w:t>
      </w:r>
      <w:r w:rsidR="00313AE5">
        <w:t>3</w:t>
      </w:r>
      <w:r w:rsidR="003D7AA4">
        <w:t>.</w:t>
      </w:r>
      <w:r w:rsidR="003B47F5">
        <w:t xml:space="preserve"> </w:t>
      </w:r>
      <w:r w:rsidR="001E55CD">
        <w:t xml:space="preserve"> </w:t>
      </w:r>
      <w:r w:rsidR="002D2359" w:rsidRPr="00B54F23">
        <w:t xml:space="preserve">It incorporates </w:t>
      </w:r>
      <w:r w:rsidR="003D7AA4" w:rsidRPr="00485BA8">
        <w:t xml:space="preserve">relevant amendments made up to and including </w:t>
      </w:r>
      <w:r w:rsidR="004E444B">
        <w:fldChar w:fldCharType="begin"/>
      </w:r>
      <w:r w:rsidR="004E444B">
        <w:instrText xml:space="preserve"> REF CompileDate \* charformat  \* MERGEFORMAT </w:instrText>
      </w:r>
      <w:r w:rsidR="004E444B">
        <w:fldChar w:fldCharType="separate"/>
      </w:r>
      <w:r w:rsidR="004E444B">
        <w:t>15 December 2022</w:t>
      </w:r>
      <w:r w:rsidR="004E444B">
        <w:fldChar w:fldCharType="end"/>
      </w:r>
      <w:r w:rsidR="003D7AA4" w:rsidRPr="00485BA8">
        <w:t>.</w:t>
      </w:r>
    </w:p>
    <w:p w14:paraId="0BB2DEA0" w14:textId="74E9B4CE" w:rsidR="003D7AA4" w:rsidRDefault="003D7AA4" w:rsidP="009D5E84">
      <w:pPr>
        <w:pStyle w:val="AASBNormal"/>
      </w:pPr>
      <w:r w:rsidRPr="00485BA8">
        <w:t xml:space="preserve">Prepared on </w:t>
      </w:r>
      <w:r w:rsidR="004E444B">
        <w:fldChar w:fldCharType="begin"/>
      </w:r>
      <w:r w:rsidR="004E444B">
        <w:instrText xml:space="preserve"> REF PrepDate \* charformat  \* MERGEFORMAT </w:instrText>
      </w:r>
      <w:r w:rsidR="004E444B">
        <w:fldChar w:fldCharType="separate"/>
      </w:r>
      <w:r w:rsidR="004E444B">
        <w:t>6 February 2023</w:t>
      </w:r>
      <w:r w:rsidR="004E444B">
        <w:fldChar w:fldCharType="end"/>
      </w:r>
      <w:r w:rsidRPr="00485BA8">
        <w:t xml:space="preserve"> by the staff of the Australian Accounting Standards Board.</w:t>
      </w:r>
    </w:p>
    <w:p w14:paraId="718E0434" w14:textId="450FC4B6" w:rsidR="004D2966" w:rsidRPr="00896251" w:rsidRDefault="004D2966" w:rsidP="009D5E84">
      <w:pPr>
        <w:pStyle w:val="AASBBase"/>
        <w:spacing w:before="100" w:after="100"/>
      </w:pPr>
      <w:r w:rsidRPr="00896251">
        <w:t xml:space="preserve">Compilation no. </w:t>
      </w:r>
      <w:r w:rsidR="00441F51">
        <w:t>3</w:t>
      </w:r>
    </w:p>
    <w:p w14:paraId="70443952" w14:textId="23DA5FD1" w:rsidR="004D2966" w:rsidRDefault="004D2966" w:rsidP="009D5E84">
      <w:pPr>
        <w:pStyle w:val="AASBBase"/>
        <w:spacing w:before="100" w:after="100"/>
      </w:pPr>
      <w:r w:rsidRPr="00CE555E">
        <w:t xml:space="preserve">Compilation date: </w:t>
      </w:r>
      <w:r w:rsidR="00E829EE">
        <w:t xml:space="preserve"> </w:t>
      </w:r>
      <w:r w:rsidRPr="00CE555E">
        <w:t>3</w:t>
      </w:r>
      <w:r w:rsidR="00441F51">
        <w:t>1</w:t>
      </w:r>
      <w:r w:rsidRPr="00CE555E" w:rsidDel="00441F51">
        <w:t xml:space="preserve"> </w:t>
      </w:r>
      <w:r w:rsidR="00441F51">
        <w:t>December</w:t>
      </w:r>
      <w:r w:rsidR="00441F51" w:rsidRPr="00CE555E">
        <w:t xml:space="preserve"> </w:t>
      </w:r>
      <w:r w:rsidRPr="00CE555E">
        <w:t>20</w:t>
      </w:r>
      <w:r>
        <w:t>2</w:t>
      </w:r>
      <w:r w:rsidR="00441F51">
        <w:t>2</w:t>
      </w:r>
    </w:p>
    <w:p w14:paraId="0BB2DEA2" w14:textId="2E76A0BD" w:rsidR="002D17D4" w:rsidRDefault="0048773C" w:rsidP="0048773C">
      <w:pPr>
        <w:pStyle w:val="AASBBase"/>
        <w:spacing w:before="8160"/>
        <w:sectPr w:rsidR="002D17D4" w:rsidSect="00A32D47">
          <w:headerReference w:type="default" r:id="rId8"/>
          <w:pgSz w:w="11907" w:h="16839" w:code="9"/>
          <w:pgMar w:top="1440" w:right="1440" w:bottom="1134" w:left="1440" w:header="709" w:footer="709" w:gutter="0"/>
          <w:cols w:space="708"/>
          <w:docGrid w:linePitch="360"/>
        </w:sectPr>
      </w:pPr>
      <w:r w:rsidRPr="00662611">
        <w:rPr>
          <w:noProof/>
          <w:lang w:eastAsia="en-AU"/>
        </w:rPr>
        <w:drawing>
          <wp:inline distT="0" distB="0" distL="0" distR="0" wp14:anchorId="18013DF7" wp14:editId="02B2F544">
            <wp:extent cx="1677600" cy="1332000"/>
            <wp:effectExtent l="0" t="0" r="0" b="1905"/>
            <wp:docPr id="2" name="Picture 2"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inline>
        </w:drawing>
      </w:r>
    </w:p>
    <w:p w14:paraId="0BB2DEA3" w14:textId="77777777" w:rsidR="00456F3A" w:rsidRPr="00485BA8" w:rsidRDefault="00456F3A" w:rsidP="00456F3A">
      <w:pPr>
        <w:pStyle w:val="IASBSectionTitle2NonInd"/>
      </w:pPr>
      <w:r w:rsidRPr="00485BA8">
        <w:lastRenderedPageBreak/>
        <w:t xml:space="preserve">Obtaining </w:t>
      </w:r>
      <w:r>
        <w:t>copies</w:t>
      </w:r>
      <w:r w:rsidRPr="00485BA8">
        <w:t xml:space="preserve"> of Accounting </w:t>
      </w:r>
      <w:r w:rsidR="004E444B">
        <w:fldChar w:fldCharType="begin" w:fldLock="1"/>
      </w:r>
      <w:r w:rsidR="004E444B">
        <w:instrText xml:space="preserve"> REF DocType </w:instrText>
      </w:r>
      <w:r w:rsidR="004E444B">
        <w:fldChar w:fldCharType="separate"/>
      </w:r>
      <w:r w:rsidRPr="00485BA8">
        <w:t>Standard</w:t>
      </w:r>
      <w:r w:rsidR="004E444B">
        <w:fldChar w:fldCharType="end"/>
      </w:r>
      <w:r w:rsidRPr="00485BA8">
        <w:t>s</w:t>
      </w:r>
    </w:p>
    <w:p w14:paraId="0BB2DEA4" w14:textId="77777777" w:rsidR="00456F3A" w:rsidRPr="00D35B4A" w:rsidRDefault="00456F3A" w:rsidP="00E829EE">
      <w:pPr>
        <w:pStyle w:val="NoNumPlain1"/>
        <w:spacing w:line="240" w:lineRule="auto"/>
        <w:jc w:val="both"/>
        <w:rPr>
          <w:sz w:val="19"/>
          <w:szCs w:val="19"/>
        </w:rPr>
      </w:pPr>
      <w:r w:rsidRPr="00D35B4A">
        <w:rPr>
          <w:sz w:val="19"/>
          <w:szCs w:val="19"/>
        </w:rPr>
        <w:t>Compiled versions of Standards, original Standards and amending Standards (see Compilation Details) are available on the AASB website: www.aasb.gov.au.</w:t>
      </w:r>
    </w:p>
    <w:p w14:paraId="0BB2DEA5" w14:textId="77777777" w:rsidR="00D35B4A" w:rsidRDefault="00D35B4A" w:rsidP="00E829EE">
      <w:pPr>
        <w:pStyle w:val="AASBBase"/>
      </w:pPr>
      <w:r>
        <w:t>Australian Accounting Standards Board</w:t>
      </w:r>
    </w:p>
    <w:p w14:paraId="0BB2DEA6" w14:textId="77777777" w:rsidR="00D35B4A" w:rsidRDefault="00D35B4A" w:rsidP="00E829EE">
      <w:pPr>
        <w:pStyle w:val="AASBBase"/>
      </w:pPr>
      <w:r>
        <w:t>PO Box 204</w:t>
      </w:r>
    </w:p>
    <w:p w14:paraId="0BB2DEA7" w14:textId="77777777" w:rsidR="00D35B4A" w:rsidRDefault="00D35B4A" w:rsidP="00E829EE">
      <w:pPr>
        <w:pStyle w:val="AASBBase"/>
      </w:pPr>
      <w:r>
        <w:t>Collins Street West</w:t>
      </w:r>
    </w:p>
    <w:p w14:paraId="0BB2DEA8" w14:textId="77777777" w:rsidR="00D35B4A" w:rsidRDefault="00D35B4A" w:rsidP="00E829EE">
      <w:pPr>
        <w:pStyle w:val="AASBBase"/>
      </w:pPr>
      <w:r>
        <w:t>Victoria   8007</w:t>
      </w:r>
    </w:p>
    <w:p w14:paraId="0BB2DEA9" w14:textId="77777777" w:rsidR="00D35B4A" w:rsidRDefault="00D35B4A" w:rsidP="00E829EE">
      <w:pPr>
        <w:pStyle w:val="AASBPara"/>
      </w:pPr>
      <w:r>
        <w:t>AUSTRALIA</w:t>
      </w:r>
    </w:p>
    <w:p w14:paraId="0BB2DEAA" w14:textId="77777777" w:rsidR="00456F3A" w:rsidRPr="00D35B4A" w:rsidRDefault="00456F3A" w:rsidP="00E829EE">
      <w:pPr>
        <w:pStyle w:val="CoverContact"/>
        <w:spacing w:line="240" w:lineRule="auto"/>
        <w:rPr>
          <w:sz w:val="19"/>
          <w:szCs w:val="19"/>
        </w:rPr>
      </w:pPr>
      <w:r w:rsidRPr="00D35B4A">
        <w:rPr>
          <w:sz w:val="19"/>
          <w:szCs w:val="19"/>
        </w:rPr>
        <w:t>Phone:</w:t>
      </w:r>
      <w:r w:rsidRPr="00D35B4A">
        <w:rPr>
          <w:sz w:val="19"/>
          <w:szCs w:val="19"/>
        </w:rPr>
        <w:tab/>
        <w:t>(03) 9617 7600</w:t>
      </w:r>
    </w:p>
    <w:p w14:paraId="0BB2DEAB" w14:textId="77777777" w:rsidR="00456F3A" w:rsidRPr="00D35B4A" w:rsidRDefault="00456F3A" w:rsidP="00E829EE">
      <w:pPr>
        <w:pStyle w:val="CoverContact"/>
        <w:spacing w:line="240" w:lineRule="auto"/>
        <w:rPr>
          <w:sz w:val="19"/>
          <w:szCs w:val="19"/>
        </w:rPr>
      </w:pPr>
      <w:r w:rsidRPr="00D35B4A">
        <w:rPr>
          <w:sz w:val="19"/>
          <w:szCs w:val="19"/>
        </w:rPr>
        <w:t>E-mail:</w:t>
      </w:r>
      <w:r w:rsidRPr="00D35B4A">
        <w:rPr>
          <w:sz w:val="19"/>
          <w:szCs w:val="19"/>
        </w:rPr>
        <w:tab/>
      </w:r>
      <w:r w:rsidR="00C84A70">
        <w:rPr>
          <w:sz w:val="19"/>
          <w:szCs w:val="19"/>
        </w:rPr>
        <w:t>standard</w:t>
      </w:r>
      <w:r w:rsidRPr="00D35B4A">
        <w:rPr>
          <w:sz w:val="19"/>
          <w:szCs w:val="19"/>
        </w:rPr>
        <w:t>@aasb.gov.au</w:t>
      </w:r>
    </w:p>
    <w:p w14:paraId="0BB2DEAC" w14:textId="77777777" w:rsidR="00456F3A" w:rsidRPr="00D35B4A" w:rsidRDefault="00456F3A" w:rsidP="00E829EE">
      <w:pPr>
        <w:pStyle w:val="CoverContact"/>
        <w:spacing w:after="200" w:line="240" w:lineRule="auto"/>
        <w:rPr>
          <w:sz w:val="19"/>
          <w:szCs w:val="19"/>
        </w:rPr>
      </w:pPr>
      <w:r w:rsidRPr="00D35B4A">
        <w:rPr>
          <w:sz w:val="19"/>
          <w:szCs w:val="19"/>
        </w:rPr>
        <w:t>Website:</w:t>
      </w:r>
      <w:r w:rsidRPr="00D35B4A">
        <w:rPr>
          <w:sz w:val="19"/>
          <w:szCs w:val="19"/>
        </w:rPr>
        <w:tab/>
        <w:t>www.aasb.gov.au</w:t>
      </w:r>
    </w:p>
    <w:p w14:paraId="0BB2DEAE" w14:textId="77777777" w:rsidR="00456F3A" w:rsidRPr="006465AB" w:rsidRDefault="00456F3A" w:rsidP="00E829EE">
      <w:pPr>
        <w:pStyle w:val="Heading2"/>
        <w:spacing w:before="300" w:line="240" w:lineRule="auto"/>
        <w:rPr>
          <w:rFonts w:ascii="Arial" w:hAnsi="Arial"/>
          <w:sz w:val="26"/>
          <w:szCs w:val="26"/>
        </w:rPr>
      </w:pPr>
      <w:r w:rsidRPr="006465AB">
        <w:rPr>
          <w:rFonts w:ascii="Arial" w:hAnsi="Arial"/>
          <w:sz w:val="26"/>
          <w:szCs w:val="26"/>
        </w:rPr>
        <w:t>Other enquiries</w:t>
      </w:r>
    </w:p>
    <w:p w14:paraId="0BB2DEAF" w14:textId="77777777" w:rsidR="00456F3A" w:rsidRPr="00D35B4A" w:rsidRDefault="00456F3A" w:rsidP="00E829EE">
      <w:pPr>
        <w:pStyle w:val="CoverContact"/>
        <w:spacing w:line="240" w:lineRule="auto"/>
        <w:rPr>
          <w:sz w:val="19"/>
          <w:szCs w:val="19"/>
        </w:rPr>
      </w:pPr>
      <w:r w:rsidRPr="00D35B4A">
        <w:rPr>
          <w:sz w:val="19"/>
          <w:szCs w:val="19"/>
        </w:rPr>
        <w:t>Phone:</w:t>
      </w:r>
      <w:r w:rsidRPr="00D35B4A">
        <w:rPr>
          <w:sz w:val="19"/>
          <w:szCs w:val="19"/>
        </w:rPr>
        <w:tab/>
        <w:t>(03) 9617 7600</w:t>
      </w:r>
    </w:p>
    <w:p w14:paraId="0BB2DEB0" w14:textId="77777777" w:rsidR="00456F3A" w:rsidRPr="00D35B4A" w:rsidRDefault="00456F3A" w:rsidP="00E829EE">
      <w:pPr>
        <w:pStyle w:val="CoverContact"/>
        <w:spacing w:line="240" w:lineRule="auto"/>
        <w:rPr>
          <w:sz w:val="19"/>
          <w:szCs w:val="19"/>
        </w:rPr>
      </w:pPr>
      <w:r w:rsidRPr="00D35B4A">
        <w:rPr>
          <w:sz w:val="19"/>
          <w:szCs w:val="19"/>
        </w:rPr>
        <w:t>E-mail:</w:t>
      </w:r>
      <w:r w:rsidRPr="00D35B4A">
        <w:rPr>
          <w:sz w:val="19"/>
          <w:szCs w:val="19"/>
        </w:rPr>
        <w:tab/>
        <w:t>standard@aasb.gov.au</w:t>
      </w:r>
    </w:p>
    <w:p w14:paraId="0BB2DEB1" w14:textId="77777777" w:rsidR="002D17D4" w:rsidRDefault="002D17D4" w:rsidP="00B01598">
      <w:pPr>
        <w:pStyle w:val="AASBPara"/>
        <w:spacing w:before="6200"/>
      </w:pPr>
      <w:r>
        <w:t>COPYRIGHT</w:t>
      </w:r>
    </w:p>
    <w:p w14:paraId="0BB2DEB2" w14:textId="438F1C28" w:rsidR="002D17D4" w:rsidRDefault="002D17D4" w:rsidP="004D6E4E">
      <w:pPr>
        <w:pStyle w:val="AASBPara"/>
      </w:pPr>
      <w:r>
        <w:t xml:space="preserve">© Commonwealth of Australia </w:t>
      </w:r>
      <w:bookmarkStart w:id="8" w:name="Year"/>
      <w:r w:rsidR="007D3BF0">
        <w:t>20</w:t>
      </w:r>
      <w:r w:rsidR="00C603D3">
        <w:t>2</w:t>
      </w:r>
      <w:r w:rsidR="00356F3D">
        <w:t>3</w:t>
      </w:r>
      <w:bookmarkEnd w:id="8"/>
    </w:p>
    <w:p w14:paraId="0BB2DEB3" w14:textId="0254B32B" w:rsidR="002D17D4" w:rsidRDefault="002D17D4" w:rsidP="004D6E4E">
      <w:pPr>
        <w:pStyle w:val="AASBPara"/>
      </w:pPr>
      <w:r>
        <w:t xml:space="preserve">This </w:t>
      </w:r>
      <w:r w:rsidR="002D27C9">
        <w:t xml:space="preserve">compiled </w:t>
      </w:r>
      <w:r>
        <w:t xml:space="preserve">AASB </w:t>
      </w:r>
      <w:r w:rsidR="004E444B">
        <w:fldChar w:fldCharType="begin" w:fldLock="1"/>
      </w:r>
      <w:r w:rsidR="004E444B">
        <w:instrText xml:space="preserve"> REF DocType </w:instrText>
      </w:r>
      <w:r w:rsidR="004E444B">
        <w:fldChar w:fldCharType="separate"/>
      </w:r>
      <w:r w:rsidR="007D3BF0" w:rsidRPr="00CB4C3F">
        <w:t>Standard</w:t>
      </w:r>
      <w:r w:rsidR="004E444B">
        <w:fldChar w:fldCharType="end"/>
      </w:r>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w:t>
      </w:r>
      <w:r w:rsidR="001652F7">
        <w:t>Managing Director</w:t>
      </w:r>
      <w:r>
        <w:t>, Australian Accounting Standards Board, PO Box 204, Collins Street West, Victoria 8007.</w:t>
      </w:r>
    </w:p>
    <w:p w14:paraId="0BB2DEB4" w14:textId="6730ECF7" w:rsidR="002D17D4" w:rsidRDefault="002D17D4" w:rsidP="00E829EE">
      <w:pPr>
        <w:pStyle w:val="AASBBase"/>
      </w:pPr>
      <w:r>
        <w:t xml:space="preserve">All existing rights in this material are reserved outside Australia.  Reproduction outside Australia in unaltered form (retaining this notice) is permitted for personal and non-commercial use only.  Further information and requests for authorisation to reproduce </w:t>
      </w:r>
      <w:r w:rsidR="001652F7">
        <w:t xml:space="preserve">IFRS Foundation copyright material </w:t>
      </w:r>
      <w:r>
        <w:t>for commercial purposes outside Australia should be addressed to the IFRS Foundation at www.ifrs.org.</w:t>
      </w:r>
    </w:p>
    <w:p w14:paraId="0BB2DEB5" w14:textId="77777777" w:rsidR="002D17D4" w:rsidRDefault="002D17D4" w:rsidP="004D6E4E">
      <w:pPr>
        <w:pStyle w:val="AASBBase"/>
        <w:sectPr w:rsidR="002D17D4" w:rsidSect="00775BE3">
          <w:headerReference w:type="even" r:id="rId10"/>
          <w:headerReference w:type="default" r:id="rId11"/>
          <w:footerReference w:type="even" r:id="rId12"/>
          <w:footerReference w:type="default" r:id="rId13"/>
          <w:pgSz w:w="11907" w:h="16839" w:code="9"/>
          <w:pgMar w:top="1440" w:right="1440" w:bottom="1440" w:left="1440" w:header="720" w:footer="720" w:gutter="0"/>
          <w:pgNumType w:start="2"/>
          <w:cols w:space="708"/>
          <w:docGrid w:linePitch="360"/>
        </w:sectPr>
      </w:pPr>
    </w:p>
    <w:p w14:paraId="0BB2DEB6" w14:textId="77777777" w:rsidR="002D17D4" w:rsidRDefault="002D17D4" w:rsidP="004D6E4E">
      <w:pPr>
        <w:pStyle w:val="ConvSectionTitle"/>
      </w:pPr>
      <w:r>
        <w:lastRenderedPageBreak/>
        <w:t>Contents</w:t>
      </w:r>
    </w:p>
    <w:p w14:paraId="0BB2DEB7" w14:textId="77777777" w:rsidR="002D17D4" w:rsidRDefault="002D17D4" w:rsidP="000576C5">
      <w:pPr>
        <w:pStyle w:val="AASBPara"/>
        <w:spacing w:before="400"/>
      </w:pPr>
      <w:r>
        <w:t xml:space="preserve">COMPARISON WITH </w:t>
      </w:r>
      <w:bookmarkStart w:id="9" w:name="IntnlType"/>
      <w:r>
        <w:t>IAS</w:t>
      </w:r>
      <w:bookmarkEnd w:id="9"/>
      <w:r>
        <w:t xml:space="preserve"> </w:t>
      </w:r>
      <w:bookmarkStart w:id="10" w:name="IntnlNo"/>
      <w:r>
        <w:t>36</w:t>
      </w:r>
      <w:bookmarkEnd w:id="10"/>
    </w:p>
    <w:p w14:paraId="0BB2DEB8" w14:textId="77777777" w:rsidR="002D17D4" w:rsidRPr="000C31B3" w:rsidRDefault="002D17D4" w:rsidP="004D6E4E">
      <w:pPr>
        <w:pStyle w:val="AASBBase"/>
        <w:rPr>
          <w:b/>
        </w:rPr>
      </w:pPr>
      <w:bookmarkStart w:id="11" w:name="TOCTopStandard"/>
      <w:r w:rsidRPr="000C31B3">
        <w:rPr>
          <w:b/>
        </w:rPr>
        <w:t>ACCOUNTING STANDARD</w:t>
      </w:r>
    </w:p>
    <w:p w14:paraId="0BB2DEB9" w14:textId="77777777" w:rsidR="002D17D4" w:rsidRPr="000C31B3" w:rsidRDefault="002D17D4" w:rsidP="004D6E4E">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007D3BF0" w:rsidRPr="007D3BF0">
        <w:rPr>
          <w:b/>
        </w:rPr>
        <w:t>136</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007D3BF0" w:rsidRPr="007D3BF0">
        <w:rPr>
          <w:b/>
          <w:i/>
        </w:rPr>
        <w:t>IMPAIRMENT OF ASSETS</w:t>
      </w:r>
      <w:r w:rsidRPr="000C31B3">
        <w:rPr>
          <w:b/>
          <w:i/>
        </w:rPr>
        <w:fldChar w:fldCharType="end"/>
      </w:r>
    </w:p>
    <w:bookmarkEnd w:id="11"/>
    <w:p w14:paraId="0BB2DEBA" w14:textId="77777777" w:rsidR="002D17D4" w:rsidRDefault="002D17D4" w:rsidP="004D6E4E">
      <w:pPr>
        <w:pStyle w:val="ContentsHeading"/>
      </w:pPr>
      <w:r>
        <w:t>from paragraph</w:t>
      </w:r>
    </w:p>
    <w:p w14:paraId="0BB2DEBB" w14:textId="77777777" w:rsidR="00D2349D" w:rsidRDefault="00D2349D" w:rsidP="00D2349D">
      <w:pPr>
        <w:pStyle w:val="ContentsLevel1"/>
      </w:pPr>
      <w:bookmarkStart w:id="12" w:name="TOCRange"/>
      <w:bookmarkStart w:id="13" w:name="TOCBottomStandard"/>
      <w:r>
        <w:t>Objective</w:t>
      </w:r>
      <w:r>
        <w:tab/>
        <w:t>1</w:t>
      </w:r>
    </w:p>
    <w:p w14:paraId="0BB2DEBC" w14:textId="77777777" w:rsidR="00D2349D" w:rsidRDefault="00D2349D" w:rsidP="00D2349D">
      <w:pPr>
        <w:pStyle w:val="ContentsLevel1"/>
      </w:pPr>
      <w:r>
        <w:t>Scope</w:t>
      </w:r>
      <w:r>
        <w:tab/>
        <w:t>2</w:t>
      </w:r>
    </w:p>
    <w:p w14:paraId="0BB2DEBD" w14:textId="77777777" w:rsidR="00D2349D" w:rsidRDefault="00D2349D" w:rsidP="00D2349D">
      <w:pPr>
        <w:pStyle w:val="ContentsLevel1"/>
      </w:pPr>
      <w:r>
        <w:t>Definitions</w:t>
      </w:r>
      <w:r>
        <w:tab/>
        <w:t>6</w:t>
      </w:r>
    </w:p>
    <w:p w14:paraId="0BB2DEBE" w14:textId="77777777" w:rsidR="00D2349D" w:rsidRDefault="00D2349D" w:rsidP="00D2349D">
      <w:pPr>
        <w:pStyle w:val="ContentsLevel1"/>
      </w:pPr>
      <w:r>
        <w:t>Identifying an asset that may be impaired</w:t>
      </w:r>
      <w:r>
        <w:tab/>
        <w:t>7</w:t>
      </w:r>
    </w:p>
    <w:p w14:paraId="0BB2DEBF" w14:textId="77777777" w:rsidR="00D2349D" w:rsidRDefault="00D2349D" w:rsidP="00D2349D">
      <w:pPr>
        <w:pStyle w:val="ContentsLevel1"/>
      </w:pPr>
      <w:r>
        <w:t>Measuring recoverable amount</w:t>
      </w:r>
      <w:r>
        <w:tab/>
        <w:t>18</w:t>
      </w:r>
    </w:p>
    <w:p w14:paraId="0BB2DEC0" w14:textId="77777777" w:rsidR="00D2349D" w:rsidRDefault="00D2349D" w:rsidP="00D2349D">
      <w:pPr>
        <w:pStyle w:val="ContentsLevel2"/>
      </w:pPr>
      <w:r>
        <w:t>Measuring the recoverable amount of an intangible asset with an indefinite useful life</w:t>
      </w:r>
      <w:r>
        <w:tab/>
        <w:t>24</w:t>
      </w:r>
    </w:p>
    <w:p w14:paraId="0BB2DEC1" w14:textId="77777777" w:rsidR="00D2349D" w:rsidRDefault="00D2349D" w:rsidP="00D2349D">
      <w:pPr>
        <w:pStyle w:val="ContentsLevel2"/>
      </w:pPr>
      <w:r>
        <w:t>Fair value less costs of disposal</w:t>
      </w:r>
      <w:r>
        <w:tab/>
        <w:t>2</w:t>
      </w:r>
      <w:r w:rsidR="00594D21">
        <w:t>5</w:t>
      </w:r>
    </w:p>
    <w:p w14:paraId="0BB2DEC2" w14:textId="77777777" w:rsidR="00D2349D" w:rsidRDefault="00D2349D" w:rsidP="00D2349D">
      <w:pPr>
        <w:pStyle w:val="ContentsLevel2"/>
      </w:pPr>
      <w:r>
        <w:t>Value in use</w:t>
      </w:r>
      <w:r>
        <w:tab/>
        <w:t>30</w:t>
      </w:r>
    </w:p>
    <w:p w14:paraId="0BB2DEC3" w14:textId="77777777" w:rsidR="00D2349D" w:rsidRDefault="00D2349D" w:rsidP="00D2349D">
      <w:pPr>
        <w:pStyle w:val="ContentsLevel3"/>
      </w:pPr>
      <w:r>
        <w:t>Basis for estimates of future cash flows</w:t>
      </w:r>
      <w:r>
        <w:tab/>
        <w:t>33</w:t>
      </w:r>
    </w:p>
    <w:p w14:paraId="0BB2DEC4" w14:textId="77777777" w:rsidR="00D2349D" w:rsidRDefault="00D2349D" w:rsidP="00D2349D">
      <w:pPr>
        <w:pStyle w:val="ContentsLevel3"/>
      </w:pPr>
      <w:r>
        <w:t>Composition of estimates of future cash flows</w:t>
      </w:r>
      <w:r>
        <w:tab/>
        <w:t>39</w:t>
      </w:r>
    </w:p>
    <w:p w14:paraId="0BB2DEC5" w14:textId="77777777" w:rsidR="00D2349D" w:rsidRDefault="00D2349D" w:rsidP="00D2349D">
      <w:pPr>
        <w:pStyle w:val="ContentsLevel3"/>
      </w:pPr>
      <w:r>
        <w:t>Foreign currency future cash flows</w:t>
      </w:r>
      <w:r>
        <w:tab/>
        <w:t>54</w:t>
      </w:r>
    </w:p>
    <w:p w14:paraId="0BB2DEC6" w14:textId="77777777" w:rsidR="00D2349D" w:rsidRDefault="00D2349D" w:rsidP="00D2349D">
      <w:pPr>
        <w:pStyle w:val="ContentsLevel3"/>
      </w:pPr>
      <w:r>
        <w:t>Discount rate</w:t>
      </w:r>
      <w:r>
        <w:tab/>
        <w:t>55</w:t>
      </w:r>
    </w:p>
    <w:p w14:paraId="0BB2DEC7" w14:textId="77777777" w:rsidR="00D2349D" w:rsidRDefault="00D2349D" w:rsidP="00D2349D">
      <w:pPr>
        <w:pStyle w:val="ContentsLevel1"/>
      </w:pPr>
      <w:r>
        <w:t>Recognising and measuring an impairment loss</w:t>
      </w:r>
      <w:r>
        <w:tab/>
        <w:t>58</w:t>
      </w:r>
    </w:p>
    <w:p w14:paraId="0BB2DEC8" w14:textId="77777777" w:rsidR="00D2349D" w:rsidRDefault="00D2349D" w:rsidP="00D2349D">
      <w:pPr>
        <w:pStyle w:val="ContentsLevel1"/>
      </w:pPr>
      <w:r>
        <w:t>Cash-generating units and goodwill</w:t>
      </w:r>
      <w:r>
        <w:tab/>
        <w:t>65</w:t>
      </w:r>
    </w:p>
    <w:p w14:paraId="0BB2DEC9" w14:textId="77777777" w:rsidR="00D2349D" w:rsidRDefault="00D2349D" w:rsidP="00D2349D">
      <w:pPr>
        <w:pStyle w:val="ContentsLevel2"/>
      </w:pPr>
      <w:r>
        <w:t>Identifying the cash-generating unit to which an asset belongs</w:t>
      </w:r>
      <w:r>
        <w:tab/>
        <w:t>66</w:t>
      </w:r>
    </w:p>
    <w:p w14:paraId="0BB2DECA" w14:textId="77777777" w:rsidR="00D2349D" w:rsidRDefault="00D2349D" w:rsidP="00D2349D">
      <w:pPr>
        <w:pStyle w:val="ContentsLevel2"/>
      </w:pPr>
      <w:r>
        <w:t>Recoverable amount and carrying amount of a cash-generating unit</w:t>
      </w:r>
      <w:r>
        <w:tab/>
        <w:t>74</w:t>
      </w:r>
    </w:p>
    <w:p w14:paraId="0BB2DECB" w14:textId="77777777" w:rsidR="00D2349D" w:rsidRDefault="00D2349D" w:rsidP="00D2349D">
      <w:pPr>
        <w:pStyle w:val="ContentsLevel3"/>
      </w:pPr>
      <w:r>
        <w:t>Goodwill</w:t>
      </w:r>
    </w:p>
    <w:p w14:paraId="0BB2DECC" w14:textId="77777777" w:rsidR="00D2349D" w:rsidRDefault="00D2349D" w:rsidP="00D2349D">
      <w:pPr>
        <w:pStyle w:val="ContentsLevel4"/>
      </w:pPr>
      <w:r>
        <w:t>Allocating goodwill to cash-generating units</w:t>
      </w:r>
      <w:r>
        <w:tab/>
        <w:t>80</w:t>
      </w:r>
    </w:p>
    <w:p w14:paraId="0BB2DECD" w14:textId="77777777" w:rsidR="00D2349D" w:rsidRDefault="00D2349D" w:rsidP="00D2349D">
      <w:pPr>
        <w:pStyle w:val="ContentsLevel4"/>
      </w:pPr>
      <w:r>
        <w:t>Testing cash-generating units with goodwill for impairment</w:t>
      </w:r>
      <w:r>
        <w:tab/>
        <w:t>88</w:t>
      </w:r>
    </w:p>
    <w:p w14:paraId="0BB2DECE" w14:textId="77777777" w:rsidR="00D2349D" w:rsidRDefault="00D2349D" w:rsidP="00D2349D">
      <w:pPr>
        <w:pStyle w:val="ContentsLevel4"/>
      </w:pPr>
      <w:r>
        <w:t>Timing of impairment tests</w:t>
      </w:r>
      <w:r>
        <w:tab/>
        <w:t>96</w:t>
      </w:r>
    </w:p>
    <w:p w14:paraId="0BB2DECF" w14:textId="77777777" w:rsidR="00D2349D" w:rsidRDefault="00D2349D" w:rsidP="00D2349D">
      <w:pPr>
        <w:pStyle w:val="ContentsLevel3"/>
      </w:pPr>
      <w:r>
        <w:t>Corporate assets</w:t>
      </w:r>
      <w:r>
        <w:tab/>
        <w:t>100</w:t>
      </w:r>
    </w:p>
    <w:p w14:paraId="0BB2DED0" w14:textId="77777777" w:rsidR="00D2349D" w:rsidRDefault="00D2349D" w:rsidP="00D2349D">
      <w:pPr>
        <w:pStyle w:val="ContentsLevel2"/>
      </w:pPr>
      <w:r>
        <w:t>Impairment loss for a cash-generating unit</w:t>
      </w:r>
      <w:r>
        <w:tab/>
        <w:t>104</w:t>
      </w:r>
    </w:p>
    <w:p w14:paraId="0BB2DED1" w14:textId="77777777" w:rsidR="00D2349D" w:rsidRDefault="00D2349D" w:rsidP="00D2349D">
      <w:pPr>
        <w:pStyle w:val="ContentsLevel1"/>
      </w:pPr>
      <w:r>
        <w:t>Reversing an impairment loss</w:t>
      </w:r>
      <w:r>
        <w:tab/>
        <w:t>109</w:t>
      </w:r>
    </w:p>
    <w:p w14:paraId="0BB2DED2" w14:textId="77777777" w:rsidR="00D2349D" w:rsidRDefault="00D2349D" w:rsidP="00D2349D">
      <w:pPr>
        <w:pStyle w:val="ContentsLevel2"/>
      </w:pPr>
      <w:r>
        <w:t>Reversing an impairment loss for an individual asset</w:t>
      </w:r>
      <w:r>
        <w:tab/>
        <w:t>117</w:t>
      </w:r>
    </w:p>
    <w:p w14:paraId="0BB2DED3" w14:textId="77777777" w:rsidR="00D2349D" w:rsidRDefault="00D2349D" w:rsidP="00D2349D">
      <w:pPr>
        <w:pStyle w:val="ContentsLevel2"/>
      </w:pPr>
      <w:r>
        <w:t>Reversing an impairment loss for a cash-generating unit</w:t>
      </w:r>
      <w:r>
        <w:tab/>
        <w:t>122</w:t>
      </w:r>
    </w:p>
    <w:p w14:paraId="0BB2DED4" w14:textId="77777777" w:rsidR="00D2349D" w:rsidRDefault="00D2349D" w:rsidP="00D2349D">
      <w:pPr>
        <w:pStyle w:val="ContentsLevel2"/>
      </w:pPr>
      <w:r>
        <w:t>Reversing an impairment loss for goodwill</w:t>
      </w:r>
      <w:r>
        <w:tab/>
        <w:t>124</w:t>
      </w:r>
    </w:p>
    <w:p w14:paraId="0BB2DED5" w14:textId="77777777" w:rsidR="00D2349D" w:rsidRDefault="00D2349D" w:rsidP="00D2349D">
      <w:pPr>
        <w:pStyle w:val="ContentsLevel1"/>
      </w:pPr>
      <w:r>
        <w:t>Disclosure</w:t>
      </w:r>
      <w:r>
        <w:tab/>
        <w:t>126</w:t>
      </w:r>
    </w:p>
    <w:p w14:paraId="0BB2DED6" w14:textId="77777777" w:rsidR="00D2349D" w:rsidRDefault="00D2349D" w:rsidP="00D2349D">
      <w:pPr>
        <w:pStyle w:val="ContentsLevel2"/>
      </w:pPr>
      <w:r>
        <w:t>Estimates used to measure recoverable amounts of cash-generating units containing goodwill or intangible assets with indefinite useful lives</w:t>
      </w:r>
      <w:r>
        <w:tab/>
        <w:t>134</w:t>
      </w:r>
    </w:p>
    <w:p w14:paraId="0BB2DED7" w14:textId="77777777" w:rsidR="00D2349D" w:rsidRDefault="00D2349D" w:rsidP="00D2349D">
      <w:pPr>
        <w:pStyle w:val="ContentsLevel1"/>
      </w:pPr>
      <w:r>
        <w:t>Transition provisions and effective date</w:t>
      </w:r>
      <w:r>
        <w:tab/>
        <w:t>138</w:t>
      </w:r>
    </w:p>
    <w:p w14:paraId="0BB2DED8" w14:textId="0B8669AC" w:rsidR="00D2349D" w:rsidRDefault="00D2349D" w:rsidP="00D2349D">
      <w:pPr>
        <w:pStyle w:val="ContentsLevel1"/>
      </w:pPr>
      <w:r>
        <w:t>Withdrawal of IAS 36 (issued 1998)</w:t>
      </w:r>
    </w:p>
    <w:p w14:paraId="0BB2DED9" w14:textId="3E90B0DE" w:rsidR="00D2349D" w:rsidRDefault="00D2349D" w:rsidP="00D2349D">
      <w:pPr>
        <w:pStyle w:val="ContentsLevel1"/>
      </w:pPr>
      <w:r>
        <w:t>Commencement of the legislative instrument</w:t>
      </w:r>
    </w:p>
    <w:p w14:paraId="0BB2DEDA" w14:textId="77777777" w:rsidR="00D2349D" w:rsidRDefault="00D2349D" w:rsidP="00D2349D">
      <w:pPr>
        <w:pStyle w:val="ContentsLevel1"/>
      </w:pPr>
      <w:r>
        <w:t>Withdrawal of AASB pronouncements</w:t>
      </w:r>
      <w:r>
        <w:tab/>
      </w:r>
      <w:r w:rsidRPr="00D2349D">
        <w:rPr>
          <w:rFonts w:ascii="Times New Roman Bold" w:hAnsi="Times New Roman Bold"/>
          <w:caps w:val="0"/>
        </w:rPr>
        <w:t>Aus</w:t>
      </w:r>
      <w:r>
        <w:t>141.2</w:t>
      </w:r>
    </w:p>
    <w:p w14:paraId="0BB2DEDB" w14:textId="77777777" w:rsidR="00D2349D" w:rsidRDefault="00D2349D" w:rsidP="00D2349D">
      <w:pPr>
        <w:pStyle w:val="ContentsLevel1"/>
      </w:pPr>
      <w:r>
        <w:t>Appendices</w:t>
      </w:r>
    </w:p>
    <w:p w14:paraId="0BB2DEDC" w14:textId="77777777" w:rsidR="0024253C" w:rsidRDefault="0024253C" w:rsidP="00D2349D">
      <w:pPr>
        <w:pStyle w:val="ContentsLevel2"/>
      </w:pPr>
      <w:r>
        <w:t xml:space="preserve">A </w:t>
      </w:r>
      <w:r w:rsidR="00A418E1">
        <w:t xml:space="preserve"> </w:t>
      </w:r>
      <w:r>
        <w:t>Using present value techniques to measure value in u</w:t>
      </w:r>
      <w:r w:rsidRPr="00036CA6">
        <w:t>se</w:t>
      </w:r>
    </w:p>
    <w:p w14:paraId="0BB2DEDD" w14:textId="77777777" w:rsidR="0024253C" w:rsidRDefault="0024253C" w:rsidP="00D2349D">
      <w:pPr>
        <w:pStyle w:val="ContentsLevel2"/>
      </w:pPr>
      <w:r>
        <w:t xml:space="preserve">C </w:t>
      </w:r>
      <w:r w:rsidR="00A418E1">
        <w:t xml:space="preserve"> </w:t>
      </w:r>
      <w:r w:rsidRPr="00036CA6">
        <w:t>Impairme</w:t>
      </w:r>
      <w:r>
        <w:t>nt testing cash-generating units with goodwill and non-controlling i</w:t>
      </w:r>
      <w:r w:rsidRPr="00036CA6">
        <w:t>nterests</w:t>
      </w:r>
    </w:p>
    <w:p w14:paraId="0BB2DEDE" w14:textId="77777777" w:rsidR="00D2349D" w:rsidRDefault="00D2349D" w:rsidP="00D2349D">
      <w:pPr>
        <w:pStyle w:val="ContentsLevel2"/>
      </w:pPr>
      <w:r>
        <w:t xml:space="preserve">D </w:t>
      </w:r>
      <w:r w:rsidR="00A418E1">
        <w:t xml:space="preserve"> </w:t>
      </w:r>
      <w:r>
        <w:t>Australian defined terms</w:t>
      </w:r>
    </w:p>
    <w:p w14:paraId="0BB2DEDF" w14:textId="3A037A6D" w:rsidR="00D2349D" w:rsidRDefault="00D2349D" w:rsidP="00D2349D">
      <w:pPr>
        <w:pStyle w:val="ContentsLevel2"/>
      </w:pPr>
      <w:r>
        <w:t xml:space="preserve">E </w:t>
      </w:r>
      <w:r w:rsidR="00A418E1">
        <w:t xml:space="preserve"> </w:t>
      </w:r>
      <w:r>
        <w:t xml:space="preserve">Australian </w:t>
      </w:r>
      <w:r w:rsidR="004B39FF" w:rsidRPr="00B25585">
        <w:t>simplified disclosures for Tier 2 entities</w:t>
      </w:r>
      <w:r w:rsidR="004B39FF" w:rsidDel="004B39FF">
        <w:t xml:space="preserve"> </w:t>
      </w:r>
    </w:p>
    <w:p w14:paraId="0BB2DEE0" w14:textId="77777777" w:rsidR="0024253C" w:rsidRDefault="0024253C" w:rsidP="00D2349D">
      <w:pPr>
        <w:pStyle w:val="ContentsLevel1"/>
      </w:pPr>
      <w:r>
        <w:t>illustrative examples</w:t>
      </w:r>
    </w:p>
    <w:p w14:paraId="0BB2DEE1" w14:textId="77777777" w:rsidR="002D27C9" w:rsidRDefault="002D27C9" w:rsidP="00D2349D">
      <w:pPr>
        <w:pStyle w:val="ContentsLevel1"/>
      </w:pPr>
      <w:r>
        <w:t>compilation details</w:t>
      </w:r>
    </w:p>
    <w:p w14:paraId="0BB2DEE2" w14:textId="77777777" w:rsidR="00D2349D" w:rsidRDefault="00D2349D" w:rsidP="00D2349D">
      <w:pPr>
        <w:pStyle w:val="ContentsLevel1"/>
      </w:pPr>
      <w:r>
        <w:t>Deleted IAS 36 text</w:t>
      </w:r>
    </w:p>
    <w:p w14:paraId="0BB2DEE3" w14:textId="77777777" w:rsidR="00FB1B31" w:rsidRDefault="00FB1B31" w:rsidP="00D2349D">
      <w:pPr>
        <w:pStyle w:val="ContentsLevel1"/>
      </w:pPr>
      <w:r>
        <w:lastRenderedPageBreak/>
        <w:t>BASIS FOR CONCLUSIONS ON AASB 2016-4</w:t>
      </w:r>
    </w:p>
    <w:bookmarkEnd w:id="12"/>
    <w:p w14:paraId="0BB2DEE4" w14:textId="4FDE1621" w:rsidR="002D17D4" w:rsidRDefault="002D17D4" w:rsidP="004D6E4E">
      <w:pPr>
        <w:pStyle w:val="ContentsLevel1"/>
      </w:pPr>
    </w:p>
    <w:p w14:paraId="1603D5E5" w14:textId="77777777" w:rsidR="00E829EE" w:rsidRDefault="00E829EE" w:rsidP="004D6E4E">
      <w:pPr>
        <w:pStyle w:val="ContentsLevel1"/>
      </w:pPr>
    </w:p>
    <w:p w14:paraId="0BB2DEE5" w14:textId="77777777" w:rsidR="00AE058A" w:rsidRDefault="00AE058A" w:rsidP="00AE058A">
      <w:pPr>
        <w:pStyle w:val="ContentsLevel1"/>
      </w:pPr>
      <w:r>
        <w:t>available on the AASB website</w:t>
      </w:r>
    </w:p>
    <w:p w14:paraId="0BB2DEE6" w14:textId="77777777" w:rsidR="00AE058A" w:rsidRDefault="00AE058A" w:rsidP="00AE058A">
      <w:pPr>
        <w:pStyle w:val="ContentsLevel1"/>
      </w:pPr>
      <w:r>
        <w:rPr>
          <w:rFonts w:ascii="Times New Roman Bold" w:hAnsi="Times New Roman Bold"/>
          <w:caps w:val="0"/>
        </w:rPr>
        <w:t>Basis for Conclusions on</w:t>
      </w:r>
      <w:r>
        <w:t xml:space="preserve"> IAS 36</w:t>
      </w:r>
    </w:p>
    <w:p w14:paraId="0BB2DEE7" w14:textId="77777777" w:rsidR="000576C5" w:rsidRDefault="000576C5" w:rsidP="00AE058A">
      <w:pPr>
        <w:pStyle w:val="ContentsLevel1"/>
      </w:pPr>
    </w:p>
    <w:p w14:paraId="0BB2DEE8" w14:textId="77777777" w:rsidR="000576C5" w:rsidRDefault="000576C5" w:rsidP="00AE058A">
      <w:pPr>
        <w:pStyle w:val="ContentsLevel1"/>
      </w:pPr>
    </w:p>
    <w:p w14:paraId="0BB2DEE9" w14:textId="327C73CD" w:rsidR="002D17D4" w:rsidRDefault="002D17D4" w:rsidP="00D2349D">
      <w:pPr>
        <w:pStyle w:val="AASBBase"/>
        <w:keepLines/>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rsidR="007D3BF0">
        <w:t>136</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007D3BF0" w:rsidRPr="007D3BF0">
        <w:rPr>
          <w:i/>
        </w:rPr>
        <w:t>Impairment of Assets</w:t>
      </w:r>
      <w:r w:rsidRPr="00103CE9">
        <w:rPr>
          <w:i/>
        </w:rPr>
        <w:fldChar w:fldCharType="end"/>
      </w:r>
      <w:r>
        <w:t xml:space="preserve"> </w:t>
      </w:r>
      <w:r w:rsidR="002D27C9">
        <w:t xml:space="preserve">(as amended) </w:t>
      </w:r>
      <w:r>
        <w:t xml:space="preserve">is set out in paragraphs </w:t>
      </w:r>
      <w:r w:rsidR="00AD7570">
        <w:t xml:space="preserve">1 </w:t>
      </w:r>
      <w:r w:rsidR="0012768D">
        <w:t>–</w:t>
      </w:r>
      <w:r w:rsidR="00AD7570">
        <w:t xml:space="preserve"> Aus141.2</w:t>
      </w:r>
      <w:r>
        <w:t xml:space="preserve"> and Appendices </w:t>
      </w:r>
      <w:r w:rsidR="00082E81">
        <w:t>A</w:t>
      </w:r>
      <w:r w:rsidR="00594D21">
        <w:t xml:space="preserve"> and</w:t>
      </w:r>
      <w:r w:rsidR="002348A5">
        <w:t xml:space="preserve"> C</w:t>
      </w:r>
      <w:r w:rsidR="00D2349D">
        <w:t xml:space="preserve"> – E</w:t>
      </w:r>
      <w:r>
        <w:t xml:space="preserve">.  All the paragraphs have equal authority.  Paragraphs in </w:t>
      </w:r>
      <w:r w:rsidRPr="00103CE9">
        <w:rPr>
          <w:b/>
        </w:rPr>
        <w:t>bold type</w:t>
      </w:r>
      <w:r>
        <w:t xml:space="preserve"> state the main principles.  AASB </w:t>
      </w:r>
      <w:r>
        <w:fldChar w:fldCharType="begin" w:fldLock="1"/>
      </w:r>
      <w:r>
        <w:instrText xml:space="preserve"> REF DocNo \* charformat</w:instrText>
      </w:r>
      <w:r>
        <w:fldChar w:fldCharType="separate"/>
      </w:r>
      <w:r w:rsidR="007D3BF0">
        <w:t>136</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8636B7">
        <w:t xml:space="preserve">, and AASB 1057 </w:t>
      </w:r>
      <w:r w:rsidR="008636B7" w:rsidRPr="00050F2D">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p>
    <w:p w14:paraId="0BB2DEEA" w14:textId="77777777" w:rsidR="002D17D4" w:rsidRDefault="002D17D4" w:rsidP="004D6E4E">
      <w:pPr>
        <w:pStyle w:val="AASBBase"/>
      </w:pPr>
    </w:p>
    <w:bookmarkEnd w:id="13"/>
    <w:p w14:paraId="0BB2DEEB" w14:textId="77777777" w:rsidR="002D17D4" w:rsidRDefault="002D17D4" w:rsidP="004D6E4E">
      <w:pPr>
        <w:pStyle w:val="AASBBase"/>
      </w:pPr>
    </w:p>
    <w:p w14:paraId="0BB2DEEC" w14:textId="77777777" w:rsidR="002D17D4" w:rsidRDefault="002D17D4" w:rsidP="004D6E4E">
      <w:pPr>
        <w:pStyle w:val="AASBBase"/>
        <w:sectPr w:rsidR="002D17D4" w:rsidSect="00775BE3">
          <w:headerReference w:type="even" r:id="rId14"/>
          <w:footerReference w:type="even" r:id="rId15"/>
          <w:footerReference w:type="default" r:id="rId16"/>
          <w:pgSz w:w="11907" w:h="16839" w:code="9"/>
          <w:pgMar w:top="1440" w:right="1440" w:bottom="1440" w:left="1440" w:header="720" w:footer="720" w:gutter="0"/>
          <w:cols w:space="708"/>
          <w:docGrid w:linePitch="360"/>
        </w:sectPr>
      </w:pPr>
    </w:p>
    <w:p w14:paraId="0BB2DEED" w14:textId="77777777" w:rsidR="002D17D4" w:rsidRDefault="002D17D4" w:rsidP="004D6E4E">
      <w:pPr>
        <w:pStyle w:val="ConvSectionTitle"/>
      </w:pPr>
      <w:r>
        <w:lastRenderedPageBreak/>
        <w:t xml:space="preserve">Comparison with </w:t>
      </w:r>
      <w:r>
        <w:fldChar w:fldCharType="begin" w:fldLock="1"/>
      </w:r>
      <w:r>
        <w:instrText xml:space="preserve"> REF IntnlType \* charformat</w:instrText>
      </w:r>
      <w:r>
        <w:fldChar w:fldCharType="separate"/>
      </w:r>
      <w:r w:rsidR="007D3BF0">
        <w:t>IAS</w:t>
      </w:r>
      <w:r>
        <w:fldChar w:fldCharType="end"/>
      </w:r>
      <w:r>
        <w:t xml:space="preserve"> </w:t>
      </w:r>
      <w:r>
        <w:fldChar w:fldCharType="begin" w:fldLock="1"/>
      </w:r>
      <w:r>
        <w:instrText xml:space="preserve"> REF IntnlNo \* charformat</w:instrText>
      </w:r>
      <w:r>
        <w:fldChar w:fldCharType="separate"/>
      </w:r>
      <w:r w:rsidR="007D3BF0">
        <w:t>36</w:t>
      </w:r>
      <w:r>
        <w:fldChar w:fldCharType="end"/>
      </w:r>
    </w:p>
    <w:p w14:paraId="0BB2DEEE" w14:textId="77777777" w:rsidR="002D17D4" w:rsidRDefault="002D17D4" w:rsidP="004D6E4E">
      <w:pPr>
        <w:pStyle w:val="IASBNormal"/>
      </w:pPr>
      <w:r>
        <w:t xml:space="preserve">AASB </w:t>
      </w:r>
      <w:r>
        <w:fldChar w:fldCharType="begin" w:fldLock="1"/>
      </w:r>
      <w:r>
        <w:instrText xml:space="preserve"> REF DocNo \* charformat</w:instrText>
      </w:r>
      <w:r>
        <w:fldChar w:fldCharType="separate"/>
      </w:r>
      <w:r w:rsidR="007D3BF0">
        <w:t>136</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007D3BF0" w:rsidRPr="007D3BF0">
        <w:rPr>
          <w:i/>
        </w:rPr>
        <w:t>Impairment of Assets</w:t>
      </w:r>
      <w:r w:rsidRPr="00137A58">
        <w:rPr>
          <w:i/>
        </w:rPr>
        <w:fldChar w:fldCharType="end"/>
      </w:r>
      <w:r>
        <w:t xml:space="preserve"> </w:t>
      </w:r>
      <w:r w:rsidR="002D27C9">
        <w:t xml:space="preserve">as amended </w:t>
      </w:r>
      <w:r>
        <w:t xml:space="preserve">incorporates </w:t>
      </w:r>
      <w:r>
        <w:fldChar w:fldCharType="begin" w:fldLock="1"/>
      </w:r>
      <w:r>
        <w:instrText xml:space="preserve"> REF IntnlType \* charformat</w:instrText>
      </w:r>
      <w:r>
        <w:fldChar w:fldCharType="separate"/>
      </w:r>
      <w:r w:rsidR="007D3BF0">
        <w:t>IAS</w:t>
      </w:r>
      <w:r>
        <w:fldChar w:fldCharType="end"/>
      </w:r>
      <w:r>
        <w:t> </w:t>
      </w:r>
      <w:r>
        <w:fldChar w:fldCharType="begin" w:fldLock="1"/>
      </w:r>
      <w:r>
        <w:instrText xml:space="preserve"> REF IntnlNo \* charformat</w:instrText>
      </w:r>
      <w:r>
        <w:fldChar w:fldCharType="separate"/>
      </w:r>
      <w:r w:rsidR="007D3BF0">
        <w:t>36</w:t>
      </w:r>
      <w:r>
        <w:fldChar w:fldCharType="end"/>
      </w:r>
      <w:r>
        <w:t xml:space="preserve"> </w:t>
      </w:r>
      <w:bookmarkStart w:id="14" w:name="IntnlTitle"/>
      <w:r w:rsidRPr="002D17D4">
        <w:rPr>
          <w:i/>
        </w:rPr>
        <w:t>Impairment of Assets</w:t>
      </w:r>
      <w:bookmarkEnd w:id="14"/>
      <w:r>
        <w:t xml:space="preserve"> </w:t>
      </w:r>
      <w:r w:rsidR="002D27C9">
        <w:t xml:space="preserve">as </w:t>
      </w:r>
      <w:r>
        <w:t>issued</w:t>
      </w:r>
      <w:r w:rsidR="002D27C9">
        <w:t xml:space="preserve"> and amended</w:t>
      </w:r>
      <w:r>
        <w:t xml:space="preserve"> by the International Accounting Standards Board (IASB).  Australian</w:t>
      </w:r>
      <w:r>
        <w:noBreakHyphen/>
        <w:t xml:space="preserve">specific paragraphs (which are not included in </w:t>
      </w:r>
      <w:r>
        <w:fldChar w:fldCharType="begin" w:fldLock="1"/>
      </w:r>
      <w:r>
        <w:instrText xml:space="preserve"> REF IntnlType \* charformat</w:instrText>
      </w:r>
      <w:r>
        <w:fldChar w:fldCharType="separate"/>
      </w:r>
      <w:r w:rsidR="007D3BF0">
        <w:t>IAS</w:t>
      </w:r>
      <w:r>
        <w:fldChar w:fldCharType="end"/>
      </w:r>
      <w:r>
        <w:t> </w:t>
      </w:r>
      <w:r>
        <w:fldChar w:fldCharType="begin" w:fldLock="1"/>
      </w:r>
      <w:r>
        <w:instrText xml:space="preserve"> REF IntnlNo \* charformat</w:instrText>
      </w:r>
      <w:r>
        <w:fldChar w:fldCharType="separate"/>
      </w:r>
      <w:r w:rsidR="007D3BF0">
        <w:t>36</w:t>
      </w:r>
      <w:r>
        <w:fldChar w:fldCharType="end"/>
      </w:r>
      <w:r>
        <w:t>) are ide</w:t>
      </w:r>
      <w:r w:rsidR="00082E81">
        <w:t>ntified with the prefix “Aus”</w:t>
      </w:r>
      <w:r>
        <w:t>.  Paragraphs that apply only to not-for-profit entities begin by identifying their limited applicability.</w:t>
      </w:r>
    </w:p>
    <w:p w14:paraId="0BB2DEEF" w14:textId="77777777" w:rsidR="002D17D4" w:rsidRPr="00082E81" w:rsidRDefault="002D17D4" w:rsidP="004D6E4E">
      <w:pPr>
        <w:pStyle w:val="ConvStandardTitle1"/>
      </w:pPr>
      <w:r w:rsidRPr="00082E81">
        <w:t>Tier 1</w:t>
      </w:r>
    </w:p>
    <w:p w14:paraId="0BB2DEF0" w14:textId="77777777" w:rsidR="002D17D4" w:rsidRPr="00082E81" w:rsidRDefault="002D17D4" w:rsidP="004D6E4E">
      <w:pPr>
        <w:pStyle w:val="IASBNormal"/>
      </w:pPr>
      <w:r w:rsidRPr="00082E81">
        <w:t xml:space="preserve">For-profit entities complying with AASB </w:t>
      </w:r>
      <w:r w:rsidRPr="00082E81">
        <w:fldChar w:fldCharType="begin" w:fldLock="1"/>
      </w:r>
      <w:r w:rsidRPr="00082E81">
        <w:instrText xml:space="preserve"> REF DocNo \* charformat</w:instrText>
      </w:r>
      <w:r w:rsidR="00082E81">
        <w:instrText xml:space="preserve"> \* MERGEFORMAT </w:instrText>
      </w:r>
      <w:r w:rsidRPr="00082E81">
        <w:fldChar w:fldCharType="separate"/>
      </w:r>
      <w:r w:rsidR="007D3BF0" w:rsidRPr="00082E81">
        <w:t>136</w:t>
      </w:r>
      <w:r w:rsidRPr="00082E81">
        <w:fldChar w:fldCharType="end"/>
      </w:r>
      <w:r w:rsidRPr="00082E81">
        <w:t xml:space="preserve"> also comply with </w:t>
      </w:r>
      <w:r w:rsidRPr="00082E81">
        <w:fldChar w:fldCharType="begin" w:fldLock="1"/>
      </w:r>
      <w:r w:rsidRPr="00082E81">
        <w:instrText xml:space="preserve"> REF IntnlType \* charformat</w:instrText>
      </w:r>
      <w:r w:rsidR="00082E81">
        <w:instrText xml:space="preserve"> \* MERGEFORMAT </w:instrText>
      </w:r>
      <w:r w:rsidRPr="00082E81">
        <w:fldChar w:fldCharType="separate"/>
      </w:r>
      <w:r w:rsidR="007D3BF0" w:rsidRPr="00082E81">
        <w:t>IAS</w:t>
      </w:r>
      <w:r w:rsidRPr="00082E81">
        <w:fldChar w:fldCharType="end"/>
      </w:r>
      <w:r w:rsidRPr="00082E81">
        <w:t xml:space="preserve"> </w:t>
      </w:r>
      <w:r w:rsidRPr="00082E81">
        <w:fldChar w:fldCharType="begin" w:fldLock="1"/>
      </w:r>
      <w:r w:rsidRPr="00082E81">
        <w:instrText xml:space="preserve"> REF IntnlNo \* charformat</w:instrText>
      </w:r>
      <w:r w:rsidR="00082E81">
        <w:instrText xml:space="preserve"> \* MERGEFORMAT </w:instrText>
      </w:r>
      <w:r w:rsidRPr="00082E81">
        <w:fldChar w:fldCharType="separate"/>
      </w:r>
      <w:r w:rsidR="007D3BF0" w:rsidRPr="00082E81">
        <w:t>36</w:t>
      </w:r>
      <w:r w:rsidRPr="00082E81">
        <w:fldChar w:fldCharType="end"/>
      </w:r>
      <w:r w:rsidRPr="00082E81">
        <w:t>.</w:t>
      </w:r>
    </w:p>
    <w:p w14:paraId="0BB2DEF1" w14:textId="77777777" w:rsidR="002D17D4" w:rsidRPr="00082E81" w:rsidRDefault="002D17D4" w:rsidP="004D6E4E">
      <w:pPr>
        <w:pStyle w:val="IASBNormal"/>
      </w:pPr>
      <w:r w:rsidRPr="00082E81">
        <w:t xml:space="preserve">Not-for-profit entities’ compliance with </w:t>
      </w:r>
      <w:r w:rsidRPr="00082E81">
        <w:fldChar w:fldCharType="begin" w:fldLock="1"/>
      </w:r>
      <w:r w:rsidRPr="00082E81">
        <w:instrText xml:space="preserve"> REF IntnlType \* charformat</w:instrText>
      </w:r>
      <w:r w:rsidR="00082E81">
        <w:instrText xml:space="preserve"> \* MERGEFORMAT </w:instrText>
      </w:r>
      <w:r w:rsidRPr="00082E81">
        <w:fldChar w:fldCharType="separate"/>
      </w:r>
      <w:r w:rsidR="007D3BF0" w:rsidRPr="00082E81">
        <w:t>IAS</w:t>
      </w:r>
      <w:r w:rsidRPr="00082E81">
        <w:fldChar w:fldCharType="end"/>
      </w:r>
      <w:r w:rsidRPr="00082E81">
        <w:t xml:space="preserve"> </w:t>
      </w:r>
      <w:r w:rsidRPr="00082E81">
        <w:fldChar w:fldCharType="begin" w:fldLock="1"/>
      </w:r>
      <w:r w:rsidRPr="00082E81">
        <w:instrText xml:space="preserve"> REF IntnlNo \* charformat</w:instrText>
      </w:r>
      <w:r w:rsidR="00082E81">
        <w:instrText xml:space="preserve"> \* MERGEFORMAT </w:instrText>
      </w:r>
      <w:r w:rsidRPr="00082E81">
        <w:fldChar w:fldCharType="separate"/>
      </w:r>
      <w:r w:rsidR="007D3BF0" w:rsidRPr="00082E81">
        <w:t>36</w:t>
      </w:r>
      <w:r w:rsidRPr="00082E81">
        <w:fldChar w:fldCharType="end"/>
      </w:r>
      <w:r w:rsidRPr="00082E81">
        <w:t xml:space="preserve"> will depend on whether any “Aus” paragraphs that specifically apply to not-for-profit entities provide additional guidance or contain applicable requirements that are inconsistent with </w:t>
      </w:r>
      <w:r w:rsidRPr="00082E81">
        <w:fldChar w:fldCharType="begin" w:fldLock="1"/>
      </w:r>
      <w:r w:rsidRPr="00082E81">
        <w:instrText xml:space="preserve"> REF IntnlType \* charformat</w:instrText>
      </w:r>
      <w:r w:rsidR="00082E81">
        <w:instrText xml:space="preserve"> \* MERGEFORMAT </w:instrText>
      </w:r>
      <w:r w:rsidRPr="00082E81">
        <w:fldChar w:fldCharType="separate"/>
      </w:r>
      <w:r w:rsidR="007D3BF0" w:rsidRPr="00082E81">
        <w:t>IAS</w:t>
      </w:r>
      <w:r w:rsidRPr="00082E81">
        <w:fldChar w:fldCharType="end"/>
      </w:r>
      <w:r w:rsidRPr="00082E81">
        <w:t> </w:t>
      </w:r>
      <w:r w:rsidRPr="00082E81">
        <w:fldChar w:fldCharType="begin" w:fldLock="1"/>
      </w:r>
      <w:r w:rsidRPr="00082E81">
        <w:instrText xml:space="preserve"> REF IntnlNo \* charformat</w:instrText>
      </w:r>
      <w:r w:rsidR="00082E81">
        <w:instrText xml:space="preserve"> \* MERGEFORMAT </w:instrText>
      </w:r>
      <w:r w:rsidRPr="00082E81">
        <w:fldChar w:fldCharType="separate"/>
      </w:r>
      <w:r w:rsidR="007D3BF0" w:rsidRPr="00082E81">
        <w:t>36</w:t>
      </w:r>
      <w:r w:rsidRPr="00082E81">
        <w:fldChar w:fldCharType="end"/>
      </w:r>
      <w:r w:rsidRPr="00082E81">
        <w:t>.</w:t>
      </w:r>
    </w:p>
    <w:p w14:paraId="0BB2DEF2" w14:textId="77777777" w:rsidR="002D17D4" w:rsidRPr="00082E81" w:rsidRDefault="002D17D4" w:rsidP="004D6E4E">
      <w:pPr>
        <w:pStyle w:val="ConvStandardTitle1"/>
      </w:pPr>
      <w:r w:rsidRPr="00082E81">
        <w:t>Tier 2</w:t>
      </w:r>
    </w:p>
    <w:p w14:paraId="0BB2DEF3" w14:textId="27C4EDBB" w:rsidR="002D17D4" w:rsidRPr="00082E81" w:rsidRDefault="002D17D4" w:rsidP="004D6E4E">
      <w:pPr>
        <w:pStyle w:val="IASBNormal"/>
      </w:pPr>
      <w:r w:rsidRPr="00082E81">
        <w:t xml:space="preserve">Entities preparing general purpose financial statements under Australian Accounting Standards – </w:t>
      </w:r>
      <w:r w:rsidR="00A77F1D">
        <w:t>Simplified</w:t>
      </w:r>
      <w:r w:rsidRPr="00082E81">
        <w:t xml:space="preserve"> Disclosure</w:t>
      </w:r>
      <w:r w:rsidR="00A77F1D">
        <w:t>s</w:t>
      </w:r>
      <w:r w:rsidRPr="00082E81">
        <w:t xml:space="preserve"> (Tier 2) will not be in compliance with</w:t>
      </w:r>
      <w:r w:rsidR="00A61D7C">
        <w:t xml:space="preserve"> IFRS Standards</w:t>
      </w:r>
      <w:r w:rsidRPr="00082E81">
        <w:t>.</w:t>
      </w:r>
    </w:p>
    <w:p w14:paraId="0BB2DEF4" w14:textId="77777777" w:rsidR="002D17D4" w:rsidRPr="00F83914" w:rsidRDefault="002D17D4" w:rsidP="004D6E4E">
      <w:pPr>
        <w:pStyle w:val="IASBNormal"/>
      </w:pPr>
      <w:r w:rsidRPr="00082E81">
        <w:t xml:space="preserve">AASB 1053 </w:t>
      </w:r>
      <w:r w:rsidRPr="00082E81">
        <w:rPr>
          <w:i/>
        </w:rPr>
        <w:t>Application of Tiers of Australian Accounting Standards</w:t>
      </w:r>
      <w:r w:rsidRPr="00082E81">
        <w:t xml:space="preserve"> explains the two tiers of reporting requirements.</w:t>
      </w:r>
    </w:p>
    <w:p w14:paraId="0BB2DEF5" w14:textId="77777777" w:rsidR="002D17D4" w:rsidRDefault="002D17D4" w:rsidP="004D6E4E">
      <w:pPr>
        <w:pStyle w:val="AASBBase"/>
      </w:pPr>
    </w:p>
    <w:p w14:paraId="0BB2DEF6" w14:textId="77777777" w:rsidR="002D17D4" w:rsidRDefault="002D17D4" w:rsidP="004D6E4E">
      <w:pPr>
        <w:pStyle w:val="AASBBase"/>
        <w:sectPr w:rsidR="002D17D4" w:rsidSect="00143D3A">
          <w:headerReference w:type="even" r:id="rId17"/>
          <w:footerReference w:type="even" r:id="rId18"/>
          <w:footerReference w:type="default" r:id="rId19"/>
          <w:pgSz w:w="11907" w:h="16839" w:code="9"/>
          <w:pgMar w:top="1440" w:right="1440" w:bottom="1440" w:left="1440" w:header="720" w:footer="720" w:gutter="0"/>
          <w:cols w:space="708"/>
          <w:docGrid w:linePitch="360"/>
        </w:sectPr>
      </w:pPr>
    </w:p>
    <w:p w14:paraId="0BB2DEF7" w14:textId="77777777" w:rsidR="002D27C9" w:rsidRPr="005719F2" w:rsidRDefault="002D27C9" w:rsidP="00FB07E6">
      <w:pPr>
        <w:pStyle w:val="ConvSectionTitle"/>
        <w:pBdr>
          <w:top w:val="single" w:sz="4" w:space="1" w:color="auto"/>
          <w:left w:val="single" w:sz="4" w:space="4" w:color="auto"/>
          <w:bottom w:val="single" w:sz="4" w:space="5" w:color="auto"/>
          <w:right w:val="single" w:sz="4" w:space="4" w:color="auto"/>
        </w:pBdr>
      </w:pPr>
      <w:r w:rsidRPr="005719F2">
        <w:lastRenderedPageBreak/>
        <w:t>Accounting Standard AAS</w:t>
      </w:r>
      <w:r w:rsidRPr="00FB1B31">
        <w:t xml:space="preserve">B </w:t>
      </w:r>
      <w:r w:rsidRPr="00FB1B31">
        <w:fldChar w:fldCharType="begin" w:fldLock="1"/>
      </w:r>
      <w:r w:rsidRPr="00FB1B31">
        <w:instrText xml:space="preserve"> REF DocNo \* charformat</w:instrText>
      </w:r>
      <w:r w:rsidR="00FB1B31" w:rsidRPr="00FB1B31">
        <w:instrText xml:space="preserve"> \* MERGEFORMAT </w:instrText>
      </w:r>
      <w:r w:rsidRPr="00FB1B31">
        <w:fldChar w:fldCharType="separate"/>
      </w:r>
      <w:r w:rsidRPr="00FB1B31">
        <w:t>136</w:t>
      </w:r>
      <w:r w:rsidRPr="00FB1B31">
        <w:fldChar w:fldCharType="end"/>
      </w:r>
    </w:p>
    <w:p w14:paraId="0BB2DEF8" w14:textId="77777777" w:rsidR="002D27C9" w:rsidRPr="00485BA8" w:rsidRDefault="002D27C9" w:rsidP="00FB07E6">
      <w:pPr>
        <w:pBdr>
          <w:top w:val="single" w:sz="4" w:space="1" w:color="auto"/>
          <w:left w:val="single" w:sz="4" w:space="4" w:color="auto"/>
          <w:bottom w:val="single" w:sz="4" w:space="5" w:color="auto"/>
          <w:right w:val="single" w:sz="4" w:space="4" w:color="auto"/>
        </w:pBdr>
        <w:spacing w:before="100" w:after="100"/>
        <w:jc w:val="both"/>
      </w:pPr>
      <w:r w:rsidRPr="00485BA8">
        <w:t xml:space="preserve">The Australian Accounting Standards Board made Accounting Standard AASB </w:t>
      </w:r>
      <w:r>
        <w:fldChar w:fldCharType="begin" w:fldLock="1"/>
      </w:r>
      <w:r>
        <w:instrText xml:space="preserve"> REF DocNo \* charformat</w:instrText>
      </w:r>
      <w:r w:rsidR="00D35B4A">
        <w:instrText xml:space="preserve"> \* MERGEFORMAT </w:instrText>
      </w:r>
      <w:r>
        <w:fldChar w:fldCharType="separate"/>
      </w:r>
      <w:r>
        <w:t>136</w:t>
      </w:r>
      <w:r>
        <w:fldChar w:fldCharType="end"/>
      </w:r>
      <w:r>
        <w:t xml:space="preserve"> </w:t>
      </w:r>
      <w:r w:rsidRPr="00844AB3">
        <w:rPr>
          <w:i/>
        </w:rPr>
        <w:fldChar w:fldCharType="begin" w:fldLock="1"/>
      </w:r>
      <w:r w:rsidRPr="00844AB3">
        <w:rPr>
          <w:i/>
        </w:rPr>
        <w:instrText xml:space="preserve"> REF DocTitle \* charformat</w:instrText>
      </w:r>
      <w:r w:rsidR="00D35B4A">
        <w:rPr>
          <w:i/>
        </w:rPr>
        <w:instrText xml:space="preserve"> \* MERGEFORMAT </w:instrText>
      </w:r>
      <w:r w:rsidRPr="00844AB3">
        <w:rPr>
          <w:i/>
        </w:rPr>
        <w:fldChar w:fldCharType="separate"/>
      </w:r>
      <w:r w:rsidRPr="007D3BF0">
        <w:rPr>
          <w:i/>
        </w:rPr>
        <w:t>Impairment of Assets</w:t>
      </w:r>
      <w:r w:rsidRPr="00844AB3">
        <w:rPr>
          <w:i/>
        </w:rPr>
        <w:fldChar w:fldCharType="end"/>
      </w:r>
      <w:r w:rsidRPr="00485BA8">
        <w:t xml:space="preserve"> under section 334 of the </w:t>
      </w:r>
      <w:r w:rsidRPr="00485BA8">
        <w:rPr>
          <w:i/>
        </w:rPr>
        <w:t>Corporations Act 2001</w:t>
      </w:r>
      <w:r>
        <w:rPr>
          <w:i/>
        </w:rPr>
        <w:t xml:space="preserve"> </w:t>
      </w:r>
      <w:r w:rsidRPr="00485BA8">
        <w:rPr>
          <w:iCs/>
        </w:rPr>
        <w:t xml:space="preserve">on </w:t>
      </w:r>
      <w:bookmarkStart w:id="15" w:name="MadeDate"/>
      <w:r w:rsidR="008D4921">
        <w:t xml:space="preserve">14 </w:t>
      </w:r>
      <w:r w:rsidRPr="00485BA8">
        <w:t>August 2015</w:t>
      </w:r>
      <w:bookmarkEnd w:id="15"/>
      <w:r w:rsidRPr="00485BA8">
        <w:t>.</w:t>
      </w:r>
    </w:p>
    <w:p w14:paraId="0BB2DEFA" w14:textId="5CA3E054" w:rsidR="002D27C9" w:rsidRPr="00485BA8" w:rsidRDefault="002D27C9" w:rsidP="00FB07E6">
      <w:pPr>
        <w:pBdr>
          <w:top w:val="single" w:sz="4" w:space="1" w:color="auto"/>
          <w:left w:val="single" w:sz="4" w:space="4" w:color="auto"/>
          <w:bottom w:val="single" w:sz="4" w:space="5" w:color="auto"/>
          <w:right w:val="single" w:sz="4" w:space="4" w:color="auto"/>
        </w:pBdr>
        <w:spacing w:before="100" w:after="100"/>
        <w:jc w:val="both"/>
      </w:pPr>
      <w:r w:rsidRPr="00485BA8">
        <w:t>This compiled version of AASB </w:t>
      </w:r>
      <w:r>
        <w:fldChar w:fldCharType="begin" w:fldLock="1"/>
      </w:r>
      <w:r>
        <w:instrText xml:space="preserve"> REF DocNo \* charformat</w:instrText>
      </w:r>
      <w:r w:rsidR="00D35B4A">
        <w:instrText xml:space="preserve"> \* MERGEFORMAT </w:instrText>
      </w:r>
      <w:r>
        <w:fldChar w:fldCharType="separate"/>
      </w:r>
      <w:r>
        <w:t>136</w:t>
      </w:r>
      <w:r>
        <w:fldChar w:fldCharType="end"/>
      </w:r>
      <w:r>
        <w:t xml:space="preserve"> </w:t>
      </w:r>
      <w:r w:rsidRPr="00485BA8">
        <w:rPr>
          <w:iCs/>
        </w:rPr>
        <w:t xml:space="preserve">applies to annual periods </w:t>
      </w:r>
      <w:r w:rsidRPr="00485BA8">
        <w:rPr>
          <w:iCs/>
        </w:rPr>
        <w:fldChar w:fldCharType="begin"/>
      </w:r>
      <w:r w:rsidRPr="00485BA8">
        <w:rPr>
          <w:iCs/>
        </w:rPr>
        <w:instrText xml:space="preserve"> REF  ApplyTextCompile  \* MERGEFORMAT </w:instrText>
      </w:r>
      <w:r w:rsidRPr="00485BA8">
        <w:rPr>
          <w:iCs/>
        </w:rPr>
        <w:fldChar w:fldCharType="separate"/>
      </w:r>
      <w:r w:rsidR="004E444B" w:rsidRPr="00485BA8">
        <w:t>beginning</w:t>
      </w:r>
      <w:r w:rsidRPr="00485BA8">
        <w:rPr>
          <w:iCs/>
        </w:rPr>
        <w:fldChar w:fldCharType="end"/>
      </w:r>
      <w:r w:rsidRPr="00485BA8">
        <w:rPr>
          <w:iCs/>
        </w:rPr>
        <w:t xml:space="preserve"> on or after </w:t>
      </w:r>
      <w:r w:rsidRPr="00485BA8">
        <w:rPr>
          <w:iCs/>
        </w:rPr>
        <w:fldChar w:fldCharType="begin"/>
      </w:r>
      <w:r w:rsidRPr="00485BA8">
        <w:rPr>
          <w:iCs/>
        </w:rPr>
        <w:instrText xml:space="preserve"> REF  ApplyDateCompile  \* MERGEFORMAT </w:instrText>
      </w:r>
      <w:r w:rsidRPr="00485BA8">
        <w:rPr>
          <w:iCs/>
        </w:rPr>
        <w:fldChar w:fldCharType="separate"/>
      </w:r>
      <w:r w:rsidR="004E444B" w:rsidRPr="00485BA8" w:rsidDel="001D073E">
        <w:t xml:space="preserve">1 </w:t>
      </w:r>
      <w:r w:rsidR="004E444B">
        <w:t>January 2023 but before 1 July 2026</w:t>
      </w:r>
      <w:r w:rsidRPr="00485BA8">
        <w:rPr>
          <w:iCs/>
        </w:rPr>
        <w:fldChar w:fldCharType="end"/>
      </w:r>
      <w:r w:rsidR="007D6249">
        <w:rPr>
          <w:iCs/>
        </w:rPr>
        <w:t>.</w:t>
      </w:r>
      <w:r w:rsidR="00886B65">
        <w:rPr>
          <w:iCs/>
        </w:rPr>
        <w:t xml:space="preserve">  </w:t>
      </w:r>
      <w:r w:rsidRPr="00485BA8">
        <w:rPr>
          <w:iCs/>
        </w:rPr>
        <w:t xml:space="preserve">It incorporates relevant </w:t>
      </w:r>
      <w:r w:rsidRPr="00485BA8">
        <w:t xml:space="preserve">amendments contained in other AASB Standards made by the AASB up to and including </w:t>
      </w:r>
      <w:r w:rsidR="004E444B">
        <w:fldChar w:fldCharType="begin"/>
      </w:r>
      <w:r w:rsidR="004E444B">
        <w:instrText xml:space="preserve"> REF CompileDate \* charformat  \* MERGEFORMAT </w:instrText>
      </w:r>
      <w:r w:rsidR="004E444B">
        <w:fldChar w:fldCharType="separate"/>
      </w:r>
      <w:r w:rsidR="004E444B">
        <w:t>15 December 2022</w:t>
      </w:r>
      <w:r w:rsidR="004E444B">
        <w:fldChar w:fldCharType="end"/>
      </w:r>
      <w:r w:rsidRPr="00485BA8">
        <w:t xml:space="preserve"> (see Compilation Details).</w:t>
      </w:r>
    </w:p>
    <w:p w14:paraId="0BB2DEFB" w14:textId="77777777" w:rsidR="002D17D4" w:rsidRDefault="002D17D4" w:rsidP="004D6E4E">
      <w:pPr>
        <w:pStyle w:val="ConvStandardTitle1"/>
      </w:pPr>
      <w:r>
        <w:t xml:space="preserve">Accounting Standard AASB </w:t>
      </w:r>
      <w:r>
        <w:fldChar w:fldCharType="begin" w:fldLock="1"/>
      </w:r>
      <w:r>
        <w:instrText xml:space="preserve"> REF DocNo \* charformat</w:instrText>
      </w:r>
      <w:r>
        <w:fldChar w:fldCharType="separate"/>
      </w:r>
      <w:r w:rsidR="007D3BF0">
        <w:t>136</w:t>
      </w:r>
      <w:r>
        <w:fldChar w:fldCharType="end"/>
      </w:r>
    </w:p>
    <w:p w14:paraId="0BB2DEFC" w14:textId="77777777" w:rsidR="002D17D4" w:rsidRPr="00844AB3" w:rsidRDefault="002D17D4" w:rsidP="004D6E4E">
      <w:pPr>
        <w:pStyle w:val="ConvStandardTitle2"/>
      </w:pPr>
      <w:r>
        <w:fldChar w:fldCharType="begin" w:fldLock="1"/>
      </w:r>
      <w:r>
        <w:instrText xml:space="preserve"> REF DocTitle \* charformat</w:instrText>
      </w:r>
      <w:r>
        <w:fldChar w:fldCharType="separate"/>
      </w:r>
      <w:r w:rsidR="007D3BF0">
        <w:t>Impairment of Assets</w:t>
      </w:r>
      <w:r>
        <w:fldChar w:fldCharType="end"/>
      </w:r>
    </w:p>
    <w:p w14:paraId="0BB2DEFD" w14:textId="77777777" w:rsidR="006A2DAD" w:rsidRDefault="006A2DAD">
      <w:pPr>
        <w:pStyle w:val="IASBSectionTitle1NonInd"/>
      </w:pPr>
      <w:r>
        <w:t>Objective</w:t>
      </w:r>
    </w:p>
    <w:p w14:paraId="0BB2DEFE" w14:textId="77777777" w:rsidR="006A2DAD" w:rsidRDefault="006A2DAD">
      <w:pPr>
        <w:pStyle w:val="IASBNormalnpara"/>
      </w:pPr>
      <w:r>
        <w:t>1</w:t>
      </w:r>
      <w:r>
        <w:tab/>
        <w:t>The objective of this Standard is to prescribe the procedures that an entity applies to ensure that its assets are carried at no more than their recoverable amount. An asset is carried at more than its recoverable amount if its carrying amount exceeds the amount to be recovered through use or sale of the asset. If this is the case, the asset is described as impaired and the Standard requires the entity to recognise an impairment loss. The Standard also specifies when an entity should reverse an impairment loss and prescribes disclosures.</w:t>
      </w:r>
    </w:p>
    <w:p w14:paraId="0BB2DEFF" w14:textId="77777777" w:rsidR="006A2DAD" w:rsidRDefault="006A2DAD">
      <w:pPr>
        <w:pStyle w:val="IASBSectionTitle1NonInd"/>
      </w:pPr>
      <w:r>
        <w:t>Scope</w:t>
      </w:r>
    </w:p>
    <w:p w14:paraId="0BB2DF00" w14:textId="77777777" w:rsidR="006A2DAD" w:rsidRDefault="006A2DAD">
      <w:pPr>
        <w:pStyle w:val="IASBNormalnpara"/>
        <w:rPr>
          <w:b/>
        </w:rPr>
      </w:pPr>
      <w:r>
        <w:rPr>
          <w:b/>
        </w:rPr>
        <w:t>2</w:t>
      </w:r>
      <w:r>
        <w:rPr>
          <w:b/>
        </w:rPr>
        <w:tab/>
        <w:t>This Standard shall be applied in accounting for the impairment of all assets, other than:</w:t>
      </w:r>
    </w:p>
    <w:p w14:paraId="0BB2DF01" w14:textId="77777777" w:rsidR="006A2DAD" w:rsidRDefault="006A2DAD">
      <w:pPr>
        <w:pStyle w:val="IASBNormalnparaL1"/>
      </w:pPr>
      <w:r>
        <w:rPr>
          <w:b/>
        </w:rPr>
        <w:t>(a)</w:t>
      </w:r>
      <w:r>
        <w:tab/>
      </w:r>
      <w:r>
        <w:rPr>
          <w:b/>
        </w:rPr>
        <w:t>inventories</w:t>
      </w:r>
      <w:r>
        <w:t xml:space="preserve"> </w:t>
      </w:r>
      <w:r>
        <w:rPr>
          <w:b/>
        </w:rPr>
        <w:t>(see</w:t>
      </w:r>
      <w:r w:rsidR="002D17D4">
        <w:rPr>
          <w:b/>
        </w:rPr>
        <w:t xml:space="preserve"> AASB 102</w:t>
      </w:r>
      <w:r>
        <w:rPr>
          <w:b/>
        </w:rPr>
        <w:t xml:space="preserve"> </w:t>
      </w:r>
      <w:r>
        <w:rPr>
          <w:b/>
          <w:i/>
        </w:rPr>
        <w:t>Inventories</w:t>
      </w:r>
      <w:r>
        <w:rPr>
          <w:b/>
        </w:rPr>
        <w:t>);</w:t>
      </w:r>
    </w:p>
    <w:p w14:paraId="0BB2DF02" w14:textId="77777777" w:rsidR="006A2DAD" w:rsidRDefault="006A2DAD">
      <w:pPr>
        <w:pStyle w:val="IASBNormalnparaL1"/>
        <w:rPr>
          <w:b/>
        </w:rPr>
      </w:pPr>
      <w:r>
        <w:rPr>
          <w:b/>
        </w:rPr>
        <w:t>(b)</w:t>
      </w:r>
      <w:r>
        <w:rPr>
          <w:b/>
        </w:rPr>
        <w:tab/>
        <w:t>contract assets and assets arising from costs to obtain or fulfil a contract that are recognised in accordance with</w:t>
      </w:r>
      <w:r w:rsidR="002D17D4">
        <w:rPr>
          <w:b/>
        </w:rPr>
        <w:t xml:space="preserve"> AASB 15</w:t>
      </w:r>
      <w:r>
        <w:rPr>
          <w:b/>
        </w:rPr>
        <w:t xml:space="preserve"> </w:t>
      </w:r>
      <w:r>
        <w:rPr>
          <w:b/>
          <w:i/>
        </w:rPr>
        <w:t>Revenue from Contracts with Customers</w:t>
      </w:r>
      <w:r>
        <w:rPr>
          <w:b/>
        </w:rPr>
        <w:t>;</w:t>
      </w:r>
    </w:p>
    <w:p w14:paraId="0BB2DF03" w14:textId="77777777" w:rsidR="006A2DAD" w:rsidRDefault="006A2DAD">
      <w:pPr>
        <w:pStyle w:val="IASBNormalnparaL1"/>
      </w:pPr>
      <w:r>
        <w:rPr>
          <w:b/>
        </w:rPr>
        <w:t>(c)</w:t>
      </w:r>
      <w:r>
        <w:tab/>
      </w:r>
      <w:r>
        <w:rPr>
          <w:b/>
        </w:rPr>
        <w:t>deferred tax assets (see</w:t>
      </w:r>
      <w:r w:rsidR="002D17D4">
        <w:rPr>
          <w:b/>
        </w:rPr>
        <w:t xml:space="preserve"> AASB 112</w:t>
      </w:r>
      <w:r>
        <w:rPr>
          <w:b/>
        </w:rPr>
        <w:t xml:space="preserve"> </w:t>
      </w:r>
      <w:r>
        <w:rPr>
          <w:b/>
          <w:i/>
        </w:rPr>
        <w:t>Income Taxes</w:t>
      </w:r>
      <w:r>
        <w:rPr>
          <w:b/>
        </w:rPr>
        <w:t>);</w:t>
      </w:r>
    </w:p>
    <w:p w14:paraId="0BB2DF04" w14:textId="77777777" w:rsidR="006A2DAD" w:rsidRDefault="006A2DAD">
      <w:pPr>
        <w:pStyle w:val="IASBNormalnparaL1"/>
      </w:pPr>
      <w:r>
        <w:rPr>
          <w:b/>
        </w:rPr>
        <w:t>(d)</w:t>
      </w:r>
      <w:r>
        <w:tab/>
      </w:r>
      <w:r>
        <w:rPr>
          <w:b/>
        </w:rPr>
        <w:t>assets arising from employee benefits</w:t>
      </w:r>
      <w:r>
        <w:t xml:space="preserve"> </w:t>
      </w:r>
      <w:r>
        <w:rPr>
          <w:b/>
        </w:rPr>
        <w:t>(see</w:t>
      </w:r>
      <w:r w:rsidR="002D17D4">
        <w:rPr>
          <w:b/>
        </w:rPr>
        <w:t xml:space="preserve"> AASB 119</w:t>
      </w:r>
      <w:r>
        <w:rPr>
          <w:b/>
        </w:rPr>
        <w:t xml:space="preserve"> </w:t>
      </w:r>
      <w:r>
        <w:rPr>
          <w:b/>
          <w:i/>
        </w:rPr>
        <w:t>Employee Benefits</w:t>
      </w:r>
      <w:r>
        <w:rPr>
          <w:b/>
        </w:rPr>
        <w:t>);</w:t>
      </w:r>
    </w:p>
    <w:p w14:paraId="0BB2DF05" w14:textId="77777777" w:rsidR="006A2DAD" w:rsidRDefault="006A2DAD">
      <w:pPr>
        <w:pStyle w:val="IASBNormalnparaL1"/>
      </w:pPr>
      <w:r>
        <w:rPr>
          <w:b/>
        </w:rPr>
        <w:t>(e)</w:t>
      </w:r>
      <w:r>
        <w:tab/>
      </w:r>
      <w:r>
        <w:rPr>
          <w:b/>
        </w:rPr>
        <w:t>financial assets that are within the scope of</w:t>
      </w:r>
      <w:r w:rsidR="002D17D4">
        <w:rPr>
          <w:b/>
        </w:rPr>
        <w:t xml:space="preserve"> AASB 9</w:t>
      </w:r>
      <w:r>
        <w:rPr>
          <w:b/>
        </w:rPr>
        <w:t xml:space="preserve"> </w:t>
      </w:r>
      <w:r>
        <w:rPr>
          <w:b/>
          <w:i/>
        </w:rPr>
        <w:t>Financial Instruments</w:t>
      </w:r>
      <w:r>
        <w:rPr>
          <w:b/>
        </w:rPr>
        <w:t>;</w:t>
      </w:r>
    </w:p>
    <w:p w14:paraId="0BB2DF06" w14:textId="77777777" w:rsidR="006A2DAD" w:rsidRDefault="006A2DAD">
      <w:pPr>
        <w:pStyle w:val="IASBNormalnparaL1"/>
      </w:pPr>
      <w:r>
        <w:rPr>
          <w:b/>
        </w:rPr>
        <w:t>(f)</w:t>
      </w:r>
      <w:r>
        <w:tab/>
      </w:r>
      <w:r>
        <w:rPr>
          <w:b/>
        </w:rPr>
        <w:t>investment property</w:t>
      </w:r>
      <w:r>
        <w:t xml:space="preserve"> </w:t>
      </w:r>
      <w:r>
        <w:rPr>
          <w:b/>
        </w:rPr>
        <w:t>that is measured at fair value (see</w:t>
      </w:r>
      <w:r w:rsidR="002D17D4">
        <w:rPr>
          <w:b/>
        </w:rPr>
        <w:t xml:space="preserve"> AASB 140</w:t>
      </w:r>
      <w:r>
        <w:rPr>
          <w:b/>
        </w:rPr>
        <w:t xml:space="preserve"> </w:t>
      </w:r>
      <w:r>
        <w:rPr>
          <w:b/>
          <w:i/>
        </w:rPr>
        <w:t>Investment Property</w:t>
      </w:r>
      <w:r>
        <w:rPr>
          <w:b/>
        </w:rPr>
        <w:t>);</w:t>
      </w:r>
    </w:p>
    <w:p w14:paraId="0BB2DF07" w14:textId="77777777" w:rsidR="006A2DAD" w:rsidRDefault="006A2DAD">
      <w:pPr>
        <w:pStyle w:val="IASBNormalnparaL1"/>
      </w:pPr>
      <w:r>
        <w:rPr>
          <w:b/>
        </w:rPr>
        <w:t>(g)</w:t>
      </w:r>
      <w:r>
        <w:tab/>
      </w:r>
      <w:r>
        <w:rPr>
          <w:b/>
        </w:rPr>
        <w:t>biological assets</w:t>
      </w:r>
      <w:r>
        <w:t xml:space="preserve"> </w:t>
      </w:r>
      <w:r>
        <w:rPr>
          <w:b/>
        </w:rPr>
        <w:t>related to agricultural activity</w:t>
      </w:r>
      <w:r>
        <w:t xml:space="preserve"> </w:t>
      </w:r>
      <w:r>
        <w:rPr>
          <w:b/>
        </w:rPr>
        <w:t>within the scope of</w:t>
      </w:r>
      <w:r w:rsidR="002D17D4">
        <w:rPr>
          <w:b/>
        </w:rPr>
        <w:t xml:space="preserve"> AASB 141</w:t>
      </w:r>
      <w:r>
        <w:rPr>
          <w:b/>
        </w:rPr>
        <w:t xml:space="preserve"> </w:t>
      </w:r>
      <w:r>
        <w:rPr>
          <w:b/>
          <w:i/>
        </w:rPr>
        <w:t>Agriculture</w:t>
      </w:r>
      <w:r>
        <w:rPr>
          <w:b/>
        </w:rPr>
        <w:t xml:space="preserve"> that are measured at fair value less costs to sell;</w:t>
      </w:r>
    </w:p>
    <w:p w14:paraId="0BB2DF08" w14:textId="79C41FC8" w:rsidR="006A2DAD" w:rsidRDefault="006A2DAD">
      <w:pPr>
        <w:pStyle w:val="IASBNormalnparaL1"/>
      </w:pPr>
      <w:r>
        <w:rPr>
          <w:b/>
        </w:rPr>
        <w:t>(h)</w:t>
      </w:r>
      <w:r>
        <w:tab/>
      </w:r>
      <w:r>
        <w:rPr>
          <w:b/>
        </w:rPr>
        <w:t>contracts</w:t>
      </w:r>
      <w:r>
        <w:t xml:space="preserve"> </w:t>
      </w:r>
      <w:r>
        <w:rPr>
          <w:b/>
        </w:rPr>
        <w:t xml:space="preserve">within the </w:t>
      </w:r>
      <w:r w:rsidR="002637BA">
        <w:rPr>
          <w:b/>
        </w:rPr>
        <w:t xml:space="preserve">scope </w:t>
      </w:r>
      <w:r>
        <w:rPr>
          <w:b/>
        </w:rPr>
        <w:t>of</w:t>
      </w:r>
      <w:r w:rsidR="002D17D4">
        <w:rPr>
          <w:b/>
        </w:rPr>
        <w:t xml:space="preserve"> AASB</w:t>
      </w:r>
      <w:r w:rsidR="002637BA">
        <w:rPr>
          <w:b/>
        </w:rPr>
        <w:t xml:space="preserve"> </w:t>
      </w:r>
      <w:r w:rsidR="00B715F5">
        <w:rPr>
          <w:b/>
        </w:rPr>
        <w:t xml:space="preserve">17 </w:t>
      </w:r>
      <w:r>
        <w:rPr>
          <w:b/>
          <w:i/>
        </w:rPr>
        <w:t>Insurance Contracts</w:t>
      </w:r>
      <w:r w:rsidR="000E1331" w:rsidRPr="000E1331" w:rsidDel="00B715F5">
        <w:rPr>
          <w:b/>
        </w:rPr>
        <w:t xml:space="preserve"> </w:t>
      </w:r>
      <w:r w:rsidR="00B173C2">
        <w:rPr>
          <w:b/>
        </w:rPr>
        <w:t>that are assets and any assets for insurance acquisition cash flows as defined in AASB</w:t>
      </w:r>
      <w:r w:rsidR="002637BA">
        <w:rPr>
          <w:b/>
        </w:rPr>
        <w:t xml:space="preserve"> </w:t>
      </w:r>
      <w:r w:rsidR="00B173C2">
        <w:rPr>
          <w:b/>
        </w:rPr>
        <w:t>17</w:t>
      </w:r>
      <w:r>
        <w:rPr>
          <w:b/>
        </w:rPr>
        <w:t>; and</w:t>
      </w:r>
    </w:p>
    <w:p w14:paraId="0BB2DF09" w14:textId="77777777" w:rsidR="006A2DAD" w:rsidRDefault="006A2DAD">
      <w:pPr>
        <w:pStyle w:val="IASBNormalnparaL1"/>
        <w:rPr>
          <w:b/>
        </w:rPr>
      </w:pPr>
      <w:r>
        <w:rPr>
          <w:b/>
        </w:rPr>
        <w:t>(i)</w:t>
      </w:r>
      <w:r>
        <w:tab/>
      </w:r>
      <w:r>
        <w:rPr>
          <w:b/>
        </w:rPr>
        <w:t>non-current assets (or disposal groups) classified as held for sale in accordance with</w:t>
      </w:r>
      <w:r w:rsidR="002D17D4">
        <w:rPr>
          <w:b/>
        </w:rPr>
        <w:t xml:space="preserve"> AASB 5</w:t>
      </w:r>
      <w:r>
        <w:rPr>
          <w:b/>
        </w:rPr>
        <w:t xml:space="preserve"> </w:t>
      </w:r>
      <w:r>
        <w:rPr>
          <w:b/>
          <w:i/>
        </w:rPr>
        <w:t>Non-current Assets Held for Sale and Discontinued Operations</w:t>
      </w:r>
      <w:r>
        <w:rPr>
          <w:b/>
        </w:rPr>
        <w:t>.</w:t>
      </w:r>
    </w:p>
    <w:p w14:paraId="28D6EF41" w14:textId="49C49B74" w:rsidR="002B1606" w:rsidRPr="00A00EFB" w:rsidRDefault="00BB2221" w:rsidP="0050664D">
      <w:pPr>
        <w:pStyle w:val="IASBNormalnparaL1"/>
        <w:ind w:left="1565" w:hanging="1565"/>
      </w:pPr>
      <w:r w:rsidRPr="00A00EFB">
        <w:rPr>
          <w:b/>
        </w:rPr>
        <w:t>Aus2.1</w:t>
      </w:r>
      <w:r w:rsidRPr="00A00EFB">
        <w:rPr>
          <w:b/>
        </w:rPr>
        <w:tab/>
        <w:t xml:space="preserve">Further to paragraph 2, public sector entities shall not apply this Standard to deferred acquisition costs, and intangible assets, arising from an insurer’s contractual rights under insurance contracts within the scopes of AASB 4 </w:t>
      </w:r>
      <w:r w:rsidRPr="00A00EFB">
        <w:rPr>
          <w:b/>
          <w:i/>
          <w:iCs/>
        </w:rPr>
        <w:t>Insurance Contracts</w:t>
      </w:r>
      <w:r w:rsidRPr="00A00EFB">
        <w:rPr>
          <w:b/>
        </w:rPr>
        <w:t xml:space="preserve"> and AASB 1023 </w:t>
      </w:r>
      <w:r w:rsidRPr="00A00EFB">
        <w:rPr>
          <w:b/>
          <w:i/>
          <w:iCs/>
        </w:rPr>
        <w:t>General Insurance Contracts</w:t>
      </w:r>
      <w:r w:rsidRPr="00A00EFB">
        <w:rPr>
          <w:b/>
        </w:rPr>
        <w:t>.</w:t>
      </w:r>
    </w:p>
    <w:p w14:paraId="0BB2DF0A" w14:textId="77777777" w:rsidR="006A2DAD" w:rsidRDefault="006A2DAD">
      <w:pPr>
        <w:pStyle w:val="IASBNormalnpara"/>
      </w:pPr>
      <w:r>
        <w:t>3</w:t>
      </w:r>
      <w:r>
        <w:tab/>
        <w:t>This Standard does not apply to inventories, assets arising from construction contracts, deferred tax assets, assets arising from employee benefits, or assets classified as held for sale (or included in a disposal group that is classified as held for sale) because existing</w:t>
      </w:r>
      <w:r w:rsidR="002D17D4">
        <w:t xml:space="preserve"> Standards</w:t>
      </w:r>
      <w:r>
        <w:t xml:space="preserve"> applicable to these assets contain requirements for recognising and measuring these assets.</w:t>
      </w:r>
    </w:p>
    <w:p w14:paraId="0BB2DF0B" w14:textId="77777777" w:rsidR="006A2DAD" w:rsidRDefault="006A2DAD">
      <w:pPr>
        <w:pStyle w:val="IASBNormalnpara"/>
      </w:pPr>
      <w:r>
        <w:t>4</w:t>
      </w:r>
      <w:r>
        <w:tab/>
        <w:t xml:space="preserve">This Standard applies to financial assets classified as: </w:t>
      </w:r>
    </w:p>
    <w:p w14:paraId="0BB2DF0C" w14:textId="77777777" w:rsidR="006A2DAD" w:rsidRDefault="006A2DAD">
      <w:pPr>
        <w:pStyle w:val="IASBNormalnparaL1"/>
      </w:pPr>
      <w:r>
        <w:t>(a)</w:t>
      </w:r>
      <w:r>
        <w:tab/>
        <w:t>subsidiaries, as defined in</w:t>
      </w:r>
      <w:r w:rsidR="002D17D4">
        <w:t xml:space="preserve"> AASB 10</w:t>
      </w:r>
      <w:r>
        <w:t xml:space="preserve"> </w:t>
      </w:r>
      <w:r>
        <w:rPr>
          <w:i/>
        </w:rPr>
        <w:t>Consolidated Financial Statements</w:t>
      </w:r>
      <w:r>
        <w:t>;</w:t>
      </w:r>
    </w:p>
    <w:p w14:paraId="0BB2DF0D" w14:textId="77777777" w:rsidR="006A2DAD" w:rsidRDefault="006A2DAD">
      <w:pPr>
        <w:pStyle w:val="IASBNormalnparaL1"/>
      </w:pPr>
      <w:r>
        <w:t>(b)</w:t>
      </w:r>
      <w:r>
        <w:tab/>
        <w:t>associates, as defined in</w:t>
      </w:r>
      <w:r w:rsidR="002D17D4">
        <w:t xml:space="preserve"> AASB 128</w:t>
      </w:r>
      <w:r>
        <w:t xml:space="preserve"> </w:t>
      </w:r>
      <w:r>
        <w:rPr>
          <w:i/>
        </w:rPr>
        <w:t>Investments in Associates and Joint Ventures</w:t>
      </w:r>
      <w:r>
        <w:t>; and</w:t>
      </w:r>
    </w:p>
    <w:p w14:paraId="0BB2DF0E" w14:textId="77777777" w:rsidR="006A2DAD" w:rsidRDefault="006A2DAD">
      <w:pPr>
        <w:pStyle w:val="IASBNormalnparaL1"/>
      </w:pPr>
      <w:r>
        <w:t>(c)</w:t>
      </w:r>
      <w:r>
        <w:tab/>
        <w:t>joint ventures, as defined in</w:t>
      </w:r>
      <w:r w:rsidR="002D17D4">
        <w:t xml:space="preserve"> AASB 11</w:t>
      </w:r>
      <w:r>
        <w:t xml:space="preserve"> </w:t>
      </w:r>
      <w:r>
        <w:rPr>
          <w:i/>
        </w:rPr>
        <w:t>Joint Arrangements</w:t>
      </w:r>
      <w:r>
        <w:t>.</w:t>
      </w:r>
    </w:p>
    <w:p w14:paraId="0BB2DF0F" w14:textId="77777777" w:rsidR="006A2DAD" w:rsidRDefault="006A2DAD">
      <w:pPr>
        <w:pStyle w:val="IASBNormalnparaP"/>
      </w:pPr>
      <w:r>
        <w:t>For impairment of other financial assets, refer to</w:t>
      </w:r>
      <w:r w:rsidR="002D17D4">
        <w:t xml:space="preserve"> AASB 9</w:t>
      </w:r>
      <w:r>
        <w:t>.</w:t>
      </w:r>
    </w:p>
    <w:p w14:paraId="0BB2DF10" w14:textId="5F12507B" w:rsidR="006A2DAD" w:rsidRDefault="006A2DAD">
      <w:pPr>
        <w:pStyle w:val="IASBNormalnpara"/>
      </w:pPr>
      <w:r>
        <w:lastRenderedPageBreak/>
        <w:t>5</w:t>
      </w:r>
      <w:r>
        <w:tab/>
        <w:t>This Standard does not apply to financial assets within the scope of</w:t>
      </w:r>
      <w:r w:rsidR="002D17D4">
        <w:t xml:space="preserve"> AASB</w:t>
      </w:r>
      <w:r w:rsidR="00541022">
        <w:t xml:space="preserve"> </w:t>
      </w:r>
      <w:r w:rsidR="002D17D4">
        <w:t>9</w:t>
      </w:r>
      <w:r>
        <w:t>, investment property measured at fair value within the scope of</w:t>
      </w:r>
      <w:r w:rsidR="002D17D4">
        <w:t xml:space="preserve"> AASB 140</w:t>
      </w:r>
      <w:r>
        <w:t>, or biological assets related to agricultural activity measured at fair value less costs to sell within the scope of</w:t>
      </w:r>
      <w:r w:rsidR="002D17D4">
        <w:t xml:space="preserve"> AASB 141</w:t>
      </w:r>
      <w:r>
        <w:t>. However, this Standard applies to assets that are carried at revalued amount (ie fair value at the date of the revaluation less any subsequent accumulated depreciation and subsequent accumulated impairment losses) in accordance with other</w:t>
      </w:r>
      <w:r w:rsidR="002D17D4">
        <w:t xml:space="preserve"> Australian Accounting Standards</w:t>
      </w:r>
      <w:r>
        <w:t>, such as the revaluation model in</w:t>
      </w:r>
      <w:r w:rsidR="002D17D4">
        <w:t xml:space="preserve"> AASB</w:t>
      </w:r>
      <w:r w:rsidR="00541022">
        <w:t xml:space="preserve"> </w:t>
      </w:r>
      <w:r w:rsidR="002D17D4">
        <w:t>116</w:t>
      </w:r>
      <w:r>
        <w:t xml:space="preserve"> </w:t>
      </w:r>
      <w:r>
        <w:rPr>
          <w:i/>
        </w:rPr>
        <w:t>Property, Plant and Equipment</w:t>
      </w:r>
      <w:r>
        <w:t xml:space="preserve"> and</w:t>
      </w:r>
      <w:r w:rsidR="002D17D4">
        <w:t xml:space="preserve"> AASB 138</w:t>
      </w:r>
      <w:r>
        <w:t xml:space="preserve"> </w:t>
      </w:r>
      <w:r>
        <w:rPr>
          <w:i/>
        </w:rPr>
        <w:t>Intangible Assets</w:t>
      </w:r>
      <w:r>
        <w:t>. The only difference between an asset’s fair value and its fair value less costs of disposal is the direct incremental costs attributable to the disposal of the asset.</w:t>
      </w:r>
    </w:p>
    <w:p w14:paraId="0BB2DF11" w14:textId="77777777" w:rsidR="006A2DAD" w:rsidRDefault="006A2DAD">
      <w:pPr>
        <w:pStyle w:val="IASBNormalnparaL1"/>
      </w:pPr>
      <w:r>
        <w:t>(a)</w:t>
      </w:r>
      <w:r>
        <w:tab/>
        <w:t>If the disposal costs are negligible, the recoverable amount of the revalued asset is necessarily close to, or greater than, its revalued amount. In this case, after the revaluation requirements have been applied, it is unlikely that the revalued asset is impaired and recoverable amount need not be estimated.</w:t>
      </w:r>
    </w:p>
    <w:p w14:paraId="0BB2DF12" w14:textId="77777777" w:rsidR="006A2DAD" w:rsidRDefault="006A2DAD">
      <w:pPr>
        <w:pStyle w:val="IASBNormalnparaL1"/>
      </w:pPr>
      <w:r>
        <w:t>(b)</w:t>
      </w:r>
      <w:r>
        <w:tab/>
        <w:t>[deleted]</w:t>
      </w:r>
    </w:p>
    <w:p w14:paraId="0BB2DF13" w14:textId="77777777" w:rsidR="006A2DAD" w:rsidRDefault="006A2DAD">
      <w:pPr>
        <w:pStyle w:val="IASBNormalnparaL1"/>
      </w:pPr>
      <w:r>
        <w:t>(c)</w:t>
      </w:r>
      <w:r>
        <w:tab/>
        <w:t>If the disposal costs are not negligible, the fair value less costs of disposal of the revalued asset is necessarily less than its fair value. Therefore, the revalued asset will be impaired if its value in use is less than its revalued amount. In this case, after the revaluation requirements have been applied, an entity applies this Standard to determine whether the asset may be impaired.</w:t>
      </w:r>
    </w:p>
    <w:p w14:paraId="0BB2DF14" w14:textId="77777777" w:rsidR="0051226D" w:rsidRDefault="0051226D" w:rsidP="00A418E1">
      <w:pPr>
        <w:pStyle w:val="AusPlain"/>
      </w:pPr>
      <w:r w:rsidRPr="00075B14">
        <w:t>Aus</w:t>
      </w:r>
      <w:r>
        <w:t>5</w:t>
      </w:r>
      <w:r w:rsidRPr="00075B14">
        <w:t>.1</w:t>
      </w:r>
      <w:r w:rsidRPr="00075B14">
        <w:tab/>
      </w:r>
      <w:r w:rsidRPr="000C2A88">
        <w:t>Many assets</w:t>
      </w:r>
      <w:r>
        <w:t xml:space="preserve"> of not-for-profit entities </w:t>
      </w:r>
      <w:r w:rsidRPr="000C2A88">
        <w:t xml:space="preserve">that </w:t>
      </w:r>
      <w:r w:rsidRPr="00194926">
        <w:t xml:space="preserve">are not held primarily for </w:t>
      </w:r>
      <w:r>
        <w:t>their</w:t>
      </w:r>
      <w:r w:rsidRPr="00194926">
        <w:t xml:space="preserve"> ability to generate net cash inflows</w:t>
      </w:r>
      <w:r>
        <w:t xml:space="preserve"> are typically </w:t>
      </w:r>
      <w:r w:rsidRPr="000C2A88">
        <w:t xml:space="preserve">specialised </w:t>
      </w:r>
      <w:r>
        <w:t>assets</w:t>
      </w:r>
      <w:r w:rsidRPr="000C2A88">
        <w:t xml:space="preserve"> </w:t>
      </w:r>
      <w:r w:rsidRPr="00FE0860">
        <w:t xml:space="preserve">held for continuing use of their service </w:t>
      </w:r>
      <w:r>
        <w:t>capacity.</w:t>
      </w:r>
      <w:r w:rsidRPr="000C2A88">
        <w:t xml:space="preserve"> Given that these assets are rarely sold, </w:t>
      </w:r>
      <w:r>
        <w:t>their cost of disposal is typically negligible. T</w:t>
      </w:r>
      <w:r w:rsidRPr="000C2A88">
        <w:t>he recoverable amount of such</w:t>
      </w:r>
      <w:r>
        <w:t xml:space="preserve"> </w:t>
      </w:r>
      <w:r w:rsidRPr="000C2A88">
        <w:t>assets is expected to be</w:t>
      </w:r>
      <w:r>
        <w:t xml:space="preserve"> materially</w:t>
      </w:r>
      <w:r w:rsidRPr="000C2A88">
        <w:t xml:space="preserve"> </w:t>
      </w:r>
      <w:r>
        <w:t xml:space="preserve">the same as </w:t>
      </w:r>
      <w:r w:rsidRPr="000C2A88">
        <w:t>fair value</w:t>
      </w:r>
      <w:r>
        <w:t>, determined under AASB </w:t>
      </w:r>
      <w:r w:rsidRPr="000C2A88">
        <w:t>13</w:t>
      </w:r>
      <w:r>
        <w:t xml:space="preserve"> </w:t>
      </w:r>
      <w:r w:rsidRPr="00FE0860">
        <w:rPr>
          <w:i/>
        </w:rPr>
        <w:t>Fair Value Measurement</w:t>
      </w:r>
      <w:r w:rsidRPr="00CE03FE">
        <w:t>,</w:t>
      </w:r>
      <w:r>
        <w:t xml:space="preserve"> with the consequence that this Standard:</w:t>
      </w:r>
    </w:p>
    <w:p w14:paraId="0BB2DF15" w14:textId="77777777" w:rsidR="0051226D" w:rsidRPr="00A418E1" w:rsidRDefault="0051226D" w:rsidP="0051226D">
      <w:pPr>
        <w:pStyle w:val="NumPlainA"/>
        <w:tabs>
          <w:tab w:val="clear" w:pos="510"/>
        </w:tabs>
        <w:ind w:left="2127" w:hanging="567"/>
      </w:pPr>
      <w:r w:rsidRPr="00A418E1">
        <w:t>does not apply to such assets that are regularly revalued to fair value under the revaluation model in AASB 116 and AASB 138; and</w:t>
      </w:r>
    </w:p>
    <w:p w14:paraId="0BB2DF16" w14:textId="77777777" w:rsidR="0051226D" w:rsidRPr="00A418E1" w:rsidRDefault="0051226D" w:rsidP="0051226D">
      <w:pPr>
        <w:pStyle w:val="NumPlainA"/>
        <w:tabs>
          <w:tab w:val="clear" w:pos="510"/>
        </w:tabs>
        <w:ind w:left="2127" w:hanging="567"/>
      </w:pPr>
      <w:r w:rsidRPr="00A418E1">
        <w:t>applies to such assets accounted for under the cost model in AASB 116 and AASB 138</w:t>
      </w:r>
      <w:r w:rsidRPr="00A418E1">
        <w:rPr>
          <w:i/>
        </w:rPr>
        <w:t>.</w:t>
      </w:r>
    </w:p>
    <w:p w14:paraId="0BB2DF17" w14:textId="77777777" w:rsidR="006A2DAD" w:rsidRDefault="006A2DAD">
      <w:pPr>
        <w:pStyle w:val="IASBSectionTitle1NonInd"/>
      </w:pPr>
      <w:r>
        <w:t>Definitions</w:t>
      </w:r>
    </w:p>
    <w:p w14:paraId="0BB2DF18" w14:textId="77777777" w:rsidR="006A2DAD" w:rsidRDefault="006A2DAD">
      <w:pPr>
        <w:pStyle w:val="IASBNormalnpara"/>
        <w:rPr>
          <w:b/>
        </w:rPr>
      </w:pPr>
      <w:r>
        <w:rPr>
          <w:b/>
        </w:rPr>
        <w:t>6</w:t>
      </w:r>
      <w:r>
        <w:rPr>
          <w:b/>
        </w:rPr>
        <w:tab/>
        <w:t xml:space="preserve">The following terms are used in this Standard with the meanings specified: </w:t>
      </w:r>
    </w:p>
    <w:p w14:paraId="0BB2DF19" w14:textId="77777777" w:rsidR="006A2DAD" w:rsidRDefault="006A2DAD">
      <w:pPr>
        <w:pStyle w:val="IASBNormalnparaP"/>
      </w:pPr>
      <w:r>
        <w:rPr>
          <w:b/>
          <w:i/>
        </w:rPr>
        <w:t>Carrying amount</w:t>
      </w:r>
      <w:r>
        <w:rPr>
          <w:b/>
        </w:rPr>
        <w:t xml:space="preserve"> is the amount at which an asset is recognised after deducting any accumulated depreciation (amortisation) and accumulated impairment losses thereon.</w:t>
      </w:r>
    </w:p>
    <w:p w14:paraId="0BB2DF1A" w14:textId="77777777" w:rsidR="006A2DAD" w:rsidRDefault="006A2DAD">
      <w:pPr>
        <w:pStyle w:val="IASBNormalnparaP"/>
      </w:pPr>
      <w:r>
        <w:rPr>
          <w:b/>
        </w:rPr>
        <w:t xml:space="preserve">A </w:t>
      </w:r>
      <w:r>
        <w:rPr>
          <w:b/>
          <w:i/>
        </w:rPr>
        <w:t>cash-generating unit</w:t>
      </w:r>
      <w:r>
        <w:rPr>
          <w:b/>
        </w:rPr>
        <w:t xml:space="preserve"> is the smallest identifiable group of assets that generates cash inflows that are largely independent of the cash inflows from other assets or groups of assets.</w:t>
      </w:r>
    </w:p>
    <w:p w14:paraId="0BB2DF1B" w14:textId="77777777" w:rsidR="006A2DAD" w:rsidRDefault="006A2DAD">
      <w:pPr>
        <w:pStyle w:val="IASBNormalnparaP"/>
      </w:pPr>
      <w:r>
        <w:rPr>
          <w:b/>
          <w:i/>
        </w:rPr>
        <w:t>Corporate assets</w:t>
      </w:r>
      <w:r>
        <w:rPr>
          <w:b/>
        </w:rPr>
        <w:t xml:space="preserve"> are assets other than goodwill that contribute to the future cash flows of both the cash-generating unit under review and other cash-generating units.</w:t>
      </w:r>
    </w:p>
    <w:p w14:paraId="0BB2DF1C" w14:textId="77777777" w:rsidR="006A2DAD" w:rsidRDefault="006A2DAD">
      <w:pPr>
        <w:pStyle w:val="IASBNormalnparaP"/>
      </w:pPr>
      <w:r>
        <w:rPr>
          <w:b/>
          <w:i/>
        </w:rPr>
        <w:t>Costs of disposal</w:t>
      </w:r>
      <w:r>
        <w:rPr>
          <w:b/>
        </w:rPr>
        <w:t xml:space="preserve"> are incremental costs directly attributable to the disposal of an asset or cash-generating unit, excluding finance costs and income tax expense.</w:t>
      </w:r>
    </w:p>
    <w:p w14:paraId="0BB2DF1D" w14:textId="77777777" w:rsidR="006A2DAD" w:rsidRDefault="006A2DAD">
      <w:pPr>
        <w:pStyle w:val="IASBNormalnparaP"/>
      </w:pPr>
      <w:r>
        <w:rPr>
          <w:b/>
          <w:i/>
        </w:rPr>
        <w:t>Depreciable amount</w:t>
      </w:r>
      <w:r>
        <w:rPr>
          <w:b/>
        </w:rPr>
        <w:t xml:space="preserve"> is the cost of an asset, or other amount substituted for cost in the financial statements, less its residual value.</w:t>
      </w:r>
    </w:p>
    <w:p w14:paraId="0BB2DF1E" w14:textId="77777777" w:rsidR="006A2DAD" w:rsidRDefault="006A2DAD">
      <w:pPr>
        <w:pStyle w:val="IASBNormalnparaP"/>
      </w:pPr>
      <w:r>
        <w:rPr>
          <w:b/>
          <w:i/>
        </w:rPr>
        <w:t>Depreciation (Amortisation)</w:t>
      </w:r>
      <w:r>
        <w:rPr>
          <w:b/>
        </w:rPr>
        <w:t xml:space="preserve"> is the systematic allocation of the depreciable amount of an asset over its useful life.</w:t>
      </w:r>
      <w:r w:rsidR="005F7281" w:rsidRPr="008A73CB">
        <w:rPr>
          <w:rStyle w:val="FootnoteReference"/>
        </w:rPr>
        <w:footnoteReference w:id="2"/>
      </w:r>
    </w:p>
    <w:p w14:paraId="0BB2DF1F" w14:textId="77777777" w:rsidR="006A2DAD" w:rsidRDefault="006A2DAD">
      <w:pPr>
        <w:pStyle w:val="IASBNormalnparaP"/>
      </w:pPr>
      <w:r>
        <w:rPr>
          <w:b/>
          <w:i/>
        </w:rPr>
        <w:t>Fair value</w:t>
      </w:r>
      <w:r>
        <w:rPr>
          <w:b/>
        </w:rPr>
        <w:t xml:space="preserve"> is the price that would be received to sell an asset or paid to transfer a liability in an orderly transaction between market participants at the measurement date. (See</w:t>
      </w:r>
      <w:r w:rsidR="002D17D4">
        <w:rPr>
          <w:b/>
        </w:rPr>
        <w:t xml:space="preserve"> AASB 13</w:t>
      </w:r>
      <w:r>
        <w:rPr>
          <w:b/>
        </w:rPr>
        <w:t xml:space="preserve"> </w:t>
      </w:r>
      <w:r>
        <w:rPr>
          <w:b/>
          <w:i/>
        </w:rPr>
        <w:t>Fair Value Measurement</w:t>
      </w:r>
      <w:r>
        <w:rPr>
          <w:b/>
        </w:rPr>
        <w:t>.)</w:t>
      </w:r>
    </w:p>
    <w:p w14:paraId="0BB2DF20" w14:textId="77777777" w:rsidR="006A2DAD" w:rsidRDefault="006A2DAD">
      <w:pPr>
        <w:pStyle w:val="IASBNormalnparaP"/>
      </w:pPr>
      <w:r>
        <w:rPr>
          <w:b/>
        </w:rPr>
        <w:t xml:space="preserve">An </w:t>
      </w:r>
      <w:r>
        <w:rPr>
          <w:b/>
          <w:i/>
        </w:rPr>
        <w:t>impairment loss</w:t>
      </w:r>
      <w:r>
        <w:rPr>
          <w:b/>
        </w:rPr>
        <w:t xml:space="preserve"> is the amount by which the carrying amount of an asset or a cash-generating unit exceeds its recoverable amount.</w:t>
      </w:r>
    </w:p>
    <w:p w14:paraId="0BB2DF21" w14:textId="77777777" w:rsidR="006A2DAD" w:rsidRDefault="006A2DAD">
      <w:pPr>
        <w:pStyle w:val="IASBNormalnparaP"/>
      </w:pPr>
      <w:r>
        <w:rPr>
          <w:b/>
        </w:rPr>
        <w:t xml:space="preserve">The </w:t>
      </w:r>
      <w:r>
        <w:rPr>
          <w:b/>
          <w:i/>
        </w:rPr>
        <w:t>recoverable amount</w:t>
      </w:r>
      <w:r>
        <w:rPr>
          <w:b/>
        </w:rPr>
        <w:t xml:space="preserve"> of an asset or a cash-generating unit is the higher of its fair value less costs of disposal and its value in use.</w:t>
      </w:r>
    </w:p>
    <w:p w14:paraId="0BB2DF22" w14:textId="77777777" w:rsidR="006A2DAD" w:rsidRDefault="006A2DAD">
      <w:pPr>
        <w:pStyle w:val="IASBNormalnparaP"/>
      </w:pPr>
      <w:r>
        <w:rPr>
          <w:b/>
          <w:i/>
        </w:rPr>
        <w:t>Useful life</w:t>
      </w:r>
      <w:r>
        <w:rPr>
          <w:b/>
        </w:rPr>
        <w:t xml:space="preserve"> is either:</w:t>
      </w:r>
    </w:p>
    <w:p w14:paraId="0BB2DF23" w14:textId="77777777" w:rsidR="006A2DAD" w:rsidRDefault="006A2DAD">
      <w:pPr>
        <w:pStyle w:val="IASBNormalnparaL1"/>
      </w:pPr>
      <w:r>
        <w:rPr>
          <w:b/>
        </w:rPr>
        <w:t>(a)</w:t>
      </w:r>
      <w:r>
        <w:tab/>
      </w:r>
      <w:r>
        <w:rPr>
          <w:b/>
        </w:rPr>
        <w:t>the period of time over which an asset is expected to be used by the entity; or</w:t>
      </w:r>
    </w:p>
    <w:p w14:paraId="0BB2DF24" w14:textId="77777777" w:rsidR="006A2DAD" w:rsidRDefault="006A2DAD">
      <w:pPr>
        <w:pStyle w:val="IASBNormalnparaL1"/>
      </w:pPr>
      <w:r>
        <w:rPr>
          <w:b/>
        </w:rPr>
        <w:lastRenderedPageBreak/>
        <w:t>(b)</w:t>
      </w:r>
      <w:r>
        <w:tab/>
      </w:r>
      <w:r>
        <w:rPr>
          <w:b/>
        </w:rPr>
        <w:t>the number of production or similar units expected to be obtained from the asset by the entity.</w:t>
      </w:r>
    </w:p>
    <w:p w14:paraId="0BB2DF25" w14:textId="77777777" w:rsidR="006A2DAD" w:rsidRDefault="006A2DAD">
      <w:pPr>
        <w:pStyle w:val="IASBNormalnparaP"/>
        <w:rPr>
          <w:b/>
        </w:rPr>
      </w:pPr>
      <w:r>
        <w:rPr>
          <w:b/>
          <w:i/>
        </w:rPr>
        <w:t>Value in use</w:t>
      </w:r>
      <w:r>
        <w:rPr>
          <w:b/>
        </w:rPr>
        <w:t xml:space="preserve"> is the present value of the future cash flows expected to be derived from an asset or cash-generating unit.</w:t>
      </w:r>
    </w:p>
    <w:p w14:paraId="0BB2DF26" w14:textId="77777777" w:rsidR="006A2DAD" w:rsidRDefault="006A2DAD">
      <w:pPr>
        <w:pStyle w:val="IASBSectionTitle1NonInd"/>
      </w:pPr>
      <w:r>
        <w:t>Identifying an asset that may be impaired</w:t>
      </w:r>
    </w:p>
    <w:p w14:paraId="0BB2DF27" w14:textId="77777777" w:rsidR="006A2DAD" w:rsidRDefault="006A2DAD">
      <w:pPr>
        <w:pStyle w:val="IASBNormalnpara"/>
      </w:pPr>
      <w:r>
        <w:t>7</w:t>
      </w:r>
      <w:r>
        <w:tab/>
        <w:t xml:space="preserve">Paragraphs 8–17 specify when recoverable amount shall be determined. These requirements use the term ‘an asset’ but apply equally to an individual asset or a cash-generating unit. The remainder of this Standard is structured as follows: </w:t>
      </w:r>
    </w:p>
    <w:p w14:paraId="0BB2DF28" w14:textId="77777777" w:rsidR="006A2DAD" w:rsidRDefault="006A2DAD">
      <w:pPr>
        <w:pStyle w:val="IASBNormalnparaL1"/>
      </w:pPr>
      <w:r>
        <w:t>(a)</w:t>
      </w:r>
      <w:r>
        <w:tab/>
        <w:t>paragraphs 18–57 set out the requirements for measuring recoverable amount. These requirements also use the term ‘an asset’ but apply equally to an individual asset and a cash-generating unit.</w:t>
      </w:r>
    </w:p>
    <w:p w14:paraId="0BB2DF29" w14:textId="77777777" w:rsidR="006A2DAD" w:rsidRDefault="006A2DAD">
      <w:pPr>
        <w:pStyle w:val="IASBNormalnparaL1"/>
      </w:pPr>
      <w:r>
        <w:t>(b)</w:t>
      </w:r>
      <w:r>
        <w:tab/>
        <w:t>paragraphs 58–108 set out the requirements for recognising and measuring impairment losses. Recognition and measurement of impairment losses for individual assets other than goodwill are dealt with in paragraphs 58–64. Paragraphs 65–108 deal with the recognition and measurement of impairment losses for cash-generating units and goodwill.</w:t>
      </w:r>
    </w:p>
    <w:p w14:paraId="0BB2DF2A" w14:textId="77777777" w:rsidR="006A2DAD" w:rsidRDefault="006A2DAD">
      <w:pPr>
        <w:pStyle w:val="IASBNormalnparaL1"/>
      </w:pPr>
      <w:r>
        <w:t>(c)</w:t>
      </w:r>
      <w:r>
        <w:tab/>
        <w:t>paragraphs 109–116 set out the requirements for reversing an impairment loss recognised in prior periods for an asset or a cash-generating unit. Again, these requirements use the term ‘an asset’ but apply equally to an individual asset or a cash-generating unit. Additional requirements for an individual asset are set out in paragraphs 117–121, for a cash-generating unit in paragraphs 122 and 123, and for goodwill in paragraphs 124 and 125.</w:t>
      </w:r>
    </w:p>
    <w:p w14:paraId="0BB2DF2B" w14:textId="77777777" w:rsidR="006A2DAD" w:rsidRDefault="006A2DAD">
      <w:pPr>
        <w:pStyle w:val="IASBNormalnparaL1"/>
      </w:pPr>
      <w:r>
        <w:t>(d)</w:t>
      </w:r>
      <w:r>
        <w:tab/>
        <w:t>paragraphs 126–133 specify the information to be disclosed about impairment losses and reversals of impairment losses for assets and cash-generating units. Paragraphs 134–137 specify additional disclosure requirements for cash-generating units to which goodwill or intangible assets with indefinite useful lives have been allocated for impairment testing purposes.</w:t>
      </w:r>
    </w:p>
    <w:p w14:paraId="0BB2DF2C" w14:textId="77777777" w:rsidR="006A2DAD" w:rsidRDefault="006A2DAD">
      <w:pPr>
        <w:pStyle w:val="IASBNormalnpara"/>
      </w:pPr>
      <w:r>
        <w:t>8</w:t>
      </w:r>
      <w:r>
        <w:tab/>
        <w:t>An asset is impaired when its carrying amount exceeds its recoverable amount. Paragraphs 12–14 describe some indications that an impairment loss may have occurred. If any of those indications is present, an entity is required to make a formal estimate of recoverable amount. Except as described in paragraph 10, this Standard does not require an entity to make a formal estimate of recoverable amount if no indication of an impairment loss is present.</w:t>
      </w:r>
    </w:p>
    <w:p w14:paraId="0BB2DF2D" w14:textId="77777777" w:rsidR="006A2DAD" w:rsidRDefault="006A2DAD">
      <w:pPr>
        <w:pStyle w:val="IASBNormalnpara"/>
        <w:rPr>
          <w:b/>
        </w:rPr>
      </w:pPr>
      <w:r>
        <w:rPr>
          <w:b/>
        </w:rPr>
        <w:t>9</w:t>
      </w:r>
      <w:r>
        <w:rPr>
          <w:b/>
        </w:rPr>
        <w:tab/>
        <w:t>An entity shall assess at the end of each reporting period whether there is any indication that an asset may be impaired. If any such indication exists, the entity shall estimate the recoverable amount of the asset.</w:t>
      </w:r>
    </w:p>
    <w:p w14:paraId="0BB2DF2E" w14:textId="77777777" w:rsidR="006A2DAD" w:rsidRDefault="006A2DAD">
      <w:pPr>
        <w:pStyle w:val="IASBNormalnpara"/>
        <w:rPr>
          <w:b/>
        </w:rPr>
      </w:pPr>
      <w:r>
        <w:rPr>
          <w:b/>
        </w:rPr>
        <w:t>10</w:t>
      </w:r>
      <w:r>
        <w:rPr>
          <w:b/>
        </w:rPr>
        <w:tab/>
        <w:t xml:space="preserve">Irrespective of whether there is any indication of impairment, an entity shall also: </w:t>
      </w:r>
    </w:p>
    <w:p w14:paraId="0BB2DF2F" w14:textId="77777777" w:rsidR="006A2DAD" w:rsidRDefault="006A2DAD">
      <w:pPr>
        <w:pStyle w:val="IASBNormalnparaL1"/>
      </w:pPr>
      <w:r>
        <w:rPr>
          <w:b/>
        </w:rPr>
        <w:t>(a)</w:t>
      </w:r>
      <w:r>
        <w:tab/>
      </w:r>
      <w:r>
        <w:rPr>
          <w:b/>
        </w:rPr>
        <w:t>test an intangible asset with an indefinite useful life</w:t>
      </w:r>
      <w:r>
        <w:t xml:space="preserve"> </w:t>
      </w:r>
      <w:r>
        <w:rPr>
          <w:b/>
        </w:rPr>
        <w:t xml:space="preserve">or an intangible asset not yet available for use for impairment annually by comparing its carrying amount with its recoverable amount. This impairment test may be performed at any time during an annual period, provided it is performed at the same time every year. Different intangible assets may be tested for impairment at different times. However, if such an intangible asset was initially recognised during the current annual period, that intangible asset shall be tested for impairment before the end of the current annual period. </w:t>
      </w:r>
    </w:p>
    <w:p w14:paraId="0BB2DF30" w14:textId="77777777" w:rsidR="006A2DAD" w:rsidRDefault="006A2DAD">
      <w:pPr>
        <w:pStyle w:val="IASBNormalnparaL1"/>
      </w:pPr>
      <w:r>
        <w:rPr>
          <w:b/>
        </w:rPr>
        <w:t>(b)</w:t>
      </w:r>
      <w:r>
        <w:tab/>
      </w:r>
      <w:r>
        <w:rPr>
          <w:b/>
        </w:rPr>
        <w:t>test goodwill acquired in a business combination for impairment annually in accordance with paragraphs 80–99.</w:t>
      </w:r>
    </w:p>
    <w:p w14:paraId="0BB2DF31" w14:textId="77777777" w:rsidR="006A2DAD" w:rsidRDefault="006A2DAD">
      <w:pPr>
        <w:pStyle w:val="IASBNormalnpara"/>
      </w:pPr>
      <w:r>
        <w:t>11</w:t>
      </w:r>
      <w:r>
        <w:tab/>
        <w:t>The ability of an intangible asset to generate sufficient future economic benefits to recover its carrying amount is usually subject to greater uncertainty before the asset is available for use than after it is available for use. Therefore, this Standard requires an entity to test for impairment, at least annually, the carrying amount of an intangible asset that is not yet available for use.</w:t>
      </w:r>
    </w:p>
    <w:p w14:paraId="0BB2DF32" w14:textId="77777777" w:rsidR="006A2DAD" w:rsidRDefault="006A2DAD">
      <w:pPr>
        <w:pStyle w:val="IASBNormalnpara"/>
        <w:rPr>
          <w:b/>
        </w:rPr>
      </w:pPr>
      <w:r>
        <w:rPr>
          <w:b/>
        </w:rPr>
        <w:t>12</w:t>
      </w:r>
      <w:r>
        <w:rPr>
          <w:b/>
        </w:rPr>
        <w:tab/>
        <w:t xml:space="preserve">In assessing whether there is any indication that an asset may be impaired, an entity shall consider, as a minimum, the following indications: </w:t>
      </w:r>
    </w:p>
    <w:p w14:paraId="0BB2DF33" w14:textId="77777777" w:rsidR="006A2DAD" w:rsidRDefault="006A2DAD">
      <w:pPr>
        <w:pStyle w:val="IASBNormalnparaP"/>
      </w:pPr>
      <w:r>
        <w:t>External sources of information</w:t>
      </w:r>
    </w:p>
    <w:p w14:paraId="0BB2DF34" w14:textId="77777777" w:rsidR="006A2DAD" w:rsidRDefault="006A2DAD">
      <w:pPr>
        <w:pStyle w:val="IASBNormalnparaL1"/>
      </w:pPr>
      <w:r>
        <w:rPr>
          <w:b/>
        </w:rPr>
        <w:t>(a)</w:t>
      </w:r>
      <w:r>
        <w:tab/>
      </w:r>
      <w:r>
        <w:rPr>
          <w:b/>
        </w:rPr>
        <w:t>there are observable indications that the asset’s value has declined during the period significantly more than would be expected as a result of the passage of time or normal use.</w:t>
      </w:r>
    </w:p>
    <w:p w14:paraId="0BB2DF35" w14:textId="77777777" w:rsidR="006A2DAD" w:rsidRDefault="006A2DAD">
      <w:pPr>
        <w:pStyle w:val="IASBNormalnparaL1"/>
      </w:pPr>
      <w:r>
        <w:rPr>
          <w:b/>
        </w:rPr>
        <w:lastRenderedPageBreak/>
        <w:t>(b)</w:t>
      </w:r>
      <w:r>
        <w:tab/>
      </w:r>
      <w:r>
        <w:rPr>
          <w:b/>
        </w:rPr>
        <w:t>significant changes with an adverse effect on the entity have taken place during the period, or will take place in the near future, in the technological, market, economic or legal environment in which the entity operates or in the market to which an asset is dedicated.</w:t>
      </w:r>
    </w:p>
    <w:p w14:paraId="0BB2DF36" w14:textId="77777777" w:rsidR="006A2DAD" w:rsidRDefault="006A2DAD">
      <w:pPr>
        <w:pStyle w:val="IASBNormalnparaL1"/>
      </w:pPr>
      <w:r>
        <w:rPr>
          <w:b/>
        </w:rPr>
        <w:t>(c)</w:t>
      </w:r>
      <w:r>
        <w:tab/>
      </w:r>
      <w:r>
        <w:rPr>
          <w:b/>
        </w:rPr>
        <w:t>market interest rates or other market rates of return on investments have increased during the period, and those increases are likely to affect the discount rate</w:t>
      </w:r>
      <w:r>
        <w:t xml:space="preserve"> </w:t>
      </w:r>
      <w:r>
        <w:rPr>
          <w:b/>
        </w:rPr>
        <w:t>used in calculating an asset’s value in use and decrease the asset’s recoverable amount materially.</w:t>
      </w:r>
    </w:p>
    <w:p w14:paraId="0BB2DF37" w14:textId="77777777" w:rsidR="006A2DAD" w:rsidRDefault="006A2DAD">
      <w:pPr>
        <w:pStyle w:val="IASBNormalnparaL1"/>
      </w:pPr>
      <w:r>
        <w:rPr>
          <w:b/>
        </w:rPr>
        <w:t>(d)</w:t>
      </w:r>
      <w:r>
        <w:tab/>
      </w:r>
      <w:r>
        <w:rPr>
          <w:b/>
        </w:rPr>
        <w:t>the carrying amount of the net assets of the entity is more than its market capitalisation.</w:t>
      </w:r>
    </w:p>
    <w:p w14:paraId="0BB2DF38" w14:textId="77777777" w:rsidR="006A2DAD" w:rsidRDefault="006A2DAD">
      <w:pPr>
        <w:pStyle w:val="IASBNormalnparaP"/>
      </w:pPr>
      <w:r>
        <w:t>Internal sources of information</w:t>
      </w:r>
    </w:p>
    <w:p w14:paraId="0BB2DF39" w14:textId="77777777" w:rsidR="006A2DAD" w:rsidRDefault="006A2DAD">
      <w:pPr>
        <w:pStyle w:val="IASBNormalnparaL1"/>
      </w:pPr>
      <w:r>
        <w:rPr>
          <w:b/>
        </w:rPr>
        <w:t>(e)</w:t>
      </w:r>
      <w:r>
        <w:tab/>
      </w:r>
      <w:r>
        <w:rPr>
          <w:b/>
        </w:rPr>
        <w:t>evidence is available of obsolescence or physical damage of an asset.</w:t>
      </w:r>
    </w:p>
    <w:p w14:paraId="0BB2DF3A" w14:textId="77777777" w:rsidR="006A2DAD" w:rsidRDefault="006A2DAD">
      <w:pPr>
        <w:pStyle w:val="IASBNormalnparaL1"/>
      </w:pPr>
      <w:r>
        <w:rPr>
          <w:b/>
        </w:rPr>
        <w:t>(f)</w:t>
      </w:r>
      <w:r>
        <w:tab/>
      </w:r>
      <w:r>
        <w:rPr>
          <w:b/>
        </w:rPr>
        <w:t>significant changes with an adverse effect on the entity have taken place during the period, or are expected to take place in the near future, in the extent to which, or manner in which, an asset is used or is expected to be used. These changes include the asset becoming idle, plans to discontinue or restructure the operation to which an asset belongs, plans to dispose of an asset before the previously expected date, and reassessing the useful life of an asset as finite rather than indefinite.</w:t>
      </w:r>
      <w:r w:rsidR="005F7281" w:rsidRPr="008A73CB">
        <w:rPr>
          <w:rStyle w:val="FootnoteReference"/>
        </w:rPr>
        <w:footnoteReference w:id="3"/>
      </w:r>
    </w:p>
    <w:p w14:paraId="0BB2DF3B" w14:textId="77777777" w:rsidR="006A2DAD" w:rsidRDefault="006A2DAD">
      <w:pPr>
        <w:pStyle w:val="IASBNormalnparaL1"/>
      </w:pPr>
      <w:r>
        <w:rPr>
          <w:b/>
        </w:rPr>
        <w:t>(g)</w:t>
      </w:r>
      <w:r>
        <w:tab/>
      </w:r>
      <w:r>
        <w:rPr>
          <w:b/>
        </w:rPr>
        <w:t>evidence is available from internal reporting that indicates that the economic performance of an asset is, or will be, worse than expected.</w:t>
      </w:r>
    </w:p>
    <w:p w14:paraId="0BB2DF3C" w14:textId="77777777" w:rsidR="006A2DAD" w:rsidRDefault="006A2DAD">
      <w:pPr>
        <w:pStyle w:val="IASBNormalnparaP"/>
      </w:pPr>
      <w:r>
        <w:t>Dividend from a subsidiary, joint venture or associate</w:t>
      </w:r>
    </w:p>
    <w:p w14:paraId="0BB2DF3D" w14:textId="77777777" w:rsidR="006A2DAD" w:rsidRDefault="006A2DAD">
      <w:pPr>
        <w:pStyle w:val="IASBNormalnparaL1"/>
      </w:pPr>
      <w:r>
        <w:rPr>
          <w:b/>
        </w:rPr>
        <w:t>(h)</w:t>
      </w:r>
      <w:r>
        <w:tab/>
      </w:r>
      <w:r>
        <w:rPr>
          <w:b/>
        </w:rPr>
        <w:t>for an investment in a subsidiary, joint venture or associate, the investor recognises a dividend from the investment and evidence is available that:</w:t>
      </w:r>
    </w:p>
    <w:p w14:paraId="0BB2DF3E" w14:textId="77777777" w:rsidR="006A2DAD" w:rsidRDefault="006A2DAD">
      <w:pPr>
        <w:pStyle w:val="IASBNormalnparaL2"/>
      </w:pPr>
      <w:r>
        <w:rPr>
          <w:b/>
        </w:rPr>
        <w:t>(i)</w:t>
      </w:r>
      <w:r>
        <w:tab/>
      </w:r>
      <w:r>
        <w:rPr>
          <w:b/>
        </w:rPr>
        <w:t>the carrying amount of the investment in the separate financial statements exceeds the carrying amounts in the consolidated financial statements of the investee’s net assets, including associated goodwill; or</w:t>
      </w:r>
    </w:p>
    <w:p w14:paraId="0BB2DF3F" w14:textId="77777777" w:rsidR="006A2DAD" w:rsidRDefault="006A2DAD">
      <w:pPr>
        <w:pStyle w:val="IASBNormalnparaL2"/>
      </w:pPr>
      <w:r>
        <w:rPr>
          <w:b/>
        </w:rPr>
        <w:t>(ii)</w:t>
      </w:r>
      <w:r>
        <w:tab/>
      </w:r>
      <w:r>
        <w:rPr>
          <w:b/>
        </w:rPr>
        <w:t>the dividend exceeds the total comprehensive income of the subsidiary, joint venture or associate in the period the dividend is declared.</w:t>
      </w:r>
    </w:p>
    <w:p w14:paraId="0BB2DF40" w14:textId="77777777" w:rsidR="006A2DAD" w:rsidRDefault="006A2DAD">
      <w:pPr>
        <w:pStyle w:val="IASBNormalnpara"/>
      </w:pPr>
      <w:r>
        <w:t>13</w:t>
      </w:r>
      <w:r>
        <w:tab/>
        <w:t>The list in paragraph 12 is not exhaustive. An entity may identify other indications that an asset may be impaired and these would also require the entity to determine the asset’s recoverable amount or, in the case of goodwill, perform an impairment test in accordance with paragraphs 80–99.</w:t>
      </w:r>
    </w:p>
    <w:p w14:paraId="0BB2DF41" w14:textId="77777777" w:rsidR="006A2DAD" w:rsidRDefault="006A2DAD">
      <w:pPr>
        <w:pStyle w:val="IASBNormalnpara"/>
      </w:pPr>
      <w:r>
        <w:t>14</w:t>
      </w:r>
      <w:r>
        <w:tab/>
        <w:t xml:space="preserve">Evidence from internal reporting that indicates that an asset may be impaired includes the existence of: </w:t>
      </w:r>
    </w:p>
    <w:p w14:paraId="0BB2DF42" w14:textId="77777777" w:rsidR="006A2DAD" w:rsidRDefault="006A2DAD">
      <w:pPr>
        <w:pStyle w:val="IASBNormalnparaL1"/>
      </w:pPr>
      <w:r>
        <w:t>(a)</w:t>
      </w:r>
      <w:r>
        <w:tab/>
        <w:t>cash flows for acquiring the asset, or subsequent cash needs for operating or maintaining it, that are significantly higher than those originally budgeted;</w:t>
      </w:r>
    </w:p>
    <w:p w14:paraId="0BB2DF43" w14:textId="77777777" w:rsidR="006A2DAD" w:rsidRDefault="006A2DAD">
      <w:pPr>
        <w:pStyle w:val="IASBNormalnparaL1"/>
      </w:pPr>
      <w:r>
        <w:t>(b)</w:t>
      </w:r>
      <w:r>
        <w:tab/>
        <w:t>actual net cash flows or operating profit or loss flowing from the asset that are significantly worse than those budgeted;</w:t>
      </w:r>
    </w:p>
    <w:p w14:paraId="0BB2DF44" w14:textId="77777777" w:rsidR="006A2DAD" w:rsidRDefault="006A2DAD">
      <w:pPr>
        <w:pStyle w:val="IASBNormalnparaL1"/>
      </w:pPr>
      <w:r>
        <w:t>(c)</w:t>
      </w:r>
      <w:r>
        <w:tab/>
        <w:t>a significant decline in budgeted net cash flows or operating profit, or a significant increase in budgeted loss, flowing from the asset; or</w:t>
      </w:r>
    </w:p>
    <w:p w14:paraId="0BB2DF45" w14:textId="77777777" w:rsidR="006A2DAD" w:rsidRDefault="006A2DAD">
      <w:pPr>
        <w:pStyle w:val="IASBNormalnparaL1"/>
      </w:pPr>
      <w:r>
        <w:t>(d)</w:t>
      </w:r>
      <w:r>
        <w:tab/>
        <w:t>operating losses or net cash outflows for the asset, when current period amounts are aggregated with budgeted amounts for the future.</w:t>
      </w:r>
    </w:p>
    <w:p w14:paraId="0BB2DF46" w14:textId="77777777" w:rsidR="006A2DAD" w:rsidRDefault="006A2DAD">
      <w:pPr>
        <w:pStyle w:val="IASBNormalnpara"/>
      </w:pPr>
      <w:r>
        <w:t>15</w:t>
      </w:r>
      <w:r>
        <w:tab/>
        <w:t>As indicated in paragraph 10, this Standard requires an intangible asset with an indefinite useful life or not yet available for use and goodwill to be tested for impairment, at least annually. Apart from when the requirements in paragraph 10 apply, the concept of materiality applies in identifying whether the recoverable amount of an asset needs to be estimated. For example, if previous calculations show that an asset’s recoverable amount is significantly greater than its carrying amount, the entity need not re-estimate the asset’s recoverable amount if no events have occurred that would eliminate that difference. Similarly, previous analysis may show that an asset’s recoverable amount is not sensitive to one (or more) of the indications listed in paragraph 12.</w:t>
      </w:r>
    </w:p>
    <w:p w14:paraId="0BB2DF47" w14:textId="77777777" w:rsidR="006A2DAD" w:rsidRDefault="006A2DAD">
      <w:pPr>
        <w:pStyle w:val="IASBNormalnpara"/>
      </w:pPr>
      <w:r>
        <w:t>16</w:t>
      </w:r>
      <w:r>
        <w:tab/>
        <w:t xml:space="preserve">As an illustration of paragraph 15, if market interest rates or other market rates of return on investments have increased during the period, an entity is not required to make a formal estimate of an asset’s recoverable amount in the following cases: </w:t>
      </w:r>
    </w:p>
    <w:p w14:paraId="0BB2DF48" w14:textId="77777777" w:rsidR="006A2DAD" w:rsidRDefault="006A2DAD">
      <w:pPr>
        <w:pStyle w:val="IASBNormalnparaL1"/>
      </w:pPr>
      <w:r>
        <w:lastRenderedPageBreak/>
        <w:t>(a)</w:t>
      </w:r>
      <w:r>
        <w:tab/>
        <w:t>if the discount rate used in calculating the asset’s value in use is unlikely to be affected by the increase in these market rates. For example, increases in short-term interest rates may not have a material effect on the discount rate used for an asset that has a long remaining useful life.</w:t>
      </w:r>
    </w:p>
    <w:p w14:paraId="0BB2DF49" w14:textId="77777777" w:rsidR="006A2DAD" w:rsidRDefault="006A2DAD">
      <w:pPr>
        <w:pStyle w:val="IASBNormalnparaL1"/>
      </w:pPr>
      <w:r>
        <w:t>(b)</w:t>
      </w:r>
      <w:r>
        <w:tab/>
        <w:t>if the discount rate used in calculating the asset’s value in use is likely to be affected by the increase in these market rates but previous sensitivity analysis of recoverable amount shows that:</w:t>
      </w:r>
    </w:p>
    <w:p w14:paraId="0BB2DF4A" w14:textId="77777777" w:rsidR="006A2DAD" w:rsidRDefault="006A2DAD">
      <w:pPr>
        <w:pStyle w:val="IASBNormalnparaL2"/>
      </w:pPr>
      <w:r>
        <w:t>(i)</w:t>
      </w:r>
      <w:r>
        <w:tab/>
        <w:t>it is unlikely that there will be a material decrease in recoverable amount because future cash flows are also likely to increase (eg in some cases, an entity may be able to demonstrate that it adjusts its revenues to compensate for any increase in market rates); or</w:t>
      </w:r>
    </w:p>
    <w:p w14:paraId="0BB2DF4B" w14:textId="77777777" w:rsidR="006A2DAD" w:rsidRDefault="006A2DAD">
      <w:pPr>
        <w:pStyle w:val="IASBNormalnparaL2"/>
      </w:pPr>
      <w:r>
        <w:t>(ii)</w:t>
      </w:r>
      <w:r>
        <w:tab/>
        <w:t>the decrease in recoverable amount is unlikely to result in a material impairment loss.</w:t>
      </w:r>
    </w:p>
    <w:p w14:paraId="0BB2DF4C" w14:textId="77777777" w:rsidR="006A2DAD" w:rsidRDefault="006A2DAD">
      <w:pPr>
        <w:pStyle w:val="IASBNormalnpara"/>
      </w:pPr>
      <w:r>
        <w:t>17</w:t>
      </w:r>
      <w:r>
        <w:tab/>
        <w:t>If there is an indication that an asset may be impaired, this may indicate that the remaining useful life, the depreciation (amortisation) method or the residual value for the asset needs to be reviewed and adjusted in accordance with the Standard applicable to the asset, even if no impairment loss is recognised for the asset.</w:t>
      </w:r>
    </w:p>
    <w:p w14:paraId="0BB2DF4D" w14:textId="77777777" w:rsidR="006A2DAD" w:rsidRDefault="006A2DAD">
      <w:pPr>
        <w:pStyle w:val="IASBSectionTitle1NonInd"/>
      </w:pPr>
      <w:r>
        <w:t>Measuring recoverable amount</w:t>
      </w:r>
    </w:p>
    <w:p w14:paraId="0BB2DF4E" w14:textId="77777777" w:rsidR="006A2DAD" w:rsidRDefault="006A2DAD">
      <w:pPr>
        <w:pStyle w:val="IASBNormalnpara"/>
      </w:pPr>
      <w:r>
        <w:t>18</w:t>
      </w:r>
      <w:r>
        <w:tab/>
        <w:t>This Standard defines recoverable amount as the higher of an asset’s or cash-generating unit’s fair value less costs of disposal and its value in use. Paragraphs 19–57 set out the requirements for measuring recoverable amount. These requirements use the term ‘an asset’ but apply equally to an individual asset or a cash-generating unit.</w:t>
      </w:r>
    </w:p>
    <w:p w14:paraId="0BB2DF4F" w14:textId="77777777" w:rsidR="006A2DAD" w:rsidRDefault="006A2DAD">
      <w:pPr>
        <w:pStyle w:val="IASBNormalnpara"/>
      </w:pPr>
      <w:r>
        <w:t>19</w:t>
      </w:r>
      <w:r>
        <w:tab/>
        <w:t>It is not always necessary to determine both an asset’s fair value less costs of disposal and its value in use. If either of these amounts exceeds the asset’s carrying amount, the asset is not impaired and it is not necessary to estimate the other amount.</w:t>
      </w:r>
    </w:p>
    <w:p w14:paraId="0BB2DF50" w14:textId="77777777" w:rsidR="006A2DAD" w:rsidRDefault="006A2DAD">
      <w:pPr>
        <w:pStyle w:val="IASBNormalnpara"/>
      </w:pPr>
      <w:r>
        <w:t>20</w:t>
      </w:r>
      <w:r>
        <w:tab/>
        <w:t>It may be possible to measure fair value less costs of disposal, even if there is not a quoted price in an active market for an identical asset. However, sometimes it will not be possible to measure fair value less costs of disposal because there is no basis for making a reliable estimate of the price at which an orderly transaction to sell the asset would take place between market participants at the measurement date under current market conditions. In this case, the entity may use the asset’s value in use as its recoverable amount.</w:t>
      </w:r>
    </w:p>
    <w:p w14:paraId="0BB2DF51" w14:textId="77777777" w:rsidR="006A2DAD" w:rsidRDefault="006A2DAD">
      <w:pPr>
        <w:pStyle w:val="IASBNormalnpara"/>
      </w:pPr>
      <w:r>
        <w:t>21</w:t>
      </w:r>
      <w:r>
        <w:tab/>
        <w:t>If there is no reason to believe that an asset’s value in use materially exceeds its fair value less costs of disposal, the asset’s fair value less costs of disposal may be used as its recoverable amount. This will often be the case for an asset that is held for disposal. This is because the value in use of an asset held for disposal will consist mainly of the net disposal proceeds, as the future cash flows from continuing use of the asset until its disposal are likely to be negligible.</w:t>
      </w:r>
    </w:p>
    <w:p w14:paraId="0BB2DF52" w14:textId="77777777" w:rsidR="006A2DAD" w:rsidRDefault="006A2DAD">
      <w:pPr>
        <w:pStyle w:val="IASBNormalnpara"/>
      </w:pPr>
      <w:r>
        <w:t>22</w:t>
      </w:r>
      <w:r>
        <w:tab/>
        <w:t xml:space="preserve">Recoverable amount is determined for an individual asset, unless the asset does not generate cash inflows that are largely independent of those from other assets or groups of assets. If this is the case, recoverable amount is determined for the cash-generating unit to which the asset belongs (see paragraphs 65–103), unless either: </w:t>
      </w:r>
    </w:p>
    <w:p w14:paraId="0BB2DF53" w14:textId="77777777" w:rsidR="006A2DAD" w:rsidRDefault="006A2DAD">
      <w:pPr>
        <w:pStyle w:val="IASBNormalnparaL1"/>
      </w:pPr>
      <w:r>
        <w:t>(a)</w:t>
      </w:r>
      <w:r>
        <w:tab/>
        <w:t>the asset’s fair value less costs of disposal is higher than its carrying amount; or</w:t>
      </w:r>
    </w:p>
    <w:p w14:paraId="0BB2DF54" w14:textId="77777777" w:rsidR="006A2DAD" w:rsidRDefault="006A2DAD">
      <w:pPr>
        <w:pStyle w:val="IASBNormalnparaL1"/>
      </w:pPr>
      <w:r>
        <w:t>(b)</w:t>
      </w:r>
      <w:r>
        <w:tab/>
        <w:t>the asset’s value in use can be estimated to be close to its fair value less costs of disposal and fair value less costs of disposal can be measured.</w:t>
      </w:r>
    </w:p>
    <w:p w14:paraId="0BB2DF55" w14:textId="77777777" w:rsidR="006A2DAD" w:rsidRDefault="006A2DAD">
      <w:pPr>
        <w:pStyle w:val="IASBNormalnpara"/>
      </w:pPr>
      <w:r>
        <w:t>23</w:t>
      </w:r>
      <w:r>
        <w:tab/>
        <w:t>In some cases, estimates, averages and computational short cuts may provide reasonable approximations of the detailed computations illustrated in this Standard for determining fair value less costs of disposal or value in use.</w:t>
      </w:r>
    </w:p>
    <w:p w14:paraId="0BB2DF56" w14:textId="77777777" w:rsidR="006A2DAD" w:rsidRDefault="006A2DAD">
      <w:pPr>
        <w:pStyle w:val="IASBSectionTitle2Ind"/>
      </w:pPr>
      <w:r>
        <w:t>Measuring the recoverable amount of an intangible asset with an indefinite useful life</w:t>
      </w:r>
    </w:p>
    <w:p w14:paraId="0BB2DF57" w14:textId="77777777" w:rsidR="006A2DAD" w:rsidRDefault="006A2DAD">
      <w:pPr>
        <w:pStyle w:val="IASBNormalnpara"/>
      </w:pPr>
      <w:r>
        <w:t>24</w:t>
      </w:r>
      <w:r>
        <w:tab/>
        <w:t>Paragraph 10 requires an intangible asset with an indefinite useful life to be tested for impairment annually by comparing its carrying amount with its recoverable amount, irrespective of whether there is any indication that it may be impaired. However, the most recent detailed calculation of such an asset’s recoverable amount made in a preceding period may be used in the impairment test for that asset in the current period, provided all of the following criteria are met:</w:t>
      </w:r>
    </w:p>
    <w:p w14:paraId="0BB2DF58" w14:textId="77777777" w:rsidR="006A2DAD" w:rsidRDefault="006A2DAD">
      <w:pPr>
        <w:pStyle w:val="IASBNormalnparaL1"/>
      </w:pPr>
      <w:r>
        <w:t>(a)</w:t>
      </w:r>
      <w:r>
        <w:tab/>
        <w:t>if the intangible asset does not generate cash inflows from continuing use that are largely independent of those from other assets or groups of assets and is therefore tested for impairment as part of the cash-generating unit to which it belongs, the assets and liabilities making up that unit have not changed significantly since the most recent recoverable amount calculation;</w:t>
      </w:r>
    </w:p>
    <w:p w14:paraId="0BB2DF59" w14:textId="77777777" w:rsidR="006A2DAD" w:rsidRDefault="006A2DAD">
      <w:pPr>
        <w:pStyle w:val="IASBNormalnparaL1"/>
      </w:pPr>
      <w:r>
        <w:lastRenderedPageBreak/>
        <w:t>(b)</w:t>
      </w:r>
      <w:r>
        <w:tab/>
        <w:t>the most recent recoverable amount calculation resulted in an amount that exceeded the asset’s carrying amount by a substantial margin; and</w:t>
      </w:r>
    </w:p>
    <w:p w14:paraId="0BB2DF5A" w14:textId="77777777" w:rsidR="006A2DAD" w:rsidRDefault="006A2DAD">
      <w:pPr>
        <w:pStyle w:val="IASBNormalnparaL1"/>
      </w:pPr>
      <w:r>
        <w:t>(c)</w:t>
      </w:r>
      <w:r>
        <w:tab/>
        <w:t>based on an analysis of events that have occurred and circumstances that have changed since the most recent recoverable amount calculation, the likelihood that a current recoverable amount determination would be less than the asset’s carrying amount is remote.</w:t>
      </w:r>
    </w:p>
    <w:p w14:paraId="0BB2DF5B" w14:textId="77777777" w:rsidR="006A2DAD" w:rsidRDefault="006A2DAD">
      <w:pPr>
        <w:pStyle w:val="IASBSectionTitle2Ind"/>
      </w:pPr>
      <w:r>
        <w:t>Fair value less costs of disposal</w:t>
      </w:r>
    </w:p>
    <w:p w14:paraId="0BB2DF5C" w14:textId="77777777" w:rsidR="006A2DAD" w:rsidRDefault="006A2DAD">
      <w:pPr>
        <w:pStyle w:val="IASBNormalnpara"/>
      </w:pPr>
      <w:r>
        <w:t>25–</w:t>
      </w:r>
    </w:p>
    <w:p w14:paraId="0BB2DF5D" w14:textId="77777777" w:rsidR="006A2DAD" w:rsidRDefault="006A2DAD">
      <w:pPr>
        <w:pStyle w:val="IASBNormalnparaC"/>
      </w:pPr>
      <w:r>
        <w:t>27</w:t>
      </w:r>
      <w:r>
        <w:tab/>
        <w:t>[Deleted]</w:t>
      </w:r>
    </w:p>
    <w:p w14:paraId="0BB2DF5E" w14:textId="77777777" w:rsidR="006A2DAD" w:rsidRDefault="006A2DAD">
      <w:pPr>
        <w:pStyle w:val="IASBNormalnpara"/>
      </w:pPr>
      <w:r>
        <w:t>28</w:t>
      </w:r>
      <w:r>
        <w:tab/>
        <w:t>Costs of disposal, other than those that have been recognised as liabilities, are deducted in measuring fair value less costs of disposal. Examples of such costs are legal costs, stamp duty and similar transaction taxes, costs of removing the asset, and direct incremental costs to bring an asset into condition for its sale. However, termination benefits (as defined in</w:t>
      </w:r>
      <w:r w:rsidR="002D17D4">
        <w:t xml:space="preserve"> AASB 119</w:t>
      </w:r>
      <w:r>
        <w:t>) and costs associated with reducing or reorganising a business following the disposal of an asset are not direct incremental costs to dispose of the asset.</w:t>
      </w:r>
    </w:p>
    <w:p w14:paraId="0BB2DF5F" w14:textId="77777777" w:rsidR="006A2DAD" w:rsidRDefault="006A2DAD">
      <w:pPr>
        <w:pStyle w:val="IASBNormalnpara"/>
      </w:pPr>
      <w:r>
        <w:t>29</w:t>
      </w:r>
      <w:r>
        <w:tab/>
        <w:t>Sometimes, the disposal of an asset would require the buyer to assume a liability and only a single fair value less costs of disposal is available for both the asset and the liability. Paragraph 78 explains how to deal with such cases.</w:t>
      </w:r>
    </w:p>
    <w:p w14:paraId="0BB2DF60" w14:textId="77777777" w:rsidR="006A2DAD" w:rsidRDefault="006A2DAD">
      <w:pPr>
        <w:pStyle w:val="IASBSectionTitle2Ind"/>
      </w:pPr>
      <w:r>
        <w:t>Value in use</w:t>
      </w:r>
    </w:p>
    <w:p w14:paraId="0BB2DF61" w14:textId="77777777" w:rsidR="006A2DAD" w:rsidRDefault="006A2DAD">
      <w:pPr>
        <w:pStyle w:val="IASBNormalnpara"/>
        <w:rPr>
          <w:b/>
        </w:rPr>
      </w:pPr>
      <w:r>
        <w:rPr>
          <w:b/>
        </w:rPr>
        <w:t>30</w:t>
      </w:r>
      <w:r>
        <w:rPr>
          <w:b/>
        </w:rPr>
        <w:tab/>
        <w:t xml:space="preserve">The following elements shall be reflected in the calculation of an asset’s value in use: </w:t>
      </w:r>
    </w:p>
    <w:p w14:paraId="0BB2DF62" w14:textId="77777777" w:rsidR="006A2DAD" w:rsidRDefault="006A2DAD">
      <w:pPr>
        <w:pStyle w:val="IASBNormalnparaL1"/>
      </w:pPr>
      <w:r>
        <w:rPr>
          <w:b/>
        </w:rPr>
        <w:t>(a)</w:t>
      </w:r>
      <w:r>
        <w:tab/>
      </w:r>
      <w:r>
        <w:rPr>
          <w:b/>
        </w:rPr>
        <w:t>an estimate of the future cash flows the entity expects to derive from the asset;</w:t>
      </w:r>
    </w:p>
    <w:p w14:paraId="0BB2DF63" w14:textId="77777777" w:rsidR="006A2DAD" w:rsidRDefault="006A2DAD">
      <w:pPr>
        <w:pStyle w:val="IASBNormalnparaL1"/>
      </w:pPr>
      <w:r>
        <w:rPr>
          <w:b/>
        </w:rPr>
        <w:t>(b)</w:t>
      </w:r>
      <w:r>
        <w:tab/>
      </w:r>
      <w:r>
        <w:rPr>
          <w:b/>
        </w:rPr>
        <w:t>expectations about possible variations in the amount or timing of those future cash flows;</w:t>
      </w:r>
    </w:p>
    <w:p w14:paraId="0BB2DF64" w14:textId="77777777" w:rsidR="006A2DAD" w:rsidRDefault="006A2DAD">
      <w:pPr>
        <w:pStyle w:val="IASBNormalnparaL1"/>
      </w:pPr>
      <w:r>
        <w:rPr>
          <w:b/>
        </w:rPr>
        <w:t>(c)</w:t>
      </w:r>
      <w:r>
        <w:tab/>
      </w:r>
      <w:r>
        <w:rPr>
          <w:b/>
        </w:rPr>
        <w:t>the time value of money, represented by the current market risk-free rate of interest;</w:t>
      </w:r>
    </w:p>
    <w:p w14:paraId="0BB2DF65" w14:textId="77777777" w:rsidR="006A2DAD" w:rsidRDefault="006A2DAD">
      <w:pPr>
        <w:pStyle w:val="IASBNormalnparaL1"/>
      </w:pPr>
      <w:r>
        <w:rPr>
          <w:b/>
        </w:rPr>
        <w:t>(d)</w:t>
      </w:r>
      <w:r>
        <w:tab/>
      </w:r>
      <w:r>
        <w:rPr>
          <w:b/>
        </w:rPr>
        <w:t>the price for bearing the uncertainty inherent in the asset; and</w:t>
      </w:r>
    </w:p>
    <w:p w14:paraId="0BB2DF66" w14:textId="77777777" w:rsidR="006A2DAD" w:rsidRDefault="006A2DAD">
      <w:pPr>
        <w:pStyle w:val="IASBNormalnparaL1"/>
      </w:pPr>
      <w:r>
        <w:rPr>
          <w:b/>
        </w:rPr>
        <w:t>(e)</w:t>
      </w:r>
      <w:r>
        <w:tab/>
      </w:r>
      <w:r>
        <w:rPr>
          <w:b/>
        </w:rPr>
        <w:t>other factors, such as illiquidity, that market participants would reflect in pricing the future cash flows the entity expects to derive from the asset.</w:t>
      </w:r>
    </w:p>
    <w:p w14:paraId="0BB2DF67" w14:textId="77777777" w:rsidR="006A2DAD" w:rsidRDefault="006A2DAD">
      <w:pPr>
        <w:pStyle w:val="IASBNormalnpara"/>
      </w:pPr>
      <w:r>
        <w:t>31</w:t>
      </w:r>
      <w:r>
        <w:tab/>
        <w:t xml:space="preserve">Estimating the value in use of an asset involves the following steps: </w:t>
      </w:r>
    </w:p>
    <w:p w14:paraId="0BB2DF68" w14:textId="77777777" w:rsidR="006A2DAD" w:rsidRDefault="006A2DAD">
      <w:pPr>
        <w:pStyle w:val="IASBNormalnparaL1"/>
      </w:pPr>
      <w:r>
        <w:t>(a)</w:t>
      </w:r>
      <w:r>
        <w:tab/>
        <w:t>estimating the future cash inflows and outflows to be derived from continuing use of the asset and from its ultimate disposal; and</w:t>
      </w:r>
    </w:p>
    <w:p w14:paraId="0BB2DF69" w14:textId="77777777" w:rsidR="006A2DAD" w:rsidRDefault="006A2DAD">
      <w:pPr>
        <w:pStyle w:val="IASBNormalnparaL1"/>
      </w:pPr>
      <w:r>
        <w:t>(b)</w:t>
      </w:r>
      <w:r>
        <w:tab/>
        <w:t>applying the appropriate discount rate to those future cash flows.</w:t>
      </w:r>
    </w:p>
    <w:p w14:paraId="0BB2DF6A" w14:textId="77777777" w:rsidR="006A2DAD" w:rsidRDefault="006A2DAD">
      <w:pPr>
        <w:pStyle w:val="IASBNormalnpara"/>
      </w:pPr>
      <w:r>
        <w:t>32</w:t>
      </w:r>
      <w:r>
        <w:tab/>
        <w:t>The elements identified in paragraph 30(b), (d) and (e) can be reflected either as adjustments to the future cash flows or as adjustments to the discount rate. Whichever approach an entity adopts to reflect expectations about possible variations in the amount or timing of future cash flows, the result shall be to reflect the expected present value of the future cash flows, ie the weighted average of all possible outcomes. Appendix A provides additional guidance on the use of present value techniques in measuring an asset’s value in use.</w:t>
      </w:r>
    </w:p>
    <w:p w14:paraId="0BB2DF6B" w14:textId="77777777" w:rsidR="006A2DAD" w:rsidRDefault="006A2DAD">
      <w:pPr>
        <w:pStyle w:val="IASBSectionTitle3Ind"/>
      </w:pPr>
      <w:r>
        <w:t>Basis for estimates of future cash flows</w:t>
      </w:r>
    </w:p>
    <w:p w14:paraId="0BB2DF6C" w14:textId="77777777" w:rsidR="006A2DAD" w:rsidRDefault="006A2DAD">
      <w:pPr>
        <w:pStyle w:val="IASBNormalnpara"/>
        <w:rPr>
          <w:b/>
        </w:rPr>
      </w:pPr>
      <w:r>
        <w:rPr>
          <w:b/>
        </w:rPr>
        <w:t>33</w:t>
      </w:r>
      <w:r>
        <w:rPr>
          <w:b/>
        </w:rPr>
        <w:tab/>
        <w:t xml:space="preserve">In measuring value in use an entity shall: </w:t>
      </w:r>
    </w:p>
    <w:p w14:paraId="0BB2DF6D" w14:textId="77777777" w:rsidR="006A2DAD" w:rsidRDefault="006A2DAD">
      <w:pPr>
        <w:pStyle w:val="IASBNormalnparaL1"/>
      </w:pPr>
      <w:r>
        <w:rPr>
          <w:b/>
        </w:rPr>
        <w:t>(a)</w:t>
      </w:r>
      <w:r>
        <w:tab/>
      </w:r>
      <w:r>
        <w:rPr>
          <w:b/>
        </w:rPr>
        <w:t>base cash flow projections on reasonable and supportable assumptions that represent management’s best estimate of the range of economic conditions that will exist over the remaining useful life of the asset. Greater weight shall be given to external evidence.</w:t>
      </w:r>
    </w:p>
    <w:p w14:paraId="0BB2DF6E" w14:textId="77777777" w:rsidR="006A2DAD" w:rsidRDefault="006A2DAD">
      <w:pPr>
        <w:pStyle w:val="IASBNormalnparaL1"/>
      </w:pPr>
      <w:r>
        <w:rPr>
          <w:b/>
        </w:rPr>
        <w:t>(b)</w:t>
      </w:r>
      <w:r>
        <w:tab/>
      </w:r>
      <w:r>
        <w:rPr>
          <w:b/>
        </w:rPr>
        <w:t xml:space="preserve">base cash flow projections on the most recent financial budgets/forecasts approved by management, but shall exclude any estimated future cash inflows or outflows expected to arise from future restructurings or from improving or enhancing the asset’s performance. Projections based on these budgets/forecasts shall cover a maximum period of five years, unless a longer period can be justified. </w:t>
      </w:r>
    </w:p>
    <w:p w14:paraId="0BB2DF6F" w14:textId="77777777" w:rsidR="006A2DAD" w:rsidRDefault="006A2DAD">
      <w:pPr>
        <w:pStyle w:val="IASBNormalnparaL1"/>
      </w:pPr>
      <w:r>
        <w:rPr>
          <w:b/>
        </w:rPr>
        <w:t>(c)</w:t>
      </w:r>
      <w:r>
        <w:tab/>
      </w:r>
      <w:r>
        <w:rPr>
          <w:b/>
        </w:rPr>
        <w:t>estimate cash flow projections beyond the period covered by the most recent budgets/forecasts by extrapolating the projections based on the budgets/forecasts using a steady or declining growth rate for subsequent years, unless an increasing rate can be justified. This growth rate shall not exceed the long-term average growth rate for the products, industries, or country or countries in which the entity operates, or for the market in which the asset is used, unless a higher rate can be justified.</w:t>
      </w:r>
    </w:p>
    <w:p w14:paraId="0BB2DF70" w14:textId="77777777" w:rsidR="006A2DAD" w:rsidRDefault="006A2DAD">
      <w:pPr>
        <w:pStyle w:val="IASBNormalnpara"/>
      </w:pPr>
      <w:r>
        <w:lastRenderedPageBreak/>
        <w:t>34</w:t>
      </w:r>
      <w:r>
        <w:tab/>
        <w:t xml:space="preserve">Management assesses the reasonableness of the assumptions on which its current cash flow projections are based by examining the causes of differences between past cash flow projections and actual cash flows. Management shall ensure that the assumptions on which its current cash flow projections are based are consistent with past actual outcomes, provided the effects of subsequent events or circumstances that did not exist when those actual cash flows were generated make this appropriate. </w:t>
      </w:r>
    </w:p>
    <w:p w14:paraId="0BB2DF71" w14:textId="77777777" w:rsidR="006A2DAD" w:rsidRDefault="006A2DAD">
      <w:pPr>
        <w:pStyle w:val="IASBNormalnpara"/>
      </w:pPr>
      <w:r>
        <w:t>35</w:t>
      </w:r>
      <w:r>
        <w:tab/>
        <w:t>Detailed, explicit and reliable financial budgets/forecasts of future cash flows for periods longer than five years are generally not available. For this reason, management’s estimates of future cash flows are based on the most recent budgets/forecasts for a maximum of five years. Management may use cash flow projections based on financial budgets/forecasts over a period longer than five years if it is confident that these projections are reliable and it can demonstrate its ability, based on past experience, to forecast cash flows accurately over that longer period.</w:t>
      </w:r>
    </w:p>
    <w:p w14:paraId="0BB2DF72" w14:textId="77777777" w:rsidR="006A2DAD" w:rsidRDefault="006A2DAD">
      <w:pPr>
        <w:pStyle w:val="IASBNormalnpara"/>
      </w:pPr>
      <w:r>
        <w:t>36</w:t>
      </w:r>
      <w:r>
        <w:tab/>
        <w:t>Cash flow projections until the end of an asset’s useful life are estimated by extrapolating the cash flow projections based on the financial budgets/forecasts using a growth rate for subsequent years. This rate is steady or declining, unless an increase in the rate matches objective information about patterns over a product or industry lifecycle. If appropriate, the growth rate is zero or negative.</w:t>
      </w:r>
    </w:p>
    <w:p w14:paraId="0BB2DF73" w14:textId="77777777" w:rsidR="006A2DAD" w:rsidRDefault="006A2DAD">
      <w:pPr>
        <w:pStyle w:val="IASBNormalnpara"/>
      </w:pPr>
      <w:r>
        <w:t>37</w:t>
      </w:r>
      <w:r>
        <w:tab/>
        <w:t>When conditions are favourable, competitors are likely to enter the market and restrict growth. Therefore, entities will have difficulty in exceeding the average historical growth rate over the long term (say, twenty years) for the products, industries, or country or countries in which the entity operates, or for the market in which the asset is used.</w:t>
      </w:r>
    </w:p>
    <w:p w14:paraId="0BB2DF74" w14:textId="77777777" w:rsidR="006A2DAD" w:rsidRDefault="006A2DAD">
      <w:pPr>
        <w:pStyle w:val="IASBNormalnpara"/>
      </w:pPr>
      <w:r>
        <w:t>38</w:t>
      </w:r>
      <w:r>
        <w:tab/>
        <w:t>In using information from financial budgets/forecasts, an entity considers whether the information reflects reasonable and supportable assumptions and represents management’s best estimate of the set of economic conditions that will exist over the remaining useful life of the asset.</w:t>
      </w:r>
    </w:p>
    <w:p w14:paraId="0BB2DF75" w14:textId="77777777" w:rsidR="006A2DAD" w:rsidRDefault="006A2DAD">
      <w:pPr>
        <w:pStyle w:val="IASBSectionTitle3Ind"/>
      </w:pPr>
      <w:r>
        <w:t>Composition of estimates of future cash flows</w:t>
      </w:r>
    </w:p>
    <w:p w14:paraId="0BB2DF76" w14:textId="77777777" w:rsidR="006A2DAD" w:rsidRDefault="006A2DAD">
      <w:pPr>
        <w:pStyle w:val="IASBNormalnpara"/>
        <w:rPr>
          <w:b/>
        </w:rPr>
      </w:pPr>
      <w:r>
        <w:rPr>
          <w:b/>
        </w:rPr>
        <w:t>39</w:t>
      </w:r>
      <w:r>
        <w:rPr>
          <w:b/>
        </w:rPr>
        <w:tab/>
        <w:t xml:space="preserve">Estimates of future cash flows shall include: </w:t>
      </w:r>
    </w:p>
    <w:p w14:paraId="0BB2DF77" w14:textId="77777777" w:rsidR="006A2DAD" w:rsidRDefault="006A2DAD">
      <w:pPr>
        <w:pStyle w:val="IASBNormalnparaL1"/>
      </w:pPr>
      <w:r>
        <w:rPr>
          <w:b/>
        </w:rPr>
        <w:t>(a)</w:t>
      </w:r>
      <w:r>
        <w:tab/>
      </w:r>
      <w:r>
        <w:rPr>
          <w:b/>
        </w:rPr>
        <w:t>projections of cash inflows from the continuing use of the asset;</w:t>
      </w:r>
    </w:p>
    <w:p w14:paraId="0BB2DF78" w14:textId="77777777" w:rsidR="006A2DAD" w:rsidRDefault="006A2DAD">
      <w:pPr>
        <w:pStyle w:val="IASBNormalnparaL1"/>
      </w:pPr>
      <w:r>
        <w:rPr>
          <w:b/>
        </w:rPr>
        <w:t>(b)</w:t>
      </w:r>
      <w:r>
        <w:tab/>
      </w:r>
      <w:r>
        <w:rPr>
          <w:b/>
        </w:rPr>
        <w:t>projections of cash outflows that are necessarily incurred to generate the cash inflows from continuing use of the asset (including cash outflows to prepare the asset for use) and can be directly attributed, or allocated on a reasonable and consistent basis, to the asset; and</w:t>
      </w:r>
    </w:p>
    <w:p w14:paraId="0BB2DF79" w14:textId="77777777" w:rsidR="006A2DAD" w:rsidRDefault="006A2DAD">
      <w:pPr>
        <w:pStyle w:val="IASBNormalnparaL1"/>
      </w:pPr>
      <w:r>
        <w:rPr>
          <w:b/>
        </w:rPr>
        <w:t>(c)</w:t>
      </w:r>
      <w:r>
        <w:tab/>
      </w:r>
      <w:r>
        <w:rPr>
          <w:b/>
        </w:rPr>
        <w:t>net cash flows, if any, to be received (or paid) for the disposal of the asset at the end of its useful life.</w:t>
      </w:r>
    </w:p>
    <w:p w14:paraId="0BB2DF7A" w14:textId="77777777" w:rsidR="006A2DAD" w:rsidRDefault="006A2DAD">
      <w:pPr>
        <w:pStyle w:val="IASBNormalnpara"/>
      </w:pPr>
      <w:r>
        <w:t>40</w:t>
      </w:r>
      <w:r>
        <w:tab/>
        <w:t>Estimates of future cash flows and the discount rate reflect consistent assumptions about price increases attributable to general inflation. Therefore, if the discount rate includes the effect of price increases attributable to general inflation, future cash flows are estimated in nominal terms. If the discount rate excludes the effect of price increases attributable to general inflation, future cash flows are estimated in real terms (but include future specific price increases or decreases).</w:t>
      </w:r>
    </w:p>
    <w:p w14:paraId="0BB2DF7B" w14:textId="77777777" w:rsidR="006A2DAD" w:rsidRDefault="006A2DAD">
      <w:pPr>
        <w:pStyle w:val="IASBNormalnpara"/>
      </w:pPr>
      <w:r>
        <w:t>41</w:t>
      </w:r>
      <w:r>
        <w:tab/>
        <w:t>Projections of cash outflows include those for the day-to-day servicing of the asset as well as future overheads that can be attributed directly, or allocated on a reasonable and consistent basis, to the use of the asset.</w:t>
      </w:r>
    </w:p>
    <w:p w14:paraId="0BB2DF7C" w14:textId="77777777" w:rsidR="006A2DAD" w:rsidRDefault="006A2DAD">
      <w:pPr>
        <w:pStyle w:val="IASBNormalnpara"/>
      </w:pPr>
      <w:r>
        <w:t>42</w:t>
      </w:r>
      <w:r>
        <w:tab/>
        <w:t>When the carrying amount of an asset does not yet include all the cash outflows to be incurred before it is ready for use or sale, the estimate of future cash outflows includes an estimate of any further cash outflow that is expected to be incurred before the asset is ready for use or sale. For example, this is the case for a building under construction or for a development project that is not yet completed.</w:t>
      </w:r>
    </w:p>
    <w:p w14:paraId="0BB2DF7D" w14:textId="77777777" w:rsidR="006A2DAD" w:rsidRDefault="006A2DAD">
      <w:pPr>
        <w:pStyle w:val="IASBNormalnpara"/>
      </w:pPr>
      <w:r>
        <w:t>43</w:t>
      </w:r>
      <w:r>
        <w:tab/>
        <w:t xml:space="preserve">To avoid double-counting, estimates of future cash flows do not include: </w:t>
      </w:r>
    </w:p>
    <w:p w14:paraId="0BB2DF7E" w14:textId="77777777" w:rsidR="006A2DAD" w:rsidRDefault="006A2DAD">
      <w:pPr>
        <w:pStyle w:val="IASBNormalnparaL1"/>
      </w:pPr>
      <w:r>
        <w:t>(a)</w:t>
      </w:r>
      <w:r>
        <w:tab/>
        <w:t>cash inflows from assets that generate cash inflows that are largely independent of the cash inflows from the asset under review (for example, financial assets such as receivables); and</w:t>
      </w:r>
    </w:p>
    <w:p w14:paraId="0BB2DF7F" w14:textId="77777777" w:rsidR="006A2DAD" w:rsidRDefault="006A2DAD">
      <w:pPr>
        <w:pStyle w:val="IASBNormalnparaL1"/>
      </w:pPr>
      <w:r>
        <w:t>(b)</w:t>
      </w:r>
      <w:r>
        <w:tab/>
        <w:t>cash outflows that relate to obligations that have been recognised as liabilities (for example, payables, pensions or provisions).</w:t>
      </w:r>
    </w:p>
    <w:p w14:paraId="0BB2DF80" w14:textId="77777777" w:rsidR="006A2DAD" w:rsidRDefault="006A2DAD">
      <w:pPr>
        <w:pStyle w:val="IASBNormalnpara"/>
        <w:rPr>
          <w:b/>
        </w:rPr>
      </w:pPr>
      <w:r>
        <w:rPr>
          <w:b/>
        </w:rPr>
        <w:t>44</w:t>
      </w:r>
      <w:r>
        <w:rPr>
          <w:b/>
        </w:rPr>
        <w:tab/>
        <w:t xml:space="preserve">Future cash flows shall be estimated for the asset in its current condition. Estimates of future cash flows shall not include estimated future cash inflows or outflows that are expected to arise from: </w:t>
      </w:r>
    </w:p>
    <w:p w14:paraId="0BB2DF81" w14:textId="77777777" w:rsidR="006A2DAD" w:rsidRDefault="006A2DAD">
      <w:pPr>
        <w:pStyle w:val="IASBNormalnparaL1"/>
      </w:pPr>
      <w:r>
        <w:rPr>
          <w:b/>
        </w:rPr>
        <w:t>(a)</w:t>
      </w:r>
      <w:r>
        <w:tab/>
      </w:r>
      <w:r>
        <w:rPr>
          <w:b/>
        </w:rPr>
        <w:t>a future restructuring to which an entity is not yet committed; or</w:t>
      </w:r>
    </w:p>
    <w:p w14:paraId="0BB2DF82" w14:textId="77777777" w:rsidR="006A2DAD" w:rsidRDefault="006A2DAD">
      <w:pPr>
        <w:pStyle w:val="IASBNormalnparaL1"/>
      </w:pPr>
      <w:r>
        <w:rPr>
          <w:b/>
        </w:rPr>
        <w:t>(b)</w:t>
      </w:r>
      <w:r>
        <w:tab/>
      </w:r>
      <w:r>
        <w:rPr>
          <w:b/>
        </w:rPr>
        <w:t>improving or enhancing the asset’s performance.</w:t>
      </w:r>
    </w:p>
    <w:p w14:paraId="0BB2DF83" w14:textId="77777777" w:rsidR="006A2DAD" w:rsidRDefault="006A2DAD" w:rsidP="008042D8">
      <w:pPr>
        <w:pStyle w:val="IASBNormalnpara"/>
        <w:keepNext/>
      </w:pPr>
      <w:r>
        <w:lastRenderedPageBreak/>
        <w:t>45</w:t>
      </w:r>
      <w:r>
        <w:tab/>
        <w:t xml:space="preserve">Because future cash flows are estimated for the asset in its current condition, value in use does not reflect: </w:t>
      </w:r>
    </w:p>
    <w:p w14:paraId="0BB2DF84" w14:textId="77777777" w:rsidR="006A2DAD" w:rsidRDefault="006A2DAD">
      <w:pPr>
        <w:pStyle w:val="IASBNormalnparaL1"/>
      </w:pPr>
      <w:r>
        <w:t>(a)</w:t>
      </w:r>
      <w:r>
        <w:tab/>
        <w:t>future cash outflows or related cost savings (for example reductions in staff costs) or benefits that are expected to arise from a future restructuring to which an entity is not yet committed; or</w:t>
      </w:r>
    </w:p>
    <w:p w14:paraId="0BB2DF85" w14:textId="77777777" w:rsidR="006A2DAD" w:rsidRDefault="006A2DAD">
      <w:pPr>
        <w:pStyle w:val="IASBNormalnparaL1"/>
      </w:pPr>
      <w:r>
        <w:t>(b)</w:t>
      </w:r>
      <w:r>
        <w:tab/>
        <w:t>future cash outflows that will improve or enhance the asset’s performance or the related cash inflows that are expected to arise from such outflows.</w:t>
      </w:r>
    </w:p>
    <w:p w14:paraId="0BB2DF86" w14:textId="77777777" w:rsidR="006A2DAD" w:rsidRDefault="006A2DAD">
      <w:pPr>
        <w:pStyle w:val="IASBNormalnpara"/>
      </w:pPr>
      <w:r>
        <w:t>46</w:t>
      </w:r>
      <w:r>
        <w:tab/>
        <w:t>A restructuring is a programme that is planned and controlled by management and materially changes either the scope of the business undertaken by an entity or the manner in which the business is conducted.</w:t>
      </w:r>
      <w:r w:rsidR="002D17D4">
        <w:t xml:space="preserve"> AASB 137</w:t>
      </w:r>
      <w:r>
        <w:t xml:space="preserve"> </w:t>
      </w:r>
      <w:r>
        <w:rPr>
          <w:i/>
        </w:rPr>
        <w:t>Provisions, Contingent Liabilities and Contingent Assets</w:t>
      </w:r>
      <w:r>
        <w:t xml:space="preserve"> contains guidance clarifying when an entity is committed to a restructuring. </w:t>
      </w:r>
    </w:p>
    <w:p w14:paraId="0BB2DF87" w14:textId="77777777" w:rsidR="006A2DAD" w:rsidRDefault="006A2DAD">
      <w:pPr>
        <w:pStyle w:val="IASBNormalnpara"/>
      </w:pPr>
      <w:r>
        <w:t>47</w:t>
      </w:r>
      <w:r>
        <w:tab/>
        <w:t xml:space="preserve">When an entity becomes committed to a restructuring, some assets are likely to be affected by this restructuring. Once the entity is committed to the restructuring: </w:t>
      </w:r>
    </w:p>
    <w:p w14:paraId="0BB2DF88" w14:textId="77777777" w:rsidR="006A2DAD" w:rsidRDefault="006A2DAD">
      <w:pPr>
        <w:pStyle w:val="IASBNormalnparaL1"/>
      </w:pPr>
      <w:r>
        <w:t>(a)</w:t>
      </w:r>
      <w:r>
        <w:tab/>
        <w:t>its estimates of future cash inflows and cash outflows for the purpose of determining value in use reflect the cost savings and other benefits from the restructuring (based on the most recent financial budgets/forecasts approved by management); and</w:t>
      </w:r>
    </w:p>
    <w:p w14:paraId="0BB2DF89" w14:textId="77777777" w:rsidR="006A2DAD" w:rsidRDefault="006A2DAD">
      <w:pPr>
        <w:pStyle w:val="IASBNormalnparaL1"/>
      </w:pPr>
      <w:r>
        <w:t>(b)</w:t>
      </w:r>
      <w:r>
        <w:tab/>
        <w:t>its estimates of future cash outflows for the restructuring are included in a restructuring provision in accordance with</w:t>
      </w:r>
      <w:r w:rsidR="002D17D4">
        <w:t xml:space="preserve"> AASB 137</w:t>
      </w:r>
      <w:r>
        <w:t>.</w:t>
      </w:r>
    </w:p>
    <w:p w14:paraId="0BB2DF8A" w14:textId="77777777" w:rsidR="006A2DAD" w:rsidRDefault="006A2DAD">
      <w:pPr>
        <w:pStyle w:val="IASBNormalnparaP"/>
      </w:pPr>
      <w:r>
        <w:t>Illustrative Example 5 illustrates the effect of a future restructuring on a value in use calculation.</w:t>
      </w:r>
    </w:p>
    <w:p w14:paraId="0BB2DF8B" w14:textId="77777777" w:rsidR="006A2DAD" w:rsidRDefault="006A2DAD">
      <w:pPr>
        <w:pStyle w:val="IASBNormalnpara"/>
      </w:pPr>
      <w:r>
        <w:t>48</w:t>
      </w:r>
      <w:r>
        <w:tab/>
        <w:t>Until an entity incurs cash outflows that improve or enhance the asset’s performance, estimates of future cash flows do not include the estimated future cash inflows that are expected to arise from the increase in economic benefits associated with the cash outflow (see Illustrative Example 6).</w:t>
      </w:r>
    </w:p>
    <w:p w14:paraId="0BB2DF8C" w14:textId="77777777" w:rsidR="006A2DAD" w:rsidRDefault="006A2DAD">
      <w:pPr>
        <w:pStyle w:val="IASBNormalnpara"/>
      </w:pPr>
      <w:r>
        <w:t>49</w:t>
      </w:r>
      <w:r>
        <w:tab/>
        <w:t>Estimates of future cash flows include future cash outflows necessary to maintain the level of economic benefits expected to arise from the asset in its current condition. When a cash-generating unit consists of assets with different estimated useful lives, all of which are essential to the ongoing operation of the unit, the replacement of assets with shorter lives is considered to be part of the day-to-day servicing of the unit when estimating the future cash flows associated with the unit. Similarly, when a single asset consists of components with different estimated useful lives, the replacement of components with shorter lives is considered to be part of the day-to-day servicing of the asset when estimating the future cash flows generated by the asset.</w:t>
      </w:r>
    </w:p>
    <w:p w14:paraId="0BB2DF8D" w14:textId="77777777" w:rsidR="006A2DAD" w:rsidRDefault="006A2DAD">
      <w:pPr>
        <w:pStyle w:val="IASBNormalnpara"/>
        <w:rPr>
          <w:b/>
        </w:rPr>
      </w:pPr>
      <w:r>
        <w:rPr>
          <w:b/>
        </w:rPr>
        <w:t>50</w:t>
      </w:r>
      <w:r>
        <w:rPr>
          <w:b/>
        </w:rPr>
        <w:tab/>
        <w:t xml:space="preserve">Estimates of future cash flows shall not include: </w:t>
      </w:r>
    </w:p>
    <w:p w14:paraId="0BB2DF8E" w14:textId="77777777" w:rsidR="006A2DAD" w:rsidRDefault="006A2DAD">
      <w:pPr>
        <w:pStyle w:val="IASBNormalnparaL1"/>
      </w:pPr>
      <w:r>
        <w:rPr>
          <w:b/>
        </w:rPr>
        <w:t>(a)</w:t>
      </w:r>
      <w:r>
        <w:tab/>
      </w:r>
      <w:r>
        <w:rPr>
          <w:b/>
        </w:rPr>
        <w:t>cash inflows or outflows from financing activities; or</w:t>
      </w:r>
    </w:p>
    <w:p w14:paraId="0BB2DF8F" w14:textId="77777777" w:rsidR="006A2DAD" w:rsidRDefault="006A2DAD">
      <w:pPr>
        <w:pStyle w:val="IASBNormalnparaL1"/>
      </w:pPr>
      <w:r>
        <w:rPr>
          <w:b/>
        </w:rPr>
        <w:t>(b)</w:t>
      </w:r>
      <w:r>
        <w:tab/>
      </w:r>
      <w:r>
        <w:rPr>
          <w:b/>
        </w:rPr>
        <w:t>income tax receipts or payments.</w:t>
      </w:r>
    </w:p>
    <w:p w14:paraId="0BB2DF90" w14:textId="77777777" w:rsidR="006A2DAD" w:rsidRDefault="006A2DAD">
      <w:pPr>
        <w:pStyle w:val="IASBNormalnpara"/>
      </w:pPr>
      <w:r>
        <w:t>51</w:t>
      </w:r>
      <w:r>
        <w:tab/>
        <w:t>Estimated future cash flows reflect assumptions that are consistent with the way the discount rate is determined. Otherwise, the effect of some assumptions will be counted twice or ignored. Because the time value of money is considered by discounting the estimated future cash flows, these cash flows exclude cash inflows or outflows from financing activities. Similarly, because the discount rate is determined on a pre-tax basis, future cash flows are also estimated on a pre-tax basis.</w:t>
      </w:r>
    </w:p>
    <w:p w14:paraId="0BB2DF91" w14:textId="77777777" w:rsidR="006A2DAD" w:rsidRDefault="006A2DAD">
      <w:pPr>
        <w:pStyle w:val="IASBNormalnpara"/>
        <w:rPr>
          <w:b/>
        </w:rPr>
      </w:pPr>
      <w:r>
        <w:rPr>
          <w:b/>
        </w:rPr>
        <w:t>52</w:t>
      </w:r>
      <w:r>
        <w:rPr>
          <w:b/>
        </w:rPr>
        <w:tab/>
        <w:t>The estimate of net cash flows to be received (or paid) for the disposal of an asset at the end of its useful life shall be the amount that an entity expects to obtain from the disposal of the asset in an arm’s length transaction between knowledgeable, willing parties, after deducting the estimated costs of disposal.</w:t>
      </w:r>
    </w:p>
    <w:p w14:paraId="0BB2DF92" w14:textId="77777777" w:rsidR="006A2DAD" w:rsidRDefault="006A2DAD">
      <w:pPr>
        <w:pStyle w:val="IASBNormalnpara"/>
      </w:pPr>
      <w:r>
        <w:t>53</w:t>
      </w:r>
      <w:r>
        <w:tab/>
        <w:t xml:space="preserve">The estimate of net cash flows to be received (or paid) for the disposal of an asset at the end of its useful life is determined in a similar way to an asset’s fair value less costs of disposal, except that, in estimating those net cash flows: </w:t>
      </w:r>
    </w:p>
    <w:p w14:paraId="0BB2DF93" w14:textId="77777777" w:rsidR="006A2DAD" w:rsidRDefault="006A2DAD">
      <w:pPr>
        <w:pStyle w:val="IASBNormalnparaL1"/>
      </w:pPr>
      <w:r>
        <w:t>(a)</w:t>
      </w:r>
      <w:r>
        <w:tab/>
        <w:t>an entity uses prices prevailing at the date of the estimate for similar assets that have reached the end of their useful life and have operated under conditions similar to those in which the asset will be used.</w:t>
      </w:r>
    </w:p>
    <w:p w14:paraId="0BB2DF94" w14:textId="77777777" w:rsidR="006A2DAD" w:rsidRDefault="006A2DAD">
      <w:pPr>
        <w:pStyle w:val="IASBNormalnparaL1"/>
      </w:pPr>
      <w:r>
        <w:t>(b)</w:t>
      </w:r>
      <w:r>
        <w:tab/>
        <w:t>the entity adjusts those prices for the effect of both future price increases due to general inflation and specific future price increases or decreases. However, if estimates of future cash flows from the asset’s continuing use and the discount rate exclude the effect of general inflation, the entity also excludes this effect from the estimate of net cash flows on disposal.</w:t>
      </w:r>
    </w:p>
    <w:p w14:paraId="0BB2DF95" w14:textId="77777777" w:rsidR="006A2DAD" w:rsidRDefault="006A2DAD">
      <w:pPr>
        <w:pStyle w:val="IASBNormalnpara"/>
      </w:pPr>
      <w:r>
        <w:t>53A</w:t>
      </w:r>
      <w:r>
        <w:tab/>
        <w:t>Fair value differs from value in use. Fair value reflects the assumptions market participants would use when pricing the asset. In contrast, value in use reflects the effects of factors that may be specific to the entity and not applicable to entities in general. For example, fair value does not reflect any of the following factors to the extent that they would not be generally available to market participants:</w:t>
      </w:r>
    </w:p>
    <w:p w14:paraId="0BB2DF96" w14:textId="77777777" w:rsidR="006A2DAD" w:rsidRDefault="006A2DAD">
      <w:pPr>
        <w:pStyle w:val="IASBNormalnparaL1"/>
      </w:pPr>
      <w:r>
        <w:lastRenderedPageBreak/>
        <w:t>(a)</w:t>
      </w:r>
      <w:r>
        <w:tab/>
        <w:t>additional value derived from the grouping of assets (such as the creation of a portfolio of investment properties in different locations);</w:t>
      </w:r>
    </w:p>
    <w:p w14:paraId="0BB2DF97" w14:textId="77777777" w:rsidR="006A2DAD" w:rsidRDefault="006A2DAD">
      <w:pPr>
        <w:pStyle w:val="IASBNormalnparaL1"/>
      </w:pPr>
      <w:r>
        <w:t>(b)</w:t>
      </w:r>
      <w:r>
        <w:tab/>
        <w:t>synergies between the asset being measured and other assets;</w:t>
      </w:r>
    </w:p>
    <w:p w14:paraId="0BB2DF98" w14:textId="77777777" w:rsidR="006A2DAD" w:rsidRDefault="006A2DAD">
      <w:pPr>
        <w:pStyle w:val="IASBNormalnparaL1"/>
      </w:pPr>
      <w:r>
        <w:t>(c)</w:t>
      </w:r>
      <w:r>
        <w:tab/>
        <w:t>legal rights or legal restrictions that are specific only to the current owner of the asset; and</w:t>
      </w:r>
    </w:p>
    <w:p w14:paraId="0BB2DF99" w14:textId="77777777" w:rsidR="006A2DAD" w:rsidRDefault="006A2DAD">
      <w:pPr>
        <w:pStyle w:val="IASBNormalnparaL1"/>
      </w:pPr>
      <w:r>
        <w:t>(d)</w:t>
      </w:r>
      <w:r>
        <w:tab/>
        <w:t>tax benefits or tax burdens that are specific to the current owner of the asset.</w:t>
      </w:r>
    </w:p>
    <w:p w14:paraId="0BB2DF9A" w14:textId="77777777" w:rsidR="006A2DAD" w:rsidRDefault="006A2DAD">
      <w:pPr>
        <w:pStyle w:val="IASBSectionTitle3Ind"/>
      </w:pPr>
      <w:r>
        <w:t>Foreign currency future cash flows</w:t>
      </w:r>
    </w:p>
    <w:p w14:paraId="0BB2DF9B" w14:textId="77777777" w:rsidR="006A2DAD" w:rsidRDefault="006A2DAD">
      <w:pPr>
        <w:pStyle w:val="IASBNormalnpara"/>
      </w:pPr>
      <w:r>
        <w:t>54</w:t>
      </w:r>
      <w:r>
        <w:tab/>
        <w:t>Future cash flows are estimated in the currency in which they will be generated and then discounted using a discount rate appropriate for that currency. An entity translates the present value using the spot exchange rate at the date of the value in use calculation.</w:t>
      </w:r>
    </w:p>
    <w:p w14:paraId="0BB2DF9C" w14:textId="77777777" w:rsidR="006A2DAD" w:rsidRDefault="006A2DAD">
      <w:pPr>
        <w:pStyle w:val="IASBSectionTitle3Ind"/>
      </w:pPr>
      <w:r>
        <w:t>Discount rate</w:t>
      </w:r>
    </w:p>
    <w:p w14:paraId="0BB2DF9D" w14:textId="77777777" w:rsidR="006A2DAD" w:rsidRDefault="006A2DAD">
      <w:pPr>
        <w:pStyle w:val="IASBNormalnpara"/>
        <w:rPr>
          <w:b/>
        </w:rPr>
      </w:pPr>
      <w:r>
        <w:rPr>
          <w:b/>
        </w:rPr>
        <w:t>55</w:t>
      </w:r>
      <w:r>
        <w:rPr>
          <w:b/>
        </w:rPr>
        <w:tab/>
        <w:t xml:space="preserve">The discount rate (rates) shall be a pre-tax rate (rates) that reflect(s) current market assessments of: </w:t>
      </w:r>
    </w:p>
    <w:p w14:paraId="0BB2DF9E" w14:textId="77777777" w:rsidR="006A2DAD" w:rsidRDefault="006A2DAD">
      <w:pPr>
        <w:pStyle w:val="IASBNormalnparaL1"/>
      </w:pPr>
      <w:r>
        <w:rPr>
          <w:b/>
        </w:rPr>
        <w:t>(a)</w:t>
      </w:r>
      <w:r>
        <w:tab/>
      </w:r>
      <w:r>
        <w:rPr>
          <w:b/>
        </w:rPr>
        <w:t>the time value of money; and</w:t>
      </w:r>
    </w:p>
    <w:p w14:paraId="0BB2DF9F" w14:textId="77777777" w:rsidR="006A2DAD" w:rsidRDefault="006A2DAD">
      <w:pPr>
        <w:pStyle w:val="IASBNormalnparaL1"/>
      </w:pPr>
      <w:r>
        <w:rPr>
          <w:b/>
        </w:rPr>
        <w:t>(b)</w:t>
      </w:r>
      <w:r>
        <w:tab/>
      </w:r>
      <w:r>
        <w:rPr>
          <w:b/>
        </w:rPr>
        <w:t>the risks specific to the asset for which the future cash flow estimates have not been adjusted.</w:t>
      </w:r>
    </w:p>
    <w:p w14:paraId="0BB2DFA0" w14:textId="77777777" w:rsidR="006A2DAD" w:rsidRDefault="006A2DAD">
      <w:pPr>
        <w:pStyle w:val="IASBNormalnpara"/>
      </w:pPr>
      <w:r>
        <w:t>56</w:t>
      </w:r>
      <w:r>
        <w:tab/>
        <w:t>A rate that reflects current market assessments of the time value of money and the risks specific to the asset is the return that investors would require if they were to choose an investment that would generate cash flows of amounts, timing and risk profile equivalent to those that the entity expects to derive from the asset. This rate is estimated from the rate implicit in current market transactions for similar assets or from the weighted average cost of capital of a listed entity that has a single asset (or a portfolio of assets) similar in terms of service potential and risks to the asset under review. However, the discount rate(s) used to measure an asset’s value in use shall not reflect risks for which the future cash flow estimates have been adjusted. Otherwise, the effect of some assumptions will be double-counted.</w:t>
      </w:r>
    </w:p>
    <w:p w14:paraId="0BB2DFA1" w14:textId="77777777" w:rsidR="006A2DAD" w:rsidRDefault="006A2DAD">
      <w:pPr>
        <w:pStyle w:val="IASBNormalnpara"/>
      </w:pPr>
      <w:r>
        <w:t>57</w:t>
      </w:r>
      <w:r>
        <w:tab/>
        <w:t>When an asset-specific rate is not directly available from the market, an entity uses surrogates to estimate the discount rate. Appendix A provides additional guidance on estimating the discount rate in such circumstances.</w:t>
      </w:r>
    </w:p>
    <w:p w14:paraId="0BB2DFA2" w14:textId="77777777" w:rsidR="006A2DAD" w:rsidRDefault="006A2DAD">
      <w:pPr>
        <w:pStyle w:val="IASBSectionTitle1NonInd"/>
      </w:pPr>
      <w:r>
        <w:t>Recognising and measuring an impairment loss</w:t>
      </w:r>
    </w:p>
    <w:p w14:paraId="0BB2DFA3" w14:textId="77777777" w:rsidR="006A2DAD" w:rsidRDefault="006A2DAD">
      <w:pPr>
        <w:pStyle w:val="IASBNormalnpara"/>
      </w:pPr>
      <w:r>
        <w:t>58</w:t>
      </w:r>
      <w:r>
        <w:tab/>
        <w:t>Paragraphs 59–64 set out the requirements for recognising and measuring impairment losses for an individual asset other than goodwill. Recognising and measuring impairment losses for cash-generating units and goodwill are dealt with in paragraphs 65–108.</w:t>
      </w:r>
    </w:p>
    <w:p w14:paraId="0BB2DFA4" w14:textId="77777777" w:rsidR="006A2DAD" w:rsidRDefault="006A2DAD">
      <w:pPr>
        <w:pStyle w:val="IASBNormalnpara"/>
        <w:rPr>
          <w:b/>
        </w:rPr>
      </w:pPr>
      <w:r>
        <w:rPr>
          <w:b/>
        </w:rPr>
        <w:t>59</w:t>
      </w:r>
      <w:r>
        <w:rPr>
          <w:b/>
        </w:rPr>
        <w:tab/>
        <w:t>If, and only if, the recoverable amount of an asset is less than its carrying amount, the carrying amount of the asset shall be reduced to its recoverable amount. That reduction is an impairment loss.</w:t>
      </w:r>
    </w:p>
    <w:p w14:paraId="0BB2DFA5" w14:textId="77777777" w:rsidR="006A2DAD" w:rsidRDefault="006A2DAD">
      <w:pPr>
        <w:pStyle w:val="IASBNormalnpara"/>
        <w:rPr>
          <w:b/>
        </w:rPr>
      </w:pPr>
      <w:r>
        <w:rPr>
          <w:b/>
        </w:rPr>
        <w:t>60</w:t>
      </w:r>
      <w:r>
        <w:rPr>
          <w:b/>
        </w:rPr>
        <w:tab/>
        <w:t>An impairment loss shall be recognised immediately in profit or loss, unless the asset is carried at revalued amount in accordance with another Standard (for example, in accordance with the revaluation model in</w:t>
      </w:r>
      <w:r w:rsidR="002D17D4">
        <w:rPr>
          <w:b/>
        </w:rPr>
        <w:t xml:space="preserve"> AASB 116</w:t>
      </w:r>
      <w:r>
        <w:rPr>
          <w:b/>
        </w:rPr>
        <w:t>). Any impairment loss of a revalued asset shall be treated as a revaluation decrease in accordance with that other Standard.</w:t>
      </w:r>
    </w:p>
    <w:p w14:paraId="0BB2DFA6" w14:textId="77777777" w:rsidR="006A2DAD" w:rsidRDefault="006A2DAD">
      <w:pPr>
        <w:pStyle w:val="IASBNormalnpara"/>
      </w:pPr>
      <w:r>
        <w:t>61</w:t>
      </w:r>
      <w:r>
        <w:tab/>
        <w:t>An impairment loss on a non-revalued asset is recognised in profit or loss. However, an impairment loss on a revalued asset is recognised in other comprehensive income to the extent that the impairment loss does not exceed the amount in the revaluation surplus for that same asset. Such an impairment loss on a revalued asset reduces the revaluation surplus for that asset.</w:t>
      </w:r>
    </w:p>
    <w:p w14:paraId="0BB2DFA7" w14:textId="77777777" w:rsidR="009135DD" w:rsidRDefault="009135DD" w:rsidP="009135DD">
      <w:pPr>
        <w:pStyle w:val="AusPlain"/>
      </w:pPr>
      <w:r>
        <w:t>Aus61.1</w:t>
      </w:r>
      <w:r>
        <w:tab/>
      </w:r>
      <w:r w:rsidRPr="00036CA6">
        <w:t>Notwithstanding paragraph 61, in respect of not-for-profit entities, an impairment loss on a revalued asset is recognised in other comprehensive income to the extent that the impairment loss does not exceed the amount in the revaluation surplus for the class of asset. Such an impairment loss on a revalued asset reduces the revaluation surplus for the class of asset.</w:t>
      </w:r>
    </w:p>
    <w:p w14:paraId="0BB2DFA8" w14:textId="77777777" w:rsidR="006A2DAD" w:rsidRDefault="006A2DAD">
      <w:pPr>
        <w:pStyle w:val="IASBNormalnpara"/>
        <w:rPr>
          <w:b/>
        </w:rPr>
      </w:pPr>
      <w:r>
        <w:rPr>
          <w:b/>
        </w:rPr>
        <w:t>62</w:t>
      </w:r>
      <w:r>
        <w:rPr>
          <w:b/>
        </w:rPr>
        <w:tab/>
        <w:t>When the amount estimated for an impairment loss is greater than the carrying amount of the asset to which it relates, an entity shall recognise a liability if, and only if, that is required by another Standard.</w:t>
      </w:r>
    </w:p>
    <w:p w14:paraId="0BB2DFA9" w14:textId="77777777" w:rsidR="006A2DAD" w:rsidRDefault="006A2DAD">
      <w:pPr>
        <w:pStyle w:val="IASBNormalnpara"/>
        <w:rPr>
          <w:b/>
        </w:rPr>
      </w:pPr>
      <w:r>
        <w:rPr>
          <w:b/>
        </w:rPr>
        <w:t>63</w:t>
      </w:r>
      <w:r>
        <w:rPr>
          <w:b/>
        </w:rPr>
        <w:tab/>
        <w:t>After the recognition of an impairment loss, the depreciation (amortisation) charge for the asset shall be adjusted in future periods to allocate the asset’s revised carrying amount, less its residual value (if any), on a systematic basis over its remaining useful life.</w:t>
      </w:r>
    </w:p>
    <w:p w14:paraId="0BB2DFAA" w14:textId="77777777" w:rsidR="006A2DAD" w:rsidRDefault="006A2DAD">
      <w:pPr>
        <w:pStyle w:val="IASBNormalnpara"/>
      </w:pPr>
      <w:r>
        <w:lastRenderedPageBreak/>
        <w:t>64</w:t>
      </w:r>
      <w:r>
        <w:tab/>
        <w:t>If an impairment loss is recognised, any related deferred tax assets or liabilities are determined in accordance with</w:t>
      </w:r>
      <w:r w:rsidR="002D17D4">
        <w:t xml:space="preserve"> AASB 112</w:t>
      </w:r>
      <w:r>
        <w:t xml:space="preserve"> by comparing the revised carrying amount of the asset with its tax base (see Illustrative Example 3).</w:t>
      </w:r>
    </w:p>
    <w:p w14:paraId="0BB2DFAB" w14:textId="77777777" w:rsidR="006A2DAD" w:rsidRDefault="006A2DAD">
      <w:pPr>
        <w:pStyle w:val="IASBSectionTitle1NonInd"/>
      </w:pPr>
      <w:r>
        <w:t>Cash-generating units and goodwill</w:t>
      </w:r>
    </w:p>
    <w:p w14:paraId="0BB2DFAC" w14:textId="77777777" w:rsidR="006A2DAD" w:rsidRDefault="006A2DAD">
      <w:pPr>
        <w:pStyle w:val="IASBNormalnpara"/>
      </w:pPr>
      <w:r>
        <w:t>65</w:t>
      </w:r>
      <w:r>
        <w:tab/>
        <w:t>Paragraphs 66–108 and Appendix C set out the requirements for identifying the cash-generating unit to which an asset belongs and determining the carrying amount of, and recognising impairment losses for, cash-generating units and goodwill.</w:t>
      </w:r>
    </w:p>
    <w:p w14:paraId="0BB2DFAD" w14:textId="77777777" w:rsidR="006A2DAD" w:rsidRDefault="006A2DAD">
      <w:pPr>
        <w:pStyle w:val="IASBSectionTitle2Ind"/>
      </w:pPr>
      <w:r>
        <w:t>Identifying the cash-generating unit to which an asset belongs</w:t>
      </w:r>
    </w:p>
    <w:p w14:paraId="0BB2DFAE" w14:textId="77777777" w:rsidR="006A2DAD" w:rsidRDefault="006A2DAD">
      <w:pPr>
        <w:pStyle w:val="IASBNormalnpara"/>
        <w:rPr>
          <w:b/>
        </w:rPr>
      </w:pPr>
      <w:r>
        <w:rPr>
          <w:b/>
        </w:rPr>
        <w:t>66</w:t>
      </w:r>
      <w:r>
        <w:rPr>
          <w:b/>
        </w:rPr>
        <w:tab/>
        <w:t>If there is any indication that an asset may be impaired, recoverable amount shall be estimated for the individual asset. If it is not possible to estimate the recoverable amount of the individual asset, an entity shall determine the recoverable amount of the cash-generating unit to which the asset belongs (the asset’s cash-generating unit).</w:t>
      </w:r>
    </w:p>
    <w:p w14:paraId="0BB2DFAF" w14:textId="77777777" w:rsidR="006A2DAD" w:rsidRDefault="006A2DAD">
      <w:pPr>
        <w:pStyle w:val="IASBNormalnpara"/>
      </w:pPr>
      <w:r>
        <w:t>67</w:t>
      </w:r>
      <w:r>
        <w:tab/>
        <w:t xml:space="preserve">The recoverable amount of an individual asset cannot be determined if: </w:t>
      </w:r>
    </w:p>
    <w:p w14:paraId="0BB2DFB0" w14:textId="77777777" w:rsidR="006A2DAD" w:rsidRDefault="006A2DAD">
      <w:pPr>
        <w:pStyle w:val="IASBNormalnparaL1"/>
      </w:pPr>
      <w:r>
        <w:t>(a)</w:t>
      </w:r>
      <w:r>
        <w:tab/>
        <w:t>the asset’s value in use cannot be estimated to be close to its fair value less costs of disposal (for example, when the future cash flows from continuing use of the asset cannot be estimated to be negligible); and</w:t>
      </w:r>
    </w:p>
    <w:p w14:paraId="0BB2DFB1" w14:textId="77777777" w:rsidR="006A2DAD" w:rsidRDefault="006A2DAD">
      <w:pPr>
        <w:pStyle w:val="IASBNormalnparaL1"/>
      </w:pPr>
      <w:r>
        <w:t>(b)</w:t>
      </w:r>
      <w:r>
        <w:tab/>
        <w:t>the asset does not generate cash inflows that are largely independent of those from other assets.</w:t>
      </w:r>
    </w:p>
    <w:p w14:paraId="0BB2DFB2" w14:textId="77777777" w:rsidR="006A2DAD" w:rsidRDefault="006A2DAD">
      <w:pPr>
        <w:pStyle w:val="IASBNormalnparaP"/>
      </w:pPr>
      <w:r>
        <w:t>In such cases, value in use and, therefore, recoverable amount, can be determined only for the asset’s cash-generating unit.</w:t>
      </w:r>
    </w:p>
    <w:p w14:paraId="0BB2DFB3" w14:textId="77777777" w:rsidR="006A2DAD" w:rsidRDefault="006A2DAD">
      <w:pPr>
        <w:pStyle w:val="IASBNormalnpara"/>
      </w:pPr>
    </w:p>
    <w:tbl>
      <w:tblPr>
        <w:tblW w:w="0" w:type="auto"/>
        <w:tblInd w:w="964" w:type="dxa"/>
        <w:tblLayout w:type="fixed"/>
        <w:tblLook w:val="0000" w:firstRow="0" w:lastRow="0" w:firstColumn="0" w:lastColumn="0" w:noHBand="0" w:noVBand="0"/>
        <w:tblCaption w:val="AASB 136 Table 1"/>
      </w:tblPr>
      <w:tblGrid>
        <w:gridCol w:w="8244"/>
      </w:tblGrid>
      <w:tr w:rsidR="006A2DAD" w14:paraId="0BB2DFB5" w14:textId="77777777">
        <w:trPr>
          <w:cantSplit/>
          <w:tblHeader/>
        </w:trPr>
        <w:tc>
          <w:tcPr>
            <w:tcW w:w="8244" w:type="dxa"/>
            <w:tcBorders>
              <w:top w:val="single" w:sz="4" w:space="0" w:color="auto"/>
              <w:left w:val="single" w:sz="4" w:space="0" w:color="auto"/>
              <w:bottom w:val="single" w:sz="4" w:space="0" w:color="auto"/>
              <w:right w:val="single" w:sz="4" w:space="0" w:color="auto"/>
            </w:tcBorders>
          </w:tcPr>
          <w:p w14:paraId="0BB2DFB4" w14:textId="77777777" w:rsidR="006A2DAD" w:rsidRDefault="006A2DAD" w:rsidP="00AF49EE">
            <w:pPr>
              <w:pStyle w:val="IASBTableHeaderArial"/>
              <w:spacing w:after="120"/>
            </w:pPr>
            <w:r>
              <w:rPr>
                <w:b/>
              </w:rPr>
              <w:t>Example</w:t>
            </w:r>
          </w:p>
        </w:tc>
      </w:tr>
      <w:tr w:rsidR="006A2DAD" w14:paraId="0BB2DFB8" w14:textId="77777777" w:rsidTr="00B57BD2">
        <w:trPr>
          <w:cantSplit/>
        </w:trPr>
        <w:tc>
          <w:tcPr>
            <w:tcW w:w="8244" w:type="dxa"/>
            <w:tcBorders>
              <w:top w:val="nil"/>
              <w:left w:val="single" w:sz="4" w:space="0" w:color="auto"/>
              <w:bottom w:val="single" w:sz="4" w:space="0" w:color="auto"/>
              <w:right w:val="single" w:sz="4" w:space="0" w:color="auto"/>
            </w:tcBorders>
            <w:tcMar>
              <w:bottom w:w="28" w:type="dxa"/>
            </w:tcMar>
          </w:tcPr>
          <w:p w14:paraId="0BB2DFB6" w14:textId="77777777" w:rsidR="006A2DAD" w:rsidRDefault="006A2DAD">
            <w:pPr>
              <w:pStyle w:val="IASBTableTNR"/>
            </w:pPr>
            <w:r>
              <w:t>A mining entity owns a private railway to support its mining activities. The private railway could be sold only for scrap value and it does not generate cash inflows that are largely independent of the cash inflows from the other assets of the mine.</w:t>
            </w:r>
          </w:p>
          <w:p w14:paraId="0BB2DFB7" w14:textId="77777777" w:rsidR="006A2DAD" w:rsidRDefault="006A2DAD">
            <w:pPr>
              <w:pStyle w:val="IASBTableTNR"/>
            </w:pPr>
            <w:r>
              <w:rPr>
                <w:i/>
              </w:rPr>
              <w:t>It is not possible to estimate the recoverable amount of the private railway because its value in use cannot be determined and is probably different from scrap value. Therefore, the entity estimates the recoverable amount of the cash-generating unit to which the private railway belongs, ie the mine as a whole.</w:t>
            </w:r>
          </w:p>
        </w:tc>
      </w:tr>
    </w:tbl>
    <w:p w14:paraId="0BB2DFB9" w14:textId="77777777" w:rsidR="006A2DAD" w:rsidRDefault="006A2DAD">
      <w:pPr>
        <w:pStyle w:val="IASBNormalnpara"/>
      </w:pPr>
    </w:p>
    <w:p w14:paraId="0BB2DFBA" w14:textId="77777777" w:rsidR="006A2DAD" w:rsidRDefault="006A2DAD">
      <w:pPr>
        <w:pStyle w:val="IASBNormalnpara"/>
      </w:pPr>
      <w:r>
        <w:t>68</w:t>
      </w:r>
      <w:r>
        <w:tab/>
        <w:t xml:space="preserve">As defined in paragraph 6, an asset’s cash-generating unit is the smallest group of assets that includes the asset and generates cash inflows that are largely independent of the cash inflows from other assets or groups of assets. Identification of an asset’s cash-generating unit involves judgement. If recoverable amount cannot be determined for an individual asset, an entity identifies the lowest aggregation of assets that generate largely independent cash inflows. </w:t>
      </w:r>
    </w:p>
    <w:p w14:paraId="0BB2DFBB" w14:textId="77777777" w:rsidR="006A2DAD" w:rsidRDefault="006A2DAD">
      <w:pPr>
        <w:pStyle w:val="IASBNormalnpara"/>
      </w:pPr>
    </w:p>
    <w:tbl>
      <w:tblPr>
        <w:tblW w:w="0" w:type="auto"/>
        <w:tblInd w:w="964" w:type="dxa"/>
        <w:tblLayout w:type="fixed"/>
        <w:tblLook w:val="0000" w:firstRow="0" w:lastRow="0" w:firstColumn="0" w:lastColumn="0" w:noHBand="0" w:noVBand="0"/>
        <w:tblCaption w:val="AASB 136 Table 2"/>
      </w:tblPr>
      <w:tblGrid>
        <w:gridCol w:w="8244"/>
      </w:tblGrid>
      <w:tr w:rsidR="006A2DAD" w14:paraId="0BB2DFBD" w14:textId="77777777">
        <w:trPr>
          <w:cantSplit/>
          <w:tblHeader/>
        </w:trPr>
        <w:tc>
          <w:tcPr>
            <w:tcW w:w="8244" w:type="dxa"/>
            <w:tcBorders>
              <w:top w:val="single" w:sz="4" w:space="0" w:color="auto"/>
              <w:left w:val="single" w:sz="4" w:space="0" w:color="auto"/>
              <w:bottom w:val="single" w:sz="4" w:space="0" w:color="auto"/>
              <w:right w:val="single" w:sz="4" w:space="0" w:color="auto"/>
            </w:tcBorders>
          </w:tcPr>
          <w:p w14:paraId="0BB2DFBC" w14:textId="77777777" w:rsidR="006A2DAD" w:rsidRDefault="006A2DAD" w:rsidP="00AF49EE">
            <w:pPr>
              <w:pStyle w:val="IASBTableHeaderArial"/>
              <w:spacing w:after="120"/>
            </w:pPr>
            <w:r>
              <w:rPr>
                <w:b/>
              </w:rPr>
              <w:t>Example</w:t>
            </w:r>
          </w:p>
        </w:tc>
      </w:tr>
      <w:tr w:rsidR="006A2DAD" w14:paraId="0BB2DFC0" w14:textId="77777777" w:rsidTr="00E43A59">
        <w:trPr>
          <w:cantSplit/>
        </w:trPr>
        <w:tc>
          <w:tcPr>
            <w:tcW w:w="8244" w:type="dxa"/>
            <w:tcBorders>
              <w:top w:val="nil"/>
              <w:left w:val="single" w:sz="4" w:space="0" w:color="auto"/>
              <w:bottom w:val="single" w:sz="4" w:space="0" w:color="auto"/>
              <w:right w:val="single" w:sz="4" w:space="0" w:color="auto"/>
            </w:tcBorders>
            <w:tcMar>
              <w:bottom w:w="28" w:type="dxa"/>
            </w:tcMar>
          </w:tcPr>
          <w:p w14:paraId="0BB2DFBE" w14:textId="77777777" w:rsidR="006A2DAD" w:rsidRDefault="006A2DAD">
            <w:pPr>
              <w:pStyle w:val="IASBTableTNR"/>
            </w:pPr>
            <w:r>
              <w:t>A bus company provides services under contract with a municipality that requires minimum service on each of five separate routes. Assets devoted to each route and the cash flows from each route can be identified separately. One of the routes operates at a significant loss.</w:t>
            </w:r>
          </w:p>
          <w:p w14:paraId="0BB2DFBF" w14:textId="77777777" w:rsidR="006A2DAD" w:rsidRDefault="006A2DAD">
            <w:pPr>
              <w:pStyle w:val="IASBTableTNR"/>
            </w:pPr>
            <w:r>
              <w:rPr>
                <w:i/>
              </w:rPr>
              <w:t>Because the entity does not have the option to curtail any one bus route, the lowest level of identifiable cash inflows that are largely independent of the cash inflows from other assets or groups of assets is the cash inflows generated by the five routes together. The cash-generating unit for each route is the bus company as a whole.</w:t>
            </w:r>
          </w:p>
        </w:tc>
      </w:tr>
    </w:tbl>
    <w:p w14:paraId="0BB2DFC1" w14:textId="77777777" w:rsidR="006A2DAD" w:rsidRDefault="006A2DAD">
      <w:pPr>
        <w:pStyle w:val="IASBNormalnpara"/>
      </w:pPr>
    </w:p>
    <w:p w14:paraId="0BB2DFC2" w14:textId="77777777" w:rsidR="006A2DAD" w:rsidRDefault="006A2DAD">
      <w:pPr>
        <w:pStyle w:val="IASBNormalnpara"/>
      </w:pPr>
      <w:r>
        <w:t>69</w:t>
      </w:r>
      <w:r>
        <w:tab/>
        <w:t xml:space="preserve">Cash inflows are inflows of cash and cash equivalents received from parties external to the entity. In identifying whether cash inflows from an asset (or group of assets) are largely independent of the cash inflows from other assets (or groups of assets), an entity considers various factors including how management monitors the entity’s operations (such as by product lines, businesses, individual locations, </w:t>
      </w:r>
      <w:r>
        <w:lastRenderedPageBreak/>
        <w:t>districts or regional areas) or how management makes decisions about continuing or disposing of the entity’s assets and operations. Illustrative Example 1 gives examples of identification of a cash-generating unit.</w:t>
      </w:r>
    </w:p>
    <w:p w14:paraId="0BB2DFC3" w14:textId="77777777" w:rsidR="006A2DAD" w:rsidRDefault="006A2DAD">
      <w:pPr>
        <w:pStyle w:val="IASBNormalnpara"/>
        <w:rPr>
          <w:b/>
        </w:rPr>
      </w:pPr>
      <w:r>
        <w:rPr>
          <w:b/>
        </w:rPr>
        <w:t>70</w:t>
      </w:r>
      <w:r>
        <w:rPr>
          <w:b/>
        </w:rPr>
        <w:tab/>
        <w:t xml:space="preserve">If an active market exists for the output produced by an asset or group of assets, that asset or group of assets shall be identified as a cash-generating unit, even if some or all of the output is used internally. If the cash inflows generated by any asset or cash-generating unit are affected by internal transfer pricing, an entity shall use management’s best estimate of future price(s) that could be achieved in arm’s length transactions in estimating: </w:t>
      </w:r>
    </w:p>
    <w:p w14:paraId="0BB2DFC4" w14:textId="77777777" w:rsidR="006A2DAD" w:rsidRDefault="006A2DAD">
      <w:pPr>
        <w:pStyle w:val="IASBNormalnparaL1"/>
      </w:pPr>
      <w:r>
        <w:rPr>
          <w:b/>
        </w:rPr>
        <w:t>(a)</w:t>
      </w:r>
      <w:r>
        <w:tab/>
      </w:r>
      <w:r>
        <w:rPr>
          <w:b/>
        </w:rPr>
        <w:t>the future cash inflows used to determine the asset’s or cash-generating unit’s value in use; and</w:t>
      </w:r>
    </w:p>
    <w:p w14:paraId="0BB2DFC5" w14:textId="77777777" w:rsidR="006A2DAD" w:rsidRDefault="006A2DAD">
      <w:pPr>
        <w:pStyle w:val="IASBNormalnparaL1"/>
      </w:pPr>
      <w:r>
        <w:rPr>
          <w:b/>
        </w:rPr>
        <w:t>(b)</w:t>
      </w:r>
      <w:r>
        <w:tab/>
      </w:r>
      <w:r>
        <w:rPr>
          <w:b/>
        </w:rPr>
        <w:t>the future cash outflows used to determine the value in use of any other assets or cash-generating units that are affected by the internal transfer pricing.</w:t>
      </w:r>
    </w:p>
    <w:p w14:paraId="0BB2DFC6" w14:textId="77777777" w:rsidR="006A2DAD" w:rsidRDefault="006A2DAD">
      <w:pPr>
        <w:pStyle w:val="IASBNormalnpara"/>
      </w:pPr>
      <w:r>
        <w:t>71</w:t>
      </w:r>
      <w:r>
        <w:tab/>
        <w:t>Even if part or all of the output produced by an asset or a group of assets is used by other units of the entity (for example, products at an intermediate stage of a production process), this asset or group of assets forms a separate cash-generating unit if the entity could sell the output on an active market. This is because the asset or group of assets could generate cash inflows that would be largely independent of the cash inflows from other assets or groups of assets. In using information based on financial budgets/forecasts that relates to such a cash-generating unit, or to any other asset or cash-generating unit affected by internal transfer pricing, an entity adjusts this information if internal transfer prices do not reflect management’s best estimate of future prices that could be achieved in arm’s length transactions.</w:t>
      </w:r>
    </w:p>
    <w:p w14:paraId="0BB2DFC7" w14:textId="77777777" w:rsidR="006A2DAD" w:rsidRDefault="006A2DAD">
      <w:pPr>
        <w:pStyle w:val="IASBNormalnpara"/>
        <w:rPr>
          <w:b/>
        </w:rPr>
      </w:pPr>
      <w:r>
        <w:rPr>
          <w:b/>
        </w:rPr>
        <w:t>72</w:t>
      </w:r>
      <w:r>
        <w:rPr>
          <w:b/>
        </w:rPr>
        <w:tab/>
        <w:t>Cash-generating units shall be identified consistently from period to period for the same asset or types of assets, unless a change is justified.</w:t>
      </w:r>
    </w:p>
    <w:p w14:paraId="0BB2DFC8" w14:textId="77777777" w:rsidR="006A2DAD" w:rsidRDefault="006A2DAD">
      <w:pPr>
        <w:pStyle w:val="IASBNormalnpara"/>
      </w:pPr>
      <w:r>
        <w:t>73</w:t>
      </w:r>
      <w:r>
        <w:tab/>
        <w:t>If an entity determines that an asset belongs to a cash-generating unit different from that in previous periods, or that the types of assets aggregated for the asset’s cash-generating unit have changed, paragraph 130 requires disclosures about the cash-generating unit, if an impairment loss is recognised or reversed for the cash-generating unit.</w:t>
      </w:r>
    </w:p>
    <w:p w14:paraId="0BB2DFC9" w14:textId="77777777" w:rsidR="006A2DAD" w:rsidRDefault="006A2DAD">
      <w:pPr>
        <w:pStyle w:val="IASBSectionTitle2Ind"/>
      </w:pPr>
      <w:r>
        <w:t>Recoverable amount and carrying amount of a cash-generating unit</w:t>
      </w:r>
    </w:p>
    <w:p w14:paraId="0BB2DFCA" w14:textId="77777777" w:rsidR="006A2DAD" w:rsidRDefault="006A2DAD">
      <w:pPr>
        <w:pStyle w:val="IASBNormalnpara"/>
      </w:pPr>
      <w:r>
        <w:t>74</w:t>
      </w:r>
      <w:r>
        <w:tab/>
        <w:t>The recoverable amount of a cash-generating unit is the higher of the cash-generating unit’s fair value less costs of disposal and its value in use. For the purpose of determining the recoverable amount of a cash-generating unit, any reference in paragraphs 19–57 to ‘an asset’ is read as a reference to ‘a cash-generating unit’.</w:t>
      </w:r>
    </w:p>
    <w:p w14:paraId="0BB2DFCB" w14:textId="77777777" w:rsidR="006A2DAD" w:rsidRDefault="006A2DAD">
      <w:pPr>
        <w:pStyle w:val="IASBNormalnpara"/>
        <w:rPr>
          <w:b/>
        </w:rPr>
      </w:pPr>
      <w:r>
        <w:rPr>
          <w:b/>
        </w:rPr>
        <w:t>75</w:t>
      </w:r>
      <w:r>
        <w:rPr>
          <w:b/>
        </w:rPr>
        <w:tab/>
        <w:t>The carrying amount of a cash-generating unit shall be determined on a basis consistent with the way the recoverable amount of the cash-generating unit is determined.</w:t>
      </w:r>
    </w:p>
    <w:p w14:paraId="0BB2DFCC" w14:textId="77777777" w:rsidR="006A2DAD" w:rsidRDefault="006A2DAD">
      <w:pPr>
        <w:pStyle w:val="IASBNormalnpara"/>
      </w:pPr>
      <w:r>
        <w:t>76</w:t>
      </w:r>
      <w:r>
        <w:tab/>
        <w:t xml:space="preserve">The carrying amount of a cash-generating unit: </w:t>
      </w:r>
    </w:p>
    <w:p w14:paraId="0BB2DFCD" w14:textId="77777777" w:rsidR="006A2DAD" w:rsidRDefault="006A2DAD">
      <w:pPr>
        <w:pStyle w:val="IASBNormalnparaL1"/>
      </w:pPr>
      <w:r>
        <w:t>(a)</w:t>
      </w:r>
      <w:r>
        <w:tab/>
        <w:t>includes the carrying amount of only those assets that can be attributed directly, or allocated on a reasonable and consistent basis, to the cash-generating unit and will generate the future cash inflows used in determining the cash-generating unit’s value in use; and</w:t>
      </w:r>
    </w:p>
    <w:p w14:paraId="0BB2DFCE" w14:textId="77777777" w:rsidR="006A2DAD" w:rsidRDefault="006A2DAD">
      <w:pPr>
        <w:pStyle w:val="IASBNormalnparaL1"/>
      </w:pPr>
      <w:r>
        <w:t>(b)</w:t>
      </w:r>
      <w:r>
        <w:tab/>
        <w:t>does not include the carrying amount of any recognised liability, unless the recoverable amount of the cash-generating unit cannot be determined without consideration of this liability.</w:t>
      </w:r>
    </w:p>
    <w:p w14:paraId="0BB2DFCF" w14:textId="77777777" w:rsidR="006A2DAD" w:rsidRDefault="006A2DAD">
      <w:pPr>
        <w:pStyle w:val="IASBNormalnparaP"/>
      </w:pPr>
      <w:r>
        <w:t>This is because fair value less costs of disposal and value in use of a cash-generating unit are determined excluding cash flows that relate to assets that are not part of the cash-generating unit and liabilities that have been recognised (see paragraphs 28 and 43).</w:t>
      </w:r>
    </w:p>
    <w:p w14:paraId="0BB2DFD0" w14:textId="77777777" w:rsidR="006A2DAD" w:rsidRDefault="006A2DAD">
      <w:pPr>
        <w:pStyle w:val="IASBNormalnpara"/>
      </w:pPr>
      <w:r>
        <w:t>77</w:t>
      </w:r>
      <w:r>
        <w:tab/>
        <w:t>When assets are grouped for recoverability assessments, it is important to include in the cash-generating unit all assets that generate or are used to generate the relevant stream of cash inflows. Otherwise, the cash-generating unit may appear to be fully recoverable when in fact an impairment loss has occurred. In some cases, although some assets contribute to the estimated future cash flows of a cash-generating unit, they cannot be allocated to the cash-generating unit on a reasonable and consistent basis. This might be the case for goodwill or corporate assets such as head office assets. Paragraphs 80–103 explain how to deal with these assets in testing a cash-generating unit for impairment.</w:t>
      </w:r>
    </w:p>
    <w:p w14:paraId="0BB2DFD1" w14:textId="77777777" w:rsidR="006A2DAD" w:rsidRDefault="006A2DAD">
      <w:pPr>
        <w:pStyle w:val="IASBNormalnpara"/>
      </w:pPr>
      <w:r>
        <w:t>78</w:t>
      </w:r>
      <w:r>
        <w:tab/>
        <w:t xml:space="preserve">It may be necessary to consider some recognised liabilities to determine the recoverable amount of a cash-generating unit. This may occur if the disposal of a cash-generating unit would require the buyer to assume the liability. In this case, the fair value less costs of disposal (or the estimated cash flow from ultimate disposal) of the cash-generating unit is the price to sell the assets of the cash-generating unit and the liability together, less the costs of disposal. To perform a meaningful comparison between the carrying amount of </w:t>
      </w:r>
      <w:r>
        <w:lastRenderedPageBreak/>
        <w:t>the cash-generating unit and its recoverable amount, the carrying amount of the liability is deducted in determining both the cash-generating unit’s value in use and its carrying amount.</w:t>
      </w:r>
    </w:p>
    <w:p w14:paraId="0BB2DFD2" w14:textId="77777777" w:rsidR="006A2DAD" w:rsidRDefault="006A2DAD">
      <w:pPr>
        <w:pStyle w:val="IASBNormalnpara"/>
      </w:pPr>
    </w:p>
    <w:tbl>
      <w:tblPr>
        <w:tblW w:w="0" w:type="auto"/>
        <w:tblInd w:w="964" w:type="dxa"/>
        <w:tblLayout w:type="fixed"/>
        <w:tblLook w:val="0000" w:firstRow="0" w:lastRow="0" w:firstColumn="0" w:lastColumn="0" w:noHBand="0" w:noVBand="0"/>
        <w:tblCaption w:val="AASB 136 Table 3"/>
      </w:tblPr>
      <w:tblGrid>
        <w:gridCol w:w="8244"/>
      </w:tblGrid>
      <w:tr w:rsidR="006A2DAD" w14:paraId="0BB2DFD4" w14:textId="77777777">
        <w:trPr>
          <w:cantSplit/>
          <w:tblHeader/>
        </w:trPr>
        <w:tc>
          <w:tcPr>
            <w:tcW w:w="8244" w:type="dxa"/>
            <w:tcBorders>
              <w:top w:val="single" w:sz="4" w:space="0" w:color="auto"/>
              <w:left w:val="single" w:sz="4" w:space="0" w:color="auto"/>
              <w:bottom w:val="single" w:sz="4" w:space="0" w:color="auto"/>
              <w:right w:val="single" w:sz="4" w:space="0" w:color="auto"/>
            </w:tcBorders>
          </w:tcPr>
          <w:p w14:paraId="0BB2DFD3" w14:textId="77777777" w:rsidR="006A2DAD" w:rsidRDefault="006A2DAD" w:rsidP="00AF49EE">
            <w:pPr>
              <w:pStyle w:val="IASBTableHeaderArial"/>
              <w:spacing w:after="120"/>
            </w:pPr>
            <w:r>
              <w:rPr>
                <w:b/>
              </w:rPr>
              <w:t>Example</w:t>
            </w:r>
          </w:p>
        </w:tc>
      </w:tr>
      <w:tr w:rsidR="006A2DAD" w14:paraId="0BB2DFD6" w14:textId="77777777">
        <w:trPr>
          <w:cantSplit/>
        </w:trPr>
        <w:tc>
          <w:tcPr>
            <w:tcW w:w="8244" w:type="dxa"/>
            <w:tcBorders>
              <w:top w:val="nil"/>
              <w:left w:val="single" w:sz="4" w:space="0" w:color="auto"/>
              <w:right w:val="single" w:sz="4" w:space="0" w:color="auto"/>
            </w:tcBorders>
          </w:tcPr>
          <w:p w14:paraId="0BB2DFD5" w14:textId="77777777" w:rsidR="006A2DAD" w:rsidRDefault="006A2DAD">
            <w:pPr>
              <w:pStyle w:val="IASBTableTNR"/>
            </w:pPr>
            <w:r>
              <w:t>A company operates a mine in a country where legislation requires that the owner must restore the site on completion of its mining operations. The cost of restoration includes the replacement of the overburden, which must be removed before mining operations commence. A provision for the costs to replace the overburden was recognised as soon as the overburden was removed. The amount provided was recognised as part of the cost of the mine and is being depreciated over the mine’s useful life. The carrying amount of the provision for restoration costs is CU500,</w:t>
            </w:r>
            <w:r>
              <w:rPr>
                <w:vertAlign w:val="superscript"/>
              </w:rPr>
              <w:t>(a)</w:t>
            </w:r>
            <w:r>
              <w:t xml:space="preserve"> which is equal to the present value of the restoration costs.</w:t>
            </w:r>
          </w:p>
        </w:tc>
      </w:tr>
      <w:tr w:rsidR="006A2DAD" w14:paraId="0BB2DFD8" w14:textId="77777777">
        <w:trPr>
          <w:cantSplit/>
        </w:trPr>
        <w:tc>
          <w:tcPr>
            <w:tcW w:w="8244" w:type="dxa"/>
            <w:tcBorders>
              <w:top w:val="nil"/>
              <w:left w:val="single" w:sz="4" w:space="0" w:color="auto"/>
              <w:right w:val="single" w:sz="4" w:space="0" w:color="auto"/>
            </w:tcBorders>
          </w:tcPr>
          <w:p w14:paraId="0BB2DFD7" w14:textId="77777777" w:rsidR="006A2DAD" w:rsidRDefault="006A2DAD">
            <w:pPr>
              <w:pStyle w:val="IASBTableTNR"/>
            </w:pPr>
            <w:r>
              <w:t>The entity is testing the mine for impairment. The cash-generating unit for the mine is the mine as a whole. The entity has received various offers to buy the mine at a price of around CU800. This price reflects the fact that the buyer will assume the obligation to restore the overburden. Disposal costs for the mine are negligible. The value in use of the mine is approximately CU1,200, excluding restoration costs. The carrying amount of the mine is CU1,000.</w:t>
            </w:r>
          </w:p>
        </w:tc>
      </w:tr>
      <w:tr w:rsidR="006A2DAD" w14:paraId="0BB2DFDA" w14:textId="77777777">
        <w:trPr>
          <w:cantSplit/>
        </w:trPr>
        <w:tc>
          <w:tcPr>
            <w:tcW w:w="8244" w:type="dxa"/>
            <w:tcBorders>
              <w:top w:val="nil"/>
              <w:left w:val="single" w:sz="4" w:space="0" w:color="auto"/>
              <w:right w:val="single" w:sz="4" w:space="0" w:color="auto"/>
            </w:tcBorders>
          </w:tcPr>
          <w:p w14:paraId="0BB2DFD9" w14:textId="77777777" w:rsidR="006A2DAD" w:rsidRDefault="006A2DAD">
            <w:pPr>
              <w:pStyle w:val="IASBTableTNR"/>
            </w:pPr>
            <w:r>
              <w:rPr>
                <w:i/>
              </w:rPr>
              <w:t>The cash-generating unit’s fair value less costs of disposal is CU800. This amount considers restoration costs that have already been provided for. As a consequence, the value in use for the cash-generating unit is determined after consideration of the restoration costs and is estimated to be CU700 (CU1,200 less CU500). The carrying amount of the cash-generating unit is CU500, which is the carrying amount of the mine (CU1,000) less the carrying amount of the provision for restoration costs (CU500). Therefore, the recoverable amount of the cash-generating unit exceeds its carrying amount.</w:t>
            </w:r>
          </w:p>
        </w:tc>
      </w:tr>
      <w:tr w:rsidR="006A2DAD" w14:paraId="0BB2DFDC" w14:textId="77777777" w:rsidTr="00B57BD2">
        <w:trPr>
          <w:cantSplit/>
        </w:trPr>
        <w:tc>
          <w:tcPr>
            <w:tcW w:w="8244" w:type="dxa"/>
            <w:tcBorders>
              <w:top w:val="nil"/>
              <w:left w:val="single" w:sz="4" w:space="0" w:color="auto"/>
              <w:bottom w:val="single" w:sz="4" w:space="0" w:color="auto"/>
              <w:right w:val="single" w:sz="4" w:space="0" w:color="auto"/>
            </w:tcBorders>
            <w:tcMar>
              <w:bottom w:w="28" w:type="dxa"/>
            </w:tcMar>
            <w:vAlign w:val="bottom"/>
          </w:tcPr>
          <w:p w14:paraId="0BB2DFDB" w14:textId="77777777" w:rsidR="006A2DAD" w:rsidRDefault="00B57BD2" w:rsidP="00FC4CD4">
            <w:pPr>
              <w:pStyle w:val="IASBTableTNR"/>
              <w:ind w:left="397" w:hanging="397"/>
            </w:pPr>
            <w:r>
              <w:rPr>
                <w:rStyle w:val="FootnoteReference"/>
                <w:sz w:val="16"/>
                <w:vertAlign w:val="baseline"/>
              </w:rPr>
              <w:t>(a)</w:t>
            </w:r>
            <w:r>
              <w:rPr>
                <w:rStyle w:val="FootnoteReference"/>
                <w:sz w:val="16"/>
                <w:vertAlign w:val="baseline"/>
              </w:rPr>
              <w:tab/>
              <w:t>In this Standard, monetary amounts are denominated in ‘currency units (CU)’.</w:t>
            </w:r>
          </w:p>
        </w:tc>
      </w:tr>
    </w:tbl>
    <w:p w14:paraId="0BB2DFDD" w14:textId="77777777" w:rsidR="006A2DAD" w:rsidRDefault="006A2DAD">
      <w:pPr>
        <w:pStyle w:val="IASBNormalnpara"/>
      </w:pPr>
    </w:p>
    <w:p w14:paraId="0BB2DFDE" w14:textId="77777777" w:rsidR="006A2DAD" w:rsidRDefault="006A2DAD">
      <w:pPr>
        <w:pStyle w:val="IASBNormalnpara"/>
      </w:pPr>
      <w:r>
        <w:t>79</w:t>
      </w:r>
      <w:r>
        <w:tab/>
        <w:t>For practical reasons, the recoverable amount of a cash-generating unit is sometimes determined after consideration of assets that are not part of the cash-generating unit (for example, receivables or other financial assets) or liabilities that have been recognised (for example, payables, pensions and other provisions). In such cases, the carrying amount of the cash-generating unit is increased by the carrying amount of those assets and decreased by the carrying amount of those liabilities.</w:t>
      </w:r>
    </w:p>
    <w:p w14:paraId="0BB2DFDF" w14:textId="77777777" w:rsidR="006A2DAD" w:rsidRDefault="006A2DAD">
      <w:pPr>
        <w:pStyle w:val="IASBSectionTitle3Ind"/>
      </w:pPr>
      <w:r>
        <w:t>Goodwill</w:t>
      </w:r>
    </w:p>
    <w:p w14:paraId="0BB2DFE0" w14:textId="77777777" w:rsidR="006A2DAD" w:rsidRDefault="006A2DAD">
      <w:pPr>
        <w:pStyle w:val="IASBSectionTitle4Ind"/>
      </w:pPr>
      <w:r>
        <w:t>Allocating goodwill to cash-generating units</w:t>
      </w:r>
    </w:p>
    <w:p w14:paraId="0BB2DFE1" w14:textId="77777777" w:rsidR="006A2DAD" w:rsidRDefault="006A2DAD">
      <w:pPr>
        <w:pStyle w:val="IASBNormalnpara"/>
        <w:rPr>
          <w:b/>
        </w:rPr>
      </w:pPr>
      <w:r>
        <w:rPr>
          <w:b/>
        </w:rPr>
        <w:t>80</w:t>
      </w:r>
      <w:r>
        <w:rPr>
          <w:b/>
        </w:rPr>
        <w:tab/>
        <w:t xml:space="preserve">For the purpose of impairment testing, goodwill acquired in a business combination shall, from the acquisition date, be allocated to each of the acquirer’s cash-generating units, or groups of cash-generating units, that is expected to benefit from the synergies of the combination, irrespective of whether other assets or liabilities of the acquiree are assigned to those units or groups of units. Each unit or group of units to which the goodwill is so allocated shall: </w:t>
      </w:r>
    </w:p>
    <w:p w14:paraId="0BB2DFE2" w14:textId="77777777" w:rsidR="006A2DAD" w:rsidRDefault="006A2DAD">
      <w:pPr>
        <w:pStyle w:val="IASBNormalnparaL1"/>
      </w:pPr>
      <w:r>
        <w:rPr>
          <w:b/>
        </w:rPr>
        <w:t>(a)</w:t>
      </w:r>
      <w:r>
        <w:tab/>
      </w:r>
      <w:r>
        <w:rPr>
          <w:b/>
        </w:rPr>
        <w:t>represent the lowest level within the entity at which the goodwill is monitored for internal management purposes; and</w:t>
      </w:r>
    </w:p>
    <w:p w14:paraId="0BB2DFE3" w14:textId="77777777" w:rsidR="006A2DAD" w:rsidRDefault="006A2DAD">
      <w:pPr>
        <w:pStyle w:val="IASBNormalnparaL1"/>
      </w:pPr>
      <w:r>
        <w:rPr>
          <w:b/>
        </w:rPr>
        <w:t>(b)</w:t>
      </w:r>
      <w:r>
        <w:tab/>
      </w:r>
      <w:r>
        <w:rPr>
          <w:b/>
        </w:rPr>
        <w:t>not be larger than an operating segment as defined by paragraph 5 of</w:t>
      </w:r>
      <w:r w:rsidR="002D17D4">
        <w:rPr>
          <w:b/>
        </w:rPr>
        <w:t xml:space="preserve"> AASB 8</w:t>
      </w:r>
      <w:r>
        <w:rPr>
          <w:b/>
        </w:rPr>
        <w:t xml:space="preserve"> </w:t>
      </w:r>
      <w:r>
        <w:rPr>
          <w:b/>
          <w:i/>
        </w:rPr>
        <w:t>Operating Segments</w:t>
      </w:r>
      <w:r>
        <w:rPr>
          <w:b/>
        </w:rPr>
        <w:t xml:space="preserve"> before aggregation.</w:t>
      </w:r>
    </w:p>
    <w:p w14:paraId="0BB2DFE4" w14:textId="77777777" w:rsidR="006A2DAD" w:rsidRDefault="006A2DAD">
      <w:pPr>
        <w:pStyle w:val="IASBNormalnpara"/>
      </w:pPr>
      <w:r>
        <w:t>81</w:t>
      </w:r>
      <w:r>
        <w:tab/>
        <w:t>Goodwill recognised in a business combination is an asset representing the future economic benefits arising from other assets acquired in a business combination that are not individually identified and separately recognised. Goodwill does not generate cash flows independently of other assets or groups of assets, and often contributes to the cash flows of multiple cash-generating units. Goodwill sometimes cannot be allocated on a non-arbitrary basis to individual cash-generating units, but only to groups of cash-generating units. As a result, the lowest level within the entity at which the goodwill is monitored for internal management purposes sometimes comprises a number of cash-generating units to which the goodwill relates, but to which it cannot be allocated. References in paragraphs 83–99 and Appendix C to a cash-generating unit to which goodwill is allocated should be read as references also to a group of cash-generating units to which goodwill is allocated.</w:t>
      </w:r>
    </w:p>
    <w:p w14:paraId="0BB2DFE5" w14:textId="77777777" w:rsidR="006A2DAD" w:rsidRDefault="006A2DAD">
      <w:pPr>
        <w:pStyle w:val="IASBNormalnpara"/>
      </w:pPr>
      <w:r>
        <w:t>82</w:t>
      </w:r>
      <w:r>
        <w:tab/>
        <w:t>Applying the requirements in paragraph 80 results in goodwill being tested for impairment at a level that reflects the way an entity manages its operations and with which the goodwill would naturally be associated. Therefore, the development of additional reporting systems is typically not necessary.</w:t>
      </w:r>
    </w:p>
    <w:p w14:paraId="0BB2DFE6" w14:textId="77777777" w:rsidR="006A2DAD" w:rsidRDefault="006A2DAD">
      <w:pPr>
        <w:pStyle w:val="IASBNormalnpara"/>
      </w:pPr>
      <w:r>
        <w:lastRenderedPageBreak/>
        <w:t>83</w:t>
      </w:r>
      <w:r>
        <w:tab/>
        <w:t>A cash-generating unit to which goodwill is allocated for the purpose of impairment testing may not coincide with the level at which goodwill is allocated in accordance with</w:t>
      </w:r>
      <w:r w:rsidR="002D17D4">
        <w:t xml:space="preserve"> AASB 121</w:t>
      </w:r>
      <w:r>
        <w:t xml:space="preserve"> </w:t>
      </w:r>
      <w:r>
        <w:rPr>
          <w:i/>
        </w:rPr>
        <w:t>The Effects of Changes in Foreign Exchange Rates</w:t>
      </w:r>
      <w:r>
        <w:t xml:space="preserve"> for the purpose of measuring foreign currency gains and losses. For example, if an entity is required by</w:t>
      </w:r>
      <w:r w:rsidR="002D17D4">
        <w:t xml:space="preserve"> AASB 121</w:t>
      </w:r>
      <w:r>
        <w:t xml:space="preserve"> to allocate goodwill to relatively low levels for the purpose of measuring foreign currency gains and losses, it is not required to test the goodwill for impairment at that same level unless it also monitors the goodwill at that level for internal management purposes.</w:t>
      </w:r>
    </w:p>
    <w:p w14:paraId="0BB2DFE7" w14:textId="77777777" w:rsidR="006A2DAD" w:rsidRDefault="006A2DAD">
      <w:pPr>
        <w:pStyle w:val="IASBNormalnpara"/>
        <w:rPr>
          <w:b/>
        </w:rPr>
      </w:pPr>
      <w:r>
        <w:rPr>
          <w:b/>
        </w:rPr>
        <w:t>84</w:t>
      </w:r>
      <w:r>
        <w:rPr>
          <w:b/>
        </w:rPr>
        <w:tab/>
        <w:t>If the initial allocation of goodwill acquired in a business combination cannot be completed before the end of the annual period in which the business combination is effected, that initial allocation shall be completed before the end of the first annual period beginning after the acquisition date.</w:t>
      </w:r>
    </w:p>
    <w:p w14:paraId="0BB2DFE8" w14:textId="77777777" w:rsidR="006A2DAD" w:rsidRDefault="006A2DAD">
      <w:pPr>
        <w:pStyle w:val="IASBNormalnpara"/>
      </w:pPr>
      <w:r>
        <w:t>85</w:t>
      </w:r>
      <w:r>
        <w:tab/>
        <w:t>In accordance with</w:t>
      </w:r>
      <w:r w:rsidR="002D17D4">
        <w:t xml:space="preserve"> AASB 3</w:t>
      </w:r>
      <w:r>
        <w:t xml:space="preserve"> </w:t>
      </w:r>
      <w:r>
        <w:rPr>
          <w:i/>
        </w:rPr>
        <w:t>Business Combinations</w:t>
      </w:r>
      <w:r>
        <w:t xml:space="preserve">, if the initial accounting for a business combination can be determined only provisionally by the end of the period in which the combination is effected, the acquirer: </w:t>
      </w:r>
    </w:p>
    <w:p w14:paraId="0BB2DFE9" w14:textId="77777777" w:rsidR="006A2DAD" w:rsidRDefault="006A2DAD">
      <w:pPr>
        <w:pStyle w:val="IASBNormalnparaL1"/>
      </w:pPr>
      <w:r>
        <w:t>(a)</w:t>
      </w:r>
      <w:r>
        <w:tab/>
        <w:t>accounts for the combination using those provisional values; and</w:t>
      </w:r>
    </w:p>
    <w:p w14:paraId="0BB2DFEA" w14:textId="77777777" w:rsidR="006A2DAD" w:rsidRDefault="006A2DAD">
      <w:pPr>
        <w:pStyle w:val="IASBNormalnparaL1"/>
      </w:pPr>
      <w:r>
        <w:t>(b)</w:t>
      </w:r>
      <w:r>
        <w:tab/>
        <w:t>recognises any adjustments to those provisional values as a result of completing the initial accounting within the measurement period, which will not exceed twelve months from the acquisition date.</w:t>
      </w:r>
    </w:p>
    <w:p w14:paraId="0BB2DFEB" w14:textId="77777777" w:rsidR="006A2DAD" w:rsidRDefault="006A2DAD">
      <w:pPr>
        <w:pStyle w:val="IASBNormalnparaP"/>
      </w:pPr>
      <w:r>
        <w:t>In such circumstances, it might also not be possible to complete the initial allocation of the goodwill recognised in the combination before the end of the annual period in which the combination is effected. When this is the case, the entity discloses the information required by paragraph 133.</w:t>
      </w:r>
    </w:p>
    <w:p w14:paraId="0BB2DFEC" w14:textId="77777777" w:rsidR="006A2DAD" w:rsidRDefault="006A2DAD">
      <w:pPr>
        <w:pStyle w:val="IASBNormalnpara"/>
        <w:rPr>
          <w:b/>
        </w:rPr>
      </w:pPr>
      <w:r>
        <w:rPr>
          <w:b/>
        </w:rPr>
        <w:t>86</w:t>
      </w:r>
      <w:r>
        <w:rPr>
          <w:b/>
        </w:rPr>
        <w:tab/>
        <w:t xml:space="preserve">If goodwill has been allocated to a cash-generating unit and the entity disposes of an operation within that unit, the goodwill associated with the operation disposed of shall be: </w:t>
      </w:r>
    </w:p>
    <w:p w14:paraId="0BB2DFED" w14:textId="77777777" w:rsidR="006A2DAD" w:rsidRDefault="006A2DAD">
      <w:pPr>
        <w:pStyle w:val="IASBNormalnparaL1"/>
      </w:pPr>
      <w:r>
        <w:rPr>
          <w:b/>
        </w:rPr>
        <w:t>(a)</w:t>
      </w:r>
      <w:r>
        <w:tab/>
      </w:r>
      <w:r>
        <w:rPr>
          <w:b/>
        </w:rPr>
        <w:t>included in the carrying amount of the operation when determining the gain or loss on disposal; and</w:t>
      </w:r>
    </w:p>
    <w:p w14:paraId="0BB2DFEE" w14:textId="77777777" w:rsidR="006A2DAD" w:rsidRDefault="006A2DAD">
      <w:pPr>
        <w:pStyle w:val="IASBNormalnparaL1"/>
      </w:pPr>
      <w:r>
        <w:rPr>
          <w:b/>
        </w:rPr>
        <w:t>(b)</w:t>
      </w:r>
      <w:r>
        <w:tab/>
      </w:r>
      <w:r>
        <w:rPr>
          <w:b/>
        </w:rPr>
        <w:t>measured on the basis of the relative values of the operation disposed of and the portion of the cash-generating unit retained, unless the entity can demonstrate that some other method better reflects the goodwill associated with the operation disposed of.</w:t>
      </w:r>
    </w:p>
    <w:p w14:paraId="0BB2DFEF" w14:textId="77777777" w:rsidR="006A2DAD" w:rsidRDefault="006A2DAD">
      <w:pPr>
        <w:pStyle w:val="IASBNormalnpara"/>
      </w:pPr>
    </w:p>
    <w:tbl>
      <w:tblPr>
        <w:tblW w:w="0" w:type="auto"/>
        <w:tblInd w:w="964" w:type="dxa"/>
        <w:tblLayout w:type="fixed"/>
        <w:tblLook w:val="0000" w:firstRow="0" w:lastRow="0" w:firstColumn="0" w:lastColumn="0" w:noHBand="0" w:noVBand="0"/>
        <w:tblCaption w:val="AASB 136 Table 4"/>
      </w:tblPr>
      <w:tblGrid>
        <w:gridCol w:w="8244"/>
      </w:tblGrid>
      <w:tr w:rsidR="006A2DAD" w14:paraId="0BB2DFF1" w14:textId="77777777">
        <w:trPr>
          <w:cantSplit/>
          <w:tblHeader/>
        </w:trPr>
        <w:tc>
          <w:tcPr>
            <w:tcW w:w="8244" w:type="dxa"/>
            <w:tcBorders>
              <w:top w:val="single" w:sz="4" w:space="0" w:color="auto"/>
              <w:left w:val="single" w:sz="4" w:space="0" w:color="auto"/>
              <w:bottom w:val="single" w:sz="4" w:space="0" w:color="auto"/>
              <w:right w:val="single" w:sz="4" w:space="0" w:color="auto"/>
            </w:tcBorders>
          </w:tcPr>
          <w:p w14:paraId="0BB2DFF0" w14:textId="77777777" w:rsidR="006A2DAD" w:rsidRDefault="006A2DAD" w:rsidP="00AF49EE">
            <w:pPr>
              <w:pStyle w:val="IASBTableHeaderArial"/>
              <w:spacing w:after="120"/>
            </w:pPr>
            <w:r>
              <w:rPr>
                <w:b/>
              </w:rPr>
              <w:t>Example</w:t>
            </w:r>
          </w:p>
        </w:tc>
      </w:tr>
      <w:tr w:rsidR="006A2DAD" w14:paraId="0BB2DFF3" w14:textId="77777777">
        <w:trPr>
          <w:cantSplit/>
        </w:trPr>
        <w:tc>
          <w:tcPr>
            <w:tcW w:w="8244" w:type="dxa"/>
            <w:tcBorders>
              <w:top w:val="nil"/>
              <w:left w:val="single" w:sz="4" w:space="0" w:color="auto"/>
              <w:right w:val="single" w:sz="4" w:space="0" w:color="auto"/>
            </w:tcBorders>
          </w:tcPr>
          <w:p w14:paraId="0BB2DFF2" w14:textId="77777777" w:rsidR="006A2DAD" w:rsidRDefault="006A2DAD">
            <w:pPr>
              <w:pStyle w:val="IASBTableTNR"/>
            </w:pPr>
            <w:r>
              <w:t>An entity sells for CU100 an operation that was part of a cash-generating unit to which goodwill has been allocated. The goodwill allocated to the unit cannot be identified or associated with an asset group at a level lower than that unit, except arbitrarily. The recoverable amount of the portion of the cash-generating unit retained is CU300.</w:t>
            </w:r>
          </w:p>
        </w:tc>
      </w:tr>
      <w:tr w:rsidR="006A2DAD" w14:paraId="0BB2DFF5" w14:textId="77777777" w:rsidTr="00B57BD2">
        <w:trPr>
          <w:cantSplit/>
        </w:trPr>
        <w:tc>
          <w:tcPr>
            <w:tcW w:w="8244" w:type="dxa"/>
            <w:tcBorders>
              <w:top w:val="nil"/>
              <w:left w:val="single" w:sz="4" w:space="0" w:color="auto"/>
              <w:bottom w:val="single" w:sz="4" w:space="0" w:color="auto"/>
              <w:right w:val="single" w:sz="4" w:space="0" w:color="auto"/>
            </w:tcBorders>
            <w:tcMar>
              <w:bottom w:w="28" w:type="dxa"/>
            </w:tcMar>
          </w:tcPr>
          <w:p w14:paraId="0BB2DFF4" w14:textId="77777777" w:rsidR="006A2DAD" w:rsidRDefault="006A2DAD">
            <w:pPr>
              <w:pStyle w:val="IASBTableTNR"/>
            </w:pPr>
            <w:r>
              <w:rPr>
                <w:i/>
              </w:rPr>
              <w:t>Because the goodwill allocated to the cash-generating unit cannot be non-arbitrarily identified or associated with an asset group at a level lower than that unit, the goodwill associated with the operation disposed of is measured on the basis of the relative values of the operation disposed of and the portion of the unit retained. Therefore, 25 per cent of the goodwill allocated to the cash-generating unit is included in the carrying amount of the operation that is sold.</w:t>
            </w:r>
          </w:p>
        </w:tc>
      </w:tr>
    </w:tbl>
    <w:p w14:paraId="0BB2DFF6" w14:textId="77777777" w:rsidR="006A2DAD" w:rsidRDefault="006A2DAD">
      <w:pPr>
        <w:pStyle w:val="IASBNormalnpara"/>
      </w:pPr>
    </w:p>
    <w:p w14:paraId="0BB2DFF7" w14:textId="77777777" w:rsidR="006A2DAD" w:rsidRDefault="006A2DAD">
      <w:pPr>
        <w:pStyle w:val="IASBNormalnpara"/>
        <w:rPr>
          <w:b/>
        </w:rPr>
      </w:pPr>
      <w:r>
        <w:rPr>
          <w:b/>
        </w:rPr>
        <w:t>87</w:t>
      </w:r>
      <w:r>
        <w:rPr>
          <w:b/>
        </w:rPr>
        <w:tab/>
        <w:t>If an entity reorganises its reporting structure in a way that changes the composition of one or more cash-generating units to which goodwill has been allocated, the goodwill shall be reallocated to the units affected. This reallocation shall be performed using a relative value approach similar to that used when an entity disposes of an operation within a cash-generating unit, unless the entity can demonstrate that some other method better reflects the goodwill associated with the reorganised units.</w:t>
      </w:r>
    </w:p>
    <w:p w14:paraId="0BB2DFF8" w14:textId="77777777" w:rsidR="006A2DAD" w:rsidRDefault="006A2DAD">
      <w:pPr>
        <w:pStyle w:val="IASBNormalnpara"/>
      </w:pPr>
    </w:p>
    <w:tbl>
      <w:tblPr>
        <w:tblW w:w="0" w:type="auto"/>
        <w:tblInd w:w="964" w:type="dxa"/>
        <w:tblLayout w:type="fixed"/>
        <w:tblLook w:val="0000" w:firstRow="0" w:lastRow="0" w:firstColumn="0" w:lastColumn="0" w:noHBand="0" w:noVBand="0"/>
        <w:tblCaption w:val="AASB 136 Table 5"/>
      </w:tblPr>
      <w:tblGrid>
        <w:gridCol w:w="8244"/>
      </w:tblGrid>
      <w:tr w:rsidR="006A2DAD" w14:paraId="0BB2DFFA" w14:textId="77777777">
        <w:trPr>
          <w:cantSplit/>
          <w:tblHeader/>
        </w:trPr>
        <w:tc>
          <w:tcPr>
            <w:tcW w:w="8244" w:type="dxa"/>
            <w:tcBorders>
              <w:top w:val="single" w:sz="4" w:space="0" w:color="auto"/>
              <w:left w:val="single" w:sz="4" w:space="0" w:color="auto"/>
              <w:bottom w:val="single" w:sz="4" w:space="0" w:color="auto"/>
              <w:right w:val="single" w:sz="4" w:space="0" w:color="auto"/>
            </w:tcBorders>
          </w:tcPr>
          <w:p w14:paraId="0BB2DFF9" w14:textId="77777777" w:rsidR="006A2DAD" w:rsidRDefault="006A2DAD" w:rsidP="00AF49EE">
            <w:pPr>
              <w:pStyle w:val="IASBTableHeaderArial"/>
              <w:spacing w:after="120"/>
            </w:pPr>
            <w:r>
              <w:rPr>
                <w:b/>
              </w:rPr>
              <w:t>Example</w:t>
            </w:r>
          </w:p>
        </w:tc>
      </w:tr>
      <w:tr w:rsidR="006A2DAD" w14:paraId="0BB2DFFD" w14:textId="77777777" w:rsidTr="00B57BD2">
        <w:trPr>
          <w:cantSplit/>
        </w:trPr>
        <w:tc>
          <w:tcPr>
            <w:tcW w:w="8244" w:type="dxa"/>
            <w:tcBorders>
              <w:top w:val="nil"/>
              <w:left w:val="single" w:sz="4" w:space="0" w:color="auto"/>
              <w:bottom w:val="single" w:sz="4" w:space="0" w:color="auto"/>
              <w:right w:val="single" w:sz="4" w:space="0" w:color="auto"/>
            </w:tcBorders>
            <w:tcMar>
              <w:bottom w:w="28" w:type="dxa"/>
            </w:tcMar>
          </w:tcPr>
          <w:p w14:paraId="0BB2DFFB" w14:textId="77777777" w:rsidR="006A2DAD" w:rsidRDefault="006A2DAD">
            <w:pPr>
              <w:pStyle w:val="IASBTableTNR"/>
            </w:pPr>
            <w:r>
              <w:t>Goodwill had previously been allocated to cash-generating unit A. The goodwill allocated to A cannot be identified or associated with an asset group at a level lower than A, except arbitrarily. A is to be divided and integrated into three other cash-generating units, B, C and D.</w:t>
            </w:r>
          </w:p>
          <w:p w14:paraId="0BB2DFFC" w14:textId="77777777" w:rsidR="006A2DAD" w:rsidRDefault="006A2DAD">
            <w:pPr>
              <w:pStyle w:val="IASBTableTNR"/>
            </w:pPr>
            <w:r>
              <w:rPr>
                <w:i/>
              </w:rPr>
              <w:t>Because the goodwill allocated to A cannot be non-arbitrarily identified or associated with an asset group at a level lower than A, it is reallocated to units B, C and D on the basis of the relative values of the three portions of A before those portions are integrated with B, C and D.</w:t>
            </w:r>
          </w:p>
        </w:tc>
      </w:tr>
    </w:tbl>
    <w:p w14:paraId="0BB2DFFE" w14:textId="77777777" w:rsidR="006A2DAD" w:rsidRDefault="006A2DAD">
      <w:pPr>
        <w:pStyle w:val="IASBNormalnpara"/>
      </w:pPr>
    </w:p>
    <w:p w14:paraId="0BB2DFFF" w14:textId="77777777" w:rsidR="006A2DAD" w:rsidRDefault="006A2DAD">
      <w:pPr>
        <w:pStyle w:val="IASBSectionTitle4Ind"/>
      </w:pPr>
      <w:r>
        <w:lastRenderedPageBreak/>
        <w:t>Testing cash-generating units with goodwill for impairment</w:t>
      </w:r>
    </w:p>
    <w:p w14:paraId="0BB2E000" w14:textId="77777777" w:rsidR="006A2DAD" w:rsidRDefault="006A2DAD">
      <w:pPr>
        <w:pStyle w:val="IASBNormalnpara"/>
        <w:rPr>
          <w:b/>
        </w:rPr>
      </w:pPr>
      <w:r>
        <w:rPr>
          <w:b/>
        </w:rPr>
        <w:t>88</w:t>
      </w:r>
      <w:r>
        <w:rPr>
          <w:b/>
        </w:rPr>
        <w:tab/>
        <w:t>When, as described in paragraph 81, goodwill relates to a cash-generating unit but has not been allocated to that unit, the unit shall be tested for impairment, whenever there is an indication that the unit may be impaired, by comparing the unit’s carrying amount, excluding any goodwill, with its recoverable amount. Any impairment loss shall be recognised in accordance with paragraph 104.</w:t>
      </w:r>
    </w:p>
    <w:p w14:paraId="0BB2E001" w14:textId="77777777" w:rsidR="006A2DAD" w:rsidRDefault="006A2DAD">
      <w:pPr>
        <w:pStyle w:val="IASBNormalnpara"/>
      </w:pPr>
      <w:r>
        <w:t>89</w:t>
      </w:r>
      <w:r>
        <w:tab/>
        <w:t>If a cash-generating unit described in paragraph 88 includes in its carrying amount an intangible asset that has an indefinite useful life or is not yet available for use and that asset can be tested for impairment only as part of the cash-generating unit, paragraph 10 requires the unit also to be tested for impairment annually.</w:t>
      </w:r>
    </w:p>
    <w:p w14:paraId="0BB2E002" w14:textId="77777777" w:rsidR="006A2DAD" w:rsidRDefault="006A2DAD">
      <w:pPr>
        <w:pStyle w:val="IASBNormalnpara"/>
        <w:rPr>
          <w:b/>
        </w:rPr>
      </w:pPr>
      <w:r>
        <w:rPr>
          <w:b/>
        </w:rPr>
        <w:t>90</w:t>
      </w:r>
      <w:r>
        <w:rPr>
          <w:b/>
        </w:rPr>
        <w:tab/>
        <w:t>A cash-generating unit to which goodwill has been allocated shall be tested for impairment annually, and whenever there is an indication that the unit may be impaired, by comparing the carrying amount of the unit, including the goodwill, with the recoverable amount of the unit. If the recoverable amount of the unit exceeds the carrying amount of the unit, the unit and the goodwill allocated to that unit shall be regarded as not impaired. If the carrying amount of the unit exceeds the recoverable amount of the unit, the entity shall recognise the impairment loss in accordance with paragraph 104.</w:t>
      </w:r>
    </w:p>
    <w:p w14:paraId="0BB2E003" w14:textId="77777777" w:rsidR="006A2DAD" w:rsidRDefault="006A2DAD">
      <w:pPr>
        <w:pStyle w:val="IASBNormalnpara"/>
      </w:pPr>
      <w:r>
        <w:t>91–</w:t>
      </w:r>
    </w:p>
    <w:p w14:paraId="0BB2E004" w14:textId="77777777" w:rsidR="006A2DAD" w:rsidRDefault="006A2DAD">
      <w:pPr>
        <w:pStyle w:val="IASBNormalnparaC"/>
      </w:pPr>
      <w:r>
        <w:t>95</w:t>
      </w:r>
      <w:r>
        <w:tab/>
        <w:t>[Deleted]</w:t>
      </w:r>
    </w:p>
    <w:p w14:paraId="0BB2E005" w14:textId="77777777" w:rsidR="006A2DAD" w:rsidRDefault="006A2DAD">
      <w:pPr>
        <w:pStyle w:val="IASBSectionTitle4Ind"/>
      </w:pPr>
      <w:r>
        <w:t>Timing of impairment tests</w:t>
      </w:r>
    </w:p>
    <w:p w14:paraId="0BB2E006" w14:textId="77777777" w:rsidR="006A2DAD" w:rsidRDefault="006A2DAD">
      <w:pPr>
        <w:pStyle w:val="IASBNormalnpara"/>
        <w:rPr>
          <w:b/>
        </w:rPr>
      </w:pPr>
      <w:r>
        <w:rPr>
          <w:b/>
        </w:rPr>
        <w:t>96</w:t>
      </w:r>
      <w:r>
        <w:rPr>
          <w:b/>
        </w:rPr>
        <w:tab/>
        <w:t>The annual impairment test for a cash-generating unit to which goodwill has been allocated may be performed at any time during an annual period, provided the test is performed at the same time every year. Different cash-generating units may be tested for impairment at different times. However, if some or all of the goodwill allocated to a cash-generating unit was acquired in a business combination during the current annual period, that unit shall be tested for impairment before the end of the current annual period.</w:t>
      </w:r>
    </w:p>
    <w:p w14:paraId="0BB2E007" w14:textId="77777777" w:rsidR="006A2DAD" w:rsidRDefault="006A2DAD">
      <w:pPr>
        <w:pStyle w:val="IASBNormalnpara"/>
        <w:rPr>
          <w:b/>
        </w:rPr>
      </w:pPr>
      <w:r>
        <w:rPr>
          <w:b/>
        </w:rPr>
        <w:t>97</w:t>
      </w:r>
      <w:r>
        <w:rPr>
          <w:b/>
        </w:rPr>
        <w:tab/>
        <w:t>If the assets constituting the cash-generating unit to which goodwill has been allocated are tested for impairment at the same time as the unit containing the goodwill, they shall be tested for impairment before the unit containing the goodwill. Similarly, if the cash-generating units constituting a group of cash-generating units to which goodwill has been allocated are tested for impairment at the same time as the group of units containing the goodwill, the individual units shall be tested for impairment before the group of units containing the goodwill.</w:t>
      </w:r>
    </w:p>
    <w:p w14:paraId="0BB2E008" w14:textId="77777777" w:rsidR="006A2DAD" w:rsidRDefault="006A2DAD">
      <w:pPr>
        <w:pStyle w:val="IASBNormalnpara"/>
      </w:pPr>
      <w:r>
        <w:t>98</w:t>
      </w:r>
      <w:r>
        <w:tab/>
        <w:t>At the time of impairment testing a cash-generating unit to which goodwill has been allocated, there may be an indication of an impairment of an asset within the unit containing the goodwill. In such circumstances, the entity tests the asset for impairment first, and recognises any impairment loss for that asset before testing for impairment the cash-generating unit containing the goodwill. Similarly, there may be an indication of an impairment of a cash-generating unit within a group of units containing the goodwill. In such circumstances, the entity tests the cash-generating unit for impairment first, and recognises any impairment loss for that unit, before testing for impairment the group of units to which the goodwill is allocated.</w:t>
      </w:r>
    </w:p>
    <w:p w14:paraId="0BB2E009" w14:textId="77777777" w:rsidR="006A2DAD" w:rsidRDefault="006A2DAD">
      <w:pPr>
        <w:pStyle w:val="IASBNormalnpara"/>
        <w:rPr>
          <w:b/>
        </w:rPr>
      </w:pPr>
      <w:r>
        <w:rPr>
          <w:b/>
        </w:rPr>
        <w:t>99</w:t>
      </w:r>
      <w:r>
        <w:rPr>
          <w:b/>
        </w:rPr>
        <w:tab/>
        <w:t xml:space="preserve">The most recent detailed calculation made in a preceding period of the recoverable amount of a cash-generating unit to which goodwill has been allocated may be used in the impairment test of that unit in the current period provided all of the following criteria are met: </w:t>
      </w:r>
    </w:p>
    <w:p w14:paraId="0BB2E00A" w14:textId="77777777" w:rsidR="006A2DAD" w:rsidRDefault="006A2DAD">
      <w:pPr>
        <w:pStyle w:val="IASBNormalnparaL1"/>
      </w:pPr>
      <w:r>
        <w:rPr>
          <w:b/>
        </w:rPr>
        <w:t>(a)</w:t>
      </w:r>
      <w:r>
        <w:tab/>
      </w:r>
      <w:r>
        <w:rPr>
          <w:b/>
        </w:rPr>
        <w:t>the assets and liabilities making up the unit have not changed significantly since the most recent recoverable amount calculation;</w:t>
      </w:r>
    </w:p>
    <w:p w14:paraId="0BB2E00B" w14:textId="77777777" w:rsidR="006A2DAD" w:rsidRDefault="006A2DAD">
      <w:pPr>
        <w:pStyle w:val="IASBNormalnparaL1"/>
      </w:pPr>
      <w:r>
        <w:rPr>
          <w:b/>
        </w:rPr>
        <w:t>(b)</w:t>
      </w:r>
      <w:r>
        <w:tab/>
      </w:r>
      <w:r>
        <w:rPr>
          <w:b/>
        </w:rPr>
        <w:t>the most recent recoverable amount calculation resulted in an amount that exceeded the carrying amount of the unit by a substantial margin; and</w:t>
      </w:r>
    </w:p>
    <w:p w14:paraId="0BB2E00C" w14:textId="77777777" w:rsidR="006A2DAD" w:rsidRDefault="006A2DAD">
      <w:pPr>
        <w:pStyle w:val="IASBNormalnparaL1"/>
      </w:pPr>
      <w:r>
        <w:rPr>
          <w:b/>
        </w:rPr>
        <w:t>(c)</w:t>
      </w:r>
      <w:r>
        <w:tab/>
      </w:r>
      <w:r>
        <w:rPr>
          <w:b/>
        </w:rPr>
        <w:t>based on an analysis of events that have occurred and circumstances that have changed since the most recent recoverable amount calculation, the likelihood that a current recoverable amount determination would be less than the current carrying amount of the unit is remote.</w:t>
      </w:r>
    </w:p>
    <w:p w14:paraId="0BB2E00D" w14:textId="77777777" w:rsidR="006A2DAD" w:rsidRDefault="006A2DAD">
      <w:pPr>
        <w:pStyle w:val="IASBSectionTitle3Ind"/>
      </w:pPr>
      <w:r>
        <w:t>Corporate assets</w:t>
      </w:r>
    </w:p>
    <w:p w14:paraId="0BB2E00E" w14:textId="77777777" w:rsidR="006A2DAD" w:rsidRDefault="006A2DAD">
      <w:pPr>
        <w:pStyle w:val="IASBNormalnpara"/>
      </w:pPr>
      <w:r>
        <w:t>100</w:t>
      </w:r>
      <w:r>
        <w:tab/>
        <w:t xml:space="preserve">Corporate assets include group or divisional assets such as the building of a headquarters or a division of the entity, EDP equipment or a research centre. The structure of an entity determines whether an asset meets this Standard’s definition of corporate assets for a particular cash-generating unit. The distinctive characteristics of corporate assets are that they do not generate cash inflows independently of other assets or </w:t>
      </w:r>
      <w:r>
        <w:lastRenderedPageBreak/>
        <w:t>groups of assets and their carrying amount cannot be fully attributed to the cash-generating unit under review.</w:t>
      </w:r>
    </w:p>
    <w:p w14:paraId="0BB2E00F" w14:textId="77777777" w:rsidR="006A2DAD" w:rsidRDefault="006A2DAD">
      <w:pPr>
        <w:pStyle w:val="IASBNormalnpara"/>
      </w:pPr>
      <w:r>
        <w:t>101</w:t>
      </w:r>
      <w:r>
        <w:tab/>
        <w:t>Because corporate assets do not generate separate cash inflows, the recoverable amount of an individual corporate asset cannot be determined unless management has decided to dispose of the asset. As a consequence, if there is an indication that a corporate asset may be impaired, recoverable amount is determined for the cash-generating unit or group of cash-generating units to which the corporate asset belongs, and is compared with the carrying amount of this cash-generating unit or group of cash-generating units. Any impairment loss is recognised in accordance with paragraph 104.</w:t>
      </w:r>
    </w:p>
    <w:p w14:paraId="0BB2E010" w14:textId="77777777" w:rsidR="006A2DAD" w:rsidRDefault="006A2DAD">
      <w:pPr>
        <w:pStyle w:val="IASBNormalnpara"/>
        <w:rPr>
          <w:b/>
        </w:rPr>
      </w:pPr>
      <w:r>
        <w:rPr>
          <w:b/>
        </w:rPr>
        <w:t>102</w:t>
      </w:r>
      <w:r>
        <w:rPr>
          <w:b/>
        </w:rPr>
        <w:tab/>
        <w:t xml:space="preserve">In testing a cash-generating unit for impairment, an entity shall identify all the corporate assets that relate to the cash-generating unit under review. If a portion of the carrying amount of a corporate asset: </w:t>
      </w:r>
    </w:p>
    <w:p w14:paraId="0BB2E011" w14:textId="77777777" w:rsidR="006A2DAD" w:rsidRDefault="006A2DAD">
      <w:pPr>
        <w:pStyle w:val="IASBNormalnparaL1"/>
      </w:pPr>
      <w:r>
        <w:rPr>
          <w:b/>
        </w:rPr>
        <w:t>(a)</w:t>
      </w:r>
      <w:r>
        <w:tab/>
      </w:r>
      <w:r>
        <w:rPr>
          <w:b/>
        </w:rPr>
        <w:t>can be allocated on a reasonable and consistent basis to that unit, the entity shall compare the carrying amount of the unit, including the portion of the carrying amount of the corporate asset allocated to the unit, with its recoverable amount. Any impairment loss shall be recognised in accordance with paragraph 104.</w:t>
      </w:r>
    </w:p>
    <w:p w14:paraId="0BB2E012" w14:textId="77777777" w:rsidR="006A2DAD" w:rsidRDefault="006A2DAD">
      <w:pPr>
        <w:pStyle w:val="IASBNormalnparaL1"/>
      </w:pPr>
      <w:r>
        <w:rPr>
          <w:b/>
        </w:rPr>
        <w:t>(b)</w:t>
      </w:r>
      <w:r>
        <w:tab/>
      </w:r>
      <w:r>
        <w:rPr>
          <w:b/>
        </w:rPr>
        <w:t>cannot be allocated on a reasonable and consistent basis to that unit, the entity shall:</w:t>
      </w:r>
    </w:p>
    <w:p w14:paraId="0BB2E013" w14:textId="77777777" w:rsidR="006A2DAD" w:rsidRDefault="006A2DAD">
      <w:pPr>
        <w:pStyle w:val="IASBNormalnparaL2"/>
      </w:pPr>
      <w:r>
        <w:rPr>
          <w:b/>
        </w:rPr>
        <w:t>(i)</w:t>
      </w:r>
      <w:r>
        <w:tab/>
      </w:r>
      <w:r>
        <w:rPr>
          <w:b/>
        </w:rPr>
        <w:t>compare the carrying amount of the unit, excluding the corporate asset, with its recoverable amount and recognise any impairment loss in accordance with paragraph 104;</w:t>
      </w:r>
    </w:p>
    <w:p w14:paraId="0BB2E014" w14:textId="77777777" w:rsidR="006A2DAD" w:rsidRDefault="006A2DAD">
      <w:pPr>
        <w:pStyle w:val="IASBNormalnparaL2"/>
      </w:pPr>
      <w:r>
        <w:rPr>
          <w:b/>
        </w:rPr>
        <w:t>(ii)</w:t>
      </w:r>
      <w:r>
        <w:tab/>
      </w:r>
      <w:r>
        <w:rPr>
          <w:b/>
        </w:rPr>
        <w:t>identify the smallest group of cash-generating units that includes the cash-generating unit under review and to which a portion of the carrying amount of the corporate asset can be allocated on a reasonable and consistent basis; and</w:t>
      </w:r>
    </w:p>
    <w:p w14:paraId="0BB2E015" w14:textId="77777777" w:rsidR="006A2DAD" w:rsidRDefault="006A2DAD">
      <w:pPr>
        <w:pStyle w:val="IASBNormalnparaL2"/>
      </w:pPr>
      <w:r>
        <w:rPr>
          <w:b/>
        </w:rPr>
        <w:t>(iii)</w:t>
      </w:r>
      <w:r>
        <w:tab/>
      </w:r>
      <w:r>
        <w:rPr>
          <w:b/>
        </w:rPr>
        <w:t>compare the carrying amount of that group of cash-generating units, including the portion of the carrying amount of the corporate asset allocated to that group of units, with the recoverable amount of the group of units. Any impairment loss shall be recognised in accordance with paragraph 104.</w:t>
      </w:r>
    </w:p>
    <w:p w14:paraId="0BB2E016" w14:textId="77777777" w:rsidR="006A2DAD" w:rsidRDefault="006A2DAD">
      <w:pPr>
        <w:pStyle w:val="IASBNormalnpara"/>
      </w:pPr>
      <w:r>
        <w:t>103</w:t>
      </w:r>
      <w:r>
        <w:tab/>
        <w:t>Illustrative Example 8 illustrates the application of these requirements to corporate assets.</w:t>
      </w:r>
    </w:p>
    <w:p w14:paraId="0BB2E017" w14:textId="77777777" w:rsidR="006A2DAD" w:rsidRDefault="006A2DAD">
      <w:pPr>
        <w:pStyle w:val="IASBSectionTitle2Ind"/>
      </w:pPr>
      <w:r>
        <w:t>Impairment loss for a cash-generating unit</w:t>
      </w:r>
    </w:p>
    <w:p w14:paraId="0BB2E018" w14:textId="77777777" w:rsidR="006A2DAD" w:rsidRDefault="006A2DAD">
      <w:pPr>
        <w:pStyle w:val="IASBNormalnpara"/>
        <w:rPr>
          <w:b/>
        </w:rPr>
      </w:pPr>
      <w:r>
        <w:rPr>
          <w:b/>
        </w:rPr>
        <w:t>104</w:t>
      </w:r>
      <w:r>
        <w:rPr>
          <w:b/>
        </w:rPr>
        <w:tab/>
        <w:t xml:space="preserve">An impairment loss shall be recognised for a cash-generating unit (the smallest group of cash-generating units to which goodwill or a corporate asset has been allocated) if, and only if, the recoverable amount of the unit (group of units) is less than the carrying amount of the unit (group of units). The impairment loss shall be allocated to reduce the carrying amount of the assets of the unit (group of units) in the following order: </w:t>
      </w:r>
    </w:p>
    <w:p w14:paraId="0BB2E019" w14:textId="77777777" w:rsidR="006A2DAD" w:rsidRDefault="006A2DAD">
      <w:pPr>
        <w:pStyle w:val="IASBNormalnparaL1"/>
      </w:pPr>
      <w:r>
        <w:rPr>
          <w:b/>
        </w:rPr>
        <w:t>(a)</w:t>
      </w:r>
      <w:r>
        <w:tab/>
      </w:r>
      <w:r>
        <w:rPr>
          <w:b/>
        </w:rPr>
        <w:t>first, to reduce the carrying amount of any goodwill allocated to the cash-generating unit (group of units); and</w:t>
      </w:r>
    </w:p>
    <w:p w14:paraId="0BB2E01A" w14:textId="77777777" w:rsidR="006A2DAD" w:rsidRDefault="006A2DAD">
      <w:pPr>
        <w:pStyle w:val="IASBNormalnparaL1"/>
      </w:pPr>
      <w:r>
        <w:rPr>
          <w:b/>
        </w:rPr>
        <w:t>(b)</w:t>
      </w:r>
      <w:r>
        <w:tab/>
      </w:r>
      <w:r>
        <w:rPr>
          <w:b/>
        </w:rPr>
        <w:t>then, to the other assets of the unit (group of units) pro rata on the basis of the carrying amount of each asset in the unit (group of units).</w:t>
      </w:r>
    </w:p>
    <w:p w14:paraId="0BB2E01B" w14:textId="77777777" w:rsidR="006A2DAD" w:rsidRDefault="006A2DAD">
      <w:pPr>
        <w:pStyle w:val="IASBNormalnparaP"/>
      </w:pPr>
      <w:r>
        <w:rPr>
          <w:b/>
        </w:rPr>
        <w:t>These reductions in carrying amounts shall be treated as impairment losses on individual assets and recognised in accordance with paragraph 60.</w:t>
      </w:r>
    </w:p>
    <w:p w14:paraId="0BB2E01C" w14:textId="77777777" w:rsidR="006A2DAD" w:rsidRDefault="006A2DAD">
      <w:pPr>
        <w:pStyle w:val="IASBNormalnpara"/>
        <w:rPr>
          <w:b/>
        </w:rPr>
      </w:pPr>
      <w:r>
        <w:rPr>
          <w:b/>
        </w:rPr>
        <w:t>105</w:t>
      </w:r>
      <w:r>
        <w:rPr>
          <w:b/>
        </w:rPr>
        <w:tab/>
        <w:t xml:space="preserve">In allocating an impairment loss in accordance with paragraph 104, an entity shall not reduce the carrying amount of an asset below the highest of: </w:t>
      </w:r>
    </w:p>
    <w:p w14:paraId="0BB2E01D" w14:textId="77777777" w:rsidR="006A2DAD" w:rsidRDefault="006A2DAD">
      <w:pPr>
        <w:pStyle w:val="IASBNormalnparaL1"/>
      </w:pPr>
      <w:r>
        <w:rPr>
          <w:b/>
        </w:rPr>
        <w:t>(a)</w:t>
      </w:r>
      <w:r>
        <w:tab/>
      </w:r>
      <w:r>
        <w:rPr>
          <w:b/>
        </w:rPr>
        <w:t>its fair value less costs of disposal (if measurable);</w:t>
      </w:r>
    </w:p>
    <w:p w14:paraId="0BB2E01E" w14:textId="77777777" w:rsidR="006A2DAD" w:rsidRDefault="006A2DAD">
      <w:pPr>
        <w:pStyle w:val="IASBNormalnparaL1"/>
      </w:pPr>
      <w:r>
        <w:rPr>
          <w:b/>
        </w:rPr>
        <w:t>(b)</w:t>
      </w:r>
      <w:r>
        <w:tab/>
      </w:r>
      <w:r>
        <w:rPr>
          <w:b/>
        </w:rPr>
        <w:t>its value in use (if determinable); and</w:t>
      </w:r>
    </w:p>
    <w:p w14:paraId="0BB2E01F" w14:textId="77777777" w:rsidR="006A2DAD" w:rsidRDefault="006A2DAD">
      <w:pPr>
        <w:pStyle w:val="IASBNormalnparaL1"/>
      </w:pPr>
      <w:r>
        <w:rPr>
          <w:b/>
        </w:rPr>
        <w:t>(c)</w:t>
      </w:r>
      <w:r>
        <w:tab/>
      </w:r>
      <w:r>
        <w:rPr>
          <w:b/>
        </w:rPr>
        <w:t>zero.</w:t>
      </w:r>
    </w:p>
    <w:p w14:paraId="0BB2E020" w14:textId="77777777" w:rsidR="006A2DAD" w:rsidRDefault="006A2DAD">
      <w:pPr>
        <w:pStyle w:val="IASBNormalnparaP"/>
      </w:pPr>
      <w:r>
        <w:rPr>
          <w:b/>
        </w:rPr>
        <w:t>The amount of the impairment loss that would otherwise have been allocated to the asset shall be allocated pro rata to the other assets of the unit (group of units).</w:t>
      </w:r>
    </w:p>
    <w:p w14:paraId="0BB2E021" w14:textId="77777777" w:rsidR="006A2DAD" w:rsidRDefault="006A2DAD">
      <w:pPr>
        <w:pStyle w:val="IASBNormalnpara"/>
      </w:pPr>
      <w:r>
        <w:t>106</w:t>
      </w:r>
      <w:r>
        <w:tab/>
        <w:t>If it is not practicable to estimate the recoverable amount of each individual asset of a cash-generating unit, this Standard requires an arbitrary allocation of an impairment loss between the assets of that unit, other than goodwill, because all assets of a cash-generating unit work together.</w:t>
      </w:r>
    </w:p>
    <w:p w14:paraId="0BB2E022" w14:textId="77777777" w:rsidR="006A2DAD" w:rsidRDefault="006A2DAD" w:rsidP="0093095A">
      <w:pPr>
        <w:pStyle w:val="IASBNormalnpara"/>
        <w:keepNext/>
      </w:pPr>
      <w:r>
        <w:lastRenderedPageBreak/>
        <w:t>107</w:t>
      </w:r>
      <w:r>
        <w:tab/>
        <w:t xml:space="preserve">If the recoverable amount of an individual asset cannot be determined (see paragraph 67): </w:t>
      </w:r>
    </w:p>
    <w:p w14:paraId="0BB2E023" w14:textId="77777777" w:rsidR="006A2DAD" w:rsidRDefault="006A2DAD">
      <w:pPr>
        <w:pStyle w:val="IASBNormalnparaL1"/>
      </w:pPr>
      <w:r>
        <w:t>(a)</w:t>
      </w:r>
      <w:r>
        <w:tab/>
        <w:t>an impairment loss is recognised for the asset if its carrying amount is greater than the higher of its fair value less costs of disposal and the results of the allocation procedures described in paragraphs 104 and 105; and</w:t>
      </w:r>
    </w:p>
    <w:p w14:paraId="0BB2E024" w14:textId="77777777" w:rsidR="006A2DAD" w:rsidRDefault="006A2DAD">
      <w:pPr>
        <w:pStyle w:val="IASBNormalnparaL1"/>
      </w:pPr>
      <w:r>
        <w:t>(b)</w:t>
      </w:r>
      <w:r>
        <w:tab/>
        <w:t>no impairment loss is recognised for the asset if the related cash-generating unit is not impaired. This applies even if the asset’s fair value less costs of disposal is less than its carrying amount.</w:t>
      </w:r>
    </w:p>
    <w:p w14:paraId="0BB2E025" w14:textId="77777777" w:rsidR="006A2DAD" w:rsidRDefault="006A2DAD">
      <w:pPr>
        <w:pStyle w:val="IASBNormalnpara"/>
      </w:pPr>
    </w:p>
    <w:tbl>
      <w:tblPr>
        <w:tblW w:w="0" w:type="auto"/>
        <w:tblInd w:w="964" w:type="dxa"/>
        <w:tblLayout w:type="fixed"/>
        <w:tblLook w:val="0000" w:firstRow="0" w:lastRow="0" w:firstColumn="0" w:lastColumn="0" w:noHBand="0" w:noVBand="0"/>
        <w:tblCaption w:val="AASB 136 Table 6"/>
      </w:tblPr>
      <w:tblGrid>
        <w:gridCol w:w="562"/>
        <w:gridCol w:w="7702"/>
      </w:tblGrid>
      <w:tr w:rsidR="006A2DAD" w14:paraId="0BB2E027" w14:textId="77777777" w:rsidTr="00E43A59">
        <w:trPr>
          <w:cantSplit/>
          <w:tblHeader/>
        </w:trPr>
        <w:tc>
          <w:tcPr>
            <w:tcW w:w="8264" w:type="dxa"/>
            <w:gridSpan w:val="2"/>
            <w:tcBorders>
              <w:top w:val="single" w:sz="4" w:space="0" w:color="auto"/>
              <w:left w:val="single" w:sz="4" w:space="0" w:color="auto"/>
              <w:bottom w:val="single" w:sz="4" w:space="0" w:color="auto"/>
              <w:right w:val="single" w:sz="4" w:space="0" w:color="auto"/>
            </w:tcBorders>
          </w:tcPr>
          <w:p w14:paraId="0BB2E026" w14:textId="77777777" w:rsidR="006A2DAD" w:rsidRDefault="006A2DAD" w:rsidP="00AF49EE">
            <w:pPr>
              <w:pStyle w:val="IASBTableHeaderArial"/>
              <w:spacing w:after="120"/>
            </w:pPr>
            <w:r>
              <w:rPr>
                <w:b/>
              </w:rPr>
              <w:t>Example</w:t>
            </w:r>
          </w:p>
        </w:tc>
      </w:tr>
      <w:tr w:rsidR="006A2DAD" w14:paraId="0BB2E029" w14:textId="77777777" w:rsidTr="00E43A59">
        <w:trPr>
          <w:cantSplit/>
        </w:trPr>
        <w:tc>
          <w:tcPr>
            <w:tcW w:w="8264" w:type="dxa"/>
            <w:gridSpan w:val="2"/>
            <w:tcBorders>
              <w:top w:val="nil"/>
              <w:left w:val="single" w:sz="4" w:space="0" w:color="auto"/>
              <w:right w:val="single" w:sz="4" w:space="0" w:color="auto"/>
            </w:tcBorders>
          </w:tcPr>
          <w:p w14:paraId="0BB2E028" w14:textId="77777777" w:rsidR="006A2DAD" w:rsidRDefault="006A2DAD">
            <w:pPr>
              <w:pStyle w:val="IASBTableTNR"/>
            </w:pPr>
            <w:r>
              <w:t>A machine has suffered physical damage but is still working, although not as well as before it was damaged. The machine’s fair value less costs of disposal is less than its carrying amount. The machine does not generate independent cash inflows. The smallest identifiable group of assets that includes the machine and generates cash inflows that are largely independent of the cash inflows from other assets is the production line to which the machine belongs. The recoverable amount of the production line shows that the production line taken as a whole is not impaired.</w:t>
            </w:r>
          </w:p>
        </w:tc>
      </w:tr>
      <w:tr w:rsidR="006A2DAD" w14:paraId="0BB2E02C" w14:textId="77777777" w:rsidTr="00E43A59">
        <w:trPr>
          <w:cantSplit/>
        </w:trPr>
        <w:tc>
          <w:tcPr>
            <w:tcW w:w="8264" w:type="dxa"/>
            <w:gridSpan w:val="2"/>
            <w:tcBorders>
              <w:top w:val="nil"/>
              <w:left w:val="single" w:sz="4" w:space="0" w:color="auto"/>
              <w:right w:val="single" w:sz="4" w:space="0" w:color="auto"/>
            </w:tcBorders>
          </w:tcPr>
          <w:p w14:paraId="0BB2E02A" w14:textId="77777777" w:rsidR="006A2DAD" w:rsidRDefault="006A2DAD">
            <w:pPr>
              <w:pStyle w:val="IASBTableTNR"/>
            </w:pPr>
            <w:r>
              <w:t>Assumption 1: budgets/forecasts approved by management reflect no commitment of management to replace the machine.</w:t>
            </w:r>
          </w:p>
          <w:p w14:paraId="0BB2E02B" w14:textId="77777777" w:rsidR="006A2DAD" w:rsidRDefault="006A2DAD">
            <w:pPr>
              <w:pStyle w:val="IASBTableTNR"/>
            </w:pPr>
            <w:r>
              <w:rPr>
                <w:i/>
              </w:rPr>
              <w:t>The recoverable amount of the machine alone cannot be estimated because the machine’s value in use:</w:t>
            </w:r>
          </w:p>
        </w:tc>
      </w:tr>
      <w:tr w:rsidR="006A2DAD" w14:paraId="0BB2E02F" w14:textId="77777777" w:rsidTr="00E43A59">
        <w:trPr>
          <w:cantSplit/>
        </w:trPr>
        <w:tc>
          <w:tcPr>
            <w:tcW w:w="562" w:type="dxa"/>
            <w:tcBorders>
              <w:top w:val="nil"/>
              <w:left w:val="single" w:sz="4" w:space="0" w:color="auto"/>
            </w:tcBorders>
          </w:tcPr>
          <w:p w14:paraId="0BB2E02D" w14:textId="77777777" w:rsidR="006A2DAD" w:rsidRDefault="006A2DAD">
            <w:pPr>
              <w:pStyle w:val="IASBTableTNR"/>
            </w:pPr>
            <w:r>
              <w:rPr>
                <w:i/>
              </w:rPr>
              <w:t>(a)</w:t>
            </w:r>
          </w:p>
        </w:tc>
        <w:tc>
          <w:tcPr>
            <w:tcW w:w="7702" w:type="dxa"/>
            <w:tcBorders>
              <w:top w:val="nil"/>
              <w:left w:val="nil"/>
              <w:right w:val="single" w:sz="4" w:space="0" w:color="auto"/>
            </w:tcBorders>
          </w:tcPr>
          <w:p w14:paraId="0BB2E02E" w14:textId="77777777" w:rsidR="006A2DAD" w:rsidRDefault="006A2DAD">
            <w:pPr>
              <w:pStyle w:val="IASBTableTNR"/>
            </w:pPr>
            <w:r>
              <w:rPr>
                <w:i/>
              </w:rPr>
              <w:t>may differ from its fair value less costs of disposal; and</w:t>
            </w:r>
          </w:p>
        </w:tc>
      </w:tr>
      <w:tr w:rsidR="006A2DAD" w14:paraId="0BB2E032" w14:textId="77777777" w:rsidTr="00E43A59">
        <w:trPr>
          <w:cantSplit/>
        </w:trPr>
        <w:tc>
          <w:tcPr>
            <w:tcW w:w="562" w:type="dxa"/>
            <w:tcBorders>
              <w:top w:val="nil"/>
              <w:left w:val="single" w:sz="4" w:space="0" w:color="auto"/>
            </w:tcBorders>
          </w:tcPr>
          <w:p w14:paraId="0BB2E030" w14:textId="77777777" w:rsidR="006A2DAD" w:rsidRDefault="006A2DAD">
            <w:pPr>
              <w:pStyle w:val="IASBTableTNR"/>
            </w:pPr>
            <w:r>
              <w:rPr>
                <w:i/>
              </w:rPr>
              <w:t>(b)</w:t>
            </w:r>
          </w:p>
        </w:tc>
        <w:tc>
          <w:tcPr>
            <w:tcW w:w="7702" w:type="dxa"/>
            <w:tcBorders>
              <w:top w:val="nil"/>
              <w:left w:val="nil"/>
              <w:right w:val="single" w:sz="4" w:space="0" w:color="auto"/>
            </w:tcBorders>
          </w:tcPr>
          <w:p w14:paraId="0BB2E031" w14:textId="77777777" w:rsidR="006A2DAD" w:rsidRDefault="006A2DAD">
            <w:pPr>
              <w:pStyle w:val="IASBTableTNR"/>
            </w:pPr>
            <w:r>
              <w:rPr>
                <w:i/>
              </w:rPr>
              <w:t>can be determined only for the cash-generating unit to which the machine belongs (the production line).</w:t>
            </w:r>
          </w:p>
        </w:tc>
      </w:tr>
      <w:tr w:rsidR="006A2DAD" w14:paraId="0BB2E034" w14:textId="77777777" w:rsidTr="00E43A59">
        <w:trPr>
          <w:cantSplit/>
        </w:trPr>
        <w:tc>
          <w:tcPr>
            <w:tcW w:w="8264" w:type="dxa"/>
            <w:gridSpan w:val="2"/>
            <w:tcBorders>
              <w:top w:val="nil"/>
              <w:left w:val="single" w:sz="4" w:space="0" w:color="auto"/>
              <w:right w:val="single" w:sz="4" w:space="0" w:color="auto"/>
            </w:tcBorders>
          </w:tcPr>
          <w:p w14:paraId="0BB2E033" w14:textId="77777777" w:rsidR="006A2DAD" w:rsidRDefault="006A2DAD">
            <w:pPr>
              <w:pStyle w:val="IASBTableTNR"/>
            </w:pPr>
            <w:r>
              <w:rPr>
                <w:i/>
              </w:rPr>
              <w:t>The production line is not impaired. Therefore, no impairment loss is recognised for the machine. Nevertheless, the entity may need to reassess the depreciation period or the depreciation method for the machine. Perhaps a shorter depreciation period or a faster depreciation method is required to reflect the expected remaining useful life of the machine or the pattern in which economic benefits are expected to be consumed by the entity.</w:t>
            </w:r>
          </w:p>
        </w:tc>
      </w:tr>
      <w:tr w:rsidR="006A2DAD" w14:paraId="0BB2E036" w14:textId="77777777" w:rsidTr="00E43A59">
        <w:trPr>
          <w:cantSplit/>
        </w:trPr>
        <w:tc>
          <w:tcPr>
            <w:tcW w:w="8264" w:type="dxa"/>
            <w:gridSpan w:val="2"/>
            <w:tcBorders>
              <w:top w:val="nil"/>
              <w:left w:val="single" w:sz="4" w:space="0" w:color="auto"/>
              <w:right w:val="single" w:sz="4" w:space="0" w:color="auto"/>
            </w:tcBorders>
          </w:tcPr>
          <w:p w14:paraId="0BB2E035" w14:textId="77777777" w:rsidR="006A2DAD" w:rsidRDefault="006A2DAD">
            <w:pPr>
              <w:pStyle w:val="IASBTableTNR"/>
            </w:pPr>
            <w:r>
              <w:t>Assumption 2: budgets/forecasts approved by management reflect a commitment of management to replace the machine and sell it in the near future. Cash flows from continuing use of the machine until its disposal are estimated to be negligible.</w:t>
            </w:r>
          </w:p>
        </w:tc>
      </w:tr>
      <w:tr w:rsidR="006A2DAD" w14:paraId="0BB2E038" w14:textId="77777777" w:rsidTr="00E43A59">
        <w:trPr>
          <w:cantSplit/>
        </w:trPr>
        <w:tc>
          <w:tcPr>
            <w:tcW w:w="8264" w:type="dxa"/>
            <w:gridSpan w:val="2"/>
            <w:tcBorders>
              <w:top w:val="nil"/>
              <w:left w:val="single" w:sz="4" w:space="0" w:color="auto"/>
              <w:bottom w:val="single" w:sz="4" w:space="0" w:color="auto"/>
              <w:right w:val="single" w:sz="4" w:space="0" w:color="auto"/>
            </w:tcBorders>
            <w:tcMar>
              <w:bottom w:w="28" w:type="dxa"/>
            </w:tcMar>
          </w:tcPr>
          <w:p w14:paraId="0BB2E037" w14:textId="77777777" w:rsidR="006A2DAD" w:rsidRDefault="006A2DAD">
            <w:pPr>
              <w:pStyle w:val="IASBTableTNR"/>
            </w:pPr>
            <w:r>
              <w:rPr>
                <w:i/>
              </w:rPr>
              <w:t>The machine’s value in use can be estimated to be close to its fair value less costs of disposal. Therefore, the recoverable amount of the machine can be determined and no consideration is given to the cash-generating unit to which the machine belongs (ie the production line). Because the machine’s fair value less costs of disposal is less than its carrying amount, an impairment loss is recognised for the machine.</w:t>
            </w:r>
          </w:p>
        </w:tc>
      </w:tr>
    </w:tbl>
    <w:p w14:paraId="0BB2E039" w14:textId="77777777" w:rsidR="006A2DAD" w:rsidRDefault="006A2DAD">
      <w:pPr>
        <w:pStyle w:val="IASBNormalnpara"/>
      </w:pPr>
    </w:p>
    <w:p w14:paraId="0BB2E03A" w14:textId="77777777" w:rsidR="006A2DAD" w:rsidRDefault="006A2DAD">
      <w:pPr>
        <w:pStyle w:val="IASBNormalnpara"/>
        <w:rPr>
          <w:b/>
        </w:rPr>
      </w:pPr>
      <w:r>
        <w:rPr>
          <w:b/>
        </w:rPr>
        <w:t>108</w:t>
      </w:r>
      <w:r>
        <w:rPr>
          <w:b/>
        </w:rPr>
        <w:tab/>
        <w:t>After the requirements in paragraphs 104 and 105 have been applied, a liability shall be recognised for any remaining amount of an impairment loss for a cash-generating unit if, and only if, that is required by another</w:t>
      </w:r>
      <w:r w:rsidR="002D17D4">
        <w:rPr>
          <w:b/>
        </w:rPr>
        <w:t xml:space="preserve"> Standard</w:t>
      </w:r>
      <w:r>
        <w:rPr>
          <w:b/>
        </w:rPr>
        <w:t>.</w:t>
      </w:r>
    </w:p>
    <w:p w14:paraId="0BB2E03B" w14:textId="77777777" w:rsidR="006A2DAD" w:rsidRDefault="006A2DAD">
      <w:pPr>
        <w:pStyle w:val="IASBSectionTitle1NonInd"/>
      </w:pPr>
      <w:r>
        <w:t>Reversing an impairment loss</w:t>
      </w:r>
    </w:p>
    <w:p w14:paraId="0BB2E03C" w14:textId="2B33F579" w:rsidR="006A2DAD" w:rsidRDefault="006A2DAD">
      <w:pPr>
        <w:pStyle w:val="IASBNormalnpara"/>
      </w:pPr>
      <w:r>
        <w:t>109</w:t>
      </w:r>
      <w:r>
        <w:tab/>
        <w:t xml:space="preserve">Paragraphs 110–116 set out the requirements for reversing an impairment loss recognised for an asset or a cash-generating unit in prior periods. These requirements use the term ‘an asset’ but apply equally to an individual asset or a cash-generating unit. Additional requirements for an individual asset are set out in paragraphs 117–121, for a cash-generating unit in paragraphs 122 and 123 and for goodwill in </w:t>
      </w:r>
      <w:r w:rsidDel="00F328BA">
        <w:t>paragraphs</w:t>
      </w:r>
      <w:r w:rsidR="00F328BA">
        <w:t> </w:t>
      </w:r>
      <w:r>
        <w:t>124 and 125.</w:t>
      </w:r>
    </w:p>
    <w:p w14:paraId="0BB2E03D" w14:textId="77777777" w:rsidR="006A2DAD" w:rsidRDefault="006A2DAD">
      <w:pPr>
        <w:pStyle w:val="IASBNormalnpara"/>
        <w:rPr>
          <w:b/>
        </w:rPr>
      </w:pPr>
      <w:r>
        <w:rPr>
          <w:b/>
        </w:rPr>
        <w:t>110</w:t>
      </w:r>
      <w:r>
        <w:rPr>
          <w:b/>
        </w:rPr>
        <w:tab/>
        <w:t>An entity shall assess at the end of each reporting period whether there is any indication that an impairment loss recognised in prior periods for an asset other than goodwill may no longer exist or may have decreased. If any such indication exists, the entity shall estimate the recoverable amount of that asset.</w:t>
      </w:r>
    </w:p>
    <w:p w14:paraId="0BB2E03E" w14:textId="77777777" w:rsidR="006A2DAD" w:rsidRDefault="006A2DAD">
      <w:pPr>
        <w:pStyle w:val="IASBNormalnpara"/>
        <w:rPr>
          <w:b/>
        </w:rPr>
      </w:pPr>
      <w:r>
        <w:rPr>
          <w:b/>
        </w:rPr>
        <w:t>111</w:t>
      </w:r>
      <w:r>
        <w:rPr>
          <w:b/>
        </w:rPr>
        <w:tab/>
        <w:t xml:space="preserve">In assessing whether there is any indication that an impairment loss recognised in prior periods for an asset other than goodwill may no longer exist or may have decreased, an entity shall consider, as a minimum, the following indications: </w:t>
      </w:r>
    </w:p>
    <w:p w14:paraId="0BB2E03F" w14:textId="77777777" w:rsidR="006A2DAD" w:rsidRDefault="006A2DAD" w:rsidP="00763976">
      <w:pPr>
        <w:pStyle w:val="IASBNormalnparaP"/>
        <w:keepNext/>
      </w:pPr>
      <w:r>
        <w:lastRenderedPageBreak/>
        <w:t>External sources of information</w:t>
      </w:r>
    </w:p>
    <w:p w14:paraId="0BB2E040" w14:textId="77777777" w:rsidR="006A2DAD" w:rsidRDefault="006A2DAD">
      <w:pPr>
        <w:pStyle w:val="IASBNormalnparaL1"/>
        <w:rPr>
          <w:b/>
        </w:rPr>
      </w:pPr>
      <w:r>
        <w:rPr>
          <w:b/>
        </w:rPr>
        <w:t>(a)</w:t>
      </w:r>
      <w:r>
        <w:rPr>
          <w:b/>
        </w:rPr>
        <w:tab/>
        <w:t>there are observable indications that the asset’s value has increased significantly during the period.</w:t>
      </w:r>
    </w:p>
    <w:p w14:paraId="0BB2E041" w14:textId="77777777" w:rsidR="006A2DAD" w:rsidRDefault="006A2DAD">
      <w:pPr>
        <w:pStyle w:val="IASBNormalnparaL1"/>
        <w:rPr>
          <w:b/>
        </w:rPr>
      </w:pPr>
      <w:r>
        <w:rPr>
          <w:b/>
        </w:rPr>
        <w:t>(b)</w:t>
      </w:r>
      <w:r>
        <w:rPr>
          <w:b/>
        </w:rPr>
        <w:tab/>
        <w:t>significant changes with a favourable effect on the entity have taken place during the period, or will take place in the near future, in the technological, market, economic or legal environment in which the entity operates or in the market to which the asset is dedicated.</w:t>
      </w:r>
    </w:p>
    <w:p w14:paraId="0BB2E042" w14:textId="77777777" w:rsidR="006A2DAD" w:rsidRDefault="006A2DAD">
      <w:pPr>
        <w:pStyle w:val="IASBNormalnparaL1"/>
        <w:rPr>
          <w:b/>
        </w:rPr>
      </w:pPr>
      <w:r>
        <w:rPr>
          <w:b/>
        </w:rPr>
        <w:t>(c)</w:t>
      </w:r>
      <w:r>
        <w:rPr>
          <w:b/>
        </w:rPr>
        <w:tab/>
        <w:t>market interest rates or other market rates of return on investments have decreased during the period, and those decreases are likely to affect the discount rate used in calculating the asset’s value in use and increase the asset’s recoverable amount materially.</w:t>
      </w:r>
    </w:p>
    <w:p w14:paraId="0BB2E043" w14:textId="77777777" w:rsidR="006A2DAD" w:rsidRDefault="006A2DAD" w:rsidP="00763976">
      <w:pPr>
        <w:pStyle w:val="IASBNormalnparaP"/>
        <w:keepNext/>
      </w:pPr>
      <w:r>
        <w:t>Internal sources of information</w:t>
      </w:r>
    </w:p>
    <w:p w14:paraId="0BB2E044" w14:textId="77777777" w:rsidR="006A2DAD" w:rsidRDefault="006A2DAD">
      <w:pPr>
        <w:pStyle w:val="IASBNormalnparaL1"/>
        <w:rPr>
          <w:b/>
        </w:rPr>
      </w:pPr>
      <w:r>
        <w:rPr>
          <w:b/>
        </w:rPr>
        <w:t>(d)</w:t>
      </w:r>
      <w:r>
        <w:rPr>
          <w:b/>
        </w:rPr>
        <w:tab/>
        <w:t>significant changes with a favourable effect on the entity have taken place during the period, or are expected to take place in the near future, in the extent to which, or manner in which, the asset is used or is expected to be used. These changes include costs incurred during the period to improve or enhance the asset’s performance or restructure the operation to which the asset belongs.</w:t>
      </w:r>
    </w:p>
    <w:p w14:paraId="0BB2E045" w14:textId="77777777" w:rsidR="006A2DAD" w:rsidRDefault="006A2DAD">
      <w:pPr>
        <w:pStyle w:val="IASBNormalnparaL1"/>
        <w:rPr>
          <w:b/>
        </w:rPr>
      </w:pPr>
      <w:r>
        <w:rPr>
          <w:b/>
        </w:rPr>
        <w:t>(e)</w:t>
      </w:r>
      <w:r>
        <w:rPr>
          <w:b/>
        </w:rPr>
        <w:tab/>
        <w:t>evidence is available from internal reporting that indicates that the economic performance of the asset is, or will be, better than expected.</w:t>
      </w:r>
    </w:p>
    <w:p w14:paraId="0BB2E046" w14:textId="77777777" w:rsidR="006A2DAD" w:rsidRDefault="006A2DAD">
      <w:pPr>
        <w:pStyle w:val="IASBNormalnpara"/>
      </w:pPr>
      <w:r>
        <w:t>112</w:t>
      </w:r>
      <w:r>
        <w:tab/>
        <w:t>Indications of a potential decrease in an impairment loss in paragraph 111 mainly mirror the indications of a potential impairment loss in paragraph 12.</w:t>
      </w:r>
    </w:p>
    <w:p w14:paraId="0BB2E047" w14:textId="77777777" w:rsidR="006A2DAD" w:rsidRDefault="006A2DAD">
      <w:pPr>
        <w:pStyle w:val="IASBNormalnpara"/>
      </w:pPr>
      <w:r>
        <w:t>113</w:t>
      </w:r>
      <w:r>
        <w:tab/>
        <w:t>If there is an indication that an impairment loss recognised for an asset other than goodwill may no longer exist or may have decreased, this may indicate that the remaining useful life, the depreciation (amortisation) method or the residual value may need to be reviewed and adjusted in accordance with the</w:t>
      </w:r>
      <w:r w:rsidR="002D17D4">
        <w:t xml:space="preserve"> Standard</w:t>
      </w:r>
      <w:r>
        <w:t xml:space="preserve"> applicable to the asset, even if no impairment loss is reversed for the asset.</w:t>
      </w:r>
    </w:p>
    <w:p w14:paraId="0BB2E048" w14:textId="77777777" w:rsidR="006A2DAD" w:rsidRDefault="006A2DAD">
      <w:pPr>
        <w:pStyle w:val="IASBNormalnpara"/>
        <w:rPr>
          <w:b/>
        </w:rPr>
      </w:pPr>
      <w:r>
        <w:rPr>
          <w:b/>
        </w:rPr>
        <w:t>114</w:t>
      </w:r>
      <w:r>
        <w:rPr>
          <w:b/>
        </w:rPr>
        <w:tab/>
        <w:t>An impairment loss recognised in prior periods for an asset other than goodwill shall be reversed if, and only if, there has been a change in the estimates used to determine the asset’s recoverable amount since the last impairment loss was recognised. If this is the case, the carrying amount of the asset shall, except as described in paragraph 117, be increased to its recoverable amount. That increase is a reversal of an impairment loss.</w:t>
      </w:r>
    </w:p>
    <w:p w14:paraId="0BB2E049" w14:textId="77777777" w:rsidR="006A2DAD" w:rsidRDefault="006A2DAD">
      <w:pPr>
        <w:pStyle w:val="IASBNormalnpara"/>
      </w:pPr>
      <w:r>
        <w:t>115</w:t>
      </w:r>
      <w:r>
        <w:tab/>
        <w:t xml:space="preserve">A reversal of an impairment loss reflects an increase in the estimated service potential of an asset, either from use or from sale, since the date when an entity last recognised an impairment loss for that asset. Paragraph 130 requires an entity to identify the change in estimates that causes the increase in estimated service potential. Examples of changes in estimates include: </w:t>
      </w:r>
    </w:p>
    <w:p w14:paraId="0BB2E04A" w14:textId="77777777" w:rsidR="006A2DAD" w:rsidRDefault="006A2DAD">
      <w:pPr>
        <w:pStyle w:val="IASBNormalnparaL1"/>
      </w:pPr>
      <w:r>
        <w:t>(a)</w:t>
      </w:r>
      <w:r>
        <w:tab/>
        <w:t>a change in the basis for recoverable amount (ie whether recoverable amount is based on fair value less costs of disposal or value in use);</w:t>
      </w:r>
    </w:p>
    <w:p w14:paraId="0BB2E04B" w14:textId="77777777" w:rsidR="006A2DAD" w:rsidRDefault="006A2DAD">
      <w:pPr>
        <w:pStyle w:val="IASBNormalnparaL1"/>
      </w:pPr>
      <w:r>
        <w:t>(b)</w:t>
      </w:r>
      <w:r>
        <w:tab/>
        <w:t>if recoverable amount was based on value in use, a change in the amount or timing of estimated future cash flows or in the discount rate; or</w:t>
      </w:r>
    </w:p>
    <w:p w14:paraId="0BB2E04C" w14:textId="77777777" w:rsidR="006A2DAD" w:rsidRDefault="006A2DAD">
      <w:pPr>
        <w:pStyle w:val="IASBNormalnparaL1"/>
      </w:pPr>
      <w:r>
        <w:t>(c)</w:t>
      </w:r>
      <w:r>
        <w:tab/>
        <w:t>if recoverable amount was based on fair value less costs of disposal, a change in estimate of the components of fair value less costs of disposal.</w:t>
      </w:r>
    </w:p>
    <w:p w14:paraId="0BB2E04D" w14:textId="77777777" w:rsidR="006A2DAD" w:rsidRDefault="006A2DAD">
      <w:pPr>
        <w:pStyle w:val="IASBNormalnpara"/>
      </w:pPr>
      <w:r>
        <w:t>116</w:t>
      </w:r>
      <w:r>
        <w:tab/>
        <w:t xml:space="preserve">An asset’s value in use may become greater than the asset’s carrying amount simply because the present value of future cash inflows increases as they become closer. However, the service potential of the asset has not increased. Therefore, an impairment loss is not reversed just because of the passage of time (sometimes called the ‘unwinding’ of the discount), even if the recoverable amount of the asset becomes higher than its carrying amount. </w:t>
      </w:r>
    </w:p>
    <w:p w14:paraId="0BB2E04E" w14:textId="77777777" w:rsidR="006A2DAD" w:rsidRDefault="006A2DAD">
      <w:pPr>
        <w:pStyle w:val="IASBSectionTitle2Ind"/>
      </w:pPr>
      <w:r>
        <w:t>Reversing an impairment loss for an individual asset</w:t>
      </w:r>
    </w:p>
    <w:p w14:paraId="0BB2E04F" w14:textId="77777777" w:rsidR="006A2DAD" w:rsidRDefault="006A2DAD">
      <w:pPr>
        <w:pStyle w:val="IASBNormalnpara"/>
        <w:rPr>
          <w:b/>
        </w:rPr>
      </w:pPr>
      <w:r>
        <w:rPr>
          <w:b/>
        </w:rPr>
        <w:t>117</w:t>
      </w:r>
      <w:r>
        <w:rPr>
          <w:b/>
        </w:rPr>
        <w:tab/>
        <w:t>The increased carrying amount of an asset other than goodwill attributable to a reversal of an impairment loss shall not exceed the carrying amount that would have been determined (net of amortisation or depreciation) had no impairment loss been recognised for the asset in prior years.</w:t>
      </w:r>
    </w:p>
    <w:p w14:paraId="0BB2E050" w14:textId="77777777" w:rsidR="006A2DAD" w:rsidRDefault="006A2DAD">
      <w:pPr>
        <w:pStyle w:val="IASBNormalnpara"/>
      </w:pPr>
      <w:r>
        <w:t>118</w:t>
      </w:r>
      <w:r>
        <w:tab/>
        <w:t>Any increase in the carrying amount of an asset other than goodwill above the carrying amount that would have been determined (net of amortisation or depreciation) had no impairment loss been recognised for the asset in prior years is a revaluation. In accounting for such a revaluation, an entity applies the</w:t>
      </w:r>
      <w:r w:rsidR="002D17D4">
        <w:t xml:space="preserve"> Standard</w:t>
      </w:r>
      <w:r>
        <w:t xml:space="preserve"> applicable to the asset.</w:t>
      </w:r>
    </w:p>
    <w:p w14:paraId="0BB2E051" w14:textId="77777777" w:rsidR="006A2DAD" w:rsidRDefault="006A2DAD">
      <w:pPr>
        <w:pStyle w:val="IASBNormalnpara"/>
        <w:rPr>
          <w:b/>
        </w:rPr>
      </w:pPr>
      <w:r>
        <w:rPr>
          <w:b/>
        </w:rPr>
        <w:t>119</w:t>
      </w:r>
      <w:r>
        <w:rPr>
          <w:b/>
        </w:rPr>
        <w:tab/>
        <w:t>A reversal of an impairment loss for an asset other than goodwill shall be recognised immediately in profit or loss, unless the asset is carried at revalued amount in accordance with another</w:t>
      </w:r>
      <w:r w:rsidR="002D17D4">
        <w:rPr>
          <w:b/>
        </w:rPr>
        <w:t xml:space="preserve"> Standard</w:t>
      </w:r>
      <w:r>
        <w:rPr>
          <w:b/>
        </w:rPr>
        <w:t xml:space="preserve"> (for </w:t>
      </w:r>
      <w:r>
        <w:rPr>
          <w:b/>
        </w:rPr>
        <w:lastRenderedPageBreak/>
        <w:t>example, the revaluation model in</w:t>
      </w:r>
      <w:r w:rsidR="002D17D4">
        <w:rPr>
          <w:b/>
        </w:rPr>
        <w:t xml:space="preserve"> AASB 116</w:t>
      </w:r>
      <w:r>
        <w:rPr>
          <w:b/>
        </w:rPr>
        <w:t>). Any reversal of an impairment loss of a revalued asset shall be treated as a revaluation increase in accordance with that other</w:t>
      </w:r>
      <w:r w:rsidR="002D17D4">
        <w:rPr>
          <w:b/>
        </w:rPr>
        <w:t xml:space="preserve"> Standard</w:t>
      </w:r>
      <w:r>
        <w:rPr>
          <w:b/>
        </w:rPr>
        <w:t>.</w:t>
      </w:r>
    </w:p>
    <w:p w14:paraId="0BB2E052" w14:textId="77777777" w:rsidR="006A2DAD" w:rsidRDefault="006A2DAD">
      <w:pPr>
        <w:pStyle w:val="IASBNormalnpara"/>
      </w:pPr>
      <w:r>
        <w:t>120</w:t>
      </w:r>
      <w:r>
        <w:tab/>
        <w:t>A reversal of an impairment loss on a revalued asset is recognised in other comprehensive income and increases the revaluation surplus for that asset. However, to the extent that an impairment loss on the same revalued asset was previously recognised in profit or loss, a reversal of that impairment loss is also recognised in profit or loss.</w:t>
      </w:r>
    </w:p>
    <w:p w14:paraId="0BB2E053" w14:textId="77777777" w:rsidR="009135DD" w:rsidRDefault="009135DD" w:rsidP="009135DD">
      <w:pPr>
        <w:pStyle w:val="AusPlain"/>
      </w:pPr>
      <w:r>
        <w:t>Aus120.1</w:t>
      </w:r>
      <w:r>
        <w:tab/>
      </w:r>
      <w:r w:rsidRPr="009135DD">
        <w:t>Notwithstanding paragraph 120, in respect of not-for-profit entities, a reversal of an impairment loss on a revalued asset is recognised in other comprehensive income and increases the revaluation surplus. However, to the extent that an impairment loss on the same class of asset was previously recognised in profit or loss, a reversal of that impairment loss is also recognised in profit or loss.</w:t>
      </w:r>
    </w:p>
    <w:p w14:paraId="0BB2E054" w14:textId="77777777" w:rsidR="006A2DAD" w:rsidRDefault="006A2DAD">
      <w:pPr>
        <w:pStyle w:val="IASBNormalnpara"/>
        <w:rPr>
          <w:b/>
        </w:rPr>
      </w:pPr>
      <w:r>
        <w:rPr>
          <w:b/>
        </w:rPr>
        <w:t>121</w:t>
      </w:r>
      <w:r>
        <w:rPr>
          <w:b/>
        </w:rPr>
        <w:tab/>
        <w:t>After a reversal of an impairment loss is recognised, the depreciation (amortisation) charge for the asset shall be adjusted in future periods to allocate the asset’s revised carrying amount, less its residual value (if any), on a systematic basis over its remaining useful life.</w:t>
      </w:r>
    </w:p>
    <w:p w14:paraId="0BB2E055" w14:textId="77777777" w:rsidR="006A2DAD" w:rsidRDefault="006A2DAD">
      <w:pPr>
        <w:pStyle w:val="IASBSectionTitle2Ind"/>
      </w:pPr>
      <w:r>
        <w:t>Reversing an impairment loss for a cash-generating unit</w:t>
      </w:r>
    </w:p>
    <w:p w14:paraId="0BB2E056" w14:textId="77777777" w:rsidR="006A2DAD" w:rsidRDefault="006A2DAD">
      <w:pPr>
        <w:pStyle w:val="IASBNormalnpara"/>
        <w:rPr>
          <w:b/>
        </w:rPr>
      </w:pPr>
      <w:r>
        <w:rPr>
          <w:b/>
        </w:rPr>
        <w:t>122</w:t>
      </w:r>
      <w:r>
        <w:rPr>
          <w:b/>
        </w:rPr>
        <w:tab/>
        <w:t>A reversal of an impairment loss for a cash-generating unit shall be allocated to the assets of the unit, except for goodwill, pro rata with the carrying amounts of those assets. These increases in carrying amounts shall be treated as reversals of impairment losses for individual assets and recognised in accordance with paragraph 119.</w:t>
      </w:r>
    </w:p>
    <w:p w14:paraId="0BB2E057" w14:textId="77777777" w:rsidR="006A2DAD" w:rsidRDefault="006A2DAD">
      <w:pPr>
        <w:pStyle w:val="IASBNormalnpara"/>
        <w:rPr>
          <w:b/>
        </w:rPr>
      </w:pPr>
      <w:r>
        <w:rPr>
          <w:b/>
        </w:rPr>
        <w:t>123</w:t>
      </w:r>
      <w:r>
        <w:rPr>
          <w:b/>
        </w:rPr>
        <w:tab/>
        <w:t xml:space="preserve">In allocating a reversal of an impairment loss for a cash-generating unit in accordance with paragraph 122, the carrying amount of an asset shall not be increased above the lower of: </w:t>
      </w:r>
    </w:p>
    <w:p w14:paraId="0BB2E058" w14:textId="77777777" w:rsidR="006A2DAD" w:rsidRDefault="006A2DAD">
      <w:pPr>
        <w:pStyle w:val="IASBNormalnparaL1"/>
      </w:pPr>
      <w:r>
        <w:rPr>
          <w:b/>
        </w:rPr>
        <w:t>(a)</w:t>
      </w:r>
      <w:r>
        <w:tab/>
      </w:r>
      <w:r>
        <w:rPr>
          <w:b/>
        </w:rPr>
        <w:t>its recoverable amount (if determinable); and</w:t>
      </w:r>
    </w:p>
    <w:p w14:paraId="0BB2E059" w14:textId="77777777" w:rsidR="006A2DAD" w:rsidRDefault="006A2DAD">
      <w:pPr>
        <w:pStyle w:val="IASBNormalnparaL1"/>
      </w:pPr>
      <w:r>
        <w:rPr>
          <w:b/>
        </w:rPr>
        <w:t>(b)</w:t>
      </w:r>
      <w:r>
        <w:tab/>
      </w:r>
      <w:r>
        <w:rPr>
          <w:b/>
        </w:rPr>
        <w:t>the carrying amount that would have been determined (net of amortisation or depreciation) had no impairment loss been recognised for the asset in prior periods.</w:t>
      </w:r>
    </w:p>
    <w:p w14:paraId="0BB2E05A" w14:textId="77777777" w:rsidR="006A2DAD" w:rsidRDefault="006A2DAD">
      <w:pPr>
        <w:pStyle w:val="IASBNormalnparaP"/>
      </w:pPr>
      <w:r>
        <w:rPr>
          <w:b/>
        </w:rPr>
        <w:t>The amount of the reversal of the impairment loss that would otherwise have been allocated to the asset shall be allocated pro rata to the other assets of the unit, except for goodwill.</w:t>
      </w:r>
    </w:p>
    <w:p w14:paraId="0BB2E05B" w14:textId="77777777" w:rsidR="006A2DAD" w:rsidRDefault="006A2DAD">
      <w:pPr>
        <w:pStyle w:val="IASBSectionTitle2Ind"/>
      </w:pPr>
      <w:r>
        <w:t>Reversing an impairment loss for goodwill</w:t>
      </w:r>
    </w:p>
    <w:p w14:paraId="0BB2E05C" w14:textId="77777777" w:rsidR="006A2DAD" w:rsidRDefault="006A2DAD">
      <w:pPr>
        <w:pStyle w:val="IASBNormalnpara"/>
        <w:rPr>
          <w:b/>
        </w:rPr>
      </w:pPr>
      <w:r>
        <w:rPr>
          <w:b/>
        </w:rPr>
        <w:t>124</w:t>
      </w:r>
      <w:r>
        <w:rPr>
          <w:b/>
        </w:rPr>
        <w:tab/>
        <w:t>An impairment loss recognised for goodwill shall not be reversed in a subsequent period.</w:t>
      </w:r>
    </w:p>
    <w:p w14:paraId="0BB2E05D" w14:textId="77777777" w:rsidR="006A2DAD" w:rsidRDefault="006A2DAD">
      <w:pPr>
        <w:pStyle w:val="IASBNormalnpara"/>
      </w:pPr>
      <w:r>
        <w:t>125</w:t>
      </w:r>
      <w:r>
        <w:tab/>
      </w:r>
      <w:r w:rsidR="002D17D4">
        <w:t>AASB 138</w:t>
      </w:r>
      <w:r>
        <w:t xml:space="preserve"> </w:t>
      </w:r>
      <w:r>
        <w:rPr>
          <w:i/>
        </w:rPr>
        <w:t>Intangible Assets</w:t>
      </w:r>
      <w:r>
        <w:t xml:space="preserve"> prohibits the recognition of internally generated goodwill. Any increase in the recoverable amount of goodwill in the periods following the recognition of an impairment loss for that goodwill is likely to be an increase in internally generated goodwill, rather than a reversal of the impairment loss recognised for the acquired goodwill.</w:t>
      </w:r>
    </w:p>
    <w:p w14:paraId="0BB2E05E" w14:textId="77777777" w:rsidR="006A2DAD" w:rsidRDefault="006A2DAD">
      <w:pPr>
        <w:pStyle w:val="IASBSectionTitle1NonInd"/>
      </w:pPr>
      <w:r>
        <w:t>Disclosure</w:t>
      </w:r>
    </w:p>
    <w:p w14:paraId="0BB2E05F" w14:textId="77777777" w:rsidR="006A2DAD" w:rsidRDefault="006A2DAD">
      <w:pPr>
        <w:pStyle w:val="IASBNormalnpara"/>
        <w:rPr>
          <w:b/>
        </w:rPr>
      </w:pPr>
      <w:r>
        <w:rPr>
          <w:b/>
        </w:rPr>
        <w:t>126</w:t>
      </w:r>
      <w:r>
        <w:rPr>
          <w:b/>
        </w:rPr>
        <w:tab/>
        <w:t xml:space="preserve">An entity shall disclose the following for each class of assets: </w:t>
      </w:r>
    </w:p>
    <w:p w14:paraId="0BB2E060" w14:textId="77777777" w:rsidR="006A2DAD" w:rsidRDefault="006A2DAD">
      <w:pPr>
        <w:pStyle w:val="IASBNormalnparaL1"/>
      </w:pPr>
      <w:r>
        <w:rPr>
          <w:b/>
        </w:rPr>
        <w:t>(a)</w:t>
      </w:r>
      <w:r>
        <w:tab/>
      </w:r>
      <w:r>
        <w:rPr>
          <w:b/>
        </w:rPr>
        <w:t>the amount of impairment losses recognised in profit or loss</w:t>
      </w:r>
      <w:r>
        <w:t xml:space="preserve"> </w:t>
      </w:r>
      <w:r>
        <w:rPr>
          <w:b/>
        </w:rPr>
        <w:t>during the period and the line item(s) of the statement of comprehensive income in which those impairment losses are included.</w:t>
      </w:r>
    </w:p>
    <w:p w14:paraId="0BB2E061" w14:textId="77777777" w:rsidR="006A2DAD" w:rsidRDefault="006A2DAD">
      <w:pPr>
        <w:pStyle w:val="IASBNormalnparaL1"/>
      </w:pPr>
      <w:r>
        <w:rPr>
          <w:b/>
        </w:rPr>
        <w:t>(b)</w:t>
      </w:r>
      <w:r>
        <w:tab/>
      </w:r>
      <w:r>
        <w:rPr>
          <w:b/>
        </w:rPr>
        <w:t>the amount of reversals of impairment losses recognised in profit or loss during the period and the line item(s) of the statement of comprehensive income in which those impairment losses are reversed.</w:t>
      </w:r>
    </w:p>
    <w:p w14:paraId="0BB2E062" w14:textId="77777777" w:rsidR="006A2DAD" w:rsidRDefault="006A2DAD">
      <w:pPr>
        <w:pStyle w:val="IASBNormalnparaL1"/>
      </w:pPr>
      <w:r>
        <w:rPr>
          <w:b/>
        </w:rPr>
        <w:t>(c)</w:t>
      </w:r>
      <w:r>
        <w:tab/>
      </w:r>
      <w:r>
        <w:rPr>
          <w:b/>
        </w:rPr>
        <w:t>the amount of impairment losses on revalued assets recognised in other comprehensive income</w:t>
      </w:r>
      <w:r>
        <w:t xml:space="preserve"> </w:t>
      </w:r>
      <w:r>
        <w:rPr>
          <w:b/>
        </w:rPr>
        <w:t>during the period.</w:t>
      </w:r>
    </w:p>
    <w:p w14:paraId="0BB2E063" w14:textId="77777777" w:rsidR="006A2DAD" w:rsidRDefault="006A2DAD">
      <w:pPr>
        <w:pStyle w:val="IASBNormalnparaL1"/>
      </w:pPr>
      <w:r>
        <w:rPr>
          <w:b/>
        </w:rPr>
        <w:t>(d)</w:t>
      </w:r>
      <w:r>
        <w:tab/>
      </w:r>
      <w:r>
        <w:rPr>
          <w:b/>
        </w:rPr>
        <w:t>the amount of reversals of impairment losses on revalued assets recognised in other comprehensive income during the period.</w:t>
      </w:r>
    </w:p>
    <w:p w14:paraId="0BB2E064" w14:textId="77777777" w:rsidR="006A2DAD" w:rsidRDefault="006A2DAD">
      <w:pPr>
        <w:pStyle w:val="IASBNormalnpara"/>
      </w:pPr>
      <w:r>
        <w:t>127</w:t>
      </w:r>
      <w:r>
        <w:tab/>
        <w:t>A class of assets is a grouping of assets of similar nature and use in an entity’s operations.</w:t>
      </w:r>
    </w:p>
    <w:p w14:paraId="0BB2E065" w14:textId="77777777" w:rsidR="006A2DAD" w:rsidRDefault="006A2DAD">
      <w:pPr>
        <w:pStyle w:val="IASBNormalnpara"/>
      </w:pPr>
      <w:r>
        <w:t>128</w:t>
      </w:r>
      <w:r>
        <w:tab/>
        <w:t>The information required in paragraph 126 may be presented with other information disclosed for the class of assets. For example, this information may be included in a reconciliation of the carrying amount of property, plant and equipment, at the beginning and end of the period, as required by</w:t>
      </w:r>
      <w:r w:rsidR="002D17D4">
        <w:t xml:space="preserve"> AASB 116</w:t>
      </w:r>
      <w:r>
        <w:t xml:space="preserve">. </w:t>
      </w:r>
    </w:p>
    <w:p w14:paraId="0BB2E066" w14:textId="77777777" w:rsidR="006A2DAD" w:rsidRPr="00082E81" w:rsidRDefault="006A2DAD" w:rsidP="007F493B">
      <w:pPr>
        <w:pStyle w:val="IASBNormalnpara"/>
        <w:rPr>
          <w:b/>
        </w:rPr>
      </w:pPr>
      <w:r w:rsidRPr="00082E81">
        <w:rPr>
          <w:b/>
        </w:rPr>
        <w:lastRenderedPageBreak/>
        <w:t>129</w:t>
      </w:r>
      <w:r w:rsidRPr="00082E81">
        <w:rPr>
          <w:b/>
        </w:rPr>
        <w:tab/>
        <w:t>An entity that reports segment information in accordance with</w:t>
      </w:r>
      <w:r w:rsidR="002D17D4" w:rsidRPr="00082E81">
        <w:rPr>
          <w:b/>
        </w:rPr>
        <w:t xml:space="preserve"> AASB 8</w:t>
      </w:r>
      <w:r w:rsidRPr="00082E81">
        <w:rPr>
          <w:b/>
        </w:rPr>
        <w:t xml:space="preserve"> shall disclose the following for each reportable segment: </w:t>
      </w:r>
    </w:p>
    <w:p w14:paraId="0BB2E067" w14:textId="07375281" w:rsidR="006A2DAD" w:rsidRPr="00082E81" w:rsidRDefault="006A2DAD" w:rsidP="007F493B">
      <w:pPr>
        <w:pStyle w:val="IASBNormalnparaL1"/>
        <w:rPr>
          <w:b/>
        </w:rPr>
      </w:pPr>
      <w:r w:rsidRPr="00082E81">
        <w:rPr>
          <w:b/>
        </w:rPr>
        <w:t>(a)</w:t>
      </w:r>
      <w:r w:rsidRPr="00082E81">
        <w:rPr>
          <w:b/>
        </w:rPr>
        <w:tab/>
        <w:t>the amount of impairment losses recognised in profit or loss and in other comprehensive income during the period.</w:t>
      </w:r>
    </w:p>
    <w:p w14:paraId="0BB2E068" w14:textId="7064E3A5" w:rsidR="006A2DAD" w:rsidRPr="00082E81" w:rsidRDefault="006A2DAD" w:rsidP="007F493B">
      <w:pPr>
        <w:pStyle w:val="IASBNormalnparaL1"/>
        <w:rPr>
          <w:b/>
        </w:rPr>
      </w:pPr>
      <w:r w:rsidRPr="00082E81">
        <w:rPr>
          <w:b/>
        </w:rPr>
        <w:t>(b)</w:t>
      </w:r>
      <w:r w:rsidRPr="00082E81">
        <w:rPr>
          <w:b/>
        </w:rPr>
        <w:tab/>
        <w:t>the amount of reversals of impairment losses recognised in profit or loss and in other comprehensive income during the period.</w:t>
      </w:r>
    </w:p>
    <w:p w14:paraId="0BB2E069" w14:textId="77777777" w:rsidR="006A2DAD" w:rsidRPr="0076544D" w:rsidRDefault="006A2DAD" w:rsidP="0076544D">
      <w:pPr>
        <w:pStyle w:val="IASBNormalnpara"/>
        <w:rPr>
          <w:b/>
        </w:rPr>
      </w:pPr>
      <w:r w:rsidRPr="0076544D">
        <w:rPr>
          <w:b/>
        </w:rPr>
        <w:t>130</w:t>
      </w:r>
      <w:r w:rsidRPr="0076544D">
        <w:rPr>
          <w:b/>
        </w:rPr>
        <w:tab/>
        <w:t xml:space="preserve">An entity shall disclose the following for an individual asset (including goodwill) or a cash-generating unit, for which an impairment loss has been recognised or reversed during the period: </w:t>
      </w:r>
    </w:p>
    <w:p w14:paraId="0BB2E06A" w14:textId="77777777" w:rsidR="006A2DAD" w:rsidRPr="00082E81" w:rsidRDefault="006A2DAD" w:rsidP="007F493B">
      <w:pPr>
        <w:pStyle w:val="IASBNormalnparaL1"/>
        <w:rPr>
          <w:b/>
        </w:rPr>
      </w:pPr>
      <w:r w:rsidRPr="00082E81">
        <w:rPr>
          <w:b/>
        </w:rPr>
        <w:t>(a)</w:t>
      </w:r>
      <w:r w:rsidRPr="00082E81">
        <w:rPr>
          <w:b/>
        </w:rPr>
        <w:tab/>
        <w:t>the events and circumstances that led to the recognition or reversal of the impairment loss.</w:t>
      </w:r>
    </w:p>
    <w:p w14:paraId="0BB2E06B" w14:textId="77777777" w:rsidR="006A2DAD" w:rsidRPr="00082E81" w:rsidRDefault="006A2DAD" w:rsidP="007F493B">
      <w:pPr>
        <w:pStyle w:val="IASBNormalnparaL1"/>
        <w:rPr>
          <w:b/>
        </w:rPr>
      </w:pPr>
      <w:r w:rsidRPr="00082E81">
        <w:rPr>
          <w:b/>
        </w:rPr>
        <w:t>(b)</w:t>
      </w:r>
      <w:r w:rsidRPr="00082E81">
        <w:rPr>
          <w:b/>
        </w:rPr>
        <w:tab/>
        <w:t>the amount of the impairment loss recognised or reversed.</w:t>
      </w:r>
    </w:p>
    <w:p w14:paraId="0BB2E06C" w14:textId="77777777" w:rsidR="006A2DAD" w:rsidRPr="00082E81" w:rsidRDefault="006A2DAD" w:rsidP="007F493B">
      <w:pPr>
        <w:pStyle w:val="IASBNormalnparaL1"/>
        <w:rPr>
          <w:b/>
        </w:rPr>
      </w:pPr>
      <w:r w:rsidRPr="00082E81">
        <w:rPr>
          <w:b/>
        </w:rPr>
        <w:t>(c)</w:t>
      </w:r>
      <w:r w:rsidRPr="00082E81">
        <w:rPr>
          <w:b/>
        </w:rPr>
        <w:tab/>
        <w:t>for an individual asset:</w:t>
      </w:r>
    </w:p>
    <w:p w14:paraId="0BB2E06D" w14:textId="697E2767" w:rsidR="006A2DAD" w:rsidRPr="00082E81" w:rsidRDefault="006A2DAD" w:rsidP="00391327">
      <w:pPr>
        <w:pStyle w:val="IASBNormalnparaL1"/>
        <w:ind w:left="2348" w:hanging="778"/>
        <w:rPr>
          <w:b/>
        </w:rPr>
      </w:pPr>
      <w:r w:rsidRPr="00082E81">
        <w:rPr>
          <w:b/>
        </w:rPr>
        <w:t>(i)</w:t>
      </w:r>
      <w:r w:rsidRPr="00082E81">
        <w:rPr>
          <w:b/>
        </w:rPr>
        <w:tab/>
        <w:t>the nature of the asset; and</w:t>
      </w:r>
    </w:p>
    <w:p w14:paraId="0BB2E06E" w14:textId="27BA7B01" w:rsidR="006A2DAD" w:rsidRPr="00082E81" w:rsidRDefault="006A2DAD" w:rsidP="00391327">
      <w:pPr>
        <w:pStyle w:val="IASBNormalnparaL1"/>
        <w:ind w:left="2348" w:hanging="778"/>
        <w:rPr>
          <w:b/>
        </w:rPr>
      </w:pPr>
      <w:r w:rsidRPr="00082E81">
        <w:rPr>
          <w:b/>
        </w:rPr>
        <w:t>(ii)</w:t>
      </w:r>
      <w:r w:rsidRPr="00082E81">
        <w:rPr>
          <w:b/>
        </w:rPr>
        <w:tab/>
        <w:t>if the entity reports segment information in accordance with</w:t>
      </w:r>
      <w:r w:rsidR="002D17D4" w:rsidRPr="00082E81">
        <w:rPr>
          <w:b/>
        </w:rPr>
        <w:t xml:space="preserve"> AASB 8</w:t>
      </w:r>
      <w:r w:rsidRPr="00082E81">
        <w:rPr>
          <w:b/>
        </w:rPr>
        <w:t>, the reportable segment to which the asset belongs.</w:t>
      </w:r>
    </w:p>
    <w:p w14:paraId="0BB2E06F" w14:textId="77777777" w:rsidR="006A2DAD" w:rsidRPr="00082E81" w:rsidRDefault="006A2DAD" w:rsidP="007F493B">
      <w:pPr>
        <w:pStyle w:val="IASBNormalnparaL1"/>
        <w:rPr>
          <w:b/>
        </w:rPr>
      </w:pPr>
      <w:r w:rsidRPr="00082E81">
        <w:rPr>
          <w:b/>
        </w:rPr>
        <w:t>(d)</w:t>
      </w:r>
      <w:r w:rsidRPr="00082E81">
        <w:rPr>
          <w:b/>
        </w:rPr>
        <w:tab/>
        <w:t>for a cash-generating unit:</w:t>
      </w:r>
    </w:p>
    <w:p w14:paraId="0BB2E070" w14:textId="380D8E03" w:rsidR="006A2DAD" w:rsidRPr="00082E81" w:rsidRDefault="006A2DAD" w:rsidP="00391327">
      <w:pPr>
        <w:pStyle w:val="IASBNormalnparaL1"/>
        <w:ind w:left="2348" w:hanging="778"/>
        <w:rPr>
          <w:b/>
        </w:rPr>
      </w:pPr>
      <w:r w:rsidRPr="00082E81">
        <w:rPr>
          <w:b/>
        </w:rPr>
        <w:t>(i)</w:t>
      </w:r>
      <w:r w:rsidRPr="00082E81">
        <w:rPr>
          <w:b/>
        </w:rPr>
        <w:tab/>
        <w:t>a description of the cash-generating unit (such as whether it is a product line, a plant, a business operation, a geographical area, or a reportable segment as defined in</w:t>
      </w:r>
      <w:r w:rsidR="002D17D4" w:rsidRPr="00082E81">
        <w:rPr>
          <w:b/>
        </w:rPr>
        <w:t xml:space="preserve"> AASB 8</w:t>
      </w:r>
      <w:r w:rsidRPr="00082E81">
        <w:rPr>
          <w:b/>
        </w:rPr>
        <w:t>);</w:t>
      </w:r>
    </w:p>
    <w:p w14:paraId="0BB2E071" w14:textId="7B0DC8DA" w:rsidR="006A2DAD" w:rsidRPr="00082E81" w:rsidRDefault="006A2DAD" w:rsidP="00391327">
      <w:pPr>
        <w:pStyle w:val="IASBNormalnparaL1"/>
        <w:ind w:left="2348" w:hanging="778"/>
        <w:rPr>
          <w:b/>
        </w:rPr>
      </w:pPr>
      <w:r w:rsidRPr="00082E81">
        <w:rPr>
          <w:b/>
        </w:rPr>
        <w:t>(ii)</w:t>
      </w:r>
      <w:r w:rsidRPr="00082E81">
        <w:rPr>
          <w:b/>
        </w:rPr>
        <w:tab/>
        <w:t>the amount of the impairment loss recognised or reversed by class of assets and, if the entity reports segment information in accordance with</w:t>
      </w:r>
      <w:r w:rsidR="002D17D4" w:rsidRPr="00082E81">
        <w:rPr>
          <w:b/>
        </w:rPr>
        <w:t xml:space="preserve"> AASB 8</w:t>
      </w:r>
      <w:r w:rsidRPr="00082E81">
        <w:rPr>
          <w:b/>
        </w:rPr>
        <w:t>, by reportable segment; and</w:t>
      </w:r>
    </w:p>
    <w:p w14:paraId="0BB2E072" w14:textId="5ADF4323" w:rsidR="006A2DAD" w:rsidRPr="00082E81" w:rsidRDefault="006A2DAD" w:rsidP="00391327">
      <w:pPr>
        <w:pStyle w:val="IASBNormalnparaL1"/>
        <w:ind w:left="2348" w:hanging="778"/>
        <w:rPr>
          <w:b/>
        </w:rPr>
      </w:pPr>
      <w:r w:rsidRPr="00082E81">
        <w:rPr>
          <w:b/>
        </w:rPr>
        <w:t>(iii)</w:t>
      </w:r>
      <w:r w:rsidRPr="00082E81">
        <w:rPr>
          <w:b/>
        </w:rPr>
        <w:tab/>
        <w:t>if the aggregation of assets for identifying the cash-generating unit has changed since the previous estimate of the cash-generating unit’s recoverable amount (if any), a description of the current and former way of aggregating assets and the reasons for changing the way the cash-generating unit is identified.</w:t>
      </w:r>
    </w:p>
    <w:p w14:paraId="0BB2E073" w14:textId="77777777" w:rsidR="006A2DAD" w:rsidRDefault="006A2DAD">
      <w:pPr>
        <w:pStyle w:val="IASBNormalnparaL1"/>
      </w:pPr>
      <w:r>
        <w:rPr>
          <w:b/>
        </w:rPr>
        <w:t>(e)</w:t>
      </w:r>
      <w:r>
        <w:tab/>
      </w:r>
      <w:r>
        <w:rPr>
          <w:b/>
        </w:rPr>
        <w:t xml:space="preserve">the recoverable amount of the asset (cash-generating unit) </w:t>
      </w:r>
      <w:r w:rsidRPr="007F493B">
        <w:rPr>
          <w:b/>
        </w:rPr>
        <w:t>and whether the recoverable amount of the asset (cash-generating unit) is its fair value less costs of disposal or its value in use</w:t>
      </w:r>
      <w:r>
        <w:rPr>
          <w:b/>
        </w:rPr>
        <w:t>.</w:t>
      </w:r>
    </w:p>
    <w:p w14:paraId="0BB2E074" w14:textId="77777777" w:rsidR="006A2DAD" w:rsidRPr="00082E81" w:rsidRDefault="006A2DAD" w:rsidP="007F493B">
      <w:pPr>
        <w:pStyle w:val="IASBNormalnparaL1"/>
        <w:rPr>
          <w:b/>
        </w:rPr>
      </w:pPr>
      <w:r w:rsidRPr="00082E81">
        <w:rPr>
          <w:b/>
        </w:rPr>
        <w:t>(f)</w:t>
      </w:r>
      <w:r w:rsidRPr="00082E81">
        <w:rPr>
          <w:b/>
        </w:rPr>
        <w:tab/>
        <w:t>if the recoverable amount is fair value less costs of disposal, the entity shall disclose the following information:</w:t>
      </w:r>
    </w:p>
    <w:p w14:paraId="0BB2E075" w14:textId="421F7DF1" w:rsidR="006A2DAD" w:rsidRPr="00082E81" w:rsidRDefault="006A2DAD" w:rsidP="00391327">
      <w:pPr>
        <w:pStyle w:val="IASBNormalnparaL1"/>
        <w:ind w:left="2348" w:hanging="778"/>
        <w:rPr>
          <w:b/>
        </w:rPr>
      </w:pPr>
      <w:r w:rsidRPr="00082E81">
        <w:rPr>
          <w:b/>
        </w:rPr>
        <w:t>(i)</w:t>
      </w:r>
      <w:r w:rsidRPr="00082E81">
        <w:rPr>
          <w:b/>
        </w:rPr>
        <w:tab/>
        <w:t>the level of the fair value hierarchy (see</w:t>
      </w:r>
      <w:r w:rsidR="002D17D4" w:rsidRPr="00082E81">
        <w:rPr>
          <w:b/>
        </w:rPr>
        <w:t xml:space="preserve"> AASB 13</w:t>
      </w:r>
      <w:r w:rsidRPr="00082E81">
        <w:rPr>
          <w:b/>
        </w:rPr>
        <w:t>) within which the fair value measurement of the asset (cash-generating unit) is categorised in its entirety (without taking into account whether the ‘costs of disposal’ are observable);</w:t>
      </w:r>
    </w:p>
    <w:p w14:paraId="0BB2E076" w14:textId="4D2F536D" w:rsidR="006A2DAD" w:rsidRPr="00082E81" w:rsidRDefault="006A2DAD" w:rsidP="00391327">
      <w:pPr>
        <w:pStyle w:val="IASBNormalnparaL1"/>
        <w:ind w:left="2348" w:hanging="778"/>
        <w:rPr>
          <w:b/>
        </w:rPr>
      </w:pPr>
      <w:r w:rsidRPr="00082E81">
        <w:rPr>
          <w:b/>
        </w:rPr>
        <w:t>(ii)</w:t>
      </w:r>
      <w:r w:rsidRPr="00082E81">
        <w:rPr>
          <w:b/>
        </w:rPr>
        <w:tab/>
        <w:t>for fair value measurements categorised within Level 2 and Level 3 of the fair value hierarchy, a description of the valuation technique(s) used to measure fair value less costs of disposal. If there has been a change in valuation technique, the entity shall disclose that change and the reason(s) for making it; and</w:t>
      </w:r>
    </w:p>
    <w:p w14:paraId="0BB2E077" w14:textId="2BA06460" w:rsidR="006A2DAD" w:rsidRPr="00082E81" w:rsidRDefault="006A2DAD" w:rsidP="00391327">
      <w:pPr>
        <w:pStyle w:val="IASBNormalnparaL1"/>
        <w:ind w:left="2348" w:hanging="778"/>
        <w:rPr>
          <w:b/>
        </w:rPr>
      </w:pPr>
      <w:r w:rsidRPr="00082E81">
        <w:rPr>
          <w:b/>
        </w:rPr>
        <w:t>(iii)</w:t>
      </w:r>
      <w:r w:rsidRPr="00082E81">
        <w:rPr>
          <w:b/>
        </w:rPr>
        <w:tab/>
        <w:t>for fair value measurements categorised within Level 2 and Level 3 of the fair value hierarchy, each key assumption on which management has based its determination of fair value less costs of disposal. Key assumptions are those to which the asset’s (cash-generating unit’s) recoverable amount is most sensitive. The entity shall also disclose the discount rate(s) used in the current measurement and previous measurement if fair value less costs of disposal is measured using a present value technique.</w:t>
      </w:r>
    </w:p>
    <w:p w14:paraId="0BB2E078" w14:textId="77777777" w:rsidR="006A2DAD" w:rsidRPr="00082E81" w:rsidRDefault="006A2DAD" w:rsidP="007F493B">
      <w:pPr>
        <w:pStyle w:val="IASBNormalnparaL1"/>
        <w:rPr>
          <w:b/>
        </w:rPr>
      </w:pPr>
      <w:r w:rsidRPr="00082E81">
        <w:rPr>
          <w:b/>
        </w:rPr>
        <w:t>(g)</w:t>
      </w:r>
      <w:r w:rsidRPr="00082E81">
        <w:rPr>
          <w:b/>
        </w:rPr>
        <w:tab/>
        <w:t>if recoverable amount is value in use, the discount rate(s) used in the current estimate and previous estimate (if any) of value in use.</w:t>
      </w:r>
    </w:p>
    <w:p w14:paraId="0BB2E079" w14:textId="77777777" w:rsidR="006A2DAD" w:rsidRPr="00082E81" w:rsidRDefault="006A2DAD" w:rsidP="00A70D7B">
      <w:pPr>
        <w:pStyle w:val="IASBNormalnpara"/>
        <w:rPr>
          <w:b/>
        </w:rPr>
      </w:pPr>
      <w:r w:rsidRPr="00082E81">
        <w:rPr>
          <w:b/>
        </w:rPr>
        <w:t>131</w:t>
      </w:r>
      <w:r w:rsidRPr="00082E81">
        <w:rPr>
          <w:b/>
        </w:rPr>
        <w:tab/>
        <w:t xml:space="preserve">An entity shall disclose the following information for the aggregate impairment losses and the aggregate reversals of impairment losses recognised during the period for which no information is disclosed in accordance with paragraph 130: </w:t>
      </w:r>
    </w:p>
    <w:p w14:paraId="0BB2E07A" w14:textId="4337804E" w:rsidR="006A2DAD" w:rsidRPr="00082E81" w:rsidRDefault="006A2DAD" w:rsidP="00A70D7B">
      <w:pPr>
        <w:pStyle w:val="IASBNormalnparaL1"/>
        <w:rPr>
          <w:b/>
        </w:rPr>
      </w:pPr>
      <w:r w:rsidRPr="00082E81">
        <w:rPr>
          <w:b/>
        </w:rPr>
        <w:t>(a)</w:t>
      </w:r>
      <w:r w:rsidRPr="00082E81">
        <w:rPr>
          <w:b/>
        </w:rPr>
        <w:tab/>
        <w:t>the main classes of assets affected by impairment losses and the main classes of assets affected by reversals of impairment losses.</w:t>
      </w:r>
    </w:p>
    <w:p w14:paraId="0BB2E07B" w14:textId="43420A7A" w:rsidR="006A2DAD" w:rsidRPr="00082E81" w:rsidRDefault="006A2DAD" w:rsidP="00A70D7B">
      <w:pPr>
        <w:pStyle w:val="IASBNormalnparaL1"/>
        <w:rPr>
          <w:b/>
        </w:rPr>
      </w:pPr>
      <w:r w:rsidRPr="00082E81">
        <w:rPr>
          <w:b/>
        </w:rPr>
        <w:t>(b)</w:t>
      </w:r>
      <w:r w:rsidRPr="00082E81">
        <w:rPr>
          <w:b/>
        </w:rPr>
        <w:tab/>
        <w:t>the main events and circumstances that led to the recognition of these impairment losses and reversals of impairment losses.</w:t>
      </w:r>
    </w:p>
    <w:p w14:paraId="0BB2E07C" w14:textId="77777777" w:rsidR="006A2DAD" w:rsidRPr="00082E81" w:rsidRDefault="006A2DAD" w:rsidP="0088677D">
      <w:pPr>
        <w:pStyle w:val="IASBNormalnpara"/>
      </w:pPr>
      <w:r w:rsidRPr="00082E81">
        <w:lastRenderedPageBreak/>
        <w:t>132</w:t>
      </w:r>
      <w:r w:rsidRPr="00082E81">
        <w:tab/>
        <w:t>An entity is encouraged to disclose assumptions used to determine the recoverable amount of assets (cash-generating units) during the period. However, paragraph 134 requires an entity to disclose information about the estimates used to measure the recoverable amount of a cash-generating unit when goodwill or an intangible asset with an indefinite useful life is included in the carrying amount of that unit.</w:t>
      </w:r>
    </w:p>
    <w:p w14:paraId="0BB2E07D" w14:textId="77777777" w:rsidR="006A2DAD" w:rsidRPr="00082E81" w:rsidRDefault="006A2DAD" w:rsidP="00A70D7B">
      <w:pPr>
        <w:pStyle w:val="IASBNormalnpara"/>
        <w:rPr>
          <w:b/>
        </w:rPr>
      </w:pPr>
      <w:r w:rsidRPr="00082E81">
        <w:rPr>
          <w:b/>
        </w:rPr>
        <w:t>133</w:t>
      </w:r>
      <w:r w:rsidRPr="00082E81">
        <w:rPr>
          <w:b/>
        </w:rPr>
        <w:tab/>
        <w:t>If, in accordance with paragraph 84, any portion of the goodwill acquired in a business combination during the period has not been allocated to a cash-generating unit (group of units) at the end of the reporting period, the amount of the unallocated goodwill shall be disclosed together with the reasons why that amount remains unallocated.</w:t>
      </w:r>
    </w:p>
    <w:p w14:paraId="0BB2E07E" w14:textId="77777777" w:rsidR="006A2DAD" w:rsidRDefault="006A2DAD">
      <w:pPr>
        <w:pStyle w:val="IASBSectionTitle2Ind"/>
      </w:pPr>
      <w:r>
        <w:t>Estimates used to measure recoverable amounts of cash-generating units containing goodwill or intangible assets with indefinite useful lives</w:t>
      </w:r>
    </w:p>
    <w:p w14:paraId="0BB2E07F" w14:textId="77777777" w:rsidR="006A2DAD" w:rsidRPr="00082E81" w:rsidRDefault="006A2DAD" w:rsidP="00A70D7B">
      <w:pPr>
        <w:pStyle w:val="IASBNormalnpara"/>
        <w:rPr>
          <w:b/>
        </w:rPr>
      </w:pPr>
      <w:r w:rsidRPr="00082E81">
        <w:rPr>
          <w:b/>
        </w:rPr>
        <w:t>134</w:t>
      </w:r>
      <w:r w:rsidRPr="00082E81">
        <w:rPr>
          <w:b/>
        </w:rPr>
        <w:tab/>
        <w:t xml:space="preserve">An entity shall disclose the information required by (a)–(f) for each cash-generating unit (group of units) for which the carrying amount of goodwill or intangible assets with indefinite useful lives allocated to that unit (group of units) is significant in comparison with the entity’s total carrying amount of goodwill or intangible assets with indefinite useful lives: </w:t>
      </w:r>
    </w:p>
    <w:p w14:paraId="0BB2E080" w14:textId="5798B180" w:rsidR="006A2DAD" w:rsidRPr="00082E81" w:rsidRDefault="006A2DAD" w:rsidP="0088677D">
      <w:pPr>
        <w:pStyle w:val="IASBNormalnparaL1"/>
        <w:rPr>
          <w:b/>
        </w:rPr>
      </w:pPr>
      <w:r w:rsidRPr="00082E81">
        <w:rPr>
          <w:b/>
        </w:rPr>
        <w:t>(a)</w:t>
      </w:r>
      <w:r w:rsidRPr="00082E81">
        <w:rPr>
          <w:b/>
        </w:rPr>
        <w:tab/>
        <w:t>the carrying amount of goodwill allocated to the unit (group of units).</w:t>
      </w:r>
    </w:p>
    <w:p w14:paraId="0BB2E081" w14:textId="17DE6AC5" w:rsidR="006A2DAD" w:rsidRPr="00082E81" w:rsidRDefault="006A2DAD" w:rsidP="0088677D">
      <w:pPr>
        <w:pStyle w:val="IASBNormalnparaL1"/>
        <w:rPr>
          <w:b/>
        </w:rPr>
      </w:pPr>
      <w:r w:rsidRPr="00082E81">
        <w:rPr>
          <w:b/>
        </w:rPr>
        <w:t>(b)</w:t>
      </w:r>
      <w:r w:rsidRPr="00082E81">
        <w:rPr>
          <w:b/>
        </w:rPr>
        <w:tab/>
        <w:t>the carrying amount of intangible assets with indefinite useful lives allocated to the unit (group of units).</w:t>
      </w:r>
    </w:p>
    <w:p w14:paraId="0BB2E082" w14:textId="4AB2D74A" w:rsidR="006A2DAD" w:rsidRPr="00082E81" w:rsidRDefault="006A2DAD" w:rsidP="0088677D">
      <w:pPr>
        <w:pStyle w:val="IASBNormalnparaL1"/>
        <w:rPr>
          <w:b/>
        </w:rPr>
      </w:pPr>
      <w:r w:rsidRPr="00082E81">
        <w:rPr>
          <w:b/>
        </w:rPr>
        <w:t>(c)</w:t>
      </w:r>
      <w:r w:rsidRPr="00082E81">
        <w:rPr>
          <w:b/>
        </w:rPr>
        <w:tab/>
        <w:t>the basis on which the unit’s (group of units’) recoverable amount has been determined (ie value in use or fair value less costs of disposal).</w:t>
      </w:r>
    </w:p>
    <w:p w14:paraId="0BB2E083" w14:textId="49FA15E9" w:rsidR="006A2DAD" w:rsidRPr="00082E81" w:rsidRDefault="006A2DAD" w:rsidP="0088677D">
      <w:pPr>
        <w:pStyle w:val="IASBNormalnparaL1"/>
        <w:rPr>
          <w:b/>
        </w:rPr>
      </w:pPr>
      <w:r w:rsidRPr="00082E81">
        <w:rPr>
          <w:b/>
        </w:rPr>
        <w:t>(d)</w:t>
      </w:r>
      <w:r w:rsidRPr="00082E81">
        <w:rPr>
          <w:b/>
        </w:rPr>
        <w:tab/>
        <w:t>if the unit’s (group of units’) recoverable amount is based on value in use:</w:t>
      </w:r>
    </w:p>
    <w:p w14:paraId="0BB2E084" w14:textId="1A27784B" w:rsidR="006A2DAD" w:rsidRPr="00082E81" w:rsidRDefault="006A2DAD" w:rsidP="00391327">
      <w:pPr>
        <w:pStyle w:val="IASBNormalnparaL1"/>
        <w:ind w:left="2348" w:hanging="778"/>
        <w:rPr>
          <w:b/>
        </w:rPr>
      </w:pPr>
      <w:r w:rsidRPr="00082E81">
        <w:rPr>
          <w:b/>
        </w:rPr>
        <w:t>(i)</w:t>
      </w:r>
      <w:r w:rsidRPr="00082E81">
        <w:rPr>
          <w:b/>
        </w:rPr>
        <w:tab/>
        <w:t>each key assumption on which management has based its cash flow projections for the period covered by the most recent budgets/forecasts. Key assumptions are those to which the unit’s (group of units’) recoverable amount is most sensitive.</w:t>
      </w:r>
    </w:p>
    <w:p w14:paraId="0BB2E085" w14:textId="773E9741" w:rsidR="006A2DAD" w:rsidRPr="00082E81" w:rsidRDefault="006A2DAD" w:rsidP="00391327">
      <w:pPr>
        <w:pStyle w:val="IASBNormalnparaL1"/>
        <w:ind w:left="2348" w:hanging="778"/>
        <w:rPr>
          <w:b/>
        </w:rPr>
      </w:pPr>
      <w:r w:rsidRPr="00082E81">
        <w:rPr>
          <w:b/>
        </w:rPr>
        <w:t>(ii)</w:t>
      </w:r>
      <w:r w:rsidRPr="00082E81">
        <w:rPr>
          <w:b/>
        </w:rPr>
        <w:tab/>
        <w:t>a description of management’s approach to determining the value(s) assigned to each key assumption, whether those value(s) reflect past experience or, if appropriate, are consistent with external sources of information, and, if not, how and why they differ from past experience or external sources of information.</w:t>
      </w:r>
    </w:p>
    <w:p w14:paraId="0BB2E086" w14:textId="373D99CA" w:rsidR="006A2DAD" w:rsidRPr="00082E81" w:rsidRDefault="006A2DAD" w:rsidP="00391327">
      <w:pPr>
        <w:pStyle w:val="IASBNormalnparaL1"/>
        <w:ind w:left="2348" w:hanging="778"/>
        <w:rPr>
          <w:b/>
        </w:rPr>
      </w:pPr>
      <w:r w:rsidRPr="00082E81">
        <w:rPr>
          <w:b/>
        </w:rPr>
        <w:t>(iii)</w:t>
      </w:r>
      <w:r w:rsidRPr="00082E81">
        <w:rPr>
          <w:b/>
        </w:rPr>
        <w:tab/>
        <w:t>the period over which management has projected cash flows based on financial budgets/forecasts approved by management and, when a period greater than five years is used for a cash-generating unit (group of units), an explanation of why that longer period is justified.</w:t>
      </w:r>
    </w:p>
    <w:p w14:paraId="0BB2E087" w14:textId="5141B9EA" w:rsidR="006A2DAD" w:rsidRPr="00082E81" w:rsidRDefault="006A2DAD" w:rsidP="00391327">
      <w:pPr>
        <w:pStyle w:val="IASBNormalnparaL1"/>
        <w:ind w:left="2348" w:hanging="778"/>
        <w:rPr>
          <w:b/>
        </w:rPr>
      </w:pPr>
      <w:r w:rsidRPr="00082E81">
        <w:rPr>
          <w:b/>
        </w:rPr>
        <w:t>(iv)</w:t>
      </w:r>
      <w:r w:rsidRPr="00082E81">
        <w:rPr>
          <w:b/>
        </w:rPr>
        <w:tab/>
        <w:t>the growth rate used to extrapolate cash flow projections beyond the period covered by the most recent budgets/forecasts, and the justification for using any growth rate that exceeds the long-term average growth rate for the products, industries, or country or countries in which the entity operates, or for the market to which the unit (group of units) is dedicated.</w:t>
      </w:r>
    </w:p>
    <w:p w14:paraId="0BB2E088" w14:textId="6186368C" w:rsidR="006A2DAD" w:rsidRPr="00082E81" w:rsidRDefault="006A2DAD" w:rsidP="00391327">
      <w:pPr>
        <w:pStyle w:val="IASBNormalnparaL1"/>
        <w:ind w:left="2348" w:hanging="778"/>
        <w:rPr>
          <w:b/>
        </w:rPr>
      </w:pPr>
      <w:r w:rsidRPr="00082E81">
        <w:rPr>
          <w:b/>
        </w:rPr>
        <w:t>(v)</w:t>
      </w:r>
      <w:r w:rsidRPr="00082E81">
        <w:rPr>
          <w:b/>
        </w:rPr>
        <w:tab/>
        <w:t>the discount rate(s) applied to the cash flow projections.</w:t>
      </w:r>
    </w:p>
    <w:p w14:paraId="0BB2E089" w14:textId="74E79251" w:rsidR="006A2DAD" w:rsidRPr="00082E81" w:rsidRDefault="006A2DAD" w:rsidP="0088677D">
      <w:pPr>
        <w:pStyle w:val="IASBNormalnparaL1"/>
        <w:rPr>
          <w:b/>
        </w:rPr>
      </w:pPr>
      <w:r w:rsidRPr="00082E81">
        <w:rPr>
          <w:b/>
        </w:rPr>
        <w:t>(e)</w:t>
      </w:r>
      <w:r w:rsidRPr="00082E81">
        <w:rPr>
          <w:b/>
        </w:rPr>
        <w:tab/>
        <w:t>if the unit’s (group of units’) recoverable amount is based on fair value less costs of disposal, the valuation technique(s) used to measure fair value less costs of disposal. An entity is not required to provide the disclosures required by</w:t>
      </w:r>
      <w:r w:rsidR="002D17D4" w:rsidRPr="00082E81">
        <w:rPr>
          <w:b/>
        </w:rPr>
        <w:t xml:space="preserve"> AASB 13</w:t>
      </w:r>
      <w:r w:rsidRPr="00082E81">
        <w:rPr>
          <w:b/>
        </w:rPr>
        <w:t>. If fair value less costs of disposal is not measured using a quoted price for an identical unit (group of units), an entity shall disclose the following information:</w:t>
      </w:r>
    </w:p>
    <w:p w14:paraId="0BB2E08A" w14:textId="72E5181F" w:rsidR="006A2DAD" w:rsidRPr="00082E81" w:rsidRDefault="006A2DAD" w:rsidP="0090521E">
      <w:pPr>
        <w:pStyle w:val="IASBNormalnparaL1"/>
        <w:ind w:left="2348" w:hanging="778"/>
        <w:rPr>
          <w:b/>
        </w:rPr>
      </w:pPr>
      <w:r w:rsidRPr="00082E81">
        <w:rPr>
          <w:b/>
        </w:rPr>
        <w:t>(i)</w:t>
      </w:r>
      <w:r w:rsidRPr="00082E81">
        <w:rPr>
          <w:b/>
        </w:rPr>
        <w:tab/>
        <w:t>each key assumption on which management has based its determination of fair value less costs of disposal. Key assumptions are those to which the unit’s (group of units’) recoverable amount is most sensitive.</w:t>
      </w:r>
    </w:p>
    <w:p w14:paraId="0BB2E08B" w14:textId="59DB5047" w:rsidR="006A2DAD" w:rsidRPr="00082E81" w:rsidRDefault="006A2DAD" w:rsidP="0090521E">
      <w:pPr>
        <w:pStyle w:val="IASBNormalnparaL1"/>
        <w:ind w:left="2348" w:hanging="778"/>
        <w:rPr>
          <w:b/>
        </w:rPr>
      </w:pPr>
      <w:r w:rsidRPr="00082E81">
        <w:rPr>
          <w:b/>
        </w:rPr>
        <w:t>(ii)</w:t>
      </w:r>
      <w:r w:rsidRPr="00082E81">
        <w:rPr>
          <w:b/>
        </w:rPr>
        <w:tab/>
        <w:t>a description of management’s approach to determining the value (or values) assigned to each key assumption, whether those values reflect past experience or, if appropriate, are consistent with external sources of information, and, if not, how and why they differ from past experience or external sources of information.</w:t>
      </w:r>
    </w:p>
    <w:p w14:paraId="0BB2E08C" w14:textId="4DA386BD" w:rsidR="006A2DAD" w:rsidRPr="00082E81" w:rsidRDefault="006A2DAD" w:rsidP="0090521E">
      <w:pPr>
        <w:pStyle w:val="IASBNormalnparaL1"/>
        <w:ind w:left="2348" w:hanging="778"/>
        <w:rPr>
          <w:b/>
        </w:rPr>
      </w:pPr>
      <w:r w:rsidRPr="00082E81">
        <w:rPr>
          <w:b/>
        </w:rPr>
        <w:t>(iiA)</w:t>
      </w:r>
      <w:r w:rsidRPr="00082E81">
        <w:rPr>
          <w:b/>
        </w:rPr>
        <w:tab/>
        <w:t>the level of the fair value hierarchy (see</w:t>
      </w:r>
      <w:r w:rsidR="002D17D4" w:rsidRPr="00082E81">
        <w:rPr>
          <w:b/>
        </w:rPr>
        <w:t xml:space="preserve"> AASB 13</w:t>
      </w:r>
      <w:r w:rsidRPr="00082E81">
        <w:rPr>
          <w:b/>
        </w:rPr>
        <w:t>) within which the fair value measurement is categorised in its entirety (without giving regard to the observability of ‘costs of disposal’).</w:t>
      </w:r>
    </w:p>
    <w:p w14:paraId="0BB2E08D" w14:textId="1574DD6D" w:rsidR="006A2DAD" w:rsidRPr="00082E81" w:rsidRDefault="006A2DAD" w:rsidP="002D14D4">
      <w:pPr>
        <w:pStyle w:val="IASBNormalnparaL1"/>
        <w:ind w:left="2348" w:hanging="778"/>
        <w:rPr>
          <w:b/>
        </w:rPr>
      </w:pPr>
      <w:r w:rsidRPr="00082E81">
        <w:rPr>
          <w:b/>
        </w:rPr>
        <w:lastRenderedPageBreak/>
        <w:t>(iiB)</w:t>
      </w:r>
      <w:r w:rsidRPr="00082E81">
        <w:rPr>
          <w:b/>
        </w:rPr>
        <w:tab/>
        <w:t>if there has been a change in valuation technique, the change and the reason(s) for making it.</w:t>
      </w:r>
    </w:p>
    <w:p w14:paraId="0BB2E08E" w14:textId="77777777" w:rsidR="006A2DAD" w:rsidRPr="00082E81" w:rsidRDefault="00082E81" w:rsidP="0090521E">
      <w:pPr>
        <w:pStyle w:val="IASBNormalnparaL1"/>
        <w:rPr>
          <w:b/>
        </w:rPr>
      </w:pPr>
      <w:r>
        <w:rPr>
          <w:b/>
        </w:rPr>
        <w:tab/>
      </w:r>
      <w:r w:rsidR="006A2DAD" w:rsidRPr="00082E81">
        <w:rPr>
          <w:b/>
        </w:rPr>
        <w:t>If fair value less costs of disposal is measured using discounted cash flow projections, an entity shall disclose the following information:</w:t>
      </w:r>
    </w:p>
    <w:p w14:paraId="0BB2E08F" w14:textId="3F5F4D21" w:rsidR="006A2DAD" w:rsidRPr="00AD7570" w:rsidRDefault="006A2DAD" w:rsidP="002D14D4">
      <w:pPr>
        <w:pStyle w:val="IASBNormalnparaL1"/>
        <w:ind w:left="2348" w:hanging="778"/>
        <w:rPr>
          <w:b/>
        </w:rPr>
      </w:pPr>
      <w:r w:rsidRPr="00AD7570">
        <w:rPr>
          <w:b/>
        </w:rPr>
        <w:t>(iii)</w:t>
      </w:r>
      <w:r w:rsidRPr="00AD7570">
        <w:rPr>
          <w:b/>
        </w:rPr>
        <w:tab/>
        <w:t>the period over which management has projected cash flows.</w:t>
      </w:r>
    </w:p>
    <w:p w14:paraId="0BB2E090" w14:textId="461EBD1C" w:rsidR="006A2DAD" w:rsidRPr="00AD7570" w:rsidRDefault="006A2DAD" w:rsidP="002D14D4">
      <w:pPr>
        <w:pStyle w:val="IASBNormalnparaL1"/>
        <w:ind w:left="2348" w:hanging="778"/>
        <w:rPr>
          <w:b/>
        </w:rPr>
      </w:pPr>
      <w:r w:rsidRPr="00AD7570">
        <w:rPr>
          <w:b/>
        </w:rPr>
        <w:t>(iv)</w:t>
      </w:r>
      <w:r w:rsidRPr="00AD7570">
        <w:rPr>
          <w:b/>
        </w:rPr>
        <w:tab/>
        <w:t>the growth rate used to extrapolate cash flow projections.</w:t>
      </w:r>
    </w:p>
    <w:p w14:paraId="0BB2E091" w14:textId="2449B803" w:rsidR="006A2DAD" w:rsidRPr="00AD7570" w:rsidRDefault="006A2DAD" w:rsidP="002D14D4">
      <w:pPr>
        <w:pStyle w:val="IASBNormalnparaL1"/>
        <w:ind w:left="2348" w:hanging="778"/>
        <w:rPr>
          <w:b/>
        </w:rPr>
      </w:pPr>
      <w:r w:rsidRPr="00AD7570">
        <w:rPr>
          <w:b/>
        </w:rPr>
        <w:t>(v)</w:t>
      </w:r>
      <w:r w:rsidRPr="00AD7570">
        <w:rPr>
          <w:b/>
        </w:rPr>
        <w:tab/>
        <w:t>the discount rate(s) applied to the cash flow projections.</w:t>
      </w:r>
    </w:p>
    <w:p w14:paraId="0BB2E092" w14:textId="3B250097" w:rsidR="006A2DAD" w:rsidRPr="00AD7570" w:rsidRDefault="006A2DAD" w:rsidP="00447449">
      <w:pPr>
        <w:pStyle w:val="IASBNormalnparaL1"/>
        <w:rPr>
          <w:b/>
        </w:rPr>
      </w:pPr>
      <w:r w:rsidRPr="00AD7570">
        <w:rPr>
          <w:b/>
        </w:rPr>
        <w:t>(f)</w:t>
      </w:r>
      <w:r w:rsidRPr="00AD7570">
        <w:rPr>
          <w:b/>
        </w:rPr>
        <w:tab/>
        <w:t>if a reasonably possible change in a key assumption on which management has based its determination of the unit’s (group of units’) recoverable amount would cause the unit’s (group of units’) carrying amount to exceed its recoverable amount:</w:t>
      </w:r>
    </w:p>
    <w:p w14:paraId="0BB2E093" w14:textId="15946EDC" w:rsidR="006A2DAD" w:rsidRPr="00AD7570" w:rsidRDefault="006A2DAD" w:rsidP="002D14D4">
      <w:pPr>
        <w:pStyle w:val="IASBNormalnparaL1"/>
        <w:ind w:left="2348" w:hanging="778"/>
        <w:rPr>
          <w:b/>
        </w:rPr>
      </w:pPr>
      <w:r w:rsidRPr="00AD7570">
        <w:rPr>
          <w:b/>
        </w:rPr>
        <w:t>(i)</w:t>
      </w:r>
      <w:r w:rsidRPr="00AD7570">
        <w:rPr>
          <w:b/>
        </w:rPr>
        <w:tab/>
        <w:t>the amount by which the unit’s (group of units’) recoverable amount exceeds its carrying amount.</w:t>
      </w:r>
    </w:p>
    <w:p w14:paraId="0BB2E094" w14:textId="7A6DA4C4" w:rsidR="006A2DAD" w:rsidRPr="00AD7570" w:rsidRDefault="006A2DAD" w:rsidP="002D14D4">
      <w:pPr>
        <w:pStyle w:val="IASBNormalnparaL1"/>
        <w:ind w:left="2348" w:hanging="778"/>
        <w:rPr>
          <w:b/>
        </w:rPr>
      </w:pPr>
      <w:r w:rsidRPr="00AD7570">
        <w:rPr>
          <w:b/>
        </w:rPr>
        <w:t>(ii)</w:t>
      </w:r>
      <w:r w:rsidRPr="00AD7570">
        <w:rPr>
          <w:b/>
        </w:rPr>
        <w:tab/>
        <w:t>the value assigned to the key assumption.</w:t>
      </w:r>
    </w:p>
    <w:p w14:paraId="0BB2E095" w14:textId="5B56F1E8" w:rsidR="006A2DAD" w:rsidRPr="00AD7570" w:rsidRDefault="006A2DAD" w:rsidP="002D14D4">
      <w:pPr>
        <w:pStyle w:val="IASBNormalnparaL1"/>
        <w:ind w:left="2348" w:hanging="778"/>
        <w:rPr>
          <w:b/>
        </w:rPr>
      </w:pPr>
      <w:r w:rsidRPr="00AD7570">
        <w:rPr>
          <w:b/>
        </w:rPr>
        <w:t>(iii)</w:t>
      </w:r>
      <w:r w:rsidRPr="00AD7570">
        <w:rPr>
          <w:b/>
        </w:rPr>
        <w:tab/>
        <w:t>the amount by which the value assigned to the key assumption must change, after incorporating any consequential effects of that change on the other variables used to measure recoverable amount, in order for the unit’s (group of units’) recoverable amount to be equal to its carrying amount.</w:t>
      </w:r>
    </w:p>
    <w:p w14:paraId="0BB2E096" w14:textId="77777777" w:rsidR="006A2DAD" w:rsidRPr="00AD7570" w:rsidRDefault="006A2DAD" w:rsidP="00447449">
      <w:pPr>
        <w:pStyle w:val="IASBNormalnpara"/>
        <w:rPr>
          <w:b/>
        </w:rPr>
      </w:pPr>
      <w:r w:rsidRPr="00AD7570">
        <w:rPr>
          <w:b/>
        </w:rPr>
        <w:t>135</w:t>
      </w:r>
      <w:r w:rsidRPr="00AD7570">
        <w:rPr>
          <w:b/>
        </w:rPr>
        <w:tab/>
        <w:t xml:space="preserve">If some or all of the carrying amount of goodwill or intangible assets with indefinite useful lives is allocated across multiple cash-generating units (groups of units), and the amount so allocated to each unit (group of units) is not significant in comparison with the entity’s total carrying amount of goodwill or intangible assets with indefinite useful lives, that fact shall be disclosed, together with the aggregate carrying amount of goodwill or intangible assets with indefinite useful lives allocated to those units (groups of units). In addition, if the recoverable amounts of any of those units (groups of units) are based on the same key assumption(s) and the aggregate carrying amount of goodwill or intangible assets with indefinite useful lives allocated to them is significant in comparison with the entity’s total carrying amount of goodwill or intangible assets with indefinite useful lives, an entity shall disclose that fact, together with: </w:t>
      </w:r>
    </w:p>
    <w:p w14:paraId="0BB2E097" w14:textId="318B311E" w:rsidR="006A2DAD" w:rsidRPr="00AD7570" w:rsidRDefault="006A2DAD" w:rsidP="00CD1E49">
      <w:pPr>
        <w:pStyle w:val="IASBNormalnparaL1"/>
        <w:rPr>
          <w:b/>
        </w:rPr>
      </w:pPr>
      <w:r w:rsidRPr="00AD7570">
        <w:rPr>
          <w:b/>
        </w:rPr>
        <w:t>(a)</w:t>
      </w:r>
      <w:r w:rsidRPr="00AD7570">
        <w:rPr>
          <w:b/>
        </w:rPr>
        <w:tab/>
        <w:t>the aggregate carrying amount of goodwill allocated to those units (groups of units).</w:t>
      </w:r>
    </w:p>
    <w:p w14:paraId="0BB2E098" w14:textId="43E80B96" w:rsidR="006A2DAD" w:rsidRPr="00AD7570" w:rsidRDefault="006A2DAD" w:rsidP="00CD1E49">
      <w:pPr>
        <w:pStyle w:val="IASBNormalnparaL1"/>
        <w:rPr>
          <w:b/>
        </w:rPr>
      </w:pPr>
      <w:r w:rsidRPr="00AD7570">
        <w:rPr>
          <w:b/>
        </w:rPr>
        <w:t>(b)</w:t>
      </w:r>
      <w:r w:rsidRPr="00AD7570">
        <w:rPr>
          <w:b/>
        </w:rPr>
        <w:tab/>
        <w:t>the aggregate carrying amount of intangible assets with indefinite useful lives allocated to those units (groups of units).</w:t>
      </w:r>
    </w:p>
    <w:p w14:paraId="0BB2E099" w14:textId="38116278" w:rsidR="006A2DAD" w:rsidRPr="00AD7570" w:rsidRDefault="006A2DAD" w:rsidP="00CD1E49">
      <w:pPr>
        <w:pStyle w:val="IASBNormalnparaL1"/>
        <w:rPr>
          <w:b/>
        </w:rPr>
      </w:pPr>
      <w:r w:rsidRPr="00AD7570">
        <w:rPr>
          <w:b/>
        </w:rPr>
        <w:t>(c)</w:t>
      </w:r>
      <w:r w:rsidRPr="00AD7570">
        <w:rPr>
          <w:b/>
        </w:rPr>
        <w:tab/>
        <w:t>a description of the key assumption(s).</w:t>
      </w:r>
    </w:p>
    <w:p w14:paraId="0BB2E09A" w14:textId="0DFB5B6E" w:rsidR="006A2DAD" w:rsidRPr="00AD7570" w:rsidRDefault="006A2DAD" w:rsidP="00CD1E49">
      <w:pPr>
        <w:pStyle w:val="IASBNormalnparaL1"/>
        <w:rPr>
          <w:b/>
        </w:rPr>
      </w:pPr>
      <w:r w:rsidRPr="00AD7570">
        <w:rPr>
          <w:b/>
        </w:rPr>
        <w:t>(d)</w:t>
      </w:r>
      <w:r w:rsidRPr="00AD7570">
        <w:rPr>
          <w:b/>
        </w:rPr>
        <w:tab/>
        <w:t>a description of management’s approach to determining the value(s) assigned to the key assumption(s), whether those value(s) reflect past experience or, if appropriate, are consistent with external sources of information, and, if not, how and why they differ from past experience or external sources of information.</w:t>
      </w:r>
    </w:p>
    <w:p w14:paraId="0BB2E09B" w14:textId="7EEF4986" w:rsidR="006A2DAD" w:rsidRPr="00AD7570" w:rsidRDefault="006A2DAD" w:rsidP="00CD1E49">
      <w:pPr>
        <w:pStyle w:val="IASBNormalnparaL1"/>
        <w:rPr>
          <w:b/>
        </w:rPr>
      </w:pPr>
      <w:r w:rsidRPr="00AD7570">
        <w:rPr>
          <w:b/>
        </w:rPr>
        <w:t>(e)</w:t>
      </w:r>
      <w:r w:rsidRPr="00AD7570">
        <w:rPr>
          <w:b/>
        </w:rPr>
        <w:tab/>
        <w:t>if a reasonably possible change in the key assumption(s) would cause the aggregate of the units’ (groups of units’) carrying amounts to exceed the aggregate of their recoverable amounts:</w:t>
      </w:r>
    </w:p>
    <w:p w14:paraId="0BB2E09C" w14:textId="3CE48D38" w:rsidR="006A2DAD" w:rsidRPr="00AD7570" w:rsidRDefault="006A2DAD" w:rsidP="002D14D4">
      <w:pPr>
        <w:pStyle w:val="IASBNormalnparaL1"/>
        <w:ind w:left="2348" w:hanging="778"/>
        <w:rPr>
          <w:b/>
        </w:rPr>
      </w:pPr>
      <w:r w:rsidRPr="00AD7570">
        <w:rPr>
          <w:b/>
        </w:rPr>
        <w:t>(i)</w:t>
      </w:r>
      <w:r w:rsidRPr="00AD7570">
        <w:rPr>
          <w:b/>
        </w:rPr>
        <w:tab/>
        <w:t>the amount by which the aggregate of the units’ (groups of units’) recoverable amounts exceeds the aggregate of their carrying amounts.</w:t>
      </w:r>
    </w:p>
    <w:p w14:paraId="0BB2E09D" w14:textId="270A7AC8" w:rsidR="006A2DAD" w:rsidRPr="00AD7570" w:rsidRDefault="006A2DAD" w:rsidP="00BE0789">
      <w:pPr>
        <w:pStyle w:val="IASBNormalnparaL1"/>
        <w:ind w:left="2348" w:hanging="778"/>
        <w:rPr>
          <w:b/>
        </w:rPr>
      </w:pPr>
      <w:r w:rsidRPr="00AD7570">
        <w:rPr>
          <w:b/>
        </w:rPr>
        <w:t>(ii)</w:t>
      </w:r>
      <w:r w:rsidRPr="00AD7570">
        <w:rPr>
          <w:b/>
        </w:rPr>
        <w:tab/>
        <w:t>the value(s) assigned to the key assumption(s).</w:t>
      </w:r>
    </w:p>
    <w:p w14:paraId="0BB2E09E" w14:textId="5815118A" w:rsidR="006A2DAD" w:rsidRPr="00AD7570" w:rsidRDefault="006A2DAD" w:rsidP="00BE0789">
      <w:pPr>
        <w:pStyle w:val="IASBNormalnparaL1"/>
        <w:ind w:left="2348" w:hanging="778"/>
        <w:rPr>
          <w:b/>
        </w:rPr>
      </w:pPr>
      <w:r w:rsidRPr="00AD7570">
        <w:rPr>
          <w:b/>
        </w:rPr>
        <w:t>(iii)</w:t>
      </w:r>
      <w:r w:rsidRPr="00AD7570">
        <w:rPr>
          <w:b/>
        </w:rPr>
        <w:tab/>
        <w:t>the amount by which the value(s) assigned to the key assumption(s) must change, after incorporating any consequential effects of the change on the other variables used to measure recoverable amount, in order for the aggregate of the units’ (groups of units’) recoverable amounts to be equal to the aggregate of their carrying amounts.</w:t>
      </w:r>
    </w:p>
    <w:p w14:paraId="0BB2E09F" w14:textId="77777777" w:rsidR="006A2DAD" w:rsidRPr="00AD7570" w:rsidRDefault="006A2DAD" w:rsidP="00447449">
      <w:pPr>
        <w:pStyle w:val="IASBNormalnpara"/>
      </w:pPr>
      <w:r w:rsidRPr="00AD7570">
        <w:t>136</w:t>
      </w:r>
      <w:r w:rsidRPr="00AD7570">
        <w:tab/>
        <w:t>The most recent detailed calculation made in a preceding period of the recoverable amount of a cash-generating unit (group of units) may, in accordance with paragraph 24 or 99, be carried forward and used in the impairment test for that unit (group of units) in the current period provided specified criteria are met. When this is the case, the information for that unit (group of units) that is incorporated into the disclosures required by paragraphs 134 and 135 relate to the carried forward calculation of recoverable amount.</w:t>
      </w:r>
    </w:p>
    <w:p w14:paraId="0BB2E0A0" w14:textId="77777777" w:rsidR="006A2DAD" w:rsidRPr="00AD7570" w:rsidRDefault="006A2DAD" w:rsidP="00447449">
      <w:pPr>
        <w:pStyle w:val="IASBNormalnpara"/>
      </w:pPr>
      <w:r w:rsidRPr="00AD7570">
        <w:t>137</w:t>
      </w:r>
      <w:r w:rsidRPr="00AD7570">
        <w:tab/>
        <w:t>Illustrative Example 9 illustrates the disclosures required by paragraphs 134 and 135.</w:t>
      </w:r>
    </w:p>
    <w:p w14:paraId="0BB2E0A1" w14:textId="77777777" w:rsidR="006A2DAD" w:rsidRDefault="006A2DAD">
      <w:pPr>
        <w:pStyle w:val="IASBSectionTitle1NonInd"/>
      </w:pPr>
      <w:r>
        <w:lastRenderedPageBreak/>
        <w:t>Transition provisions and effective date</w:t>
      </w:r>
    </w:p>
    <w:p w14:paraId="0BB2E0A2" w14:textId="77777777" w:rsidR="006A2DAD" w:rsidRDefault="006A2DAD">
      <w:pPr>
        <w:pStyle w:val="IASBNormalnpara"/>
      </w:pPr>
      <w:r>
        <w:t>138</w:t>
      </w:r>
      <w:r>
        <w:tab/>
        <w:t>[Deleted]</w:t>
      </w:r>
    </w:p>
    <w:p w14:paraId="0BB2E0A3" w14:textId="77777777" w:rsidR="009F5130" w:rsidRDefault="009F5130" w:rsidP="009F5130">
      <w:pPr>
        <w:pStyle w:val="IASBNormalnpara"/>
      </w:pPr>
      <w:r>
        <w:t>139</w:t>
      </w:r>
      <w:r>
        <w:tab/>
        <w:t>[Deleted by the AASB]</w:t>
      </w:r>
    </w:p>
    <w:p w14:paraId="0BB2E0A4" w14:textId="77777777" w:rsidR="00CE1CBA" w:rsidRDefault="00CE1CBA" w:rsidP="00CE1CBA">
      <w:pPr>
        <w:pStyle w:val="AusPlain"/>
      </w:pPr>
      <w:r>
        <w:t>Aus139.1</w:t>
      </w:r>
      <w:r>
        <w:tab/>
        <w:t xml:space="preserve">An entity shall apply this Standard for annual periods beginning on or after </w:t>
      </w:r>
      <w:r w:rsidRPr="005673E4">
        <w:t>1 January 2018</w:t>
      </w:r>
      <w:r>
        <w:t xml:space="preserve">. Earlier application is encouraged </w:t>
      </w:r>
      <w:r w:rsidRPr="00D37CC9">
        <w:t>for periods beginning after 24 July 2014 but before 1 January 2018</w:t>
      </w:r>
      <w:r>
        <w:t>. If an entity applies the Standard for a period beginning before 1 January 2018, it shall disclose that fact.</w:t>
      </w:r>
    </w:p>
    <w:p w14:paraId="0BB2E0A5" w14:textId="77777777" w:rsidR="00D56070" w:rsidRDefault="00D56070" w:rsidP="00D56070">
      <w:pPr>
        <w:pStyle w:val="IASBNormalnpara"/>
        <w:tabs>
          <w:tab w:val="left" w:pos="782"/>
        </w:tabs>
        <w:ind w:left="0" w:firstLine="0"/>
      </w:pPr>
      <w:r>
        <w:t>140–</w:t>
      </w:r>
      <w:r>
        <w:br/>
        <w:t>140C</w:t>
      </w:r>
      <w:r>
        <w:tab/>
        <w:t>[Deleted by the AASB]</w:t>
      </w:r>
    </w:p>
    <w:p w14:paraId="0BB2E0A6" w14:textId="77777777" w:rsidR="006A2DAD" w:rsidDel="004D6859" w:rsidRDefault="006A2DAD">
      <w:pPr>
        <w:pStyle w:val="IASBNormalnpara"/>
      </w:pPr>
      <w:r w:rsidDel="004D6859">
        <w:t>140D</w:t>
      </w:r>
      <w:r w:rsidDel="004D6859">
        <w:tab/>
      </w:r>
      <w:r w:rsidR="00AD5389" w:rsidRPr="00036CA6">
        <w:t xml:space="preserve">AASB 2008-7 </w:t>
      </w:r>
      <w:r w:rsidR="00AD5389" w:rsidRPr="00036CA6">
        <w:rPr>
          <w:i/>
        </w:rPr>
        <w:t>Amendments to Australian Accounting Standards – Cost of an Investment in a Subsidiary, Jointly Controlled Entity or Associate</w:t>
      </w:r>
      <w:r w:rsidR="00AD5389" w:rsidRPr="00036CA6">
        <w:t xml:space="preserve">, issued in July 2008, </w:t>
      </w:r>
      <w:r w:rsidDel="004D6859">
        <w:t>added paragraph 12(h)</w:t>
      </w:r>
      <w:r w:rsidR="00E770EA">
        <w:t xml:space="preserve"> in the previous version of this Standard</w:t>
      </w:r>
      <w:r w:rsidDel="004D6859">
        <w:t>. An entity shall apply that amendment prospectively for annual periods beginning on or after 1</w:t>
      </w:r>
      <w:r w:rsidR="00E770EA">
        <w:t> </w:t>
      </w:r>
      <w:r w:rsidDel="004D6859">
        <w:t xml:space="preserve">January 2009. Earlier application is permitted. If an entity applies the related amendments in paragraphs 4 and 38A of </w:t>
      </w:r>
      <w:r w:rsidR="00E770EA">
        <w:t>AASB 127</w:t>
      </w:r>
      <w:r w:rsidR="00E770EA" w:rsidRPr="00036CA6">
        <w:t xml:space="preserve"> (July 2004, as amended) or paragraphs 4 and 38A of AASB 127 (March</w:t>
      </w:r>
      <w:r w:rsidR="00E770EA">
        <w:t xml:space="preserve"> </w:t>
      </w:r>
      <w:r w:rsidR="00E770EA" w:rsidRPr="00036CA6">
        <w:t xml:space="preserve">2008, as amended) </w:t>
      </w:r>
      <w:r w:rsidDel="004D6859">
        <w:t xml:space="preserve">for an earlier period, it shall apply the amendment in paragraph 12(h) at the same time. </w:t>
      </w:r>
    </w:p>
    <w:p w14:paraId="0BB2E0A7" w14:textId="77777777" w:rsidR="006A2DAD" w:rsidDel="004D6859" w:rsidRDefault="006A2DAD">
      <w:pPr>
        <w:pStyle w:val="IASBNormalnpara"/>
      </w:pPr>
      <w:r w:rsidDel="004D6859">
        <w:t>140E</w:t>
      </w:r>
      <w:r w:rsidDel="004D6859">
        <w:tab/>
      </w:r>
      <w:r w:rsidR="00D56070" w:rsidRPr="00036CA6">
        <w:t xml:space="preserve">AASB 2009-5 </w:t>
      </w:r>
      <w:r w:rsidR="00D56070" w:rsidRPr="00036CA6">
        <w:rPr>
          <w:i/>
        </w:rPr>
        <w:t>Further Amendments to Australian Accounting Standards arising from the Annual Improvements Project</w:t>
      </w:r>
      <w:r w:rsidR="00D56070" w:rsidRPr="00036CA6">
        <w:t xml:space="preserve">, issued in May 2009, </w:t>
      </w:r>
      <w:r w:rsidDel="004D6859">
        <w:t>amended paragraph 80(b)</w:t>
      </w:r>
      <w:r w:rsidR="00D56070">
        <w:t xml:space="preserve"> in the previous version of this Standard</w:t>
      </w:r>
      <w:r w:rsidDel="004D6859">
        <w:t>. An entity shall apply that amendment prospectively for annual periods beginning on or after 1</w:t>
      </w:r>
      <w:r w:rsidR="00D56070">
        <w:t> </w:t>
      </w:r>
      <w:r w:rsidDel="004D6859">
        <w:t>January 2010. Earlier application is permitted. If an entity applies the amendment for an earlier period it shall disclose that fact.</w:t>
      </w:r>
    </w:p>
    <w:p w14:paraId="0BB2E0A8" w14:textId="77777777" w:rsidR="006A2DAD" w:rsidRDefault="006A2DAD">
      <w:pPr>
        <w:pStyle w:val="IASBNormalnpara"/>
      </w:pPr>
      <w:r>
        <w:t>140F</w:t>
      </w:r>
      <w:r>
        <w:tab/>
        <w:t>[Deleted]</w:t>
      </w:r>
    </w:p>
    <w:p w14:paraId="0BB2E0A9" w14:textId="77777777" w:rsidR="006A2DAD" w:rsidRDefault="006A2DAD">
      <w:pPr>
        <w:pStyle w:val="IASBNormalnpara"/>
      </w:pPr>
      <w:r>
        <w:t>140G</w:t>
      </w:r>
      <w:r>
        <w:tab/>
        <w:t>[Deleted]</w:t>
      </w:r>
    </w:p>
    <w:p w14:paraId="0BB2E0AA" w14:textId="77777777" w:rsidR="003652D6" w:rsidRDefault="003652D6" w:rsidP="00E43A59">
      <w:pPr>
        <w:pStyle w:val="IASBNormalnpara"/>
        <w:tabs>
          <w:tab w:val="left" w:pos="782"/>
        </w:tabs>
        <w:ind w:left="0" w:firstLine="0"/>
      </w:pPr>
      <w:r>
        <w:t>140H–</w:t>
      </w:r>
      <w:r>
        <w:br/>
        <w:t>140J</w:t>
      </w:r>
      <w:r>
        <w:tab/>
        <w:t>[Deleted by the AASB]</w:t>
      </w:r>
    </w:p>
    <w:p w14:paraId="0BB2E0AB" w14:textId="77777777" w:rsidR="006A2DAD" w:rsidRDefault="006A2DAD">
      <w:pPr>
        <w:pStyle w:val="IASBNormalnpara"/>
      </w:pPr>
      <w:r>
        <w:t>140K</w:t>
      </w:r>
      <w:r>
        <w:tab/>
        <w:t>[Deleted]</w:t>
      </w:r>
    </w:p>
    <w:p w14:paraId="0BB2E0AC" w14:textId="77777777" w:rsidR="006A2DAD" w:rsidDel="004D6859" w:rsidRDefault="006A2DAD">
      <w:pPr>
        <w:pStyle w:val="IASBNormalnpara"/>
      </w:pPr>
      <w:r w:rsidDel="004D6859">
        <w:t>140L</w:t>
      </w:r>
      <w:r w:rsidDel="004D6859">
        <w:tab/>
      </w:r>
      <w:r w:rsidR="0071722B">
        <w:rPr>
          <w:lang w:val="en-GB"/>
        </w:rPr>
        <w:t>AASB 2014-5</w:t>
      </w:r>
      <w:r w:rsidR="0071722B" w:rsidRPr="009C5836">
        <w:rPr>
          <w:lang w:val="en-GB"/>
        </w:rPr>
        <w:t xml:space="preserve"> </w:t>
      </w:r>
      <w:r w:rsidR="0071722B" w:rsidRPr="009C5836">
        <w:rPr>
          <w:i/>
        </w:rPr>
        <w:t>Amendments to Australian Accounting Standards arising from AASB 15</w:t>
      </w:r>
      <w:r w:rsidR="0071722B" w:rsidRPr="009C5836">
        <w:t xml:space="preserve">, issued in </w:t>
      </w:r>
      <w:r w:rsidR="0071722B">
        <w:t>December</w:t>
      </w:r>
      <w:r w:rsidR="0071722B" w:rsidRPr="009C5836">
        <w:t xml:space="preserve"> 2014, </w:t>
      </w:r>
      <w:r w:rsidDel="004D6859">
        <w:t>amended paragraph 2</w:t>
      </w:r>
      <w:r w:rsidR="0071722B">
        <w:t xml:space="preserve"> in the previous version of this Standard</w:t>
      </w:r>
      <w:r w:rsidDel="004D6859">
        <w:t>. An entity shall apply that amendment when it applies IFRS 15.</w:t>
      </w:r>
    </w:p>
    <w:p w14:paraId="0BB2E0AD" w14:textId="77777777" w:rsidR="006A2DAD" w:rsidRDefault="006A2DAD">
      <w:pPr>
        <w:pStyle w:val="IASBNormalnpara"/>
      </w:pPr>
      <w:r w:rsidDel="004D6859">
        <w:t>140M</w:t>
      </w:r>
      <w:r w:rsidDel="004D6859">
        <w:tab/>
      </w:r>
      <w:r w:rsidR="0071722B">
        <w:t xml:space="preserve">AASB 2010-7 </w:t>
      </w:r>
      <w:r w:rsidR="0071722B" w:rsidRPr="004A061D">
        <w:rPr>
          <w:i/>
        </w:rPr>
        <w:t xml:space="preserve">Amendments to Australian Accounting Standards arising from AASB 9 (December 2010) </w:t>
      </w:r>
      <w:r w:rsidR="0071722B" w:rsidRPr="004A061D">
        <w:t xml:space="preserve">(as amended) and </w:t>
      </w:r>
      <w:r w:rsidR="0071722B">
        <w:t>AASB 2014-7</w:t>
      </w:r>
      <w:r w:rsidR="0071722B" w:rsidRPr="004A061D">
        <w:t xml:space="preserve"> </w:t>
      </w:r>
      <w:r w:rsidR="0071722B" w:rsidRPr="004A061D">
        <w:rPr>
          <w:i/>
        </w:rPr>
        <w:t>Amendments to Australian Accounting Standards arising from AASB 9 (December 2014)</w:t>
      </w:r>
      <w:r w:rsidR="0071722B" w:rsidRPr="004A061D">
        <w:t xml:space="preserve"> </w:t>
      </w:r>
      <w:r w:rsidR="0071722B">
        <w:t xml:space="preserve">amended the previous version of this Standard as follows: </w:t>
      </w:r>
      <w:r w:rsidR="0071722B" w:rsidRPr="004A061D">
        <w:t>amended paragraphs</w:t>
      </w:r>
      <w:r w:rsidR="0071722B">
        <w:t xml:space="preserve"> </w:t>
      </w:r>
      <w:r w:rsidR="0071722B" w:rsidRPr="004A061D">
        <w:t xml:space="preserve">2(e), 4 and 5 and deleted paragraph 140F. </w:t>
      </w:r>
      <w:r w:rsidR="0071722B">
        <w:t>Paragraph 140G, added by AASB 2010</w:t>
      </w:r>
      <w:r w:rsidR="0071722B">
        <w:noBreakHyphen/>
        <w:t xml:space="preserve">7, was deleted by AASB </w:t>
      </w:r>
      <w:r w:rsidR="0071722B" w:rsidRPr="004A061D">
        <w:t>2014</w:t>
      </w:r>
      <w:r w:rsidR="0071722B" w:rsidRPr="004A061D">
        <w:noBreakHyphen/>
        <w:t>1</w:t>
      </w:r>
      <w:r w:rsidR="0071722B">
        <w:t xml:space="preserve"> </w:t>
      </w:r>
      <w:r w:rsidR="0071722B" w:rsidRPr="004A061D">
        <w:rPr>
          <w:i/>
        </w:rPr>
        <w:t>Amendments to Australian Accounting Standards</w:t>
      </w:r>
      <w:r w:rsidR="0071722B" w:rsidRPr="004A061D">
        <w:t xml:space="preserve">. Paragraph 140K, added by AASB 2014-1, was deleted by </w:t>
      </w:r>
      <w:r w:rsidR="0071722B">
        <w:t>AASB 2014-7</w:t>
      </w:r>
      <w:r w:rsidR="0071722B" w:rsidRPr="004A061D">
        <w:t>. An entity shall apply those amendments when it applies AASB 9</w:t>
      </w:r>
      <w:r w:rsidDel="004D6859">
        <w:t>.</w:t>
      </w:r>
    </w:p>
    <w:p w14:paraId="5E6A1D06" w14:textId="7C15BD7E" w:rsidR="00922143" w:rsidRPr="00655242" w:rsidDel="004D6859" w:rsidRDefault="00655242">
      <w:pPr>
        <w:pStyle w:val="IASBNormalnpara"/>
      </w:pPr>
      <w:r w:rsidRPr="00655242">
        <w:t>140N</w:t>
      </w:r>
      <w:r w:rsidRPr="00655242">
        <w:tab/>
        <w:t>AASB</w:t>
      </w:r>
      <w:r w:rsidR="002637BA">
        <w:t xml:space="preserve"> </w:t>
      </w:r>
      <w:r w:rsidRPr="00655242">
        <w:t>17, issued in July 2017, amended paragraph</w:t>
      </w:r>
      <w:r w:rsidR="002637BA">
        <w:t xml:space="preserve"> </w:t>
      </w:r>
      <w:r w:rsidRPr="00655242">
        <w:t xml:space="preserve">2. AASB 2020-5 </w:t>
      </w:r>
      <w:r w:rsidRPr="00655242">
        <w:rPr>
          <w:i/>
        </w:rPr>
        <w:t>Amendments to Australian Accounting Standards – Insurance Contracts</w:t>
      </w:r>
      <w:r w:rsidRPr="00655242">
        <w:t>, issued in July 2020, further amended paragraph 2. An entity shall apply that amendment when it applies AASB</w:t>
      </w:r>
      <w:r w:rsidR="002637BA">
        <w:t xml:space="preserve"> </w:t>
      </w:r>
      <w:r w:rsidRPr="00655242">
        <w:t>17.</w:t>
      </w:r>
    </w:p>
    <w:p w14:paraId="0BB2E0AE" w14:textId="77777777" w:rsidR="006A2DAD" w:rsidRDefault="006A2DAD">
      <w:pPr>
        <w:pStyle w:val="IASBSectionTitle1NonInd"/>
      </w:pPr>
      <w:r>
        <w:t>Withdrawal of IAS 36 (issued 1998)</w:t>
      </w:r>
    </w:p>
    <w:p w14:paraId="0BB2E0AF" w14:textId="77777777" w:rsidR="00AD7570" w:rsidRDefault="00AD7570">
      <w:pPr>
        <w:pStyle w:val="IASBNormalnpara"/>
      </w:pPr>
      <w:r>
        <w:t>141</w:t>
      </w:r>
      <w:r>
        <w:tab/>
        <w:t>[Deleted by the AASB]</w:t>
      </w:r>
    </w:p>
    <w:p w14:paraId="0BB2E0B0" w14:textId="77777777" w:rsidR="002D17D4" w:rsidRDefault="002D17D4" w:rsidP="004D6E4E">
      <w:pPr>
        <w:pStyle w:val="IASBSectionTitle1NonInd"/>
      </w:pPr>
      <w:bookmarkStart w:id="16" w:name="CommenceHeading"/>
      <w:r>
        <w:t>Commencement of the legislative instrument</w:t>
      </w:r>
    </w:p>
    <w:p w14:paraId="0BB2E0B1" w14:textId="595BE6C8" w:rsidR="00C2799C" w:rsidRDefault="00C2799C" w:rsidP="00C2799C">
      <w:pPr>
        <w:pStyle w:val="AusPlain"/>
      </w:pPr>
      <w:bookmarkStart w:id="17" w:name="SSHeading"/>
      <w:bookmarkEnd w:id="16"/>
      <w:r>
        <w:t>Aus141.1</w:t>
      </w:r>
      <w:r>
        <w:tab/>
      </w:r>
      <w:bookmarkStart w:id="18" w:name="CommenceDate"/>
      <w:r w:rsidR="004A6B2B">
        <w:t>[Repealed]</w:t>
      </w:r>
      <w:bookmarkEnd w:id="18"/>
    </w:p>
    <w:p w14:paraId="0BB2E0B2" w14:textId="77777777" w:rsidR="002D17D4" w:rsidRDefault="002D17D4" w:rsidP="004D6E4E">
      <w:pPr>
        <w:pStyle w:val="IASBSectionTitle1NonInd"/>
      </w:pPr>
      <w:r>
        <w:lastRenderedPageBreak/>
        <w:t xml:space="preserve">Withdrawal of </w:t>
      </w:r>
      <w:r w:rsidR="004D6E4E">
        <w:t>AASB</w:t>
      </w:r>
      <w:r>
        <w:t xml:space="preserve"> pronouncements</w:t>
      </w:r>
    </w:p>
    <w:bookmarkEnd w:id="17"/>
    <w:p w14:paraId="0BB2E0B3" w14:textId="77777777" w:rsidR="000A55C7" w:rsidRDefault="000A55C7" w:rsidP="00143D3A">
      <w:pPr>
        <w:pStyle w:val="AusPlain"/>
        <w:keepNext/>
      </w:pPr>
      <w:r>
        <w:t>Aus141.2</w:t>
      </w:r>
      <w:r>
        <w:tab/>
      </w:r>
      <w:r w:rsidR="00E012BC">
        <w:t>T</w:t>
      </w:r>
      <w:r>
        <w:t xml:space="preserve">his Standard </w:t>
      </w:r>
      <w:r w:rsidR="00E012BC">
        <w:t>repeals</w:t>
      </w:r>
      <w:r>
        <w:t xml:space="preserve"> </w:t>
      </w:r>
      <w:bookmarkStart w:id="19" w:name="SSInt"/>
      <w:r>
        <w:t>AASB</w:t>
      </w:r>
      <w:bookmarkEnd w:id="19"/>
      <w:r>
        <w:t xml:space="preserve"> </w:t>
      </w:r>
      <w:bookmarkStart w:id="20" w:name="SSAASBNo"/>
      <w:r>
        <w:t>136</w:t>
      </w:r>
      <w:bookmarkEnd w:id="20"/>
      <w:r>
        <w:t xml:space="preserve"> </w:t>
      </w:r>
      <w:bookmarkStart w:id="21" w:name="SSAASBTitle"/>
      <w:r w:rsidRPr="002D17D4">
        <w:rPr>
          <w:i/>
        </w:rPr>
        <w:t>Impairment of Assets</w:t>
      </w:r>
      <w:bookmarkEnd w:id="21"/>
      <w:r>
        <w:t xml:space="preserve"> issued in </w:t>
      </w:r>
      <w:bookmarkStart w:id="22" w:name="SSAASBDate"/>
      <w:r>
        <w:t>July 2004</w:t>
      </w:r>
      <w:bookmarkEnd w:id="22"/>
      <w:r>
        <w:t>.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14:paraId="0BB2E0B4" w14:textId="77777777" w:rsidR="000A55C7" w:rsidRDefault="000A55C7" w:rsidP="000A55C7">
      <w:pPr>
        <w:pStyle w:val="IASBNormalnparaL1P"/>
      </w:pPr>
      <w:r>
        <w:t>[Note: When this Standard applies under section 334 of the Corporations Act (either generally or in relation to an individual entity), it supersedes the application of the repealed Standard.]</w:t>
      </w:r>
    </w:p>
    <w:p w14:paraId="0BB2E0B5" w14:textId="77777777" w:rsidR="00C2799C" w:rsidRDefault="00C2799C" w:rsidP="004D6E4E">
      <w:pPr>
        <w:pStyle w:val="AusPlain"/>
      </w:pPr>
    </w:p>
    <w:p w14:paraId="0BB2E0B6" w14:textId="77777777" w:rsidR="002D17D4" w:rsidRDefault="002D17D4">
      <w:pPr>
        <w:widowControl w:val="0"/>
        <w:autoSpaceDE w:val="0"/>
        <w:autoSpaceDN w:val="0"/>
        <w:adjustRightInd w:val="0"/>
        <w:rPr>
          <w:lang w:eastAsia="en-GB"/>
        </w:rPr>
        <w:sectPr w:rsidR="002D17D4" w:rsidSect="00BE4AE5">
          <w:headerReference w:type="even" r:id="rId20"/>
          <w:footerReference w:type="even" r:id="rId21"/>
          <w:footerReference w:type="default" r:id="rId22"/>
          <w:headerReference w:type="first" r:id="rId23"/>
          <w:footerReference w:type="first" r:id="rId24"/>
          <w:pgSz w:w="11907" w:h="16839"/>
          <w:pgMar w:top="1440" w:right="1440" w:bottom="1440" w:left="1440" w:header="720" w:footer="720" w:gutter="0"/>
          <w:cols w:space="708"/>
          <w:docGrid w:linePitch="360"/>
        </w:sectPr>
      </w:pPr>
    </w:p>
    <w:p w14:paraId="0BB2E0B7" w14:textId="77777777" w:rsidR="006A2DAD" w:rsidRDefault="006A2DAD">
      <w:pPr>
        <w:pStyle w:val="IASBSectionTitle1NonInd"/>
        <w:pBdr>
          <w:bottom w:val="none" w:sz="0" w:space="0" w:color="auto"/>
        </w:pBdr>
      </w:pPr>
      <w:r>
        <w:lastRenderedPageBreak/>
        <w:t xml:space="preserve">Appendix A </w:t>
      </w:r>
      <w:r>
        <w:br/>
        <w:t>Using present value techniques to measure value in use</w:t>
      </w:r>
    </w:p>
    <w:p w14:paraId="0BB2E0B8" w14:textId="77777777" w:rsidR="006A2DAD" w:rsidRDefault="006A2DAD">
      <w:pPr>
        <w:pStyle w:val="IASBNormal"/>
      </w:pPr>
      <w:r>
        <w:rPr>
          <w:i/>
        </w:rPr>
        <w:t>This appendix is an integral part of the Standard. It provides guidance on the use of present value techniques in measuring value in use. Although the guidance uses the term ‘asset’, it equally applies to a group of assets forming a cash-generating unit.</w:t>
      </w:r>
    </w:p>
    <w:p w14:paraId="0BB2E0B9" w14:textId="77777777" w:rsidR="006A2DAD" w:rsidRDefault="006A2DAD">
      <w:pPr>
        <w:pStyle w:val="IASBSectionTitle2Ind"/>
      </w:pPr>
      <w:r>
        <w:t>The components of a present value measurement</w:t>
      </w:r>
    </w:p>
    <w:p w14:paraId="0BB2E0BA" w14:textId="77777777" w:rsidR="006A2DAD" w:rsidRDefault="006A2DAD">
      <w:pPr>
        <w:pStyle w:val="IASBNormalnpara"/>
      </w:pPr>
      <w:r>
        <w:t>A1</w:t>
      </w:r>
      <w:r>
        <w:tab/>
        <w:t xml:space="preserve">The following elements together capture the economic differences between assets: </w:t>
      </w:r>
    </w:p>
    <w:p w14:paraId="0BB2E0BB" w14:textId="77777777" w:rsidR="006A2DAD" w:rsidRDefault="006A2DAD">
      <w:pPr>
        <w:pStyle w:val="IASBNormalnparaL1"/>
      </w:pPr>
      <w:r>
        <w:t>(a)</w:t>
      </w:r>
      <w:r>
        <w:tab/>
        <w:t>an estimate of the future cash flow, or in more complex cases, series of future cash flows the entity expects to derive from the asset;</w:t>
      </w:r>
    </w:p>
    <w:p w14:paraId="0BB2E0BC" w14:textId="77777777" w:rsidR="006A2DAD" w:rsidRDefault="006A2DAD">
      <w:pPr>
        <w:pStyle w:val="IASBNormalnparaL1"/>
      </w:pPr>
      <w:r>
        <w:t>(b)</w:t>
      </w:r>
      <w:r>
        <w:tab/>
        <w:t>expectations about possible variations in the amount or timing of those cash flows;</w:t>
      </w:r>
    </w:p>
    <w:p w14:paraId="0BB2E0BD" w14:textId="77777777" w:rsidR="006A2DAD" w:rsidRDefault="006A2DAD">
      <w:pPr>
        <w:pStyle w:val="IASBNormalnparaL1"/>
      </w:pPr>
      <w:r>
        <w:t>(c)</w:t>
      </w:r>
      <w:r>
        <w:tab/>
        <w:t>the time value of money, represented by the current market risk-free rate of interest;</w:t>
      </w:r>
    </w:p>
    <w:p w14:paraId="0BB2E0BE" w14:textId="77777777" w:rsidR="006A2DAD" w:rsidRDefault="006A2DAD">
      <w:pPr>
        <w:pStyle w:val="IASBNormalnparaL1"/>
      </w:pPr>
      <w:r>
        <w:t>(d)</w:t>
      </w:r>
      <w:r>
        <w:tab/>
        <w:t>the price for bearing the uncertainty inherent in the asset; and</w:t>
      </w:r>
    </w:p>
    <w:p w14:paraId="0BB2E0BF" w14:textId="77777777" w:rsidR="006A2DAD" w:rsidRDefault="006A2DAD">
      <w:pPr>
        <w:pStyle w:val="IASBNormalnparaL1"/>
      </w:pPr>
      <w:r>
        <w:t>(e)</w:t>
      </w:r>
      <w:r>
        <w:tab/>
        <w:t>other, sometimes unidentifiable, factors (such as illiquidity) that market participants would reflect in pricing the future cash flows the entity expects to derive from the asset.</w:t>
      </w:r>
    </w:p>
    <w:p w14:paraId="0BB2E0C0" w14:textId="77777777" w:rsidR="006A2DAD" w:rsidRDefault="006A2DAD">
      <w:pPr>
        <w:pStyle w:val="IASBNormalnpara"/>
      </w:pPr>
      <w:r>
        <w:t>A2</w:t>
      </w:r>
      <w:r>
        <w:tab/>
        <w:t>This appendix contrasts two approaches to computing present value, either of which may be used to estimate the value in use of an asset, depending on the circumstances. Under the ‘traditional’ approach, adjustments for factors (b)–(e) described in paragraph A1 are embedded in the discount rate. Under the ‘expected cash flow’ approach, factors (b), (d) and (e) cause adjustments in arriving at risk-adjusted expected cash flows. Whichever approach an entity adopts to reflect expectations about possible variations in the amount or timing of future cash flows, the result should be to reflect the expected present value of the future cash flows, ie the weighted average of all possible outcomes.</w:t>
      </w:r>
    </w:p>
    <w:p w14:paraId="0BB2E0C1" w14:textId="77777777" w:rsidR="006A2DAD" w:rsidRDefault="006A2DAD">
      <w:pPr>
        <w:pStyle w:val="IASBSectionTitle2Ind"/>
      </w:pPr>
      <w:r>
        <w:t>General principles</w:t>
      </w:r>
    </w:p>
    <w:p w14:paraId="0BB2E0C2" w14:textId="77777777" w:rsidR="006A2DAD" w:rsidRDefault="006A2DAD">
      <w:pPr>
        <w:pStyle w:val="IASBNormalnpara"/>
      </w:pPr>
      <w:r>
        <w:t>A3</w:t>
      </w:r>
      <w:r>
        <w:tab/>
        <w:t xml:space="preserve">The techniques used to estimate future cash flows and interest rates will vary from one situation to another depending on the circumstances surrounding the asset in question. However, the following general principles govern any application of present value techniques in measuring assets: </w:t>
      </w:r>
    </w:p>
    <w:p w14:paraId="0BB2E0C3" w14:textId="77777777" w:rsidR="006A2DAD" w:rsidRDefault="006A2DAD">
      <w:pPr>
        <w:pStyle w:val="IASBNormalnparaL1"/>
      </w:pPr>
      <w:r>
        <w:t>(a)</w:t>
      </w:r>
      <w:r>
        <w:tab/>
        <w:t>interest rates used to discount cash flows should reflect assumptions that are consistent with those inherent in the estimated cash flows. Otherwise, the effect of some assumptions will be double-counted or ignored. For example, a discount rate of 12 per cent might be applied to contractual cash flows of a loan receivable. That rate reflects expectations about future defaults from loans with particular characteristics. That same 12 per cent rate should not be used to discount expected cash flows because those cash flows already reflect assumptions about future defaults.</w:t>
      </w:r>
    </w:p>
    <w:p w14:paraId="0BB2E0C4" w14:textId="77777777" w:rsidR="006A2DAD" w:rsidRDefault="006A2DAD">
      <w:pPr>
        <w:pStyle w:val="IASBNormalnparaL1"/>
      </w:pPr>
      <w:r>
        <w:t>(b)</w:t>
      </w:r>
      <w:r>
        <w:tab/>
        <w:t>estimated cash flows and discount rates should be free from both bias and factors unrelated to the asset in question. For example, deliberately understating estimated net cash flows to enhance the apparent future profitability of an asset introduces a bias into the measurement.</w:t>
      </w:r>
    </w:p>
    <w:p w14:paraId="0BB2E0C5" w14:textId="77777777" w:rsidR="006A2DAD" w:rsidRDefault="006A2DAD">
      <w:pPr>
        <w:pStyle w:val="IASBNormalnparaL1"/>
      </w:pPr>
      <w:r>
        <w:t>(c)</w:t>
      </w:r>
      <w:r>
        <w:tab/>
        <w:t>estimated cash flows or discount rates should reflect the range of possible outcomes rather than a single most likely, minimum or maximum possible amount.</w:t>
      </w:r>
    </w:p>
    <w:p w14:paraId="0BB2E0C6" w14:textId="77777777" w:rsidR="006A2DAD" w:rsidRDefault="006A2DAD">
      <w:pPr>
        <w:pStyle w:val="IASBSectionTitle2Ind"/>
      </w:pPr>
      <w:r>
        <w:t>Traditional and expected cash flow approaches to present value</w:t>
      </w:r>
    </w:p>
    <w:p w14:paraId="0BB2E0C7" w14:textId="77777777" w:rsidR="006A2DAD" w:rsidRDefault="006A2DAD">
      <w:pPr>
        <w:pStyle w:val="IASBSectionTitle3Ind"/>
      </w:pPr>
      <w:r>
        <w:t>Traditional approach</w:t>
      </w:r>
    </w:p>
    <w:p w14:paraId="0BB2E0C8" w14:textId="77777777" w:rsidR="006A2DAD" w:rsidRDefault="006A2DAD">
      <w:pPr>
        <w:pStyle w:val="IASBNormalnpara"/>
      </w:pPr>
      <w:r>
        <w:t>A4</w:t>
      </w:r>
      <w:r>
        <w:tab/>
        <w:t>Accounting applications of present value have traditionally used a single set of estimated cash flows and a single discount rate, often described as ‘the rate commensurate with the risk’. In effect, the traditional approach assumes that a single discount rate convention can incorporate all the expectations about the future cash flows and the appropriate risk premium. Therefore, the traditional approach places most of the emphasis on selection of the discount rate.</w:t>
      </w:r>
    </w:p>
    <w:p w14:paraId="0BB2E0C9" w14:textId="77777777" w:rsidR="006A2DAD" w:rsidRDefault="006A2DAD">
      <w:pPr>
        <w:pStyle w:val="IASBNormalnpara"/>
      </w:pPr>
      <w:r>
        <w:t>A5</w:t>
      </w:r>
      <w:r>
        <w:tab/>
        <w:t>In some circumstances, such as those in which comparable assets can be observed in the marketplace, a traditional approach is relatively easy to apply. For assets with contractual cash flows, it is consistent with the manner in which marketplace participants describe assets, as in ‘a 12 per cent bond’.</w:t>
      </w:r>
    </w:p>
    <w:p w14:paraId="0BB2E0CA" w14:textId="77777777" w:rsidR="006A2DAD" w:rsidRDefault="006A2DAD">
      <w:pPr>
        <w:pStyle w:val="IASBNormalnpara"/>
      </w:pPr>
      <w:r>
        <w:lastRenderedPageBreak/>
        <w:t>A6</w:t>
      </w:r>
      <w:r>
        <w:tab/>
        <w:t xml:space="preserve">However, the traditional approach may not appropriately address some complex measurement problems, such as the measurement of non-financial assets for which no market for the item or a comparable item exists. A proper search for ‘the rate commensurate with the risk’ requires analysis of at least two items—an asset that exists in the marketplace and has an observed interest rate and the asset being measured. The appropriate discount rate for the cash flows being measured must be inferred from the observable rate of interest in that other asset. To draw that inference, the characteristics of the other asset’s cash flows must be similar to those of the asset being measured. Therefore, the measurer must do the following: </w:t>
      </w:r>
    </w:p>
    <w:p w14:paraId="0BB2E0CB" w14:textId="77777777" w:rsidR="006A2DAD" w:rsidRDefault="006A2DAD">
      <w:pPr>
        <w:pStyle w:val="IASBNormalnparaL1"/>
      </w:pPr>
      <w:r>
        <w:t>(a)</w:t>
      </w:r>
      <w:r>
        <w:tab/>
        <w:t>identify the set of cash flows that will be discounted;</w:t>
      </w:r>
    </w:p>
    <w:p w14:paraId="0BB2E0CC" w14:textId="77777777" w:rsidR="006A2DAD" w:rsidRDefault="006A2DAD">
      <w:pPr>
        <w:pStyle w:val="IASBNormalnparaL1"/>
      </w:pPr>
      <w:r>
        <w:t>(b)</w:t>
      </w:r>
      <w:r>
        <w:tab/>
        <w:t>identify another asset in the marketplace that appears to have similar cash flow characteristics;</w:t>
      </w:r>
    </w:p>
    <w:p w14:paraId="0BB2E0CD" w14:textId="77777777" w:rsidR="006A2DAD" w:rsidRDefault="006A2DAD">
      <w:pPr>
        <w:pStyle w:val="IASBNormalnparaL1"/>
      </w:pPr>
      <w:r>
        <w:t>(c)</w:t>
      </w:r>
      <w:r>
        <w:tab/>
        <w:t>compare the cash flow sets from the two items to ensure that they are similar (for example, are both sets contractual cash flows, or is one contractual and the other an estimated cash flow?);</w:t>
      </w:r>
    </w:p>
    <w:p w14:paraId="0BB2E0CE" w14:textId="77777777" w:rsidR="006A2DAD" w:rsidRDefault="006A2DAD">
      <w:pPr>
        <w:pStyle w:val="IASBNormalnparaL1"/>
      </w:pPr>
      <w:r>
        <w:t>(d)</w:t>
      </w:r>
      <w:r>
        <w:tab/>
        <w:t>evaluate whether there is an element in one item that is not present in the other (for example, is one less liquid than the other?); and</w:t>
      </w:r>
    </w:p>
    <w:p w14:paraId="0BB2E0CF" w14:textId="77777777" w:rsidR="006A2DAD" w:rsidRDefault="006A2DAD">
      <w:pPr>
        <w:pStyle w:val="IASBNormalnparaL1"/>
      </w:pPr>
      <w:r>
        <w:t>(e)</w:t>
      </w:r>
      <w:r>
        <w:tab/>
        <w:t>evaluate whether both sets of cash flows are likely to behave (ie vary) in a similar fashion in changing economic conditions.</w:t>
      </w:r>
    </w:p>
    <w:p w14:paraId="0BB2E0D0" w14:textId="77777777" w:rsidR="006A2DAD" w:rsidRDefault="006A2DAD">
      <w:pPr>
        <w:pStyle w:val="IASBSectionTitle3Ind"/>
      </w:pPr>
      <w:r>
        <w:t>Expected cash flow approach</w:t>
      </w:r>
    </w:p>
    <w:p w14:paraId="0BB2E0D1" w14:textId="77777777" w:rsidR="006A2DAD" w:rsidRDefault="006A2DAD">
      <w:pPr>
        <w:pStyle w:val="IASBNormalnpara"/>
      </w:pPr>
      <w:r>
        <w:t>A7</w:t>
      </w:r>
      <w:r>
        <w:tab/>
        <w:t>The expected cash flow approach is, in some situations, a more effective measurement tool than the traditional approach. In developing a measurement, the expected cash flow approach uses all expectations about possible cash flows instead of the single most likely cash flow. For example, a cash flow might be CU100, CU200 or CU300 with probabilities of 10 per cent, 60 per cent and 30 per cent, respectively. The expected cash flow is CU220. The expected cash flow approach thus differs from the traditional approach by focusing on direct analysis of the cash flows in question and on more explicit statements of the assumptions used in the measurement.</w:t>
      </w:r>
    </w:p>
    <w:p w14:paraId="0BB2E0D2" w14:textId="77777777" w:rsidR="006A2DAD" w:rsidRDefault="006A2DAD">
      <w:pPr>
        <w:pStyle w:val="IASBNormalnpara"/>
      </w:pPr>
      <w:r>
        <w:t>A8</w:t>
      </w:r>
      <w:r>
        <w:tab/>
        <w:t xml:space="preserve">The expected cash flow approach also allows use of present value techniques when the timing of cash flows is uncertain. For example, a cash flow of CU1,000 may be received in one year, two years or three years with probabilities of 10 per cent, 60 per cent and 30 per cent, respectively. The example below shows the computation of expected present value in that situation. </w:t>
      </w:r>
    </w:p>
    <w:p w14:paraId="0BB2E0D3" w14:textId="77777777" w:rsidR="006A2DAD" w:rsidRDefault="006A2DAD">
      <w:pPr>
        <w:pStyle w:val="IASBNormalnpara"/>
      </w:pPr>
    </w:p>
    <w:tbl>
      <w:tblPr>
        <w:tblW w:w="0" w:type="auto"/>
        <w:tblInd w:w="964" w:type="dxa"/>
        <w:tblLayout w:type="fixed"/>
        <w:tblLook w:val="0000" w:firstRow="0" w:lastRow="0" w:firstColumn="0" w:lastColumn="0" w:noHBand="0" w:noVBand="0"/>
        <w:tblCaption w:val="AASB 136 Table 7"/>
      </w:tblPr>
      <w:tblGrid>
        <w:gridCol w:w="5059"/>
        <w:gridCol w:w="1365"/>
        <w:gridCol w:w="455"/>
        <w:gridCol w:w="1365"/>
      </w:tblGrid>
      <w:tr w:rsidR="006A2DAD" w14:paraId="0BB2E0D7" w14:textId="77777777">
        <w:trPr>
          <w:gridAfter w:val="1"/>
          <w:wAfter w:w="1365" w:type="dxa"/>
          <w:cantSplit/>
        </w:trPr>
        <w:tc>
          <w:tcPr>
            <w:tcW w:w="5059" w:type="dxa"/>
          </w:tcPr>
          <w:p w14:paraId="0BB2E0D4" w14:textId="77777777" w:rsidR="006A2DAD" w:rsidRDefault="006A2DAD">
            <w:pPr>
              <w:pStyle w:val="IASBTableArial"/>
            </w:pPr>
            <w:r>
              <w:t>Present value of CU1,000 in 1 year at 5%</w:t>
            </w:r>
          </w:p>
        </w:tc>
        <w:tc>
          <w:tcPr>
            <w:tcW w:w="1365" w:type="dxa"/>
            <w:tcBorders>
              <w:left w:val="nil"/>
            </w:tcBorders>
            <w:vAlign w:val="bottom"/>
          </w:tcPr>
          <w:p w14:paraId="0BB2E0D5" w14:textId="77777777" w:rsidR="006A2DAD" w:rsidRDefault="006A2DAD">
            <w:pPr>
              <w:pStyle w:val="IASBTableArial"/>
              <w:jc w:val="right"/>
            </w:pPr>
            <w:r>
              <w:t>CU952.38</w:t>
            </w:r>
          </w:p>
        </w:tc>
        <w:tc>
          <w:tcPr>
            <w:tcW w:w="455" w:type="dxa"/>
            <w:tcBorders>
              <w:left w:val="nil"/>
            </w:tcBorders>
          </w:tcPr>
          <w:p w14:paraId="0BB2E0D6" w14:textId="77777777" w:rsidR="006A2DAD" w:rsidRDefault="006A2DAD">
            <w:pPr>
              <w:pStyle w:val="IASBTableArial"/>
            </w:pPr>
            <w:r>
              <w:t xml:space="preserve"> </w:t>
            </w:r>
          </w:p>
        </w:tc>
      </w:tr>
      <w:tr w:rsidR="006A2DAD" w14:paraId="0BB2E0DC" w14:textId="77777777">
        <w:trPr>
          <w:cantSplit/>
        </w:trPr>
        <w:tc>
          <w:tcPr>
            <w:tcW w:w="5059" w:type="dxa"/>
            <w:tcBorders>
              <w:top w:val="nil"/>
            </w:tcBorders>
          </w:tcPr>
          <w:p w14:paraId="0BB2E0D8" w14:textId="77777777" w:rsidR="006A2DAD" w:rsidRDefault="006A2DAD">
            <w:pPr>
              <w:pStyle w:val="IASBTableArial"/>
            </w:pPr>
            <w:r>
              <w:t>Probability</w:t>
            </w:r>
          </w:p>
        </w:tc>
        <w:tc>
          <w:tcPr>
            <w:tcW w:w="1365" w:type="dxa"/>
            <w:tcBorders>
              <w:top w:val="nil"/>
              <w:left w:val="nil"/>
              <w:bottom w:val="single" w:sz="4" w:space="0" w:color="auto"/>
            </w:tcBorders>
            <w:vAlign w:val="bottom"/>
          </w:tcPr>
          <w:p w14:paraId="0BB2E0D9" w14:textId="77777777" w:rsidR="006A2DAD" w:rsidRDefault="006A2DAD">
            <w:pPr>
              <w:pStyle w:val="IASBTableArial"/>
              <w:jc w:val="right"/>
            </w:pPr>
            <w:r>
              <w:t>10.00%</w:t>
            </w:r>
          </w:p>
        </w:tc>
        <w:tc>
          <w:tcPr>
            <w:tcW w:w="455" w:type="dxa"/>
            <w:tcBorders>
              <w:top w:val="nil"/>
              <w:left w:val="nil"/>
            </w:tcBorders>
          </w:tcPr>
          <w:p w14:paraId="0BB2E0DA" w14:textId="77777777" w:rsidR="006A2DAD" w:rsidRDefault="006A2DAD">
            <w:pPr>
              <w:pStyle w:val="IASBTableArial"/>
            </w:pPr>
          </w:p>
        </w:tc>
        <w:tc>
          <w:tcPr>
            <w:tcW w:w="1365" w:type="dxa"/>
            <w:tcBorders>
              <w:top w:val="nil"/>
              <w:left w:val="nil"/>
            </w:tcBorders>
            <w:vAlign w:val="bottom"/>
          </w:tcPr>
          <w:p w14:paraId="0BB2E0DB" w14:textId="77777777" w:rsidR="006A2DAD" w:rsidRDefault="006A2DAD">
            <w:pPr>
              <w:pStyle w:val="IASBTableArial"/>
              <w:jc w:val="right"/>
            </w:pPr>
            <w:r>
              <w:t>CU95.24</w:t>
            </w:r>
          </w:p>
        </w:tc>
      </w:tr>
      <w:tr w:rsidR="006A2DAD" w14:paraId="0BB2E0E1" w14:textId="77777777">
        <w:trPr>
          <w:cantSplit/>
        </w:trPr>
        <w:tc>
          <w:tcPr>
            <w:tcW w:w="5059" w:type="dxa"/>
            <w:tcBorders>
              <w:top w:val="nil"/>
            </w:tcBorders>
          </w:tcPr>
          <w:p w14:paraId="0BB2E0DD" w14:textId="77777777" w:rsidR="006A2DAD" w:rsidRDefault="006A2DAD">
            <w:pPr>
              <w:pStyle w:val="IASBTableArial"/>
            </w:pPr>
            <w:r>
              <w:t>Present value of CU1,000 in 2 years at 5.25%</w:t>
            </w:r>
          </w:p>
        </w:tc>
        <w:tc>
          <w:tcPr>
            <w:tcW w:w="1365" w:type="dxa"/>
            <w:tcBorders>
              <w:top w:val="nil"/>
              <w:left w:val="nil"/>
            </w:tcBorders>
            <w:vAlign w:val="bottom"/>
          </w:tcPr>
          <w:p w14:paraId="0BB2E0DE" w14:textId="77777777" w:rsidR="006A2DAD" w:rsidRDefault="006A2DAD">
            <w:pPr>
              <w:pStyle w:val="IASBTableArial"/>
              <w:jc w:val="right"/>
            </w:pPr>
            <w:r>
              <w:t>CU902.73</w:t>
            </w:r>
          </w:p>
        </w:tc>
        <w:tc>
          <w:tcPr>
            <w:tcW w:w="455" w:type="dxa"/>
            <w:tcBorders>
              <w:top w:val="nil"/>
              <w:left w:val="nil"/>
            </w:tcBorders>
          </w:tcPr>
          <w:p w14:paraId="0BB2E0DF" w14:textId="77777777" w:rsidR="006A2DAD" w:rsidRDefault="006A2DAD">
            <w:pPr>
              <w:pStyle w:val="IASBTableArial"/>
            </w:pPr>
          </w:p>
        </w:tc>
        <w:tc>
          <w:tcPr>
            <w:tcW w:w="1365" w:type="dxa"/>
            <w:tcBorders>
              <w:top w:val="nil"/>
              <w:left w:val="nil"/>
            </w:tcBorders>
            <w:vAlign w:val="bottom"/>
          </w:tcPr>
          <w:p w14:paraId="0BB2E0E0" w14:textId="77777777" w:rsidR="006A2DAD" w:rsidRDefault="006A2DAD">
            <w:pPr>
              <w:pStyle w:val="IASBTableArial"/>
            </w:pPr>
            <w:r>
              <w:t xml:space="preserve"> </w:t>
            </w:r>
          </w:p>
        </w:tc>
      </w:tr>
      <w:tr w:rsidR="006A2DAD" w14:paraId="0BB2E0E6" w14:textId="77777777">
        <w:trPr>
          <w:cantSplit/>
        </w:trPr>
        <w:tc>
          <w:tcPr>
            <w:tcW w:w="5059" w:type="dxa"/>
            <w:tcBorders>
              <w:top w:val="nil"/>
            </w:tcBorders>
          </w:tcPr>
          <w:p w14:paraId="0BB2E0E2" w14:textId="77777777" w:rsidR="006A2DAD" w:rsidRDefault="006A2DAD">
            <w:pPr>
              <w:pStyle w:val="IASBTableArial"/>
            </w:pPr>
            <w:r>
              <w:t>Probability</w:t>
            </w:r>
          </w:p>
        </w:tc>
        <w:tc>
          <w:tcPr>
            <w:tcW w:w="1365" w:type="dxa"/>
            <w:tcBorders>
              <w:top w:val="nil"/>
              <w:left w:val="nil"/>
              <w:bottom w:val="single" w:sz="4" w:space="0" w:color="auto"/>
            </w:tcBorders>
            <w:vAlign w:val="bottom"/>
          </w:tcPr>
          <w:p w14:paraId="0BB2E0E3" w14:textId="77777777" w:rsidR="006A2DAD" w:rsidRDefault="006A2DAD">
            <w:pPr>
              <w:pStyle w:val="IASBTableArial"/>
              <w:jc w:val="right"/>
            </w:pPr>
            <w:r>
              <w:t>60.00%</w:t>
            </w:r>
          </w:p>
        </w:tc>
        <w:tc>
          <w:tcPr>
            <w:tcW w:w="455" w:type="dxa"/>
            <w:tcBorders>
              <w:top w:val="nil"/>
              <w:left w:val="nil"/>
            </w:tcBorders>
          </w:tcPr>
          <w:p w14:paraId="0BB2E0E4" w14:textId="77777777" w:rsidR="006A2DAD" w:rsidRDefault="006A2DAD">
            <w:pPr>
              <w:pStyle w:val="IASBTableArial"/>
            </w:pPr>
          </w:p>
        </w:tc>
        <w:tc>
          <w:tcPr>
            <w:tcW w:w="1365" w:type="dxa"/>
            <w:tcBorders>
              <w:top w:val="nil"/>
              <w:left w:val="nil"/>
            </w:tcBorders>
            <w:vAlign w:val="bottom"/>
          </w:tcPr>
          <w:p w14:paraId="0BB2E0E5" w14:textId="77777777" w:rsidR="006A2DAD" w:rsidRDefault="006A2DAD">
            <w:pPr>
              <w:pStyle w:val="IASBTableArial"/>
              <w:jc w:val="right"/>
            </w:pPr>
            <w:r>
              <w:t>CU541.64</w:t>
            </w:r>
          </w:p>
        </w:tc>
      </w:tr>
      <w:tr w:rsidR="006A2DAD" w14:paraId="0BB2E0EB" w14:textId="77777777">
        <w:trPr>
          <w:cantSplit/>
        </w:trPr>
        <w:tc>
          <w:tcPr>
            <w:tcW w:w="5059" w:type="dxa"/>
            <w:tcBorders>
              <w:top w:val="nil"/>
            </w:tcBorders>
          </w:tcPr>
          <w:p w14:paraId="0BB2E0E7" w14:textId="77777777" w:rsidR="006A2DAD" w:rsidRDefault="006A2DAD">
            <w:pPr>
              <w:pStyle w:val="IASBTableArial"/>
            </w:pPr>
            <w:r>
              <w:t>Present value of CU1,000 in 3 years at 5.50%</w:t>
            </w:r>
          </w:p>
        </w:tc>
        <w:tc>
          <w:tcPr>
            <w:tcW w:w="1365" w:type="dxa"/>
            <w:tcBorders>
              <w:top w:val="nil"/>
              <w:left w:val="nil"/>
            </w:tcBorders>
            <w:vAlign w:val="bottom"/>
          </w:tcPr>
          <w:p w14:paraId="0BB2E0E8" w14:textId="77777777" w:rsidR="006A2DAD" w:rsidRDefault="006A2DAD">
            <w:pPr>
              <w:pStyle w:val="IASBTableArial"/>
              <w:jc w:val="right"/>
            </w:pPr>
            <w:r>
              <w:t>CU851.61</w:t>
            </w:r>
          </w:p>
        </w:tc>
        <w:tc>
          <w:tcPr>
            <w:tcW w:w="455" w:type="dxa"/>
            <w:tcBorders>
              <w:top w:val="nil"/>
              <w:left w:val="nil"/>
            </w:tcBorders>
          </w:tcPr>
          <w:p w14:paraId="0BB2E0E9" w14:textId="77777777" w:rsidR="006A2DAD" w:rsidRDefault="006A2DAD">
            <w:pPr>
              <w:pStyle w:val="IASBTableArial"/>
            </w:pPr>
          </w:p>
        </w:tc>
        <w:tc>
          <w:tcPr>
            <w:tcW w:w="1365" w:type="dxa"/>
            <w:tcBorders>
              <w:top w:val="nil"/>
              <w:left w:val="nil"/>
            </w:tcBorders>
            <w:vAlign w:val="bottom"/>
          </w:tcPr>
          <w:p w14:paraId="0BB2E0EA" w14:textId="77777777" w:rsidR="006A2DAD" w:rsidRDefault="006A2DAD">
            <w:pPr>
              <w:pStyle w:val="IASBTableArial"/>
            </w:pPr>
            <w:r>
              <w:t xml:space="preserve"> </w:t>
            </w:r>
          </w:p>
        </w:tc>
      </w:tr>
      <w:tr w:rsidR="006A2DAD" w14:paraId="0BB2E0F0" w14:textId="77777777">
        <w:trPr>
          <w:cantSplit/>
        </w:trPr>
        <w:tc>
          <w:tcPr>
            <w:tcW w:w="5059" w:type="dxa"/>
            <w:tcBorders>
              <w:top w:val="nil"/>
            </w:tcBorders>
          </w:tcPr>
          <w:p w14:paraId="0BB2E0EC" w14:textId="77777777" w:rsidR="006A2DAD" w:rsidRDefault="006A2DAD">
            <w:pPr>
              <w:pStyle w:val="IASBTableArial"/>
            </w:pPr>
            <w:r>
              <w:t>Probability</w:t>
            </w:r>
          </w:p>
        </w:tc>
        <w:tc>
          <w:tcPr>
            <w:tcW w:w="1365" w:type="dxa"/>
            <w:tcBorders>
              <w:top w:val="nil"/>
              <w:left w:val="nil"/>
              <w:bottom w:val="single" w:sz="4" w:space="0" w:color="auto"/>
            </w:tcBorders>
            <w:vAlign w:val="bottom"/>
          </w:tcPr>
          <w:p w14:paraId="0BB2E0ED" w14:textId="77777777" w:rsidR="006A2DAD" w:rsidRDefault="006A2DAD">
            <w:pPr>
              <w:pStyle w:val="IASBTableArial"/>
              <w:jc w:val="right"/>
            </w:pPr>
            <w:r>
              <w:t>30.00%</w:t>
            </w:r>
          </w:p>
        </w:tc>
        <w:tc>
          <w:tcPr>
            <w:tcW w:w="455" w:type="dxa"/>
            <w:tcBorders>
              <w:top w:val="nil"/>
              <w:left w:val="nil"/>
            </w:tcBorders>
            <w:vAlign w:val="bottom"/>
          </w:tcPr>
          <w:p w14:paraId="0BB2E0EE" w14:textId="77777777" w:rsidR="006A2DAD" w:rsidRDefault="006A2DAD">
            <w:pPr>
              <w:pStyle w:val="IASBTableArial"/>
            </w:pPr>
          </w:p>
        </w:tc>
        <w:tc>
          <w:tcPr>
            <w:tcW w:w="1365" w:type="dxa"/>
            <w:tcBorders>
              <w:top w:val="nil"/>
              <w:left w:val="nil"/>
              <w:bottom w:val="single" w:sz="4" w:space="0" w:color="auto"/>
            </w:tcBorders>
            <w:vAlign w:val="bottom"/>
          </w:tcPr>
          <w:p w14:paraId="0BB2E0EF" w14:textId="77777777" w:rsidR="006A2DAD" w:rsidRDefault="006A2DAD">
            <w:pPr>
              <w:pStyle w:val="IASBTableArial"/>
              <w:jc w:val="right"/>
            </w:pPr>
            <w:r>
              <w:t>CU255.48</w:t>
            </w:r>
          </w:p>
        </w:tc>
      </w:tr>
      <w:tr w:rsidR="006A2DAD" w14:paraId="0BB2E0F5" w14:textId="77777777">
        <w:trPr>
          <w:cantSplit/>
        </w:trPr>
        <w:tc>
          <w:tcPr>
            <w:tcW w:w="5059" w:type="dxa"/>
            <w:tcBorders>
              <w:top w:val="nil"/>
            </w:tcBorders>
          </w:tcPr>
          <w:p w14:paraId="0BB2E0F1" w14:textId="77777777" w:rsidR="006A2DAD" w:rsidRDefault="006A2DAD">
            <w:pPr>
              <w:pStyle w:val="IASBTableArial"/>
            </w:pPr>
            <w:r>
              <w:t>Expected present value</w:t>
            </w:r>
          </w:p>
        </w:tc>
        <w:tc>
          <w:tcPr>
            <w:tcW w:w="1365" w:type="dxa"/>
            <w:tcBorders>
              <w:top w:val="nil"/>
              <w:left w:val="nil"/>
            </w:tcBorders>
          </w:tcPr>
          <w:p w14:paraId="0BB2E0F2" w14:textId="77777777" w:rsidR="006A2DAD" w:rsidRDefault="006A2DAD">
            <w:pPr>
              <w:pStyle w:val="IASBTableArial"/>
            </w:pPr>
            <w:r>
              <w:t xml:space="preserve"> </w:t>
            </w:r>
          </w:p>
        </w:tc>
        <w:tc>
          <w:tcPr>
            <w:tcW w:w="455" w:type="dxa"/>
            <w:tcBorders>
              <w:top w:val="nil"/>
              <w:left w:val="nil"/>
            </w:tcBorders>
            <w:vAlign w:val="bottom"/>
          </w:tcPr>
          <w:p w14:paraId="0BB2E0F3" w14:textId="77777777" w:rsidR="006A2DAD" w:rsidRDefault="006A2DAD">
            <w:pPr>
              <w:pStyle w:val="IASBTableArial"/>
            </w:pPr>
          </w:p>
        </w:tc>
        <w:tc>
          <w:tcPr>
            <w:tcW w:w="1365" w:type="dxa"/>
            <w:tcBorders>
              <w:top w:val="nil"/>
              <w:left w:val="nil"/>
              <w:bottom w:val="double" w:sz="4" w:space="0" w:color="auto"/>
            </w:tcBorders>
            <w:vAlign w:val="bottom"/>
          </w:tcPr>
          <w:p w14:paraId="0BB2E0F4" w14:textId="77777777" w:rsidR="006A2DAD" w:rsidRDefault="006A2DAD">
            <w:pPr>
              <w:pStyle w:val="IASBTableArial"/>
              <w:jc w:val="right"/>
            </w:pPr>
            <w:r>
              <w:t>CU892.36</w:t>
            </w:r>
          </w:p>
        </w:tc>
      </w:tr>
    </w:tbl>
    <w:p w14:paraId="0BB2E0F6" w14:textId="77777777" w:rsidR="006A2DAD" w:rsidRDefault="006A2DAD">
      <w:pPr>
        <w:pStyle w:val="IASBNormalnpara"/>
      </w:pPr>
    </w:p>
    <w:p w14:paraId="0BB2E0F7" w14:textId="77777777" w:rsidR="006A2DAD" w:rsidRDefault="006A2DAD">
      <w:pPr>
        <w:pStyle w:val="IASBNormalnpara"/>
      </w:pPr>
      <w:r>
        <w:t>A9</w:t>
      </w:r>
      <w:r>
        <w:tab/>
        <w:t>The expected present value of CU892.36 differs from the traditional notion of a best estimate of CU902.73 (the 60 per cent probability). A traditional present value computation applied to this example requires a decision about which of the possible timings of cash flows to use and, accordingly, would not reflect the probabilities of other timings. This is because the discount rate in a traditional present value computation cannot reflect uncertainties in timing.</w:t>
      </w:r>
    </w:p>
    <w:p w14:paraId="0BB2E0F8" w14:textId="77777777" w:rsidR="006A2DAD" w:rsidRDefault="006A2DAD">
      <w:pPr>
        <w:pStyle w:val="IASBNormalnpara"/>
      </w:pPr>
      <w:r>
        <w:t>A10</w:t>
      </w:r>
      <w:r>
        <w:tab/>
        <w:t>The use of probabilities is an essential element of the expected cash flow approach. Some question whether assigning probabilities to highly subjective estimates suggests greater precision than, in fact, exists. However, the proper application of the traditional approach (as described in paragraph A6) requires the same estimates and subjectivity without providing the computational transparency of the expected cash flow approach.</w:t>
      </w:r>
    </w:p>
    <w:p w14:paraId="0BB2E0F9" w14:textId="77777777" w:rsidR="006A2DAD" w:rsidRDefault="006A2DAD">
      <w:pPr>
        <w:pStyle w:val="IASBNormalnpara"/>
      </w:pPr>
      <w:r>
        <w:t>A11</w:t>
      </w:r>
      <w:r>
        <w:tab/>
        <w:t xml:space="preserve">Many estimates developed in current practice already incorporate the elements of expected cash flows informally. In addition, accountants often face the need to measure an asset using limited information about the probabilities of possible cash flows. For example, an accountant might be confronted with the following situations: </w:t>
      </w:r>
    </w:p>
    <w:p w14:paraId="0BB2E0FA" w14:textId="77777777" w:rsidR="006A2DAD" w:rsidRDefault="006A2DAD">
      <w:pPr>
        <w:pStyle w:val="IASBNormalnparaL1"/>
      </w:pPr>
      <w:r>
        <w:lastRenderedPageBreak/>
        <w:t>(a)</w:t>
      </w:r>
      <w:r>
        <w:tab/>
        <w:t>the estimated amount falls somewhere between CU50 and CU250, but no amount in the range is more likely than any other amount. Based on that limited information, the estimated expected cash flow is CU150 [(50 + 250)/2].</w:t>
      </w:r>
    </w:p>
    <w:p w14:paraId="0BB2E0FB" w14:textId="77777777" w:rsidR="006A2DAD" w:rsidRDefault="006A2DAD">
      <w:pPr>
        <w:pStyle w:val="IASBNormalnparaL1"/>
      </w:pPr>
      <w:r>
        <w:t>(b)</w:t>
      </w:r>
      <w:r>
        <w:tab/>
        <w:t>the estimated amount falls somewhere between CU50 and CU250, and the most likely amount is CU100. However, the probabilities attached to each amount are unknown. Based on that limited information, the estimated expected cash flow is CU133.33 [(50 + 100 + 250)/3].</w:t>
      </w:r>
    </w:p>
    <w:p w14:paraId="0BB2E0FC" w14:textId="77777777" w:rsidR="006A2DAD" w:rsidRDefault="006A2DAD">
      <w:pPr>
        <w:pStyle w:val="IASBNormalnparaL1"/>
      </w:pPr>
      <w:r>
        <w:t>(c)</w:t>
      </w:r>
      <w:r>
        <w:tab/>
        <w:t>the estimated amount will be CU50 (10 per cent probability), CU250 (30 per cent probability), or CU100 (60 per cent probability). Based on that limited information, the estimated expected cash flow is CU140 [(50 × 0.10) + (250 × 0.30) + (100 × 0.60)].</w:t>
      </w:r>
    </w:p>
    <w:p w14:paraId="0BB2E0FD" w14:textId="77777777" w:rsidR="006A2DAD" w:rsidRDefault="006A2DAD">
      <w:pPr>
        <w:pStyle w:val="IASBNormalnparaP"/>
      </w:pPr>
      <w:r>
        <w:t>In each case, the estimated expected cash flow is likely to provide a better estimate of value in use than the minimum, most likely or maximum amount taken alone.</w:t>
      </w:r>
    </w:p>
    <w:p w14:paraId="0BB2E0FE" w14:textId="77777777" w:rsidR="006A2DAD" w:rsidRDefault="006A2DAD">
      <w:pPr>
        <w:pStyle w:val="IASBNormalnpara"/>
      </w:pPr>
      <w:r>
        <w:t>A12</w:t>
      </w:r>
      <w:r>
        <w:tab/>
        <w:t>The application of an expected cash flow approach is subject to a cost-benefit constraint. In some cases, an entity may have access to extensive data and may be able to develop many cash flow scenarios. In other cases, an entity may not be able to develop more than general statements about the variability of cash flows without incurring substantial cost. The entity needs to balance the cost of obtaining additional information against the additional reliability that information will bring to the measurement.</w:t>
      </w:r>
    </w:p>
    <w:p w14:paraId="0BB2E0FF" w14:textId="77777777" w:rsidR="006A2DAD" w:rsidRDefault="006A2DAD">
      <w:pPr>
        <w:pStyle w:val="IASBNormalnpara"/>
      </w:pPr>
      <w:r>
        <w:t>A13</w:t>
      </w:r>
      <w:r>
        <w:tab/>
        <w:t>Some maintain that expected cash flow techniques are inappropriate for measuring a single item or an item with a limited number of possible outcomes. They offer an example of an asset with two possible outcomes: a 90 per cent probability that the cash flow will be CU10 and a 10 per cent probability that the cash flow will be CU1,000. They observe that the expected cash flow in that example is CU109 and criticise that result as not representing either of the amounts that may ultimately be paid.</w:t>
      </w:r>
    </w:p>
    <w:p w14:paraId="0BB2E100" w14:textId="77777777" w:rsidR="006A2DAD" w:rsidRDefault="006A2DAD">
      <w:pPr>
        <w:pStyle w:val="IASBNormalnpara"/>
      </w:pPr>
      <w:r>
        <w:t>A14</w:t>
      </w:r>
      <w:r>
        <w:tab/>
        <w:t>Assertions like the one just outlined reflect underlying disagreement with the measurement objective. If the objective is accumulation of costs to be incurred, expected cash flows may not produce a representationally faithful estimate of the expected cost. However, this Standard is concerned with measuring the recoverable amount of an asset. The recoverable amount of the asset in this example is not likely to be CU10, even though that is the most likely cash flow. This is because a measurement of CU10 does not incorporate the uncertainty of the cash flow in the measurement of the asset. Instead, the uncertain cash flow is presented as if it were a certain cash flow. No rational entity would sell an asset with these characteristics for CU10.</w:t>
      </w:r>
    </w:p>
    <w:p w14:paraId="0BB2E101" w14:textId="77777777" w:rsidR="006A2DAD" w:rsidRDefault="006A2DAD">
      <w:pPr>
        <w:pStyle w:val="IASBSectionTitle2Ind"/>
      </w:pPr>
      <w:r>
        <w:t>Discount rate</w:t>
      </w:r>
    </w:p>
    <w:p w14:paraId="0BB2E102" w14:textId="77777777" w:rsidR="006A2DAD" w:rsidRDefault="006A2DAD">
      <w:pPr>
        <w:pStyle w:val="IASBNormalnpara"/>
      </w:pPr>
      <w:r>
        <w:t>A15</w:t>
      </w:r>
      <w:r>
        <w:tab/>
        <w:t>Whichever approach an entity adopts for measuring the value in use of an asset, interest rates used to discount cash flows should not reflect risks for which the estimated cash flows have been adjusted. Otherwise, the effect of some assumptions will be double-counted.</w:t>
      </w:r>
    </w:p>
    <w:p w14:paraId="0BB2E103" w14:textId="77777777" w:rsidR="006A2DAD" w:rsidRDefault="006A2DAD">
      <w:pPr>
        <w:pStyle w:val="IASBNormalnpara"/>
      </w:pPr>
      <w:r>
        <w:t>A16</w:t>
      </w:r>
      <w:r>
        <w:tab/>
        <w:t xml:space="preserve">When an asset-specific rate is not directly available from the market, an entity uses surrogates to estimate the discount rate. The purpose is to estimate, as far as possible, a market assessment of: </w:t>
      </w:r>
    </w:p>
    <w:p w14:paraId="0BB2E104" w14:textId="77777777" w:rsidR="006A2DAD" w:rsidRDefault="006A2DAD">
      <w:pPr>
        <w:pStyle w:val="IASBNormalnparaL1"/>
      </w:pPr>
      <w:r>
        <w:t>(a)</w:t>
      </w:r>
      <w:r>
        <w:tab/>
        <w:t>the time value of money for the periods until the end of the asset’s useful life; and</w:t>
      </w:r>
    </w:p>
    <w:p w14:paraId="0BB2E105" w14:textId="77777777" w:rsidR="006A2DAD" w:rsidRDefault="006A2DAD">
      <w:pPr>
        <w:pStyle w:val="IASBNormalnparaL1"/>
      </w:pPr>
      <w:r>
        <w:t>(b)</w:t>
      </w:r>
      <w:r>
        <w:tab/>
        <w:t>factors (b), (d) and (e) described in paragraph A1, to the extent those factors have not caused adjustments in arriving at estimated cash flows.</w:t>
      </w:r>
    </w:p>
    <w:p w14:paraId="0BB2E106" w14:textId="77777777" w:rsidR="006A2DAD" w:rsidRDefault="006A2DAD">
      <w:pPr>
        <w:pStyle w:val="IASBNormalnpara"/>
      </w:pPr>
      <w:r>
        <w:t>A17</w:t>
      </w:r>
      <w:r>
        <w:tab/>
        <w:t xml:space="preserve">As a starting point in making such an estimate, the entity might take into account the following rates: </w:t>
      </w:r>
    </w:p>
    <w:p w14:paraId="0BB2E107" w14:textId="77777777" w:rsidR="006A2DAD" w:rsidRDefault="006A2DAD">
      <w:pPr>
        <w:pStyle w:val="IASBNormalnparaL1"/>
      </w:pPr>
      <w:r>
        <w:t>(a)</w:t>
      </w:r>
      <w:r>
        <w:tab/>
        <w:t>the entity’s weighted average cost of capital determined using techniques such as the Capital Asset Pricing Model;</w:t>
      </w:r>
    </w:p>
    <w:p w14:paraId="0BB2E108" w14:textId="77777777" w:rsidR="006A2DAD" w:rsidRDefault="006A2DAD">
      <w:pPr>
        <w:pStyle w:val="IASBNormalnparaL1"/>
      </w:pPr>
      <w:r>
        <w:t>(b)</w:t>
      </w:r>
      <w:r>
        <w:tab/>
        <w:t>the entity’s incremental borrowing rate; and</w:t>
      </w:r>
    </w:p>
    <w:p w14:paraId="0BB2E109" w14:textId="77777777" w:rsidR="006A2DAD" w:rsidRDefault="006A2DAD">
      <w:pPr>
        <w:pStyle w:val="IASBNormalnparaL1"/>
      </w:pPr>
      <w:r>
        <w:t>(c)</w:t>
      </w:r>
      <w:r>
        <w:tab/>
        <w:t>other market borrowing rates.</w:t>
      </w:r>
    </w:p>
    <w:p w14:paraId="0BB2E10A" w14:textId="77777777" w:rsidR="006A2DAD" w:rsidRDefault="006A2DAD">
      <w:pPr>
        <w:pStyle w:val="IASBNormalnpara"/>
      </w:pPr>
      <w:r>
        <w:t>A18</w:t>
      </w:r>
      <w:r>
        <w:tab/>
        <w:t xml:space="preserve">However, these rates must be adjusted: </w:t>
      </w:r>
    </w:p>
    <w:p w14:paraId="0BB2E10B" w14:textId="77777777" w:rsidR="006A2DAD" w:rsidRDefault="006A2DAD">
      <w:pPr>
        <w:pStyle w:val="IASBNormalnparaL1"/>
      </w:pPr>
      <w:r>
        <w:t>(a)</w:t>
      </w:r>
      <w:r>
        <w:tab/>
        <w:t>to reflect the way that the market would assess the specific risks associated with the asset’s estimated cash flows; and</w:t>
      </w:r>
    </w:p>
    <w:p w14:paraId="0BB2E10C" w14:textId="77777777" w:rsidR="006A2DAD" w:rsidRDefault="006A2DAD">
      <w:pPr>
        <w:pStyle w:val="IASBNormalnparaL1"/>
      </w:pPr>
      <w:r>
        <w:t>(b)</w:t>
      </w:r>
      <w:r>
        <w:tab/>
        <w:t>to exclude risks that are not relevant to the asset’s estimated cash flows or for which the estimated cash flows have been adjusted.</w:t>
      </w:r>
    </w:p>
    <w:p w14:paraId="0BB2E10D" w14:textId="77777777" w:rsidR="006A2DAD" w:rsidRDefault="006A2DAD">
      <w:pPr>
        <w:pStyle w:val="IASBNormalnparaP"/>
      </w:pPr>
      <w:r>
        <w:t>Consideration should be given to risks such as country risk, currency risk and price risk.</w:t>
      </w:r>
    </w:p>
    <w:p w14:paraId="0BB2E10E" w14:textId="77777777" w:rsidR="006A2DAD" w:rsidRDefault="006A2DAD">
      <w:pPr>
        <w:pStyle w:val="IASBNormalnpara"/>
      </w:pPr>
      <w:r>
        <w:t>A19</w:t>
      </w:r>
      <w:r>
        <w:tab/>
        <w:t>The discount rate is independent of the entity’s capital structure and the way the entity financed the purchase of the asset, because the future cash flows expected to arise from an asset do not depend on the way in which the entity financed the purchase of the asset.</w:t>
      </w:r>
    </w:p>
    <w:p w14:paraId="0BB2E10F" w14:textId="77777777" w:rsidR="006A2DAD" w:rsidRDefault="006A2DAD">
      <w:pPr>
        <w:pStyle w:val="IASBNormalnpara"/>
      </w:pPr>
      <w:r>
        <w:lastRenderedPageBreak/>
        <w:t>A20</w:t>
      </w:r>
      <w:r>
        <w:tab/>
        <w:t>Paragraph 55 requires the discount rate used to be a pre-tax rate. Therefore, when the basis used to estimate the discount rate is post-tax, that basis is adjusted to reflect a pre-tax rate.</w:t>
      </w:r>
    </w:p>
    <w:p w14:paraId="0BB2E110" w14:textId="008CE51F" w:rsidR="006A2DAD" w:rsidRDefault="006A2DAD">
      <w:pPr>
        <w:pStyle w:val="IASBNormalnpara"/>
      </w:pPr>
      <w:r>
        <w:t>A21</w:t>
      </w:r>
      <w:r>
        <w:tab/>
        <w:t>An entity normally uses a single discount rate for the estimate of an asset’s value in use. However, an entity uses separate discount rates for different future periods where value in use is sensitive to a difference in risks for different periods or to the term structure of interest rates.</w:t>
      </w:r>
    </w:p>
    <w:p w14:paraId="383E83E5" w14:textId="77777777" w:rsidR="008F3988" w:rsidRDefault="008F3988" w:rsidP="008F3988">
      <w:pPr>
        <w:pStyle w:val="IASBNormalnpara"/>
      </w:pPr>
    </w:p>
    <w:p w14:paraId="0BB2E111" w14:textId="77777777" w:rsidR="006A2DAD" w:rsidRDefault="006A2DAD" w:rsidP="008F3988">
      <w:pPr>
        <w:widowControl w:val="0"/>
        <w:autoSpaceDE w:val="0"/>
        <w:autoSpaceDN w:val="0"/>
        <w:adjustRightInd w:val="0"/>
        <w:spacing w:before="100"/>
        <w:rPr>
          <w:lang w:eastAsia="en-GB"/>
        </w:rPr>
        <w:sectPr w:rsidR="006A2DAD" w:rsidSect="00BE4AE5">
          <w:headerReference w:type="even" r:id="rId25"/>
          <w:footerReference w:type="even" r:id="rId26"/>
          <w:footerReference w:type="default" r:id="rId27"/>
          <w:headerReference w:type="first" r:id="rId28"/>
          <w:footerReference w:type="first" r:id="rId29"/>
          <w:pgSz w:w="11907" w:h="16839"/>
          <w:pgMar w:top="1440" w:right="1440" w:bottom="1440" w:left="1440" w:header="720" w:footer="720" w:gutter="0"/>
          <w:cols w:space="708"/>
          <w:docGrid w:linePitch="360"/>
        </w:sectPr>
      </w:pPr>
    </w:p>
    <w:p w14:paraId="0BB2E112" w14:textId="77777777" w:rsidR="006A2DAD" w:rsidRDefault="006A2DAD">
      <w:pPr>
        <w:pStyle w:val="IASBSectionTitle1NonInd"/>
        <w:pBdr>
          <w:bottom w:val="none" w:sz="0" w:space="0" w:color="auto"/>
        </w:pBdr>
      </w:pPr>
      <w:r>
        <w:lastRenderedPageBreak/>
        <w:t>Appendix C</w:t>
      </w:r>
      <w:r>
        <w:br/>
        <w:t>Impairment testing cash-generating units with goodwill and non-controlling interests</w:t>
      </w:r>
    </w:p>
    <w:p w14:paraId="0BB2E113" w14:textId="77777777" w:rsidR="006A2DAD" w:rsidRDefault="006A2DAD">
      <w:pPr>
        <w:pStyle w:val="IASBNote"/>
      </w:pPr>
      <w:r>
        <w:t>This appendix is an integral part of the Standard.</w:t>
      </w:r>
    </w:p>
    <w:p w14:paraId="0BB2E114" w14:textId="77777777" w:rsidR="006A2DAD" w:rsidRDefault="006A2DAD">
      <w:pPr>
        <w:pStyle w:val="IASBNormalnpara"/>
      </w:pPr>
      <w:r>
        <w:t>C1</w:t>
      </w:r>
      <w:r>
        <w:tab/>
        <w:t>In accordance with</w:t>
      </w:r>
      <w:r w:rsidR="002D17D4">
        <w:t xml:space="preserve"> AASB 3</w:t>
      </w:r>
      <w:r>
        <w:t>, the acquirer measures and recognises goodwill as of the acquisition date as the excess of (a) over (b) below:</w:t>
      </w:r>
    </w:p>
    <w:p w14:paraId="0BB2E115" w14:textId="77777777" w:rsidR="006A2DAD" w:rsidRDefault="006A2DAD">
      <w:pPr>
        <w:pStyle w:val="IASBNormalnparaL1"/>
      </w:pPr>
      <w:r>
        <w:t>(a)</w:t>
      </w:r>
      <w:r>
        <w:tab/>
        <w:t>the aggregate of:</w:t>
      </w:r>
    </w:p>
    <w:p w14:paraId="0BB2E116" w14:textId="77777777" w:rsidR="006A2DAD" w:rsidRDefault="006A2DAD">
      <w:pPr>
        <w:pStyle w:val="IASBNormalnparaL2"/>
      </w:pPr>
      <w:r>
        <w:t>(i)</w:t>
      </w:r>
      <w:r>
        <w:tab/>
        <w:t>the consideration transferred measured in accordance with</w:t>
      </w:r>
      <w:r w:rsidR="002D17D4">
        <w:t xml:space="preserve"> AASB 3</w:t>
      </w:r>
      <w:r>
        <w:t>, which generally requires acquisition-date fair value;</w:t>
      </w:r>
    </w:p>
    <w:p w14:paraId="0BB2E117" w14:textId="77777777" w:rsidR="006A2DAD" w:rsidRDefault="006A2DAD">
      <w:pPr>
        <w:pStyle w:val="IASBNormalnparaL2"/>
      </w:pPr>
      <w:r>
        <w:t>(ii)</w:t>
      </w:r>
      <w:r>
        <w:tab/>
        <w:t>the amount of any non-controlling interest in the acquiree measured in accordance with</w:t>
      </w:r>
      <w:r w:rsidR="002D17D4">
        <w:t xml:space="preserve"> AASB 3</w:t>
      </w:r>
      <w:r>
        <w:t>; and</w:t>
      </w:r>
    </w:p>
    <w:p w14:paraId="0BB2E118" w14:textId="77777777" w:rsidR="006A2DAD" w:rsidRDefault="006A2DAD">
      <w:pPr>
        <w:pStyle w:val="IASBNormalnparaL2"/>
      </w:pPr>
      <w:r>
        <w:t>(iii)</w:t>
      </w:r>
      <w:r>
        <w:tab/>
        <w:t>in a business combination achieved in stages, the acquisition-date fair value of the acquirer’s previously held equity interest in the acquiree.</w:t>
      </w:r>
    </w:p>
    <w:p w14:paraId="0BB2E119" w14:textId="77777777" w:rsidR="006A2DAD" w:rsidRDefault="006A2DAD">
      <w:pPr>
        <w:pStyle w:val="IASBNormalnparaL1"/>
      </w:pPr>
      <w:r>
        <w:t>(b)</w:t>
      </w:r>
      <w:r>
        <w:tab/>
        <w:t>the net of the acquisition-date amounts of the identifiable assets acquired and liabilities assumed measured in accordance with</w:t>
      </w:r>
      <w:r w:rsidR="002D17D4">
        <w:t xml:space="preserve"> AASB 3</w:t>
      </w:r>
      <w:r>
        <w:t>.</w:t>
      </w:r>
    </w:p>
    <w:p w14:paraId="0BB2E11A" w14:textId="77777777" w:rsidR="006A2DAD" w:rsidRDefault="006A2DAD">
      <w:pPr>
        <w:pStyle w:val="IASBSectionTitle2Ind"/>
      </w:pPr>
      <w:r>
        <w:t>Allocation of goodwill</w:t>
      </w:r>
    </w:p>
    <w:p w14:paraId="0BB2E11B" w14:textId="77777777" w:rsidR="006A2DAD" w:rsidRDefault="006A2DAD">
      <w:pPr>
        <w:pStyle w:val="IASBNormalnpara"/>
      </w:pPr>
      <w:r>
        <w:t>C2</w:t>
      </w:r>
      <w:r>
        <w:tab/>
        <w:t xml:space="preserve">Paragraph 80 of this Standard requires goodwill acquired in a business combination to be allocated to each of the acquirer’s cash-generating units, or groups of cash-generating units, expected to benefit from the synergies of the combination, irrespective of whether other assets or liabilities of the acquiree are assigned to those units, or groups of units. It is possible that some of the synergies resulting from a business combination will be allocated to a cash-generating unit in which the non-controlling interest does not have an interest. </w:t>
      </w:r>
    </w:p>
    <w:p w14:paraId="0BB2E11C" w14:textId="77777777" w:rsidR="006A2DAD" w:rsidRDefault="006A2DAD">
      <w:pPr>
        <w:pStyle w:val="IASBSectionTitle2Ind"/>
      </w:pPr>
      <w:r>
        <w:t>Testing for impairment</w:t>
      </w:r>
    </w:p>
    <w:p w14:paraId="0BB2E11D" w14:textId="77777777" w:rsidR="006A2DAD" w:rsidRDefault="006A2DAD">
      <w:pPr>
        <w:pStyle w:val="IASBNormalnpara"/>
      </w:pPr>
      <w:r>
        <w:t>C3</w:t>
      </w:r>
      <w:r>
        <w:tab/>
        <w:t>Testing for impairment involves comparing the recoverable amount of a cash-generating unit with the carrying amount of the cash-generating unit.</w:t>
      </w:r>
    </w:p>
    <w:p w14:paraId="0BB2E11E" w14:textId="77777777" w:rsidR="006A2DAD" w:rsidRDefault="006A2DAD">
      <w:pPr>
        <w:pStyle w:val="IASBNormalnpara"/>
      </w:pPr>
      <w:r>
        <w:t>C4</w:t>
      </w:r>
      <w:r>
        <w:tab/>
        <w:t>If an entity measures non-controlling interests as its proportionate interest in the net identifiable assets of a subsidiary at the acquisition date, rather than at fair value, goodwill attributable to non-controlling interests is included in the recoverable amount of the related cash-generating unit but is not recognised in the parent’s consolidated financial statements. As a consequence, an entity shall gross up the carrying amount of goodwill allocated to the unit to include the goodwill attributable to the non-controlling interest. This adjusted carrying amount is then compared with the recoverable amount of the unit to determine whether the cash-generating unit is impaired.</w:t>
      </w:r>
    </w:p>
    <w:p w14:paraId="0BB2E11F" w14:textId="77777777" w:rsidR="006A2DAD" w:rsidRDefault="006A2DAD">
      <w:pPr>
        <w:pStyle w:val="IASBSectionTitle2Ind"/>
      </w:pPr>
      <w:r>
        <w:t>Allocating an impairment loss</w:t>
      </w:r>
    </w:p>
    <w:p w14:paraId="0BB2E120" w14:textId="77777777" w:rsidR="006A2DAD" w:rsidRDefault="006A2DAD">
      <w:pPr>
        <w:pStyle w:val="IASBNormalnpara"/>
      </w:pPr>
      <w:r>
        <w:t>C5</w:t>
      </w:r>
      <w:r>
        <w:tab/>
        <w:t>Paragraph 104 requires any identified impairment loss to be allocated first to reduce the carrying amount of goodwill allocated to the unit and then to the other assets of the unit pro rata on the basis of the carrying amount of each asset in the unit.</w:t>
      </w:r>
    </w:p>
    <w:p w14:paraId="0BB2E121" w14:textId="77777777" w:rsidR="006A2DAD" w:rsidRDefault="006A2DAD">
      <w:pPr>
        <w:pStyle w:val="IASBNormalnpara"/>
      </w:pPr>
      <w:r>
        <w:t>C6</w:t>
      </w:r>
      <w:r>
        <w:tab/>
        <w:t xml:space="preserve">If a subsidiary, or part of a subsidiary, with a non-controlling interest is itself a cash-generating unit, the impairment loss is allocated between the parent and the non-controlling interest on the same basis as that on which profit or loss is allocated. </w:t>
      </w:r>
    </w:p>
    <w:p w14:paraId="0BB2E122" w14:textId="77777777" w:rsidR="006A2DAD" w:rsidRDefault="006A2DAD">
      <w:pPr>
        <w:pStyle w:val="IASBNormalnpara"/>
      </w:pPr>
      <w:r>
        <w:t>C7</w:t>
      </w:r>
      <w:r>
        <w:tab/>
        <w:t>If a subsidiary, or part of a subsidiary, with a non-controlling interest is part of a larger cash-generating unit, goodwill impairment losses are allocated to the parts of the cash-generating unit that have a non-controlling interest and the parts that do not. The impairment losses should be allocated to the parts of the cash-generating unit on the basis of:</w:t>
      </w:r>
    </w:p>
    <w:p w14:paraId="0BB2E123" w14:textId="77777777" w:rsidR="006A2DAD" w:rsidRDefault="006A2DAD">
      <w:pPr>
        <w:pStyle w:val="IASBNormalnparaL1"/>
      </w:pPr>
      <w:r>
        <w:t>(a)</w:t>
      </w:r>
      <w:r>
        <w:tab/>
        <w:t>to the extent that the impairment relates to goodwill in the cash-generating unit, the relative carrying values of the goodwill of the parts before the impairment; and</w:t>
      </w:r>
    </w:p>
    <w:p w14:paraId="0BB2E124" w14:textId="77777777" w:rsidR="006A2DAD" w:rsidRDefault="006A2DAD">
      <w:pPr>
        <w:pStyle w:val="IASBNormalnparaL1"/>
      </w:pPr>
      <w:r>
        <w:t>(b)</w:t>
      </w:r>
      <w:r>
        <w:tab/>
        <w:t xml:space="preserve">to the extent that the impairment relates to identifiable assets in the cash-generating unit, the relative carrying values of the net identifiable assets of the parts before the impairment. Any such </w:t>
      </w:r>
      <w:r>
        <w:lastRenderedPageBreak/>
        <w:t>impairment is allocated to the assets of the parts of each unit pro rata on the basis of the carrying amount of each asset in the part.</w:t>
      </w:r>
    </w:p>
    <w:p w14:paraId="0BB2E125" w14:textId="77777777" w:rsidR="006A2DAD" w:rsidRDefault="006A2DAD">
      <w:pPr>
        <w:pStyle w:val="IASBNormalnparaP"/>
      </w:pPr>
      <w:r>
        <w:t>In those parts that have a non-controlling interest, the impairment loss is allocated between the parent and the non-controlling interest on the same basis as that on which profit or loss is allocated.</w:t>
      </w:r>
    </w:p>
    <w:p w14:paraId="0BB2E126" w14:textId="77777777" w:rsidR="006A2DAD" w:rsidRDefault="006A2DAD">
      <w:pPr>
        <w:pStyle w:val="IASBNormalnpara"/>
      </w:pPr>
      <w:r>
        <w:t>C8</w:t>
      </w:r>
      <w:r>
        <w:tab/>
        <w:t>If an impairment loss attributable to a non-controlling interest relates to goodwill that is not recognised in the parent’s consolidated financial statements (see paragraph C4), that impairment is not recognised as a goodwill impairment loss. In such cases, only the impairment loss relating to the goodwill that is allocated to the parent is recognised as a goodwill impairment loss.</w:t>
      </w:r>
    </w:p>
    <w:p w14:paraId="0BB2E127" w14:textId="77777777" w:rsidR="006A2DAD" w:rsidRDefault="006A2DAD" w:rsidP="00D6620F">
      <w:pPr>
        <w:pStyle w:val="IASBNormalnpara"/>
      </w:pPr>
      <w:r>
        <w:t>C9</w:t>
      </w:r>
      <w:r>
        <w:tab/>
        <w:t>Illustrative Example 7 illustrates the impairment testing of a non-wholly-owned cash-generating unit with goodwill.</w:t>
      </w:r>
      <w:r w:rsidR="00D6620F">
        <w:t xml:space="preserve"> </w:t>
      </w:r>
    </w:p>
    <w:p w14:paraId="5DC242E3" w14:textId="77777777" w:rsidR="00361651" w:rsidRDefault="00361651" w:rsidP="008F3988">
      <w:pPr>
        <w:widowControl w:val="0"/>
        <w:autoSpaceDE w:val="0"/>
        <w:autoSpaceDN w:val="0"/>
        <w:adjustRightInd w:val="0"/>
        <w:spacing w:before="100"/>
        <w:rPr>
          <w:lang w:eastAsia="en-GB"/>
        </w:rPr>
      </w:pPr>
    </w:p>
    <w:p w14:paraId="0BB2E128" w14:textId="20B869DF" w:rsidR="008F3988" w:rsidRDefault="008F3988" w:rsidP="008F3988">
      <w:pPr>
        <w:widowControl w:val="0"/>
        <w:autoSpaceDE w:val="0"/>
        <w:autoSpaceDN w:val="0"/>
        <w:adjustRightInd w:val="0"/>
        <w:spacing w:before="100"/>
        <w:rPr>
          <w:lang w:eastAsia="en-GB"/>
        </w:rPr>
        <w:sectPr w:rsidR="008F3988" w:rsidSect="00143D3A">
          <w:headerReference w:type="even" r:id="rId30"/>
          <w:footerReference w:type="even" r:id="rId31"/>
          <w:footerReference w:type="default" r:id="rId32"/>
          <w:headerReference w:type="first" r:id="rId33"/>
          <w:footerReference w:type="first" r:id="rId34"/>
          <w:pgSz w:w="11907" w:h="16839" w:code="9"/>
          <w:pgMar w:top="1440" w:right="1440" w:bottom="1440" w:left="1440" w:header="720" w:footer="720" w:gutter="0"/>
          <w:cols w:space="708"/>
          <w:docGrid w:linePitch="360"/>
        </w:sectPr>
      </w:pPr>
    </w:p>
    <w:p w14:paraId="0BB2E129" w14:textId="77777777" w:rsidR="0024253C" w:rsidRDefault="0024253C" w:rsidP="0024253C">
      <w:pPr>
        <w:pStyle w:val="ConvSectionTitle"/>
      </w:pPr>
      <w:r>
        <w:lastRenderedPageBreak/>
        <w:t>Appendix D</w:t>
      </w:r>
      <w:r>
        <w:br/>
        <w:t>Australian defined terms</w:t>
      </w:r>
    </w:p>
    <w:p w14:paraId="0BB2E12A" w14:textId="77777777" w:rsidR="0024253C" w:rsidRDefault="0024253C" w:rsidP="0024253C">
      <w:pPr>
        <w:pStyle w:val="IASBNote"/>
      </w:pPr>
      <w:r>
        <w:t xml:space="preserve">This appendix is an integral part of </w:t>
      </w:r>
      <w:r w:rsidR="00A16EAC">
        <w:t>the Standard</w:t>
      </w:r>
      <w:r>
        <w:t>.</w:t>
      </w:r>
    </w:p>
    <w:p w14:paraId="0BB2E12B" w14:textId="77777777" w:rsidR="0053305F" w:rsidRDefault="0053305F" w:rsidP="0053305F">
      <w:pPr>
        <w:pStyle w:val="AusPlain"/>
      </w:pPr>
      <w:r>
        <w:t>Aus6.1</w:t>
      </w:r>
      <w:r>
        <w:tab/>
        <w:t>[Deleted by the AASB]</w:t>
      </w:r>
    </w:p>
    <w:p w14:paraId="0BB2E12C" w14:textId="77777777" w:rsidR="0024253C" w:rsidRDefault="0024253C" w:rsidP="0024253C">
      <w:pPr>
        <w:pStyle w:val="AusBold"/>
      </w:pPr>
      <w:r>
        <w:t>Aus6.2</w:t>
      </w:r>
      <w:r>
        <w:tab/>
        <w:t>The following term</w:t>
      </w:r>
      <w:r w:rsidR="0053305F">
        <w:t>s</w:t>
      </w:r>
      <w:r>
        <w:t xml:space="preserve"> </w:t>
      </w:r>
      <w:r w:rsidR="0053305F">
        <w:t xml:space="preserve">are also </w:t>
      </w:r>
      <w:r>
        <w:t>used in this Standard with the meaning specified.</w:t>
      </w:r>
    </w:p>
    <w:p w14:paraId="0BB2E12D" w14:textId="77777777" w:rsidR="0024253C" w:rsidRPr="00AD7570" w:rsidRDefault="0024253C" w:rsidP="00665A74">
      <w:pPr>
        <w:pStyle w:val="IASBNormalnparaL2"/>
        <w:ind w:left="1565" w:firstLine="0"/>
        <w:rPr>
          <w:b/>
        </w:rPr>
      </w:pPr>
      <w:r w:rsidRPr="00AD7570">
        <w:rPr>
          <w:b/>
        </w:rPr>
        <w:t xml:space="preserve">A </w:t>
      </w:r>
      <w:r w:rsidRPr="00AD7570">
        <w:rPr>
          <w:b/>
          <w:i/>
        </w:rPr>
        <w:t>not-for-profit entity</w:t>
      </w:r>
      <w:r w:rsidRPr="00AD7570">
        <w:rPr>
          <w:b/>
        </w:rPr>
        <w:t xml:space="preserve"> is an entity whose principal objective is</w:t>
      </w:r>
      <w:r w:rsidR="008F259C">
        <w:rPr>
          <w:b/>
        </w:rPr>
        <w:t xml:space="preserve"> not the generation of profit. </w:t>
      </w:r>
      <w:r w:rsidRPr="00AD7570">
        <w:rPr>
          <w:b/>
        </w:rPr>
        <w:t>A not-for-profit entity can be a single entity or a group of entities comprising the parent and each of the entities that it controls.</w:t>
      </w:r>
    </w:p>
    <w:p w14:paraId="0BB2E12E" w14:textId="77777777" w:rsidR="0024253C" w:rsidRPr="008F3988" w:rsidRDefault="0024253C" w:rsidP="0024253C">
      <w:pPr>
        <w:pStyle w:val="IASBNormalnparaL2"/>
        <w:rPr>
          <w:bCs/>
        </w:rPr>
      </w:pPr>
    </w:p>
    <w:p w14:paraId="0BB2E12F" w14:textId="77777777" w:rsidR="0024253C" w:rsidRDefault="0024253C" w:rsidP="0024253C">
      <w:pPr>
        <w:sectPr w:rsidR="0024253C" w:rsidSect="00143D3A">
          <w:footerReference w:type="default" r:id="rId35"/>
          <w:pgSz w:w="11907" w:h="16839" w:code="9"/>
          <w:pgMar w:top="1440" w:right="1440" w:bottom="1440" w:left="1440" w:header="720" w:footer="720" w:gutter="0"/>
          <w:cols w:space="708"/>
          <w:docGrid w:linePitch="360"/>
        </w:sectPr>
      </w:pPr>
    </w:p>
    <w:p w14:paraId="01C8508F" w14:textId="61B9102F" w:rsidR="005E77AB" w:rsidRPr="005E77AB" w:rsidRDefault="0024253C" w:rsidP="005E77AB">
      <w:pPr>
        <w:pStyle w:val="ConvSectionTitle"/>
        <w:rPr>
          <w:sz w:val="22"/>
          <w:szCs w:val="22"/>
        </w:rPr>
      </w:pPr>
      <w:r>
        <w:lastRenderedPageBreak/>
        <w:t>Appendix E</w:t>
      </w:r>
      <w:r>
        <w:br/>
        <w:t xml:space="preserve">Australian </w:t>
      </w:r>
      <w:r w:rsidR="005E77AB" w:rsidRPr="005E77AB">
        <w:t>simplified disclosures for Tier 2 entities</w:t>
      </w:r>
    </w:p>
    <w:p w14:paraId="7CC7388A" w14:textId="77777777" w:rsidR="005E77AB" w:rsidRPr="005E77AB" w:rsidRDefault="005E77AB" w:rsidP="005E77AB">
      <w:pPr>
        <w:pStyle w:val="IASBNote"/>
        <w:rPr>
          <w:szCs w:val="19"/>
        </w:rPr>
      </w:pPr>
      <w:r w:rsidRPr="005E77AB">
        <w:rPr>
          <w:szCs w:val="19"/>
        </w:rPr>
        <w:t>This appendix is an integral part of the Standard.</w:t>
      </w:r>
    </w:p>
    <w:p w14:paraId="01D107FD" w14:textId="77777777" w:rsidR="005E77AB" w:rsidRPr="005E77AB" w:rsidRDefault="005E77AB" w:rsidP="005E77AB">
      <w:pPr>
        <w:pStyle w:val="AusBold"/>
        <w:rPr>
          <w:i/>
        </w:rPr>
      </w:pPr>
      <w:r w:rsidRPr="005E77AB">
        <w:t>AusE1</w:t>
      </w:r>
      <w:r w:rsidRPr="005E77AB">
        <w:tab/>
        <w:t xml:space="preserve">Paragraphs 126–137 do not apply to entities preparing general purpose financial statements that apply AASB 1060 </w:t>
      </w:r>
      <w:r w:rsidRPr="005E77AB">
        <w:rPr>
          <w:i/>
        </w:rPr>
        <w:t>General Purpose Financial Statements – Simplified Disclosures for For-Profit and Not-for-Profit Tier 2 Entities.</w:t>
      </w:r>
    </w:p>
    <w:p w14:paraId="0BB2E137" w14:textId="77777777" w:rsidR="0024253C" w:rsidRDefault="0024253C" w:rsidP="008F3988">
      <w:pPr>
        <w:spacing w:before="100"/>
      </w:pPr>
    </w:p>
    <w:p w14:paraId="0BB2E138" w14:textId="77777777" w:rsidR="0024253C" w:rsidRDefault="0024253C" w:rsidP="008F3988">
      <w:pPr>
        <w:pStyle w:val="IASBNormalnpara"/>
        <w:sectPr w:rsidR="0024253C" w:rsidSect="00143D3A">
          <w:headerReference w:type="even" r:id="rId36"/>
          <w:footerReference w:type="even" r:id="rId37"/>
          <w:footerReference w:type="default" r:id="rId38"/>
          <w:headerReference w:type="first" r:id="rId39"/>
          <w:footerReference w:type="first" r:id="rId40"/>
          <w:pgSz w:w="11907" w:h="16839" w:code="9"/>
          <w:pgMar w:top="1440" w:right="1440" w:bottom="1440" w:left="1440" w:header="720" w:footer="720" w:gutter="0"/>
          <w:cols w:space="708"/>
          <w:docGrid w:linePitch="360"/>
        </w:sectPr>
      </w:pPr>
    </w:p>
    <w:p w14:paraId="0BB2E139" w14:textId="77777777" w:rsidR="00871CEE" w:rsidRDefault="00871CEE" w:rsidP="00871CEE">
      <w:pPr>
        <w:pStyle w:val="ConvSectionTitle"/>
      </w:pPr>
      <w:r>
        <w:lastRenderedPageBreak/>
        <w:t>Illustrative examples</w:t>
      </w:r>
    </w:p>
    <w:tbl>
      <w:tblPr>
        <w:tblW w:w="9394" w:type="dxa"/>
        <w:tblLayout w:type="fixed"/>
        <w:tblLook w:val="0000" w:firstRow="0" w:lastRow="0" w:firstColumn="0" w:lastColumn="0" w:noHBand="0" w:noVBand="0"/>
        <w:tblCaption w:val="AASB 136 Table 8"/>
      </w:tblPr>
      <w:tblGrid>
        <w:gridCol w:w="236"/>
        <w:gridCol w:w="7225"/>
        <w:gridCol w:w="1697"/>
        <w:gridCol w:w="236"/>
      </w:tblGrid>
      <w:tr w:rsidR="00361651" w14:paraId="0BB2E13D" w14:textId="77777777" w:rsidTr="009709A2">
        <w:trPr>
          <w:cantSplit/>
        </w:trPr>
        <w:tc>
          <w:tcPr>
            <w:tcW w:w="7461" w:type="dxa"/>
            <w:gridSpan w:val="2"/>
            <w:vAlign w:val="bottom"/>
          </w:tcPr>
          <w:p w14:paraId="0BB2E13A" w14:textId="77777777" w:rsidR="00361651" w:rsidRPr="008F3988" w:rsidRDefault="00361651" w:rsidP="00B669EA">
            <w:pPr>
              <w:pStyle w:val="IASBTableBoldArial"/>
              <w:rPr>
                <w:bCs/>
                <w:sz w:val="26"/>
                <w:szCs w:val="26"/>
              </w:rPr>
            </w:pPr>
            <w:r w:rsidRPr="008F3988">
              <w:rPr>
                <w:bCs/>
                <w:sz w:val="26"/>
                <w:szCs w:val="26"/>
              </w:rPr>
              <w:t>Contents</w:t>
            </w:r>
          </w:p>
        </w:tc>
        <w:tc>
          <w:tcPr>
            <w:tcW w:w="1697" w:type="dxa"/>
            <w:tcBorders>
              <w:left w:val="nil"/>
            </w:tcBorders>
            <w:vAlign w:val="bottom"/>
          </w:tcPr>
          <w:p w14:paraId="0BB2E13B" w14:textId="77777777" w:rsidR="00361651" w:rsidRDefault="00361651" w:rsidP="009709A2">
            <w:pPr>
              <w:pStyle w:val="IASBTableArial"/>
              <w:jc w:val="right"/>
            </w:pPr>
          </w:p>
        </w:tc>
        <w:tc>
          <w:tcPr>
            <w:tcW w:w="236" w:type="dxa"/>
            <w:tcBorders>
              <w:left w:val="nil"/>
            </w:tcBorders>
            <w:vAlign w:val="bottom"/>
          </w:tcPr>
          <w:p w14:paraId="0BB2E13C" w14:textId="77777777" w:rsidR="00361651" w:rsidRDefault="00361651" w:rsidP="009709A2">
            <w:pPr>
              <w:pStyle w:val="IASBTableBoldArial"/>
            </w:pPr>
          </w:p>
        </w:tc>
      </w:tr>
      <w:tr w:rsidR="00361651" w14:paraId="0BB2E141" w14:textId="77777777" w:rsidTr="009709A2">
        <w:trPr>
          <w:cantSplit/>
        </w:trPr>
        <w:tc>
          <w:tcPr>
            <w:tcW w:w="7461" w:type="dxa"/>
            <w:gridSpan w:val="2"/>
            <w:vAlign w:val="bottom"/>
          </w:tcPr>
          <w:p w14:paraId="0BB2E13E" w14:textId="77777777" w:rsidR="00361651" w:rsidRPr="008005F0" w:rsidRDefault="00361651" w:rsidP="009709A2">
            <w:pPr>
              <w:pStyle w:val="IASBTableBoldArial"/>
              <w:ind w:firstLine="284"/>
              <w:rPr>
                <w:b w:val="0"/>
                <w:smallCaps/>
                <w:sz w:val="22"/>
              </w:rPr>
            </w:pPr>
          </w:p>
        </w:tc>
        <w:tc>
          <w:tcPr>
            <w:tcW w:w="1697" w:type="dxa"/>
            <w:tcBorders>
              <w:left w:val="nil"/>
            </w:tcBorders>
            <w:vAlign w:val="bottom"/>
          </w:tcPr>
          <w:p w14:paraId="0BB2E13F" w14:textId="77777777" w:rsidR="00361651" w:rsidRDefault="00361651" w:rsidP="009709A2">
            <w:pPr>
              <w:pStyle w:val="IASBTableArial"/>
              <w:jc w:val="right"/>
            </w:pPr>
            <w:r>
              <w:rPr>
                <w:i/>
              </w:rPr>
              <w:t>from paragraph</w:t>
            </w:r>
          </w:p>
        </w:tc>
        <w:tc>
          <w:tcPr>
            <w:tcW w:w="236" w:type="dxa"/>
            <w:tcBorders>
              <w:left w:val="nil"/>
            </w:tcBorders>
            <w:vAlign w:val="bottom"/>
          </w:tcPr>
          <w:p w14:paraId="0BB2E140" w14:textId="77777777" w:rsidR="00361651" w:rsidRDefault="00361651" w:rsidP="009709A2">
            <w:pPr>
              <w:pStyle w:val="IASBTableBoldArial"/>
            </w:pPr>
          </w:p>
        </w:tc>
      </w:tr>
      <w:tr w:rsidR="00361651" w14:paraId="0BB2E146" w14:textId="77777777" w:rsidTr="009709A2">
        <w:trPr>
          <w:cantSplit/>
        </w:trPr>
        <w:tc>
          <w:tcPr>
            <w:tcW w:w="236" w:type="dxa"/>
            <w:tcBorders>
              <w:top w:val="nil"/>
            </w:tcBorders>
            <w:vAlign w:val="bottom"/>
          </w:tcPr>
          <w:p w14:paraId="0BB2E142" w14:textId="77777777" w:rsidR="00361651" w:rsidRDefault="00361651" w:rsidP="009709A2">
            <w:pPr>
              <w:pStyle w:val="IASBTableBoldArial"/>
            </w:pPr>
          </w:p>
        </w:tc>
        <w:tc>
          <w:tcPr>
            <w:tcW w:w="7225" w:type="dxa"/>
            <w:tcBorders>
              <w:top w:val="nil"/>
              <w:left w:val="nil"/>
            </w:tcBorders>
            <w:vAlign w:val="bottom"/>
          </w:tcPr>
          <w:p w14:paraId="0BB2E143" w14:textId="77777777" w:rsidR="00361651" w:rsidRDefault="00361651" w:rsidP="009709A2">
            <w:pPr>
              <w:pStyle w:val="IASBTableBoldArial"/>
            </w:pPr>
            <w:r>
              <w:t>1</w:t>
            </w:r>
            <w:r>
              <w:t> </w:t>
            </w:r>
            <w:r>
              <w:t>IDENTIFICATION OF CASH-GENERATING UNITS</w:t>
            </w:r>
          </w:p>
        </w:tc>
        <w:tc>
          <w:tcPr>
            <w:tcW w:w="1697" w:type="dxa"/>
            <w:tcBorders>
              <w:top w:val="nil"/>
              <w:left w:val="nil"/>
            </w:tcBorders>
            <w:vAlign w:val="bottom"/>
          </w:tcPr>
          <w:p w14:paraId="0BB2E144" w14:textId="77777777" w:rsidR="00361651" w:rsidRDefault="00361651" w:rsidP="009709A2">
            <w:pPr>
              <w:pStyle w:val="IASBTableBoldArial"/>
              <w:jc w:val="right"/>
            </w:pPr>
            <w:r>
              <w:t>IE1</w:t>
            </w:r>
          </w:p>
        </w:tc>
        <w:tc>
          <w:tcPr>
            <w:tcW w:w="236" w:type="dxa"/>
            <w:tcBorders>
              <w:top w:val="nil"/>
              <w:left w:val="nil"/>
            </w:tcBorders>
            <w:vAlign w:val="bottom"/>
          </w:tcPr>
          <w:p w14:paraId="0BB2E145" w14:textId="77777777" w:rsidR="00361651" w:rsidRDefault="00361651" w:rsidP="009709A2">
            <w:pPr>
              <w:pStyle w:val="IASBTableBoldArial"/>
            </w:pPr>
          </w:p>
        </w:tc>
      </w:tr>
      <w:tr w:rsidR="00361651" w14:paraId="0BB2E14B" w14:textId="77777777" w:rsidTr="009709A2">
        <w:trPr>
          <w:cantSplit/>
        </w:trPr>
        <w:tc>
          <w:tcPr>
            <w:tcW w:w="236" w:type="dxa"/>
            <w:tcBorders>
              <w:top w:val="nil"/>
            </w:tcBorders>
            <w:vAlign w:val="bottom"/>
          </w:tcPr>
          <w:p w14:paraId="0BB2E147" w14:textId="77777777" w:rsidR="00361651" w:rsidRDefault="00361651" w:rsidP="009709A2">
            <w:pPr>
              <w:pStyle w:val="IASBTableBoldArial"/>
            </w:pPr>
          </w:p>
        </w:tc>
        <w:tc>
          <w:tcPr>
            <w:tcW w:w="7225" w:type="dxa"/>
            <w:tcBorders>
              <w:top w:val="nil"/>
              <w:left w:val="nil"/>
            </w:tcBorders>
            <w:vAlign w:val="bottom"/>
          </w:tcPr>
          <w:p w14:paraId="0BB2E148" w14:textId="270F37E4" w:rsidR="00361651" w:rsidRDefault="00361651" w:rsidP="00B01AC0">
            <w:pPr>
              <w:pStyle w:val="IASBTableBoldArial"/>
              <w:ind w:left="283"/>
            </w:pPr>
            <w:r>
              <w:t xml:space="preserve">A </w:t>
            </w:r>
            <w:r w:rsidR="008F3988">
              <w:t xml:space="preserve"> </w:t>
            </w:r>
            <w:r>
              <w:t>Retail store chain</w:t>
            </w:r>
          </w:p>
        </w:tc>
        <w:tc>
          <w:tcPr>
            <w:tcW w:w="1697" w:type="dxa"/>
            <w:tcBorders>
              <w:top w:val="nil"/>
              <w:left w:val="nil"/>
            </w:tcBorders>
            <w:vAlign w:val="bottom"/>
          </w:tcPr>
          <w:p w14:paraId="0BB2E149" w14:textId="77777777" w:rsidR="00361651" w:rsidRDefault="00361651" w:rsidP="009709A2">
            <w:pPr>
              <w:pStyle w:val="IASBTableBoldArial"/>
              <w:jc w:val="right"/>
            </w:pPr>
            <w:r>
              <w:t>IE1</w:t>
            </w:r>
          </w:p>
        </w:tc>
        <w:tc>
          <w:tcPr>
            <w:tcW w:w="236" w:type="dxa"/>
            <w:tcBorders>
              <w:top w:val="nil"/>
              <w:left w:val="nil"/>
            </w:tcBorders>
            <w:vAlign w:val="bottom"/>
          </w:tcPr>
          <w:p w14:paraId="0BB2E14A" w14:textId="77777777" w:rsidR="00361651" w:rsidRDefault="00361651" w:rsidP="009709A2">
            <w:pPr>
              <w:pStyle w:val="IASBTableBoldArial"/>
            </w:pPr>
          </w:p>
        </w:tc>
      </w:tr>
      <w:tr w:rsidR="00361651" w14:paraId="0BB2E150" w14:textId="77777777" w:rsidTr="009709A2">
        <w:trPr>
          <w:cantSplit/>
        </w:trPr>
        <w:tc>
          <w:tcPr>
            <w:tcW w:w="236" w:type="dxa"/>
            <w:tcBorders>
              <w:top w:val="nil"/>
            </w:tcBorders>
            <w:vAlign w:val="bottom"/>
          </w:tcPr>
          <w:p w14:paraId="0BB2E14C" w14:textId="77777777" w:rsidR="00361651" w:rsidRDefault="00361651" w:rsidP="009709A2">
            <w:pPr>
              <w:pStyle w:val="IASBTableBoldArial"/>
            </w:pPr>
          </w:p>
        </w:tc>
        <w:tc>
          <w:tcPr>
            <w:tcW w:w="7225" w:type="dxa"/>
            <w:tcBorders>
              <w:top w:val="nil"/>
              <w:left w:val="nil"/>
            </w:tcBorders>
            <w:vAlign w:val="bottom"/>
          </w:tcPr>
          <w:p w14:paraId="0BB2E14D" w14:textId="0DE00032" w:rsidR="00361651" w:rsidRDefault="00361651" w:rsidP="00B01AC0">
            <w:pPr>
              <w:pStyle w:val="IASBTableBoldArial"/>
              <w:ind w:left="283"/>
            </w:pPr>
            <w:r>
              <w:t xml:space="preserve">B </w:t>
            </w:r>
            <w:r w:rsidR="008F3988">
              <w:t xml:space="preserve"> </w:t>
            </w:r>
            <w:r>
              <w:t>Plant for an intermediate step in a production process</w:t>
            </w:r>
          </w:p>
        </w:tc>
        <w:tc>
          <w:tcPr>
            <w:tcW w:w="1697" w:type="dxa"/>
            <w:tcBorders>
              <w:top w:val="nil"/>
              <w:left w:val="nil"/>
            </w:tcBorders>
            <w:vAlign w:val="bottom"/>
          </w:tcPr>
          <w:p w14:paraId="0BB2E14E" w14:textId="77777777" w:rsidR="00361651" w:rsidRDefault="00361651" w:rsidP="009709A2">
            <w:pPr>
              <w:pStyle w:val="IASBTableBoldArial"/>
              <w:jc w:val="right"/>
            </w:pPr>
            <w:r>
              <w:t>IE5</w:t>
            </w:r>
          </w:p>
        </w:tc>
        <w:tc>
          <w:tcPr>
            <w:tcW w:w="236" w:type="dxa"/>
            <w:tcBorders>
              <w:top w:val="nil"/>
              <w:left w:val="nil"/>
            </w:tcBorders>
            <w:vAlign w:val="bottom"/>
          </w:tcPr>
          <w:p w14:paraId="0BB2E14F" w14:textId="77777777" w:rsidR="00361651" w:rsidRDefault="00361651" w:rsidP="009709A2">
            <w:pPr>
              <w:pStyle w:val="IASBTableBoldArial"/>
            </w:pPr>
          </w:p>
        </w:tc>
      </w:tr>
      <w:tr w:rsidR="00361651" w14:paraId="0BB2E155" w14:textId="77777777" w:rsidTr="009709A2">
        <w:trPr>
          <w:cantSplit/>
        </w:trPr>
        <w:tc>
          <w:tcPr>
            <w:tcW w:w="236" w:type="dxa"/>
            <w:tcBorders>
              <w:top w:val="nil"/>
            </w:tcBorders>
            <w:vAlign w:val="bottom"/>
          </w:tcPr>
          <w:p w14:paraId="0BB2E151" w14:textId="77777777" w:rsidR="00361651" w:rsidRDefault="00361651" w:rsidP="009709A2">
            <w:pPr>
              <w:pStyle w:val="IASBTableBoldArial"/>
            </w:pPr>
          </w:p>
        </w:tc>
        <w:tc>
          <w:tcPr>
            <w:tcW w:w="7225" w:type="dxa"/>
            <w:tcBorders>
              <w:top w:val="nil"/>
              <w:left w:val="nil"/>
            </w:tcBorders>
            <w:vAlign w:val="bottom"/>
          </w:tcPr>
          <w:p w14:paraId="0BB2E152" w14:textId="657433E3" w:rsidR="00361651" w:rsidRDefault="00361651" w:rsidP="00B01AC0">
            <w:pPr>
              <w:pStyle w:val="IASBTableBoldArial"/>
              <w:ind w:left="283"/>
            </w:pPr>
            <w:r>
              <w:t xml:space="preserve">C </w:t>
            </w:r>
            <w:r w:rsidR="008F3988">
              <w:t xml:space="preserve"> </w:t>
            </w:r>
            <w:r>
              <w:t>Single product entity</w:t>
            </w:r>
          </w:p>
        </w:tc>
        <w:tc>
          <w:tcPr>
            <w:tcW w:w="1697" w:type="dxa"/>
            <w:tcBorders>
              <w:top w:val="nil"/>
              <w:left w:val="nil"/>
            </w:tcBorders>
            <w:vAlign w:val="bottom"/>
          </w:tcPr>
          <w:p w14:paraId="0BB2E153" w14:textId="77777777" w:rsidR="00361651" w:rsidRDefault="00361651" w:rsidP="009709A2">
            <w:pPr>
              <w:pStyle w:val="IASBTableBoldArial"/>
              <w:jc w:val="right"/>
            </w:pPr>
            <w:r>
              <w:t>IE11</w:t>
            </w:r>
          </w:p>
        </w:tc>
        <w:tc>
          <w:tcPr>
            <w:tcW w:w="236" w:type="dxa"/>
            <w:tcBorders>
              <w:top w:val="nil"/>
              <w:left w:val="nil"/>
            </w:tcBorders>
            <w:vAlign w:val="bottom"/>
          </w:tcPr>
          <w:p w14:paraId="0BB2E154" w14:textId="77777777" w:rsidR="00361651" w:rsidRDefault="00361651" w:rsidP="009709A2">
            <w:pPr>
              <w:pStyle w:val="IASBTableBoldArial"/>
            </w:pPr>
          </w:p>
        </w:tc>
      </w:tr>
      <w:tr w:rsidR="00361651" w14:paraId="0BB2E15A" w14:textId="77777777" w:rsidTr="009709A2">
        <w:trPr>
          <w:cantSplit/>
        </w:trPr>
        <w:tc>
          <w:tcPr>
            <w:tcW w:w="236" w:type="dxa"/>
            <w:tcBorders>
              <w:top w:val="nil"/>
            </w:tcBorders>
            <w:vAlign w:val="bottom"/>
          </w:tcPr>
          <w:p w14:paraId="0BB2E156" w14:textId="77777777" w:rsidR="00361651" w:rsidRDefault="00361651" w:rsidP="009709A2">
            <w:pPr>
              <w:pStyle w:val="IASBTableBoldArial"/>
            </w:pPr>
          </w:p>
        </w:tc>
        <w:tc>
          <w:tcPr>
            <w:tcW w:w="7225" w:type="dxa"/>
            <w:tcBorders>
              <w:top w:val="nil"/>
              <w:left w:val="nil"/>
            </w:tcBorders>
            <w:vAlign w:val="bottom"/>
          </w:tcPr>
          <w:p w14:paraId="0BB2E157" w14:textId="35F76E5F" w:rsidR="00361651" w:rsidRDefault="00361651" w:rsidP="00B01AC0">
            <w:pPr>
              <w:pStyle w:val="IASBTableBoldArial"/>
              <w:ind w:left="283"/>
            </w:pPr>
            <w:r>
              <w:t>D</w:t>
            </w:r>
            <w:r w:rsidR="008F3988">
              <w:t xml:space="preserve"> </w:t>
            </w:r>
            <w:r>
              <w:t xml:space="preserve"> Magazine titles</w:t>
            </w:r>
          </w:p>
        </w:tc>
        <w:tc>
          <w:tcPr>
            <w:tcW w:w="1697" w:type="dxa"/>
            <w:tcBorders>
              <w:top w:val="nil"/>
              <w:left w:val="nil"/>
            </w:tcBorders>
            <w:vAlign w:val="bottom"/>
          </w:tcPr>
          <w:p w14:paraId="0BB2E158" w14:textId="77777777" w:rsidR="00361651" w:rsidRDefault="00361651" w:rsidP="009709A2">
            <w:pPr>
              <w:pStyle w:val="IASBTableBoldArial"/>
              <w:jc w:val="right"/>
            </w:pPr>
            <w:r>
              <w:t>IE17</w:t>
            </w:r>
          </w:p>
        </w:tc>
        <w:tc>
          <w:tcPr>
            <w:tcW w:w="236" w:type="dxa"/>
            <w:tcBorders>
              <w:top w:val="nil"/>
              <w:left w:val="nil"/>
            </w:tcBorders>
            <w:vAlign w:val="bottom"/>
          </w:tcPr>
          <w:p w14:paraId="0BB2E159" w14:textId="77777777" w:rsidR="00361651" w:rsidRDefault="00361651" w:rsidP="009709A2">
            <w:pPr>
              <w:pStyle w:val="IASBTableBoldArial"/>
            </w:pPr>
          </w:p>
        </w:tc>
      </w:tr>
      <w:tr w:rsidR="00361651" w14:paraId="0BB2E15F" w14:textId="77777777" w:rsidTr="009709A2">
        <w:trPr>
          <w:cantSplit/>
        </w:trPr>
        <w:tc>
          <w:tcPr>
            <w:tcW w:w="236" w:type="dxa"/>
            <w:tcBorders>
              <w:top w:val="nil"/>
            </w:tcBorders>
            <w:vAlign w:val="bottom"/>
          </w:tcPr>
          <w:p w14:paraId="0BB2E15B" w14:textId="77777777" w:rsidR="00361651" w:rsidRDefault="00361651" w:rsidP="009709A2">
            <w:pPr>
              <w:pStyle w:val="IASBTableBoldArial"/>
            </w:pPr>
          </w:p>
        </w:tc>
        <w:tc>
          <w:tcPr>
            <w:tcW w:w="7225" w:type="dxa"/>
            <w:tcBorders>
              <w:top w:val="nil"/>
              <w:left w:val="nil"/>
            </w:tcBorders>
            <w:vAlign w:val="bottom"/>
          </w:tcPr>
          <w:p w14:paraId="0BB2E15C" w14:textId="7052035B" w:rsidR="00361651" w:rsidRDefault="00361651" w:rsidP="00B01AC0">
            <w:pPr>
              <w:pStyle w:val="IASBTableBoldArial"/>
              <w:ind w:left="283"/>
            </w:pPr>
            <w:r>
              <w:t xml:space="preserve">E </w:t>
            </w:r>
            <w:r w:rsidR="008F3988">
              <w:t xml:space="preserve"> </w:t>
            </w:r>
            <w:r>
              <w:t>Building half-rented to others and half-occupied for own use</w:t>
            </w:r>
          </w:p>
        </w:tc>
        <w:tc>
          <w:tcPr>
            <w:tcW w:w="1697" w:type="dxa"/>
            <w:tcBorders>
              <w:top w:val="nil"/>
              <w:left w:val="nil"/>
            </w:tcBorders>
            <w:vAlign w:val="bottom"/>
          </w:tcPr>
          <w:p w14:paraId="0BB2E15D" w14:textId="77777777" w:rsidR="00361651" w:rsidRDefault="00361651" w:rsidP="009709A2">
            <w:pPr>
              <w:pStyle w:val="IASBTableBoldArial"/>
              <w:jc w:val="right"/>
            </w:pPr>
            <w:r>
              <w:t>IE20</w:t>
            </w:r>
          </w:p>
        </w:tc>
        <w:tc>
          <w:tcPr>
            <w:tcW w:w="236" w:type="dxa"/>
            <w:tcBorders>
              <w:top w:val="nil"/>
              <w:left w:val="nil"/>
            </w:tcBorders>
            <w:vAlign w:val="bottom"/>
          </w:tcPr>
          <w:p w14:paraId="0BB2E15E" w14:textId="77777777" w:rsidR="00361651" w:rsidRDefault="00361651" w:rsidP="009709A2">
            <w:pPr>
              <w:pStyle w:val="IASBTableBoldArial"/>
            </w:pPr>
          </w:p>
        </w:tc>
      </w:tr>
      <w:tr w:rsidR="00361651" w14:paraId="0BB2E164" w14:textId="77777777" w:rsidTr="009709A2">
        <w:trPr>
          <w:cantSplit/>
        </w:trPr>
        <w:tc>
          <w:tcPr>
            <w:tcW w:w="236" w:type="dxa"/>
            <w:tcBorders>
              <w:top w:val="nil"/>
            </w:tcBorders>
            <w:vAlign w:val="bottom"/>
          </w:tcPr>
          <w:p w14:paraId="0BB2E160" w14:textId="77777777" w:rsidR="00361651" w:rsidRDefault="00361651" w:rsidP="009709A2">
            <w:pPr>
              <w:pStyle w:val="IASBTableBoldArial"/>
            </w:pPr>
          </w:p>
        </w:tc>
        <w:tc>
          <w:tcPr>
            <w:tcW w:w="7225" w:type="dxa"/>
            <w:tcBorders>
              <w:top w:val="nil"/>
              <w:left w:val="nil"/>
            </w:tcBorders>
            <w:vAlign w:val="bottom"/>
          </w:tcPr>
          <w:p w14:paraId="0BB2E161" w14:textId="77777777" w:rsidR="00361651" w:rsidRDefault="00361651" w:rsidP="008F3988">
            <w:pPr>
              <w:pStyle w:val="IASBTableBoldArial"/>
              <w:ind w:left="284" w:hanging="284"/>
            </w:pPr>
            <w:r>
              <w:t>2</w:t>
            </w:r>
            <w:r>
              <w:t> </w:t>
            </w:r>
            <w:r>
              <w:t>CALCULATION OF VALUE IN USE AND RECOGNITION OF AN IMPAIRMENT LOSS</w:t>
            </w:r>
          </w:p>
        </w:tc>
        <w:tc>
          <w:tcPr>
            <w:tcW w:w="1697" w:type="dxa"/>
            <w:tcBorders>
              <w:top w:val="nil"/>
              <w:left w:val="nil"/>
            </w:tcBorders>
            <w:vAlign w:val="bottom"/>
          </w:tcPr>
          <w:p w14:paraId="0BB2E162" w14:textId="77777777" w:rsidR="00361651" w:rsidRDefault="00361651" w:rsidP="009709A2">
            <w:pPr>
              <w:pStyle w:val="IASBTableBoldArial"/>
              <w:jc w:val="right"/>
            </w:pPr>
            <w:r>
              <w:t>IE23</w:t>
            </w:r>
          </w:p>
        </w:tc>
        <w:tc>
          <w:tcPr>
            <w:tcW w:w="236" w:type="dxa"/>
            <w:tcBorders>
              <w:top w:val="nil"/>
              <w:left w:val="nil"/>
            </w:tcBorders>
            <w:vAlign w:val="bottom"/>
          </w:tcPr>
          <w:p w14:paraId="0BB2E163" w14:textId="77777777" w:rsidR="00361651" w:rsidRDefault="00361651" w:rsidP="009709A2">
            <w:pPr>
              <w:pStyle w:val="IASBTableBoldArial"/>
            </w:pPr>
          </w:p>
        </w:tc>
      </w:tr>
      <w:tr w:rsidR="00361651" w14:paraId="0BB2E169" w14:textId="77777777" w:rsidTr="009709A2">
        <w:trPr>
          <w:cantSplit/>
        </w:trPr>
        <w:tc>
          <w:tcPr>
            <w:tcW w:w="236" w:type="dxa"/>
            <w:tcBorders>
              <w:top w:val="nil"/>
            </w:tcBorders>
            <w:vAlign w:val="bottom"/>
          </w:tcPr>
          <w:p w14:paraId="0BB2E165" w14:textId="77777777" w:rsidR="00361651" w:rsidRDefault="00361651" w:rsidP="009709A2">
            <w:pPr>
              <w:pStyle w:val="IASBTableBoldArial"/>
            </w:pPr>
          </w:p>
        </w:tc>
        <w:tc>
          <w:tcPr>
            <w:tcW w:w="7225" w:type="dxa"/>
            <w:tcBorders>
              <w:top w:val="nil"/>
              <w:left w:val="nil"/>
            </w:tcBorders>
            <w:vAlign w:val="bottom"/>
          </w:tcPr>
          <w:p w14:paraId="0BB2E166" w14:textId="77777777" w:rsidR="00361651" w:rsidRDefault="00361651" w:rsidP="009709A2">
            <w:pPr>
              <w:pStyle w:val="IASBTableBoldArial"/>
            </w:pPr>
            <w:r>
              <w:t>3</w:t>
            </w:r>
            <w:r>
              <w:t> </w:t>
            </w:r>
            <w:r>
              <w:t>DEFERRED TAX EFFECTS</w:t>
            </w:r>
          </w:p>
        </w:tc>
        <w:tc>
          <w:tcPr>
            <w:tcW w:w="1697" w:type="dxa"/>
            <w:tcBorders>
              <w:top w:val="nil"/>
              <w:left w:val="nil"/>
            </w:tcBorders>
            <w:vAlign w:val="bottom"/>
          </w:tcPr>
          <w:p w14:paraId="0BB2E167" w14:textId="77777777" w:rsidR="00361651" w:rsidRDefault="00361651" w:rsidP="009709A2">
            <w:pPr>
              <w:pStyle w:val="IASBTableBoldArial"/>
              <w:jc w:val="right"/>
            </w:pPr>
            <w:r>
              <w:t>IE33</w:t>
            </w:r>
          </w:p>
        </w:tc>
        <w:tc>
          <w:tcPr>
            <w:tcW w:w="236" w:type="dxa"/>
            <w:tcBorders>
              <w:top w:val="nil"/>
              <w:left w:val="nil"/>
            </w:tcBorders>
            <w:vAlign w:val="bottom"/>
          </w:tcPr>
          <w:p w14:paraId="0BB2E168" w14:textId="77777777" w:rsidR="00361651" w:rsidRDefault="00361651" w:rsidP="009709A2">
            <w:pPr>
              <w:pStyle w:val="IASBTableBoldArial"/>
            </w:pPr>
          </w:p>
        </w:tc>
      </w:tr>
      <w:tr w:rsidR="00361651" w14:paraId="0BB2E16E" w14:textId="77777777" w:rsidTr="009709A2">
        <w:trPr>
          <w:cantSplit/>
        </w:trPr>
        <w:tc>
          <w:tcPr>
            <w:tcW w:w="236" w:type="dxa"/>
            <w:tcBorders>
              <w:top w:val="nil"/>
            </w:tcBorders>
            <w:vAlign w:val="bottom"/>
          </w:tcPr>
          <w:p w14:paraId="0BB2E16A" w14:textId="77777777" w:rsidR="00361651" w:rsidRDefault="00361651" w:rsidP="009709A2">
            <w:pPr>
              <w:pStyle w:val="IASBTableBoldArial"/>
            </w:pPr>
          </w:p>
        </w:tc>
        <w:tc>
          <w:tcPr>
            <w:tcW w:w="7225" w:type="dxa"/>
            <w:tcBorders>
              <w:top w:val="nil"/>
              <w:left w:val="nil"/>
            </w:tcBorders>
            <w:vAlign w:val="bottom"/>
          </w:tcPr>
          <w:p w14:paraId="0BB2E16B" w14:textId="1557B9E4" w:rsidR="00361651" w:rsidRDefault="00361651" w:rsidP="00B01AC0">
            <w:pPr>
              <w:pStyle w:val="IASBTableBoldArial"/>
              <w:ind w:left="283"/>
            </w:pPr>
            <w:r>
              <w:t xml:space="preserve">A </w:t>
            </w:r>
            <w:r w:rsidR="008F3988">
              <w:t xml:space="preserve"> </w:t>
            </w:r>
            <w:r>
              <w:t>Deferred tax effects of the recognition of an impairment loss</w:t>
            </w:r>
          </w:p>
        </w:tc>
        <w:tc>
          <w:tcPr>
            <w:tcW w:w="1697" w:type="dxa"/>
            <w:tcBorders>
              <w:top w:val="nil"/>
              <w:left w:val="nil"/>
            </w:tcBorders>
            <w:vAlign w:val="bottom"/>
          </w:tcPr>
          <w:p w14:paraId="0BB2E16C" w14:textId="77777777" w:rsidR="00361651" w:rsidRDefault="00361651" w:rsidP="009709A2">
            <w:pPr>
              <w:pStyle w:val="IASBTableBoldArial"/>
              <w:jc w:val="right"/>
            </w:pPr>
            <w:r>
              <w:t>IE33</w:t>
            </w:r>
          </w:p>
        </w:tc>
        <w:tc>
          <w:tcPr>
            <w:tcW w:w="236" w:type="dxa"/>
            <w:tcBorders>
              <w:top w:val="nil"/>
              <w:left w:val="nil"/>
            </w:tcBorders>
            <w:vAlign w:val="bottom"/>
          </w:tcPr>
          <w:p w14:paraId="0BB2E16D" w14:textId="77777777" w:rsidR="00361651" w:rsidRDefault="00361651" w:rsidP="009709A2">
            <w:pPr>
              <w:pStyle w:val="IASBTableBoldArial"/>
            </w:pPr>
          </w:p>
        </w:tc>
      </w:tr>
      <w:tr w:rsidR="00361651" w14:paraId="0BB2E173" w14:textId="77777777" w:rsidTr="009709A2">
        <w:trPr>
          <w:cantSplit/>
        </w:trPr>
        <w:tc>
          <w:tcPr>
            <w:tcW w:w="236" w:type="dxa"/>
            <w:tcBorders>
              <w:top w:val="nil"/>
            </w:tcBorders>
            <w:vAlign w:val="bottom"/>
          </w:tcPr>
          <w:p w14:paraId="0BB2E16F" w14:textId="77777777" w:rsidR="00361651" w:rsidRDefault="00361651" w:rsidP="009709A2">
            <w:pPr>
              <w:pStyle w:val="IASBTableBoldArial"/>
            </w:pPr>
          </w:p>
        </w:tc>
        <w:tc>
          <w:tcPr>
            <w:tcW w:w="7225" w:type="dxa"/>
            <w:tcBorders>
              <w:top w:val="nil"/>
              <w:left w:val="nil"/>
            </w:tcBorders>
            <w:vAlign w:val="bottom"/>
          </w:tcPr>
          <w:p w14:paraId="0BB2E170" w14:textId="61830ECE" w:rsidR="00361651" w:rsidRDefault="00361651" w:rsidP="00B01AC0">
            <w:pPr>
              <w:pStyle w:val="IASBTableBoldArial"/>
              <w:ind w:left="283"/>
            </w:pPr>
            <w:r>
              <w:t xml:space="preserve">B </w:t>
            </w:r>
            <w:r w:rsidR="008F3988">
              <w:t xml:space="preserve"> </w:t>
            </w:r>
            <w:r>
              <w:t>Recognition of an impairment loss creates a deferred tax asset</w:t>
            </w:r>
          </w:p>
        </w:tc>
        <w:tc>
          <w:tcPr>
            <w:tcW w:w="1697" w:type="dxa"/>
            <w:tcBorders>
              <w:top w:val="nil"/>
              <w:left w:val="nil"/>
            </w:tcBorders>
            <w:vAlign w:val="bottom"/>
          </w:tcPr>
          <w:p w14:paraId="0BB2E171" w14:textId="77777777" w:rsidR="00361651" w:rsidRDefault="00361651" w:rsidP="009709A2">
            <w:pPr>
              <w:pStyle w:val="IASBTableBoldArial"/>
              <w:jc w:val="right"/>
            </w:pPr>
            <w:r>
              <w:t>IE36</w:t>
            </w:r>
          </w:p>
        </w:tc>
        <w:tc>
          <w:tcPr>
            <w:tcW w:w="236" w:type="dxa"/>
            <w:tcBorders>
              <w:top w:val="nil"/>
              <w:left w:val="nil"/>
            </w:tcBorders>
            <w:vAlign w:val="bottom"/>
          </w:tcPr>
          <w:p w14:paraId="0BB2E172" w14:textId="77777777" w:rsidR="00361651" w:rsidRDefault="00361651" w:rsidP="009709A2">
            <w:pPr>
              <w:pStyle w:val="IASBTableBoldArial"/>
            </w:pPr>
          </w:p>
        </w:tc>
      </w:tr>
      <w:tr w:rsidR="00361651" w14:paraId="0BB2E178" w14:textId="77777777" w:rsidTr="009709A2">
        <w:trPr>
          <w:cantSplit/>
        </w:trPr>
        <w:tc>
          <w:tcPr>
            <w:tcW w:w="236" w:type="dxa"/>
            <w:tcBorders>
              <w:top w:val="nil"/>
            </w:tcBorders>
            <w:vAlign w:val="bottom"/>
          </w:tcPr>
          <w:p w14:paraId="0BB2E174" w14:textId="77777777" w:rsidR="00361651" w:rsidRDefault="00361651" w:rsidP="009709A2">
            <w:pPr>
              <w:pStyle w:val="IASBTableBoldArial"/>
            </w:pPr>
          </w:p>
        </w:tc>
        <w:tc>
          <w:tcPr>
            <w:tcW w:w="7225" w:type="dxa"/>
            <w:tcBorders>
              <w:top w:val="nil"/>
              <w:left w:val="nil"/>
            </w:tcBorders>
            <w:vAlign w:val="bottom"/>
          </w:tcPr>
          <w:p w14:paraId="0BB2E175" w14:textId="77777777" w:rsidR="00361651" w:rsidRDefault="00361651" w:rsidP="009709A2">
            <w:pPr>
              <w:pStyle w:val="IASBTableBoldArial"/>
            </w:pPr>
            <w:r>
              <w:t>4</w:t>
            </w:r>
            <w:r>
              <w:t> </w:t>
            </w:r>
            <w:r>
              <w:t>Reversal of an impairment loss</w:t>
            </w:r>
          </w:p>
        </w:tc>
        <w:tc>
          <w:tcPr>
            <w:tcW w:w="1697" w:type="dxa"/>
            <w:tcBorders>
              <w:top w:val="nil"/>
              <w:left w:val="nil"/>
            </w:tcBorders>
            <w:vAlign w:val="bottom"/>
          </w:tcPr>
          <w:p w14:paraId="0BB2E176" w14:textId="77777777" w:rsidR="00361651" w:rsidRDefault="00361651" w:rsidP="009709A2">
            <w:pPr>
              <w:pStyle w:val="IASBTableBoldArial"/>
              <w:jc w:val="right"/>
            </w:pPr>
            <w:r>
              <w:t>IE38</w:t>
            </w:r>
          </w:p>
        </w:tc>
        <w:tc>
          <w:tcPr>
            <w:tcW w:w="236" w:type="dxa"/>
            <w:tcBorders>
              <w:top w:val="nil"/>
              <w:left w:val="nil"/>
            </w:tcBorders>
            <w:vAlign w:val="bottom"/>
          </w:tcPr>
          <w:p w14:paraId="0BB2E177" w14:textId="77777777" w:rsidR="00361651" w:rsidRDefault="00361651" w:rsidP="009709A2">
            <w:pPr>
              <w:pStyle w:val="IASBTableBoldArial"/>
            </w:pPr>
          </w:p>
        </w:tc>
      </w:tr>
      <w:tr w:rsidR="00361651" w14:paraId="0BB2E17D" w14:textId="77777777" w:rsidTr="009709A2">
        <w:trPr>
          <w:cantSplit/>
        </w:trPr>
        <w:tc>
          <w:tcPr>
            <w:tcW w:w="236" w:type="dxa"/>
            <w:tcBorders>
              <w:top w:val="nil"/>
            </w:tcBorders>
            <w:vAlign w:val="bottom"/>
          </w:tcPr>
          <w:p w14:paraId="0BB2E179" w14:textId="77777777" w:rsidR="00361651" w:rsidRDefault="00361651" w:rsidP="009709A2">
            <w:pPr>
              <w:pStyle w:val="IASBTableBoldArial"/>
            </w:pPr>
          </w:p>
        </w:tc>
        <w:tc>
          <w:tcPr>
            <w:tcW w:w="7225" w:type="dxa"/>
            <w:tcBorders>
              <w:top w:val="nil"/>
              <w:left w:val="nil"/>
            </w:tcBorders>
            <w:vAlign w:val="bottom"/>
          </w:tcPr>
          <w:p w14:paraId="0BB2E17A" w14:textId="77777777" w:rsidR="00361651" w:rsidRDefault="00361651" w:rsidP="009709A2">
            <w:pPr>
              <w:pStyle w:val="IASBTableBoldArial"/>
            </w:pPr>
            <w:r>
              <w:t>5</w:t>
            </w:r>
            <w:r>
              <w:t> </w:t>
            </w:r>
            <w:r>
              <w:t>Treatment of a future restructuring</w:t>
            </w:r>
          </w:p>
        </w:tc>
        <w:tc>
          <w:tcPr>
            <w:tcW w:w="1697" w:type="dxa"/>
            <w:tcBorders>
              <w:top w:val="nil"/>
              <w:left w:val="nil"/>
            </w:tcBorders>
            <w:vAlign w:val="bottom"/>
          </w:tcPr>
          <w:p w14:paraId="0BB2E17B" w14:textId="77777777" w:rsidR="00361651" w:rsidRDefault="00361651" w:rsidP="009709A2">
            <w:pPr>
              <w:pStyle w:val="IASBTableBoldArial"/>
              <w:jc w:val="right"/>
            </w:pPr>
            <w:r>
              <w:t>IE44</w:t>
            </w:r>
          </w:p>
        </w:tc>
        <w:tc>
          <w:tcPr>
            <w:tcW w:w="236" w:type="dxa"/>
            <w:tcBorders>
              <w:top w:val="nil"/>
              <w:left w:val="nil"/>
            </w:tcBorders>
            <w:vAlign w:val="bottom"/>
          </w:tcPr>
          <w:p w14:paraId="0BB2E17C" w14:textId="77777777" w:rsidR="00361651" w:rsidRDefault="00361651" w:rsidP="009709A2">
            <w:pPr>
              <w:pStyle w:val="IASBTableBoldArial"/>
            </w:pPr>
          </w:p>
        </w:tc>
      </w:tr>
      <w:tr w:rsidR="00361651" w14:paraId="0BB2E182" w14:textId="77777777" w:rsidTr="009709A2">
        <w:trPr>
          <w:cantSplit/>
        </w:trPr>
        <w:tc>
          <w:tcPr>
            <w:tcW w:w="236" w:type="dxa"/>
            <w:tcBorders>
              <w:top w:val="nil"/>
            </w:tcBorders>
            <w:vAlign w:val="bottom"/>
          </w:tcPr>
          <w:p w14:paraId="0BB2E17E" w14:textId="77777777" w:rsidR="00361651" w:rsidRDefault="00361651" w:rsidP="009709A2">
            <w:pPr>
              <w:pStyle w:val="IASBTableBoldArial"/>
            </w:pPr>
          </w:p>
        </w:tc>
        <w:tc>
          <w:tcPr>
            <w:tcW w:w="7225" w:type="dxa"/>
            <w:tcBorders>
              <w:top w:val="nil"/>
              <w:left w:val="nil"/>
            </w:tcBorders>
            <w:vAlign w:val="bottom"/>
          </w:tcPr>
          <w:p w14:paraId="0BB2E17F" w14:textId="77777777" w:rsidR="00361651" w:rsidRDefault="00361651" w:rsidP="009709A2">
            <w:pPr>
              <w:pStyle w:val="IASBTableBoldArial"/>
            </w:pPr>
            <w:r>
              <w:t>6</w:t>
            </w:r>
            <w:r>
              <w:t> </w:t>
            </w:r>
            <w:r>
              <w:t>Treatment of future costs</w:t>
            </w:r>
          </w:p>
        </w:tc>
        <w:tc>
          <w:tcPr>
            <w:tcW w:w="1697" w:type="dxa"/>
            <w:tcBorders>
              <w:top w:val="nil"/>
              <w:left w:val="nil"/>
            </w:tcBorders>
            <w:vAlign w:val="bottom"/>
          </w:tcPr>
          <w:p w14:paraId="0BB2E180" w14:textId="77777777" w:rsidR="00361651" w:rsidRDefault="00361651" w:rsidP="009709A2">
            <w:pPr>
              <w:pStyle w:val="IASBTableBoldArial"/>
              <w:jc w:val="right"/>
            </w:pPr>
            <w:r>
              <w:t>IE54</w:t>
            </w:r>
          </w:p>
        </w:tc>
        <w:tc>
          <w:tcPr>
            <w:tcW w:w="236" w:type="dxa"/>
            <w:tcBorders>
              <w:top w:val="nil"/>
              <w:left w:val="nil"/>
            </w:tcBorders>
            <w:vAlign w:val="bottom"/>
          </w:tcPr>
          <w:p w14:paraId="0BB2E181" w14:textId="77777777" w:rsidR="00361651" w:rsidRDefault="00361651" w:rsidP="009709A2">
            <w:pPr>
              <w:pStyle w:val="IASBTableBoldArial"/>
            </w:pPr>
          </w:p>
        </w:tc>
      </w:tr>
      <w:tr w:rsidR="00361651" w14:paraId="0BB2E187" w14:textId="77777777" w:rsidTr="009709A2">
        <w:trPr>
          <w:cantSplit/>
        </w:trPr>
        <w:tc>
          <w:tcPr>
            <w:tcW w:w="236" w:type="dxa"/>
            <w:tcBorders>
              <w:top w:val="nil"/>
            </w:tcBorders>
            <w:vAlign w:val="bottom"/>
          </w:tcPr>
          <w:p w14:paraId="0BB2E183" w14:textId="77777777" w:rsidR="00361651" w:rsidRDefault="00361651" w:rsidP="009709A2">
            <w:pPr>
              <w:pStyle w:val="IASBTableBoldArial"/>
            </w:pPr>
          </w:p>
        </w:tc>
        <w:tc>
          <w:tcPr>
            <w:tcW w:w="7225" w:type="dxa"/>
            <w:tcBorders>
              <w:top w:val="nil"/>
              <w:left w:val="nil"/>
            </w:tcBorders>
            <w:vAlign w:val="bottom"/>
          </w:tcPr>
          <w:p w14:paraId="0BB2E184" w14:textId="77777777" w:rsidR="00361651" w:rsidRDefault="00361651" w:rsidP="008F3988">
            <w:pPr>
              <w:pStyle w:val="IASBTableBoldArial"/>
              <w:ind w:left="284" w:hanging="284"/>
            </w:pPr>
            <w:r>
              <w:t>7</w:t>
            </w:r>
            <w:r>
              <w:t> </w:t>
            </w:r>
            <w:r>
              <w:t>Impairment testing cash-generating units with goodwill and non-controlling interests</w:t>
            </w:r>
          </w:p>
        </w:tc>
        <w:tc>
          <w:tcPr>
            <w:tcW w:w="1697" w:type="dxa"/>
            <w:tcBorders>
              <w:top w:val="nil"/>
              <w:left w:val="nil"/>
            </w:tcBorders>
            <w:vAlign w:val="bottom"/>
          </w:tcPr>
          <w:p w14:paraId="0BB2E185" w14:textId="77777777" w:rsidR="00361651" w:rsidRDefault="00361651" w:rsidP="009709A2">
            <w:pPr>
              <w:pStyle w:val="IASBTableBoldArial"/>
              <w:jc w:val="right"/>
            </w:pPr>
            <w:r>
              <w:t>IE62</w:t>
            </w:r>
          </w:p>
        </w:tc>
        <w:tc>
          <w:tcPr>
            <w:tcW w:w="236" w:type="dxa"/>
            <w:tcBorders>
              <w:top w:val="nil"/>
              <w:left w:val="nil"/>
            </w:tcBorders>
            <w:vAlign w:val="bottom"/>
          </w:tcPr>
          <w:p w14:paraId="0BB2E186" w14:textId="77777777" w:rsidR="00361651" w:rsidRDefault="00361651" w:rsidP="009709A2">
            <w:pPr>
              <w:pStyle w:val="IASBTableBoldArial"/>
            </w:pPr>
          </w:p>
        </w:tc>
      </w:tr>
      <w:tr w:rsidR="00361651" w14:paraId="0BB2E18C" w14:textId="77777777" w:rsidTr="009709A2">
        <w:trPr>
          <w:cantSplit/>
        </w:trPr>
        <w:tc>
          <w:tcPr>
            <w:tcW w:w="236" w:type="dxa"/>
            <w:tcBorders>
              <w:top w:val="nil"/>
            </w:tcBorders>
            <w:vAlign w:val="bottom"/>
          </w:tcPr>
          <w:p w14:paraId="0BB2E188" w14:textId="77777777" w:rsidR="00361651" w:rsidRDefault="00361651" w:rsidP="009709A2">
            <w:pPr>
              <w:pStyle w:val="IASBTableBoldArial"/>
            </w:pPr>
          </w:p>
        </w:tc>
        <w:tc>
          <w:tcPr>
            <w:tcW w:w="7225" w:type="dxa"/>
            <w:tcBorders>
              <w:top w:val="nil"/>
              <w:left w:val="nil"/>
            </w:tcBorders>
            <w:vAlign w:val="bottom"/>
          </w:tcPr>
          <w:p w14:paraId="0BB2E189" w14:textId="77777777" w:rsidR="00361651" w:rsidRDefault="00361651" w:rsidP="00B01AC0">
            <w:pPr>
              <w:pStyle w:val="IASBTableBoldArial"/>
              <w:ind w:left="681" w:hanging="397"/>
            </w:pPr>
            <w:r>
              <w:t>7A</w:t>
            </w:r>
            <w:r>
              <w:t> </w:t>
            </w:r>
            <w:r>
              <w:t>Non-controlling interests measured initially as a proportionate share of the net identifiable assets</w:t>
            </w:r>
          </w:p>
        </w:tc>
        <w:tc>
          <w:tcPr>
            <w:tcW w:w="1697" w:type="dxa"/>
            <w:tcBorders>
              <w:top w:val="nil"/>
              <w:left w:val="nil"/>
            </w:tcBorders>
            <w:vAlign w:val="bottom"/>
          </w:tcPr>
          <w:p w14:paraId="0BB2E18A" w14:textId="77777777" w:rsidR="00361651" w:rsidRDefault="00361651" w:rsidP="009709A2">
            <w:pPr>
              <w:pStyle w:val="IASBTableBoldArial"/>
              <w:jc w:val="right"/>
            </w:pPr>
            <w:r>
              <w:t>IE62</w:t>
            </w:r>
          </w:p>
        </w:tc>
        <w:tc>
          <w:tcPr>
            <w:tcW w:w="236" w:type="dxa"/>
            <w:tcBorders>
              <w:top w:val="nil"/>
              <w:left w:val="nil"/>
            </w:tcBorders>
            <w:vAlign w:val="bottom"/>
          </w:tcPr>
          <w:p w14:paraId="0BB2E18B" w14:textId="77777777" w:rsidR="00361651" w:rsidRDefault="00361651" w:rsidP="009709A2">
            <w:pPr>
              <w:pStyle w:val="IASBTableBoldArial"/>
            </w:pPr>
          </w:p>
        </w:tc>
      </w:tr>
      <w:tr w:rsidR="00361651" w14:paraId="0BB2E191" w14:textId="77777777" w:rsidTr="009709A2">
        <w:trPr>
          <w:cantSplit/>
        </w:trPr>
        <w:tc>
          <w:tcPr>
            <w:tcW w:w="236" w:type="dxa"/>
            <w:tcBorders>
              <w:top w:val="nil"/>
            </w:tcBorders>
            <w:vAlign w:val="bottom"/>
          </w:tcPr>
          <w:p w14:paraId="0BB2E18D" w14:textId="77777777" w:rsidR="00361651" w:rsidRDefault="00361651" w:rsidP="009709A2">
            <w:pPr>
              <w:pStyle w:val="IASBTableBoldArial"/>
            </w:pPr>
          </w:p>
        </w:tc>
        <w:tc>
          <w:tcPr>
            <w:tcW w:w="7225" w:type="dxa"/>
            <w:tcBorders>
              <w:top w:val="nil"/>
              <w:left w:val="nil"/>
            </w:tcBorders>
            <w:vAlign w:val="bottom"/>
          </w:tcPr>
          <w:p w14:paraId="0BB2E18E" w14:textId="77777777" w:rsidR="00361651" w:rsidRDefault="00361651" w:rsidP="00B01AC0">
            <w:pPr>
              <w:pStyle w:val="IASBTableBoldArial"/>
              <w:ind w:left="681" w:hanging="397"/>
            </w:pPr>
            <w:r>
              <w:t>7B</w:t>
            </w:r>
            <w:r w:rsidR="006B51A4">
              <w:t> </w:t>
            </w:r>
            <w:r>
              <w:t>Non-controlling interests measured initially at fair value and the related subsidiary is a stand-alone cash-generating unit</w:t>
            </w:r>
          </w:p>
        </w:tc>
        <w:tc>
          <w:tcPr>
            <w:tcW w:w="1697" w:type="dxa"/>
            <w:tcBorders>
              <w:top w:val="nil"/>
              <w:left w:val="nil"/>
            </w:tcBorders>
            <w:vAlign w:val="bottom"/>
          </w:tcPr>
          <w:p w14:paraId="0BB2E18F" w14:textId="77777777" w:rsidR="00361651" w:rsidRDefault="00361651" w:rsidP="009709A2">
            <w:pPr>
              <w:pStyle w:val="IASBTableBoldArial"/>
              <w:jc w:val="right"/>
            </w:pPr>
            <w:r>
              <w:t>IE68A</w:t>
            </w:r>
          </w:p>
        </w:tc>
        <w:tc>
          <w:tcPr>
            <w:tcW w:w="236" w:type="dxa"/>
            <w:tcBorders>
              <w:top w:val="nil"/>
              <w:left w:val="nil"/>
            </w:tcBorders>
            <w:vAlign w:val="bottom"/>
          </w:tcPr>
          <w:p w14:paraId="0BB2E190" w14:textId="77777777" w:rsidR="00361651" w:rsidRDefault="00361651" w:rsidP="009709A2">
            <w:pPr>
              <w:pStyle w:val="IASBTableBoldArial"/>
            </w:pPr>
          </w:p>
        </w:tc>
      </w:tr>
      <w:tr w:rsidR="00361651" w14:paraId="0BB2E196" w14:textId="77777777" w:rsidTr="009709A2">
        <w:trPr>
          <w:cantSplit/>
        </w:trPr>
        <w:tc>
          <w:tcPr>
            <w:tcW w:w="236" w:type="dxa"/>
            <w:tcBorders>
              <w:top w:val="nil"/>
            </w:tcBorders>
            <w:vAlign w:val="bottom"/>
          </w:tcPr>
          <w:p w14:paraId="0BB2E192" w14:textId="77777777" w:rsidR="00361651" w:rsidRDefault="00361651" w:rsidP="009709A2">
            <w:pPr>
              <w:pStyle w:val="IASBTableBoldArial"/>
            </w:pPr>
          </w:p>
        </w:tc>
        <w:tc>
          <w:tcPr>
            <w:tcW w:w="7225" w:type="dxa"/>
            <w:tcBorders>
              <w:top w:val="nil"/>
              <w:left w:val="nil"/>
            </w:tcBorders>
            <w:vAlign w:val="bottom"/>
          </w:tcPr>
          <w:p w14:paraId="0BB2E193" w14:textId="77777777" w:rsidR="00361651" w:rsidRDefault="00361651" w:rsidP="00B01AC0">
            <w:pPr>
              <w:pStyle w:val="IASBTableBoldArial"/>
              <w:ind w:left="681" w:hanging="397"/>
            </w:pPr>
            <w:r>
              <w:t>7C</w:t>
            </w:r>
            <w:r w:rsidR="006B51A4">
              <w:t> </w:t>
            </w:r>
            <w:r>
              <w:t>Non-controlling interests measured initially at fair value and the related subsidiary is part of a larger cash-generating unit</w:t>
            </w:r>
          </w:p>
        </w:tc>
        <w:tc>
          <w:tcPr>
            <w:tcW w:w="1697" w:type="dxa"/>
            <w:tcBorders>
              <w:top w:val="nil"/>
              <w:left w:val="nil"/>
            </w:tcBorders>
            <w:vAlign w:val="bottom"/>
          </w:tcPr>
          <w:p w14:paraId="0BB2E194" w14:textId="77777777" w:rsidR="00361651" w:rsidRDefault="00361651" w:rsidP="009709A2">
            <w:pPr>
              <w:pStyle w:val="IASBTableBoldArial"/>
              <w:jc w:val="right"/>
            </w:pPr>
            <w:r>
              <w:t>IE68F</w:t>
            </w:r>
          </w:p>
        </w:tc>
        <w:tc>
          <w:tcPr>
            <w:tcW w:w="236" w:type="dxa"/>
            <w:tcBorders>
              <w:top w:val="nil"/>
              <w:left w:val="nil"/>
            </w:tcBorders>
            <w:vAlign w:val="bottom"/>
          </w:tcPr>
          <w:p w14:paraId="0BB2E195" w14:textId="77777777" w:rsidR="00361651" w:rsidRDefault="00361651" w:rsidP="009709A2">
            <w:pPr>
              <w:pStyle w:val="IASBTableBoldArial"/>
            </w:pPr>
          </w:p>
        </w:tc>
      </w:tr>
      <w:tr w:rsidR="00361651" w14:paraId="0BB2E19B" w14:textId="77777777" w:rsidTr="009709A2">
        <w:trPr>
          <w:cantSplit/>
        </w:trPr>
        <w:tc>
          <w:tcPr>
            <w:tcW w:w="236" w:type="dxa"/>
            <w:tcBorders>
              <w:top w:val="nil"/>
            </w:tcBorders>
            <w:vAlign w:val="bottom"/>
          </w:tcPr>
          <w:p w14:paraId="0BB2E197" w14:textId="77777777" w:rsidR="00361651" w:rsidRDefault="00361651" w:rsidP="009709A2">
            <w:pPr>
              <w:pStyle w:val="IASBTableBoldArial"/>
            </w:pPr>
          </w:p>
        </w:tc>
        <w:tc>
          <w:tcPr>
            <w:tcW w:w="7225" w:type="dxa"/>
            <w:tcBorders>
              <w:top w:val="nil"/>
              <w:left w:val="nil"/>
            </w:tcBorders>
            <w:vAlign w:val="bottom"/>
          </w:tcPr>
          <w:p w14:paraId="0BB2E198" w14:textId="77777777" w:rsidR="00361651" w:rsidRDefault="00361651" w:rsidP="009709A2">
            <w:pPr>
              <w:pStyle w:val="IASBTableBoldArial"/>
            </w:pPr>
            <w:r>
              <w:t>8</w:t>
            </w:r>
            <w:r>
              <w:t> </w:t>
            </w:r>
            <w:r>
              <w:t>ALLOCATION OF CORPORATE ASSETS</w:t>
            </w:r>
          </w:p>
        </w:tc>
        <w:tc>
          <w:tcPr>
            <w:tcW w:w="1697" w:type="dxa"/>
            <w:tcBorders>
              <w:top w:val="nil"/>
              <w:left w:val="nil"/>
            </w:tcBorders>
            <w:vAlign w:val="bottom"/>
          </w:tcPr>
          <w:p w14:paraId="0BB2E199" w14:textId="77777777" w:rsidR="00361651" w:rsidRDefault="00361651" w:rsidP="009709A2">
            <w:pPr>
              <w:pStyle w:val="IASBTableBoldArial"/>
              <w:jc w:val="right"/>
            </w:pPr>
            <w:r>
              <w:t>IE69</w:t>
            </w:r>
          </w:p>
        </w:tc>
        <w:tc>
          <w:tcPr>
            <w:tcW w:w="236" w:type="dxa"/>
            <w:tcBorders>
              <w:top w:val="nil"/>
              <w:left w:val="nil"/>
            </w:tcBorders>
            <w:vAlign w:val="bottom"/>
          </w:tcPr>
          <w:p w14:paraId="0BB2E19A" w14:textId="77777777" w:rsidR="00361651" w:rsidRDefault="00361651" w:rsidP="009709A2">
            <w:pPr>
              <w:pStyle w:val="IASBTableBoldArial"/>
            </w:pPr>
          </w:p>
        </w:tc>
      </w:tr>
      <w:tr w:rsidR="00361651" w14:paraId="0BB2E1A0" w14:textId="77777777" w:rsidTr="009709A2">
        <w:trPr>
          <w:cantSplit/>
        </w:trPr>
        <w:tc>
          <w:tcPr>
            <w:tcW w:w="236" w:type="dxa"/>
            <w:tcBorders>
              <w:top w:val="nil"/>
            </w:tcBorders>
            <w:vAlign w:val="bottom"/>
          </w:tcPr>
          <w:p w14:paraId="0BB2E19C" w14:textId="77777777" w:rsidR="00361651" w:rsidRDefault="00361651" w:rsidP="009709A2">
            <w:pPr>
              <w:pStyle w:val="IASBTableBoldArial"/>
            </w:pPr>
          </w:p>
        </w:tc>
        <w:tc>
          <w:tcPr>
            <w:tcW w:w="7225" w:type="dxa"/>
            <w:tcBorders>
              <w:top w:val="nil"/>
              <w:left w:val="nil"/>
            </w:tcBorders>
            <w:vAlign w:val="bottom"/>
          </w:tcPr>
          <w:p w14:paraId="0BB2E19D" w14:textId="77777777" w:rsidR="00361651" w:rsidRDefault="00361651" w:rsidP="008F3988">
            <w:pPr>
              <w:pStyle w:val="IASBTableBoldArial"/>
              <w:ind w:left="284" w:hanging="284"/>
            </w:pPr>
            <w:r>
              <w:t>9</w:t>
            </w:r>
            <w:r>
              <w:t> </w:t>
            </w:r>
            <w:r>
              <w:t>DISCLOSURES ABOUT CASH-GENERATING UNITS WITH GOODWILL OR INTANGIBLE ASSETS WITH INDEFINITE USEFUL LIVES</w:t>
            </w:r>
          </w:p>
        </w:tc>
        <w:tc>
          <w:tcPr>
            <w:tcW w:w="1697" w:type="dxa"/>
            <w:tcBorders>
              <w:top w:val="nil"/>
              <w:left w:val="nil"/>
            </w:tcBorders>
            <w:vAlign w:val="bottom"/>
          </w:tcPr>
          <w:p w14:paraId="0BB2E19E" w14:textId="77777777" w:rsidR="00361651" w:rsidRDefault="00361651" w:rsidP="009709A2">
            <w:pPr>
              <w:pStyle w:val="IASBTableBoldArial"/>
              <w:jc w:val="right"/>
            </w:pPr>
            <w:r>
              <w:t>IE80</w:t>
            </w:r>
          </w:p>
        </w:tc>
        <w:tc>
          <w:tcPr>
            <w:tcW w:w="236" w:type="dxa"/>
            <w:tcBorders>
              <w:top w:val="nil"/>
              <w:left w:val="nil"/>
            </w:tcBorders>
            <w:vAlign w:val="bottom"/>
          </w:tcPr>
          <w:p w14:paraId="0BB2E19F" w14:textId="77777777" w:rsidR="00361651" w:rsidRDefault="00361651" w:rsidP="009709A2">
            <w:pPr>
              <w:pStyle w:val="IASBTableBoldArial"/>
            </w:pPr>
          </w:p>
        </w:tc>
      </w:tr>
    </w:tbl>
    <w:p w14:paraId="0BB2E1A1" w14:textId="4B930981" w:rsidR="00361651" w:rsidRDefault="00361651" w:rsidP="00361651">
      <w:pPr>
        <w:pStyle w:val="IASBNormalnpara"/>
      </w:pPr>
    </w:p>
    <w:p w14:paraId="62E07726" w14:textId="556E502C" w:rsidR="00B01AC0" w:rsidRDefault="00B01AC0">
      <w:pPr>
        <w:rPr>
          <w:szCs w:val="20"/>
        </w:rPr>
      </w:pPr>
      <w:r>
        <w:br w:type="page"/>
      </w:r>
    </w:p>
    <w:p w14:paraId="0BB2E1A2" w14:textId="5847CC1D" w:rsidR="00361651" w:rsidRDefault="00361651" w:rsidP="00B01AC0">
      <w:pPr>
        <w:pStyle w:val="ConvSectionTitle"/>
        <w:keepNext w:val="0"/>
        <w:keepLines w:val="0"/>
      </w:pPr>
      <w:r>
        <w:lastRenderedPageBreak/>
        <w:t>Illustrative examples</w:t>
      </w:r>
    </w:p>
    <w:p w14:paraId="0BB2E1A3" w14:textId="77777777" w:rsidR="00361651" w:rsidRDefault="00361651" w:rsidP="00361651">
      <w:pPr>
        <w:pStyle w:val="IASBNote"/>
      </w:pPr>
      <w:r>
        <w:t>These examples accompany, but are not part of,</w:t>
      </w:r>
      <w:r w:rsidR="002D17D4">
        <w:t xml:space="preserve"> AASB 136</w:t>
      </w:r>
      <w:r>
        <w:t>. All the examples assume that the entities concerned have no transactions other than those described. In the examples monetary amounts are denominated in ‘currency units (CU)’.</w:t>
      </w:r>
    </w:p>
    <w:p w14:paraId="0BB2E1A4" w14:textId="6518B353" w:rsidR="00361651" w:rsidRDefault="00361651" w:rsidP="00361651">
      <w:pPr>
        <w:pStyle w:val="IASBSectionTitle1NonInd"/>
      </w:pPr>
      <w:r>
        <w:t>Example 1</w:t>
      </w:r>
      <w:r w:rsidR="00B01AC0">
        <w:t xml:space="preserve"> </w:t>
      </w:r>
      <w:r>
        <w:t xml:space="preserve"> Identification of cash-generating units</w:t>
      </w:r>
    </w:p>
    <w:p w14:paraId="0BB2E1A5" w14:textId="77777777" w:rsidR="00361651" w:rsidRDefault="00361651" w:rsidP="00361651">
      <w:pPr>
        <w:pStyle w:val="IASBNormal"/>
      </w:pPr>
      <w:r>
        <w:rPr>
          <w:i/>
        </w:rPr>
        <w:t>The purpose of this example is:</w:t>
      </w:r>
    </w:p>
    <w:p w14:paraId="0BB2E1A6" w14:textId="77777777" w:rsidR="00361651" w:rsidRDefault="00361651" w:rsidP="00361651">
      <w:pPr>
        <w:pStyle w:val="IASBNormalL1"/>
      </w:pPr>
      <w:r>
        <w:t>(a)</w:t>
      </w:r>
      <w:r>
        <w:tab/>
      </w:r>
      <w:r>
        <w:rPr>
          <w:i/>
        </w:rPr>
        <w:t>to indicate how cash-generating units are identified in various situations; and</w:t>
      </w:r>
    </w:p>
    <w:p w14:paraId="0BB2E1A7" w14:textId="77777777" w:rsidR="00361651" w:rsidRDefault="00361651" w:rsidP="00361651">
      <w:pPr>
        <w:pStyle w:val="IASBNormalL1"/>
      </w:pPr>
      <w:r>
        <w:t>(b)</w:t>
      </w:r>
      <w:r>
        <w:tab/>
      </w:r>
      <w:r>
        <w:rPr>
          <w:i/>
        </w:rPr>
        <w:t xml:space="preserve">to highlight certain factors that an entity may consider in identifying the cash-generating unit to which an asset belongs. </w:t>
      </w:r>
    </w:p>
    <w:p w14:paraId="0BB2E1A8" w14:textId="7FA4716F" w:rsidR="00361651" w:rsidRDefault="00361651" w:rsidP="00361651">
      <w:pPr>
        <w:pStyle w:val="IASBSectionTitle2Ind"/>
      </w:pPr>
      <w:r>
        <w:t xml:space="preserve">A </w:t>
      </w:r>
      <w:r w:rsidR="00B01AC0">
        <w:t xml:space="preserve"> </w:t>
      </w:r>
      <w:r>
        <w:t>Retail store chain</w:t>
      </w:r>
    </w:p>
    <w:p w14:paraId="0BB2E1A9" w14:textId="77777777" w:rsidR="00361651" w:rsidRDefault="00361651" w:rsidP="00361651">
      <w:pPr>
        <w:pStyle w:val="IASBSectionTitle3Ind"/>
      </w:pPr>
      <w:r>
        <w:t>Background</w:t>
      </w:r>
    </w:p>
    <w:p w14:paraId="0BB2E1AA" w14:textId="77777777" w:rsidR="00361651" w:rsidRDefault="00361651" w:rsidP="00361651">
      <w:pPr>
        <w:pStyle w:val="IASBNormalnpara"/>
      </w:pPr>
      <w:r>
        <w:t>IE1</w:t>
      </w:r>
      <w:r>
        <w:tab/>
        <w:t xml:space="preserve">Store X belongs to a retail store chain M. X makes all its retail purchases through M’s purchasing centre. Pricing, marketing, advertising and human resources policies (except for hiring X’s cashiers and sales staff) are decided by M. M also owns five other stores in the same city as X (although in different neighbourhoods) and 20 other stores in other cities. All stores are managed in the same way as X. X and four other stores were purchased five years ago and goodwill was recognised. </w:t>
      </w:r>
    </w:p>
    <w:p w14:paraId="0BB2E1AB" w14:textId="77777777" w:rsidR="00361651" w:rsidRDefault="00361651" w:rsidP="00361651">
      <w:pPr>
        <w:pStyle w:val="IASBNormalnparaP"/>
      </w:pPr>
      <w:r>
        <w:t>What is the cash-generating unit for X (X’s cash-generating unit)?</w:t>
      </w:r>
    </w:p>
    <w:p w14:paraId="0BB2E1AC" w14:textId="77777777" w:rsidR="00361651" w:rsidRDefault="00361651" w:rsidP="00361651">
      <w:pPr>
        <w:pStyle w:val="IASBSectionTitle3Ind"/>
      </w:pPr>
      <w:r>
        <w:t>Analysis</w:t>
      </w:r>
    </w:p>
    <w:p w14:paraId="0BB2E1AD" w14:textId="77777777" w:rsidR="00361651" w:rsidRDefault="00361651" w:rsidP="00361651">
      <w:pPr>
        <w:pStyle w:val="IASBNormalnpara"/>
      </w:pPr>
      <w:r>
        <w:t>IE2</w:t>
      </w:r>
      <w:r>
        <w:tab/>
        <w:t xml:space="preserve">In identifying X’s cash-generating unit, an entity considers whether, for example: </w:t>
      </w:r>
    </w:p>
    <w:p w14:paraId="0BB2E1AE" w14:textId="77777777" w:rsidR="00361651" w:rsidRDefault="00361651" w:rsidP="00361651">
      <w:pPr>
        <w:pStyle w:val="IASBNormalnparaL1"/>
      </w:pPr>
      <w:r>
        <w:t>(a)</w:t>
      </w:r>
      <w:r>
        <w:tab/>
        <w:t>internal management reporting is organised to measure performance on a store-by-store basis; and</w:t>
      </w:r>
    </w:p>
    <w:p w14:paraId="0BB2E1AF" w14:textId="77777777" w:rsidR="00361651" w:rsidRDefault="00361651" w:rsidP="00361651">
      <w:pPr>
        <w:pStyle w:val="IASBNormalnparaL1"/>
      </w:pPr>
      <w:r>
        <w:t>(b)</w:t>
      </w:r>
      <w:r>
        <w:tab/>
        <w:t>the business is run on a store-by-store profit basis or on a region/city basis.</w:t>
      </w:r>
    </w:p>
    <w:p w14:paraId="0BB2E1B0" w14:textId="77777777" w:rsidR="00361651" w:rsidRDefault="00361651" w:rsidP="00361651">
      <w:pPr>
        <w:pStyle w:val="IASBNormalnpara"/>
      </w:pPr>
      <w:r>
        <w:t>IE3</w:t>
      </w:r>
      <w:r>
        <w:tab/>
        <w:t xml:space="preserve">All M’s stores are in different neighbourhoods and probably have different customer bases. So, although X is managed at a corporate level, X generates cash inflows that are largely independent of those of M’s other stores. Therefore, it is likely that X is a cash-generating unit. </w:t>
      </w:r>
    </w:p>
    <w:p w14:paraId="0BB2E1B1" w14:textId="77777777" w:rsidR="00361651" w:rsidRDefault="00361651" w:rsidP="00361651">
      <w:pPr>
        <w:pStyle w:val="IASBNormalnpara"/>
      </w:pPr>
      <w:r>
        <w:t>IE4</w:t>
      </w:r>
      <w:r>
        <w:tab/>
        <w:t>If X’s cash-generating unit represents the lowest level within M at which the goodwill is monitored for internal management purposes, M applies to that cash-generating unit the impairment test described in paragraph 90 of</w:t>
      </w:r>
      <w:r w:rsidR="002D17D4">
        <w:t xml:space="preserve"> AASB 136</w:t>
      </w:r>
      <w:r>
        <w:t>. If information about the carrying amount of goodwill is not available and monitored for internal management purposes at the level of X’s cash-generating unit, M applies to that cash-generating unit the impairment test described in paragraph 88 of</w:t>
      </w:r>
      <w:r w:rsidR="002D17D4">
        <w:t xml:space="preserve"> AASB 136</w:t>
      </w:r>
      <w:r>
        <w:t>.</w:t>
      </w:r>
    </w:p>
    <w:p w14:paraId="0BB2E1B2" w14:textId="62A099F2" w:rsidR="00361651" w:rsidRDefault="00361651" w:rsidP="00361651">
      <w:pPr>
        <w:pStyle w:val="IASBSectionTitle2Ind"/>
      </w:pPr>
      <w:r>
        <w:t xml:space="preserve">B </w:t>
      </w:r>
      <w:r w:rsidR="00B01AC0">
        <w:t xml:space="preserve"> </w:t>
      </w:r>
      <w:r>
        <w:t>Plant for an intermediate step in a production process</w:t>
      </w:r>
    </w:p>
    <w:p w14:paraId="0BB2E1B3" w14:textId="77777777" w:rsidR="00361651" w:rsidRDefault="00361651" w:rsidP="00361651">
      <w:pPr>
        <w:pStyle w:val="IASBSectionTitle3Ind"/>
      </w:pPr>
      <w:r>
        <w:t>Background</w:t>
      </w:r>
    </w:p>
    <w:p w14:paraId="0BB2E1B4" w14:textId="77777777" w:rsidR="00361651" w:rsidRDefault="00361651" w:rsidP="00361651">
      <w:pPr>
        <w:pStyle w:val="IASBNormalnpara"/>
      </w:pPr>
      <w:r>
        <w:t>IE5</w:t>
      </w:r>
      <w:r>
        <w:tab/>
        <w:t xml:space="preserve">A significant raw material used for plant Y’s final production is an intermediate product bought from plant X of the same entity. X’s products are sold to Y at a transfer price that passes all margins to X. Eighty per cent of Y’s final production is sold to customers outside of the entity. Sixty per cent of X’s final production is sold to Y and the remaining 40 per cent is sold to customers outside of the entity. </w:t>
      </w:r>
    </w:p>
    <w:p w14:paraId="0BB2E1B5" w14:textId="77777777" w:rsidR="00361651" w:rsidRDefault="00361651" w:rsidP="00361651">
      <w:pPr>
        <w:pStyle w:val="IASBNormalnparaP"/>
      </w:pPr>
      <w:r>
        <w:t>For each of the following cases, what are the cash-generating units for X and Y?</w:t>
      </w:r>
    </w:p>
    <w:p w14:paraId="0BB2E1B6" w14:textId="77777777" w:rsidR="00361651" w:rsidRDefault="00361651" w:rsidP="00361651">
      <w:pPr>
        <w:pStyle w:val="IASBNormalnparaP"/>
      </w:pPr>
      <w:r>
        <w:t>Case 1: X could sell the products it sells to Y in an active market. Internal transfer prices are higher than market prices.</w:t>
      </w:r>
    </w:p>
    <w:p w14:paraId="0BB2E1B7" w14:textId="77777777" w:rsidR="00361651" w:rsidRDefault="00361651" w:rsidP="00361651">
      <w:pPr>
        <w:pStyle w:val="IASBNormalnparaP"/>
      </w:pPr>
      <w:r>
        <w:t>Case 2: There is no active market for the products X sells to Y.</w:t>
      </w:r>
    </w:p>
    <w:p w14:paraId="0BB2E1B8" w14:textId="77777777" w:rsidR="00361651" w:rsidRDefault="00361651" w:rsidP="00361651">
      <w:pPr>
        <w:pStyle w:val="IASBSectionTitle3Ind"/>
      </w:pPr>
      <w:r>
        <w:lastRenderedPageBreak/>
        <w:t>Analysis</w:t>
      </w:r>
    </w:p>
    <w:p w14:paraId="0BB2E1B9" w14:textId="77777777" w:rsidR="00361651" w:rsidRDefault="00361651" w:rsidP="00361651">
      <w:pPr>
        <w:pStyle w:val="IASBSectionTitle4Ind"/>
      </w:pPr>
      <w:r>
        <w:t>Case 1</w:t>
      </w:r>
    </w:p>
    <w:p w14:paraId="0BB2E1BA" w14:textId="77777777" w:rsidR="00361651" w:rsidRDefault="00361651" w:rsidP="00361651">
      <w:pPr>
        <w:pStyle w:val="IASBNormalnpara"/>
      </w:pPr>
      <w:r>
        <w:t>IE6</w:t>
      </w:r>
      <w:r>
        <w:tab/>
        <w:t>X could sell its products in an active market and, so, generate cash inflows that would be largely independent of the cash inflows from Y. Therefore, it is likely that X is a separate cash-generating unit, although part of its production is used by Y (see paragraph 70 of</w:t>
      </w:r>
      <w:r w:rsidR="002D17D4">
        <w:t xml:space="preserve"> AASB 136</w:t>
      </w:r>
      <w:r>
        <w:t>).</w:t>
      </w:r>
    </w:p>
    <w:p w14:paraId="0BB2E1BB" w14:textId="77777777" w:rsidR="00361651" w:rsidRDefault="00361651" w:rsidP="00361651">
      <w:pPr>
        <w:pStyle w:val="IASBNormalnpara"/>
      </w:pPr>
      <w:r>
        <w:t>IE7</w:t>
      </w:r>
      <w:r>
        <w:tab/>
        <w:t>It is likely that Y is also a separate cash-generating unit. Y sells 80 per cent of its products to customers outside of the entity. Therefore, its cash inflows can be regarded as largely independent.</w:t>
      </w:r>
    </w:p>
    <w:p w14:paraId="0BB2E1BC" w14:textId="77777777" w:rsidR="00361651" w:rsidRDefault="00361651" w:rsidP="00361651">
      <w:pPr>
        <w:pStyle w:val="IASBNormalnpara"/>
      </w:pPr>
      <w:r>
        <w:t>IE8</w:t>
      </w:r>
      <w:r>
        <w:tab/>
        <w:t>Internal transfer prices do not reflect market prices for X’s output. Therefore, in determining value in use of both X and Y, the entity adjusts financial budgets/forecasts to reflect management’s best estimate of future prices that could be achieved in arm’s length transactions for those of X’s products that are used internally (see paragraph 70 of</w:t>
      </w:r>
      <w:r w:rsidR="002D17D4">
        <w:t xml:space="preserve"> AASB 136</w:t>
      </w:r>
      <w:r>
        <w:t>).</w:t>
      </w:r>
    </w:p>
    <w:p w14:paraId="0BB2E1BD" w14:textId="77777777" w:rsidR="00361651" w:rsidRDefault="00361651" w:rsidP="00361651">
      <w:pPr>
        <w:pStyle w:val="IASBSectionTitle4Ind"/>
      </w:pPr>
      <w:r>
        <w:t>Case 2</w:t>
      </w:r>
    </w:p>
    <w:p w14:paraId="0BB2E1BE" w14:textId="77777777" w:rsidR="00361651" w:rsidRDefault="00361651" w:rsidP="00361651">
      <w:pPr>
        <w:pStyle w:val="IASBNormalnpara"/>
      </w:pPr>
      <w:r>
        <w:t>IE9</w:t>
      </w:r>
      <w:r>
        <w:tab/>
        <w:t xml:space="preserve">It is likely that the recoverable amount of each plant cannot be assessed independently of the recoverable amount of the other plant because: </w:t>
      </w:r>
    </w:p>
    <w:p w14:paraId="0BB2E1BF" w14:textId="77777777" w:rsidR="00361651" w:rsidRDefault="00361651" w:rsidP="00361651">
      <w:pPr>
        <w:pStyle w:val="IASBNormalnparaL1"/>
      </w:pPr>
      <w:r>
        <w:t>(a)</w:t>
      </w:r>
      <w:r>
        <w:tab/>
        <w:t>the majority of X’s production is used internally and could not be sold in an active market. So, cash inflows of X depend on demand for Y’s products. Therefore, X cannot be considered to generate cash inflows that are largely independent of those of Y.</w:t>
      </w:r>
    </w:p>
    <w:p w14:paraId="0BB2E1C0" w14:textId="77777777" w:rsidR="00361651" w:rsidRDefault="00361651" w:rsidP="00361651">
      <w:pPr>
        <w:pStyle w:val="IASBNormalnparaL1"/>
      </w:pPr>
      <w:r>
        <w:t>(b)</w:t>
      </w:r>
      <w:r>
        <w:tab/>
        <w:t>the two plants are managed together.</w:t>
      </w:r>
    </w:p>
    <w:p w14:paraId="0BB2E1C1" w14:textId="77777777" w:rsidR="00361651" w:rsidRDefault="00361651" w:rsidP="00361651">
      <w:pPr>
        <w:pStyle w:val="IASBNormalnpara"/>
      </w:pPr>
      <w:r>
        <w:t>IE10</w:t>
      </w:r>
      <w:r>
        <w:tab/>
        <w:t>As a consequence, it is likely that X and Y together are the smallest group of assets that generates cash inflows that are largely independent.</w:t>
      </w:r>
    </w:p>
    <w:p w14:paraId="0BB2E1C2" w14:textId="6D2AE69D" w:rsidR="00361651" w:rsidRDefault="00361651" w:rsidP="00361651">
      <w:pPr>
        <w:pStyle w:val="IASBSectionTitle2Ind"/>
      </w:pPr>
      <w:r>
        <w:t>C</w:t>
      </w:r>
      <w:r w:rsidR="002D54B2">
        <w:t xml:space="preserve"> </w:t>
      </w:r>
      <w:r>
        <w:t xml:space="preserve"> Single product entity</w:t>
      </w:r>
    </w:p>
    <w:p w14:paraId="0BB2E1C3" w14:textId="77777777" w:rsidR="00361651" w:rsidRDefault="00361651" w:rsidP="00361651">
      <w:pPr>
        <w:pStyle w:val="IASBSectionTitle3Ind"/>
      </w:pPr>
      <w:r>
        <w:t>Background</w:t>
      </w:r>
    </w:p>
    <w:p w14:paraId="0BB2E1C4" w14:textId="77777777" w:rsidR="00361651" w:rsidRDefault="00361651" w:rsidP="00361651">
      <w:pPr>
        <w:pStyle w:val="IASBNormalnpara"/>
      </w:pPr>
      <w:r>
        <w:t>IE11</w:t>
      </w:r>
      <w:r>
        <w:tab/>
        <w:t>Entity M produces a single product and owns plants A, B and C. Each plant is located in a different continent. A produces a component that is assembled in either B or C. The combined capacity of B and C is not fully utilised. M’s products are sold worldwide from either B or C. For example, B’s production can be sold in C’s continent if the products can be delivered faster from B than from C. Utilisation levels of B and C depend on the allocation of sales between the two sites.</w:t>
      </w:r>
    </w:p>
    <w:p w14:paraId="0BB2E1C5" w14:textId="77777777" w:rsidR="00361651" w:rsidRDefault="00361651" w:rsidP="00361651">
      <w:pPr>
        <w:pStyle w:val="IASBNormalnparaP"/>
      </w:pPr>
      <w:r>
        <w:t>For each of the following cases, what are the cash-generating units for A, B and C?</w:t>
      </w:r>
    </w:p>
    <w:p w14:paraId="0BB2E1C6" w14:textId="77777777" w:rsidR="00361651" w:rsidRDefault="00361651" w:rsidP="00361651">
      <w:pPr>
        <w:pStyle w:val="IASBNormalnparaP"/>
      </w:pPr>
      <w:r>
        <w:t>Case 1: There is an active market for A’s products.</w:t>
      </w:r>
    </w:p>
    <w:p w14:paraId="0BB2E1C7" w14:textId="77777777" w:rsidR="00361651" w:rsidRDefault="00361651" w:rsidP="00361651">
      <w:pPr>
        <w:pStyle w:val="IASBNormalnparaP"/>
      </w:pPr>
      <w:r>
        <w:t>Case 2: There is no active market for A’s products.</w:t>
      </w:r>
    </w:p>
    <w:p w14:paraId="0BB2E1C8" w14:textId="77777777" w:rsidR="00361651" w:rsidRDefault="00361651" w:rsidP="00361651">
      <w:pPr>
        <w:pStyle w:val="IASBSectionTitle3Ind"/>
      </w:pPr>
      <w:r>
        <w:t>Analysis</w:t>
      </w:r>
    </w:p>
    <w:p w14:paraId="0BB2E1C9" w14:textId="77777777" w:rsidR="00361651" w:rsidRDefault="00361651" w:rsidP="00361651">
      <w:pPr>
        <w:pStyle w:val="IASBSectionTitle4Ind"/>
      </w:pPr>
      <w:r>
        <w:t>Case 1</w:t>
      </w:r>
    </w:p>
    <w:p w14:paraId="0BB2E1CA" w14:textId="77777777" w:rsidR="00361651" w:rsidRDefault="00361651" w:rsidP="00361651">
      <w:pPr>
        <w:pStyle w:val="IASBNormalnpara"/>
      </w:pPr>
      <w:r>
        <w:t>IE12</w:t>
      </w:r>
      <w:r>
        <w:tab/>
        <w:t xml:space="preserve">It is likely that A is a separate cash-generating unit because there is an active market for its products (see Example B – Plant for an intermediate step in a production process, Case 1). </w:t>
      </w:r>
    </w:p>
    <w:p w14:paraId="0BB2E1CB" w14:textId="77777777" w:rsidR="00361651" w:rsidRDefault="00361651" w:rsidP="00361651">
      <w:pPr>
        <w:pStyle w:val="IASBNormalnpara"/>
      </w:pPr>
      <w:r>
        <w:t>IE13</w:t>
      </w:r>
      <w:r>
        <w:tab/>
        <w:t>Although there is an active market for the products assembled by B and C, cash inflows for B and C depend on the allocation of production across the two sites. It is unlikely that the future cash inflows for B and C can be determined individually. Therefore, it is likely that B and C together are the smallest identifiable group of assets that generates cash inflows that are largely independent.</w:t>
      </w:r>
    </w:p>
    <w:p w14:paraId="0BB2E1CC" w14:textId="77777777" w:rsidR="00361651" w:rsidRDefault="00361651" w:rsidP="00361651">
      <w:pPr>
        <w:pStyle w:val="IASBNormalnpara"/>
      </w:pPr>
      <w:r>
        <w:t>IE14</w:t>
      </w:r>
      <w:r>
        <w:tab/>
        <w:t>In determining the value in use of A and B plus C, M adjusts financial budgets/forecasts to reflect its best estimate of future prices that could be achieved in arm’s length transactions for A’s products (see paragraph 70 of</w:t>
      </w:r>
      <w:r w:rsidR="002D17D4">
        <w:t xml:space="preserve"> AASB 136</w:t>
      </w:r>
      <w:r>
        <w:t>).</w:t>
      </w:r>
    </w:p>
    <w:p w14:paraId="0BB2E1CD" w14:textId="77777777" w:rsidR="00361651" w:rsidRDefault="00361651" w:rsidP="00361651">
      <w:pPr>
        <w:pStyle w:val="IASBSectionTitle4Ind"/>
      </w:pPr>
      <w:r>
        <w:t>Case 2</w:t>
      </w:r>
    </w:p>
    <w:p w14:paraId="0BB2E1CE" w14:textId="77777777" w:rsidR="00361651" w:rsidRDefault="00361651" w:rsidP="00361651">
      <w:pPr>
        <w:pStyle w:val="IASBNormalnpara"/>
      </w:pPr>
      <w:r>
        <w:t>IE15</w:t>
      </w:r>
      <w:r>
        <w:tab/>
        <w:t xml:space="preserve">It is likely that the recoverable amount of each plant cannot be assessed independently because: </w:t>
      </w:r>
    </w:p>
    <w:p w14:paraId="0BB2E1CF" w14:textId="77777777" w:rsidR="00361651" w:rsidRDefault="00361651" w:rsidP="00361651">
      <w:pPr>
        <w:pStyle w:val="IASBNormalnparaL1"/>
      </w:pPr>
      <w:r>
        <w:t>(a)</w:t>
      </w:r>
      <w:r>
        <w:tab/>
        <w:t>there is no active market for A’s products. Therefore, A’s cash inflows depend on sales of the final product by B and C.</w:t>
      </w:r>
    </w:p>
    <w:p w14:paraId="0BB2E1D0" w14:textId="77777777" w:rsidR="00361651" w:rsidRDefault="00361651" w:rsidP="00361651">
      <w:pPr>
        <w:pStyle w:val="IASBNormalnparaL1"/>
      </w:pPr>
      <w:r>
        <w:lastRenderedPageBreak/>
        <w:t>(b)</w:t>
      </w:r>
      <w:r>
        <w:tab/>
        <w:t>although there is an active market for the products assembled by B and C, cash inflows for B and C depend on the allocation of production across the two sites. It is unlikely that the future cash inflows for B and C can be determined individually.</w:t>
      </w:r>
    </w:p>
    <w:p w14:paraId="0BB2E1D1" w14:textId="77777777" w:rsidR="00361651" w:rsidRDefault="00361651" w:rsidP="00361651">
      <w:pPr>
        <w:pStyle w:val="IASBNormalnpara"/>
      </w:pPr>
      <w:r>
        <w:t>IE16</w:t>
      </w:r>
      <w:r>
        <w:tab/>
        <w:t>As a consequence, it is likely that A, B and C together (ie M as a whole) are the smallest identifiable group of assets that generates cash inflows that are largely independent.</w:t>
      </w:r>
    </w:p>
    <w:p w14:paraId="0BB2E1D2" w14:textId="21DE049B" w:rsidR="00361651" w:rsidRDefault="00361651" w:rsidP="00361651">
      <w:pPr>
        <w:pStyle w:val="IASBSectionTitle2Ind"/>
      </w:pPr>
      <w:r>
        <w:t xml:space="preserve">D </w:t>
      </w:r>
      <w:r w:rsidR="002D54B2">
        <w:t xml:space="preserve"> </w:t>
      </w:r>
      <w:r>
        <w:t>Magazine titles</w:t>
      </w:r>
    </w:p>
    <w:p w14:paraId="0BB2E1D3" w14:textId="77777777" w:rsidR="00361651" w:rsidRDefault="00361651" w:rsidP="00361651">
      <w:pPr>
        <w:pStyle w:val="IASBSectionTitle3Ind"/>
      </w:pPr>
      <w:r>
        <w:t>Background</w:t>
      </w:r>
    </w:p>
    <w:p w14:paraId="0BB2E1D4" w14:textId="77777777" w:rsidR="00361651" w:rsidRDefault="00361651" w:rsidP="00361651">
      <w:pPr>
        <w:pStyle w:val="IASBNormalnpara"/>
      </w:pPr>
      <w:r>
        <w:t>IE17</w:t>
      </w:r>
      <w:r>
        <w:tab/>
        <w:t>A publisher owns 150 magazine titles of which 70 were purchased and 80 were self-created. The price paid for a purchased magazine title is recognised as an intangible asset. The costs of creating magazine titles and maintaining the existing titles are recognised as an expense when incurred. Cash inflows from direct sales and advertising are identifiable for each magazine title. Titles are managed by customer segments. The level of advertising income for a magazine title depends on the range of titles in the customer segment to which the magazine title relates. Management has a policy to abandon old titles before the end of their economic lives and replace them immediately with new titles for the same customer segment.</w:t>
      </w:r>
    </w:p>
    <w:p w14:paraId="0BB2E1D5" w14:textId="77777777" w:rsidR="00361651" w:rsidRDefault="00361651" w:rsidP="00361651">
      <w:pPr>
        <w:pStyle w:val="IASBNormalnparaP"/>
      </w:pPr>
      <w:r>
        <w:t>What is the cash-generating unit for an individual magazine title?</w:t>
      </w:r>
    </w:p>
    <w:p w14:paraId="0BB2E1D6" w14:textId="77777777" w:rsidR="00361651" w:rsidRDefault="00361651" w:rsidP="00361651">
      <w:pPr>
        <w:pStyle w:val="IASBSectionTitle3Ind"/>
      </w:pPr>
      <w:r>
        <w:t>Analysis</w:t>
      </w:r>
    </w:p>
    <w:p w14:paraId="0BB2E1D7" w14:textId="77777777" w:rsidR="00361651" w:rsidRDefault="00361651" w:rsidP="00361651">
      <w:pPr>
        <w:pStyle w:val="IASBNormalnpara"/>
      </w:pPr>
      <w:r>
        <w:t>IE18</w:t>
      </w:r>
      <w:r>
        <w:tab/>
        <w:t xml:space="preserve">It is likely that the recoverable amount of an individual magazine title can be assessed. Even though the level of advertising income for a title is influenced, to a certain extent, by the other titles in the customer segment, cash inflows from direct sales and advertising are identifiable for each title. In addition, although titles are managed by customer segments, decisions to abandon titles are made on an individual title basis. </w:t>
      </w:r>
    </w:p>
    <w:p w14:paraId="0BB2E1D8" w14:textId="77777777" w:rsidR="00361651" w:rsidRDefault="00361651" w:rsidP="00361651">
      <w:pPr>
        <w:pStyle w:val="IASBNormalnpara"/>
      </w:pPr>
      <w:r>
        <w:t>IE19</w:t>
      </w:r>
      <w:r>
        <w:tab/>
        <w:t>Therefore, it is likely that individual magazine titles generate cash inflows that are largely independent of each other and that each magazine title is a separate cash-generating unit.</w:t>
      </w:r>
    </w:p>
    <w:p w14:paraId="0BB2E1D9" w14:textId="5D63739E" w:rsidR="00361651" w:rsidRDefault="00361651" w:rsidP="00361651">
      <w:pPr>
        <w:pStyle w:val="IASBSectionTitle2Ind"/>
      </w:pPr>
      <w:r>
        <w:t xml:space="preserve">E </w:t>
      </w:r>
      <w:r w:rsidR="002D54B2">
        <w:t xml:space="preserve"> </w:t>
      </w:r>
      <w:r>
        <w:t>Building half-rented to others and half-occupied for own use</w:t>
      </w:r>
    </w:p>
    <w:p w14:paraId="0BB2E1DA" w14:textId="77777777" w:rsidR="00361651" w:rsidRDefault="00361651" w:rsidP="00361651">
      <w:pPr>
        <w:pStyle w:val="IASBSectionTitle3Ind"/>
      </w:pPr>
      <w:r>
        <w:t>Background</w:t>
      </w:r>
    </w:p>
    <w:p w14:paraId="0BB2E1DB" w14:textId="77777777" w:rsidR="00361651" w:rsidRDefault="00361651" w:rsidP="00361651">
      <w:pPr>
        <w:pStyle w:val="IASBNormalnpara"/>
      </w:pPr>
      <w:r>
        <w:t>IE20</w:t>
      </w:r>
      <w:r>
        <w:tab/>
        <w:t xml:space="preserve">M is a manufacturing company. It owns a headquarters building that used to be fully occupied for internal use. After down-sizing, half of the building is now used internally and half rented to third parties. The lease agreement with the tenant is for five years. </w:t>
      </w:r>
    </w:p>
    <w:p w14:paraId="0BB2E1DC" w14:textId="77777777" w:rsidR="00361651" w:rsidRDefault="00361651" w:rsidP="00361651">
      <w:pPr>
        <w:pStyle w:val="IASBNormalnparaP"/>
      </w:pPr>
      <w:r>
        <w:t>What is the cash-generating unit of the building?</w:t>
      </w:r>
    </w:p>
    <w:p w14:paraId="0BB2E1DD" w14:textId="77777777" w:rsidR="00361651" w:rsidRDefault="00361651" w:rsidP="00361651">
      <w:pPr>
        <w:pStyle w:val="IASBSectionTitle3Ind"/>
      </w:pPr>
      <w:r>
        <w:t>Analysis</w:t>
      </w:r>
    </w:p>
    <w:p w14:paraId="0BB2E1DE" w14:textId="77777777" w:rsidR="00361651" w:rsidRDefault="00361651" w:rsidP="00361651">
      <w:pPr>
        <w:pStyle w:val="IASBNormalnpara"/>
      </w:pPr>
      <w:r>
        <w:t>IE21</w:t>
      </w:r>
      <w:r>
        <w:tab/>
        <w:t>The primary purpose of the building is to serve as a corporate asset, supporting M’s manufacturing activities. Therefore, the building as a whole cannot be considered to generate cash inflows that are largely independent of the cash inflows from the entity as a whole. So, it is likely that the cash-generating unit for the building is M as a whole.</w:t>
      </w:r>
    </w:p>
    <w:p w14:paraId="0BB2E1DF" w14:textId="77777777" w:rsidR="00361651" w:rsidRDefault="00361651" w:rsidP="00361651">
      <w:pPr>
        <w:pStyle w:val="IASBNormalnpara"/>
      </w:pPr>
      <w:r>
        <w:t>IE22</w:t>
      </w:r>
      <w:r>
        <w:tab/>
        <w:t>The building is not held as an investment. Therefore, it would not be appropriate to determine the value in use of the building based on projections of future market related rents.</w:t>
      </w:r>
    </w:p>
    <w:p w14:paraId="0BB2E1E0" w14:textId="77777777" w:rsidR="00361651" w:rsidRDefault="00361651" w:rsidP="00361651">
      <w:pPr>
        <w:pStyle w:val="IASBSectionTitle1NonInd"/>
      </w:pPr>
      <w:r>
        <w:t>Example 2</w:t>
      </w:r>
      <w:r>
        <w:t> </w:t>
      </w:r>
      <w:r>
        <w:t>Calculation of value in use and recognition of an impairment loss</w:t>
      </w:r>
    </w:p>
    <w:p w14:paraId="0BB2E1E1" w14:textId="77777777" w:rsidR="00361651" w:rsidRDefault="00361651" w:rsidP="00361651">
      <w:pPr>
        <w:pStyle w:val="IASBNormal"/>
      </w:pPr>
      <w:r>
        <w:rPr>
          <w:i/>
        </w:rPr>
        <w:t>In this example, tax effects are ignored.</w:t>
      </w:r>
    </w:p>
    <w:p w14:paraId="0BB2E1E2" w14:textId="77777777" w:rsidR="00361651" w:rsidRDefault="00361651" w:rsidP="00361651">
      <w:pPr>
        <w:pStyle w:val="IASBSectionTitle3Ind"/>
      </w:pPr>
      <w:r>
        <w:t>Background and calculation of value in use</w:t>
      </w:r>
    </w:p>
    <w:p w14:paraId="0BB2E1E3" w14:textId="77777777" w:rsidR="00361651" w:rsidRDefault="00361651" w:rsidP="00361651">
      <w:pPr>
        <w:pStyle w:val="IASBNormalnpara"/>
      </w:pPr>
      <w:r>
        <w:t>IE23</w:t>
      </w:r>
      <w:r>
        <w:tab/>
        <w:t xml:space="preserve">At the end of 20X0, entity T acquires entity M for CU10,000. M has manufacturing plants in three countries. </w:t>
      </w:r>
    </w:p>
    <w:p w14:paraId="0BB2E1E4" w14:textId="77777777" w:rsidR="00361651" w:rsidRDefault="00361651" w:rsidP="008B0F69">
      <w:pPr>
        <w:pStyle w:val="IASBNormalnparaP"/>
        <w:keepNext/>
      </w:pPr>
      <w:r>
        <w:lastRenderedPageBreak/>
        <w:t>Schedule 1. Data at the end of 20X0</w:t>
      </w:r>
    </w:p>
    <w:p w14:paraId="0BB2E1E5" w14:textId="77777777" w:rsidR="00361651" w:rsidRDefault="00361651" w:rsidP="008B0F69">
      <w:pPr>
        <w:pStyle w:val="IASBNormalnpara"/>
        <w:keepNext/>
      </w:pPr>
    </w:p>
    <w:tbl>
      <w:tblPr>
        <w:tblW w:w="0" w:type="auto"/>
        <w:tblInd w:w="964" w:type="dxa"/>
        <w:tblLayout w:type="fixed"/>
        <w:tblLook w:val="0000" w:firstRow="0" w:lastRow="0" w:firstColumn="0" w:lastColumn="0" w:noHBand="0" w:noVBand="0"/>
        <w:tblCaption w:val="AASB 136 Table 9"/>
      </w:tblPr>
      <w:tblGrid>
        <w:gridCol w:w="3694"/>
        <w:gridCol w:w="1456"/>
        <w:gridCol w:w="455"/>
        <w:gridCol w:w="1092"/>
        <w:gridCol w:w="455"/>
        <w:gridCol w:w="1092"/>
      </w:tblGrid>
      <w:tr w:rsidR="00361651" w14:paraId="0BB2E1EA" w14:textId="77777777" w:rsidTr="009709A2">
        <w:trPr>
          <w:cantSplit/>
          <w:tblHeader/>
        </w:trPr>
        <w:tc>
          <w:tcPr>
            <w:tcW w:w="3694" w:type="dxa"/>
          </w:tcPr>
          <w:p w14:paraId="0BB2E1E6" w14:textId="77777777" w:rsidR="00361651" w:rsidRDefault="00361651" w:rsidP="002D54B2">
            <w:pPr>
              <w:pStyle w:val="IASBTableHeaderArial"/>
              <w:spacing w:after="120"/>
            </w:pPr>
            <w:r>
              <w:rPr>
                <w:b/>
                <w:i/>
                <w:sz w:val="15"/>
              </w:rPr>
              <w:t>End of 20X0</w:t>
            </w:r>
          </w:p>
        </w:tc>
        <w:tc>
          <w:tcPr>
            <w:tcW w:w="1456" w:type="dxa"/>
            <w:tcBorders>
              <w:left w:val="nil"/>
            </w:tcBorders>
          </w:tcPr>
          <w:p w14:paraId="0BB2E1E7" w14:textId="77777777" w:rsidR="00361651" w:rsidRDefault="00361651" w:rsidP="002D54B2">
            <w:pPr>
              <w:pStyle w:val="IASBTableHeaderArial"/>
              <w:spacing w:after="120"/>
              <w:jc w:val="right"/>
            </w:pPr>
            <w:r>
              <w:rPr>
                <w:b/>
                <w:i/>
                <w:sz w:val="15"/>
              </w:rPr>
              <w:t>Allocation of purchase price</w:t>
            </w:r>
          </w:p>
        </w:tc>
        <w:tc>
          <w:tcPr>
            <w:tcW w:w="1547" w:type="dxa"/>
            <w:gridSpan w:val="2"/>
            <w:tcBorders>
              <w:left w:val="nil"/>
            </w:tcBorders>
          </w:tcPr>
          <w:p w14:paraId="0BB2E1E8" w14:textId="77777777" w:rsidR="00361651" w:rsidRDefault="00361651" w:rsidP="002D54B2">
            <w:pPr>
              <w:pStyle w:val="IASBTableHeaderArial"/>
              <w:spacing w:after="120"/>
              <w:jc w:val="right"/>
            </w:pPr>
            <w:r>
              <w:rPr>
                <w:b/>
                <w:i/>
                <w:sz w:val="15"/>
              </w:rPr>
              <w:t>Fair value of identifiable assets</w:t>
            </w:r>
          </w:p>
        </w:tc>
        <w:tc>
          <w:tcPr>
            <w:tcW w:w="1547" w:type="dxa"/>
            <w:gridSpan w:val="2"/>
            <w:tcBorders>
              <w:left w:val="nil"/>
            </w:tcBorders>
          </w:tcPr>
          <w:p w14:paraId="0BB2E1E9" w14:textId="77777777" w:rsidR="00361651" w:rsidRDefault="00361651" w:rsidP="002D54B2">
            <w:pPr>
              <w:pStyle w:val="IASBTableHeaderArial"/>
              <w:spacing w:after="120"/>
              <w:jc w:val="right"/>
            </w:pPr>
            <w:r>
              <w:rPr>
                <w:b/>
                <w:i/>
                <w:sz w:val="15"/>
              </w:rPr>
              <w:t>Goodwill</w:t>
            </w:r>
            <w:r>
              <w:rPr>
                <w:b/>
                <w:vertAlign w:val="superscript"/>
              </w:rPr>
              <w:t>(a)</w:t>
            </w:r>
          </w:p>
        </w:tc>
      </w:tr>
      <w:tr w:rsidR="00361651" w14:paraId="0BB2E1F1" w14:textId="77777777" w:rsidTr="009709A2">
        <w:trPr>
          <w:cantSplit/>
          <w:tblHeader/>
        </w:trPr>
        <w:tc>
          <w:tcPr>
            <w:tcW w:w="3694" w:type="dxa"/>
            <w:tcBorders>
              <w:top w:val="nil"/>
            </w:tcBorders>
            <w:vAlign w:val="bottom"/>
          </w:tcPr>
          <w:p w14:paraId="0BB2E1EB" w14:textId="77777777" w:rsidR="00361651" w:rsidRDefault="00361651" w:rsidP="002D54B2">
            <w:pPr>
              <w:pStyle w:val="IASBTableHeaderArial"/>
              <w:spacing w:after="120"/>
            </w:pPr>
          </w:p>
        </w:tc>
        <w:tc>
          <w:tcPr>
            <w:tcW w:w="1456" w:type="dxa"/>
            <w:tcBorders>
              <w:top w:val="nil"/>
              <w:left w:val="nil"/>
            </w:tcBorders>
          </w:tcPr>
          <w:p w14:paraId="0BB2E1EC" w14:textId="77777777" w:rsidR="00361651" w:rsidRDefault="00361651" w:rsidP="002D54B2">
            <w:pPr>
              <w:pStyle w:val="IASBTableHeaderArial"/>
              <w:spacing w:after="120"/>
              <w:jc w:val="right"/>
            </w:pPr>
            <w:r>
              <w:rPr>
                <w:b/>
                <w:sz w:val="15"/>
              </w:rPr>
              <w:t>CU</w:t>
            </w:r>
          </w:p>
        </w:tc>
        <w:tc>
          <w:tcPr>
            <w:tcW w:w="455" w:type="dxa"/>
            <w:tcBorders>
              <w:top w:val="nil"/>
              <w:left w:val="nil"/>
            </w:tcBorders>
            <w:vAlign w:val="bottom"/>
          </w:tcPr>
          <w:p w14:paraId="0BB2E1ED" w14:textId="77777777" w:rsidR="00361651" w:rsidRDefault="00361651" w:rsidP="002D54B2">
            <w:pPr>
              <w:pStyle w:val="IASBTableHeaderArial"/>
              <w:spacing w:after="120"/>
            </w:pPr>
          </w:p>
        </w:tc>
        <w:tc>
          <w:tcPr>
            <w:tcW w:w="1092" w:type="dxa"/>
            <w:tcBorders>
              <w:top w:val="nil"/>
              <w:left w:val="nil"/>
            </w:tcBorders>
          </w:tcPr>
          <w:p w14:paraId="0BB2E1EE" w14:textId="77777777" w:rsidR="00361651" w:rsidRDefault="00361651" w:rsidP="002D54B2">
            <w:pPr>
              <w:pStyle w:val="IASBTableHeaderArial"/>
              <w:spacing w:after="120"/>
              <w:jc w:val="right"/>
            </w:pPr>
            <w:r>
              <w:rPr>
                <w:b/>
                <w:sz w:val="15"/>
              </w:rPr>
              <w:t>CU</w:t>
            </w:r>
          </w:p>
        </w:tc>
        <w:tc>
          <w:tcPr>
            <w:tcW w:w="455" w:type="dxa"/>
            <w:tcBorders>
              <w:top w:val="nil"/>
              <w:left w:val="nil"/>
            </w:tcBorders>
          </w:tcPr>
          <w:p w14:paraId="0BB2E1EF" w14:textId="77777777" w:rsidR="00361651" w:rsidRDefault="00361651" w:rsidP="002D54B2">
            <w:pPr>
              <w:pStyle w:val="IASBTableHeaderArial"/>
              <w:spacing w:after="120"/>
              <w:jc w:val="right"/>
            </w:pPr>
          </w:p>
        </w:tc>
        <w:tc>
          <w:tcPr>
            <w:tcW w:w="1092" w:type="dxa"/>
            <w:tcBorders>
              <w:top w:val="nil"/>
              <w:left w:val="nil"/>
            </w:tcBorders>
          </w:tcPr>
          <w:p w14:paraId="0BB2E1F0" w14:textId="77777777" w:rsidR="00361651" w:rsidRDefault="00361651" w:rsidP="002D54B2">
            <w:pPr>
              <w:pStyle w:val="IASBTableHeaderArial"/>
              <w:spacing w:after="120"/>
              <w:jc w:val="right"/>
            </w:pPr>
            <w:r>
              <w:rPr>
                <w:b/>
                <w:sz w:val="15"/>
              </w:rPr>
              <w:t>CU</w:t>
            </w:r>
          </w:p>
        </w:tc>
      </w:tr>
      <w:tr w:rsidR="00361651" w14:paraId="0BB2E1F8" w14:textId="77777777" w:rsidTr="009709A2">
        <w:trPr>
          <w:cantSplit/>
        </w:trPr>
        <w:tc>
          <w:tcPr>
            <w:tcW w:w="3694" w:type="dxa"/>
            <w:tcBorders>
              <w:top w:val="nil"/>
            </w:tcBorders>
          </w:tcPr>
          <w:p w14:paraId="0BB2E1F2" w14:textId="77777777" w:rsidR="00361651" w:rsidRDefault="00361651" w:rsidP="009709A2">
            <w:pPr>
              <w:pStyle w:val="IASBTableArial"/>
            </w:pPr>
            <w:r>
              <w:t>Activities in Country A</w:t>
            </w:r>
          </w:p>
        </w:tc>
        <w:tc>
          <w:tcPr>
            <w:tcW w:w="1456" w:type="dxa"/>
            <w:tcBorders>
              <w:top w:val="nil"/>
              <w:left w:val="nil"/>
            </w:tcBorders>
            <w:vAlign w:val="bottom"/>
          </w:tcPr>
          <w:p w14:paraId="0BB2E1F3" w14:textId="77777777" w:rsidR="00361651" w:rsidRDefault="00361651" w:rsidP="009709A2">
            <w:pPr>
              <w:pStyle w:val="IASBTableArial"/>
              <w:jc w:val="right"/>
            </w:pPr>
            <w:r>
              <w:t>3,000</w:t>
            </w:r>
          </w:p>
        </w:tc>
        <w:tc>
          <w:tcPr>
            <w:tcW w:w="455" w:type="dxa"/>
            <w:tcBorders>
              <w:top w:val="nil"/>
              <w:left w:val="nil"/>
            </w:tcBorders>
            <w:vAlign w:val="bottom"/>
          </w:tcPr>
          <w:p w14:paraId="0BB2E1F4" w14:textId="77777777" w:rsidR="00361651" w:rsidRDefault="00361651" w:rsidP="009709A2">
            <w:pPr>
              <w:pStyle w:val="IASBTableArial"/>
            </w:pPr>
          </w:p>
        </w:tc>
        <w:tc>
          <w:tcPr>
            <w:tcW w:w="1092" w:type="dxa"/>
            <w:tcBorders>
              <w:top w:val="nil"/>
              <w:left w:val="nil"/>
            </w:tcBorders>
            <w:vAlign w:val="bottom"/>
          </w:tcPr>
          <w:p w14:paraId="0BB2E1F5" w14:textId="77777777" w:rsidR="00361651" w:rsidRDefault="00361651" w:rsidP="009709A2">
            <w:pPr>
              <w:pStyle w:val="IASBTableArial"/>
              <w:jc w:val="right"/>
            </w:pPr>
            <w:r>
              <w:t>2,000</w:t>
            </w:r>
          </w:p>
        </w:tc>
        <w:tc>
          <w:tcPr>
            <w:tcW w:w="455" w:type="dxa"/>
            <w:tcBorders>
              <w:top w:val="nil"/>
              <w:left w:val="nil"/>
            </w:tcBorders>
            <w:vAlign w:val="bottom"/>
          </w:tcPr>
          <w:p w14:paraId="0BB2E1F6" w14:textId="77777777" w:rsidR="00361651" w:rsidRDefault="00361651" w:rsidP="009709A2">
            <w:pPr>
              <w:pStyle w:val="IASBTableArial"/>
            </w:pPr>
          </w:p>
        </w:tc>
        <w:tc>
          <w:tcPr>
            <w:tcW w:w="1092" w:type="dxa"/>
            <w:tcBorders>
              <w:top w:val="nil"/>
              <w:left w:val="nil"/>
            </w:tcBorders>
            <w:vAlign w:val="bottom"/>
          </w:tcPr>
          <w:p w14:paraId="0BB2E1F7" w14:textId="77777777" w:rsidR="00361651" w:rsidRDefault="00361651" w:rsidP="009709A2">
            <w:pPr>
              <w:pStyle w:val="IASBTableArial"/>
              <w:jc w:val="right"/>
            </w:pPr>
            <w:r>
              <w:t>1,000</w:t>
            </w:r>
          </w:p>
        </w:tc>
      </w:tr>
      <w:tr w:rsidR="00361651" w14:paraId="0BB2E1FF" w14:textId="77777777" w:rsidTr="009709A2">
        <w:trPr>
          <w:cantSplit/>
        </w:trPr>
        <w:tc>
          <w:tcPr>
            <w:tcW w:w="3694" w:type="dxa"/>
            <w:tcBorders>
              <w:top w:val="nil"/>
            </w:tcBorders>
          </w:tcPr>
          <w:p w14:paraId="0BB2E1F9" w14:textId="77777777" w:rsidR="00361651" w:rsidRDefault="00361651" w:rsidP="009709A2">
            <w:pPr>
              <w:pStyle w:val="IASBTableArial"/>
            </w:pPr>
            <w:r>
              <w:t>Activities in Country B</w:t>
            </w:r>
          </w:p>
        </w:tc>
        <w:tc>
          <w:tcPr>
            <w:tcW w:w="1456" w:type="dxa"/>
            <w:tcBorders>
              <w:top w:val="nil"/>
              <w:left w:val="nil"/>
            </w:tcBorders>
            <w:vAlign w:val="bottom"/>
          </w:tcPr>
          <w:p w14:paraId="0BB2E1FA" w14:textId="77777777" w:rsidR="00361651" w:rsidRDefault="00361651" w:rsidP="009709A2">
            <w:pPr>
              <w:pStyle w:val="IASBTableArial"/>
              <w:jc w:val="right"/>
            </w:pPr>
            <w:r>
              <w:t>2,000</w:t>
            </w:r>
          </w:p>
        </w:tc>
        <w:tc>
          <w:tcPr>
            <w:tcW w:w="455" w:type="dxa"/>
            <w:tcBorders>
              <w:top w:val="nil"/>
              <w:left w:val="nil"/>
            </w:tcBorders>
            <w:vAlign w:val="bottom"/>
          </w:tcPr>
          <w:p w14:paraId="0BB2E1FB" w14:textId="77777777" w:rsidR="00361651" w:rsidRDefault="00361651" w:rsidP="009709A2">
            <w:pPr>
              <w:pStyle w:val="IASBTableArial"/>
            </w:pPr>
          </w:p>
        </w:tc>
        <w:tc>
          <w:tcPr>
            <w:tcW w:w="1092" w:type="dxa"/>
            <w:tcBorders>
              <w:top w:val="nil"/>
              <w:left w:val="nil"/>
            </w:tcBorders>
            <w:vAlign w:val="bottom"/>
          </w:tcPr>
          <w:p w14:paraId="0BB2E1FC" w14:textId="77777777" w:rsidR="00361651" w:rsidRDefault="00361651" w:rsidP="009709A2">
            <w:pPr>
              <w:pStyle w:val="IASBTableArial"/>
              <w:jc w:val="right"/>
            </w:pPr>
            <w:r>
              <w:t>1,500</w:t>
            </w:r>
          </w:p>
        </w:tc>
        <w:tc>
          <w:tcPr>
            <w:tcW w:w="455" w:type="dxa"/>
            <w:tcBorders>
              <w:top w:val="nil"/>
              <w:left w:val="nil"/>
            </w:tcBorders>
            <w:vAlign w:val="bottom"/>
          </w:tcPr>
          <w:p w14:paraId="0BB2E1FD" w14:textId="77777777" w:rsidR="00361651" w:rsidRDefault="00361651" w:rsidP="009709A2">
            <w:pPr>
              <w:pStyle w:val="IASBTableArial"/>
            </w:pPr>
          </w:p>
        </w:tc>
        <w:tc>
          <w:tcPr>
            <w:tcW w:w="1092" w:type="dxa"/>
            <w:tcBorders>
              <w:top w:val="nil"/>
              <w:left w:val="nil"/>
            </w:tcBorders>
            <w:vAlign w:val="bottom"/>
          </w:tcPr>
          <w:p w14:paraId="0BB2E1FE" w14:textId="77777777" w:rsidR="00361651" w:rsidRDefault="00361651" w:rsidP="009709A2">
            <w:pPr>
              <w:pStyle w:val="IASBTableArial"/>
              <w:jc w:val="right"/>
            </w:pPr>
            <w:r>
              <w:t>500</w:t>
            </w:r>
          </w:p>
        </w:tc>
      </w:tr>
      <w:tr w:rsidR="00361651" w14:paraId="0BB2E206" w14:textId="77777777" w:rsidTr="009709A2">
        <w:trPr>
          <w:cantSplit/>
        </w:trPr>
        <w:tc>
          <w:tcPr>
            <w:tcW w:w="3694" w:type="dxa"/>
            <w:tcBorders>
              <w:top w:val="nil"/>
            </w:tcBorders>
          </w:tcPr>
          <w:p w14:paraId="0BB2E200" w14:textId="77777777" w:rsidR="00361651" w:rsidRDefault="00361651" w:rsidP="009709A2">
            <w:pPr>
              <w:pStyle w:val="IASBTableArial"/>
            </w:pPr>
            <w:r>
              <w:t>Activities in Country C</w:t>
            </w:r>
          </w:p>
        </w:tc>
        <w:tc>
          <w:tcPr>
            <w:tcW w:w="1456" w:type="dxa"/>
            <w:tcBorders>
              <w:top w:val="nil"/>
              <w:left w:val="nil"/>
              <w:bottom w:val="single" w:sz="4" w:space="0" w:color="auto"/>
            </w:tcBorders>
            <w:vAlign w:val="bottom"/>
          </w:tcPr>
          <w:p w14:paraId="0BB2E201" w14:textId="77777777" w:rsidR="00361651" w:rsidRDefault="00361651" w:rsidP="009709A2">
            <w:pPr>
              <w:pStyle w:val="IASBTableArial"/>
              <w:jc w:val="right"/>
            </w:pPr>
            <w:r>
              <w:t>5,000</w:t>
            </w:r>
          </w:p>
        </w:tc>
        <w:tc>
          <w:tcPr>
            <w:tcW w:w="455" w:type="dxa"/>
            <w:tcBorders>
              <w:top w:val="nil"/>
              <w:left w:val="nil"/>
            </w:tcBorders>
            <w:vAlign w:val="bottom"/>
          </w:tcPr>
          <w:p w14:paraId="0BB2E202" w14:textId="77777777" w:rsidR="00361651" w:rsidRDefault="00361651" w:rsidP="009709A2">
            <w:pPr>
              <w:pStyle w:val="IASBTableArial"/>
            </w:pPr>
          </w:p>
        </w:tc>
        <w:tc>
          <w:tcPr>
            <w:tcW w:w="1092" w:type="dxa"/>
            <w:tcBorders>
              <w:top w:val="nil"/>
              <w:left w:val="nil"/>
              <w:bottom w:val="single" w:sz="4" w:space="0" w:color="auto"/>
            </w:tcBorders>
            <w:vAlign w:val="bottom"/>
          </w:tcPr>
          <w:p w14:paraId="0BB2E203" w14:textId="77777777" w:rsidR="00361651" w:rsidRDefault="00361651" w:rsidP="009709A2">
            <w:pPr>
              <w:pStyle w:val="IASBTableArial"/>
              <w:jc w:val="right"/>
            </w:pPr>
            <w:r>
              <w:t>3,500</w:t>
            </w:r>
          </w:p>
        </w:tc>
        <w:tc>
          <w:tcPr>
            <w:tcW w:w="455" w:type="dxa"/>
            <w:tcBorders>
              <w:top w:val="nil"/>
              <w:left w:val="nil"/>
            </w:tcBorders>
            <w:vAlign w:val="bottom"/>
          </w:tcPr>
          <w:p w14:paraId="0BB2E204" w14:textId="77777777" w:rsidR="00361651" w:rsidRDefault="00361651" w:rsidP="009709A2">
            <w:pPr>
              <w:pStyle w:val="IASBTableArial"/>
            </w:pPr>
          </w:p>
        </w:tc>
        <w:tc>
          <w:tcPr>
            <w:tcW w:w="1092" w:type="dxa"/>
            <w:tcBorders>
              <w:top w:val="nil"/>
              <w:left w:val="nil"/>
              <w:bottom w:val="single" w:sz="4" w:space="0" w:color="auto"/>
            </w:tcBorders>
            <w:vAlign w:val="bottom"/>
          </w:tcPr>
          <w:p w14:paraId="0BB2E205" w14:textId="77777777" w:rsidR="00361651" w:rsidRDefault="00361651" w:rsidP="009709A2">
            <w:pPr>
              <w:pStyle w:val="IASBTableArial"/>
              <w:jc w:val="right"/>
            </w:pPr>
            <w:r>
              <w:t>1,500</w:t>
            </w:r>
          </w:p>
        </w:tc>
      </w:tr>
      <w:tr w:rsidR="00361651" w14:paraId="0BB2E20D" w14:textId="77777777" w:rsidTr="009709A2">
        <w:trPr>
          <w:cantSplit/>
        </w:trPr>
        <w:tc>
          <w:tcPr>
            <w:tcW w:w="3694" w:type="dxa"/>
            <w:tcBorders>
              <w:top w:val="nil"/>
            </w:tcBorders>
          </w:tcPr>
          <w:p w14:paraId="0BB2E207" w14:textId="77777777" w:rsidR="00361651" w:rsidRDefault="00361651" w:rsidP="009709A2">
            <w:pPr>
              <w:pStyle w:val="IASBTableArial"/>
            </w:pPr>
            <w:r>
              <w:t>Total</w:t>
            </w:r>
          </w:p>
        </w:tc>
        <w:tc>
          <w:tcPr>
            <w:tcW w:w="1456" w:type="dxa"/>
            <w:tcBorders>
              <w:top w:val="nil"/>
              <w:left w:val="nil"/>
              <w:bottom w:val="double" w:sz="4" w:space="0" w:color="auto"/>
            </w:tcBorders>
            <w:vAlign w:val="bottom"/>
          </w:tcPr>
          <w:p w14:paraId="0BB2E208" w14:textId="77777777" w:rsidR="00361651" w:rsidRDefault="00361651" w:rsidP="009709A2">
            <w:pPr>
              <w:pStyle w:val="IASBTableArial"/>
              <w:jc w:val="right"/>
            </w:pPr>
            <w:r>
              <w:t>10,000</w:t>
            </w:r>
          </w:p>
        </w:tc>
        <w:tc>
          <w:tcPr>
            <w:tcW w:w="455" w:type="dxa"/>
            <w:tcBorders>
              <w:top w:val="nil"/>
              <w:left w:val="nil"/>
            </w:tcBorders>
            <w:vAlign w:val="bottom"/>
          </w:tcPr>
          <w:p w14:paraId="0BB2E209" w14:textId="77777777" w:rsidR="00361651" w:rsidRDefault="00361651" w:rsidP="009709A2">
            <w:pPr>
              <w:pStyle w:val="IASBTableArial"/>
            </w:pPr>
          </w:p>
        </w:tc>
        <w:tc>
          <w:tcPr>
            <w:tcW w:w="1092" w:type="dxa"/>
            <w:tcBorders>
              <w:top w:val="nil"/>
              <w:left w:val="nil"/>
              <w:bottom w:val="double" w:sz="4" w:space="0" w:color="auto"/>
            </w:tcBorders>
            <w:vAlign w:val="bottom"/>
          </w:tcPr>
          <w:p w14:paraId="0BB2E20A" w14:textId="77777777" w:rsidR="00361651" w:rsidRDefault="00361651" w:rsidP="009709A2">
            <w:pPr>
              <w:pStyle w:val="IASBTableArial"/>
              <w:jc w:val="right"/>
            </w:pPr>
            <w:r>
              <w:t>7,000</w:t>
            </w:r>
          </w:p>
        </w:tc>
        <w:tc>
          <w:tcPr>
            <w:tcW w:w="455" w:type="dxa"/>
            <w:tcBorders>
              <w:top w:val="nil"/>
              <w:left w:val="nil"/>
            </w:tcBorders>
            <w:vAlign w:val="bottom"/>
          </w:tcPr>
          <w:p w14:paraId="0BB2E20B" w14:textId="77777777" w:rsidR="00361651" w:rsidRDefault="00361651" w:rsidP="009709A2">
            <w:pPr>
              <w:pStyle w:val="IASBTableArial"/>
            </w:pPr>
          </w:p>
        </w:tc>
        <w:tc>
          <w:tcPr>
            <w:tcW w:w="1092" w:type="dxa"/>
            <w:tcBorders>
              <w:top w:val="nil"/>
              <w:left w:val="nil"/>
              <w:bottom w:val="double" w:sz="4" w:space="0" w:color="auto"/>
            </w:tcBorders>
            <w:vAlign w:val="bottom"/>
          </w:tcPr>
          <w:p w14:paraId="0BB2E20C" w14:textId="77777777" w:rsidR="00361651" w:rsidRDefault="00361651" w:rsidP="009709A2">
            <w:pPr>
              <w:pStyle w:val="IASBTableArial"/>
              <w:jc w:val="right"/>
            </w:pPr>
            <w:r>
              <w:t>3,000</w:t>
            </w:r>
          </w:p>
        </w:tc>
      </w:tr>
      <w:tr w:rsidR="00361651" w14:paraId="0BB2E214" w14:textId="77777777" w:rsidTr="009709A2">
        <w:trPr>
          <w:cantSplit/>
        </w:trPr>
        <w:tc>
          <w:tcPr>
            <w:tcW w:w="3694" w:type="dxa"/>
            <w:tcBorders>
              <w:top w:val="nil"/>
            </w:tcBorders>
          </w:tcPr>
          <w:p w14:paraId="0BB2E20E" w14:textId="77777777" w:rsidR="00361651" w:rsidRDefault="00361651" w:rsidP="009709A2">
            <w:pPr>
              <w:pStyle w:val="IASBTableArial"/>
            </w:pPr>
          </w:p>
        </w:tc>
        <w:tc>
          <w:tcPr>
            <w:tcW w:w="1456" w:type="dxa"/>
            <w:tcBorders>
              <w:top w:val="nil"/>
              <w:left w:val="nil"/>
            </w:tcBorders>
            <w:vAlign w:val="bottom"/>
          </w:tcPr>
          <w:p w14:paraId="0BB2E20F" w14:textId="77777777" w:rsidR="00361651" w:rsidRDefault="00361651" w:rsidP="009709A2">
            <w:pPr>
              <w:pStyle w:val="IASBTableArial"/>
            </w:pPr>
          </w:p>
        </w:tc>
        <w:tc>
          <w:tcPr>
            <w:tcW w:w="455" w:type="dxa"/>
            <w:tcBorders>
              <w:top w:val="nil"/>
              <w:left w:val="nil"/>
            </w:tcBorders>
            <w:vAlign w:val="bottom"/>
          </w:tcPr>
          <w:p w14:paraId="0BB2E210" w14:textId="77777777" w:rsidR="00361651" w:rsidRDefault="00361651" w:rsidP="009709A2">
            <w:pPr>
              <w:pStyle w:val="IASBTableArial"/>
            </w:pPr>
          </w:p>
        </w:tc>
        <w:tc>
          <w:tcPr>
            <w:tcW w:w="1092" w:type="dxa"/>
            <w:tcBorders>
              <w:top w:val="nil"/>
              <w:left w:val="nil"/>
            </w:tcBorders>
            <w:vAlign w:val="bottom"/>
          </w:tcPr>
          <w:p w14:paraId="0BB2E211" w14:textId="77777777" w:rsidR="00361651" w:rsidRDefault="00361651" w:rsidP="009709A2">
            <w:pPr>
              <w:pStyle w:val="IASBTableArial"/>
            </w:pPr>
          </w:p>
        </w:tc>
        <w:tc>
          <w:tcPr>
            <w:tcW w:w="455" w:type="dxa"/>
            <w:tcBorders>
              <w:top w:val="nil"/>
              <w:left w:val="nil"/>
            </w:tcBorders>
            <w:vAlign w:val="bottom"/>
          </w:tcPr>
          <w:p w14:paraId="0BB2E212" w14:textId="77777777" w:rsidR="00361651" w:rsidRDefault="00361651" w:rsidP="009709A2">
            <w:pPr>
              <w:pStyle w:val="IASBTableArial"/>
            </w:pPr>
          </w:p>
        </w:tc>
        <w:tc>
          <w:tcPr>
            <w:tcW w:w="1092" w:type="dxa"/>
            <w:tcBorders>
              <w:top w:val="nil"/>
              <w:left w:val="nil"/>
            </w:tcBorders>
            <w:vAlign w:val="bottom"/>
          </w:tcPr>
          <w:p w14:paraId="0BB2E213" w14:textId="77777777" w:rsidR="00361651" w:rsidRDefault="00361651" w:rsidP="009709A2">
            <w:pPr>
              <w:pStyle w:val="IASBTableArial"/>
            </w:pPr>
          </w:p>
        </w:tc>
      </w:tr>
      <w:tr w:rsidR="00361651" w14:paraId="0BB2E216" w14:textId="77777777" w:rsidTr="009709A2">
        <w:trPr>
          <w:cantSplit/>
        </w:trPr>
        <w:tc>
          <w:tcPr>
            <w:tcW w:w="8244" w:type="dxa"/>
            <w:gridSpan w:val="6"/>
            <w:tcBorders>
              <w:top w:val="nil"/>
            </w:tcBorders>
            <w:vAlign w:val="bottom"/>
          </w:tcPr>
          <w:p w14:paraId="0BB2E215" w14:textId="77777777" w:rsidR="00361651" w:rsidRDefault="00361651" w:rsidP="00FC4CD4">
            <w:pPr>
              <w:pStyle w:val="IASBTableTNR"/>
              <w:ind w:left="397" w:hanging="397"/>
            </w:pPr>
            <w:r>
              <w:rPr>
                <w:rStyle w:val="FootnoteReference"/>
                <w:sz w:val="16"/>
                <w:vertAlign w:val="baseline"/>
              </w:rPr>
              <w:t>(a)</w:t>
            </w:r>
            <w:r>
              <w:t xml:space="preserve"> </w:t>
            </w:r>
            <w:r>
              <w:tab/>
            </w:r>
            <w:r>
              <w:rPr>
                <w:rStyle w:val="FootnoteReference"/>
                <w:sz w:val="16"/>
                <w:vertAlign w:val="baseline"/>
              </w:rPr>
              <w:t>Activities in each country represent the lowest level at which the goodwill is monitored for internal management purposes (determined as the difference between the purchase price of the activities in each country, as specified in the purchase agreement, and the fair value of the identifiable assets).</w:t>
            </w:r>
          </w:p>
        </w:tc>
      </w:tr>
    </w:tbl>
    <w:p w14:paraId="0BB2E217" w14:textId="77777777" w:rsidR="00361651" w:rsidRDefault="00361651" w:rsidP="00361651">
      <w:pPr>
        <w:pStyle w:val="IASBNormalnpara"/>
      </w:pPr>
    </w:p>
    <w:p w14:paraId="0BB2E218" w14:textId="77777777" w:rsidR="00361651" w:rsidRDefault="00361651" w:rsidP="00361651">
      <w:pPr>
        <w:pStyle w:val="IASBNormalnpara"/>
      </w:pPr>
      <w:r>
        <w:t>IE23A</w:t>
      </w:r>
      <w:r>
        <w:tab/>
        <w:t>Because goodwill has been allocated to the activities in each country, each of those activities must be tested for impairment annually or more frequently if there is any indication that it may be impaired (see paragraph 90 of</w:t>
      </w:r>
      <w:r w:rsidR="002D17D4">
        <w:t xml:space="preserve"> AASB 136</w:t>
      </w:r>
      <w:r>
        <w:t xml:space="preserve">). </w:t>
      </w:r>
    </w:p>
    <w:p w14:paraId="0BB2E219" w14:textId="77777777" w:rsidR="00361651" w:rsidRDefault="00361651" w:rsidP="00361651">
      <w:pPr>
        <w:pStyle w:val="IASBNormalnpara"/>
      </w:pPr>
      <w:r>
        <w:t>IE24</w:t>
      </w:r>
      <w:r>
        <w:tab/>
        <w:t>The recoverable amounts (ie higher of value in use and fair value less costs of disposal) of the cash-generating units are determined on the basis of value in use calculations. At the end of 20X0 and 20X1, the value in use of each cash-generating unit exceeds its carrying amount. Therefore the activities in each country and the goodwill allocated to those activities are regarded as not impaired.</w:t>
      </w:r>
    </w:p>
    <w:p w14:paraId="0BB2E21A" w14:textId="77777777" w:rsidR="00361651" w:rsidRDefault="00361651" w:rsidP="00361651">
      <w:pPr>
        <w:pStyle w:val="IASBNormalnpara"/>
      </w:pPr>
      <w:r>
        <w:t>IE25</w:t>
      </w:r>
      <w:r>
        <w:tab/>
        <w:t xml:space="preserve">At the beginning of 20X2, a new government is elected in Country A. It passes legislation significantly restricting exports of T’s main product. As a result, and for the foreseeable future, T’s production in Country A will be cut by 40 per cent. </w:t>
      </w:r>
    </w:p>
    <w:p w14:paraId="0BB2E21B" w14:textId="77777777" w:rsidR="00361651" w:rsidRDefault="00361651" w:rsidP="00361651">
      <w:pPr>
        <w:pStyle w:val="IASBNormalnpara"/>
      </w:pPr>
      <w:r>
        <w:t>IE26</w:t>
      </w:r>
      <w:r>
        <w:tab/>
        <w:t xml:space="preserve">The significant export restriction and the resulting production decrease require T also to estimate the recoverable amount of the Country A operations at the beginning of 20X2. </w:t>
      </w:r>
    </w:p>
    <w:p w14:paraId="0BB2E21C" w14:textId="77777777" w:rsidR="00361651" w:rsidRDefault="00361651" w:rsidP="00361651">
      <w:pPr>
        <w:pStyle w:val="IASBNormalnpara"/>
      </w:pPr>
      <w:r>
        <w:t>IE27</w:t>
      </w:r>
      <w:r>
        <w:tab/>
        <w:t xml:space="preserve">T uses straight-line depreciation over a 12-year life for the Country A identifiable assets and anticipates no residual value. </w:t>
      </w:r>
    </w:p>
    <w:p w14:paraId="0BB2E21D" w14:textId="77777777" w:rsidR="00361651" w:rsidRDefault="00361651" w:rsidP="00361651">
      <w:pPr>
        <w:pStyle w:val="IASBNormalnpara"/>
      </w:pPr>
      <w:r>
        <w:t>IE28</w:t>
      </w:r>
      <w:r>
        <w:tab/>
        <w:t xml:space="preserve">To determine the value in use for the Country A cash-generating unit (see Schedule 2), T: </w:t>
      </w:r>
    </w:p>
    <w:p w14:paraId="0BB2E21E" w14:textId="77777777" w:rsidR="00361651" w:rsidRDefault="00361651" w:rsidP="00361651">
      <w:pPr>
        <w:pStyle w:val="IASBNormalnparaL1"/>
      </w:pPr>
      <w:r>
        <w:t>(a)</w:t>
      </w:r>
      <w:r>
        <w:tab/>
        <w:t>prepares cash flow forecasts derived from the most recent financial budgets/forecasts for the next five years (years 20X2–20X6) approved by management.</w:t>
      </w:r>
    </w:p>
    <w:p w14:paraId="0BB2E21F" w14:textId="77777777" w:rsidR="00361651" w:rsidRDefault="00361651" w:rsidP="00361651">
      <w:pPr>
        <w:pStyle w:val="IASBNormalnparaL1"/>
      </w:pPr>
      <w:r>
        <w:t>(b)</w:t>
      </w:r>
      <w:r>
        <w:tab/>
        <w:t>estimates subsequent cash flows (years 20X7–20Y2) based on declining growth rates. The growth rate for 20X7 is estimated to be 3 per cent. This rate is lower than the average long-term growth rate for the market in Country A.</w:t>
      </w:r>
    </w:p>
    <w:p w14:paraId="0BB2E220" w14:textId="77777777" w:rsidR="00361651" w:rsidRDefault="00361651" w:rsidP="00361651">
      <w:pPr>
        <w:pStyle w:val="IASBNormalnparaL1"/>
      </w:pPr>
      <w:r>
        <w:t>(c)</w:t>
      </w:r>
      <w:r>
        <w:tab/>
        <w:t>selects a 15 per cent discount rate, which represents a pre-tax rate that reflects current market assessments of the time value of money and the risks specific to the Country A cash-generating unit.</w:t>
      </w:r>
    </w:p>
    <w:p w14:paraId="0BB2E221" w14:textId="77777777" w:rsidR="00361651" w:rsidRDefault="00361651" w:rsidP="00361651">
      <w:pPr>
        <w:pStyle w:val="IASBSectionTitle3Ind"/>
      </w:pPr>
      <w:r>
        <w:t>Recognition and measurement of impairment loss</w:t>
      </w:r>
    </w:p>
    <w:p w14:paraId="0BB2E222" w14:textId="77777777" w:rsidR="00361651" w:rsidRDefault="00361651" w:rsidP="00361651">
      <w:pPr>
        <w:pStyle w:val="IASBNormalnpara"/>
      </w:pPr>
      <w:r>
        <w:t>IE29</w:t>
      </w:r>
      <w:r>
        <w:tab/>
        <w:t xml:space="preserve">The recoverable amount of the Country A cash-generating unit is CU1,360. </w:t>
      </w:r>
    </w:p>
    <w:p w14:paraId="0BB2E223" w14:textId="77777777" w:rsidR="00361651" w:rsidRDefault="00361651" w:rsidP="00361651">
      <w:pPr>
        <w:pStyle w:val="IASBNormalnpara"/>
      </w:pPr>
      <w:r>
        <w:t>IE30</w:t>
      </w:r>
      <w:r>
        <w:tab/>
        <w:t xml:space="preserve">T compares the recoverable amount of the Country A cash-generating unit with its carrying amount (see Schedule 3). </w:t>
      </w:r>
    </w:p>
    <w:p w14:paraId="0BB2E224" w14:textId="77777777" w:rsidR="00361651" w:rsidRDefault="00361651" w:rsidP="00361651">
      <w:pPr>
        <w:pStyle w:val="IASBNormalnpara"/>
      </w:pPr>
      <w:r>
        <w:t>IE31</w:t>
      </w:r>
      <w:r>
        <w:tab/>
        <w:t>Because the carrying amount exceeds the recoverable amount by CU1,473, T recognises an impairment loss of CU1,473 immediately in profit or loss. The carrying amount of the goodwill that relates to the Country A operations is reduced to zero before reducing the carrying amount of other identifiable assets within the Country A cash-generating unit (see paragraph 104 of</w:t>
      </w:r>
      <w:r w:rsidR="002D17D4">
        <w:t xml:space="preserve"> AASB 136</w:t>
      </w:r>
      <w:r>
        <w:t xml:space="preserve">). </w:t>
      </w:r>
    </w:p>
    <w:p w14:paraId="0BB2E225" w14:textId="77777777" w:rsidR="00361651" w:rsidRDefault="00361651" w:rsidP="00361651">
      <w:pPr>
        <w:pStyle w:val="IASBNormalnpara"/>
      </w:pPr>
      <w:r>
        <w:t>IE32</w:t>
      </w:r>
      <w:r>
        <w:tab/>
        <w:t>Tax effects are accounted for separately in accordance with</w:t>
      </w:r>
      <w:r w:rsidR="002D17D4">
        <w:t xml:space="preserve"> AASB 112</w:t>
      </w:r>
      <w:r>
        <w:t xml:space="preserve"> </w:t>
      </w:r>
      <w:r>
        <w:rPr>
          <w:i/>
        </w:rPr>
        <w:t>Income Taxes</w:t>
      </w:r>
      <w:r>
        <w:t xml:space="preserve"> (see Illustrative Example 3A). </w:t>
      </w:r>
    </w:p>
    <w:p w14:paraId="0BB2E226" w14:textId="77777777" w:rsidR="00361651" w:rsidRDefault="00361651" w:rsidP="00FC4CD4">
      <w:pPr>
        <w:pStyle w:val="IASBNormalnparaP"/>
        <w:keepNext/>
      </w:pPr>
      <w:r>
        <w:lastRenderedPageBreak/>
        <w:t>Schedule 2. Calculation of the value in use of the Country A cash-generating unit at the beginning of 20X2</w:t>
      </w:r>
    </w:p>
    <w:p w14:paraId="0BB2E227" w14:textId="77777777" w:rsidR="00361651" w:rsidRDefault="00361651" w:rsidP="008B0F69">
      <w:pPr>
        <w:pStyle w:val="IASBNormalnpara"/>
        <w:keepNext/>
      </w:pPr>
    </w:p>
    <w:tbl>
      <w:tblPr>
        <w:tblW w:w="0" w:type="auto"/>
        <w:tblInd w:w="964" w:type="dxa"/>
        <w:tblLayout w:type="fixed"/>
        <w:tblLook w:val="0000" w:firstRow="0" w:lastRow="0" w:firstColumn="0" w:lastColumn="0" w:noHBand="0" w:noVBand="0"/>
        <w:tblCaption w:val="AASB 136 Table 10"/>
      </w:tblPr>
      <w:tblGrid>
        <w:gridCol w:w="1419"/>
        <w:gridCol w:w="1365"/>
        <w:gridCol w:w="455"/>
        <w:gridCol w:w="1365"/>
        <w:gridCol w:w="455"/>
        <w:gridCol w:w="1365"/>
        <w:gridCol w:w="455"/>
        <w:gridCol w:w="1365"/>
      </w:tblGrid>
      <w:tr w:rsidR="00361651" w14:paraId="0BB2E22D" w14:textId="77777777" w:rsidTr="009709A2">
        <w:trPr>
          <w:cantSplit/>
          <w:tblHeader/>
        </w:trPr>
        <w:tc>
          <w:tcPr>
            <w:tcW w:w="1419" w:type="dxa"/>
          </w:tcPr>
          <w:p w14:paraId="0BB2E228" w14:textId="77777777" w:rsidR="00361651" w:rsidRDefault="00361651" w:rsidP="002D54B2">
            <w:pPr>
              <w:pStyle w:val="IASBTableHeaderArial"/>
              <w:spacing w:after="120"/>
            </w:pPr>
            <w:r>
              <w:rPr>
                <w:rFonts w:ascii="Times New Roman" w:hAnsi="Times New Roman"/>
                <w:i/>
                <w:snapToGrid w:val="0"/>
                <w:sz w:val="16"/>
              </w:rPr>
              <w:t>Year</w:t>
            </w:r>
          </w:p>
        </w:tc>
        <w:tc>
          <w:tcPr>
            <w:tcW w:w="1365" w:type="dxa"/>
            <w:tcBorders>
              <w:left w:val="nil"/>
            </w:tcBorders>
          </w:tcPr>
          <w:p w14:paraId="0BB2E229" w14:textId="77777777" w:rsidR="00361651" w:rsidRDefault="00361651" w:rsidP="002D54B2">
            <w:pPr>
              <w:pStyle w:val="IASBTableHeaderArial"/>
              <w:spacing w:after="120"/>
              <w:jc w:val="right"/>
            </w:pPr>
            <w:r>
              <w:rPr>
                <w:rFonts w:ascii="Times New Roman" w:hAnsi="Times New Roman"/>
                <w:i/>
                <w:snapToGrid w:val="0"/>
                <w:sz w:val="16"/>
              </w:rPr>
              <w:t>Long-term growth rates</w:t>
            </w:r>
          </w:p>
        </w:tc>
        <w:tc>
          <w:tcPr>
            <w:tcW w:w="1820" w:type="dxa"/>
            <w:gridSpan w:val="2"/>
            <w:tcBorders>
              <w:left w:val="nil"/>
            </w:tcBorders>
          </w:tcPr>
          <w:p w14:paraId="0BB2E22A" w14:textId="77777777" w:rsidR="00361651" w:rsidRDefault="00361651" w:rsidP="002D54B2">
            <w:pPr>
              <w:pStyle w:val="IASBTableHeaderArial"/>
              <w:spacing w:after="120"/>
              <w:jc w:val="right"/>
            </w:pPr>
            <w:r>
              <w:rPr>
                <w:rFonts w:ascii="Times New Roman" w:hAnsi="Times New Roman"/>
                <w:i/>
                <w:snapToGrid w:val="0"/>
                <w:sz w:val="16"/>
              </w:rPr>
              <w:t>Future cash flows</w:t>
            </w:r>
          </w:p>
        </w:tc>
        <w:tc>
          <w:tcPr>
            <w:tcW w:w="1820" w:type="dxa"/>
            <w:gridSpan w:val="2"/>
            <w:tcBorders>
              <w:left w:val="nil"/>
            </w:tcBorders>
          </w:tcPr>
          <w:p w14:paraId="0BB2E22B" w14:textId="77777777" w:rsidR="00361651" w:rsidRDefault="00361651" w:rsidP="002D54B2">
            <w:pPr>
              <w:pStyle w:val="IASBTableHeaderArial"/>
              <w:spacing w:after="120"/>
              <w:jc w:val="right"/>
            </w:pPr>
            <w:r>
              <w:rPr>
                <w:rFonts w:ascii="Times New Roman" w:hAnsi="Times New Roman"/>
                <w:i/>
                <w:snapToGrid w:val="0"/>
                <w:sz w:val="16"/>
              </w:rPr>
              <w:t>Present value factor at 15% discount rate</w:t>
            </w:r>
            <w:r>
              <w:rPr>
                <w:b/>
                <w:vertAlign w:val="superscript"/>
              </w:rPr>
              <w:t>(a)</w:t>
            </w:r>
          </w:p>
        </w:tc>
        <w:tc>
          <w:tcPr>
            <w:tcW w:w="1820" w:type="dxa"/>
            <w:gridSpan w:val="2"/>
            <w:tcBorders>
              <w:left w:val="nil"/>
            </w:tcBorders>
          </w:tcPr>
          <w:p w14:paraId="0BB2E22C" w14:textId="77777777" w:rsidR="00361651" w:rsidRDefault="00361651" w:rsidP="002D54B2">
            <w:pPr>
              <w:pStyle w:val="IASBTableHeaderArial"/>
              <w:spacing w:after="120"/>
              <w:jc w:val="right"/>
            </w:pPr>
            <w:r>
              <w:rPr>
                <w:rFonts w:ascii="Times New Roman" w:hAnsi="Times New Roman"/>
                <w:i/>
                <w:snapToGrid w:val="0"/>
                <w:sz w:val="16"/>
              </w:rPr>
              <w:t>Discounted future cash flows</w:t>
            </w:r>
          </w:p>
        </w:tc>
      </w:tr>
      <w:tr w:rsidR="00361651" w14:paraId="0BB2E236" w14:textId="77777777" w:rsidTr="009709A2">
        <w:trPr>
          <w:cantSplit/>
          <w:tblHeader/>
        </w:trPr>
        <w:tc>
          <w:tcPr>
            <w:tcW w:w="1419" w:type="dxa"/>
            <w:tcBorders>
              <w:top w:val="nil"/>
            </w:tcBorders>
            <w:vAlign w:val="bottom"/>
          </w:tcPr>
          <w:p w14:paraId="0BB2E22E" w14:textId="77777777" w:rsidR="00361651" w:rsidRDefault="00361651" w:rsidP="002D54B2">
            <w:pPr>
              <w:pStyle w:val="IASBTableHeaderArial"/>
              <w:spacing w:after="120"/>
            </w:pPr>
          </w:p>
        </w:tc>
        <w:tc>
          <w:tcPr>
            <w:tcW w:w="1365" w:type="dxa"/>
            <w:tcBorders>
              <w:top w:val="nil"/>
              <w:left w:val="nil"/>
            </w:tcBorders>
          </w:tcPr>
          <w:p w14:paraId="0BB2E22F" w14:textId="77777777" w:rsidR="00361651" w:rsidRDefault="00361651" w:rsidP="002D54B2">
            <w:pPr>
              <w:pStyle w:val="IASBTableHeaderArial"/>
              <w:spacing w:after="120"/>
              <w:jc w:val="right"/>
            </w:pPr>
          </w:p>
        </w:tc>
        <w:tc>
          <w:tcPr>
            <w:tcW w:w="455" w:type="dxa"/>
            <w:tcBorders>
              <w:top w:val="nil"/>
              <w:left w:val="nil"/>
            </w:tcBorders>
          </w:tcPr>
          <w:p w14:paraId="0BB2E230" w14:textId="77777777" w:rsidR="00361651" w:rsidRDefault="00361651" w:rsidP="002D54B2">
            <w:pPr>
              <w:pStyle w:val="IASBTableHeaderArial"/>
              <w:spacing w:after="120"/>
              <w:jc w:val="right"/>
            </w:pPr>
          </w:p>
        </w:tc>
        <w:tc>
          <w:tcPr>
            <w:tcW w:w="1365" w:type="dxa"/>
            <w:tcBorders>
              <w:top w:val="nil"/>
              <w:left w:val="nil"/>
            </w:tcBorders>
          </w:tcPr>
          <w:p w14:paraId="0BB2E231" w14:textId="77777777" w:rsidR="00361651" w:rsidRDefault="00361651" w:rsidP="002D54B2">
            <w:pPr>
              <w:pStyle w:val="IASBTableHeaderArial"/>
              <w:spacing w:after="120"/>
              <w:jc w:val="right"/>
            </w:pPr>
            <w:r>
              <w:rPr>
                <w:b/>
              </w:rPr>
              <w:t>CU</w:t>
            </w:r>
          </w:p>
        </w:tc>
        <w:tc>
          <w:tcPr>
            <w:tcW w:w="455" w:type="dxa"/>
            <w:tcBorders>
              <w:top w:val="nil"/>
              <w:left w:val="nil"/>
            </w:tcBorders>
          </w:tcPr>
          <w:p w14:paraId="0BB2E232" w14:textId="77777777" w:rsidR="00361651" w:rsidRDefault="00361651" w:rsidP="002D54B2">
            <w:pPr>
              <w:pStyle w:val="IASBTableHeaderArial"/>
              <w:spacing w:after="120"/>
              <w:jc w:val="right"/>
            </w:pPr>
          </w:p>
        </w:tc>
        <w:tc>
          <w:tcPr>
            <w:tcW w:w="1365" w:type="dxa"/>
            <w:tcBorders>
              <w:top w:val="nil"/>
              <w:left w:val="nil"/>
            </w:tcBorders>
          </w:tcPr>
          <w:p w14:paraId="0BB2E233" w14:textId="77777777" w:rsidR="00361651" w:rsidRDefault="00361651" w:rsidP="002D54B2">
            <w:pPr>
              <w:pStyle w:val="IASBTableHeaderArial"/>
              <w:spacing w:after="120"/>
              <w:jc w:val="right"/>
            </w:pPr>
          </w:p>
        </w:tc>
        <w:tc>
          <w:tcPr>
            <w:tcW w:w="455" w:type="dxa"/>
            <w:tcBorders>
              <w:top w:val="nil"/>
              <w:left w:val="nil"/>
            </w:tcBorders>
          </w:tcPr>
          <w:p w14:paraId="0BB2E234" w14:textId="77777777" w:rsidR="00361651" w:rsidRDefault="00361651" w:rsidP="002D54B2">
            <w:pPr>
              <w:pStyle w:val="IASBTableHeaderArial"/>
              <w:spacing w:after="120"/>
              <w:jc w:val="right"/>
            </w:pPr>
          </w:p>
        </w:tc>
        <w:tc>
          <w:tcPr>
            <w:tcW w:w="1365" w:type="dxa"/>
            <w:tcBorders>
              <w:top w:val="nil"/>
              <w:left w:val="nil"/>
            </w:tcBorders>
          </w:tcPr>
          <w:p w14:paraId="0BB2E235" w14:textId="77777777" w:rsidR="00361651" w:rsidRDefault="00361651" w:rsidP="002D54B2">
            <w:pPr>
              <w:pStyle w:val="IASBTableHeaderArial"/>
              <w:spacing w:after="120"/>
              <w:jc w:val="right"/>
            </w:pPr>
            <w:r>
              <w:rPr>
                <w:b/>
              </w:rPr>
              <w:t>CU</w:t>
            </w:r>
          </w:p>
        </w:tc>
      </w:tr>
      <w:tr w:rsidR="00361651" w14:paraId="0BB2E23F" w14:textId="77777777" w:rsidTr="009709A2">
        <w:trPr>
          <w:cantSplit/>
        </w:trPr>
        <w:tc>
          <w:tcPr>
            <w:tcW w:w="1419" w:type="dxa"/>
            <w:tcBorders>
              <w:top w:val="nil"/>
            </w:tcBorders>
            <w:vAlign w:val="bottom"/>
          </w:tcPr>
          <w:p w14:paraId="0BB2E237" w14:textId="77777777" w:rsidR="00361651" w:rsidRDefault="00361651" w:rsidP="009709A2">
            <w:pPr>
              <w:pStyle w:val="IASBTableArial"/>
            </w:pPr>
            <w:r>
              <w:t>20X2 (n=1)</w:t>
            </w:r>
          </w:p>
        </w:tc>
        <w:tc>
          <w:tcPr>
            <w:tcW w:w="1365" w:type="dxa"/>
            <w:tcBorders>
              <w:top w:val="nil"/>
              <w:left w:val="nil"/>
            </w:tcBorders>
            <w:vAlign w:val="bottom"/>
          </w:tcPr>
          <w:p w14:paraId="0BB2E238" w14:textId="77777777" w:rsidR="00361651" w:rsidRDefault="00361651" w:rsidP="009709A2">
            <w:pPr>
              <w:pStyle w:val="IASBTableArial"/>
            </w:pPr>
            <w:r>
              <w:t xml:space="preserve"> </w:t>
            </w:r>
          </w:p>
        </w:tc>
        <w:tc>
          <w:tcPr>
            <w:tcW w:w="455" w:type="dxa"/>
            <w:tcBorders>
              <w:top w:val="nil"/>
              <w:left w:val="nil"/>
            </w:tcBorders>
            <w:vAlign w:val="bottom"/>
          </w:tcPr>
          <w:p w14:paraId="0BB2E239" w14:textId="77777777" w:rsidR="00361651" w:rsidRDefault="00361651" w:rsidP="009709A2">
            <w:pPr>
              <w:pStyle w:val="IASBTableArial"/>
            </w:pPr>
          </w:p>
        </w:tc>
        <w:tc>
          <w:tcPr>
            <w:tcW w:w="1365" w:type="dxa"/>
            <w:tcBorders>
              <w:top w:val="nil"/>
              <w:left w:val="nil"/>
            </w:tcBorders>
            <w:vAlign w:val="bottom"/>
          </w:tcPr>
          <w:p w14:paraId="0BB2E23A" w14:textId="77777777" w:rsidR="00361651" w:rsidRDefault="00361651" w:rsidP="009709A2">
            <w:pPr>
              <w:pStyle w:val="IASBTableArial"/>
              <w:jc w:val="right"/>
            </w:pPr>
            <w:r>
              <w:t>230</w:t>
            </w:r>
            <w:r>
              <w:rPr>
                <w:vertAlign w:val="superscript"/>
              </w:rPr>
              <w:t>(b)</w:t>
            </w:r>
          </w:p>
        </w:tc>
        <w:tc>
          <w:tcPr>
            <w:tcW w:w="455" w:type="dxa"/>
            <w:tcBorders>
              <w:top w:val="nil"/>
              <w:left w:val="nil"/>
            </w:tcBorders>
            <w:vAlign w:val="bottom"/>
          </w:tcPr>
          <w:p w14:paraId="0BB2E23B" w14:textId="77777777" w:rsidR="00361651" w:rsidRDefault="00361651" w:rsidP="009709A2">
            <w:pPr>
              <w:pStyle w:val="IASBTableArial"/>
              <w:jc w:val="right"/>
            </w:pPr>
          </w:p>
        </w:tc>
        <w:tc>
          <w:tcPr>
            <w:tcW w:w="1365" w:type="dxa"/>
            <w:tcBorders>
              <w:top w:val="nil"/>
              <w:left w:val="nil"/>
            </w:tcBorders>
            <w:vAlign w:val="bottom"/>
          </w:tcPr>
          <w:p w14:paraId="0BB2E23C" w14:textId="77777777" w:rsidR="00361651" w:rsidRDefault="00361651" w:rsidP="009709A2">
            <w:pPr>
              <w:pStyle w:val="IASBTableArial"/>
              <w:jc w:val="right"/>
            </w:pPr>
            <w:r>
              <w:t>0.86957</w:t>
            </w:r>
          </w:p>
        </w:tc>
        <w:tc>
          <w:tcPr>
            <w:tcW w:w="455" w:type="dxa"/>
            <w:tcBorders>
              <w:top w:val="nil"/>
              <w:left w:val="nil"/>
            </w:tcBorders>
            <w:vAlign w:val="bottom"/>
          </w:tcPr>
          <w:p w14:paraId="0BB2E23D" w14:textId="77777777" w:rsidR="00361651" w:rsidRDefault="00361651" w:rsidP="009709A2">
            <w:pPr>
              <w:pStyle w:val="IASBTableArial"/>
              <w:jc w:val="right"/>
            </w:pPr>
          </w:p>
        </w:tc>
        <w:tc>
          <w:tcPr>
            <w:tcW w:w="1365" w:type="dxa"/>
            <w:tcBorders>
              <w:top w:val="nil"/>
              <w:left w:val="nil"/>
            </w:tcBorders>
            <w:vAlign w:val="bottom"/>
          </w:tcPr>
          <w:p w14:paraId="0BB2E23E" w14:textId="77777777" w:rsidR="00361651" w:rsidRDefault="00361651" w:rsidP="009709A2">
            <w:pPr>
              <w:pStyle w:val="IASBTableArial"/>
              <w:jc w:val="right"/>
            </w:pPr>
            <w:r>
              <w:t>200</w:t>
            </w:r>
          </w:p>
        </w:tc>
      </w:tr>
      <w:tr w:rsidR="00361651" w14:paraId="0BB2E248" w14:textId="77777777" w:rsidTr="009709A2">
        <w:trPr>
          <w:cantSplit/>
        </w:trPr>
        <w:tc>
          <w:tcPr>
            <w:tcW w:w="1419" w:type="dxa"/>
            <w:tcBorders>
              <w:top w:val="nil"/>
            </w:tcBorders>
            <w:vAlign w:val="bottom"/>
          </w:tcPr>
          <w:p w14:paraId="0BB2E240" w14:textId="77777777" w:rsidR="00361651" w:rsidRDefault="00361651" w:rsidP="009709A2">
            <w:pPr>
              <w:pStyle w:val="IASBTableArial"/>
            </w:pPr>
            <w:r>
              <w:t>20X3</w:t>
            </w:r>
          </w:p>
        </w:tc>
        <w:tc>
          <w:tcPr>
            <w:tcW w:w="1365" w:type="dxa"/>
            <w:tcBorders>
              <w:top w:val="nil"/>
              <w:left w:val="nil"/>
            </w:tcBorders>
            <w:vAlign w:val="bottom"/>
          </w:tcPr>
          <w:p w14:paraId="0BB2E241" w14:textId="77777777" w:rsidR="00361651" w:rsidRDefault="00361651" w:rsidP="009709A2">
            <w:pPr>
              <w:pStyle w:val="IASBTableArial"/>
            </w:pPr>
            <w:r>
              <w:t xml:space="preserve"> </w:t>
            </w:r>
          </w:p>
        </w:tc>
        <w:tc>
          <w:tcPr>
            <w:tcW w:w="455" w:type="dxa"/>
            <w:tcBorders>
              <w:top w:val="nil"/>
              <w:left w:val="nil"/>
            </w:tcBorders>
            <w:vAlign w:val="bottom"/>
          </w:tcPr>
          <w:p w14:paraId="0BB2E242" w14:textId="77777777" w:rsidR="00361651" w:rsidRDefault="00361651" w:rsidP="009709A2">
            <w:pPr>
              <w:pStyle w:val="IASBTableArial"/>
            </w:pPr>
          </w:p>
        </w:tc>
        <w:tc>
          <w:tcPr>
            <w:tcW w:w="1365" w:type="dxa"/>
            <w:tcBorders>
              <w:top w:val="nil"/>
              <w:left w:val="nil"/>
            </w:tcBorders>
            <w:vAlign w:val="bottom"/>
          </w:tcPr>
          <w:p w14:paraId="0BB2E243" w14:textId="77777777" w:rsidR="00361651" w:rsidRDefault="00361651" w:rsidP="009709A2">
            <w:pPr>
              <w:pStyle w:val="IASBTableArial"/>
              <w:jc w:val="right"/>
            </w:pPr>
            <w:r>
              <w:t>253</w:t>
            </w:r>
            <w:r>
              <w:rPr>
                <w:vertAlign w:val="superscript"/>
              </w:rPr>
              <w:t>(b)</w:t>
            </w:r>
          </w:p>
        </w:tc>
        <w:tc>
          <w:tcPr>
            <w:tcW w:w="455" w:type="dxa"/>
            <w:tcBorders>
              <w:top w:val="nil"/>
              <w:left w:val="nil"/>
            </w:tcBorders>
            <w:vAlign w:val="bottom"/>
          </w:tcPr>
          <w:p w14:paraId="0BB2E244" w14:textId="77777777" w:rsidR="00361651" w:rsidRDefault="00361651" w:rsidP="009709A2">
            <w:pPr>
              <w:pStyle w:val="IASBTableArial"/>
              <w:jc w:val="right"/>
            </w:pPr>
          </w:p>
        </w:tc>
        <w:tc>
          <w:tcPr>
            <w:tcW w:w="1365" w:type="dxa"/>
            <w:tcBorders>
              <w:top w:val="nil"/>
              <w:left w:val="nil"/>
            </w:tcBorders>
            <w:vAlign w:val="bottom"/>
          </w:tcPr>
          <w:p w14:paraId="0BB2E245" w14:textId="77777777" w:rsidR="00361651" w:rsidRDefault="00361651" w:rsidP="009709A2">
            <w:pPr>
              <w:pStyle w:val="IASBTableArial"/>
              <w:jc w:val="right"/>
            </w:pPr>
            <w:r>
              <w:t>0.75614</w:t>
            </w:r>
          </w:p>
        </w:tc>
        <w:tc>
          <w:tcPr>
            <w:tcW w:w="455" w:type="dxa"/>
            <w:tcBorders>
              <w:top w:val="nil"/>
              <w:left w:val="nil"/>
            </w:tcBorders>
            <w:vAlign w:val="bottom"/>
          </w:tcPr>
          <w:p w14:paraId="0BB2E246" w14:textId="77777777" w:rsidR="00361651" w:rsidRDefault="00361651" w:rsidP="009709A2">
            <w:pPr>
              <w:pStyle w:val="IASBTableArial"/>
              <w:jc w:val="right"/>
            </w:pPr>
          </w:p>
        </w:tc>
        <w:tc>
          <w:tcPr>
            <w:tcW w:w="1365" w:type="dxa"/>
            <w:tcBorders>
              <w:top w:val="nil"/>
              <w:left w:val="nil"/>
            </w:tcBorders>
            <w:vAlign w:val="bottom"/>
          </w:tcPr>
          <w:p w14:paraId="0BB2E247" w14:textId="77777777" w:rsidR="00361651" w:rsidRDefault="00361651" w:rsidP="009709A2">
            <w:pPr>
              <w:pStyle w:val="IASBTableArial"/>
              <w:jc w:val="right"/>
            </w:pPr>
            <w:r>
              <w:t>191</w:t>
            </w:r>
          </w:p>
        </w:tc>
      </w:tr>
      <w:tr w:rsidR="00361651" w14:paraId="0BB2E251" w14:textId="77777777" w:rsidTr="009709A2">
        <w:trPr>
          <w:cantSplit/>
        </w:trPr>
        <w:tc>
          <w:tcPr>
            <w:tcW w:w="1419" w:type="dxa"/>
            <w:tcBorders>
              <w:top w:val="nil"/>
            </w:tcBorders>
            <w:vAlign w:val="bottom"/>
          </w:tcPr>
          <w:p w14:paraId="0BB2E249" w14:textId="77777777" w:rsidR="00361651" w:rsidRDefault="00361651" w:rsidP="009709A2">
            <w:pPr>
              <w:pStyle w:val="IASBTableArial"/>
            </w:pPr>
            <w:r>
              <w:t>20X4</w:t>
            </w:r>
          </w:p>
        </w:tc>
        <w:tc>
          <w:tcPr>
            <w:tcW w:w="1365" w:type="dxa"/>
            <w:tcBorders>
              <w:top w:val="nil"/>
              <w:left w:val="nil"/>
            </w:tcBorders>
            <w:vAlign w:val="bottom"/>
          </w:tcPr>
          <w:p w14:paraId="0BB2E24A" w14:textId="77777777" w:rsidR="00361651" w:rsidRDefault="00361651" w:rsidP="009709A2">
            <w:pPr>
              <w:pStyle w:val="IASBTableArial"/>
            </w:pPr>
            <w:r>
              <w:t xml:space="preserve"> </w:t>
            </w:r>
          </w:p>
        </w:tc>
        <w:tc>
          <w:tcPr>
            <w:tcW w:w="455" w:type="dxa"/>
            <w:tcBorders>
              <w:top w:val="nil"/>
              <w:left w:val="nil"/>
            </w:tcBorders>
            <w:vAlign w:val="bottom"/>
          </w:tcPr>
          <w:p w14:paraId="0BB2E24B" w14:textId="77777777" w:rsidR="00361651" w:rsidRDefault="00361651" w:rsidP="009709A2">
            <w:pPr>
              <w:pStyle w:val="IASBTableArial"/>
            </w:pPr>
          </w:p>
        </w:tc>
        <w:tc>
          <w:tcPr>
            <w:tcW w:w="1365" w:type="dxa"/>
            <w:tcBorders>
              <w:top w:val="nil"/>
              <w:left w:val="nil"/>
            </w:tcBorders>
            <w:vAlign w:val="bottom"/>
          </w:tcPr>
          <w:p w14:paraId="0BB2E24C" w14:textId="77777777" w:rsidR="00361651" w:rsidRDefault="00361651" w:rsidP="009709A2">
            <w:pPr>
              <w:pStyle w:val="IASBTableArial"/>
              <w:jc w:val="right"/>
            </w:pPr>
            <w:r>
              <w:t>273</w:t>
            </w:r>
            <w:r>
              <w:rPr>
                <w:vertAlign w:val="superscript"/>
              </w:rPr>
              <w:t>(b)</w:t>
            </w:r>
          </w:p>
        </w:tc>
        <w:tc>
          <w:tcPr>
            <w:tcW w:w="455" w:type="dxa"/>
            <w:tcBorders>
              <w:top w:val="nil"/>
              <w:left w:val="nil"/>
            </w:tcBorders>
            <w:vAlign w:val="bottom"/>
          </w:tcPr>
          <w:p w14:paraId="0BB2E24D" w14:textId="77777777" w:rsidR="00361651" w:rsidRDefault="00361651" w:rsidP="009709A2">
            <w:pPr>
              <w:pStyle w:val="IASBTableArial"/>
              <w:jc w:val="right"/>
            </w:pPr>
          </w:p>
        </w:tc>
        <w:tc>
          <w:tcPr>
            <w:tcW w:w="1365" w:type="dxa"/>
            <w:tcBorders>
              <w:top w:val="nil"/>
              <w:left w:val="nil"/>
            </w:tcBorders>
            <w:vAlign w:val="bottom"/>
          </w:tcPr>
          <w:p w14:paraId="0BB2E24E" w14:textId="77777777" w:rsidR="00361651" w:rsidRDefault="00361651" w:rsidP="009709A2">
            <w:pPr>
              <w:pStyle w:val="IASBTableArial"/>
              <w:jc w:val="right"/>
            </w:pPr>
            <w:r>
              <w:t>0.65752</w:t>
            </w:r>
          </w:p>
        </w:tc>
        <w:tc>
          <w:tcPr>
            <w:tcW w:w="455" w:type="dxa"/>
            <w:tcBorders>
              <w:top w:val="nil"/>
              <w:left w:val="nil"/>
            </w:tcBorders>
            <w:vAlign w:val="bottom"/>
          </w:tcPr>
          <w:p w14:paraId="0BB2E24F" w14:textId="77777777" w:rsidR="00361651" w:rsidRDefault="00361651" w:rsidP="009709A2">
            <w:pPr>
              <w:pStyle w:val="IASBTableArial"/>
              <w:jc w:val="right"/>
            </w:pPr>
          </w:p>
        </w:tc>
        <w:tc>
          <w:tcPr>
            <w:tcW w:w="1365" w:type="dxa"/>
            <w:tcBorders>
              <w:top w:val="nil"/>
              <w:left w:val="nil"/>
            </w:tcBorders>
            <w:vAlign w:val="bottom"/>
          </w:tcPr>
          <w:p w14:paraId="0BB2E250" w14:textId="77777777" w:rsidR="00361651" w:rsidRDefault="00361651" w:rsidP="009709A2">
            <w:pPr>
              <w:pStyle w:val="IASBTableArial"/>
              <w:jc w:val="right"/>
            </w:pPr>
            <w:r>
              <w:t>180</w:t>
            </w:r>
          </w:p>
        </w:tc>
      </w:tr>
      <w:tr w:rsidR="00361651" w14:paraId="0BB2E25A" w14:textId="77777777" w:rsidTr="009709A2">
        <w:trPr>
          <w:cantSplit/>
        </w:trPr>
        <w:tc>
          <w:tcPr>
            <w:tcW w:w="1419" w:type="dxa"/>
            <w:tcBorders>
              <w:top w:val="nil"/>
            </w:tcBorders>
            <w:vAlign w:val="bottom"/>
          </w:tcPr>
          <w:p w14:paraId="0BB2E252" w14:textId="77777777" w:rsidR="00361651" w:rsidRDefault="00361651" w:rsidP="009709A2">
            <w:pPr>
              <w:pStyle w:val="IASBTableArial"/>
            </w:pPr>
            <w:r>
              <w:t>20X5</w:t>
            </w:r>
          </w:p>
        </w:tc>
        <w:tc>
          <w:tcPr>
            <w:tcW w:w="1365" w:type="dxa"/>
            <w:tcBorders>
              <w:top w:val="nil"/>
              <w:left w:val="nil"/>
            </w:tcBorders>
            <w:vAlign w:val="bottom"/>
          </w:tcPr>
          <w:p w14:paraId="0BB2E253" w14:textId="77777777" w:rsidR="00361651" w:rsidRDefault="00361651" w:rsidP="009709A2">
            <w:pPr>
              <w:pStyle w:val="IASBTableArial"/>
            </w:pPr>
            <w:r>
              <w:t xml:space="preserve"> </w:t>
            </w:r>
          </w:p>
        </w:tc>
        <w:tc>
          <w:tcPr>
            <w:tcW w:w="455" w:type="dxa"/>
            <w:tcBorders>
              <w:top w:val="nil"/>
              <w:left w:val="nil"/>
            </w:tcBorders>
            <w:vAlign w:val="bottom"/>
          </w:tcPr>
          <w:p w14:paraId="0BB2E254" w14:textId="77777777" w:rsidR="00361651" w:rsidRDefault="00361651" w:rsidP="009709A2">
            <w:pPr>
              <w:pStyle w:val="IASBTableArial"/>
            </w:pPr>
          </w:p>
        </w:tc>
        <w:tc>
          <w:tcPr>
            <w:tcW w:w="1365" w:type="dxa"/>
            <w:tcBorders>
              <w:top w:val="nil"/>
              <w:left w:val="nil"/>
            </w:tcBorders>
            <w:vAlign w:val="bottom"/>
          </w:tcPr>
          <w:p w14:paraId="0BB2E255" w14:textId="77777777" w:rsidR="00361651" w:rsidRDefault="00361651" w:rsidP="009709A2">
            <w:pPr>
              <w:pStyle w:val="IASBTableArial"/>
              <w:jc w:val="right"/>
            </w:pPr>
            <w:r>
              <w:t>290</w:t>
            </w:r>
            <w:r>
              <w:rPr>
                <w:vertAlign w:val="superscript"/>
              </w:rPr>
              <w:t>(b)</w:t>
            </w:r>
          </w:p>
        </w:tc>
        <w:tc>
          <w:tcPr>
            <w:tcW w:w="455" w:type="dxa"/>
            <w:tcBorders>
              <w:top w:val="nil"/>
              <w:left w:val="nil"/>
            </w:tcBorders>
            <w:vAlign w:val="bottom"/>
          </w:tcPr>
          <w:p w14:paraId="0BB2E256" w14:textId="77777777" w:rsidR="00361651" w:rsidRDefault="00361651" w:rsidP="009709A2">
            <w:pPr>
              <w:pStyle w:val="IASBTableArial"/>
              <w:jc w:val="right"/>
            </w:pPr>
          </w:p>
        </w:tc>
        <w:tc>
          <w:tcPr>
            <w:tcW w:w="1365" w:type="dxa"/>
            <w:tcBorders>
              <w:top w:val="nil"/>
              <w:left w:val="nil"/>
            </w:tcBorders>
            <w:vAlign w:val="bottom"/>
          </w:tcPr>
          <w:p w14:paraId="0BB2E257" w14:textId="77777777" w:rsidR="00361651" w:rsidRDefault="00361651" w:rsidP="009709A2">
            <w:pPr>
              <w:pStyle w:val="IASBTableArial"/>
              <w:jc w:val="right"/>
            </w:pPr>
            <w:r>
              <w:t>0.57175</w:t>
            </w:r>
          </w:p>
        </w:tc>
        <w:tc>
          <w:tcPr>
            <w:tcW w:w="455" w:type="dxa"/>
            <w:tcBorders>
              <w:top w:val="nil"/>
              <w:left w:val="nil"/>
            </w:tcBorders>
            <w:vAlign w:val="bottom"/>
          </w:tcPr>
          <w:p w14:paraId="0BB2E258" w14:textId="77777777" w:rsidR="00361651" w:rsidRDefault="00361651" w:rsidP="009709A2">
            <w:pPr>
              <w:pStyle w:val="IASBTableArial"/>
              <w:jc w:val="right"/>
            </w:pPr>
          </w:p>
        </w:tc>
        <w:tc>
          <w:tcPr>
            <w:tcW w:w="1365" w:type="dxa"/>
            <w:tcBorders>
              <w:top w:val="nil"/>
              <w:left w:val="nil"/>
            </w:tcBorders>
            <w:vAlign w:val="bottom"/>
          </w:tcPr>
          <w:p w14:paraId="0BB2E259" w14:textId="77777777" w:rsidR="00361651" w:rsidRDefault="00361651" w:rsidP="009709A2">
            <w:pPr>
              <w:pStyle w:val="IASBTableArial"/>
              <w:jc w:val="right"/>
            </w:pPr>
            <w:r>
              <w:t>166</w:t>
            </w:r>
          </w:p>
        </w:tc>
      </w:tr>
      <w:tr w:rsidR="00361651" w14:paraId="0BB2E263" w14:textId="77777777" w:rsidTr="009709A2">
        <w:trPr>
          <w:cantSplit/>
        </w:trPr>
        <w:tc>
          <w:tcPr>
            <w:tcW w:w="1419" w:type="dxa"/>
            <w:tcBorders>
              <w:top w:val="nil"/>
            </w:tcBorders>
            <w:vAlign w:val="bottom"/>
          </w:tcPr>
          <w:p w14:paraId="0BB2E25B" w14:textId="77777777" w:rsidR="00361651" w:rsidRDefault="00361651" w:rsidP="009709A2">
            <w:pPr>
              <w:pStyle w:val="IASBTableArial"/>
            </w:pPr>
            <w:r>
              <w:t>20X6</w:t>
            </w:r>
          </w:p>
        </w:tc>
        <w:tc>
          <w:tcPr>
            <w:tcW w:w="1365" w:type="dxa"/>
            <w:tcBorders>
              <w:top w:val="nil"/>
              <w:left w:val="nil"/>
            </w:tcBorders>
            <w:vAlign w:val="bottom"/>
          </w:tcPr>
          <w:p w14:paraId="0BB2E25C" w14:textId="77777777" w:rsidR="00361651" w:rsidRDefault="00361651" w:rsidP="009709A2">
            <w:pPr>
              <w:pStyle w:val="IASBTableArial"/>
            </w:pPr>
            <w:r>
              <w:t xml:space="preserve"> </w:t>
            </w:r>
          </w:p>
        </w:tc>
        <w:tc>
          <w:tcPr>
            <w:tcW w:w="455" w:type="dxa"/>
            <w:tcBorders>
              <w:top w:val="nil"/>
              <w:left w:val="nil"/>
            </w:tcBorders>
            <w:vAlign w:val="bottom"/>
          </w:tcPr>
          <w:p w14:paraId="0BB2E25D" w14:textId="77777777" w:rsidR="00361651" w:rsidRDefault="00361651" w:rsidP="009709A2">
            <w:pPr>
              <w:pStyle w:val="IASBTableArial"/>
            </w:pPr>
          </w:p>
        </w:tc>
        <w:tc>
          <w:tcPr>
            <w:tcW w:w="1365" w:type="dxa"/>
            <w:tcBorders>
              <w:top w:val="nil"/>
              <w:left w:val="nil"/>
            </w:tcBorders>
            <w:vAlign w:val="bottom"/>
          </w:tcPr>
          <w:p w14:paraId="0BB2E25E" w14:textId="77777777" w:rsidR="00361651" w:rsidRDefault="00361651" w:rsidP="009709A2">
            <w:pPr>
              <w:pStyle w:val="IASBTableArial"/>
              <w:jc w:val="right"/>
            </w:pPr>
            <w:r>
              <w:t>304</w:t>
            </w:r>
            <w:r>
              <w:rPr>
                <w:vertAlign w:val="superscript"/>
              </w:rPr>
              <w:t>(b)</w:t>
            </w:r>
          </w:p>
        </w:tc>
        <w:tc>
          <w:tcPr>
            <w:tcW w:w="455" w:type="dxa"/>
            <w:tcBorders>
              <w:top w:val="nil"/>
              <w:left w:val="nil"/>
            </w:tcBorders>
            <w:vAlign w:val="bottom"/>
          </w:tcPr>
          <w:p w14:paraId="0BB2E25F" w14:textId="77777777" w:rsidR="00361651" w:rsidRDefault="00361651" w:rsidP="009709A2">
            <w:pPr>
              <w:pStyle w:val="IASBTableArial"/>
              <w:jc w:val="right"/>
            </w:pPr>
          </w:p>
        </w:tc>
        <w:tc>
          <w:tcPr>
            <w:tcW w:w="1365" w:type="dxa"/>
            <w:tcBorders>
              <w:top w:val="nil"/>
              <w:left w:val="nil"/>
            </w:tcBorders>
            <w:vAlign w:val="bottom"/>
          </w:tcPr>
          <w:p w14:paraId="0BB2E260" w14:textId="77777777" w:rsidR="00361651" w:rsidRDefault="00361651" w:rsidP="009709A2">
            <w:pPr>
              <w:pStyle w:val="IASBTableArial"/>
              <w:jc w:val="right"/>
            </w:pPr>
            <w:r>
              <w:t>0.49718</w:t>
            </w:r>
          </w:p>
        </w:tc>
        <w:tc>
          <w:tcPr>
            <w:tcW w:w="455" w:type="dxa"/>
            <w:tcBorders>
              <w:top w:val="nil"/>
              <w:left w:val="nil"/>
            </w:tcBorders>
            <w:vAlign w:val="bottom"/>
          </w:tcPr>
          <w:p w14:paraId="0BB2E261" w14:textId="77777777" w:rsidR="00361651" w:rsidRDefault="00361651" w:rsidP="009709A2">
            <w:pPr>
              <w:pStyle w:val="IASBTableArial"/>
              <w:jc w:val="right"/>
            </w:pPr>
          </w:p>
        </w:tc>
        <w:tc>
          <w:tcPr>
            <w:tcW w:w="1365" w:type="dxa"/>
            <w:tcBorders>
              <w:top w:val="nil"/>
              <w:left w:val="nil"/>
            </w:tcBorders>
            <w:vAlign w:val="bottom"/>
          </w:tcPr>
          <w:p w14:paraId="0BB2E262" w14:textId="77777777" w:rsidR="00361651" w:rsidRDefault="00361651" w:rsidP="009709A2">
            <w:pPr>
              <w:pStyle w:val="IASBTableArial"/>
              <w:jc w:val="right"/>
            </w:pPr>
            <w:r>
              <w:t>151</w:t>
            </w:r>
          </w:p>
        </w:tc>
      </w:tr>
      <w:tr w:rsidR="00361651" w14:paraId="0BB2E26C" w14:textId="77777777" w:rsidTr="009709A2">
        <w:trPr>
          <w:cantSplit/>
        </w:trPr>
        <w:tc>
          <w:tcPr>
            <w:tcW w:w="1419" w:type="dxa"/>
            <w:tcBorders>
              <w:top w:val="nil"/>
            </w:tcBorders>
            <w:vAlign w:val="bottom"/>
          </w:tcPr>
          <w:p w14:paraId="0BB2E264" w14:textId="77777777" w:rsidR="00361651" w:rsidRDefault="00361651" w:rsidP="009709A2">
            <w:pPr>
              <w:pStyle w:val="IASBTableArial"/>
            </w:pPr>
            <w:r>
              <w:t>20X7</w:t>
            </w:r>
          </w:p>
        </w:tc>
        <w:tc>
          <w:tcPr>
            <w:tcW w:w="1365" w:type="dxa"/>
            <w:tcBorders>
              <w:top w:val="nil"/>
              <w:left w:val="nil"/>
            </w:tcBorders>
            <w:vAlign w:val="bottom"/>
          </w:tcPr>
          <w:p w14:paraId="0BB2E265" w14:textId="77777777" w:rsidR="00361651" w:rsidRDefault="00361651" w:rsidP="009709A2">
            <w:pPr>
              <w:pStyle w:val="IASBTableArial"/>
              <w:jc w:val="right"/>
            </w:pPr>
            <w:r>
              <w:t>3%</w:t>
            </w:r>
          </w:p>
        </w:tc>
        <w:tc>
          <w:tcPr>
            <w:tcW w:w="455" w:type="dxa"/>
            <w:tcBorders>
              <w:top w:val="nil"/>
              <w:left w:val="nil"/>
            </w:tcBorders>
            <w:vAlign w:val="bottom"/>
          </w:tcPr>
          <w:p w14:paraId="0BB2E266" w14:textId="77777777" w:rsidR="00361651" w:rsidRDefault="00361651" w:rsidP="009709A2">
            <w:pPr>
              <w:pStyle w:val="IASBTableArial"/>
            </w:pPr>
          </w:p>
        </w:tc>
        <w:tc>
          <w:tcPr>
            <w:tcW w:w="1365" w:type="dxa"/>
            <w:tcBorders>
              <w:top w:val="nil"/>
              <w:left w:val="nil"/>
            </w:tcBorders>
            <w:vAlign w:val="bottom"/>
          </w:tcPr>
          <w:p w14:paraId="0BB2E267" w14:textId="77777777" w:rsidR="00361651" w:rsidRDefault="00361651" w:rsidP="009709A2">
            <w:pPr>
              <w:pStyle w:val="IASBTableArial"/>
              <w:jc w:val="right"/>
            </w:pPr>
            <w:r>
              <w:t>313</w:t>
            </w:r>
            <w:r>
              <w:rPr>
                <w:vertAlign w:val="superscript"/>
              </w:rPr>
              <w:t>(c)</w:t>
            </w:r>
          </w:p>
        </w:tc>
        <w:tc>
          <w:tcPr>
            <w:tcW w:w="455" w:type="dxa"/>
            <w:tcBorders>
              <w:top w:val="nil"/>
              <w:left w:val="nil"/>
            </w:tcBorders>
            <w:vAlign w:val="bottom"/>
          </w:tcPr>
          <w:p w14:paraId="0BB2E268" w14:textId="77777777" w:rsidR="00361651" w:rsidRDefault="00361651" w:rsidP="009709A2">
            <w:pPr>
              <w:pStyle w:val="IASBTableArial"/>
              <w:jc w:val="right"/>
            </w:pPr>
          </w:p>
        </w:tc>
        <w:tc>
          <w:tcPr>
            <w:tcW w:w="1365" w:type="dxa"/>
            <w:tcBorders>
              <w:top w:val="nil"/>
              <w:left w:val="nil"/>
            </w:tcBorders>
            <w:vAlign w:val="bottom"/>
          </w:tcPr>
          <w:p w14:paraId="0BB2E269" w14:textId="77777777" w:rsidR="00361651" w:rsidRDefault="00361651" w:rsidP="009709A2">
            <w:pPr>
              <w:pStyle w:val="IASBTableArial"/>
              <w:jc w:val="right"/>
            </w:pPr>
            <w:r>
              <w:t>0.43233</w:t>
            </w:r>
          </w:p>
        </w:tc>
        <w:tc>
          <w:tcPr>
            <w:tcW w:w="455" w:type="dxa"/>
            <w:tcBorders>
              <w:top w:val="nil"/>
              <w:left w:val="nil"/>
            </w:tcBorders>
            <w:vAlign w:val="bottom"/>
          </w:tcPr>
          <w:p w14:paraId="0BB2E26A" w14:textId="77777777" w:rsidR="00361651" w:rsidRDefault="00361651" w:rsidP="009709A2">
            <w:pPr>
              <w:pStyle w:val="IASBTableArial"/>
              <w:jc w:val="right"/>
            </w:pPr>
          </w:p>
        </w:tc>
        <w:tc>
          <w:tcPr>
            <w:tcW w:w="1365" w:type="dxa"/>
            <w:tcBorders>
              <w:top w:val="nil"/>
              <w:left w:val="nil"/>
            </w:tcBorders>
            <w:vAlign w:val="bottom"/>
          </w:tcPr>
          <w:p w14:paraId="0BB2E26B" w14:textId="77777777" w:rsidR="00361651" w:rsidRDefault="00361651" w:rsidP="009709A2">
            <w:pPr>
              <w:pStyle w:val="IASBTableArial"/>
              <w:jc w:val="right"/>
            </w:pPr>
            <w:r>
              <w:t>135</w:t>
            </w:r>
          </w:p>
        </w:tc>
      </w:tr>
      <w:tr w:rsidR="00361651" w14:paraId="0BB2E275" w14:textId="77777777" w:rsidTr="009709A2">
        <w:trPr>
          <w:cantSplit/>
        </w:trPr>
        <w:tc>
          <w:tcPr>
            <w:tcW w:w="1419" w:type="dxa"/>
            <w:tcBorders>
              <w:top w:val="nil"/>
            </w:tcBorders>
            <w:vAlign w:val="bottom"/>
          </w:tcPr>
          <w:p w14:paraId="0BB2E26D" w14:textId="77777777" w:rsidR="00361651" w:rsidRDefault="00361651" w:rsidP="009709A2">
            <w:pPr>
              <w:pStyle w:val="IASBTableArial"/>
            </w:pPr>
            <w:r>
              <w:t>20X8</w:t>
            </w:r>
          </w:p>
        </w:tc>
        <w:tc>
          <w:tcPr>
            <w:tcW w:w="1365" w:type="dxa"/>
            <w:tcBorders>
              <w:top w:val="nil"/>
              <w:left w:val="nil"/>
            </w:tcBorders>
            <w:vAlign w:val="bottom"/>
          </w:tcPr>
          <w:p w14:paraId="0BB2E26E" w14:textId="77777777" w:rsidR="00361651" w:rsidRDefault="00361651" w:rsidP="009709A2">
            <w:pPr>
              <w:pStyle w:val="IASBTableArial"/>
              <w:jc w:val="right"/>
            </w:pPr>
            <w:r>
              <w:t>(2%)</w:t>
            </w:r>
          </w:p>
        </w:tc>
        <w:tc>
          <w:tcPr>
            <w:tcW w:w="455" w:type="dxa"/>
            <w:tcBorders>
              <w:top w:val="nil"/>
              <w:left w:val="nil"/>
            </w:tcBorders>
            <w:vAlign w:val="bottom"/>
          </w:tcPr>
          <w:p w14:paraId="0BB2E26F" w14:textId="77777777" w:rsidR="00361651" w:rsidRDefault="00361651" w:rsidP="009709A2">
            <w:pPr>
              <w:pStyle w:val="IASBTableArial"/>
            </w:pPr>
          </w:p>
        </w:tc>
        <w:tc>
          <w:tcPr>
            <w:tcW w:w="1365" w:type="dxa"/>
            <w:tcBorders>
              <w:top w:val="nil"/>
              <w:left w:val="nil"/>
            </w:tcBorders>
            <w:vAlign w:val="center"/>
          </w:tcPr>
          <w:p w14:paraId="0BB2E270" w14:textId="77777777" w:rsidR="00361651" w:rsidRDefault="00361651" w:rsidP="009709A2">
            <w:pPr>
              <w:pStyle w:val="IASBTableArial"/>
              <w:jc w:val="right"/>
            </w:pPr>
            <w:r>
              <w:t>307</w:t>
            </w:r>
            <w:r>
              <w:rPr>
                <w:vertAlign w:val="superscript"/>
              </w:rPr>
              <w:t>(c)</w:t>
            </w:r>
          </w:p>
        </w:tc>
        <w:tc>
          <w:tcPr>
            <w:tcW w:w="455" w:type="dxa"/>
            <w:tcBorders>
              <w:top w:val="nil"/>
              <w:left w:val="nil"/>
            </w:tcBorders>
            <w:vAlign w:val="bottom"/>
          </w:tcPr>
          <w:p w14:paraId="0BB2E271" w14:textId="77777777" w:rsidR="00361651" w:rsidRDefault="00361651" w:rsidP="009709A2">
            <w:pPr>
              <w:pStyle w:val="IASBTableArial"/>
              <w:jc w:val="right"/>
            </w:pPr>
          </w:p>
        </w:tc>
        <w:tc>
          <w:tcPr>
            <w:tcW w:w="1365" w:type="dxa"/>
            <w:tcBorders>
              <w:top w:val="nil"/>
              <w:left w:val="nil"/>
            </w:tcBorders>
            <w:vAlign w:val="bottom"/>
          </w:tcPr>
          <w:p w14:paraId="0BB2E272" w14:textId="77777777" w:rsidR="00361651" w:rsidRDefault="00361651" w:rsidP="009709A2">
            <w:pPr>
              <w:pStyle w:val="IASBTableArial"/>
              <w:jc w:val="right"/>
            </w:pPr>
            <w:r>
              <w:t>0.37594</w:t>
            </w:r>
          </w:p>
        </w:tc>
        <w:tc>
          <w:tcPr>
            <w:tcW w:w="455" w:type="dxa"/>
            <w:tcBorders>
              <w:top w:val="nil"/>
              <w:left w:val="nil"/>
            </w:tcBorders>
            <w:vAlign w:val="bottom"/>
          </w:tcPr>
          <w:p w14:paraId="0BB2E273" w14:textId="77777777" w:rsidR="00361651" w:rsidRDefault="00361651" w:rsidP="009709A2">
            <w:pPr>
              <w:pStyle w:val="IASBTableArial"/>
              <w:jc w:val="right"/>
            </w:pPr>
          </w:p>
        </w:tc>
        <w:tc>
          <w:tcPr>
            <w:tcW w:w="1365" w:type="dxa"/>
            <w:tcBorders>
              <w:top w:val="nil"/>
              <w:left w:val="nil"/>
            </w:tcBorders>
            <w:vAlign w:val="bottom"/>
          </w:tcPr>
          <w:p w14:paraId="0BB2E274" w14:textId="77777777" w:rsidR="00361651" w:rsidRDefault="00361651" w:rsidP="009709A2">
            <w:pPr>
              <w:pStyle w:val="IASBTableArial"/>
              <w:jc w:val="right"/>
            </w:pPr>
            <w:r>
              <w:t>115</w:t>
            </w:r>
          </w:p>
        </w:tc>
      </w:tr>
      <w:tr w:rsidR="00361651" w14:paraId="0BB2E27E" w14:textId="77777777" w:rsidTr="009709A2">
        <w:trPr>
          <w:cantSplit/>
        </w:trPr>
        <w:tc>
          <w:tcPr>
            <w:tcW w:w="1419" w:type="dxa"/>
            <w:tcBorders>
              <w:top w:val="nil"/>
            </w:tcBorders>
            <w:vAlign w:val="bottom"/>
          </w:tcPr>
          <w:p w14:paraId="0BB2E276" w14:textId="77777777" w:rsidR="00361651" w:rsidRDefault="00361651" w:rsidP="009709A2">
            <w:pPr>
              <w:pStyle w:val="IASBTableArial"/>
            </w:pPr>
            <w:r>
              <w:t>20X9</w:t>
            </w:r>
          </w:p>
        </w:tc>
        <w:tc>
          <w:tcPr>
            <w:tcW w:w="1365" w:type="dxa"/>
            <w:tcBorders>
              <w:top w:val="nil"/>
              <w:left w:val="nil"/>
            </w:tcBorders>
            <w:vAlign w:val="bottom"/>
          </w:tcPr>
          <w:p w14:paraId="0BB2E277" w14:textId="77777777" w:rsidR="00361651" w:rsidRDefault="00361651" w:rsidP="009709A2">
            <w:pPr>
              <w:pStyle w:val="IASBTableArial"/>
              <w:jc w:val="right"/>
            </w:pPr>
            <w:r>
              <w:t>(6%)</w:t>
            </w:r>
          </w:p>
        </w:tc>
        <w:tc>
          <w:tcPr>
            <w:tcW w:w="455" w:type="dxa"/>
            <w:tcBorders>
              <w:top w:val="nil"/>
              <w:left w:val="nil"/>
            </w:tcBorders>
            <w:vAlign w:val="bottom"/>
          </w:tcPr>
          <w:p w14:paraId="0BB2E278" w14:textId="77777777" w:rsidR="00361651" w:rsidRDefault="00361651" w:rsidP="009709A2">
            <w:pPr>
              <w:pStyle w:val="IASBTableArial"/>
            </w:pPr>
          </w:p>
        </w:tc>
        <w:tc>
          <w:tcPr>
            <w:tcW w:w="1365" w:type="dxa"/>
            <w:tcBorders>
              <w:top w:val="nil"/>
              <w:left w:val="nil"/>
            </w:tcBorders>
            <w:vAlign w:val="bottom"/>
          </w:tcPr>
          <w:p w14:paraId="0BB2E279" w14:textId="77777777" w:rsidR="00361651" w:rsidRDefault="00361651" w:rsidP="009709A2">
            <w:pPr>
              <w:pStyle w:val="IASBTableArial"/>
              <w:jc w:val="right"/>
            </w:pPr>
            <w:r>
              <w:t>289</w:t>
            </w:r>
            <w:r>
              <w:rPr>
                <w:vertAlign w:val="superscript"/>
              </w:rPr>
              <w:t>(c)</w:t>
            </w:r>
          </w:p>
        </w:tc>
        <w:tc>
          <w:tcPr>
            <w:tcW w:w="455" w:type="dxa"/>
            <w:tcBorders>
              <w:top w:val="nil"/>
              <w:left w:val="nil"/>
            </w:tcBorders>
            <w:vAlign w:val="bottom"/>
          </w:tcPr>
          <w:p w14:paraId="0BB2E27A" w14:textId="77777777" w:rsidR="00361651" w:rsidRDefault="00361651" w:rsidP="009709A2">
            <w:pPr>
              <w:pStyle w:val="IASBTableArial"/>
              <w:jc w:val="right"/>
            </w:pPr>
          </w:p>
        </w:tc>
        <w:tc>
          <w:tcPr>
            <w:tcW w:w="1365" w:type="dxa"/>
            <w:tcBorders>
              <w:top w:val="nil"/>
              <w:left w:val="nil"/>
            </w:tcBorders>
            <w:vAlign w:val="bottom"/>
          </w:tcPr>
          <w:p w14:paraId="0BB2E27B" w14:textId="77777777" w:rsidR="00361651" w:rsidRDefault="00361651" w:rsidP="009709A2">
            <w:pPr>
              <w:pStyle w:val="IASBTableArial"/>
              <w:jc w:val="right"/>
            </w:pPr>
            <w:r>
              <w:t>0.32690</w:t>
            </w:r>
          </w:p>
        </w:tc>
        <w:tc>
          <w:tcPr>
            <w:tcW w:w="455" w:type="dxa"/>
            <w:tcBorders>
              <w:top w:val="nil"/>
              <w:left w:val="nil"/>
            </w:tcBorders>
            <w:vAlign w:val="bottom"/>
          </w:tcPr>
          <w:p w14:paraId="0BB2E27C" w14:textId="77777777" w:rsidR="00361651" w:rsidRDefault="00361651" w:rsidP="009709A2">
            <w:pPr>
              <w:pStyle w:val="IASBTableArial"/>
              <w:jc w:val="right"/>
            </w:pPr>
          </w:p>
        </w:tc>
        <w:tc>
          <w:tcPr>
            <w:tcW w:w="1365" w:type="dxa"/>
            <w:tcBorders>
              <w:top w:val="nil"/>
              <w:left w:val="nil"/>
            </w:tcBorders>
            <w:vAlign w:val="bottom"/>
          </w:tcPr>
          <w:p w14:paraId="0BB2E27D" w14:textId="77777777" w:rsidR="00361651" w:rsidRDefault="00361651" w:rsidP="009709A2">
            <w:pPr>
              <w:pStyle w:val="IASBTableArial"/>
              <w:jc w:val="right"/>
            </w:pPr>
            <w:r>
              <w:t>94</w:t>
            </w:r>
          </w:p>
        </w:tc>
      </w:tr>
      <w:tr w:rsidR="00361651" w14:paraId="0BB2E287" w14:textId="77777777" w:rsidTr="009709A2">
        <w:trPr>
          <w:cantSplit/>
        </w:trPr>
        <w:tc>
          <w:tcPr>
            <w:tcW w:w="1419" w:type="dxa"/>
            <w:tcBorders>
              <w:top w:val="nil"/>
            </w:tcBorders>
            <w:vAlign w:val="bottom"/>
          </w:tcPr>
          <w:p w14:paraId="0BB2E27F" w14:textId="77777777" w:rsidR="00361651" w:rsidRDefault="00361651" w:rsidP="009709A2">
            <w:pPr>
              <w:pStyle w:val="IASBTableArial"/>
            </w:pPr>
            <w:r>
              <w:t>20Y0</w:t>
            </w:r>
          </w:p>
        </w:tc>
        <w:tc>
          <w:tcPr>
            <w:tcW w:w="1365" w:type="dxa"/>
            <w:tcBorders>
              <w:top w:val="nil"/>
              <w:left w:val="nil"/>
            </w:tcBorders>
            <w:vAlign w:val="bottom"/>
          </w:tcPr>
          <w:p w14:paraId="0BB2E280" w14:textId="77777777" w:rsidR="00361651" w:rsidRDefault="00361651" w:rsidP="009709A2">
            <w:pPr>
              <w:pStyle w:val="IASBTableArial"/>
              <w:jc w:val="right"/>
            </w:pPr>
            <w:r>
              <w:t>(15%)</w:t>
            </w:r>
          </w:p>
        </w:tc>
        <w:tc>
          <w:tcPr>
            <w:tcW w:w="455" w:type="dxa"/>
            <w:tcBorders>
              <w:top w:val="nil"/>
              <w:left w:val="nil"/>
            </w:tcBorders>
            <w:vAlign w:val="bottom"/>
          </w:tcPr>
          <w:p w14:paraId="0BB2E281" w14:textId="77777777" w:rsidR="00361651" w:rsidRDefault="00361651" w:rsidP="009709A2">
            <w:pPr>
              <w:pStyle w:val="IASBTableArial"/>
            </w:pPr>
          </w:p>
        </w:tc>
        <w:tc>
          <w:tcPr>
            <w:tcW w:w="1365" w:type="dxa"/>
            <w:tcBorders>
              <w:top w:val="nil"/>
              <w:left w:val="nil"/>
            </w:tcBorders>
            <w:vAlign w:val="bottom"/>
          </w:tcPr>
          <w:p w14:paraId="0BB2E282" w14:textId="77777777" w:rsidR="00361651" w:rsidRDefault="00361651" w:rsidP="009709A2">
            <w:pPr>
              <w:pStyle w:val="IASBTableArial"/>
              <w:jc w:val="right"/>
            </w:pPr>
            <w:r>
              <w:t>245</w:t>
            </w:r>
            <w:r>
              <w:rPr>
                <w:vertAlign w:val="superscript"/>
              </w:rPr>
              <w:t>(c)</w:t>
            </w:r>
          </w:p>
        </w:tc>
        <w:tc>
          <w:tcPr>
            <w:tcW w:w="455" w:type="dxa"/>
            <w:tcBorders>
              <w:top w:val="nil"/>
              <w:left w:val="nil"/>
            </w:tcBorders>
            <w:vAlign w:val="bottom"/>
          </w:tcPr>
          <w:p w14:paraId="0BB2E283" w14:textId="77777777" w:rsidR="00361651" w:rsidRDefault="00361651" w:rsidP="009709A2">
            <w:pPr>
              <w:pStyle w:val="IASBTableArial"/>
              <w:jc w:val="right"/>
            </w:pPr>
          </w:p>
        </w:tc>
        <w:tc>
          <w:tcPr>
            <w:tcW w:w="1365" w:type="dxa"/>
            <w:tcBorders>
              <w:top w:val="nil"/>
              <w:left w:val="nil"/>
            </w:tcBorders>
            <w:vAlign w:val="bottom"/>
          </w:tcPr>
          <w:p w14:paraId="0BB2E284" w14:textId="77777777" w:rsidR="00361651" w:rsidRDefault="00361651" w:rsidP="009709A2">
            <w:pPr>
              <w:pStyle w:val="IASBTableArial"/>
              <w:jc w:val="right"/>
            </w:pPr>
            <w:r>
              <w:t>0.28426</w:t>
            </w:r>
          </w:p>
        </w:tc>
        <w:tc>
          <w:tcPr>
            <w:tcW w:w="455" w:type="dxa"/>
            <w:tcBorders>
              <w:top w:val="nil"/>
              <w:left w:val="nil"/>
            </w:tcBorders>
            <w:vAlign w:val="bottom"/>
          </w:tcPr>
          <w:p w14:paraId="0BB2E285" w14:textId="77777777" w:rsidR="00361651" w:rsidRDefault="00361651" w:rsidP="009709A2">
            <w:pPr>
              <w:pStyle w:val="IASBTableArial"/>
              <w:jc w:val="right"/>
            </w:pPr>
          </w:p>
        </w:tc>
        <w:tc>
          <w:tcPr>
            <w:tcW w:w="1365" w:type="dxa"/>
            <w:tcBorders>
              <w:top w:val="nil"/>
              <w:left w:val="nil"/>
            </w:tcBorders>
            <w:vAlign w:val="bottom"/>
          </w:tcPr>
          <w:p w14:paraId="0BB2E286" w14:textId="77777777" w:rsidR="00361651" w:rsidRDefault="00361651" w:rsidP="009709A2">
            <w:pPr>
              <w:pStyle w:val="IASBTableArial"/>
              <w:jc w:val="right"/>
            </w:pPr>
            <w:r>
              <w:t>70</w:t>
            </w:r>
          </w:p>
        </w:tc>
      </w:tr>
      <w:tr w:rsidR="00361651" w14:paraId="0BB2E290" w14:textId="77777777" w:rsidTr="009709A2">
        <w:trPr>
          <w:cantSplit/>
        </w:trPr>
        <w:tc>
          <w:tcPr>
            <w:tcW w:w="1419" w:type="dxa"/>
            <w:tcBorders>
              <w:top w:val="nil"/>
            </w:tcBorders>
            <w:vAlign w:val="bottom"/>
          </w:tcPr>
          <w:p w14:paraId="0BB2E288" w14:textId="77777777" w:rsidR="00361651" w:rsidRDefault="00361651" w:rsidP="009709A2">
            <w:pPr>
              <w:pStyle w:val="IASBTableArial"/>
            </w:pPr>
            <w:r>
              <w:t>20Y1</w:t>
            </w:r>
          </w:p>
        </w:tc>
        <w:tc>
          <w:tcPr>
            <w:tcW w:w="1365" w:type="dxa"/>
            <w:tcBorders>
              <w:top w:val="nil"/>
              <w:left w:val="nil"/>
            </w:tcBorders>
            <w:vAlign w:val="bottom"/>
          </w:tcPr>
          <w:p w14:paraId="0BB2E289" w14:textId="77777777" w:rsidR="00361651" w:rsidRDefault="00361651" w:rsidP="009709A2">
            <w:pPr>
              <w:pStyle w:val="IASBTableArial"/>
              <w:jc w:val="right"/>
            </w:pPr>
            <w:r>
              <w:t>(25%)</w:t>
            </w:r>
          </w:p>
        </w:tc>
        <w:tc>
          <w:tcPr>
            <w:tcW w:w="455" w:type="dxa"/>
            <w:tcBorders>
              <w:top w:val="nil"/>
              <w:left w:val="nil"/>
            </w:tcBorders>
            <w:vAlign w:val="bottom"/>
          </w:tcPr>
          <w:p w14:paraId="0BB2E28A" w14:textId="77777777" w:rsidR="00361651" w:rsidRDefault="00361651" w:rsidP="009709A2">
            <w:pPr>
              <w:pStyle w:val="IASBTableArial"/>
            </w:pPr>
          </w:p>
        </w:tc>
        <w:tc>
          <w:tcPr>
            <w:tcW w:w="1365" w:type="dxa"/>
            <w:tcBorders>
              <w:top w:val="nil"/>
              <w:left w:val="nil"/>
            </w:tcBorders>
            <w:vAlign w:val="bottom"/>
          </w:tcPr>
          <w:p w14:paraId="0BB2E28B" w14:textId="77777777" w:rsidR="00361651" w:rsidRDefault="00361651" w:rsidP="009709A2">
            <w:pPr>
              <w:pStyle w:val="IASBTableArial"/>
              <w:jc w:val="right"/>
            </w:pPr>
            <w:r>
              <w:t>184</w:t>
            </w:r>
            <w:r>
              <w:rPr>
                <w:vertAlign w:val="superscript"/>
              </w:rPr>
              <w:t>(c)</w:t>
            </w:r>
          </w:p>
        </w:tc>
        <w:tc>
          <w:tcPr>
            <w:tcW w:w="455" w:type="dxa"/>
            <w:tcBorders>
              <w:top w:val="nil"/>
              <w:left w:val="nil"/>
            </w:tcBorders>
            <w:vAlign w:val="bottom"/>
          </w:tcPr>
          <w:p w14:paraId="0BB2E28C" w14:textId="77777777" w:rsidR="00361651" w:rsidRDefault="00361651" w:rsidP="009709A2">
            <w:pPr>
              <w:pStyle w:val="IASBTableArial"/>
              <w:jc w:val="right"/>
            </w:pPr>
          </w:p>
        </w:tc>
        <w:tc>
          <w:tcPr>
            <w:tcW w:w="1365" w:type="dxa"/>
            <w:tcBorders>
              <w:top w:val="nil"/>
              <w:left w:val="nil"/>
            </w:tcBorders>
            <w:vAlign w:val="bottom"/>
          </w:tcPr>
          <w:p w14:paraId="0BB2E28D" w14:textId="77777777" w:rsidR="00361651" w:rsidRDefault="00361651" w:rsidP="009709A2">
            <w:pPr>
              <w:pStyle w:val="IASBTableArial"/>
              <w:jc w:val="right"/>
            </w:pPr>
            <w:r>
              <w:t>0.24719</w:t>
            </w:r>
          </w:p>
        </w:tc>
        <w:tc>
          <w:tcPr>
            <w:tcW w:w="455" w:type="dxa"/>
            <w:tcBorders>
              <w:top w:val="nil"/>
              <w:left w:val="nil"/>
            </w:tcBorders>
            <w:vAlign w:val="bottom"/>
          </w:tcPr>
          <w:p w14:paraId="0BB2E28E" w14:textId="77777777" w:rsidR="00361651" w:rsidRDefault="00361651" w:rsidP="009709A2">
            <w:pPr>
              <w:pStyle w:val="IASBTableArial"/>
              <w:jc w:val="right"/>
            </w:pPr>
          </w:p>
        </w:tc>
        <w:tc>
          <w:tcPr>
            <w:tcW w:w="1365" w:type="dxa"/>
            <w:tcBorders>
              <w:top w:val="nil"/>
              <w:left w:val="nil"/>
            </w:tcBorders>
            <w:vAlign w:val="bottom"/>
          </w:tcPr>
          <w:p w14:paraId="0BB2E28F" w14:textId="77777777" w:rsidR="00361651" w:rsidRDefault="00361651" w:rsidP="009709A2">
            <w:pPr>
              <w:pStyle w:val="IASBTableArial"/>
              <w:jc w:val="right"/>
            </w:pPr>
            <w:r>
              <w:t>45</w:t>
            </w:r>
          </w:p>
        </w:tc>
      </w:tr>
      <w:tr w:rsidR="00361651" w14:paraId="0BB2E299" w14:textId="77777777" w:rsidTr="009709A2">
        <w:trPr>
          <w:cantSplit/>
        </w:trPr>
        <w:tc>
          <w:tcPr>
            <w:tcW w:w="1419" w:type="dxa"/>
            <w:tcBorders>
              <w:top w:val="nil"/>
            </w:tcBorders>
            <w:vAlign w:val="bottom"/>
          </w:tcPr>
          <w:p w14:paraId="0BB2E291" w14:textId="77777777" w:rsidR="00361651" w:rsidRDefault="00361651" w:rsidP="009709A2">
            <w:pPr>
              <w:pStyle w:val="IASBTableArial"/>
            </w:pPr>
            <w:r>
              <w:t>20Y2</w:t>
            </w:r>
          </w:p>
        </w:tc>
        <w:tc>
          <w:tcPr>
            <w:tcW w:w="1365" w:type="dxa"/>
            <w:tcBorders>
              <w:top w:val="nil"/>
              <w:left w:val="nil"/>
            </w:tcBorders>
            <w:vAlign w:val="bottom"/>
          </w:tcPr>
          <w:p w14:paraId="0BB2E292" w14:textId="77777777" w:rsidR="00361651" w:rsidRDefault="00361651" w:rsidP="009709A2">
            <w:pPr>
              <w:pStyle w:val="IASBTableArial"/>
              <w:jc w:val="right"/>
            </w:pPr>
            <w:r>
              <w:t>(67%)</w:t>
            </w:r>
          </w:p>
        </w:tc>
        <w:tc>
          <w:tcPr>
            <w:tcW w:w="455" w:type="dxa"/>
            <w:tcBorders>
              <w:top w:val="nil"/>
              <w:left w:val="nil"/>
            </w:tcBorders>
            <w:vAlign w:val="bottom"/>
          </w:tcPr>
          <w:p w14:paraId="0BB2E293" w14:textId="77777777" w:rsidR="00361651" w:rsidRDefault="00361651" w:rsidP="009709A2">
            <w:pPr>
              <w:pStyle w:val="IASBTableArial"/>
            </w:pPr>
          </w:p>
        </w:tc>
        <w:tc>
          <w:tcPr>
            <w:tcW w:w="1365" w:type="dxa"/>
            <w:tcBorders>
              <w:top w:val="nil"/>
              <w:left w:val="nil"/>
            </w:tcBorders>
            <w:vAlign w:val="bottom"/>
          </w:tcPr>
          <w:p w14:paraId="0BB2E294" w14:textId="77777777" w:rsidR="00361651" w:rsidRDefault="00361651" w:rsidP="009709A2">
            <w:pPr>
              <w:pStyle w:val="IASBTableArial"/>
              <w:jc w:val="right"/>
            </w:pPr>
            <w:r>
              <w:t>61</w:t>
            </w:r>
            <w:r>
              <w:rPr>
                <w:vertAlign w:val="superscript"/>
              </w:rPr>
              <w:t>(c)</w:t>
            </w:r>
          </w:p>
        </w:tc>
        <w:tc>
          <w:tcPr>
            <w:tcW w:w="455" w:type="dxa"/>
            <w:tcBorders>
              <w:top w:val="nil"/>
              <w:left w:val="nil"/>
            </w:tcBorders>
            <w:vAlign w:val="bottom"/>
          </w:tcPr>
          <w:p w14:paraId="0BB2E295" w14:textId="77777777" w:rsidR="00361651" w:rsidRDefault="00361651" w:rsidP="009709A2">
            <w:pPr>
              <w:pStyle w:val="IASBTableArial"/>
              <w:jc w:val="right"/>
            </w:pPr>
          </w:p>
        </w:tc>
        <w:tc>
          <w:tcPr>
            <w:tcW w:w="1365" w:type="dxa"/>
            <w:tcBorders>
              <w:top w:val="nil"/>
              <w:left w:val="nil"/>
            </w:tcBorders>
            <w:vAlign w:val="bottom"/>
          </w:tcPr>
          <w:p w14:paraId="0BB2E296" w14:textId="77777777" w:rsidR="00361651" w:rsidRDefault="00361651" w:rsidP="009709A2">
            <w:pPr>
              <w:pStyle w:val="IASBTableArial"/>
              <w:jc w:val="right"/>
            </w:pPr>
            <w:r>
              <w:t>0.21494</w:t>
            </w:r>
          </w:p>
        </w:tc>
        <w:tc>
          <w:tcPr>
            <w:tcW w:w="455" w:type="dxa"/>
            <w:tcBorders>
              <w:top w:val="nil"/>
              <w:left w:val="nil"/>
            </w:tcBorders>
            <w:vAlign w:val="bottom"/>
          </w:tcPr>
          <w:p w14:paraId="0BB2E297" w14:textId="77777777" w:rsidR="00361651" w:rsidRDefault="00361651" w:rsidP="009709A2">
            <w:pPr>
              <w:pStyle w:val="IASBTableArial"/>
              <w:jc w:val="right"/>
            </w:pPr>
          </w:p>
        </w:tc>
        <w:tc>
          <w:tcPr>
            <w:tcW w:w="1365" w:type="dxa"/>
            <w:tcBorders>
              <w:top w:val="nil"/>
              <w:left w:val="nil"/>
              <w:bottom w:val="single" w:sz="4" w:space="0" w:color="auto"/>
            </w:tcBorders>
            <w:vAlign w:val="bottom"/>
          </w:tcPr>
          <w:p w14:paraId="0BB2E298" w14:textId="77777777" w:rsidR="00361651" w:rsidRDefault="00361651" w:rsidP="009709A2">
            <w:pPr>
              <w:pStyle w:val="IASBTableArial"/>
              <w:jc w:val="right"/>
            </w:pPr>
            <w:r>
              <w:t>13</w:t>
            </w:r>
          </w:p>
        </w:tc>
      </w:tr>
      <w:tr w:rsidR="00361651" w14:paraId="0BB2E2A2" w14:textId="77777777" w:rsidTr="009709A2">
        <w:trPr>
          <w:cantSplit/>
        </w:trPr>
        <w:tc>
          <w:tcPr>
            <w:tcW w:w="1419" w:type="dxa"/>
            <w:tcBorders>
              <w:top w:val="nil"/>
            </w:tcBorders>
            <w:vAlign w:val="bottom"/>
          </w:tcPr>
          <w:p w14:paraId="0BB2E29A" w14:textId="77777777" w:rsidR="00361651" w:rsidRDefault="00361651" w:rsidP="009709A2">
            <w:pPr>
              <w:pStyle w:val="IASBTableArial"/>
            </w:pPr>
            <w:r>
              <w:t>Value in use</w:t>
            </w:r>
          </w:p>
        </w:tc>
        <w:tc>
          <w:tcPr>
            <w:tcW w:w="1365" w:type="dxa"/>
            <w:tcBorders>
              <w:top w:val="nil"/>
              <w:left w:val="nil"/>
            </w:tcBorders>
            <w:vAlign w:val="bottom"/>
          </w:tcPr>
          <w:p w14:paraId="0BB2E29B" w14:textId="77777777" w:rsidR="00361651" w:rsidRDefault="00361651" w:rsidP="009709A2">
            <w:pPr>
              <w:pStyle w:val="IASBTableArial"/>
            </w:pPr>
            <w:r>
              <w:t xml:space="preserve"> </w:t>
            </w:r>
          </w:p>
        </w:tc>
        <w:tc>
          <w:tcPr>
            <w:tcW w:w="455" w:type="dxa"/>
            <w:tcBorders>
              <w:top w:val="nil"/>
              <w:left w:val="nil"/>
            </w:tcBorders>
            <w:vAlign w:val="bottom"/>
          </w:tcPr>
          <w:p w14:paraId="0BB2E29C" w14:textId="77777777" w:rsidR="00361651" w:rsidRDefault="00361651" w:rsidP="009709A2">
            <w:pPr>
              <w:pStyle w:val="IASBTableArial"/>
            </w:pPr>
            <w:r>
              <w:t xml:space="preserve"> </w:t>
            </w:r>
          </w:p>
        </w:tc>
        <w:tc>
          <w:tcPr>
            <w:tcW w:w="1365" w:type="dxa"/>
            <w:tcBorders>
              <w:top w:val="nil"/>
              <w:left w:val="nil"/>
            </w:tcBorders>
            <w:vAlign w:val="bottom"/>
          </w:tcPr>
          <w:p w14:paraId="0BB2E29D" w14:textId="77777777" w:rsidR="00361651" w:rsidRDefault="00361651" w:rsidP="009709A2">
            <w:pPr>
              <w:pStyle w:val="IASBTableArial"/>
            </w:pPr>
          </w:p>
        </w:tc>
        <w:tc>
          <w:tcPr>
            <w:tcW w:w="455" w:type="dxa"/>
            <w:tcBorders>
              <w:top w:val="nil"/>
              <w:left w:val="nil"/>
            </w:tcBorders>
            <w:vAlign w:val="bottom"/>
          </w:tcPr>
          <w:p w14:paraId="0BB2E29E" w14:textId="77777777" w:rsidR="00361651" w:rsidRDefault="00361651" w:rsidP="009709A2">
            <w:pPr>
              <w:pStyle w:val="IASBTableArial"/>
            </w:pPr>
          </w:p>
        </w:tc>
        <w:tc>
          <w:tcPr>
            <w:tcW w:w="1365" w:type="dxa"/>
            <w:tcBorders>
              <w:top w:val="nil"/>
              <w:left w:val="nil"/>
            </w:tcBorders>
            <w:vAlign w:val="bottom"/>
          </w:tcPr>
          <w:p w14:paraId="0BB2E29F" w14:textId="77777777" w:rsidR="00361651" w:rsidRDefault="00361651" w:rsidP="009709A2">
            <w:pPr>
              <w:pStyle w:val="IASBTableArial"/>
            </w:pPr>
          </w:p>
        </w:tc>
        <w:tc>
          <w:tcPr>
            <w:tcW w:w="455" w:type="dxa"/>
            <w:tcBorders>
              <w:top w:val="nil"/>
              <w:left w:val="nil"/>
            </w:tcBorders>
            <w:vAlign w:val="bottom"/>
          </w:tcPr>
          <w:p w14:paraId="0BB2E2A0" w14:textId="77777777" w:rsidR="00361651" w:rsidRDefault="00361651" w:rsidP="009709A2">
            <w:pPr>
              <w:pStyle w:val="IASBTableArial"/>
              <w:jc w:val="right"/>
            </w:pPr>
          </w:p>
        </w:tc>
        <w:tc>
          <w:tcPr>
            <w:tcW w:w="1365" w:type="dxa"/>
            <w:tcBorders>
              <w:top w:val="nil"/>
              <w:left w:val="nil"/>
              <w:bottom w:val="double" w:sz="4" w:space="0" w:color="auto"/>
            </w:tcBorders>
            <w:vAlign w:val="bottom"/>
          </w:tcPr>
          <w:p w14:paraId="0BB2E2A1" w14:textId="77777777" w:rsidR="00361651" w:rsidRDefault="00361651" w:rsidP="009709A2">
            <w:pPr>
              <w:pStyle w:val="IASBTableArial"/>
              <w:jc w:val="right"/>
            </w:pPr>
            <w:r>
              <w:t>1,360</w:t>
            </w:r>
          </w:p>
        </w:tc>
      </w:tr>
      <w:tr w:rsidR="00361651" w14:paraId="0BB2E2AB" w14:textId="77777777" w:rsidTr="009709A2">
        <w:trPr>
          <w:cantSplit/>
        </w:trPr>
        <w:tc>
          <w:tcPr>
            <w:tcW w:w="1419" w:type="dxa"/>
            <w:tcBorders>
              <w:top w:val="nil"/>
            </w:tcBorders>
            <w:vAlign w:val="bottom"/>
          </w:tcPr>
          <w:p w14:paraId="0BB2E2A3" w14:textId="77777777" w:rsidR="00361651" w:rsidRDefault="00361651" w:rsidP="009709A2">
            <w:pPr>
              <w:pStyle w:val="IASBTableArial"/>
            </w:pPr>
          </w:p>
        </w:tc>
        <w:tc>
          <w:tcPr>
            <w:tcW w:w="1365" w:type="dxa"/>
            <w:tcBorders>
              <w:top w:val="nil"/>
              <w:left w:val="nil"/>
            </w:tcBorders>
            <w:vAlign w:val="bottom"/>
          </w:tcPr>
          <w:p w14:paraId="0BB2E2A4" w14:textId="77777777" w:rsidR="00361651" w:rsidRDefault="00361651" w:rsidP="009709A2">
            <w:pPr>
              <w:pStyle w:val="IASBTableArial"/>
            </w:pPr>
          </w:p>
        </w:tc>
        <w:tc>
          <w:tcPr>
            <w:tcW w:w="455" w:type="dxa"/>
            <w:tcBorders>
              <w:top w:val="nil"/>
              <w:left w:val="nil"/>
            </w:tcBorders>
            <w:vAlign w:val="bottom"/>
          </w:tcPr>
          <w:p w14:paraId="0BB2E2A5" w14:textId="77777777" w:rsidR="00361651" w:rsidRDefault="00361651" w:rsidP="009709A2">
            <w:pPr>
              <w:pStyle w:val="IASBTableArial"/>
            </w:pPr>
          </w:p>
        </w:tc>
        <w:tc>
          <w:tcPr>
            <w:tcW w:w="1365" w:type="dxa"/>
            <w:tcBorders>
              <w:top w:val="nil"/>
              <w:left w:val="nil"/>
            </w:tcBorders>
            <w:vAlign w:val="bottom"/>
          </w:tcPr>
          <w:p w14:paraId="0BB2E2A6" w14:textId="77777777" w:rsidR="00361651" w:rsidRDefault="00361651" w:rsidP="009709A2">
            <w:pPr>
              <w:pStyle w:val="IASBTableArial"/>
            </w:pPr>
          </w:p>
        </w:tc>
        <w:tc>
          <w:tcPr>
            <w:tcW w:w="455" w:type="dxa"/>
            <w:tcBorders>
              <w:top w:val="nil"/>
              <w:left w:val="nil"/>
            </w:tcBorders>
            <w:vAlign w:val="bottom"/>
          </w:tcPr>
          <w:p w14:paraId="0BB2E2A7" w14:textId="77777777" w:rsidR="00361651" w:rsidRDefault="00361651" w:rsidP="009709A2">
            <w:pPr>
              <w:pStyle w:val="IASBTableArial"/>
            </w:pPr>
          </w:p>
        </w:tc>
        <w:tc>
          <w:tcPr>
            <w:tcW w:w="1365" w:type="dxa"/>
            <w:tcBorders>
              <w:top w:val="nil"/>
              <w:left w:val="nil"/>
            </w:tcBorders>
            <w:vAlign w:val="bottom"/>
          </w:tcPr>
          <w:p w14:paraId="0BB2E2A8" w14:textId="77777777" w:rsidR="00361651" w:rsidRDefault="00361651" w:rsidP="009709A2">
            <w:pPr>
              <w:pStyle w:val="IASBTableArial"/>
            </w:pPr>
          </w:p>
        </w:tc>
        <w:tc>
          <w:tcPr>
            <w:tcW w:w="455" w:type="dxa"/>
            <w:tcBorders>
              <w:top w:val="nil"/>
              <w:left w:val="nil"/>
            </w:tcBorders>
            <w:vAlign w:val="bottom"/>
          </w:tcPr>
          <w:p w14:paraId="0BB2E2A9" w14:textId="77777777" w:rsidR="00361651" w:rsidRDefault="00361651" w:rsidP="009709A2">
            <w:pPr>
              <w:pStyle w:val="IASBTableArial"/>
              <w:jc w:val="right"/>
            </w:pPr>
          </w:p>
        </w:tc>
        <w:tc>
          <w:tcPr>
            <w:tcW w:w="1365" w:type="dxa"/>
            <w:tcBorders>
              <w:top w:val="nil"/>
              <w:left w:val="nil"/>
            </w:tcBorders>
            <w:vAlign w:val="bottom"/>
          </w:tcPr>
          <w:p w14:paraId="0BB2E2AA" w14:textId="77777777" w:rsidR="00361651" w:rsidRDefault="00361651" w:rsidP="009709A2">
            <w:pPr>
              <w:pStyle w:val="IASBTableArial"/>
            </w:pPr>
          </w:p>
        </w:tc>
      </w:tr>
      <w:tr w:rsidR="00361651" w14:paraId="0BB2E2AF" w14:textId="77777777" w:rsidTr="009709A2">
        <w:trPr>
          <w:cantSplit/>
        </w:trPr>
        <w:tc>
          <w:tcPr>
            <w:tcW w:w="8244" w:type="dxa"/>
            <w:gridSpan w:val="8"/>
            <w:tcBorders>
              <w:top w:val="nil"/>
            </w:tcBorders>
            <w:vAlign w:val="bottom"/>
          </w:tcPr>
          <w:p w14:paraId="0BB2E2AC" w14:textId="77777777" w:rsidR="00FC4CD4" w:rsidRDefault="00361651" w:rsidP="00FC4CD4">
            <w:pPr>
              <w:pStyle w:val="IASBTableTNR"/>
              <w:ind w:left="397" w:hanging="397"/>
              <w:rPr>
                <w:sz w:val="16"/>
              </w:rPr>
            </w:pPr>
            <w:r>
              <w:rPr>
                <w:rStyle w:val="FootnoteReference"/>
                <w:sz w:val="16"/>
                <w:vertAlign w:val="baseline"/>
              </w:rPr>
              <w:t>(a)</w:t>
            </w:r>
            <w:r>
              <w:rPr>
                <w:rStyle w:val="FootnoteReference"/>
                <w:sz w:val="16"/>
                <w:vertAlign w:val="baseline"/>
              </w:rPr>
              <w:tab/>
              <w:t>The present value factor is calculated as k = 1/(1+a)</w:t>
            </w:r>
            <w:r>
              <w:rPr>
                <w:rStyle w:val="FootnoteReference"/>
                <w:sz w:val="16"/>
              </w:rPr>
              <w:t>n</w:t>
            </w:r>
            <w:r>
              <w:rPr>
                <w:rStyle w:val="FootnoteReference"/>
                <w:sz w:val="16"/>
                <w:vertAlign w:val="baseline"/>
              </w:rPr>
              <w:t>, where a = discount rate and n = period of discount.</w:t>
            </w:r>
          </w:p>
          <w:p w14:paraId="0BB2E2AD" w14:textId="77777777" w:rsidR="00FC4CD4" w:rsidRDefault="00361651" w:rsidP="00FC4CD4">
            <w:pPr>
              <w:pStyle w:val="IASBTableTNR"/>
              <w:spacing w:before="0"/>
              <w:ind w:left="397" w:hanging="397"/>
              <w:rPr>
                <w:sz w:val="16"/>
              </w:rPr>
            </w:pPr>
            <w:r>
              <w:t>(</w:t>
            </w:r>
            <w:r>
              <w:rPr>
                <w:rStyle w:val="FootnoteReference"/>
                <w:sz w:val="16"/>
                <w:vertAlign w:val="baseline"/>
              </w:rPr>
              <w:t>b)</w:t>
            </w:r>
            <w:r>
              <w:rPr>
                <w:rStyle w:val="FootnoteReference"/>
                <w:sz w:val="16"/>
                <w:vertAlign w:val="baseline"/>
              </w:rPr>
              <w:tab/>
              <w:t>Based on management’s best estimate of net cash flow projections (after the 40% cut).</w:t>
            </w:r>
          </w:p>
          <w:p w14:paraId="0BB2E2AE" w14:textId="77777777" w:rsidR="00361651" w:rsidRDefault="00361651" w:rsidP="00FC4CD4">
            <w:pPr>
              <w:pStyle w:val="IASBTableTNR"/>
              <w:spacing w:before="0"/>
              <w:ind w:left="397" w:hanging="397"/>
            </w:pPr>
            <w:r>
              <w:rPr>
                <w:rStyle w:val="FootnoteReference"/>
                <w:sz w:val="16"/>
                <w:vertAlign w:val="baseline"/>
              </w:rPr>
              <w:t>(c)</w:t>
            </w:r>
            <w:r>
              <w:rPr>
                <w:rStyle w:val="FootnoteReference"/>
                <w:sz w:val="16"/>
                <w:vertAlign w:val="baseline"/>
              </w:rPr>
              <w:tab/>
              <w:t>Based on an extrapolation from preceding year cash flow using declining growth rates.</w:t>
            </w:r>
          </w:p>
        </w:tc>
      </w:tr>
    </w:tbl>
    <w:p w14:paraId="0BB2E2B0" w14:textId="77777777" w:rsidR="00361651" w:rsidRDefault="00361651" w:rsidP="00361651">
      <w:pPr>
        <w:pStyle w:val="IASBNormalnpara"/>
      </w:pPr>
    </w:p>
    <w:p w14:paraId="0BB2E2B1" w14:textId="77777777" w:rsidR="00361651" w:rsidRDefault="00361651" w:rsidP="00361651">
      <w:pPr>
        <w:pStyle w:val="IASBNormalnparaP"/>
      </w:pPr>
      <w:r>
        <w:t>Schedule 3. Calculation and allocation of the impairment loss for the Country A cash-generating unit at the beginning of 20X2</w:t>
      </w:r>
    </w:p>
    <w:p w14:paraId="0BB2E2B2"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11"/>
      </w:tblPr>
      <w:tblGrid>
        <w:gridCol w:w="3694"/>
        <w:gridCol w:w="1456"/>
        <w:gridCol w:w="455"/>
        <w:gridCol w:w="1092"/>
        <w:gridCol w:w="455"/>
        <w:gridCol w:w="1092"/>
      </w:tblGrid>
      <w:tr w:rsidR="00361651" w14:paraId="0BB2E2B7" w14:textId="77777777" w:rsidTr="009709A2">
        <w:trPr>
          <w:cantSplit/>
          <w:tblHeader/>
        </w:trPr>
        <w:tc>
          <w:tcPr>
            <w:tcW w:w="3694" w:type="dxa"/>
          </w:tcPr>
          <w:p w14:paraId="0BB2E2B3" w14:textId="77777777" w:rsidR="00361651" w:rsidRDefault="00361651" w:rsidP="002D54B2">
            <w:pPr>
              <w:pStyle w:val="IASBTableHeaderArial"/>
              <w:spacing w:after="120"/>
            </w:pPr>
            <w:r>
              <w:rPr>
                <w:rFonts w:ascii="Times New Roman" w:hAnsi="Times New Roman"/>
                <w:i/>
                <w:snapToGrid w:val="0"/>
                <w:sz w:val="16"/>
              </w:rPr>
              <w:t>Beginning of 20X2</w:t>
            </w:r>
          </w:p>
        </w:tc>
        <w:tc>
          <w:tcPr>
            <w:tcW w:w="1456" w:type="dxa"/>
            <w:tcBorders>
              <w:left w:val="nil"/>
            </w:tcBorders>
          </w:tcPr>
          <w:p w14:paraId="0BB2E2B4" w14:textId="77777777" w:rsidR="00361651" w:rsidRDefault="00361651" w:rsidP="002D54B2">
            <w:pPr>
              <w:pStyle w:val="IASBTableHeaderArial"/>
              <w:spacing w:after="120"/>
              <w:jc w:val="right"/>
            </w:pPr>
            <w:r>
              <w:rPr>
                <w:rFonts w:ascii="Times New Roman" w:hAnsi="Times New Roman"/>
                <w:i/>
                <w:snapToGrid w:val="0"/>
                <w:sz w:val="16"/>
              </w:rPr>
              <w:t>Goodwill</w:t>
            </w:r>
          </w:p>
        </w:tc>
        <w:tc>
          <w:tcPr>
            <w:tcW w:w="1547" w:type="dxa"/>
            <w:gridSpan w:val="2"/>
            <w:tcBorders>
              <w:left w:val="nil"/>
            </w:tcBorders>
          </w:tcPr>
          <w:p w14:paraId="0BB2E2B5" w14:textId="77777777" w:rsidR="00361651" w:rsidRDefault="00361651" w:rsidP="002D54B2">
            <w:pPr>
              <w:pStyle w:val="IASBTableHeaderArial"/>
              <w:spacing w:after="120"/>
              <w:jc w:val="right"/>
            </w:pPr>
            <w:r>
              <w:rPr>
                <w:rFonts w:ascii="Times New Roman" w:hAnsi="Times New Roman"/>
                <w:i/>
                <w:snapToGrid w:val="0"/>
                <w:sz w:val="16"/>
              </w:rPr>
              <w:t>Identifiable assets</w:t>
            </w:r>
          </w:p>
        </w:tc>
        <w:tc>
          <w:tcPr>
            <w:tcW w:w="1547" w:type="dxa"/>
            <w:gridSpan w:val="2"/>
            <w:tcBorders>
              <w:left w:val="nil"/>
            </w:tcBorders>
          </w:tcPr>
          <w:p w14:paraId="0BB2E2B6" w14:textId="77777777" w:rsidR="00361651" w:rsidRDefault="00361651" w:rsidP="002D54B2">
            <w:pPr>
              <w:pStyle w:val="IASBTableHeaderArial"/>
              <w:spacing w:after="120"/>
              <w:jc w:val="right"/>
            </w:pPr>
            <w:r>
              <w:rPr>
                <w:rFonts w:ascii="Times New Roman" w:hAnsi="Times New Roman"/>
                <w:i/>
                <w:snapToGrid w:val="0"/>
                <w:sz w:val="16"/>
              </w:rPr>
              <w:t>Total</w:t>
            </w:r>
          </w:p>
        </w:tc>
      </w:tr>
      <w:tr w:rsidR="00361651" w14:paraId="0BB2E2BE" w14:textId="77777777" w:rsidTr="009709A2">
        <w:trPr>
          <w:cantSplit/>
          <w:tblHeader/>
        </w:trPr>
        <w:tc>
          <w:tcPr>
            <w:tcW w:w="3694" w:type="dxa"/>
            <w:tcBorders>
              <w:top w:val="nil"/>
            </w:tcBorders>
          </w:tcPr>
          <w:p w14:paraId="0BB2E2B8" w14:textId="77777777" w:rsidR="00361651" w:rsidRDefault="00361651" w:rsidP="002D54B2">
            <w:pPr>
              <w:pStyle w:val="IASBTableHeaderArial"/>
              <w:spacing w:after="120"/>
            </w:pPr>
          </w:p>
        </w:tc>
        <w:tc>
          <w:tcPr>
            <w:tcW w:w="1456" w:type="dxa"/>
            <w:tcBorders>
              <w:top w:val="nil"/>
              <w:left w:val="nil"/>
            </w:tcBorders>
          </w:tcPr>
          <w:p w14:paraId="0BB2E2B9" w14:textId="77777777" w:rsidR="00361651" w:rsidRDefault="00361651" w:rsidP="002D54B2">
            <w:pPr>
              <w:pStyle w:val="IASBTableHeaderArial"/>
              <w:spacing w:after="120"/>
              <w:jc w:val="right"/>
            </w:pPr>
            <w:r>
              <w:rPr>
                <w:b/>
              </w:rPr>
              <w:t>CU</w:t>
            </w:r>
          </w:p>
        </w:tc>
        <w:tc>
          <w:tcPr>
            <w:tcW w:w="455" w:type="dxa"/>
            <w:tcBorders>
              <w:top w:val="nil"/>
              <w:left w:val="nil"/>
            </w:tcBorders>
            <w:vAlign w:val="bottom"/>
          </w:tcPr>
          <w:p w14:paraId="0BB2E2BA" w14:textId="77777777" w:rsidR="00361651" w:rsidRDefault="00361651" w:rsidP="002D54B2">
            <w:pPr>
              <w:pStyle w:val="IASBTableHeaderArial"/>
              <w:spacing w:after="120"/>
            </w:pPr>
          </w:p>
        </w:tc>
        <w:tc>
          <w:tcPr>
            <w:tcW w:w="1092" w:type="dxa"/>
            <w:tcBorders>
              <w:top w:val="nil"/>
              <w:left w:val="nil"/>
            </w:tcBorders>
          </w:tcPr>
          <w:p w14:paraId="0BB2E2BB" w14:textId="77777777" w:rsidR="00361651" w:rsidRDefault="00361651" w:rsidP="002D54B2">
            <w:pPr>
              <w:pStyle w:val="IASBTableHeaderArial"/>
              <w:spacing w:after="120"/>
              <w:jc w:val="right"/>
            </w:pPr>
            <w:r>
              <w:rPr>
                <w:b/>
              </w:rPr>
              <w:t>CU</w:t>
            </w:r>
          </w:p>
        </w:tc>
        <w:tc>
          <w:tcPr>
            <w:tcW w:w="455" w:type="dxa"/>
            <w:tcBorders>
              <w:top w:val="nil"/>
              <w:left w:val="nil"/>
            </w:tcBorders>
            <w:vAlign w:val="bottom"/>
          </w:tcPr>
          <w:p w14:paraId="0BB2E2BC" w14:textId="77777777" w:rsidR="00361651" w:rsidRDefault="00361651" w:rsidP="002D54B2">
            <w:pPr>
              <w:pStyle w:val="IASBTableHeaderArial"/>
              <w:spacing w:after="120"/>
            </w:pPr>
          </w:p>
        </w:tc>
        <w:tc>
          <w:tcPr>
            <w:tcW w:w="1092" w:type="dxa"/>
            <w:tcBorders>
              <w:top w:val="nil"/>
              <w:left w:val="nil"/>
            </w:tcBorders>
          </w:tcPr>
          <w:p w14:paraId="0BB2E2BD" w14:textId="77777777" w:rsidR="00361651" w:rsidRDefault="00361651" w:rsidP="002D54B2">
            <w:pPr>
              <w:pStyle w:val="IASBTableHeaderArial"/>
              <w:spacing w:after="120"/>
              <w:jc w:val="right"/>
            </w:pPr>
            <w:r>
              <w:rPr>
                <w:b/>
              </w:rPr>
              <w:t>CU</w:t>
            </w:r>
          </w:p>
        </w:tc>
      </w:tr>
      <w:tr w:rsidR="00361651" w14:paraId="0BB2E2C5" w14:textId="77777777" w:rsidTr="009709A2">
        <w:trPr>
          <w:cantSplit/>
        </w:trPr>
        <w:tc>
          <w:tcPr>
            <w:tcW w:w="3694" w:type="dxa"/>
            <w:tcBorders>
              <w:top w:val="nil"/>
            </w:tcBorders>
          </w:tcPr>
          <w:p w14:paraId="0BB2E2BF" w14:textId="77777777" w:rsidR="00361651" w:rsidRDefault="00361651" w:rsidP="009709A2">
            <w:pPr>
              <w:pStyle w:val="IASBTableArial"/>
            </w:pPr>
            <w:r>
              <w:t>Historical cost</w:t>
            </w:r>
          </w:p>
        </w:tc>
        <w:tc>
          <w:tcPr>
            <w:tcW w:w="1456" w:type="dxa"/>
            <w:tcBorders>
              <w:top w:val="nil"/>
              <w:left w:val="nil"/>
            </w:tcBorders>
            <w:vAlign w:val="bottom"/>
          </w:tcPr>
          <w:p w14:paraId="0BB2E2C0" w14:textId="77777777" w:rsidR="00361651" w:rsidRDefault="00361651" w:rsidP="009709A2">
            <w:pPr>
              <w:pStyle w:val="IASBTableArial"/>
              <w:jc w:val="right"/>
            </w:pPr>
            <w:r>
              <w:t>1,000</w:t>
            </w:r>
          </w:p>
        </w:tc>
        <w:tc>
          <w:tcPr>
            <w:tcW w:w="455" w:type="dxa"/>
            <w:tcBorders>
              <w:top w:val="nil"/>
              <w:left w:val="nil"/>
            </w:tcBorders>
            <w:vAlign w:val="bottom"/>
          </w:tcPr>
          <w:p w14:paraId="0BB2E2C1" w14:textId="77777777" w:rsidR="00361651" w:rsidRDefault="00361651" w:rsidP="009709A2">
            <w:pPr>
              <w:pStyle w:val="IASBTableArial"/>
            </w:pPr>
          </w:p>
        </w:tc>
        <w:tc>
          <w:tcPr>
            <w:tcW w:w="1092" w:type="dxa"/>
            <w:tcBorders>
              <w:top w:val="nil"/>
              <w:left w:val="nil"/>
            </w:tcBorders>
            <w:vAlign w:val="bottom"/>
          </w:tcPr>
          <w:p w14:paraId="0BB2E2C2" w14:textId="77777777" w:rsidR="00361651" w:rsidRDefault="00361651" w:rsidP="009709A2">
            <w:pPr>
              <w:pStyle w:val="IASBTableArial"/>
              <w:jc w:val="right"/>
            </w:pPr>
            <w:r>
              <w:t>2,000</w:t>
            </w:r>
          </w:p>
        </w:tc>
        <w:tc>
          <w:tcPr>
            <w:tcW w:w="455" w:type="dxa"/>
            <w:tcBorders>
              <w:top w:val="nil"/>
              <w:left w:val="nil"/>
            </w:tcBorders>
            <w:vAlign w:val="bottom"/>
          </w:tcPr>
          <w:p w14:paraId="0BB2E2C3" w14:textId="77777777" w:rsidR="00361651" w:rsidRDefault="00361651" w:rsidP="009709A2">
            <w:pPr>
              <w:pStyle w:val="IASBTableArial"/>
            </w:pPr>
          </w:p>
        </w:tc>
        <w:tc>
          <w:tcPr>
            <w:tcW w:w="1092" w:type="dxa"/>
            <w:tcBorders>
              <w:top w:val="nil"/>
              <w:left w:val="nil"/>
            </w:tcBorders>
            <w:vAlign w:val="bottom"/>
          </w:tcPr>
          <w:p w14:paraId="0BB2E2C4" w14:textId="77777777" w:rsidR="00361651" w:rsidRDefault="00361651" w:rsidP="009709A2">
            <w:pPr>
              <w:pStyle w:val="IASBTableArial"/>
              <w:jc w:val="right"/>
            </w:pPr>
            <w:r>
              <w:t>3,000</w:t>
            </w:r>
          </w:p>
        </w:tc>
      </w:tr>
      <w:tr w:rsidR="00361651" w14:paraId="0BB2E2CC" w14:textId="77777777" w:rsidTr="009709A2">
        <w:trPr>
          <w:cantSplit/>
        </w:trPr>
        <w:tc>
          <w:tcPr>
            <w:tcW w:w="3694" w:type="dxa"/>
            <w:tcBorders>
              <w:top w:val="nil"/>
            </w:tcBorders>
          </w:tcPr>
          <w:p w14:paraId="0BB2E2C6" w14:textId="77777777" w:rsidR="00361651" w:rsidRDefault="00361651" w:rsidP="009709A2">
            <w:pPr>
              <w:pStyle w:val="IASBTableArial"/>
            </w:pPr>
            <w:r>
              <w:t>Accumulated depreciation (20X1)</w:t>
            </w:r>
          </w:p>
        </w:tc>
        <w:tc>
          <w:tcPr>
            <w:tcW w:w="1456" w:type="dxa"/>
            <w:tcBorders>
              <w:top w:val="nil"/>
              <w:left w:val="nil"/>
              <w:bottom w:val="single" w:sz="4" w:space="0" w:color="auto"/>
            </w:tcBorders>
            <w:vAlign w:val="bottom"/>
          </w:tcPr>
          <w:p w14:paraId="0BB2E2C7" w14:textId="77777777" w:rsidR="00361651" w:rsidRDefault="00361651" w:rsidP="009709A2">
            <w:pPr>
              <w:pStyle w:val="IASBTableArial"/>
              <w:jc w:val="right"/>
            </w:pPr>
            <w:r>
              <w:t>–</w:t>
            </w:r>
          </w:p>
        </w:tc>
        <w:tc>
          <w:tcPr>
            <w:tcW w:w="455" w:type="dxa"/>
            <w:tcBorders>
              <w:top w:val="nil"/>
              <w:left w:val="nil"/>
            </w:tcBorders>
            <w:vAlign w:val="bottom"/>
          </w:tcPr>
          <w:p w14:paraId="0BB2E2C8" w14:textId="77777777" w:rsidR="00361651" w:rsidRDefault="00361651" w:rsidP="009709A2">
            <w:pPr>
              <w:pStyle w:val="IASBTableArial"/>
            </w:pPr>
          </w:p>
        </w:tc>
        <w:tc>
          <w:tcPr>
            <w:tcW w:w="1092" w:type="dxa"/>
            <w:tcBorders>
              <w:top w:val="nil"/>
              <w:left w:val="nil"/>
              <w:bottom w:val="single" w:sz="4" w:space="0" w:color="auto"/>
            </w:tcBorders>
            <w:vAlign w:val="bottom"/>
          </w:tcPr>
          <w:p w14:paraId="0BB2E2C9" w14:textId="77777777" w:rsidR="00361651" w:rsidRDefault="00361651" w:rsidP="009709A2">
            <w:pPr>
              <w:pStyle w:val="IASBTableArial"/>
              <w:jc w:val="right"/>
            </w:pPr>
            <w:r>
              <w:t>(167)</w:t>
            </w:r>
          </w:p>
        </w:tc>
        <w:tc>
          <w:tcPr>
            <w:tcW w:w="455" w:type="dxa"/>
            <w:tcBorders>
              <w:top w:val="nil"/>
              <w:left w:val="nil"/>
            </w:tcBorders>
            <w:vAlign w:val="bottom"/>
          </w:tcPr>
          <w:p w14:paraId="0BB2E2CA" w14:textId="77777777" w:rsidR="00361651" w:rsidRDefault="00361651" w:rsidP="009709A2">
            <w:pPr>
              <w:pStyle w:val="IASBTableArial"/>
            </w:pPr>
          </w:p>
        </w:tc>
        <w:tc>
          <w:tcPr>
            <w:tcW w:w="1092" w:type="dxa"/>
            <w:tcBorders>
              <w:top w:val="nil"/>
              <w:left w:val="nil"/>
              <w:bottom w:val="single" w:sz="4" w:space="0" w:color="auto"/>
            </w:tcBorders>
            <w:vAlign w:val="bottom"/>
          </w:tcPr>
          <w:p w14:paraId="0BB2E2CB" w14:textId="77777777" w:rsidR="00361651" w:rsidRDefault="00361651" w:rsidP="009709A2">
            <w:pPr>
              <w:pStyle w:val="IASBTableArial"/>
              <w:jc w:val="right"/>
            </w:pPr>
            <w:r>
              <w:t>(167)</w:t>
            </w:r>
          </w:p>
        </w:tc>
      </w:tr>
      <w:tr w:rsidR="00361651" w14:paraId="0BB2E2D3" w14:textId="77777777" w:rsidTr="009709A2">
        <w:trPr>
          <w:cantSplit/>
        </w:trPr>
        <w:tc>
          <w:tcPr>
            <w:tcW w:w="3694" w:type="dxa"/>
            <w:tcBorders>
              <w:top w:val="nil"/>
            </w:tcBorders>
          </w:tcPr>
          <w:p w14:paraId="0BB2E2CD" w14:textId="77777777" w:rsidR="00361651" w:rsidRDefault="00361651" w:rsidP="009709A2">
            <w:pPr>
              <w:pStyle w:val="IASBTableArial"/>
            </w:pPr>
            <w:r>
              <w:t>Carrying amount</w:t>
            </w:r>
          </w:p>
        </w:tc>
        <w:tc>
          <w:tcPr>
            <w:tcW w:w="1456" w:type="dxa"/>
            <w:tcBorders>
              <w:top w:val="nil"/>
              <w:left w:val="nil"/>
            </w:tcBorders>
            <w:vAlign w:val="bottom"/>
          </w:tcPr>
          <w:p w14:paraId="0BB2E2CE" w14:textId="77777777" w:rsidR="00361651" w:rsidRDefault="00361651" w:rsidP="009709A2">
            <w:pPr>
              <w:pStyle w:val="IASBTableArial"/>
              <w:jc w:val="right"/>
            </w:pPr>
            <w:r>
              <w:t>1,000</w:t>
            </w:r>
          </w:p>
        </w:tc>
        <w:tc>
          <w:tcPr>
            <w:tcW w:w="455" w:type="dxa"/>
            <w:tcBorders>
              <w:top w:val="nil"/>
              <w:left w:val="nil"/>
            </w:tcBorders>
            <w:vAlign w:val="bottom"/>
          </w:tcPr>
          <w:p w14:paraId="0BB2E2CF" w14:textId="77777777" w:rsidR="00361651" w:rsidRDefault="00361651" w:rsidP="009709A2">
            <w:pPr>
              <w:pStyle w:val="IASBTableArial"/>
            </w:pPr>
          </w:p>
        </w:tc>
        <w:tc>
          <w:tcPr>
            <w:tcW w:w="1092" w:type="dxa"/>
            <w:tcBorders>
              <w:top w:val="nil"/>
              <w:left w:val="nil"/>
            </w:tcBorders>
            <w:vAlign w:val="bottom"/>
          </w:tcPr>
          <w:p w14:paraId="0BB2E2D0" w14:textId="77777777" w:rsidR="00361651" w:rsidRDefault="00361651" w:rsidP="009709A2">
            <w:pPr>
              <w:pStyle w:val="IASBTableArial"/>
              <w:jc w:val="right"/>
            </w:pPr>
            <w:r>
              <w:t>1,833</w:t>
            </w:r>
          </w:p>
        </w:tc>
        <w:tc>
          <w:tcPr>
            <w:tcW w:w="455" w:type="dxa"/>
            <w:tcBorders>
              <w:top w:val="nil"/>
              <w:left w:val="nil"/>
            </w:tcBorders>
            <w:vAlign w:val="bottom"/>
          </w:tcPr>
          <w:p w14:paraId="0BB2E2D1" w14:textId="77777777" w:rsidR="00361651" w:rsidRDefault="00361651" w:rsidP="009709A2">
            <w:pPr>
              <w:pStyle w:val="IASBTableArial"/>
            </w:pPr>
          </w:p>
        </w:tc>
        <w:tc>
          <w:tcPr>
            <w:tcW w:w="1092" w:type="dxa"/>
            <w:tcBorders>
              <w:top w:val="nil"/>
              <w:left w:val="nil"/>
            </w:tcBorders>
            <w:vAlign w:val="bottom"/>
          </w:tcPr>
          <w:p w14:paraId="0BB2E2D2" w14:textId="77777777" w:rsidR="00361651" w:rsidRDefault="00361651" w:rsidP="009709A2">
            <w:pPr>
              <w:pStyle w:val="IASBTableArial"/>
              <w:jc w:val="right"/>
            </w:pPr>
            <w:r>
              <w:t>2,833</w:t>
            </w:r>
          </w:p>
        </w:tc>
      </w:tr>
      <w:tr w:rsidR="00361651" w14:paraId="0BB2E2DA" w14:textId="77777777" w:rsidTr="009709A2">
        <w:trPr>
          <w:cantSplit/>
        </w:trPr>
        <w:tc>
          <w:tcPr>
            <w:tcW w:w="3694" w:type="dxa"/>
            <w:tcBorders>
              <w:top w:val="nil"/>
            </w:tcBorders>
          </w:tcPr>
          <w:p w14:paraId="0BB2E2D4" w14:textId="77777777" w:rsidR="00361651" w:rsidRDefault="00361651" w:rsidP="009709A2">
            <w:pPr>
              <w:pStyle w:val="IASBTableArial"/>
            </w:pPr>
            <w:r>
              <w:t>Impairment loss</w:t>
            </w:r>
          </w:p>
        </w:tc>
        <w:tc>
          <w:tcPr>
            <w:tcW w:w="1456" w:type="dxa"/>
            <w:tcBorders>
              <w:top w:val="nil"/>
              <w:left w:val="nil"/>
              <w:bottom w:val="single" w:sz="4" w:space="0" w:color="auto"/>
            </w:tcBorders>
            <w:vAlign w:val="bottom"/>
          </w:tcPr>
          <w:p w14:paraId="0BB2E2D5" w14:textId="77777777" w:rsidR="00361651" w:rsidRDefault="00361651" w:rsidP="009709A2">
            <w:pPr>
              <w:pStyle w:val="IASBTableArial"/>
              <w:jc w:val="right"/>
            </w:pPr>
            <w:r>
              <w:t>(1,000)</w:t>
            </w:r>
          </w:p>
        </w:tc>
        <w:tc>
          <w:tcPr>
            <w:tcW w:w="455" w:type="dxa"/>
            <w:tcBorders>
              <w:top w:val="nil"/>
              <w:left w:val="nil"/>
            </w:tcBorders>
            <w:vAlign w:val="bottom"/>
          </w:tcPr>
          <w:p w14:paraId="0BB2E2D6" w14:textId="77777777" w:rsidR="00361651" w:rsidRDefault="00361651" w:rsidP="009709A2">
            <w:pPr>
              <w:pStyle w:val="IASBTableArial"/>
            </w:pPr>
          </w:p>
        </w:tc>
        <w:tc>
          <w:tcPr>
            <w:tcW w:w="1092" w:type="dxa"/>
            <w:tcBorders>
              <w:top w:val="nil"/>
              <w:left w:val="nil"/>
              <w:bottom w:val="single" w:sz="4" w:space="0" w:color="auto"/>
            </w:tcBorders>
            <w:vAlign w:val="bottom"/>
          </w:tcPr>
          <w:p w14:paraId="0BB2E2D7" w14:textId="77777777" w:rsidR="00361651" w:rsidRDefault="00361651" w:rsidP="009709A2">
            <w:pPr>
              <w:pStyle w:val="IASBTableArial"/>
              <w:jc w:val="right"/>
            </w:pPr>
            <w:r>
              <w:t>(473)</w:t>
            </w:r>
          </w:p>
        </w:tc>
        <w:tc>
          <w:tcPr>
            <w:tcW w:w="455" w:type="dxa"/>
            <w:tcBorders>
              <w:top w:val="nil"/>
              <w:left w:val="nil"/>
            </w:tcBorders>
            <w:vAlign w:val="bottom"/>
          </w:tcPr>
          <w:p w14:paraId="0BB2E2D8" w14:textId="77777777" w:rsidR="00361651" w:rsidRDefault="00361651" w:rsidP="009709A2">
            <w:pPr>
              <w:pStyle w:val="IASBTableArial"/>
            </w:pPr>
          </w:p>
        </w:tc>
        <w:tc>
          <w:tcPr>
            <w:tcW w:w="1092" w:type="dxa"/>
            <w:tcBorders>
              <w:top w:val="nil"/>
              <w:left w:val="nil"/>
              <w:bottom w:val="single" w:sz="4" w:space="0" w:color="auto"/>
            </w:tcBorders>
            <w:vAlign w:val="bottom"/>
          </w:tcPr>
          <w:p w14:paraId="0BB2E2D9" w14:textId="77777777" w:rsidR="00361651" w:rsidRDefault="00361651" w:rsidP="009709A2">
            <w:pPr>
              <w:pStyle w:val="IASBTableArial"/>
              <w:jc w:val="right"/>
            </w:pPr>
            <w:r>
              <w:t>(1,473)</w:t>
            </w:r>
          </w:p>
        </w:tc>
      </w:tr>
      <w:tr w:rsidR="00361651" w14:paraId="0BB2E2E1" w14:textId="77777777" w:rsidTr="009709A2">
        <w:trPr>
          <w:cantSplit/>
        </w:trPr>
        <w:tc>
          <w:tcPr>
            <w:tcW w:w="3694" w:type="dxa"/>
            <w:tcBorders>
              <w:top w:val="nil"/>
            </w:tcBorders>
          </w:tcPr>
          <w:p w14:paraId="0BB2E2DB" w14:textId="77777777" w:rsidR="00361651" w:rsidRDefault="00361651" w:rsidP="009709A2">
            <w:pPr>
              <w:pStyle w:val="IASBTableArial"/>
            </w:pPr>
            <w:r>
              <w:t>Carrying amount after impairment loss</w:t>
            </w:r>
          </w:p>
        </w:tc>
        <w:tc>
          <w:tcPr>
            <w:tcW w:w="1456" w:type="dxa"/>
            <w:tcBorders>
              <w:top w:val="nil"/>
              <w:left w:val="nil"/>
              <w:bottom w:val="double" w:sz="4" w:space="0" w:color="auto"/>
            </w:tcBorders>
            <w:vAlign w:val="bottom"/>
          </w:tcPr>
          <w:p w14:paraId="0BB2E2DC" w14:textId="77777777" w:rsidR="00361651" w:rsidRDefault="00361651" w:rsidP="009709A2">
            <w:pPr>
              <w:pStyle w:val="IASBTableArial"/>
              <w:jc w:val="right"/>
            </w:pPr>
            <w:r>
              <w:t>–</w:t>
            </w:r>
          </w:p>
        </w:tc>
        <w:tc>
          <w:tcPr>
            <w:tcW w:w="455" w:type="dxa"/>
            <w:tcBorders>
              <w:top w:val="nil"/>
              <w:left w:val="nil"/>
            </w:tcBorders>
            <w:vAlign w:val="bottom"/>
          </w:tcPr>
          <w:p w14:paraId="0BB2E2DD" w14:textId="77777777" w:rsidR="00361651" w:rsidRDefault="00361651" w:rsidP="009709A2">
            <w:pPr>
              <w:pStyle w:val="IASBTableArial"/>
            </w:pPr>
          </w:p>
        </w:tc>
        <w:tc>
          <w:tcPr>
            <w:tcW w:w="1092" w:type="dxa"/>
            <w:tcBorders>
              <w:top w:val="nil"/>
              <w:left w:val="nil"/>
              <w:bottom w:val="double" w:sz="4" w:space="0" w:color="auto"/>
            </w:tcBorders>
            <w:vAlign w:val="bottom"/>
          </w:tcPr>
          <w:p w14:paraId="0BB2E2DE" w14:textId="77777777" w:rsidR="00361651" w:rsidRDefault="00361651" w:rsidP="009709A2">
            <w:pPr>
              <w:pStyle w:val="IASBTableArial"/>
              <w:jc w:val="right"/>
            </w:pPr>
            <w:r>
              <w:t>1,360</w:t>
            </w:r>
          </w:p>
        </w:tc>
        <w:tc>
          <w:tcPr>
            <w:tcW w:w="455" w:type="dxa"/>
            <w:tcBorders>
              <w:top w:val="nil"/>
              <w:left w:val="nil"/>
            </w:tcBorders>
            <w:vAlign w:val="bottom"/>
          </w:tcPr>
          <w:p w14:paraId="0BB2E2DF" w14:textId="77777777" w:rsidR="00361651" w:rsidRDefault="00361651" w:rsidP="009709A2">
            <w:pPr>
              <w:pStyle w:val="IASBTableArial"/>
            </w:pPr>
          </w:p>
        </w:tc>
        <w:tc>
          <w:tcPr>
            <w:tcW w:w="1092" w:type="dxa"/>
            <w:tcBorders>
              <w:top w:val="nil"/>
              <w:left w:val="nil"/>
              <w:bottom w:val="double" w:sz="4" w:space="0" w:color="auto"/>
            </w:tcBorders>
            <w:vAlign w:val="bottom"/>
          </w:tcPr>
          <w:p w14:paraId="0BB2E2E0" w14:textId="77777777" w:rsidR="00361651" w:rsidRDefault="00361651" w:rsidP="009709A2">
            <w:pPr>
              <w:pStyle w:val="IASBTableArial"/>
              <w:jc w:val="right"/>
            </w:pPr>
            <w:r>
              <w:t>1,360</w:t>
            </w:r>
          </w:p>
        </w:tc>
      </w:tr>
    </w:tbl>
    <w:p w14:paraId="0BB2E2E2" w14:textId="77777777" w:rsidR="00361651" w:rsidRDefault="00361651" w:rsidP="00361651">
      <w:pPr>
        <w:pStyle w:val="IASBNormalnpara"/>
      </w:pPr>
    </w:p>
    <w:p w14:paraId="0BB2E2E3" w14:textId="77777777" w:rsidR="00361651" w:rsidRDefault="00361651" w:rsidP="00361651">
      <w:pPr>
        <w:pStyle w:val="IASBSectionTitle1NonInd"/>
      </w:pPr>
      <w:r>
        <w:t>Example 3</w:t>
      </w:r>
      <w:r>
        <w:t> </w:t>
      </w:r>
      <w:r>
        <w:t>Deferred tax effects</w:t>
      </w:r>
    </w:p>
    <w:p w14:paraId="0BB2E2E4" w14:textId="77777777" w:rsidR="00361651" w:rsidRDefault="00361651" w:rsidP="00361651">
      <w:pPr>
        <w:pStyle w:val="IASBNormal"/>
      </w:pPr>
      <w:r>
        <w:rPr>
          <w:i/>
        </w:rPr>
        <w:t>Use the data for entity T as presented in Example 2, with supplementary information as provided in this example.</w:t>
      </w:r>
    </w:p>
    <w:p w14:paraId="0BB2E2E5" w14:textId="4B574EE9" w:rsidR="00361651" w:rsidRDefault="00361651" w:rsidP="00361651">
      <w:pPr>
        <w:pStyle w:val="IASBSectionTitle2Ind"/>
      </w:pPr>
      <w:r>
        <w:t xml:space="preserve">A </w:t>
      </w:r>
      <w:r w:rsidR="002D54B2">
        <w:t xml:space="preserve"> </w:t>
      </w:r>
      <w:r>
        <w:t>Deferred tax effects of the recognition of an impairment loss</w:t>
      </w:r>
    </w:p>
    <w:p w14:paraId="0BB2E2E6" w14:textId="77777777" w:rsidR="00361651" w:rsidRDefault="00361651" w:rsidP="00361651">
      <w:pPr>
        <w:pStyle w:val="IASBNormalnpara"/>
      </w:pPr>
      <w:r>
        <w:t>IE33</w:t>
      </w:r>
      <w:r>
        <w:tab/>
        <w:t>At the beginning of 20X2, the tax base of the identifiable assets of the Country A cash-generating unit is CU900. Impairment losses are not deductible for tax purposes. The tax rate is 40 per cent.</w:t>
      </w:r>
    </w:p>
    <w:p w14:paraId="0BB2E2E7" w14:textId="77777777" w:rsidR="00361651" w:rsidRDefault="00361651" w:rsidP="00361651">
      <w:pPr>
        <w:pStyle w:val="IASBNormalnpara"/>
      </w:pPr>
      <w:r>
        <w:t>IE34</w:t>
      </w:r>
      <w:r>
        <w:tab/>
        <w:t xml:space="preserve">The recognition of an impairment loss on the assets of the Country A cash-generating unit reduces the taxable temporary difference related to those assets. The deferred tax liability is reduced accordingly. </w:t>
      </w:r>
    </w:p>
    <w:p w14:paraId="0BB2E2E8"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12"/>
      </w:tblPr>
      <w:tblGrid>
        <w:gridCol w:w="3239"/>
        <w:gridCol w:w="1456"/>
        <w:gridCol w:w="455"/>
        <w:gridCol w:w="1365"/>
        <w:gridCol w:w="455"/>
        <w:gridCol w:w="1092"/>
      </w:tblGrid>
      <w:tr w:rsidR="00361651" w14:paraId="0BB2E2ED" w14:textId="77777777" w:rsidTr="009709A2">
        <w:trPr>
          <w:cantSplit/>
          <w:tblHeader/>
        </w:trPr>
        <w:tc>
          <w:tcPr>
            <w:tcW w:w="3239" w:type="dxa"/>
          </w:tcPr>
          <w:p w14:paraId="0BB2E2E9" w14:textId="77777777" w:rsidR="00361651" w:rsidRDefault="00361651" w:rsidP="002D54B2">
            <w:pPr>
              <w:pStyle w:val="IASBTableHeaderArial"/>
              <w:spacing w:after="120"/>
            </w:pPr>
            <w:r>
              <w:rPr>
                <w:rFonts w:ascii="Times New Roman" w:hAnsi="Times New Roman"/>
                <w:i/>
                <w:snapToGrid w:val="0"/>
                <w:sz w:val="16"/>
              </w:rPr>
              <w:t>Beginning of 20X2</w:t>
            </w:r>
          </w:p>
        </w:tc>
        <w:tc>
          <w:tcPr>
            <w:tcW w:w="1456" w:type="dxa"/>
            <w:tcBorders>
              <w:left w:val="nil"/>
            </w:tcBorders>
          </w:tcPr>
          <w:p w14:paraId="0BB2E2EA" w14:textId="77777777" w:rsidR="00361651" w:rsidRDefault="00361651" w:rsidP="002D54B2">
            <w:pPr>
              <w:pStyle w:val="IASBTableHeaderArial"/>
              <w:spacing w:after="120"/>
              <w:jc w:val="right"/>
            </w:pPr>
            <w:r>
              <w:rPr>
                <w:rFonts w:ascii="Times New Roman" w:hAnsi="Times New Roman"/>
                <w:i/>
                <w:snapToGrid w:val="0"/>
                <w:sz w:val="16"/>
              </w:rPr>
              <w:t>Identifiable assets before impairment loss</w:t>
            </w:r>
          </w:p>
        </w:tc>
        <w:tc>
          <w:tcPr>
            <w:tcW w:w="1820" w:type="dxa"/>
            <w:gridSpan w:val="2"/>
            <w:tcBorders>
              <w:left w:val="nil"/>
            </w:tcBorders>
          </w:tcPr>
          <w:p w14:paraId="0BB2E2EB" w14:textId="77777777" w:rsidR="00361651" w:rsidRDefault="00361651" w:rsidP="002D54B2">
            <w:pPr>
              <w:pStyle w:val="IASBTableHeaderArial"/>
              <w:spacing w:after="120"/>
              <w:jc w:val="right"/>
            </w:pPr>
            <w:r>
              <w:rPr>
                <w:rFonts w:ascii="Times New Roman" w:hAnsi="Times New Roman"/>
                <w:i/>
                <w:snapToGrid w:val="0"/>
                <w:sz w:val="16"/>
              </w:rPr>
              <w:t>Impairment loss</w:t>
            </w:r>
          </w:p>
        </w:tc>
        <w:tc>
          <w:tcPr>
            <w:tcW w:w="1547" w:type="dxa"/>
            <w:gridSpan w:val="2"/>
            <w:tcBorders>
              <w:left w:val="nil"/>
            </w:tcBorders>
          </w:tcPr>
          <w:p w14:paraId="0BB2E2EC" w14:textId="77777777" w:rsidR="00361651" w:rsidRDefault="00361651" w:rsidP="002D54B2">
            <w:pPr>
              <w:pStyle w:val="IASBTableHeaderArial"/>
              <w:spacing w:after="120"/>
              <w:jc w:val="right"/>
            </w:pPr>
            <w:r>
              <w:rPr>
                <w:rFonts w:ascii="Times New Roman" w:hAnsi="Times New Roman"/>
                <w:i/>
                <w:snapToGrid w:val="0"/>
                <w:sz w:val="16"/>
              </w:rPr>
              <w:t>Identifiable assets after impairment loss</w:t>
            </w:r>
          </w:p>
        </w:tc>
      </w:tr>
      <w:tr w:rsidR="00361651" w14:paraId="0BB2E2F4" w14:textId="77777777" w:rsidTr="009709A2">
        <w:trPr>
          <w:cantSplit/>
          <w:tblHeader/>
        </w:trPr>
        <w:tc>
          <w:tcPr>
            <w:tcW w:w="3239" w:type="dxa"/>
            <w:tcBorders>
              <w:top w:val="nil"/>
            </w:tcBorders>
            <w:vAlign w:val="bottom"/>
          </w:tcPr>
          <w:p w14:paraId="0BB2E2EE" w14:textId="77777777" w:rsidR="00361651" w:rsidRDefault="00361651" w:rsidP="002D54B2">
            <w:pPr>
              <w:pStyle w:val="IASBTableHeaderArial"/>
              <w:spacing w:after="120"/>
            </w:pPr>
          </w:p>
        </w:tc>
        <w:tc>
          <w:tcPr>
            <w:tcW w:w="1456" w:type="dxa"/>
            <w:tcBorders>
              <w:top w:val="nil"/>
              <w:left w:val="nil"/>
            </w:tcBorders>
            <w:vAlign w:val="bottom"/>
          </w:tcPr>
          <w:p w14:paraId="0BB2E2EF" w14:textId="77777777" w:rsidR="00361651" w:rsidRDefault="00361651" w:rsidP="002D54B2">
            <w:pPr>
              <w:pStyle w:val="IASBTableHeaderArial"/>
              <w:spacing w:after="120"/>
              <w:jc w:val="right"/>
            </w:pPr>
            <w:r>
              <w:rPr>
                <w:b/>
              </w:rPr>
              <w:t>CU</w:t>
            </w:r>
          </w:p>
        </w:tc>
        <w:tc>
          <w:tcPr>
            <w:tcW w:w="455" w:type="dxa"/>
            <w:tcBorders>
              <w:top w:val="nil"/>
              <w:left w:val="nil"/>
            </w:tcBorders>
            <w:vAlign w:val="bottom"/>
          </w:tcPr>
          <w:p w14:paraId="0BB2E2F0" w14:textId="77777777" w:rsidR="00361651" w:rsidRDefault="00361651" w:rsidP="002D54B2">
            <w:pPr>
              <w:pStyle w:val="IASBTableHeaderArial"/>
              <w:spacing w:after="120"/>
            </w:pPr>
          </w:p>
        </w:tc>
        <w:tc>
          <w:tcPr>
            <w:tcW w:w="1365" w:type="dxa"/>
            <w:tcBorders>
              <w:top w:val="nil"/>
              <w:left w:val="nil"/>
            </w:tcBorders>
            <w:vAlign w:val="bottom"/>
          </w:tcPr>
          <w:p w14:paraId="0BB2E2F1" w14:textId="77777777" w:rsidR="00361651" w:rsidRDefault="00361651" w:rsidP="002D54B2">
            <w:pPr>
              <w:pStyle w:val="IASBTableHeaderArial"/>
              <w:spacing w:after="120"/>
              <w:jc w:val="right"/>
            </w:pPr>
            <w:r>
              <w:rPr>
                <w:b/>
              </w:rPr>
              <w:t>CU</w:t>
            </w:r>
          </w:p>
        </w:tc>
        <w:tc>
          <w:tcPr>
            <w:tcW w:w="455" w:type="dxa"/>
            <w:tcBorders>
              <w:top w:val="nil"/>
              <w:left w:val="nil"/>
            </w:tcBorders>
            <w:vAlign w:val="bottom"/>
          </w:tcPr>
          <w:p w14:paraId="0BB2E2F2" w14:textId="77777777" w:rsidR="00361651" w:rsidRDefault="00361651" w:rsidP="002D54B2">
            <w:pPr>
              <w:pStyle w:val="IASBTableHeaderArial"/>
              <w:spacing w:after="120"/>
            </w:pPr>
          </w:p>
        </w:tc>
        <w:tc>
          <w:tcPr>
            <w:tcW w:w="1092" w:type="dxa"/>
            <w:tcBorders>
              <w:top w:val="nil"/>
              <w:left w:val="nil"/>
            </w:tcBorders>
            <w:vAlign w:val="bottom"/>
          </w:tcPr>
          <w:p w14:paraId="0BB2E2F3" w14:textId="77777777" w:rsidR="00361651" w:rsidRDefault="00361651" w:rsidP="002D54B2">
            <w:pPr>
              <w:pStyle w:val="IASBTableHeaderArial"/>
              <w:spacing w:after="120"/>
              <w:jc w:val="right"/>
            </w:pPr>
            <w:r>
              <w:rPr>
                <w:b/>
              </w:rPr>
              <w:t>CU</w:t>
            </w:r>
          </w:p>
        </w:tc>
      </w:tr>
      <w:tr w:rsidR="00361651" w14:paraId="0BB2E2FB" w14:textId="77777777" w:rsidTr="009709A2">
        <w:trPr>
          <w:cantSplit/>
        </w:trPr>
        <w:tc>
          <w:tcPr>
            <w:tcW w:w="3239" w:type="dxa"/>
            <w:tcBorders>
              <w:top w:val="nil"/>
            </w:tcBorders>
          </w:tcPr>
          <w:p w14:paraId="0BB2E2F5" w14:textId="77777777" w:rsidR="00361651" w:rsidRDefault="00361651" w:rsidP="009709A2">
            <w:pPr>
              <w:pStyle w:val="IASBTableArial"/>
            </w:pPr>
            <w:r>
              <w:t>Carrying amount (Example 2)</w:t>
            </w:r>
          </w:p>
        </w:tc>
        <w:tc>
          <w:tcPr>
            <w:tcW w:w="1456" w:type="dxa"/>
            <w:tcBorders>
              <w:top w:val="nil"/>
              <w:left w:val="nil"/>
            </w:tcBorders>
            <w:vAlign w:val="bottom"/>
          </w:tcPr>
          <w:p w14:paraId="0BB2E2F6" w14:textId="77777777" w:rsidR="00361651" w:rsidRDefault="00361651" w:rsidP="009709A2">
            <w:pPr>
              <w:pStyle w:val="IASBTableArial"/>
              <w:jc w:val="right"/>
            </w:pPr>
            <w:r>
              <w:t>1,833</w:t>
            </w:r>
          </w:p>
        </w:tc>
        <w:tc>
          <w:tcPr>
            <w:tcW w:w="455" w:type="dxa"/>
            <w:tcBorders>
              <w:top w:val="nil"/>
              <w:left w:val="nil"/>
            </w:tcBorders>
            <w:vAlign w:val="bottom"/>
          </w:tcPr>
          <w:p w14:paraId="0BB2E2F7" w14:textId="77777777" w:rsidR="00361651" w:rsidRDefault="00361651" w:rsidP="009709A2">
            <w:pPr>
              <w:pStyle w:val="IASBTableArial"/>
            </w:pPr>
          </w:p>
        </w:tc>
        <w:tc>
          <w:tcPr>
            <w:tcW w:w="1365" w:type="dxa"/>
            <w:tcBorders>
              <w:top w:val="nil"/>
              <w:left w:val="nil"/>
            </w:tcBorders>
            <w:vAlign w:val="bottom"/>
          </w:tcPr>
          <w:p w14:paraId="0BB2E2F8" w14:textId="77777777" w:rsidR="00361651" w:rsidRDefault="00361651" w:rsidP="009709A2">
            <w:pPr>
              <w:pStyle w:val="IASBTableArial"/>
              <w:jc w:val="right"/>
            </w:pPr>
            <w:r>
              <w:t>(473)</w:t>
            </w:r>
          </w:p>
        </w:tc>
        <w:tc>
          <w:tcPr>
            <w:tcW w:w="455" w:type="dxa"/>
            <w:tcBorders>
              <w:top w:val="nil"/>
              <w:left w:val="nil"/>
            </w:tcBorders>
            <w:vAlign w:val="bottom"/>
          </w:tcPr>
          <w:p w14:paraId="0BB2E2F9" w14:textId="77777777" w:rsidR="00361651" w:rsidRDefault="00361651" w:rsidP="009709A2">
            <w:pPr>
              <w:pStyle w:val="IASBTableArial"/>
            </w:pPr>
          </w:p>
        </w:tc>
        <w:tc>
          <w:tcPr>
            <w:tcW w:w="1092" w:type="dxa"/>
            <w:tcBorders>
              <w:top w:val="nil"/>
              <w:left w:val="nil"/>
            </w:tcBorders>
            <w:vAlign w:val="bottom"/>
          </w:tcPr>
          <w:p w14:paraId="0BB2E2FA" w14:textId="77777777" w:rsidR="00361651" w:rsidRDefault="00361651" w:rsidP="009709A2">
            <w:pPr>
              <w:pStyle w:val="IASBTableArial"/>
              <w:jc w:val="right"/>
            </w:pPr>
            <w:r>
              <w:t>1,360</w:t>
            </w:r>
          </w:p>
        </w:tc>
      </w:tr>
      <w:tr w:rsidR="00361651" w14:paraId="0BB2E302" w14:textId="77777777" w:rsidTr="009709A2">
        <w:trPr>
          <w:cantSplit/>
        </w:trPr>
        <w:tc>
          <w:tcPr>
            <w:tcW w:w="3239" w:type="dxa"/>
            <w:tcBorders>
              <w:top w:val="nil"/>
            </w:tcBorders>
          </w:tcPr>
          <w:p w14:paraId="0BB2E2FC" w14:textId="77777777" w:rsidR="00361651" w:rsidRDefault="00361651" w:rsidP="009709A2">
            <w:pPr>
              <w:pStyle w:val="IASBTableArial"/>
            </w:pPr>
            <w:r>
              <w:t>Tax base</w:t>
            </w:r>
          </w:p>
        </w:tc>
        <w:tc>
          <w:tcPr>
            <w:tcW w:w="1456" w:type="dxa"/>
            <w:tcBorders>
              <w:top w:val="nil"/>
              <w:left w:val="nil"/>
              <w:bottom w:val="single" w:sz="4" w:space="0" w:color="auto"/>
            </w:tcBorders>
            <w:vAlign w:val="bottom"/>
          </w:tcPr>
          <w:p w14:paraId="0BB2E2FD" w14:textId="77777777" w:rsidR="00361651" w:rsidRDefault="00361651" w:rsidP="009709A2">
            <w:pPr>
              <w:pStyle w:val="IASBTableArial"/>
              <w:jc w:val="right"/>
            </w:pPr>
            <w:r>
              <w:t>900</w:t>
            </w:r>
          </w:p>
        </w:tc>
        <w:tc>
          <w:tcPr>
            <w:tcW w:w="455" w:type="dxa"/>
            <w:tcBorders>
              <w:top w:val="nil"/>
              <w:left w:val="nil"/>
            </w:tcBorders>
          </w:tcPr>
          <w:p w14:paraId="0BB2E2FE" w14:textId="77777777" w:rsidR="00361651" w:rsidRDefault="00361651" w:rsidP="009709A2">
            <w:pPr>
              <w:pStyle w:val="IASBTableArial"/>
            </w:pPr>
          </w:p>
        </w:tc>
        <w:tc>
          <w:tcPr>
            <w:tcW w:w="1365" w:type="dxa"/>
            <w:tcBorders>
              <w:top w:val="nil"/>
              <w:left w:val="nil"/>
              <w:bottom w:val="single" w:sz="4" w:space="0" w:color="auto"/>
            </w:tcBorders>
            <w:vAlign w:val="bottom"/>
          </w:tcPr>
          <w:p w14:paraId="0BB2E2FF" w14:textId="77777777" w:rsidR="00361651" w:rsidRDefault="00361651" w:rsidP="009709A2">
            <w:pPr>
              <w:pStyle w:val="IASBTableArial"/>
              <w:jc w:val="right"/>
            </w:pPr>
            <w:r>
              <w:t>–</w:t>
            </w:r>
          </w:p>
        </w:tc>
        <w:tc>
          <w:tcPr>
            <w:tcW w:w="455" w:type="dxa"/>
            <w:tcBorders>
              <w:top w:val="nil"/>
              <w:left w:val="nil"/>
            </w:tcBorders>
            <w:vAlign w:val="bottom"/>
          </w:tcPr>
          <w:p w14:paraId="0BB2E300" w14:textId="77777777" w:rsidR="00361651" w:rsidRDefault="00361651" w:rsidP="009709A2">
            <w:pPr>
              <w:pStyle w:val="IASBTableArial"/>
            </w:pPr>
          </w:p>
        </w:tc>
        <w:tc>
          <w:tcPr>
            <w:tcW w:w="1092" w:type="dxa"/>
            <w:tcBorders>
              <w:top w:val="nil"/>
              <w:left w:val="nil"/>
              <w:bottom w:val="single" w:sz="4" w:space="0" w:color="auto"/>
            </w:tcBorders>
            <w:vAlign w:val="bottom"/>
          </w:tcPr>
          <w:p w14:paraId="0BB2E301" w14:textId="77777777" w:rsidR="00361651" w:rsidRDefault="00361651" w:rsidP="009709A2">
            <w:pPr>
              <w:pStyle w:val="IASBTableArial"/>
              <w:jc w:val="right"/>
            </w:pPr>
            <w:r>
              <w:t>900</w:t>
            </w:r>
          </w:p>
        </w:tc>
      </w:tr>
      <w:tr w:rsidR="00361651" w14:paraId="0BB2E309" w14:textId="77777777" w:rsidTr="009709A2">
        <w:trPr>
          <w:cantSplit/>
        </w:trPr>
        <w:tc>
          <w:tcPr>
            <w:tcW w:w="3239" w:type="dxa"/>
            <w:tcBorders>
              <w:top w:val="nil"/>
            </w:tcBorders>
          </w:tcPr>
          <w:p w14:paraId="0BB2E303" w14:textId="77777777" w:rsidR="00361651" w:rsidRDefault="00361651" w:rsidP="009709A2">
            <w:pPr>
              <w:pStyle w:val="IASBTableArial"/>
            </w:pPr>
            <w:r>
              <w:t>Taxable temporary difference</w:t>
            </w:r>
          </w:p>
        </w:tc>
        <w:tc>
          <w:tcPr>
            <w:tcW w:w="1456" w:type="dxa"/>
            <w:tcBorders>
              <w:top w:val="nil"/>
              <w:left w:val="nil"/>
              <w:bottom w:val="double" w:sz="4" w:space="0" w:color="auto"/>
            </w:tcBorders>
            <w:vAlign w:val="bottom"/>
          </w:tcPr>
          <w:p w14:paraId="0BB2E304" w14:textId="77777777" w:rsidR="00361651" w:rsidRDefault="00361651" w:rsidP="009709A2">
            <w:pPr>
              <w:pStyle w:val="IASBTableArial"/>
              <w:jc w:val="right"/>
            </w:pPr>
            <w:r>
              <w:t>933</w:t>
            </w:r>
          </w:p>
        </w:tc>
        <w:tc>
          <w:tcPr>
            <w:tcW w:w="455" w:type="dxa"/>
            <w:tcBorders>
              <w:top w:val="nil"/>
              <w:left w:val="nil"/>
            </w:tcBorders>
            <w:vAlign w:val="bottom"/>
          </w:tcPr>
          <w:p w14:paraId="0BB2E305" w14:textId="77777777" w:rsidR="00361651" w:rsidRDefault="00361651" w:rsidP="009709A2">
            <w:pPr>
              <w:pStyle w:val="IASBTableArial"/>
            </w:pPr>
          </w:p>
        </w:tc>
        <w:tc>
          <w:tcPr>
            <w:tcW w:w="1365" w:type="dxa"/>
            <w:tcBorders>
              <w:top w:val="nil"/>
              <w:left w:val="nil"/>
              <w:bottom w:val="double" w:sz="4" w:space="0" w:color="auto"/>
            </w:tcBorders>
            <w:vAlign w:val="bottom"/>
          </w:tcPr>
          <w:p w14:paraId="0BB2E306" w14:textId="77777777" w:rsidR="00361651" w:rsidRDefault="00361651" w:rsidP="009709A2">
            <w:pPr>
              <w:pStyle w:val="IASBTableArial"/>
              <w:jc w:val="right"/>
            </w:pPr>
            <w:r>
              <w:t>(473)</w:t>
            </w:r>
          </w:p>
        </w:tc>
        <w:tc>
          <w:tcPr>
            <w:tcW w:w="455" w:type="dxa"/>
            <w:tcBorders>
              <w:top w:val="nil"/>
              <w:left w:val="nil"/>
            </w:tcBorders>
            <w:vAlign w:val="bottom"/>
          </w:tcPr>
          <w:p w14:paraId="0BB2E307" w14:textId="77777777" w:rsidR="00361651" w:rsidRDefault="00361651" w:rsidP="009709A2">
            <w:pPr>
              <w:pStyle w:val="IASBTableArial"/>
            </w:pPr>
          </w:p>
        </w:tc>
        <w:tc>
          <w:tcPr>
            <w:tcW w:w="1092" w:type="dxa"/>
            <w:tcBorders>
              <w:top w:val="nil"/>
              <w:left w:val="nil"/>
              <w:bottom w:val="double" w:sz="4" w:space="0" w:color="auto"/>
            </w:tcBorders>
            <w:vAlign w:val="bottom"/>
          </w:tcPr>
          <w:p w14:paraId="0BB2E308" w14:textId="77777777" w:rsidR="00361651" w:rsidRDefault="00361651" w:rsidP="009709A2">
            <w:pPr>
              <w:pStyle w:val="IASBTableArial"/>
              <w:jc w:val="right"/>
            </w:pPr>
            <w:r>
              <w:t>460</w:t>
            </w:r>
          </w:p>
        </w:tc>
      </w:tr>
      <w:tr w:rsidR="00361651" w14:paraId="0BB2E310" w14:textId="77777777" w:rsidTr="009709A2">
        <w:trPr>
          <w:cantSplit/>
        </w:trPr>
        <w:tc>
          <w:tcPr>
            <w:tcW w:w="3239" w:type="dxa"/>
            <w:tcBorders>
              <w:top w:val="nil"/>
            </w:tcBorders>
          </w:tcPr>
          <w:p w14:paraId="0BB2E30A" w14:textId="77777777" w:rsidR="00361651" w:rsidRDefault="00361651" w:rsidP="009709A2">
            <w:pPr>
              <w:pStyle w:val="IASBTableArial"/>
            </w:pPr>
            <w:r>
              <w:t>Deferred tax liability at 40%</w:t>
            </w:r>
          </w:p>
        </w:tc>
        <w:tc>
          <w:tcPr>
            <w:tcW w:w="1456" w:type="dxa"/>
            <w:tcBorders>
              <w:top w:val="nil"/>
              <w:left w:val="nil"/>
              <w:bottom w:val="double" w:sz="4" w:space="0" w:color="auto"/>
            </w:tcBorders>
            <w:vAlign w:val="bottom"/>
          </w:tcPr>
          <w:p w14:paraId="0BB2E30B" w14:textId="77777777" w:rsidR="00361651" w:rsidRDefault="00361651" w:rsidP="009709A2">
            <w:pPr>
              <w:pStyle w:val="IASBTableArial"/>
              <w:jc w:val="right"/>
            </w:pPr>
            <w:r>
              <w:t>373</w:t>
            </w:r>
          </w:p>
        </w:tc>
        <w:tc>
          <w:tcPr>
            <w:tcW w:w="455" w:type="dxa"/>
            <w:tcBorders>
              <w:top w:val="nil"/>
              <w:left w:val="nil"/>
            </w:tcBorders>
            <w:vAlign w:val="bottom"/>
          </w:tcPr>
          <w:p w14:paraId="0BB2E30C" w14:textId="77777777" w:rsidR="00361651" w:rsidRDefault="00361651" w:rsidP="009709A2">
            <w:pPr>
              <w:pStyle w:val="IASBTableArial"/>
            </w:pPr>
          </w:p>
        </w:tc>
        <w:tc>
          <w:tcPr>
            <w:tcW w:w="1365" w:type="dxa"/>
            <w:tcBorders>
              <w:top w:val="nil"/>
              <w:left w:val="nil"/>
              <w:bottom w:val="double" w:sz="4" w:space="0" w:color="auto"/>
            </w:tcBorders>
            <w:vAlign w:val="bottom"/>
          </w:tcPr>
          <w:p w14:paraId="0BB2E30D" w14:textId="77777777" w:rsidR="00361651" w:rsidRDefault="00361651" w:rsidP="009709A2">
            <w:pPr>
              <w:pStyle w:val="IASBTableArial"/>
              <w:jc w:val="right"/>
            </w:pPr>
            <w:r>
              <w:t>(189)</w:t>
            </w:r>
          </w:p>
        </w:tc>
        <w:tc>
          <w:tcPr>
            <w:tcW w:w="455" w:type="dxa"/>
            <w:tcBorders>
              <w:top w:val="nil"/>
              <w:left w:val="nil"/>
            </w:tcBorders>
            <w:vAlign w:val="bottom"/>
          </w:tcPr>
          <w:p w14:paraId="0BB2E30E" w14:textId="77777777" w:rsidR="00361651" w:rsidRDefault="00361651" w:rsidP="009709A2">
            <w:pPr>
              <w:pStyle w:val="IASBTableArial"/>
            </w:pPr>
          </w:p>
        </w:tc>
        <w:tc>
          <w:tcPr>
            <w:tcW w:w="1092" w:type="dxa"/>
            <w:tcBorders>
              <w:top w:val="nil"/>
              <w:left w:val="nil"/>
              <w:bottom w:val="double" w:sz="4" w:space="0" w:color="auto"/>
            </w:tcBorders>
            <w:vAlign w:val="bottom"/>
          </w:tcPr>
          <w:p w14:paraId="0BB2E30F" w14:textId="77777777" w:rsidR="00361651" w:rsidRDefault="00361651" w:rsidP="009709A2">
            <w:pPr>
              <w:pStyle w:val="IASBTableArial"/>
              <w:jc w:val="right"/>
            </w:pPr>
            <w:r>
              <w:t>184</w:t>
            </w:r>
          </w:p>
        </w:tc>
      </w:tr>
    </w:tbl>
    <w:p w14:paraId="0BB2E311" w14:textId="77777777" w:rsidR="00361651" w:rsidRDefault="00361651" w:rsidP="00361651">
      <w:pPr>
        <w:pStyle w:val="IASBNormalnpara"/>
      </w:pPr>
    </w:p>
    <w:p w14:paraId="0BB2E312" w14:textId="77777777" w:rsidR="00361651" w:rsidRDefault="00361651" w:rsidP="00361651">
      <w:pPr>
        <w:pStyle w:val="IASBNormalnpara"/>
      </w:pPr>
      <w:r>
        <w:t>IE35</w:t>
      </w:r>
      <w:r>
        <w:tab/>
        <w:t>In accordance with</w:t>
      </w:r>
      <w:r w:rsidR="002D17D4">
        <w:t xml:space="preserve"> AASB 112</w:t>
      </w:r>
      <w:r>
        <w:t xml:space="preserve"> </w:t>
      </w:r>
      <w:r>
        <w:rPr>
          <w:i/>
        </w:rPr>
        <w:t>Income Taxes</w:t>
      </w:r>
      <w:r>
        <w:t>, no deferred tax relating to the goodwill was recognised initially. Therefore, the impairment loss relating to the goodwill does not give rise to a deferred tax adjustment.</w:t>
      </w:r>
    </w:p>
    <w:p w14:paraId="0BB2E313" w14:textId="4D3F5D91" w:rsidR="00361651" w:rsidRDefault="00361651" w:rsidP="00361651">
      <w:pPr>
        <w:pStyle w:val="IASBSectionTitle2Ind"/>
      </w:pPr>
      <w:r>
        <w:t xml:space="preserve">B </w:t>
      </w:r>
      <w:r w:rsidR="002D54B2">
        <w:t xml:space="preserve"> </w:t>
      </w:r>
      <w:r>
        <w:t>Recognition of an impairment loss creates a deferred tax asset</w:t>
      </w:r>
    </w:p>
    <w:p w14:paraId="0BB2E314" w14:textId="77777777" w:rsidR="00361651" w:rsidRDefault="00361651" w:rsidP="00361651">
      <w:pPr>
        <w:pStyle w:val="IASBNormalnpara"/>
      </w:pPr>
      <w:r>
        <w:t>IE36</w:t>
      </w:r>
      <w:r>
        <w:tab/>
        <w:t xml:space="preserve">An entity has an identifiable asset with a carrying amount of CU1,000. Its recoverable amount is CU650. The tax rate is 30 per cent and the tax base of the asset is CU800. Impairment losses are not deductible for tax purposes. The effect of the impairment loss is as follows: </w:t>
      </w:r>
    </w:p>
    <w:p w14:paraId="0BB2E315"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13"/>
      </w:tblPr>
      <w:tblGrid>
        <w:gridCol w:w="2875"/>
        <w:gridCol w:w="1456"/>
        <w:gridCol w:w="455"/>
        <w:gridCol w:w="1365"/>
        <w:gridCol w:w="455"/>
        <w:gridCol w:w="1365"/>
      </w:tblGrid>
      <w:tr w:rsidR="00361651" w14:paraId="0BB2E31A" w14:textId="77777777" w:rsidTr="009709A2">
        <w:trPr>
          <w:cantSplit/>
          <w:tblHeader/>
        </w:trPr>
        <w:tc>
          <w:tcPr>
            <w:tcW w:w="2875" w:type="dxa"/>
            <w:vAlign w:val="bottom"/>
          </w:tcPr>
          <w:p w14:paraId="0BB2E316" w14:textId="77777777" w:rsidR="00361651" w:rsidRDefault="00361651" w:rsidP="002D54B2">
            <w:pPr>
              <w:pStyle w:val="IASBTableHeaderArial"/>
              <w:spacing w:after="120"/>
            </w:pPr>
          </w:p>
        </w:tc>
        <w:tc>
          <w:tcPr>
            <w:tcW w:w="1456" w:type="dxa"/>
            <w:tcBorders>
              <w:left w:val="nil"/>
            </w:tcBorders>
          </w:tcPr>
          <w:p w14:paraId="0BB2E317" w14:textId="77777777" w:rsidR="00361651" w:rsidRDefault="00361651" w:rsidP="002D54B2">
            <w:pPr>
              <w:pStyle w:val="IASBTableHeaderArial"/>
              <w:spacing w:after="120"/>
              <w:jc w:val="right"/>
            </w:pPr>
            <w:r>
              <w:rPr>
                <w:rFonts w:ascii="Times New Roman" w:hAnsi="Times New Roman"/>
                <w:i/>
                <w:snapToGrid w:val="0"/>
                <w:sz w:val="16"/>
              </w:rPr>
              <w:t>Before impairment</w:t>
            </w:r>
          </w:p>
        </w:tc>
        <w:tc>
          <w:tcPr>
            <w:tcW w:w="1820" w:type="dxa"/>
            <w:gridSpan w:val="2"/>
            <w:tcBorders>
              <w:left w:val="nil"/>
            </w:tcBorders>
          </w:tcPr>
          <w:p w14:paraId="0BB2E318" w14:textId="77777777" w:rsidR="00361651" w:rsidRDefault="00361651" w:rsidP="002D54B2">
            <w:pPr>
              <w:pStyle w:val="IASBTableHeaderArial"/>
              <w:spacing w:after="120"/>
              <w:jc w:val="right"/>
            </w:pPr>
            <w:r>
              <w:rPr>
                <w:rFonts w:ascii="Times New Roman" w:hAnsi="Times New Roman"/>
                <w:i/>
                <w:snapToGrid w:val="0"/>
                <w:sz w:val="16"/>
              </w:rPr>
              <w:t>Effect of impairment</w:t>
            </w:r>
          </w:p>
        </w:tc>
        <w:tc>
          <w:tcPr>
            <w:tcW w:w="1820" w:type="dxa"/>
            <w:gridSpan w:val="2"/>
            <w:tcBorders>
              <w:left w:val="nil"/>
            </w:tcBorders>
          </w:tcPr>
          <w:p w14:paraId="0BB2E319" w14:textId="77777777" w:rsidR="00361651" w:rsidRDefault="00361651" w:rsidP="002D54B2">
            <w:pPr>
              <w:pStyle w:val="IASBTableHeaderArial"/>
              <w:spacing w:after="120"/>
              <w:jc w:val="right"/>
            </w:pPr>
            <w:r>
              <w:rPr>
                <w:rFonts w:ascii="Times New Roman" w:hAnsi="Times New Roman"/>
                <w:i/>
                <w:snapToGrid w:val="0"/>
                <w:sz w:val="16"/>
              </w:rPr>
              <w:t>After impairment</w:t>
            </w:r>
          </w:p>
        </w:tc>
      </w:tr>
      <w:tr w:rsidR="00361651" w14:paraId="0BB2E321" w14:textId="77777777" w:rsidTr="009709A2">
        <w:trPr>
          <w:cantSplit/>
          <w:tblHeader/>
        </w:trPr>
        <w:tc>
          <w:tcPr>
            <w:tcW w:w="2875" w:type="dxa"/>
            <w:tcBorders>
              <w:top w:val="nil"/>
            </w:tcBorders>
            <w:vAlign w:val="bottom"/>
          </w:tcPr>
          <w:p w14:paraId="0BB2E31B" w14:textId="77777777" w:rsidR="00361651" w:rsidRDefault="00361651" w:rsidP="002D54B2">
            <w:pPr>
              <w:pStyle w:val="IASBTableHeaderArial"/>
              <w:spacing w:after="120"/>
            </w:pPr>
          </w:p>
        </w:tc>
        <w:tc>
          <w:tcPr>
            <w:tcW w:w="1456" w:type="dxa"/>
            <w:tcBorders>
              <w:top w:val="nil"/>
              <w:left w:val="nil"/>
            </w:tcBorders>
          </w:tcPr>
          <w:p w14:paraId="0BB2E31C" w14:textId="77777777" w:rsidR="00361651" w:rsidRDefault="00361651" w:rsidP="002D54B2">
            <w:pPr>
              <w:pStyle w:val="IASBTableHeaderArial"/>
              <w:spacing w:after="120"/>
              <w:jc w:val="right"/>
            </w:pPr>
            <w:r>
              <w:rPr>
                <w:b/>
              </w:rPr>
              <w:t>CU</w:t>
            </w:r>
          </w:p>
        </w:tc>
        <w:tc>
          <w:tcPr>
            <w:tcW w:w="455" w:type="dxa"/>
            <w:tcBorders>
              <w:top w:val="nil"/>
              <w:left w:val="nil"/>
            </w:tcBorders>
          </w:tcPr>
          <w:p w14:paraId="0BB2E31D" w14:textId="77777777" w:rsidR="00361651" w:rsidRDefault="00361651" w:rsidP="002D54B2">
            <w:pPr>
              <w:pStyle w:val="IASBTableHeaderArial"/>
              <w:spacing w:after="120"/>
              <w:jc w:val="right"/>
            </w:pPr>
          </w:p>
        </w:tc>
        <w:tc>
          <w:tcPr>
            <w:tcW w:w="1365" w:type="dxa"/>
            <w:tcBorders>
              <w:top w:val="nil"/>
              <w:left w:val="nil"/>
            </w:tcBorders>
          </w:tcPr>
          <w:p w14:paraId="0BB2E31E" w14:textId="77777777" w:rsidR="00361651" w:rsidRDefault="00361651" w:rsidP="002D54B2">
            <w:pPr>
              <w:pStyle w:val="IASBTableHeaderArial"/>
              <w:spacing w:after="120"/>
              <w:jc w:val="right"/>
            </w:pPr>
            <w:r>
              <w:rPr>
                <w:b/>
              </w:rPr>
              <w:t>CU</w:t>
            </w:r>
          </w:p>
        </w:tc>
        <w:tc>
          <w:tcPr>
            <w:tcW w:w="455" w:type="dxa"/>
            <w:tcBorders>
              <w:top w:val="nil"/>
              <w:left w:val="nil"/>
            </w:tcBorders>
            <w:vAlign w:val="bottom"/>
          </w:tcPr>
          <w:p w14:paraId="0BB2E31F" w14:textId="77777777" w:rsidR="00361651" w:rsidRDefault="00361651" w:rsidP="002D54B2">
            <w:pPr>
              <w:pStyle w:val="IASBTableHeaderArial"/>
              <w:spacing w:after="120"/>
            </w:pPr>
          </w:p>
        </w:tc>
        <w:tc>
          <w:tcPr>
            <w:tcW w:w="1365" w:type="dxa"/>
            <w:tcBorders>
              <w:top w:val="nil"/>
              <w:left w:val="nil"/>
            </w:tcBorders>
          </w:tcPr>
          <w:p w14:paraId="0BB2E320" w14:textId="77777777" w:rsidR="00361651" w:rsidRDefault="00361651" w:rsidP="002D54B2">
            <w:pPr>
              <w:pStyle w:val="IASBTableHeaderArial"/>
              <w:spacing w:after="120"/>
              <w:jc w:val="right"/>
            </w:pPr>
            <w:r>
              <w:rPr>
                <w:b/>
              </w:rPr>
              <w:t>CU</w:t>
            </w:r>
          </w:p>
        </w:tc>
      </w:tr>
      <w:tr w:rsidR="00361651" w14:paraId="0BB2E328" w14:textId="77777777" w:rsidTr="009709A2">
        <w:trPr>
          <w:cantSplit/>
        </w:trPr>
        <w:tc>
          <w:tcPr>
            <w:tcW w:w="2875" w:type="dxa"/>
            <w:tcBorders>
              <w:top w:val="nil"/>
            </w:tcBorders>
          </w:tcPr>
          <w:p w14:paraId="0BB2E322" w14:textId="77777777" w:rsidR="00361651" w:rsidRDefault="00361651" w:rsidP="009709A2">
            <w:pPr>
              <w:pStyle w:val="IASBTableArial"/>
            </w:pPr>
            <w:r>
              <w:t>Carrying amount</w:t>
            </w:r>
          </w:p>
        </w:tc>
        <w:tc>
          <w:tcPr>
            <w:tcW w:w="1456" w:type="dxa"/>
            <w:tcBorders>
              <w:top w:val="nil"/>
              <w:left w:val="nil"/>
            </w:tcBorders>
            <w:vAlign w:val="bottom"/>
          </w:tcPr>
          <w:p w14:paraId="0BB2E323" w14:textId="77777777" w:rsidR="00361651" w:rsidRDefault="00361651" w:rsidP="009709A2">
            <w:pPr>
              <w:pStyle w:val="IASBTableArial"/>
              <w:jc w:val="right"/>
            </w:pPr>
            <w:r>
              <w:t>1,000</w:t>
            </w:r>
          </w:p>
        </w:tc>
        <w:tc>
          <w:tcPr>
            <w:tcW w:w="455" w:type="dxa"/>
            <w:tcBorders>
              <w:top w:val="nil"/>
              <w:left w:val="nil"/>
            </w:tcBorders>
            <w:vAlign w:val="bottom"/>
          </w:tcPr>
          <w:p w14:paraId="0BB2E324" w14:textId="77777777" w:rsidR="00361651" w:rsidRDefault="00361651" w:rsidP="009709A2">
            <w:pPr>
              <w:pStyle w:val="IASBTableArial"/>
            </w:pPr>
          </w:p>
        </w:tc>
        <w:tc>
          <w:tcPr>
            <w:tcW w:w="1365" w:type="dxa"/>
            <w:tcBorders>
              <w:top w:val="nil"/>
              <w:left w:val="nil"/>
            </w:tcBorders>
            <w:vAlign w:val="bottom"/>
          </w:tcPr>
          <w:p w14:paraId="0BB2E325" w14:textId="77777777" w:rsidR="00361651" w:rsidRDefault="00361651" w:rsidP="009709A2">
            <w:pPr>
              <w:pStyle w:val="IASBTableArial"/>
              <w:jc w:val="right"/>
            </w:pPr>
            <w:r>
              <w:t>(350)</w:t>
            </w:r>
          </w:p>
        </w:tc>
        <w:tc>
          <w:tcPr>
            <w:tcW w:w="455" w:type="dxa"/>
            <w:tcBorders>
              <w:top w:val="nil"/>
              <w:left w:val="nil"/>
            </w:tcBorders>
            <w:vAlign w:val="bottom"/>
          </w:tcPr>
          <w:p w14:paraId="0BB2E326" w14:textId="77777777" w:rsidR="00361651" w:rsidRDefault="00361651" w:rsidP="009709A2">
            <w:pPr>
              <w:pStyle w:val="IASBTableArial"/>
            </w:pPr>
          </w:p>
        </w:tc>
        <w:tc>
          <w:tcPr>
            <w:tcW w:w="1365" w:type="dxa"/>
            <w:tcBorders>
              <w:top w:val="nil"/>
              <w:left w:val="nil"/>
            </w:tcBorders>
            <w:vAlign w:val="bottom"/>
          </w:tcPr>
          <w:p w14:paraId="0BB2E327" w14:textId="77777777" w:rsidR="00361651" w:rsidRDefault="00361651" w:rsidP="009709A2">
            <w:pPr>
              <w:pStyle w:val="IASBTableArial"/>
              <w:jc w:val="right"/>
            </w:pPr>
            <w:r>
              <w:t>650</w:t>
            </w:r>
          </w:p>
        </w:tc>
      </w:tr>
      <w:tr w:rsidR="00361651" w14:paraId="0BB2E32F" w14:textId="77777777" w:rsidTr="009709A2">
        <w:trPr>
          <w:cantSplit/>
        </w:trPr>
        <w:tc>
          <w:tcPr>
            <w:tcW w:w="2875" w:type="dxa"/>
            <w:tcBorders>
              <w:top w:val="nil"/>
            </w:tcBorders>
          </w:tcPr>
          <w:p w14:paraId="0BB2E329" w14:textId="77777777" w:rsidR="00361651" w:rsidRDefault="00361651" w:rsidP="009709A2">
            <w:pPr>
              <w:pStyle w:val="IASBTableArial"/>
            </w:pPr>
            <w:r>
              <w:t>Tax base</w:t>
            </w:r>
          </w:p>
        </w:tc>
        <w:tc>
          <w:tcPr>
            <w:tcW w:w="1456" w:type="dxa"/>
            <w:tcBorders>
              <w:top w:val="nil"/>
              <w:left w:val="nil"/>
              <w:bottom w:val="single" w:sz="4" w:space="0" w:color="auto"/>
            </w:tcBorders>
            <w:vAlign w:val="bottom"/>
          </w:tcPr>
          <w:p w14:paraId="0BB2E32A" w14:textId="77777777" w:rsidR="00361651" w:rsidRDefault="00361651" w:rsidP="009709A2">
            <w:pPr>
              <w:pStyle w:val="IASBTableArial"/>
              <w:jc w:val="right"/>
            </w:pPr>
            <w:r>
              <w:t>800</w:t>
            </w:r>
          </w:p>
        </w:tc>
        <w:tc>
          <w:tcPr>
            <w:tcW w:w="455" w:type="dxa"/>
            <w:tcBorders>
              <w:top w:val="nil"/>
              <w:left w:val="nil"/>
            </w:tcBorders>
            <w:vAlign w:val="bottom"/>
          </w:tcPr>
          <w:p w14:paraId="0BB2E32B" w14:textId="77777777" w:rsidR="00361651" w:rsidRDefault="00361651" w:rsidP="009709A2">
            <w:pPr>
              <w:pStyle w:val="IASBTableArial"/>
              <w:jc w:val="right"/>
            </w:pPr>
          </w:p>
        </w:tc>
        <w:tc>
          <w:tcPr>
            <w:tcW w:w="1365" w:type="dxa"/>
            <w:tcBorders>
              <w:top w:val="nil"/>
              <w:left w:val="nil"/>
              <w:bottom w:val="single" w:sz="4" w:space="0" w:color="auto"/>
            </w:tcBorders>
            <w:vAlign w:val="bottom"/>
          </w:tcPr>
          <w:p w14:paraId="0BB2E32C" w14:textId="77777777" w:rsidR="00361651" w:rsidRDefault="00361651" w:rsidP="009709A2">
            <w:pPr>
              <w:pStyle w:val="IASBTableArial"/>
              <w:jc w:val="right"/>
            </w:pPr>
            <w:r>
              <w:t>–</w:t>
            </w:r>
          </w:p>
        </w:tc>
        <w:tc>
          <w:tcPr>
            <w:tcW w:w="455" w:type="dxa"/>
            <w:tcBorders>
              <w:top w:val="nil"/>
              <w:left w:val="nil"/>
            </w:tcBorders>
            <w:vAlign w:val="bottom"/>
          </w:tcPr>
          <w:p w14:paraId="0BB2E32D" w14:textId="77777777" w:rsidR="00361651" w:rsidRDefault="00361651" w:rsidP="009709A2">
            <w:pPr>
              <w:pStyle w:val="IASBTableArial"/>
            </w:pPr>
          </w:p>
        </w:tc>
        <w:tc>
          <w:tcPr>
            <w:tcW w:w="1365" w:type="dxa"/>
            <w:tcBorders>
              <w:top w:val="nil"/>
              <w:left w:val="nil"/>
              <w:bottom w:val="single" w:sz="4" w:space="0" w:color="auto"/>
            </w:tcBorders>
            <w:vAlign w:val="bottom"/>
          </w:tcPr>
          <w:p w14:paraId="0BB2E32E" w14:textId="77777777" w:rsidR="00361651" w:rsidRDefault="00361651" w:rsidP="009709A2">
            <w:pPr>
              <w:pStyle w:val="IASBTableArial"/>
              <w:jc w:val="right"/>
            </w:pPr>
            <w:r>
              <w:t>800</w:t>
            </w:r>
          </w:p>
        </w:tc>
      </w:tr>
      <w:tr w:rsidR="00361651" w14:paraId="0BB2E336" w14:textId="77777777" w:rsidTr="009709A2">
        <w:trPr>
          <w:cantSplit/>
        </w:trPr>
        <w:tc>
          <w:tcPr>
            <w:tcW w:w="2875" w:type="dxa"/>
            <w:tcBorders>
              <w:top w:val="nil"/>
            </w:tcBorders>
          </w:tcPr>
          <w:p w14:paraId="0BB2E330" w14:textId="77777777" w:rsidR="00361651" w:rsidRDefault="00361651" w:rsidP="009709A2">
            <w:pPr>
              <w:pStyle w:val="IASBTableArial"/>
            </w:pPr>
            <w:r>
              <w:t>Taxable (deductible) temporary difference</w:t>
            </w:r>
          </w:p>
        </w:tc>
        <w:tc>
          <w:tcPr>
            <w:tcW w:w="1456" w:type="dxa"/>
            <w:tcBorders>
              <w:top w:val="nil"/>
              <w:left w:val="nil"/>
              <w:bottom w:val="double" w:sz="4" w:space="0" w:color="auto"/>
            </w:tcBorders>
            <w:vAlign w:val="bottom"/>
          </w:tcPr>
          <w:p w14:paraId="0BB2E331" w14:textId="77777777" w:rsidR="00361651" w:rsidRDefault="00361651" w:rsidP="009709A2">
            <w:pPr>
              <w:pStyle w:val="IASBTableArial"/>
              <w:jc w:val="right"/>
            </w:pPr>
            <w:r>
              <w:t>200</w:t>
            </w:r>
          </w:p>
        </w:tc>
        <w:tc>
          <w:tcPr>
            <w:tcW w:w="455" w:type="dxa"/>
            <w:tcBorders>
              <w:top w:val="nil"/>
              <w:left w:val="nil"/>
            </w:tcBorders>
            <w:vAlign w:val="bottom"/>
          </w:tcPr>
          <w:p w14:paraId="0BB2E332" w14:textId="77777777" w:rsidR="00361651" w:rsidRDefault="00361651" w:rsidP="009709A2">
            <w:pPr>
              <w:pStyle w:val="IASBTableArial"/>
            </w:pPr>
          </w:p>
        </w:tc>
        <w:tc>
          <w:tcPr>
            <w:tcW w:w="1365" w:type="dxa"/>
            <w:tcBorders>
              <w:top w:val="nil"/>
              <w:left w:val="nil"/>
              <w:bottom w:val="double" w:sz="4" w:space="0" w:color="auto"/>
            </w:tcBorders>
            <w:vAlign w:val="bottom"/>
          </w:tcPr>
          <w:p w14:paraId="0BB2E333" w14:textId="77777777" w:rsidR="00361651" w:rsidRDefault="00361651" w:rsidP="009709A2">
            <w:pPr>
              <w:pStyle w:val="IASBTableArial"/>
              <w:jc w:val="right"/>
            </w:pPr>
            <w:r>
              <w:t>(350)</w:t>
            </w:r>
          </w:p>
        </w:tc>
        <w:tc>
          <w:tcPr>
            <w:tcW w:w="455" w:type="dxa"/>
            <w:tcBorders>
              <w:top w:val="nil"/>
              <w:left w:val="nil"/>
            </w:tcBorders>
            <w:vAlign w:val="bottom"/>
          </w:tcPr>
          <w:p w14:paraId="0BB2E334" w14:textId="77777777" w:rsidR="00361651" w:rsidRDefault="00361651" w:rsidP="009709A2">
            <w:pPr>
              <w:pStyle w:val="IASBTableArial"/>
            </w:pPr>
          </w:p>
        </w:tc>
        <w:tc>
          <w:tcPr>
            <w:tcW w:w="1365" w:type="dxa"/>
            <w:tcBorders>
              <w:top w:val="nil"/>
              <w:left w:val="nil"/>
              <w:bottom w:val="double" w:sz="4" w:space="0" w:color="auto"/>
            </w:tcBorders>
            <w:vAlign w:val="bottom"/>
          </w:tcPr>
          <w:p w14:paraId="0BB2E335" w14:textId="77777777" w:rsidR="00361651" w:rsidRDefault="00361651" w:rsidP="009709A2">
            <w:pPr>
              <w:pStyle w:val="IASBTableArial"/>
              <w:jc w:val="right"/>
            </w:pPr>
            <w:r>
              <w:t>(150)</w:t>
            </w:r>
          </w:p>
        </w:tc>
      </w:tr>
      <w:tr w:rsidR="00361651" w14:paraId="0BB2E33D" w14:textId="77777777" w:rsidTr="009709A2">
        <w:trPr>
          <w:cantSplit/>
        </w:trPr>
        <w:tc>
          <w:tcPr>
            <w:tcW w:w="2875" w:type="dxa"/>
            <w:tcBorders>
              <w:top w:val="nil"/>
            </w:tcBorders>
          </w:tcPr>
          <w:p w14:paraId="0BB2E337" w14:textId="77777777" w:rsidR="00361651" w:rsidRDefault="00361651" w:rsidP="009709A2">
            <w:pPr>
              <w:pStyle w:val="IASBTableArial"/>
            </w:pPr>
            <w:r>
              <w:t>Deferred tax liability (asset) at 30%</w:t>
            </w:r>
          </w:p>
        </w:tc>
        <w:tc>
          <w:tcPr>
            <w:tcW w:w="1456" w:type="dxa"/>
            <w:tcBorders>
              <w:top w:val="nil"/>
              <w:left w:val="nil"/>
              <w:bottom w:val="double" w:sz="4" w:space="0" w:color="auto"/>
            </w:tcBorders>
            <w:vAlign w:val="bottom"/>
          </w:tcPr>
          <w:p w14:paraId="0BB2E338" w14:textId="77777777" w:rsidR="00361651" w:rsidRDefault="00361651" w:rsidP="009709A2">
            <w:pPr>
              <w:pStyle w:val="IASBTableArial"/>
              <w:jc w:val="right"/>
            </w:pPr>
            <w:r>
              <w:t>60</w:t>
            </w:r>
          </w:p>
        </w:tc>
        <w:tc>
          <w:tcPr>
            <w:tcW w:w="455" w:type="dxa"/>
            <w:tcBorders>
              <w:top w:val="nil"/>
              <w:left w:val="nil"/>
            </w:tcBorders>
            <w:vAlign w:val="bottom"/>
          </w:tcPr>
          <w:p w14:paraId="0BB2E339" w14:textId="77777777" w:rsidR="00361651" w:rsidRDefault="00361651" w:rsidP="009709A2">
            <w:pPr>
              <w:pStyle w:val="IASBTableArial"/>
            </w:pPr>
          </w:p>
        </w:tc>
        <w:tc>
          <w:tcPr>
            <w:tcW w:w="1365" w:type="dxa"/>
            <w:tcBorders>
              <w:top w:val="nil"/>
              <w:left w:val="nil"/>
              <w:bottom w:val="double" w:sz="4" w:space="0" w:color="auto"/>
            </w:tcBorders>
            <w:vAlign w:val="bottom"/>
          </w:tcPr>
          <w:p w14:paraId="0BB2E33A" w14:textId="77777777" w:rsidR="00361651" w:rsidRDefault="00361651" w:rsidP="009709A2">
            <w:pPr>
              <w:pStyle w:val="IASBTableArial"/>
              <w:jc w:val="right"/>
            </w:pPr>
            <w:r>
              <w:t>(105)</w:t>
            </w:r>
          </w:p>
        </w:tc>
        <w:tc>
          <w:tcPr>
            <w:tcW w:w="455" w:type="dxa"/>
            <w:tcBorders>
              <w:top w:val="nil"/>
              <w:left w:val="nil"/>
            </w:tcBorders>
            <w:vAlign w:val="bottom"/>
          </w:tcPr>
          <w:p w14:paraId="0BB2E33B" w14:textId="77777777" w:rsidR="00361651" w:rsidRDefault="00361651" w:rsidP="009709A2">
            <w:pPr>
              <w:pStyle w:val="IASBTableArial"/>
            </w:pPr>
          </w:p>
        </w:tc>
        <w:tc>
          <w:tcPr>
            <w:tcW w:w="1365" w:type="dxa"/>
            <w:tcBorders>
              <w:top w:val="nil"/>
              <w:left w:val="nil"/>
              <w:bottom w:val="double" w:sz="4" w:space="0" w:color="auto"/>
            </w:tcBorders>
            <w:vAlign w:val="bottom"/>
          </w:tcPr>
          <w:p w14:paraId="0BB2E33C" w14:textId="77777777" w:rsidR="00361651" w:rsidRDefault="00361651" w:rsidP="009709A2">
            <w:pPr>
              <w:pStyle w:val="IASBTableArial"/>
              <w:jc w:val="right"/>
            </w:pPr>
            <w:r>
              <w:t>(45)</w:t>
            </w:r>
          </w:p>
        </w:tc>
      </w:tr>
    </w:tbl>
    <w:p w14:paraId="0BB2E33E" w14:textId="77777777" w:rsidR="00361651" w:rsidRDefault="00361651" w:rsidP="00361651">
      <w:pPr>
        <w:pStyle w:val="IASBNormalnpara"/>
      </w:pPr>
    </w:p>
    <w:p w14:paraId="0BB2E33F" w14:textId="77777777" w:rsidR="00361651" w:rsidRDefault="00361651" w:rsidP="00361651">
      <w:pPr>
        <w:pStyle w:val="IASBNormalnpara"/>
      </w:pPr>
      <w:r>
        <w:t>IE37</w:t>
      </w:r>
      <w:r>
        <w:tab/>
        <w:t>In accordance with</w:t>
      </w:r>
      <w:r w:rsidR="002D17D4">
        <w:t xml:space="preserve"> AASB 112</w:t>
      </w:r>
      <w:r>
        <w:t>, the entity recognises the deferred tax asset to the extent that it is probable that taxable profit will be available against which the deductible temporary difference can be utilised.</w:t>
      </w:r>
    </w:p>
    <w:p w14:paraId="0BB2E340" w14:textId="77777777" w:rsidR="004B49E9" w:rsidRDefault="004B49E9" w:rsidP="00361651">
      <w:pPr>
        <w:pStyle w:val="IASBNormalnpara"/>
      </w:pPr>
    </w:p>
    <w:p w14:paraId="0BB2E341" w14:textId="77777777" w:rsidR="00361651" w:rsidRDefault="00361651" w:rsidP="00361651">
      <w:pPr>
        <w:pStyle w:val="IASBSectionTitle1NonInd"/>
      </w:pPr>
      <w:r>
        <w:t>Example 4</w:t>
      </w:r>
      <w:r>
        <w:t> </w:t>
      </w:r>
      <w:r>
        <w:t>Reversal of an impairment loss</w:t>
      </w:r>
    </w:p>
    <w:p w14:paraId="0BB2E342" w14:textId="77777777" w:rsidR="00361651" w:rsidRDefault="00361651" w:rsidP="00361651">
      <w:pPr>
        <w:pStyle w:val="IASBNormal"/>
      </w:pPr>
      <w:r>
        <w:rPr>
          <w:i/>
        </w:rPr>
        <w:t>Use the data for entity T as presented in Example 2, with supplementary information as provided in this example. In this example, tax effects are ignored.</w:t>
      </w:r>
    </w:p>
    <w:p w14:paraId="0BB2E343" w14:textId="77777777" w:rsidR="00361651" w:rsidRDefault="00361651" w:rsidP="00361651">
      <w:pPr>
        <w:pStyle w:val="IASBSectionTitle3Ind"/>
      </w:pPr>
      <w:r>
        <w:t>Background</w:t>
      </w:r>
    </w:p>
    <w:p w14:paraId="0BB2E344" w14:textId="77777777" w:rsidR="00361651" w:rsidRDefault="00361651" w:rsidP="00361651">
      <w:pPr>
        <w:pStyle w:val="IASBNormalnpara"/>
      </w:pPr>
      <w:r>
        <w:t>IE38</w:t>
      </w:r>
      <w:r>
        <w:tab/>
        <w:t>In 20X3, the government is still in office in Country A, but the business situation is improving. The effects of the export laws on T’s production are proving to be less drastic than initially expected by management. As a result, management estimates that production will increase by 30 per cent. This favourable change requires T to re-estimate the recoverable amount of the net assets of the Country A operations (see paragraphs 110 and 111 of</w:t>
      </w:r>
      <w:r w:rsidR="002D17D4">
        <w:t xml:space="preserve"> AASB 136</w:t>
      </w:r>
      <w:r>
        <w:t xml:space="preserve">). The cash-generating unit for the net assets of the Country A operations is still the Country A operations. </w:t>
      </w:r>
    </w:p>
    <w:p w14:paraId="0BB2E345" w14:textId="77777777" w:rsidR="00361651" w:rsidRDefault="00361651" w:rsidP="00361651">
      <w:pPr>
        <w:pStyle w:val="IASBNormalnpara"/>
      </w:pPr>
      <w:r>
        <w:t>IE39</w:t>
      </w:r>
      <w:r>
        <w:tab/>
        <w:t xml:space="preserve">Calculations similar to those in Example 2 show that the recoverable amount of the Country A cash-generating unit is now CU1,910. </w:t>
      </w:r>
    </w:p>
    <w:p w14:paraId="0BB2E346" w14:textId="77777777" w:rsidR="00361651" w:rsidRDefault="00361651" w:rsidP="00361651">
      <w:pPr>
        <w:pStyle w:val="IASBSectionTitle3Ind"/>
      </w:pPr>
      <w:r>
        <w:lastRenderedPageBreak/>
        <w:t>Reversal of impairment loss</w:t>
      </w:r>
    </w:p>
    <w:p w14:paraId="0BB2E347" w14:textId="77777777" w:rsidR="00361651" w:rsidRDefault="00361651" w:rsidP="00361651">
      <w:pPr>
        <w:pStyle w:val="IASBNormalnpara"/>
      </w:pPr>
      <w:r>
        <w:t>IE40</w:t>
      </w:r>
      <w:r>
        <w:tab/>
        <w:t xml:space="preserve">T compares the recoverable amount and the net carrying amount of the Country A cash-generating unit. </w:t>
      </w:r>
    </w:p>
    <w:p w14:paraId="0BB2E348" w14:textId="77777777" w:rsidR="00361651" w:rsidRDefault="00361651" w:rsidP="00361651">
      <w:pPr>
        <w:pStyle w:val="IASBNormalnparaP"/>
      </w:pPr>
      <w:r>
        <w:t>Schedule 1. Calculation of the carrying amount of the Country A cash-generating unit at the end of 20X3</w:t>
      </w:r>
    </w:p>
    <w:p w14:paraId="0BB2E349"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14"/>
      </w:tblPr>
      <w:tblGrid>
        <w:gridCol w:w="3694"/>
        <w:gridCol w:w="1274"/>
        <w:gridCol w:w="455"/>
        <w:gridCol w:w="1183"/>
        <w:gridCol w:w="455"/>
        <w:gridCol w:w="1183"/>
      </w:tblGrid>
      <w:tr w:rsidR="00361651" w14:paraId="0BB2E34E" w14:textId="77777777" w:rsidTr="009709A2">
        <w:trPr>
          <w:cantSplit/>
          <w:tblHeader/>
        </w:trPr>
        <w:tc>
          <w:tcPr>
            <w:tcW w:w="3694" w:type="dxa"/>
            <w:vAlign w:val="bottom"/>
          </w:tcPr>
          <w:p w14:paraId="0BB2E34A" w14:textId="77777777" w:rsidR="00361651" w:rsidRDefault="00361651" w:rsidP="00513E65">
            <w:pPr>
              <w:pStyle w:val="IASBTableHeaderArial"/>
              <w:spacing w:after="120" w:line="240" w:lineRule="auto"/>
            </w:pPr>
          </w:p>
        </w:tc>
        <w:tc>
          <w:tcPr>
            <w:tcW w:w="1274" w:type="dxa"/>
            <w:tcBorders>
              <w:left w:val="nil"/>
            </w:tcBorders>
          </w:tcPr>
          <w:p w14:paraId="0BB2E34B" w14:textId="77777777" w:rsidR="00361651" w:rsidRDefault="00361651" w:rsidP="00513E65">
            <w:pPr>
              <w:pStyle w:val="IASBTableHeaderArial"/>
              <w:spacing w:after="120" w:line="240" w:lineRule="auto"/>
              <w:jc w:val="right"/>
            </w:pPr>
            <w:r>
              <w:rPr>
                <w:rFonts w:ascii="Times New Roman" w:hAnsi="Times New Roman"/>
                <w:i/>
                <w:snapToGrid w:val="0"/>
                <w:sz w:val="16"/>
              </w:rPr>
              <w:t>Goodwill</w:t>
            </w:r>
          </w:p>
        </w:tc>
        <w:tc>
          <w:tcPr>
            <w:tcW w:w="1638" w:type="dxa"/>
            <w:gridSpan w:val="2"/>
            <w:tcBorders>
              <w:left w:val="nil"/>
            </w:tcBorders>
          </w:tcPr>
          <w:p w14:paraId="0BB2E34C" w14:textId="77777777" w:rsidR="00361651" w:rsidRDefault="00361651" w:rsidP="00513E65">
            <w:pPr>
              <w:pStyle w:val="IASBTableHeaderArial"/>
              <w:spacing w:after="120" w:line="240" w:lineRule="auto"/>
              <w:jc w:val="right"/>
            </w:pPr>
            <w:r>
              <w:rPr>
                <w:rFonts w:ascii="Times New Roman" w:hAnsi="Times New Roman"/>
                <w:i/>
                <w:snapToGrid w:val="0"/>
                <w:sz w:val="16"/>
              </w:rPr>
              <w:t>Identifiable assets</w:t>
            </w:r>
          </w:p>
        </w:tc>
        <w:tc>
          <w:tcPr>
            <w:tcW w:w="1638" w:type="dxa"/>
            <w:gridSpan w:val="2"/>
            <w:tcBorders>
              <w:left w:val="nil"/>
            </w:tcBorders>
          </w:tcPr>
          <w:p w14:paraId="0BB2E34D" w14:textId="77777777" w:rsidR="00361651" w:rsidRDefault="00361651" w:rsidP="00513E65">
            <w:pPr>
              <w:pStyle w:val="IASBTableHeaderArial"/>
              <w:spacing w:after="120" w:line="240" w:lineRule="auto"/>
              <w:jc w:val="right"/>
            </w:pPr>
            <w:r>
              <w:rPr>
                <w:rFonts w:ascii="Times New Roman" w:hAnsi="Times New Roman"/>
                <w:i/>
                <w:snapToGrid w:val="0"/>
                <w:sz w:val="16"/>
              </w:rPr>
              <w:t>Total</w:t>
            </w:r>
          </w:p>
        </w:tc>
      </w:tr>
      <w:tr w:rsidR="00361651" w14:paraId="0BB2E353" w14:textId="77777777" w:rsidTr="009709A2">
        <w:trPr>
          <w:cantSplit/>
          <w:tblHeader/>
        </w:trPr>
        <w:tc>
          <w:tcPr>
            <w:tcW w:w="3694" w:type="dxa"/>
            <w:tcBorders>
              <w:top w:val="nil"/>
            </w:tcBorders>
            <w:vAlign w:val="bottom"/>
          </w:tcPr>
          <w:p w14:paraId="0BB2E34F" w14:textId="77777777" w:rsidR="00361651" w:rsidRDefault="00361651" w:rsidP="00513E65">
            <w:pPr>
              <w:pStyle w:val="IASBTableHeaderArial"/>
              <w:spacing w:after="0" w:line="240" w:lineRule="auto"/>
            </w:pPr>
          </w:p>
        </w:tc>
        <w:tc>
          <w:tcPr>
            <w:tcW w:w="1274" w:type="dxa"/>
            <w:tcBorders>
              <w:top w:val="nil"/>
              <w:left w:val="nil"/>
            </w:tcBorders>
          </w:tcPr>
          <w:p w14:paraId="0BB2E350" w14:textId="77777777" w:rsidR="00361651" w:rsidRDefault="00361651" w:rsidP="00513E65">
            <w:pPr>
              <w:pStyle w:val="IASBTableHeaderArial"/>
              <w:spacing w:after="0" w:line="240" w:lineRule="auto"/>
              <w:jc w:val="right"/>
            </w:pPr>
            <w:r>
              <w:rPr>
                <w:b/>
              </w:rPr>
              <w:t>CU</w:t>
            </w:r>
          </w:p>
        </w:tc>
        <w:tc>
          <w:tcPr>
            <w:tcW w:w="1638" w:type="dxa"/>
            <w:gridSpan w:val="2"/>
            <w:tcBorders>
              <w:top w:val="nil"/>
              <w:left w:val="nil"/>
            </w:tcBorders>
          </w:tcPr>
          <w:p w14:paraId="0BB2E351" w14:textId="77777777" w:rsidR="00361651" w:rsidRDefault="00361651" w:rsidP="00513E65">
            <w:pPr>
              <w:pStyle w:val="IASBTableHeaderArial"/>
              <w:spacing w:after="0" w:line="240" w:lineRule="auto"/>
              <w:jc w:val="right"/>
            </w:pPr>
            <w:r>
              <w:rPr>
                <w:b/>
              </w:rPr>
              <w:t>CU</w:t>
            </w:r>
          </w:p>
        </w:tc>
        <w:tc>
          <w:tcPr>
            <w:tcW w:w="1638" w:type="dxa"/>
            <w:gridSpan w:val="2"/>
            <w:tcBorders>
              <w:top w:val="nil"/>
              <w:left w:val="nil"/>
            </w:tcBorders>
          </w:tcPr>
          <w:p w14:paraId="0BB2E352" w14:textId="77777777" w:rsidR="00361651" w:rsidRDefault="00361651" w:rsidP="00513E65">
            <w:pPr>
              <w:pStyle w:val="IASBTableHeaderArial"/>
              <w:spacing w:after="0" w:line="240" w:lineRule="auto"/>
              <w:jc w:val="right"/>
            </w:pPr>
            <w:r>
              <w:rPr>
                <w:b/>
              </w:rPr>
              <w:t>CU</w:t>
            </w:r>
          </w:p>
        </w:tc>
      </w:tr>
      <w:tr w:rsidR="00361651" w14:paraId="0BB2E355" w14:textId="77777777" w:rsidTr="009709A2">
        <w:trPr>
          <w:cantSplit/>
        </w:trPr>
        <w:tc>
          <w:tcPr>
            <w:tcW w:w="8244" w:type="dxa"/>
            <w:gridSpan w:val="6"/>
            <w:tcBorders>
              <w:top w:val="nil"/>
            </w:tcBorders>
          </w:tcPr>
          <w:p w14:paraId="0BB2E354" w14:textId="77777777" w:rsidR="00361651" w:rsidRDefault="00361651" w:rsidP="009709A2">
            <w:pPr>
              <w:pStyle w:val="IASBTableArial"/>
            </w:pPr>
            <w:r>
              <w:rPr>
                <w:i/>
              </w:rPr>
              <w:t>Beginning of 20X2 (Example 2)</w:t>
            </w:r>
          </w:p>
        </w:tc>
      </w:tr>
      <w:tr w:rsidR="00361651" w14:paraId="0BB2E35C" w14:textId="77777777" w:rsidTr="009709A2">
        <w:trPr>
          <w:cantSplit/>
        </w:trPr>
        <w:tc>
          <w:tcPr>
            <w:tcW w:w="3694" w:type="dxa"/>
            <w:tcBorders>
              <w:top w:val="nil"/>
            </w:tcBorders>
          </w:tcPr>
          <w:p w14:paraId="0BB2E356" w14:textId="77777777" w:rsidR="00361651" w:rsidRDefault="00361651" w:rsidP="009709A2">
            <w:pPr>
              <w:pStyle w:val="IASBTableArial"/>
            </w:pPr>
            <w:r>
              <w:t>Historical cost</w:t>
            </w:r>
          </w:p>
        </w:tc>
        <w:tc>
          <w:tcPr>
            <w:tcW w:w="1274" w:type="dxa"/>
            <w:tcBorders>
              <w:top w:val="nil"/>
              <w:left w:val="nil"/>
            </w:tcBorders>
            <w:vAlign w:val="bottom"/>
          </w:tcPr>
          <w:p w14:paraId="0BB2E357" w14:textId="77777777" w:rsidR="00361651" w:rsidRDefault="00361651" w:rsidP="009709A2">
            <w:pPr>
              <w:pStyle w:val="IASBTableArial"/>
              <w:jc w:val="right"/>
            </w:pPr>
            <w:r>
              <w:t>1,000</w:t>
            </w:r>
          </w:p>
        </w:tc>
        <w:tc>
          <w:tcPr>
            <w:tcW w:w="455" w:type="dxa"/>
            <w:tcBorders>
              <w:top w:val="nil"/>
              <w:left w:val="nil"/>
            </w:tcBorders>
            <w:vAlign w:val="bottom"/>
          </w:tcPr>
          <w:p w14:paraId="0BB2E358" w14:textId="77777777" w:rsidR="00361651" w:rsidRDefault="00361651" w:rsidP="009709A2">
            <w:pPr>
              <w:pStyle w:val="IASBTableArial"/>
            </w:pPr>
          </w:p>
        </w:tc>
        <w:tc>
          <w:tcPr>
            <w:tcW w:w="1183" w:type="dxa"/>
            <w:tcBorders>
              <w:top w:val="nil"/>
              <w:left w:val="nil"/>
            </w:tcBorders>
            <w:vAlign w:val="bottom"/>
          </w:tcPr>
          <w:p w14:paraId="0BB2E359" w14:textId="77777777" w:rsidR="00361651" w:rsidRDefault="00361651" w:rsidP="009709A2">
            <w:pPr>
              <w:pStyle w:val="IASBTableArial"/>
              <w:jc w:val="right"/>
            </w:pPr>
            <w:r>
              <w:t>2,000</w:t>
            </w:r>
          </w:p>
        </w:tc>
        <w:tc>
          <w:tcPr>
            <w:tcW w:w="455" w:type="dxa"/>
            <w:tcBorders>
              <w:top w:val="nil"/>
              <w:left w:val="nil"/>
            </w:tcBorders>
            <w:vAlign w:val="bottom"/>
          </w:tcPr>
          <w:p w14:paraId="0BB2E35A" w14:textId="77777777" w:rsidR="00361651" w:rsidRDefault="00361651" w:rsidP="009709A2">
            <w:pPr>
              <w:pStyle w:val="IASBTableArial"/>
            </w:pPr>
          </w:p>
        </w:tc>
        <w:tc>
          <w:tcPr>
            <w:tcW w:w="1183" w:type="dxa"/>
            <w:tcBorders>
              <w:top w:val="nil"/>
              <w:left w:val="nil"/>
            </w:tcBorders>
            <w:vAlign w:val="bottom"/>
          </w:tcPr>
          <w:p w14:paraId="0BB2E35B" w14:textId="77777777" w:rsidR="00361651" w:rsidRDefault="00361651" w:rsidP="009709A2">
            <w:pPr>
              <w:pStyle w:val="IASBTableArial"/>
              <w:jc w:val="right"/>
            </w:pPr>
            <w:r>
              <w:t>3,000</w:t>
            </w:r>
          </w:p>
        </w:tc>
      </w:tr>
      <w:tr w:rsidR="00361651" w14:paraId="0BB2E363" w14:textId="77777777" w:rsidTr="009709A2">
        <w:trPr>
          <w:cantSplit/>
        </w:trPr>
        <w:tc>
          <w:tcPr>
            <w:tcW w:w="3694" w:type="dxa"/>
            <w:tcBorders>
              <w:top w:val="nil"/>
            </w:tcBorders>
          </w:tcPr>
          <w:p w14:paraId="0BB2E35D" w14:textId="77777777" w:rsidR="00361651" w:rsidRDefault="00361651" w:rsidP="009709A2">
            <w:pPr>
              <w:pStyle w:val="IASBTableArial"/>
            </w:pPr>
            <w:r>
              <w:t>Accumulated depreciation</w:t>
            </w:r>
          </w:p>
        </w:tc>
        <w:tc>
          <w:tcPr>
            <w:tcW w:w="1274" w:type="dxa"/>
            <w:tcBorders>
              <w:top w:val="nil"/>
              <w:left w:val="nil"/>
            </w:tcBorders>
            <w:vAlign w:val="bottom"/>
          </w:tcPr>
          <w:p w14:paraId="0BB2E35E" w14:textId="77777777" w:rsidR="00361651" w:rsidRDefault="00361651" w:rsidP="009709A2">
            <w:pPr>
              <w:pStyle w:val="IASBTableArial"/>
              <w:jc w:val="right"/>
            </w:pPr>
            <w:r>
              <w:t>–</w:t>
            </w:r>
          </w:p>
        </w:tc>
        <w:tc>
          <w:tcPr>
            <w:tcW w:w="455" w:type="dxa"/>
            <w:tcBorders>
              <w:top w:val="nil"/>
              <w:left w:val="nil"/>
            </w:tcBorders>
            <w:vAlign w:val="bottom"/>
          </w:tcPr>
          <w:p w14:paraId="0BB2E35F" w14:textId="77777777" w:rsidR="00361651" w:rsidRDefault="00361651" w:rsidP="009709A2">
            <w:pPr>
              <w:pStyle w:val="IASBTableArial"/>
            </w:pPr>
          </w:p>
        </w:tc>
        <w:tc>
          <w:tcPr>
            <w:tcW w:w="1183" w:type="dxa"/>
            <w:tcBorders>
              <w:top w:val="nil"/>
              <w:left w:val="nil"/>
            </w:tcBorders>
            <w:vAlign w:val="bottom"/>
          </w:tcPr>
          <w:p w14:paraId="0BB2E360" w14:textId="77777777" w:rsidR="00361651" w:rsidRDefault="00361651" w:rsidP="009709A2">
            <w:pPr>
              <w:pStyle w:val="IASBTableArial"/>
              <w:jc w:val="right"/>
            </w:pPr>
            <w:r>
              <w:t>(167)</w:t>
            </w:r>
          </w:p>
        </w:tc>
        <w:tc>
          <w:tcPr>
            <w:tcW w:w="455" w:type="dxa"/>
            <w:tcBorders>
              <w:top w:val="nil"/>
              <w:left w:val="nil"/>
            </w:tcBorders>
            <w:vAlign w:val="bottom"/>
          </w:tcPr>
          <w:p w14:paraId="0BB2E361" w14:textId="77777777" w:rsidR="00361651" w:rsidRDefault="00361651" w:rsidP="009709A2">
            <w:pPr>
              <w:pStyle w:val="IASBTableArial"/>
            </w:pPr>
          </w:p>
        </w:tc>
        <w:tc>
          <w:tcPr>
            <w:tcW w:w="1183" w:type="dxa"/>
            <w:tcBorders>
              <w:top w:val="nil"/>
              <w:left w:val="nil"/>
            </w:tcBorders>
            <w:vAlign w:val="bottom"/>
          </w:tcPr>
          <w:p w14:paraId="0BB2E362" w14:textId="77777777" w:rsidR="00361651" w:rsidRDefault="00361651" w:rsidP="009709A2">
            <w:pPr>
              <w:pStyle w:val="IASBTableArial"/>
              <w:jc w:val="right"/>
            </w:pPr>
            <w:r>
              <w:t>(167)</w:t>
            </w:r>
          </w:p>
        </w:tc>
      </w:tr>
      <w:tr w:rsidR="00361651" w14:paraId="0BB2E36A" w14:textId="77777777" w:rsidTr="009709A2">
        <w:trPr>
          <w:cantSplit/>
        </w:trPr>
        <w:tc>
          <w:tcPr>
            <w:tcW w:w="3694" w:type="dxa"/>
            <w:tcBorders>
              <w:top w:val="nil"/>
            </w:tcBorders>
          </w:tcPr>
          <w:p w14:paraId="0BB2E364" w14:textId="77777777" w:rsidR="00361651" w:rsidRDefault="00361651" w:rsidP="009709A2">
            <w:pPr>
              <w:pStyle w:val="IASBTableArial"/>
            </w:pPr>
            <w:r>
              <w:t>Impairment loss</w:t>
            </w:r>
          </w:p>
        </w:tc>
        <w:tc>
          <w:tcPr>
            <w:tcW w:w="1274" w:type="dxa"/>
            <w:tcBorders>
              <w:top w:val="nil"/>
              <w:left w:val="nil"/>
              <w:bottom w:val="single" w:sz="4" w:space="0" w:color="auto"/>
            </w:tcBorders>
            <w:vAlign w:val="bottom"/>
          </w:tcPr>
          <w:p w14:paraId="0BB2E365" w14:textId="77777777" w:rsidR="00361651" w:rsidRDefault="00361651" w:rsidP="009709A2">
            <w:pPr>
              <w:pStyle w:val="IASBTableArial"/>
              <w:jc w:val="right"/>
            </w:pPr>
            <w:r>
              <w:t>(1,000)</w:t>
            </w:r>
          </w:p>
        </w:tc>
        <w:tc>
          <w:tcPr>
            <w:tcW w:w="455" w:type="dxa"/>
            <w:tcBorders>
              <w:top w:val="nil"/>
              <w:left w:val="nil"/>
            </w:tcBorders>
            <w:vAlign w:val="bottom"/>
          </w:tcPr>
          <w:p w14:paraId="0BB2E366"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367" w14:textId="77777777" w:rsidR="00361651" w:rsidRDefault="00361651" w:rsidP="009709A2">
            <w:pPr>
              <w:pStyle w:val="IASBTableArial"/>
              <w:jc w:val="right"/>
            </w:pPr>
            <w:r>
              <w:t>(473)</w:t>
            </w:r>
          </w:p>
        </w:tc>
        <w:tc>
          <w:tcPr>
            <w:tcW w:w="455" w:type="dxa"/>
            <w:tcBorders>
              <w:top w:val="nil"/>
              <w:left w:val="nil"/>
            </w:tcBorders>
            <w:vAlign w:val="bottom"/>
          </w:tcPr>
          <w:p w14:paraId="0BB2E368"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369" w14:textId="77777777" w:rsidR="00361651" w:rsidRDefault="00361651" w:rsidP="009709A2">
            <w:pPr>
              <w:pStyle w:val="IASBTableArial"/>
              <w:jc w:val="right"/>
            </w:pPr>
            <w:r>
              <w:t>(1,473)</w:t>
            </w:r>
          </w:p>
        </w:tc>
      </w:tr>
      <w:tr w:rsidR="00361651" w14:paraId="0BB2E371" w14:textId="77777777" w:rsidTr="009709A2">
        <w:trPr>
          <w:cantSplit/>
        </w:trPr>
        <w:tc>
          <w:tcPr>
            <w:tcW w:w="3694" w:type="dxa"/>
            <w:tcBorders>
              <w:top w:val="nil"/>
            </w:tcBorders>
          </w:tcPr>
          <w:p w14:paraId="0BB2E36B" w14:textId="77777777" w:rsidR="00361651" w:rsidRDefault="00361651" w:rsidP="009709A2">
            <w:pPr>
              <w:pStyle w:val="IASBTableArial"/>
            </w:pPr>
            <w:r>
              <w:t>Carrying amount after impairment loss</w:t>
            </w:r>
          </w:p>
        </w:tc>
        <w:tc>
          <w:tcPr>
            <w:tcW w:w="1274" w:type="dxa"/>
            <w:tcBorders>
              <w:top w:val="nil"/>
              <w:left w:val="nil"/>
              <w:bottom w:val="double" w:sz="4" w:space="0" w:color="auto"/>
            </w:tcBorders>
            <w:vAlign w:val="bottom"/>
          </w:tcPr>
          <w:p w14:paraId="0BB2E36C" w14:textId="77777777" w:rsidR="00361651" w:rsidRDefault="00361651" w:rsidP="009709A2">
            <w:pPr>
              <w:pStyle w:val="IASBTableArial"/>
              <w:jc w:val="right"/>
            </w:pPr>
            <w:r>
              <w:t>–</w:t>
            </w:r>
          </w:p>
        </w:tc>
        <w:tc>
          <w:tcPr>
            <w:tcW w:w="455" w:type="dxa"/>
            <w:tcBorders>
              <w:top w:val="nil"/>
              <w:left w:val="nil"/>
            </w:tcBorders>
            <w:vAlign w:val="bottom"/>
          </w:tcPr>
          <w:p w14:paraId="0BB2E36D" w14:textId="77777777" w:rsidR="00361651" w:rsidRDefault="00361651" w:rsidP="009709A2">
            <w:pPr>
              <w:pStyle w:val="IASBTableArial"/>
            </w:pPr>
          </w:p>
        </w:tc>
        <w:tc>
          <w:tcPr>
            <w:tcW w:w="1183" w:type="dxa"/>
            <w:tcBorders>
              <w:top w:val="nil"/>
              <w:left w:val="nil"/>
              <w:bottom w:val="double" w:sz="4" w:space="0" w:color="auto"/>
            </w:tcBorders>
            <w:vAlign w:val="bottom"/>
          </w:tcPr>
          <w:p w14:paraId="0BB2E36E" w14:textId="77777777" w:rsidR="00361651" w:rsidRDefault="00361651" w:rsidP="009709A2">
            <w:pPr>
              <w:pStyle w:val="IASBTableArial"/>
              <w:jc w:val="right"/>
            </w:pPr>
            <w:r>
              <w:t>1,360</w:t>
            </w:r>
          </w:p>
        </w:tc>
        <w:tc>
          <w:tcPr>
            <w:tcW w:w="455" w:type="dxa"/>
            <w:tcBorders>
              <w:top w:val="nil"/>
              <w:left w:val="nil"/>
            </w:tcBorders>
            <w:vAlign w:val="bottom"/>
          </w:tcPr>
          <w:p w14:paraId="0BB2E36F" w14:textId="77777777" w:rsidR="00361651" w:rsidRDefault="00361651" w:rsidP="009709A2">
            <w:pPr>
              <w:pStyle w:val="IASBTableArial"/>
            </w:pPr>
          </w:p>
        </w:tc>
        <w:tc>
          <w:tcPr>
            <w:tcW w:w="1183" w:type="dxa"/>
            <w:tcBorders>
              <w:top w:val="nil"/>
              <w:left w:val="nil"/>
              <w:bottom w:val="double" w:sz="4" w:space="0" w:color="auto"/>
            </w:tcBorders>
            <w:vAlign w:val="bottom"/>
          </w:tcPr>
          <w:p w14:paraId="0BB2E370" w14:textId="77777777" w:rsidR="00361651" w:rsidRDefault="00361651" w:rsidP="009709A2">
            <w:pPr>
              <w:pStyle w:val="IASBTableArial"/>
              <w:jc w:val="right"/>
            </w:pPr>
            <w:r>
              <w:t>1,360</w:t>
            </w:r>
          </w:p>
        </w:tc>
      </w:tr>
      <w:tr w:rsidR="00361651" w14:paraId="0BB2E373" w14:textId="77777777" w:rsidTr="009709A2">
        <w:trPr>
          <w:cantSplit/>
        </w:trPr>
        <w:tc>
          <w:tcPr>
            <w:tcW w:w="8244" w:type="dxa"/>
            <w:gridSpan w:val="6"/>
            <w:tcBorders>
              <w:top w:val="nil"/>
            </w:tcBorders>
          </w:tcPr>
          <w:p w14:paraId="0BB2E372" w14:textId="77777777" w:rsidR="00361651" w:rsidRDefault="00361651" w:rsidP="009709A2">
            <w:pPr>
              <w:pStyle w:val="IASBTableArial"/>
            </w:pPr>
          </w:p>
        </w:tc>
      </w:tr>
      <w:tr w:rsidR="00361651" w14:paraId="0BB2E37A" w14:textId="77777777" w:rsidTr="009709A2">
        <w:trPr>
          <w:cantSplit/>
        </w:trPr>
        <w:tc>
          <w:tcPr>
            <w:tcW w:w="3694" w:type="dxa"/>
            <w:tcBorders>
              <w:top w:val="nil"/>
            </w:tcBorders>
          </w:tcPr>
          <w:p w14:paraId="0BB2E374" w14:textId="77777777" w:rsidR="00361651" w:rsidRDefault="00361651" w:rsidP="009709A2">
            <w:pPr>
              <w:pStyle w:val="IASBTableArial"/>
            </w:pPr>
            <w:r>
              <w:rPr>
                <w:i/>
              </w:rPr>
              <w:t>End of 20X3</w:t>
            </w:r>
          </w:p>
        </w:tc>
        <w:tc>
          <w:tcPr>
            <w:tcW w:w="1274" w:type="dxa"/>
            <w:tcBorders>
              <w:top w:val="nil"/>
              <w:left w:val="nil"/>
            </w:tcBorders>
            <w:vAlign w:val="bottom"/>
          </w:tcPr>
          <w:p w14:paraId="0BB2E375" w14:textId="77777777" w:rsidR="00361651" w:rsidRDefault="00361651" w:rsidP="009709A2">
            <w:pPr>
              <w:pStyle w:val="IASBTableArial"/>
            </w:pPr>
            <w:r>
              <w:t xml:space="preserve"> </w:t>
            </w:r>
          </w:p>
        </w:tc>
        <w:tc>
          <w:tcPr>
            <w:tcW w:w="455" w:type="dxa"/>
            <w:tcBorders>
              <w:top w:val="nil"/>
              <w:left w:val="nil"/>
            </w:tcBorders>
            <w:vAlign w:val="bottom"/>
          </w:tcPr>
          <w:p w14:paraId="0BB2E376" w14:textId="77777777" w:rsidR="00361651" w:rsidRDefault="00361651" w:rsidP="009709A2">
            <w:pPr>
              <w:pStyle w:val="IASBTableArial"/>
            </w:pPr>
          </w:p>
        </w:tc>
        <w:tc>
          <w:tcPr>
            <w:tcW w:w="1183" w:type="dxa"/>
            <w:tcBorders>
              <w:top w:val="nil"/>
              <w:left w:val="nil"/>
            </w:tcBorders>
            <w:vAlign w:val="bottom"/>
          </w:tcPr>
          <w:p w14:paraId="0BB2E377" w14:textId="77777777" w:rsidR="00361651" w:rsidRDefault="00361651" w:rsidP="009709A2">
            <w:pPr>
              <w:pStyle w:val="IASBTableArial"/>
            </w:pPr>
            <w:r>
              <w:t xml:space="preserve"> </w:t>
            </w:r>
          </w:p>
        </w:tc>
        <w:tc>
          <w:tcPr>
            <w:tcW w:w="455" w:type="dxa"/>
            <w:tcBorders>
              <w:top w:val="nil"/>
              <w:left w:val="nil"/>
            </w:tcBorders>
            <w:vAlign w:val="bottom"/>
          </w:tcPr>
          <w:p w14:paraId="0BB2E378" w14:textId="77777777" w:rsidR="00361651" w:rsidRDefault="00361651" w:rsidP="009709A2">
            <w:pPr>
              <w:pStyle w:val="IASBTableArial"/>
            </w:pPr>
          </w:p>
        </w:tc>
        <w:tc>
          <w:tcPr>
            <w:tcW w:w="1183" w:type="dxa"/>
            <w:tcBorders>
              <w:top w:val="nil"/>
              <w:left w:val="nil"/>
            </w:tcBorders>
            <w:vAlign w:val="bottom"/>
          </w:tcPr>
          <w:p w14:paraId="0BB2E379" w14:textId="77777777" w:rsidR="00361651" w:rsidRDefault="00361651" w:rsidP="009709A2">
            <w:pPr>
              <w:pStyle w:val="IASBTableArial"/>
            </w:pPr>
            <w:r>
              <w:t xml:space="preserve"> </w:t>
            </w:r>
          </w:p>
        </w:tc>
      </w:tr>
      <w:tr w:rsidR="00361651" w14:paraId="0BB2E381" w14:textId="77777777" w:rsidTr="009709A2">
        <w:trPr>
          <w:cantSplit/>
        </w:trPr>
        <w:tc>
          <w:tcPr>
            <w:tcW w:w="3694" w:type="dxa"/>
            <w:tcBorders>
              <w:top w:val="nil"/>
            </w:tcBorders>
          </w:tcPr>
          <w:p w14:paraId="0BB2E37B" w14:textId="77777777" w:rsidR="00361651" w:rsidRDefault="00361651" w:rsidP="009709A2">
            <w:pPr>
              <w:pStyle w:val="IASBTableArial"/>
            </w:pPr>
            <w:r>
              <w:t>Additional depreciation (2 years)</w:t>
            </w:r>
            <w:r>
              <w:rPr>
                <w:vertAlign w:val="superscript"/>
              </w:rPr>
              <w:t>(a)</w:t>
            </w:r>
          </w:p>
        </w:tc>
        <w:tc>
          <w:tcPr>
            <w:tcW w:w="1274" w:type="dxa"/>
            <w:tcBorders>
              <w:top w:val="nil"/>
              <w:left w:val="nil"/>
              <w:bottom w:val="single" w:sz="4" w:space="0" w:color="auto"/>
            </w:tcBorders>
            <w:vAlign w:val="bottom"/>
          </w:tcPr>
          <w:p w14:paraId="0BB2E37C" w14:textId="77777777" w:rsidR="00361651" w:rsidRDefault="00361651" w:rsidP="009709A2">
            <w:pPr>
              <w:pStyle w:val="IASBTableArial"/>
              <w:jc w:val="right"/>
            </w:pPr>
            <w:r>
              <w:t>–</w:t>
            </w:r>
          </w:p>
        </w:tc>
        <w:tc>
          <w:tcPr>
            <w:tcW w:w="455" w:type="dxa"/>
            <w:tcBorders>
              <w:top w:val="nil"/>
              <w:left w:val="nil"/>
            </w:tcBorders>
            <w:vAlign w:val="bottom"/>
          </w:tcPr>
          <w:p w14:paraId="0BB2E37D"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37E" w14:textId="77777777" w:rsidR="00361651" w:rsidRDefault="00361651" w:rsidP="009709A2">
            <w:pPr>
              <w:pStyle w:val="IASBTableArial"/>
              <w:jc w:val="right"/>
            </w:pPr>
            <w:r>
              <w:t>(247)</w:t>
            </w:r>
          </w:p>
        </w:tc>
        <w:tc>
          <w:tcPr>
            <w:tcW w:w="455" w:type="dxa"/>
            <w:tcBorders>
              <w:top w:val="nil"/>
              <w:left w:val="nil"/>
            </w:tcBorders>
            <w:vAlign w:val="bottom"/>
          </w:tcPr>
          <w:p w14:paraId="0BB2E37F"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380" w14:textId="77777777" w:rsidR="00361651" w:rsidRDefault="00361651" w:rsidP="009709A2">
            <w:pPr>
              <w:pStyle w:val="IASBTableArial"/>
              <w:jc w:val="right"/>
            </w:pPr>
            <w:r>
              <w:t>(247)</w:t>
            </w:r>
          </w:p>
        </w:tc>
      </w:tr>
      <w:tr w:rsidR="00361651" w14:paraId="0BB2E388" w14:textId="77777777" w:rsidTr="009709A2">
        <w:trPr>
          <w:cantSplit/>
        </w:trPr>
        <w:tc>
          <w:tcPr>
            <w:tcW w:w="3694" w:type="dxa"/>
            <w:tcBorders>
              <w:top w:val="nil"/>
            </w:tcBorders>
          </w:tcPr>
          <w:p w14:paraId="0BB2E382" w14:textId="77777777" w:rsidR="00361651" w:rsidRDefault="00361651" w:rsidP="009709A2">
            <w:pPr>
              <w:pStyle w:val="IASBTableArial"/>
            </w:pPr>
            <w:r>
              <w:t>Carrying amount</w:t>
            </w:r>
          </w:p>
        </w:tc>
        <w:tc>
          <w:tcPr>
            <w:tcW w:w="1274" w:type="dxa"/>
            <w:tcBorders>
              <w:top w:val="nil"/>
              <w:left w:val="nil"/>
              <w:bottom w:val="double" w:sz="4" w:space="0" w:color="auto"/>
            </w:tcBorders>
            <w:vAlign w:val="bottom"/>
          </w:tcPr>
          <w:p w14:paraId="0BB2E383" w14:textId="77777777" w:rsidR="00361651" w:rsidRDefault="00361651" w:rsidP="009709A2">
            <w:pPr>
              <w:pStyle w:val="IASBTableArial"/>
              <w:jc w:val="right"/>
            </w:pPr>
            <w:r>
              <w:t>–</w:t>
            </w:r>
          </w:p>
        </w:tc>
        <w:tc>
          <w:tcPr>
            <w:tcW w:w="455" w:type="dxa"/>
            <w:tcBorders>
              <w:top w:val="nil"/>
              <w:left w:val="nil"/>
            </w:tcBorders>
            <w:vAlign w:val="bottom"/>
          </w:tcPr>
          <w:p w14:paraId="0BB2E384" w14:textId="77777777" w:rsidR="00361651" w:rsidRDefault="00361651" w:rsidP="009709A2">
            <w:pPr>
              <w:pStyle w:val="IASBTableArial"/>
            </w:pPr>
          </w:p>
        </w:tc>
        <w:tc>
          <w:tcPr>
            <w:tcW w:w="1183" w:type="dxa"/>
            <w:tcBorders>
              <w:top w:val="nil"/>
              <w:left w:val="nil"/>
              <w:bottom w:val="double" w:sz="4" w:space="0" w:color="auto"/>
            </w:tcBorders>
            <w:vAlign w:val="bottom"/>
          </w:tcPr>
          <w:p w14:paraId="0BB2E385" w14:textId="77777777" w:rsidR="00361651" w:rsidRDefault="00361651" w:rsidP="009709A2">
            <w:pPr>
              <w:pStyle w:val="IASBTableArial"/>
              <w:jc w:val="right"/>
            </w:pPr>
            <w:r>
              <w:t>1,113</w:t>
            </w:r>
          </w:p>
        </w:tc>
        <w:tc>
          <w:tcPr>
            <w:tcW w:w="455" w:type="dxa"/>
            <w:tcBorders>
              <w:top w:val="nil"/>
              <w:left w:val="nil"/>
            </w:tcBorders>
            <w:vAlign w:val="bottom"/>
          </w:tcPr>
          <w:p w14:paraId="0BB2E386" w14:textId="77777777" w:rsidR="00361651" w:rsidRDefault="00361651" w:rsidP="009709A2">
            <w:pPr>
              <w:pStyle w:val="IASBTableArial"/>
            </w:pPr>
          </w:p>
        </w:tc>
        <w:tc>
          <w:tcPr>
            <w:tcW w:w="1183" w:type="dxa"/>
            <w:tcBorders>
              <w:top w:val="nil"/>
              <w:left w:val="nil"/>
            </w:tcBorders>
            <w:vAlign w:val="bottom"/>
          </w:tcPr>
          <w:p w14:paraId="0BB2E387" w14:textId="77777777" w:rsidR="00361651" w:rsidRDefault="00361651" w:rsidP="009709A2">
            <w:pPr>
              <w:pStyle w:val="IASBTableArial"/>
              <w:jc w:val="right"/>
            </w:pPr>
            <w:r>
              <w:t>1,113</w:t>
            </w:r>
          </w:p>
        </w:tc>
      </w:tr>
      <w:tr w:rsidR="00361651" w14:paraId="0BB2E38F" w14:textId="77777777" w:rsidTr="009709A2">
        <w:trPr>
          <w:cantSplit/>
        </w:trPr>
        <w:tc>
          <w:tcPr>
            <w:tcW w:w="3694" w:type="dxa"/>
            <w:tcBorders>
              <w:top w:val="nil"/>
            </w:tcBorders>
          </w:tcPr>
          <w:p w14:paraId="0BB2E389" w14:textId="77777777" w:rsidR="00361651" w:rsidRDefault="00361651" w:rsidP="009709A2">
            <w:pPr>
              <w:pStyle w:val="IASBTableArial"/>
            </w:pPr>
            <w:r>
              <w:t>Recoverable amount</w:t>
            </w:r>
          </w:p>
        </w:tc>
        <w:tc>
          <w:tcPr>
            <w:tcW w:w="1274" w:type="dxa"/>
            <w:tcBorders>
              <w:top w:val="nil"/>
              <w:left w:val="nil"/>
            </w:tcBorders>
            <w:vAlign w:val="bottom"/>
          </w:tcPr>
          <w:p w14:paraId="0BB2E38A" w14:textId="77777777" w:rsidR="00361651" w:rsidRDefault="00361651" w:rsidP="009709A2">
            <w:pPr>
              <w:pStyle w:val="IASBTableArial"/>
            </w:pPr>
            <w:r>
              <w:t xml:space="preserve"> </w:t>
            </w:r>
          </w:p>
        </w:tc>
        <w:tc>
          <w:tcPr>
            <w:tcW w:w="455" w:type="dxa"/>
            <w:tcBorders>
              <w:top w:val="nil"/>
              <w:left w:val="nil"/>
            </w:tcBorders>
            <w:vAlign w:val="bottom"/>
          </w:tcPr>
          <w:p w14:paraId="0BB2E38B" w14:textId="77777777" w:rsidR="00361651" w:rsidRDefault="00361651" w:rsidP="009709A2">
            <w:pPr>
              <w:pStyle w:val="IASBTableArial"/>
            </w:pPr>
            <w:r>
              <w:t xml:space="preserve"> </w:t>
            </w:r>
          </w:p>
        </w:tc>
        <w:tc>
          <w:tcPr>
            <w:tcW w:w="1183" w:type="dxa"/>
            <w:tcBorders>
              <w:top w:val="nil"/>
              <w:left w:val="nil"/>
            </w:tcBorders>
            <w:vAlign w:val="bottom"/>
          </w:tcPr>
          <w:p w14:paraId="0BB2E38C" w14:textId="77777777" w:rsidR="00361651" w:rsidRDefault="00361651" w:rsidP="009709A2">
            <w:pPr>
              <w:pStyle w:val="IASBTableArial"/>
            </w:pPr>
          </w:p>
        </w:tc>
        <w:tc>
          <w:tcPr>
            <w:tcW w:w="455" w:type="dxa"/>
            <w:tcBorders>
              <w:top w:val="nil"/>
              <w:left w:val="nil"/>
            </w:tcBorders>
            <w:vAlign w:val="bottom"/>
          </w:tcPr>
          <w:p w14:paraId="0BB2E38D"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38E" w14:textId="77777777" w:rsidR="00361651" w:rsidRDefault="00361651" w:rsidP="009709A2">
            <w:pPr>
              <w:pStyle w:val="IASBTableArial"/>
              <w:jc w:val="right"/>
            </w:pPr>
            <w:r>
              <w:t>1,910</w:t>
            </w:r>
          </w:p>
        </w:tc>
      </w:tr>
      <w:tr w:rsidR="00361651" w14:paraId="0BB2E396" w14:textId="77777777" w:rsidTr="009709A2">
        <w:trPr>
          <w:cantSplit/>
        </w:trPr>
        <w:tc>
          <w:tcPr>
            <w:tcW w:w="3694" w:type="dxa"/>
            <w:tcBorders>
              <w:top w:val="nil"/>
            </w:tcBorders>
          </w:tcPr>
          <w:p w14:paraId="0BB2E390" w14:textId="77777777" w:rsidR="00361651" w:rsidRDefault="00361651" w:rsidP="009709A2">
            <w:pPr>
              <w:pStyle w:val="IASBTableArial"/>
            </w:pPr>
            <w:r>
              <w:t>Excess of recoverable amount over carrying amount</w:t>
            </w:r>
          </w:p>
        </w:tc>
        <w:tc>
          <w:tcPr>
            <w:tcW w:w="1274" w:type="dxa"/>
            <w:tcBorders>
              <w:top w:val="nil"/>
              <w:left w:val="nil"/>
            </w:tcBorders>
            <w:vAlign w:val="bottom"/>
          </w:tcPr>
          <w:p w14:paraId="0BB2E391" w14:textId="77777777" w:rsidR="00361651" w:rsidRDefault="00361651" w:rsidP="009709A2">
            <w:pPr>
              <w:pStyle w:val="IASBTableArial"/>
            </w:pPr>
            <w:r>
              <w:t xml:space="preserve"> </w:t>
            </w:r>
          </w:p>
        </w:tc>
        <w:tc>
          <w:tcPr>
            <w:tcW w:w="455" w:type="dxa"/>
            <w:tcBorders>
              <w:top w:val="nil"/>
              <w:left w:val="nil"/>
            </w:tcBorders>
            <w:vAlign w:val="bottom"/>
          </w:tcPr>
          <w:p w14:paraId="0BB2E392" w14:textId="77777777" w:rsidR="00361651" w:rsidRDefault="00361651" w:rsidP="009709A2">
            <w:pPr>
              <w:pStyle w:val="IASBTableArial"/>
            </w:pPr>
            <w:r>
              <w:t xml:space="preserve"> </w:t>
            </w:r>
          </w:p>
        </w:tc>
        <w:tc>
          <w:tcPr>
            <w:tcW w:w="1183" w:type="dxa"/>
            <w:tcBorders>
              <w:top w:val="nil"/>
              <w:left w:val="nil"/>
            </w:tcBorders>
            <w:vAlign w:val="bottom"/>
          </w:tcPr>
          <w:p w14:paraId="0BB2E393" w14:textId="77777777" w:rsidR="00361651" w:rsidRDefault="00361651" w:rsidP="009709A2">
            <w:pPr>
              <w:pStyle w:val="IASBTableArial"/>
            </w:pPr>
          </w:p>
        </w:tc>
        <w:tc>
          <w:tcPr>
            <w:tcW w:w="455" w:type="dxa"/>
            <w:tcBorders>
              <w:top w:val="nil"/>
              <w:left w:val="nil"/>
            </w:tcBorders>
            <w:vAlign w:val="bottom"/>
          </w:tcPr>
          <w:p w14:paraId="0BB2E394" w14:textId="77777777" w:rsidR="00361651" w:rsidRDefault="00361651" w:rsidP="009709A2">
            <w:pPr>
              <w:pStyle w:val="IASBTableArial"/>
            </w:pPr>
          </w:p>
        </w:tc>
        <w:tc>
          <w:tcPr>
            <w:tcW w:w="1183" w:type="dxa"/>
            <w:tcBorders>
              <w:top w:val="nil"/>
              <w:left w:val="nil"/>
              <w:bottom w:val="double" w:sz="4" w:space="0" w:color="auto"/>
            </w:tcBorders>
            <w:vAlign w:val="bottom"/>
          </w:tcPr>
          <w:p w14:paraId="0BB2E395" w14:textId="77777777" w:rsidR="00361651" w:rsidRDefault="00361651" w:rsidP="009709A2">
            <w:pPr>
              <w:pStyle w:val="IASBTableArial"/>
              <w:jc w:val="right"/>
            </w:pPr>
            <w:r>
              <w:t>797</w:t>
            </w:r>
          </w:p>
        </w:tc>
      </w:tr>
      <w:tr w:rsidR="00361651" w14:paraId="0BB2E398" w14:textId="77777777" w:rsidTr="009709A2">
        <w:trPr>
          <w:cantSplit/>
        </w:trPr>
        <w:tc>
          <w:tcPr>
            <w:tcW w:w="8244" w:type="dxa"/>
            <w:gridSpan w:val="6"/>
            <w:tcBorders>
              <w:top w:val="nil"/>
            </w:tcBorders>
          </w:tcPr>
          <w:p w14:paraId="0BB2E397" w14:textId="77777777" w:rsidR="00361651" w:rsidRDefault="00361651" w:rsidP="009709A2">
            <w:pPr>
              <w:pStyle w:val="IASBTableArial"/>
            </w:pPr>
          </w:p>
        </w:tc>
      </w:tr>
      <w:tr w:rsidR="00361651" w14:paraId="0BB2E39A" w14:textId="77777777" w:rsidTr="009709A2">
        <w:trPr>
          <w:cantSplit/>
        </w:trPr>
        <w:tc>
          <w:tcPr>
            <w:tcW w:w="8244" w:type="dxa"/>
            <w:gridSpan w:val="6"/>
            <w:tcBorders>
              <w:top w:val="nil"/>
            </w:tcBorders>
            <w:vAlign w:val="bottom"/>
          </w:tcPr>
          <w:p w14:paraId="0BB2E399" w14:textId="77777777" w:rsidR="00361651" w:rsidRDefault="00361651" w:rsidP="00513E65">
            <w:pPr>
              <w:pStyle w:val="IASBTableTNR"/>
              <w:ind w:left="397" w:hanging="397"/>
            </w:pPr>
            <w:r>
              <w:rPr>
                <w:rStyle w:val="FootnoteReference"/>
                <w:sz w:val="16"/>
                <w:vertAlign w:val="baseline"/>
              </w:rPr>
              <w:t>(a)</w:t>
            </w:r>
            <w:r>
              <w:t xml:space="preserve"> </w:t>
            </w:r>
            <w:r>
              <w:tab/>
            </w:r>
            <w:r>
              <w:rPr>
                <w:rStyle w:val="FootnoteReference"/>
                <w:sz w:val="16"/>
                <w:vertAlign w:val="baseline"/>
              </w:rPr>
              <w:t>After recognition of the impairment loss at the beginning of 20X2, T revised the depreciation charge for the Country A identifiable assets (from CU166.7 per year to CU123.6 per year), based on the revised carrying amount and remaining useful life (11 years).</w:t>
            </w:r>
          </w:p>
        </w:tc>
      </w:tr>
    </w:tbl>
    <w:p w14:paraId="0BB2E39B" w14:textId="77777777" w:rsidR="00361651" w:rsidRDefault="00361651" w:rsidP="00361651">
      <w:pPr>
        <w:pStyle w:val="IASBNormalnpara"/>
      </w:pPr>
    </w:p>
    <w:p w14:paraId="0BB2E39C" w14:textId="77777777" w:rsidR="00361651" w:rsidRDefault="00361651" w:rsidP="00361651">
      <w:pPr>
        <w:pStyle w:val="IASBNormalnpara"/>
      </w:pPr>
      <w:r>
        <w:t>IE41</w:t>
      </w:r>
      <w:r>
        <w:tab/>
        <w:t>There has been a favourable change in the estimates used to determine the recoverable amount of the Country A net assets since the last impairment loss was recognised. Therefore, in accordance with paragraph 114 of</w:t>
      </w:r>
      <w:r w:rsidR="002D17D4">
        <w:t xml:space="preserve"> AASB 136</w:t>
      </w:r>
      <w:r>
        <w:t xml:space="preserve">, T recognises a reversal of the impairment loss recognised in 20X2. </w:t>
      </w:r>
    </w:p>
    <w:p w14:paraId="0BB2E39D" w14:textId="77777777" w:rsidR="00361651" w:rsidRDefault="00361651" w:rsidP="00361651">
      <w:pPr>
        <w:pStyle w:val="IASBNormalnpara"/>
      </w:pPr>
      <w:r>
        <w:t>IE42</w:t>
      </w:r>
      <w:r>
        <w:tab/>
        <w:t>In accordance with paragraphs 122 and 123 of</w:t>
      </w:r>
      <w:r w:rsidR="002D17D4">
        <w:t xml:space="preserve"> AASB 136</w:t>
      </w:r>
      <w:r>
        <w:t xml:space="preserve">, T increases the carrying amount of the Country A identifiable assets by CU387 (see Schedule 3), ie up to the lower of recoverable amount (CU1,910) and the identifiable assets’ depreciated historical cost (CU1,500) (see Schedule 2). This increase is recognised immediately in profit or loss. </w:t>
      </w:r>
    </w:p>
    <w:p w14:paraId="0BB2E39E" w14:textId="77777777" w:rsidR="00361651" w:rsidRDefault="00361651" w:rsidP="00361651">
      <w:pPr>
        <w:pStyle w:val="IASBNormalnpara"/>
      </w:pPr>
      <w:r>
        <w:t>IE43</w:t>
      </w:r>
      <w:r>
        <w:tab/>
        <w:t>In accordance with paragraph 124 of</w:t>
      </w:r>
      <w:r w:rsidR="002D17D4">
        <w:t xml:space="preserve"> AASB 136</w:t>
      </w:r>
      <w:r>
        <w:t xml:space="preserve">, the impairment loss on goodwill is not reversed. </w:t>
      </w:r>
    </w:p>
    <w:p w14:paraId="0BB2E39F" w14:textId="77777777" w:rsidR="00361651" w:rsidRDefault="00361651" w:rsidP="00361651">
      <w:pPr>
        <w:pStyle w:val="IASBNormalnparaP"/>
      </w:pPr>
      <w:r>
        <w:t>Schedule 2. Determination of the depreciated historical cost of the Country A identifiable assets at the end of 20X3</w:t>
      </w:r>
    </w:p>
    <w:p w14:paraId="0BB2E3A0"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15"/>
      </w:tblPr>
      <w:tblGrid>
        <w:gridCol w:w="7082"/>
        <w:gridCol w:w="1162"/>
      </w:tblGrid>
      <w:tr w:rsidR="00361651" w14:paraId="0BB2E3A3" w14:textId="77777777" w:rsidTr="00775BE3">
        <w:trPr>
          <w:cantSplit/>
          <w:tblHeader/>
        </w:trPr>
        <w:tc>
          <w:tcPr>
            <w:tcW w:w="7082" w:type="dxa"/>
          </w:tcPr>
          <w:p w14:paraId="0BB2E3A1" w14:textId="77777777" w:rsidR="00361651" w:rsidRDefault="00361651" w:rsidP="002D54B2">
            <w:pPr>
              <w:pStyle w:val="IASBTableHeaderArial"/>
              <w:spacing w:after="120"/>
            </w:pPr>
            <w:r>
              <w:rPr>
                <w:rFonts w:ascii="Times New Roman" w:hAnsi="Times New Roman"/>
                <w:i/>
                <w:snapToGrid w:val="0"/>
                <w:sz w:val="16"/>
              </w:rPr>
              <w:t>End of 20X3</w:t>
            </w:r>
          </w:p>
        </w:tc>
        <w:tc>
          <w:tcPr>
            <w:tcW w:w="1162" w:type="dxa"/>
            <w:tcBorders>
              <w:left w:val="nil"/>
            </w:tcBorders>
          </w:tcPr>
          <w:p w14:paraId="0BB2E3A2" w14:textId="77777777" w:rsidR="00361651" w:rsidRDefault="00361651" w:rsidP="002D54B2">
            <w:pPr>
              <w:pStyle w:val="IASBTableHeaderArial"/>
              <w:spacing w:after="120"/>
              <w:jc w:val="right"/>
            </w:pPr>
            <w:r>
              <w:rPr>
                <w:rFonts w:ascii="Times New Roman" w:hAnsi="Times New Roman"/>
                <w:i/>
                <w:snapToGrid w:val="0"/>
                <w:sz w:val="16"/>
              </w:rPr>
              <w:t>Identifiable assets</w:t>
            </w:r>
          </w:p>
        </w:tc>
      </w:tr>
      <w:tr w:rsidR="00361651" w14:paraId="0BB2E3A6" w14:textId="77777777" w:rsidTr="00775BE3">
        <w:trPr>
          <w:cantSplit/>
          <w:tblHeader/>
        </w:trPr>
        <w:tc>
          <w:tcPr>
            <w:tcW w:w="7082" w:type="dxa"/>
            <w:tcBorders>
              <w:top w:val="nil"/>
            </w:tcBorders>
            <w:vAlign w:val="bottom"/>
          </w:tcPr>
          <w:p w14:paraId="0BB2E3A4" w14:textId="77777777" w:rsidR="00361651" w:rsidRDefault="00361651" w:rsidP="002D54B2">
            <w:pPr>
              <w:pStyle w:val="IASBTableHeaderArial"/>
              <w:spacing w:after="120"/>
            </w:pPr>
          </w:p>
        </w:tc>
        <w:tc>
          <w:tcPr>
            <w:tcW w:w="1162" w:type="dxa"/>
            <w:tcBorders>
              <w:top w:val="nil"/>
              <w:left w:val="nil"/>
            </w:tcBorders>
            <w:vAlign w:val="bottom"/>
          </w:tcPr>
          <w:p w14:paraId="0BB2E3A5" w14:textId="77777777" w:rsidR="00361651" w:rsidRDefault="00361651" w:rsidP="002D54B2">
            <w:pPr>
              <w:pStyle w:val="IASBTableHeaderArial"/>
              <w:spacing w:after="120"/>
              <w:jc w:val="right"/>
            </w:pPr>
            <w:r>
              <w:rPr>
                <w:b/>
              </w:rPr>
              <w:t>CU</w:t>
            </w:r>
          </w:p>
        </w:tc>
      </w:tr>
      <w:tr w:rsidR="00361651" w14:paraId="0BB2E3A9" w14:textId="77777777" w:rsidTr="00775BE3">
        <w:trPr>
          <w:cantSplit/>
        </w:trPr>
        <w:tc>
          <w:tcPr>
            <w:tcW w:w="7082" w:type="dxa"/>
            <w:tcBorders>
              <w:top w:val="nil"/>
            </w:tcBorders>
          </w:tcPr>
          <w:p w14:paraId="0BB2E3A7" w14:textId="77777777" w:rsidR="00361651" w:rsidRDefault="00361651" w:rsidP="009709A2">
            <w:pPr>
              <w:pStyle w:val="IASBTableArial"/>
            </w:pPr>
            <w:r>
              <w:t>Historical cost</w:t>
            </w:r>
          </w:p>
        </w:tc>
        <w:tc>
          <w:tcPr>
            <w:tcW w:w="1162" w:type="dxa"/>
            <w:tcBorders>
              <w:top w:val="nil"/>
              <w:left w:val="nil"/>
            </w:tcBorders>
            <w:vAlign w:val="bottom"/>
          </w:tcPr>
          <w:p w14:paraId="0BB2E3A8" w14:textId="77777777" w:rsidR="00361651" w:rsidRDefault="00361651" w:rsidP="009709A2">
            <w:pPr>
              <w:pStyle w:val="IASBTableArial"/>
              <w:jc w:val="right"/>
            </w:pPr>
            <w:r>
              <w:t>2,000</w:t>
            </w:r>
          </w:p>
        </w:tc>
      </w:tr>
      <w:tr w:rsidR="00361651" w14:paraId="0BB2E3AC" w14:textId="77777777" w:rsidTr="00775BE3">
        <w:trPr>
          <w:cantSplit/>
        </w:trPr>
        <w:tc>
          <w:tcPr>
            <w:tcW w:w="7082" w:type="dxa"/>
            <w:tcBorders>
              <w:top w:val="nil"/>
            </w:tcBorders>
          </w:tcPr>
          <w:p w14:paraId="0BB2E3AA" w14:textId="77777777" w:rsidR="00361651" w:rsidRDefault="00361651" w:rsidP="009709A2">
            <w:pPr>
              <w:pStyle w:val="IASBTableArial"/>
            </w:pPr>
            <w:r>
              <w:t xml:space="preserve">Accumulated depreciation </w:t>
            </w:r>
            <w:r>
              <w:rPr>
                <w:i/>
              </w:rPr>
              <w:t>(166.7 × 3 years)</w:t>
            </w:r>
          </w:p>
        </w:tc>
        <w:tc>
          <w:tcPr>
            <w:tcW w:w="1162" w:type="dxa"/>
            <w:tcBorders>
              <w:top w:val="nil"/>
              <w:left w:val="nil"/>
              <w:bottom w:val="single" w:sz="4" w:space="0" w:color="auto"/>
            </w:tcBorders>
            <w:vAlign w:val="bottom"/>
          </w:tcPr>
          <w:p w14:paraId="0BB2E3AB" w14:textId="77777777" w:rsidR="00361651" w:rsidRDefault="00361651" w:rsidP="009709A2">
            <w:pPr>
              <w:pStyle w:val="IASBTableArial"/>
              <w:jc w:val="right"/>
            </w:pPr>
            <w:r>
              <w:t>(500)</w:t>
            </w:r>
          </w:p>
        </w:tc>
      </w:tr>
      <w:tr w:rsidR="00361651" w14:paraId="0BB2E3AF" w14:textId="77777777" w:rsidTr="00775BE3">
        <w:trPr>
          <w:cantSplit/>
        </w:trPr>
        <w:tc>
          <w:tcPr>
            <w:tcW w:w="7082" w:type="dxa"/>
            <w:tcBorders>
              <w:top w:val="nil"/>
            </w:tcBorders>
          </w:tcPr>
          <w:p w14:paraId="0BB2E3AD" w14:textId="77777777" w:rsidR="00361651" w:rsidRDefault="00361651" w:rsidP="009709A2">
            <w:pPr>
              <w:pStyle w:val="IASBTableArial"/>
            </w:pPr>
            <w:r>
              <w:t>Depreciated historical cost</w:t>
            </w:r>
          </w:p>
        </w:tc>
        <w:tc>
          <w:tcPr>
            <w:tcW w:w="1162" w:type="dxa"/>
            <w:tcBorders>
              <w:top w:val="nil"/>
              <w:left w:val="nil"/>
              <w:bottom w:val="double" w:sz="4" w:space="0" w:color="auto"/>
            </w:tcBorders>
            <w:vAlign w:val="bottom"/>
          </w:tcPr>
          <w:p w14:paraId="0BB2E3AE" w14:textId="77777777" w:rsidR="00361651" w:rsidRDefault="00361651" w:rsidP="009709A2">
            <w:pPr>
              <w:pStyle w:val="IASBTableArial"/>
              <w:jc w:val="right"/>
            </w:pPr>
            <w:r>
              <w:t>1,500</w:t>
            </w:r>
          </w:p>
        </w:tc>
      </w:tr>
      <w:tr w:rsidR="00361651" w14:paraId="0BB2E3B2" w14:textId="77777777" w:rsidTr="00775BE3">
        <w:trPr>
          <w:cantSplit/>
        </w:trPr>
        <w:tc>
          <w:tcPr>
            <w:tcW w:w="7082" w:type="dxa"/>
            <w:tcBorders>
              <w:top w:val="nil"/>
            </w:tcBorders>
          </w:tcPr>
          <w:p w14:paraId="0BB2E3B0" w14:textId="77777777" w:rsidR="00361651" w:rsidRDefault="00361651" w:rsidP="009709A2">
            <w:pPr>
              <w:pStyle w:val="IASBTableArial"/>
            </w:pPr>
            <w:r>
              <w:t>Carrying amount (Schedule 1)</w:t>
            </w:r>
          </w:p>
        </w:tc>
        <w:tc>
          <w:tcPr>
            <w:tcW w:w="1162" w:type="dxa"/>
            <w:tcBorders>
              <w:top w:val="nil"/>
              <w:left w:val="nil"/>
              <w:bottom w:val="single" w:sz="4" w:space="0" w:color="auto"/>
            </w:tcBorders>
            <w:vAlign w:val="bottom"/>
          </w:tcPr>
          <w:p w14:paraId="0BB2E3B1" w14:textId="77777777" w:rsidR="00361651" w:rsidRDefault="00361651" w:rsidP="009709A2">
            <w:pPr>
              <w:pStyle w:val="IASBTableArial"/>
              <w:jc w:val="right"/>
            </w:pPr>
            <w:r>
              <w:t>1,113</w:t>
            </w:r>
          </w:p>
        </w:tc>
      </w:tr>
      <w:tr w:rsidR="00361651" w14:paraId="0BB2E3B5" w14:textId="77777777" w:rsidTr="00775BE3">
        <w:trPr>
          <w:cantSplit/>
        </w:trPr>
        <w:tc>
          <w:tcPr>
            <w:tcW w:w="7082" w:type="dxa"/>
            <w:tcBorders>
              <w:top w:val="nil"/>
            </w:tcBorders>
          </w:tcPr>
          <w:p w14:paraId="0BB2E3B3" w14:textId="77777777" w:rsidR="00361651" w:rsidRDefault="00361651" w:rsidP="009709A2">
            <w:pPr>
              <w:pStyle w:val="IASBTableArial"/>
            </w:pPr>
            <w:r>
              <w:t>Difference</w:t>
            </w:r>
          </w:p>
        </w:tc>
        <w:tc>
          <w:tcPr>
            <w:tcW w:w="1162" w:type="dxa"/>
            <w:tcBorders>
              <w:top w:val="nil"/>
              <w:left w:val="nil"/>
              <w:bottom w:val="double" w:sz="4" w:space="0" w:color="auto"/>
            </w:tcBorders>
            <w:vAlign w:val="bottom"/>
          </w:tcPr>
          <w:p w14:paraId="0BB2E3B4" w14:textId="77777777" w:rsidR="00361651" w:rsidRDefault="00361651" w:rsidP="009709A2">
            <w:pPr>
              <w:pStyle w:val="IASBTableArial"/>
              <w:jc w:val="right"/>
            </w:pPr>
            <w:r>
              <w:t>387</w:t>
            </w:r>
          </w:p>
        </w:tc>
      </w:tr>
    </w:tbl>
    <w:p w14:paraId="0BB2E3B6" w14:textId="77777777" w:rsidR="00361651" w:rsidRDefault="00361651" w:rsidP="00513E65">
      <w:pPr>
        <w:pStyle w:val="IASBNormal"/>
        <w:pageBreakBefore/>
      </w:pPr>
      <w:r>
        <w:lastRenderedPageBreak/>
        <w:t>Schedule 3. Carrying amount of the Country A assets at the end of 20X3</w:t>
      </w:r>
    </w:p>
    <w:p w14:paraId="0BB2E3B7" w14:textId="77777777" w:rsidR="00361651" w:rsidRDefault="00361651" w:rsidP="00361651">
      <w:pPr>
        <w:pStyle w:val="IASBNormalnpara"/>
      </w:pPr>
    </w:p>
    <w:tbl>
      <w:tblPr>
        <w:tblW w:w="0" w:type="auto"/>
        <w:tblLayout w:type="fixed"/>
        <w:tblLook w:val="0000" w:firstRow="0" w:lastRow="0" w:firstColumn="0" w:lastColumn="0" w:noHBand="0" w:noVBand="0"/>
        <w:tblCaption w:val="AASB 136 Table 16"/>
      </w:tblPr>
      <w:tblGrid>
        <w:gridCol w:w="4476"/>
        <w:gridCol w:w="1274"/>
        <w:gridCol w:w="455"/>
        <w:gridCol w:w="1274"/>
        <w:gridCol w:w="455"/>
        <w:gridCol w:w="1274"/>
      </w:tblGrid>
      <w:tr w:rsidR="00361651" w14:paraId="0BB2E3BC" w14:textId="77777777" w:rsidTr="009709A2">
        <w:trPr>
          <w:cantSplit/>
          <w:tblHeader/>
        </w:trPr>
        <w:tc>
          <w:tcPr>
            <w:tcW w:w="4476" w:type="dxa"/>
          </w:tcPr>
          <w:p w14:paraId="0BB2E3B8" w14:textId="77777777" w:rsidR="00361651" w:rsidRDefault="00361651" w:rsidP="002D54B2">
            <w:pPr>
              <w:pStyle w:val="IASBTableHeaderArial"/>
              <w:spacing w:after="120"/>
            </w:pPr>
            <w:r>
              <w:rPr>
                <w:rFonts w:ascii="Times New Roman" w:hAnsi="Times New Roman"/>
                <w:i/>
                <w:snapToGrid w:val="0"/>
                <w:sz w:val="16"/>
              </w:rPr>
              <w:t>End of 20X3</w:t>
            </w:r>
          </w:p>
        </w:tc>
        <w:tc>
          <w:tcPr>
            <w:tcW w:w="1274" w:type="dxa"/>
            <w:tcBorders>
              <w:left w:val="nil"/>
            </w:tcBorders>
          </w:tcPr>
          <w:p w14:paraId="0BB2E3B9" w14:textId="77777777" w:rsidR="00361651" w:rsidRDefault="00361651" w:rsidP="002D54B2">
            <w:pPr>
              <w:pStyle w:val="IASBTableHeaderArial"/>
              <w:spacing w:after="120"/>
              <w:jc w:val="right"/>
            </w:pPr>
            <w:r>
              <w:rPr>
                <w:rFonts w:ascii="Times New Roman" w:hAnsi="Times New Roman"/>
                <w:i/>
                <w:snapToGrid w:val="0"/>
                <w:sz w:val="16"/>
              </w:rPr>
              <w:t>Goodwill</w:t>
            </w:r>
          </w:p>
        </w:tc>
        <w:tc>
          <w:tcPr>
            <w:tcW w:w="1729" w:type="dxa"/>
            <w:gridSpan w:val="2"/>
            <w:tcBorders>
              <w:left w:val="nil"/>
            </w:tcBorders>
          </w:tcPr>
          <w:p w14:paraId="0BB2E3BA" w14:textId="77777777" w:rsidR="00361651" w:rsidRDefault="00361651" w:rsidP="002D54B2">
            <w:pPr>
              <w:pStyle w:val="IASBTableHeaderArial"/>
              <w:spacing w:after="120"/>
              <w:jc w:val="right"/>
            </w:pPr>
            <w:r>
              <w:rPr>
                <w:rFonts w:ascii="Times New Roman" w:hAnsi="Times New Roman"/>
                <w:i/>
                <w:snapToGrid w:val="0"/>
                <w:sz w:val="16"/>
              </w:rPr>
              <w:t>Identifiable assets</w:t>
            </w:r>
          </w:p>
        </w:tc>
        <w:tc>
          <w:tcPr>
            <w:tcW w:w="1729" w:type="dxa"/>
            <w:gridSpan w:val="2"/>
            <w:tcBorders>
              <w:left w:val="nil"/>
            </w:tcBorders>
          </w:tcPr>
          <w:p w14:paraId="0BB2E3BB" w14:textId="77777777" w:rsidR="00361651" w:rsidRDefault="00361651" w:rsidP="002D54B2">
            <w:pPr>
              <w:pStyle w:val="IASBTableHeaderArial"/>
              <w:spacing w:after="120"/>
              <w:jc w:val="right"/>
            </w:pPr>
            <w:r>
              <w:rPr>
                <w:rFonts w:ascii="Times New Roman" w:hAnsi="Times New Roman"/>
                <w:i/>
                <w:snapToGrid w:val="0"/>
                <w:sz w:val="16"/>
              </w:rPr>
              <w:t>Total</w:t>
            </w:r>
          </w:p>
        </w:tc>
      </w:tr>
      <w:tr w:rsidR="00361651" w14:paraId="0BB2E3C3" w14:textId="77777777" w:rsidTr="009709A2">
        <w:trPr>
          <w:cantSplit/>
          <w:tblHeader/>
        </w:trPr>
        <w:tc>
          <w:tcPr>
            <w:tcW w:w="4476" w:type="dxa"/>
            <w:tcBorders>
              <w:top w:val="nil"/>
            </w:tcBorders>
            <w:vAlign w:val="bottom"/>
          </w:tcPr>
          <w:p w14:paraId="0BB2E3BD" w14:textId="77777777" w:rsidR="00361651" w:rsidRDefault="00361651" w:rsidP="002D54B2">
            <w:pPr>
              <w:pStyle w:val="IASBTableHeaderArial"/>
              <w:spacing w:after="120"/>
            </w:pPr>
          </w:p>
        </w:tc>
        <w:tc>
          <w:tcPr>
            <w:tcW w:w="1274" w:type="dxa"/>
            <w:tcBorders>
              <w:top w:val="nil"/>
              <w:left w:val="nil"/>
            </w:tcBorders>
          </w:tcPr>
          <w:p w14:paraId="0BB2E3BE" w14:textId="77777777" w:rsidR="00361651" w:rsidRDefault="00361651" w:rsidP="002D54B2">
            <w:pPr>
              <w:pStyle w:val="IASBTableHeaderArial"/>
              <w:spacing w:after="120"/>
              <w:jc w:val="right"/>
            </w:pPr>
            <w:r>
              <w:rPr>
                <w:b/>
              </w:rPr>
              <w:t>CU</w:t>
            </w:r>
          </w:p>
        </w:tc>
        <w:tc>
          <w:tcPr>
            <w:tcW w:w="455" w:type="dxa"/>
            <w:tcBorders>
              <w:top w:val="nil"/>
              <w:left w:val="nil"/>
            </w:tcBorders>
          </w:tcPr>
          <w:p w14:paraId="0BB2E3BF" w14:textId="77777777" w:rsidR="00361651" w:rsidRDefault="00361651" w:rsidP="002D54B2">
            <w:pPr>
              <w:pStyle w:val="IASBTableHeaderArial"/>
              <w:spacing w:after="120"/>
              <w:jc w:val="right"/>
            </w:pPr>
          </w:p>
        </w:tc>
        <w:tc>
          <w:tcPr>
            <w:tcW w:w="1274" w:type="dxa"/>
            <w:tcBorders>
              <w:top w:val="nil"/>
              <w:left w:val="nil"/>
            </w:tcBorders>
          </w:tcPr>
          <w:p w14:paraId="0BB2E3C0" w14:textId="77777777" w:rsidR="00361651" w:rsidRDefault="00361651" w:rsidP="002D54B2">
            <w:pPr>
              <w:pStyle w:val="IASBTableHeaderArial"/>
              <w:spacing w:after="120"/>
              <w:jc w:val="right"/>
            </w:pPr>
            <w:r>
              <w:rPr>
                <w:b/>
              </w:rPr>
              <w:t>CU</w:t>
            </w:r>
          </w:p>
        </w:tc>
        <w:tc>
          <w:tcPr>
            <w:tcW w:w="455" w:type="dxa"/>
            <w:tcBorders>
              <w:top w:val="nil"/>
              <w:left w:val="nil"/>
            </w:tcBorders>
          </w:tcPr>
          <w:p w14:paraId="0BB2E3C1" w14:textId="77777777" w:rsidR="00361651" w:rsidRDefault="00361651" w:rsidP="002D54B2">
            <w:pPr>
              <w:pStyle w:val="IASBTableHeaderArial"/>
              <w:spacing w:after="120"/>
              <w:jc w:val="right"/>
            </w:pPr>
          </w:p>
        </w:tc>
        <w:tc>
          <w:tcPr>
            <w:tcW w:w="1274" w:type="dxa"/>
            <w:tcBorders>
              <w:top w:val="nil"/>
              <w:left w:val="nil"/>
            </w:tcBorders>
          </w:tcPr>
          <w:p w14:paraId="0BB2E3C2" w14:textId="77777777" w:rsidR="00361651" w:rsidRDefault="00361651" w:rsidP="002D54B2">
            <w:pPr>
              <w:pStyle w:val="IASBTableHeaderArial"/>
              <w:spacing w:after="120"/>
              <w:jc w:val="right"/>
            </w:pPr>
            <w:r>
              <w:rPr>
                <w:b/>
              </w:rPr>
              <w:t>CU</w:t>
            </w:r>
          </w:p>
        </w:tc>
      </w:tr>
      <w:tr w:rsidR="00361651" w14:paraId="0BB2E3CA" w14:textId="77777777" w:rsidTr="009709A2">
        <w:trPr>
          <w:cantSplit/>
        </w:trPr>
        <w:tc>
          <w:tcPr>
            <w:tcW w:w="4476" w:type="dxa"/>
            <w:tcBorders>
              <w:top w:val="nil"/>
            </w:tcBorders>
          </w:tcPr>
          <w:p w14:paraId="0BB2E3C4" w14:textId="77777777" w:rsidR="00361651" w:rsidRDefault="00361651" w:rsidP="009709A2">
            <w:pPr>
              <w:pStyle w:val="IASBTableArial"/>
            </w:pPr>
            <w:r>
              <w:t>Gross carrying amount</w:t>
            </w:r>
          </w:p>
        </w:tc>
        <w:tc>
          <w:tcPr>
            <w:tcW w:w="1274" w:type="dxa"/>
            <w:tcBorders>
              <w:top w:val="nil"/>
              <w:left w:val="nil"/>
            </w:tcBorders>
            <w:vAlign w:val="bottom"/>
          </w:tcPr>
          <w:p w14:paraId="0BB2E3C5" w14:textId="77777777" w:rsidR="00361651" w:rsidRDefault="00361651" w:rsidP="009709A2">
            <w:pPr>
              <w:pStyle w:val="IASBTableArial"/>
              <w:jc w:val="right"/>
            </w:pPr>
            <w:r>
              <w:t>1,000</w:t>
            </w:r>
          </w:p>
        </w:tc>
        <w:tc>
          <w:tcPr>
            <w:tcW w:w="455" w:type="dxa"/>
            <w:tcBorders>
              <w:top w:val="nil"/>
              <w:left w:val="nil"/>
            </w:tcBorders>
          </w:tcPr>
          <w:p w14:paraId="0BB2E3C6" w14:textId="77777777" w:rsidR="00361651" w:rsidRDefault="00361651" w:rsidP="009709A2">
            <w:pPr>
              <w:pStyle w:val="IASBTableArial"/>
            </w:pPr>
          </w:p>
        </w:tc>
        <w:tc>
          <w:tcPr>
            <w:tcW w:w="1274" w:type="dxa"/>
            <w:tcBorders>
              <w:top w:val="nil"/>
              <w:left w:val="nil"/>
            </w:tcBorders>
            <w:vAlign w:val="bottom"/>
          </w:tcPr>
          <w:p w14:paraId="0BB2E3C7" w14:textId="77777777" w:rsidR="00361651" w:rsidRDefault="00361651" w:rsidP="009709A2">
            <w:pPr>
              <w:pStyle w:val="IASBTableArial"/>
              <w:jc w:val="right"/>
            </w:pPr>
            <w:r>
              <w:t>2,000</w:t>
            </w:r>
          </w:p>
        </w:tc>
        <w:tc>
          <w:tcPr>
            <w:tcW w:w="455" w:type="dxa"/>
            <w:tcBorders>
              <w:top w:val="nil"/>
              <w:left w:val="nil"/>
            </w:tcBorders>
            <w:vAlign w:val="bottom"/>
          </w:tcPr>
          <w:p w14:paraId="0BB2E3C8" w14:textId="77777777" w:rsidR="00361651" w:rsidRDefault="00361651" w:rsidP="009709A2">
            <w:pPr>
              <w:pStyle w:val="IASBTableArial"/>
            </w:pPr>
          </w:p>
        </w:tc>
        <w:tc>
          <w:tcPr>
            <w:tcW w:w="1274" w:type="dxa"/>
            <w:tcBorders>
              <w:top w:val="nil"/>
              <w:left w:val="nil"/>
            </w:tcBorders>
            <w:vAlign w:val="bottom"/>
          </w:tcPr>
          <w:p w14:paraId="0BB2E3C9" w14:textId="77777777" w:rsidR="00361651" w:rsidRDefault="00361651" w:rsidP="009709A2">
            <w:pPr>
              <w:pStyle w:val="IASBTableArial"/>
              <w:jc w:val="right"/>
            </w:pPr>
            <w:r>
              <w:t>3,000</w:t>
            </w:r>
          </w:p>
        </w:tc>
      </w:tr>
      <w:tr w:rsidR="00361651" w14:paraId="0BB2E3D1" w14:textId="77777777" w:rsidTr="009709A2">
        <w:trPr>
          <w:cantSplit/>
        </w:trPr>
        <w:tc>
          <w:tcPr>
            <w:tcW w:w="4476" w:type="dxa"/>
            <w:tcBorders>
              <w:top w:val="nil"/>
            </w:tcBorders>
          </w:tcPr>
          <w:p w14:paraId="0BB2E3CB" w14:textId="77777777" w:rsidR="00361651" w:rsidRDefault="00361651" w:rsidP="009709A2">
            <w:pPr>
              <w:pStyle w:val="IASBTableArial"/>
            </w:pPr>
            <w:r>
              <w:t>Accumulated amortisation</w:t>
            </w:r>
          </w:p>
        </w:tc>
        <w:tc>
          <w:tcPr>
            <w:tcW w:w="1274" w:type="dxa"/>
            <w:tcBorders>
              <w:top w:val="nil"/>
              <w:left w:val="nil"/>
            </w:tcBorders>
            <w:vAlign w:val="bottom"/>
          </w:tcPr>
          <w:p w14:paraId="0BB2E3CC" w14:textId="77777777" w:rsidR="00361651" w:rsidRDefault="00361651" w:rsidP="009709A2">
            <w:pPr>
              <w:pStyle w:val="IASBTableArial"/>
              <w:jc w:val="right"/>
            </w:pPr>
            <w:r>
              <w:t>–</w:t>
            </w:r>
          </w:p>
        </w:tc>
        <w:tc>
          <w:tcPr>
            <w:tcW w:w="455" w:type="dxa"/>
            <w:tcBorders>
              <w:top w:val="nil"/>
              <w:left w:val="nil"/>
            </w:tcBorders>
            <w:vAlign w:val="bottom"/>
          </w:tcPr>
          <w:p w14:paraId="0BB2E3CD" w14:textId="77777777" w:rsidR="00361651" w:rsidRDefault="00361651" w:rsidP="009709A2">
            <w:pPr>
              <w:pStyle w:val="IASBTableArial"/>
            </w:pPr>
          </w:p>
        </w:tc>
        <w:tc>
          <w:tcPr>
            <w:tcW w:w="1274" w:type="dxa"/>
            <w:tcBorders>
              <w:top w:val="nil"/>
              <w:left w:val="nil"/>
            </w:tcBorders>
            <w:vAlign w:val="bottom"/>
          </w:tcPr>
          <w:p w14:paraId="0BB2E3CE" w14:textId="77777777" w:rsidR="00361651" w:rsidRDefault="00361651" w:rsidP="009709A2">
            <w:pPr>
              <w:pStyle w:val="IASBTableArial"/>
              <w:jc w:val="right"/>
            </w:pPr>
            <w:r>
              <w:t>(414)</w:t>
            </w:r>
          </w:p>
        </w:tc>
        <w:tc>
          <w:tcPr>
            <w:tcW w:w="455" w:type="dxa"/>
            <w:tcBorders>
              <w:top w:val="nil"/>
              <w:left w:val="nil"/>
            </w:tcBorders>
            <w:vAlign w:val="bottom"/>
          </w:tcPr>
          <w:p w14:paraId="0BB2E3CF" w14:textId="77777777" w:rsidR="00361651" w:rsidRDefault="00361651" w:rsidP="009709A2">
            <w:pPr>
              <w:pStyle w:val="IASBTableArial"/>
            </w:pPr>
          </w:p>
        </w:tc>
        <w:tc>
          <w:tcPr>
            <w:tcW w:w="1274" w:type="dxa"/>
            <w:tcBorders>
              <w:top w:val="nil"/>
              <w:left w:val="nil"/>
            </w:tcBorders>
            <w:vAlign w:val="bottom"/>
          </w:tcPr>
          <w:p w14:paraId="0BB2E3D0" w14:textId="77777777" w:rsidR="00361651" w:rsidRDefault="00361651" w:rsidP="009709A2">
            <w:pPr>
              <w:pStyle w:val="IASBTableArial"/>
              <w:jc w:val="right"/>
            </w:pPr>
            <w:r>
              <w:t>(414)</w:t>
            </w:r>
          </w:p>
        </w:tc>
      </w:tr>
      <w:tr w:rsidR="00361651" w14:paraId="0BB2E3D8" w14:textId="77777777" w:rsidTr="009709A2">
        <w:trPr>
          <w:cantSplit/>
        </w:trPr>
        <w:tc>
          <w:tcPr>
            <w:tcW w:w="4476" w:type="dxa"/>
            <w:tcBorders>
              <w:top w:val="nil"/>
            </w:tcBorders>
          </w:tcPr>
          <w:p w14:paraId="0BB2E3D2" w14:textId="77777777" w:rsidR="00361651" w:rsidRDefault="00361651" w:rsidP="009709A2">
            <w:pPr>
              <w:pStyle w:val="IASBTableArial"/>
            </w:pPr>
            <w:r>
              <w:t>Accumulated impairment loss</w:t>
            </w:r>
          </w:p>
        </w:tc>
        <w:tc>
          <w:tcPr>
            <w:tcW w:w="1274" w:type="dxa"/>
            <w:tcBorders>
              <w:top w:val="nil"/>
              <w:left w:val="nil"/>
              <w:bottom w:val="single" w:sz="4" w:space="0" w:color="auto"/>
            </w:tcBorders>
            <w:vAlign w:val="bottom"/>
          </w:tcPr>
          <w:p w14:paraId="0BB2E3D3" w14:textId="77777777" w:rsidR="00361651" w:rsidRDefault="00361651" w:rsidP="009709A2">
            <w:pPr>
              <w:pStyle w:val="IASBTableArial"/>
              <w:jc w:val="right"/>
            </w:pPr>
            <w:r>
              <w:t>(1,000)</w:t>
            </w:r>
          </w:p>
        </w:tc>
        <w:tc>
          <w:tcPr>
            <w:tcW w:w="455" w:type="dxa"/>
            <w:tcBorders>
              <w:top w:val="nil"/>
              <w:left w:val="nil"/>
            </w:tcBorders>
            <w:vAlign w:val="bottom"/>
          </w:tcPr>
          <w:p w14:paraId="0BB2E3D4" w14:textId="77777777" w:rsidR="00361651" w:rsidRDefault="00361651" w:rsidP="009709A2">
            <w:pPr>
              <w:pStyle w:val="IASBTableArial"/>
              <w:jc w:val="right"/>
            </w:pPr>
          </w:p>
        </w:tc>
        <w:tc>
          <w:tcPr>
            <w:tcW w:w="1274" w:type="dxa"/>
            <w:tcBorders>
              <w:top w:val="nil"/>
              <w:left w:val="nil"/>
              <w:bottom w:val="single" w:sz="4" w:space="0" w:color="auto"/>
            </w:tcBorders>
            <w:vAlign w:val="bottom"/>
          </w:tcPr>
          <w:p w14:paraId="0BB2E3D5" w14:textId="77777777" w:rsidR="00361651" w:rsidRDefault="00361651" w:rsidP="009709A2">
            <w:pPr>
              <w:pStyle w:val="IASBTableArial"/>
              <w:jc w:val="right"/>
            </w:pPr>
            <w:r>
              <w:t>(473)</w:t>
            </w:r>
          </w:p>
        </w:tc>
        <w:tc>
          <w:tcPr>
            <w:tcW w:w="455" w:type="dxa"/>
            <w:tcBorders>
              <w:top w:val="nil"/>
              <w:left w:val="nil"/>
            </w:tcBorders>
            <w:vAlign w:val="bottom"/>
          </w:tcPr>
          <w:p w14:paraId="0BB2E3D6" w14:textId="77777777" w:rsidR="00361651" w:rsidRDefault="00361651" w:rsidP="009709A2">
            <w:pPr>
              <w:pStyle w:val="IASBTableArial"/>
            </w:pPr>
          </w:p>
        </w:tc>
        <w:tc>
          <w:tcPr>
            <w:tcW w:w="1274" w:type="dxa"/>
            <w:tcBorders>
              <w:top w:val="nil"/>
              <w:left w:val="nil"/>
              <w:bottom w:val="single" w:sz="4" w:space="0" w:color="auto"/>
            </w:tcBorders>
            <w:vAlign w:val="bottom"/>
          </w:tcPr>
          <w:p w14:paraId="0BB2E3D7" w14:textId="77777777" w:rsidR="00361651" w:rsidRDefault="00361651" w:rsidP="009709A2">
            <w:pPr>
              <w:pStyle w:val="IASBTableArial"/>
              <w:jc w:val="right"/>
            </w:pPr>
            <w:r>
              <w:t>(1,473)</w:t>
            </w:r>
          </w:p>
        </w:tc>
      </w:tr>
      <w:tr w:rsidR="00361651" w14:paraId="0BB2E3DF" w14:textId="77777777" w:rsidTr="009709A2">
        <w:trPr>
          <w:cantSplit/>
        </w:trPr>
        <w:tc>
          <w:tcPr>
            <w:tcW w:w="4476" w:type="dxa"/>
            <w:tcBorders>
              <w:top w:val="nil"/>
            </w:tcBorders>
          </w:tcPr>
          <w:p w14:paraId="0BB2E3D9" w14:textId="77777777" w:rsidR="00361651" w:rsidRDefault="00361651" w:rsidP="009709A2">
            <w:pPr>
              <w:pStyle w:val="IASBTableArial"/>
            </w:pPr>
            <w:r>
              <w:t>Carrying amount</w:t>
            </w:r>
          </w:p>
        </w:tc>
        <w:tc>
          <w:tcPr>
            <w:tcW w:w="1274" w:type="dxa"/>
            <w:tcBorders>
              <w:top w:val="nil"/>
              <w:left w:val="nil"/>
              <w:bottom w:val="double" w:sz="4" w:space="0" w:color="auto"/>
            </w:tcBorders>
            <w:vAlign w:val="bottom"/>
          </w:tcPr>
          <w:p w14:paraId="0BB2E3DA" w14:textId="77777777" w:rsidR="00361651" w:rsidRDefault="00361651" w:rsidP="009709A2">
            <w:pPr>
              <w:pStyle w:val="IASBTableArial"/>
              <w:jc w:val="right"/>
            </w:pPr>
            <w:r>
              <w:t>–</w:t>
            </w:r>
          </w:p>
        </w:tc>
        <w:tc>
          <w:tcPr>
            <w:tcW w:w="455" w:type="dxa"/>
            <w:tcBorders>
              <w:top w:val="nil"/>
              <w:left w:val="nil"/>
            </w:tcBorders>
            <w:vAlign w:val="bottom"/>
          </w:tcPr>
          <w:p w14:paraId="0BB2E3DB" w14:textId="77777777" w:rsidR="00361651" w:rsidRDefault="00361651" w:rsidP="009709A2">
            <w:pPr>
              <w:pStyle w:val="IASBTableArial"/>
              <w:jc w:val="right"/>
            </w:pPr>
          </w:p>
        </w:tc>
        <w:tc>
          <w:tcPr>
            <w:tcW w:w="1274" w:type="dxa"/>
            <w:tcBorders>
              <w:top w:val="nil"/>
              <w:left w:val="nil"/>
              <w:bottom w:val="double" w:sz="4" w:space="0" w:color="auto"/>
            </w:tcBorders>
            <w:vAlign w:val="bottom"/>
          </w:tcPr>
          <w:p w14:paraId="0BB2E3DC" w14:textId="77777777" w:rsidR="00361651" w:rsidRDefault="00361651" w:rsidP="009709A2">
            <w:pPr>
              <w:pStyle w:val="IASBTableArial"/>
              <w:jc w:val="right"/>
            </w:pPr>
            <w:r>
              <w:t>1,113</w:t>
            </w:r>
          </w:p>
        </w:tc>
        <w:tc>
          <w:tcPr>
            <w:tcW w:w="455" w:type="dxa"/>
            <w:tcBorders>
              <w:top w:val="nil"/>
              <w:left w:val="nil"/>
            </w:tcBorders>
            <w:vAlign w:val="bottom"/>
          </w:tcPr>
          <w:p w14:paraId="0BB2E3DD" w14:textId="77777777" w:rsidR="00361651" w:rsidRDefault="00361651" w:rsidP="009709A2">
            <w:pPr>
              <w:pStyle w:val="IASBTableArial"/>
            </w:pPr>
          </w:p>
        </w:tc>
        <w:tc>
          <w:tcPr>
            <w:tcW w:w="1274" w:type="dxa"/>
            <w:tcBorders>
              <w:top w:val="nil"/>
              <w:left w:val="nil"/>
              <w:bottom w:val="double" w:sz="4" w:space="0" w:color="auto"/>
            </w:tcBorders>
            <w:vAlign w:val="bottom"/>
          </w:tcPr>
          <w:p w14:paraId="0BB2E3DE" w14:textId="77777777" w:rsidR="00361651" w:rsidRDefault="00361651" w:rsidP="009709A2">
            <w:pPr>
              <w:pStyle w:val="IASBTableArial"/>
              <w:jc w:val="right"/>
            </w:pPr>
            <w:r>
              <w:t>1,113</w:t>
            </w:r>
          </w:p>
        </w:tc>
      </w:tr>
      <w:tr w:rsidR="00361651" w14:paraId="0BB2E3E6" w14:textId="77777777" w:rsidTr="009709A2">
        <w:trPr>
          <w:cantSplit/>
        </w:trPr>
        <w:tc>
          <w:tcPr>
            <w:tcW w:w="4476" w:type="dxa"/>
            <w:tcBorders>
              <w:top w:val="nil"/>
            </w:tcBorders>
          </w:tcPr>
          <w:p w14:paraId="0BB2E3E0" w14:textId="77777777" w:rsidR="00361651" w:rsidRDefault="00361651" w:rsidP="009709A2">
            <w:pPr>
              <w:pStyle w:val="IASBTableArial"/>
            </w:pPr>
            <w:r>
              <w:t>Reversal of impairment loss</w:t>
            </w:r>
          </w:p>
        </w:tc>
        <w:tc>
          <w:tcPr>
            <w:tcW w:w="1274" w:type="dxa"/>
            <w:tcBorders>
              <w:top w:val="nil"/>
              <w:left w:val="nil"/>
              <w:bottom w:val="single" w:sz="4" w:space="0" w:color="auto"/>
            </w:tcBorders>
            <w:vAlign w:val="bottom"/>
          </w:tcPr>
          <w:p w14:paraId="0BB2E3E1" w14:textId="77777777" w:rsidR="00361651" w:rsidRDefault="00361651" w:rsidP="009709A2">
            <w:pPr>
              <w:pStyle w:val="IASBTableArial"/>
              <w:jc w:val="right"/>
            </w:pPr>
            <w:r>
              <w:t>0</w:t>
            </w:r>
          </w:p>
        </w:tc>
        <w:tc>
          <w:tcPr>
            <w:tcW w:w="455" w:type="dxa"/>
            <w:tcBorders>
              <w:top w:val="nil"/>
              <w:left w:val="nil"/>
            </w:tcBorders>
            <w:vAlign w:val="bottom"/>
          </w:tcPr>
          <w:p w14:paraId="0BB2E3E2" w14:textId="77777777" w:rsidR="00361651" w:rsidRDefault="00361651" w:rsidP="009709A2">
            <w:pPr>
              <w:pStyle w:val="IASBTableArial"/>
              <w:jc w:val="right"/>
            </w:pPr>
          </w:p>
        </w:tc>
        <w:tc>
          <w:tcPr>
            <w:tcW w:w="1274" w:type="dxa"/>
            <w:tcBorders>
              <w:top w:val="nil"/>
              <w:left w:val="nil"/>
              <w:bottom w:val="single" w:sz="4" w:space="0" w:color="auto"/>
            </w:tcBorders>
            <w:vAlign w:val="bottom"/>
          </w:tcPr>
          <w:p w14:paraId="0BB2E3E3" w14:textId="77777777" w:rsidR="00361651" w:rsidRDefault="00361651" w:rsidP="009709A2">
            <w:pPr>
              <w:pStyle w:val="IASBTableArial"/>
              <w:jc w:val="right"/>
            </w:pPr>
            <w:r>
              <w:t>387</w:t>
            </w:r>
          </w:p>
        </w:tc>
        <w:tc>
          <w:tcPr>
            <w:tcW w:w="455" w:type="dxa"/>
            <w:tcBorders>
              <w:top w:val="nil"/>
              <w:left w:val="nil"/>
            </w:tcBorders>
            <w:vAlign w:val="bottom"/>
          </w:tcPr>
          <w:p w14:paraId="0BB2E3E4" w14:textId="77777777" w:rsidR="00361651" w:rsidRDefault="00361651" w:rsidP="009709A2">
            <w:pPr>
              <w:pStyle w:val="IASBTableArial"/>
            </w:pPr>
          </w:p>
        </w:tc>
        <w:tc>
          <w:tcPr>
            <w:tcW w:w="1274" w:type="dxa"/>
            <w:tcBorders>
              <w:top w:val="nil"/>
              <w:left w:val="nil"/>
              <w:bottom w:val="single" w:sz="4" w:space="0" w:color="auto"/>
            </w:tcBorders>
            <w:vAlign w:val="bottom"/>
          </w:tcPr>
          <w:p w14:paraId="0BB2E3E5" w14:textId="77777777" w:rsidR="00361651" w:rsidRDefault="00361651" w:rsidP="009709A2">
            <w:pPr>
              <w:pStyle w:val="IASBTableArial"/>
              <w:jc w:val="right"/>
            </w:pPr>
            <w:r>
              <w:t>387</w:t>
            </w:r>
          </w:p>
        </w:tc>
      </w:tr>
      <w:tr w:rsidR="00361651" w14:paraId="0BB2E3ED" w14:textId="77777777" w:rsidTr="009709A2">
        <w:trPr>
          <w:cantSplit/>
        </w:trPr>
        <w:tc>
          <w:tcPr>
            <w:tcW w:w="4476" w:type="dxa"/>
            <w:tcBorders>
              <w:top w:val="nil"/>
            </w:tcBorders>
          </w:tcPr>
          <w:p w14:paraId="0BB2E3E7" w14:textId="77777777" w:rsidR="00361651" w:rsidRDefault="00361651" w:rsidP="009709A2">
            <w:pPr>
              <w:pStyle w:val="IASBTableArial"/>
            </w:pPr>
            <w:r>
              <w:t>Carrying amount after reversal of impairment loss</w:t>
            </w:r>
          </w:p>
        </w:tc>
        <w:tc>
          <w:tcPr>
            <w:tcW w:w="1274" w:type="dxa"/>
            <w:tcBorders>
              <w:top w:val="nil"/>
              <w:left w:val="nil"/>
              <w:bottom w:val="double" w:sz="4" w:space="0" w:color="auto"/>
            </w:tcBorders>
            <w:vAlign w:val="bottom"/>
          </w:tcPr>
          <w:p w14:paraId="0BB2E3E8" w14:textId="77777777" w:rsidR="00361651" w:rsidRDefault="00361651" w:rsidP="009709A2">
            <w:pPr>
              <w:pStyle w:val="IASBTableArial"/>
              <w:jc w:val="right"/>
            </w:pPr>
            <w:r>
              <w:t>–</w:t>
            </w:r>
          </w:p>
        </w:tc>
        <w:tc>
          <w:tcPr>
            <w:tcW w:w="455" w:type="dxa"/>
            <w:tcBorders>
              <w:top w:val="nil"/>
              <w:left w:val="nil"/>
            </w:tcBorders>
            <w:vAlign w:val="bottom"/>
          </w:tcPr>
          <w:p w14:paraId="0BB2E3E9" w14:textId="77777777" w:rsidR="00361651" w:rsidRDefault="00361651" w:rsidP="009709A2">
            <w:pPr>
              <w:pStyle w:val="IASBTableArial"/>
              <w:jc w:val="right"/>
            </w:pPr>
          </w:p>
        </w:tc>
        <w:tc>
          <w:tcPr>
            <w:tcW w:w="1274" w:type="dxa"/>
            <w:tcBorders>
              <w:top w:val="nil"/>
              <w:left w:val="nil"/>
              <w:bottom w:val="double" w:sz="4" w:space="0" w:color="auto"/>
            </w:tcBorders>
            <w:vAlign w:val="bottom"/>
          </w:tcPr>
          <w:p w14:paraId="0BB2E3EA" w14:textId="77777777" w:rsidR="00361651" w:rsidRDefault="00361651" w:rsidP="009709A2">
            <w:pPr>
              <w:pStyle w:val="IASBTableArial"/>
              <w:jc w:val="right"/>
            </w:pPr>
            <w:r>
              <w:t>1,500</w:t>
            </w:r>
          </w:p>
        </w:tc>
        <w:tc>
          <w:tcPr>
            <w:tcW w:w="455" w:type="dxa"/>
            <w:tcBorders>
              <w:top w:val="nil"/>
              <w:left w:val="nil"/>
            </w:tcBorders>
            <w:vAlign w:val="bottom"/>
          </w:tcPr>
          <w:p w14:paraId="0BB2E3EB" w14:textId="77777777" w:rsidR="00361651" w:rsidRDefault="00361651" w:rsidP="009709A2">
            <w:pPr>
              <w:pStyle w:val="IASBTableArial"/>
            </w:pPr>
          </w:p>
        </w:tc>
        <w:tc>
          <w:tcPr>
            <w:tcW w:w="1274" w:type="dxa"/>
            <w:tcBorders>
              <w:top w:val="nil"/>
              <w:left w:val="nil"/>
              <w:bottom w:val="double" w:sz="4" w:space="0" w:color="auto"/>
            </w:tcBorders>
            <w:vAlign w:val="bottom"/>
          </w:tcPr>
          <w:p w14:paraId="0BB2E3EC" w14:textId="77777777" w:rsidR="00361651" w:rsidRDefault="00361651" w:rsidP="009709A2">
            <w:pPr>
              <w:pStyle w:val="IASBTableArial"/>
              <w:jc w:val="right"/>
            </w:pPr>
            <w:r>
              <w:t>1,500</w:t>
            </w:r>
          </w:p>
        </w:tc>
      </w:tr>
    </w:tbl>
    <w:p w14:paraId="0BB2E3EE" w14:textId="77777777" w:rsidR="00361651" w:rsidRDefault="00361651" w:rsidP="00361651">
      <w:pPr>
        <w:pStyle w:val="IASBNormalnpara"/>
      </w:pPr>
    </w:p>
    <w:p w14:paraId="0BB2E3EF" w14:textId="77777777" w:rsidR="00361651" w:rsidRDefault="00361651" w:rsidP="00361651">
      <w:pPr>
        <w:pStyle w:val="IASBSectionTitle1NonInd"/>
      </w:pPr>
      <w:r>
        <w:t>Example 5</w:t>
      </w:r>
      <w:r>
        <w:t> </w:t>
      </w:r>
      <w:r>
        <w:t>Treatment of a future restructuring</w:t>
      </w:r>
    </w:p>
    <w:p w14:paraId="0BB2E3F0" w14:textId="77777777" w:rsidR="00361651" w:rsidRDefault="00361651" w:rsidP="002D54B2">
      <w:pPr>
        <w:pStyle w:val="IASBNormal"/>
        <w:keepNext/>
      </w:pPr>
      <w:r>
        <w:rPr>
          <w:i/>
        </w:rPr>
        <w:t>In this example, tax effects are ignored.</w:t>
      </w:r>
    </w:p>
    <w:p w14:paraId="0BB2E3F1" w14:textId="77777777" w:rsidR="00361651" w:rsidRDefault="00361651" w:rsidP="00361651">
      <w:pPr>
        <w:pStyle w:val="IASBSectionTitle3Ind"/>
      </w:pPr>
      <w:r>
        <w:t>Background</w:t>
      </w:r>
    </w:p>
    <w:p w14:paraId="0BB2E3F2" w14:textId="77777777" w:rsidR="00361651" w:rsidRDefault="00361651" w:rsidP="00361651">
      <w:pPr>
        <w:pStyle w:val="IASBNormalnpara"/>
      </w:pPr>
      <w:r>
        <w:t>IE44</w:t>
      </w:r>
      <w:r>
        <w:tab/>
        <w:t xml:space="preserve">At the end of 20X0, entity K tests a plant for impairment. The plant is a cash-generating unit. The plant’s assets are carried at depreciated historical cost. The plant has a carrying amount of CU3,000 and a remaining useful life of 10 years. </w:t>
      </w:r>
    </w:p>
    <w:p w14:paraId="0BB2E3F3" w14:textId="77777777" w:rsidR="00361651" w:rsidRDefault="00361651" w:rsidP="00361651">
      <w:pPr>
        <w:pStyle w:val="IASBNormalnpara"/>
      </w:pPr>
      <w:r>
        <w:t>IE45</w:t>
      </w:r>
      <w:r>
        <w:tab/>
        <w:t>The plant’s recoverable amount (ie higher of value in use and fair value less costs of disposal) is determined on the basis of a value in use calculation. Value in use is calculated using a pre-tax discount rate of 14 per cent.</w:t>
      </w:r>
    </w:p>
    <w:p w14:paraId="0BB2E3F4" w14:textId="77777777" w:rsidR="00361651" w:rsidRDefault="00361651" w:rsidP="00361651">
      <w:pPr>
        <w:pStyle w:val="IASBNormalnpara"/>
      </w:pPr>
      <w:r>
        <w:t>IE46</w:t>
      </w:r>
      <w:r>
        <w:tab/>
        <w:t xml:space="preserve">Management approved budgets reflect that: </w:t>
      </w:r>
    </w:p>
    <w:p w14:paraId="0BB2E3F5" w14:textId="77777777" w:rsidR="00361651" w:rsidRDefault="00361651" w:rsidP="00361651">
      <w:pPr>
        <w:pStyle w:val="IASBNormalnparaL1"/>
      </w:pPr>
      <w:r>
        <w:t>(a)</w:t>
      </w:r>
      <w:r>
        <w:tab/>
        <w:t>at the end of 20X3, the plant will be restructured at an estimated cost of CU100. Since K is not yet committed to the restructuring, a provision has not been recognised for the future restructuring costs.</w:t>
      </w:r>
    </w:p>
    <w:p w14:paraId="0BB2E3F6" w14:textId="77777777" w:rsidR="00361651" w:rsidRDefault="00361651" w:rsidP="00361651">
      <w:pPr>
        <w:pStyle w:val="IASBNormalnparaL1"/>
      </w:pPr>
      <w:r>
        <w:t>(b)</w:t>
      </w:r>
      <w:r>
        <w:tab/>
        <w:t>there will be future benefits from this restructuring in the form of reduced future cash outflows.</w:t>
      </w:r>
    </w:p>
    <w:p w14:paraId="0BB2E3F7" w14:textId="77777777" w:rsidR="00361651" w:rsidRDefault="00361651" w:rsidP="00361651">
      <w:pPr>
        <w:pStyle w:val="IASBNormalnpara"/>
      </w:pPr>
      <w:r>
        <w:t>IE47</w:t>
      </w:r>
      <w:r>
        <w:tab/>
        <w:t xml:space="preserve">At the end of 20X2, K becomes committed to the restructuring. The costs are still estimated to be CU100 and a provision is recognised accordingly. The plant’s estimated future cash flows reflected in the most recent management approved budgets are given in paragraph IE51 and a current discount rate is the same as at the end of 20X0. </w:t>
      </w:r>
    </w:p>
    <w:p w14:paraId="0BB2E3F8" w14:textId="77777777" w:rsidR="00361651" w:rsidRDefault="00361651" w:rsidP="00361651">
      <w:pPr>
        <w:pStyle w:val="IASBNormalnpara"/>
      </w:pPr>
      <w:r>
        <w:t>IE48</w:t>
      </w:r>
      <w:r>
        <w:tab/>
        <w:t>At the end of 20X3, actual restructuring costs of CU100 are incurred and paid. Again, the plant’s estimated future cash flows reflected in the most recent management approved budgets and a current discount rate are the same as those estimated at the end of 20X2.</w:t>
      </w:r>
    </w:p>
    <w:p w14:paraId="0BB2E3F9" w14:textId="77777777" w:rsidR="00361651" w:rsidRDefault="00361651" w:rsidP="00361651">
      <w:pPr>
        <w:pStyle w:val="IASBSectionTitle3Ind"/>
      </w:pPr>
      <w:r>
        <w:t>At the end of 20X0</w:t>
      </w:r>
    </w:p>
    <w:p w14:paraId="0BB2E3FA" w14:textId="77777777" w:rsidR="00361651" w:rsidRDefault="00361651" w:rsidP="00361651">
      <w:pPr>
        <w:pStyle w:val="IASBNormalnpara"/>
      </w:pPr>
      <w:r>
        <w:tab/>
        <w:t>Schedule 1. Calculation of the plant’s value in use at the end of 20X0</w:t>
      </w:r>
    </w:p>
    <w:p w14:paraId="0BB2E3FB" w14:textId="77777777" w:rsidR="00361651" w:rsidRDefault="00361651" w:rsidP="00F236C3">
      <w:pPr>
        <w:pStyle w:val="IASBNormalnpara"/>
        <w:spacing w:before="0"/>
      </w:pPr>
    </w:p>
    <w:tbl>
      <w:tblPr>
        <w:tblW w:w="0" w:type="auto"/>
        <w:tblInd w:w="964" w:type="dxa"/>
        <w:tblLayout w:type="fixed"/>
        <w:tblLook w:val="0000" w:firstRow="0" w:lastRow="0" w:firstColumn="0" w:lastColumn="0" w:noHBand="0" w:noVBand="0"/>
        <w:tblCaption w:val="AASB 136 Table 17"/>
      </w:tblPr>
      <w:tblGrid>
        <w:gridCol w:w="5514"/>
        <w:gridCol w:w="1183"/>
        <w:gridCol w:w="455"/>
        <w:gridCol w:w="1092"/>
      </w:tblGrid>
      <w:tr w:rsidR="00361651" w14:paraId="0BB2E3FF" w14:textId="77777777" w:rsidTr="009709A2">
        <w:trPr>
          <w:cantSplit/>
          <w:tblHeader/>
        </w:trPr>
        <w:tc>
          <w:tcPr>
            <w:tcW w:w="5514" w:type="dxa"/>
          </w:tcPr>
          <w:p w14:paraId="0BB2E3FC" w14:textId="77777777" w:rsidR="00361651" w:rsidRDefault="00361651" w:rsidP="002D54B2">
            <w:pPr>
              <w:pStyle w:val="IASBTableHeaderArial"/>
              <w:spacing w:after="120"/>
            </w:pPr>
            <w:r>
              <w:rPr>
                <w:b/>
                <w:i/>
              </w:rPr>
              <w:t>Year</w:t>
            </w:r>
          </w:p>
        </w:tc>
        <w:tc>
          <w:tcPr>
            <w:tcW w:w="1183" w:type="dxa"/>
            <w:tcBorders>
              <w:left w:val="nil"/>
            </w:tcBorders>
          </w:tcPr>
          <w:p w14:paraId="0BB2E3FD" w14:textId="77777777" w:rsidR="00361651" w:rsidRDefault="00361651" w:rsidP="002D54B2">
            <w:pPr>
              <w:pStyle w:val="IASBTableHeaderArial"/>
              <w:spacing w:after="120"/>
              <w:jc w:val="right"/>
            </w:pPr>
            <w:r>
              <w:rPr>
                <w:b/>
                <w:i/>
              </w:rPr>
              <w:t>Future</w:t>
            </w:r>
            <w:r>
              <w:rPr>
                <w:b/>
                <w:i/>
              </w:rPr>
              <w:br/>
              <w:t>cash flows</w:t>
            </w:r>
          </w:p>
        </w:tc>
        <w:tc>
          <w:tcPr>
            <w:tcW w:w="1547" w:type="dxa"/>
            <w:gridSpan w:val="2"/>
            <w:tcBorders>
              <w:left w:val="nil"/>
            </w:tcBorders>
          </w:tcPr>
          <w:p w14:paraId="0BB2E3FE" w14:textId="77777777" w:rsidR="00361651" w:rsidRDefault="00361651" w:rsidP="002D54B2">
            <w:pPr>
              <w:pStyle w:val="IASBTableHeaderArial"/>
              <w:spacing w:after="120"/>
              <w:jc w:val="right"/>
            </w:pPr>
            <w:r>
              <w:rPr>
                <w:b/>
                <w:i/>
              </w:rPr>
              <w:t>Discounted</w:t>
            </w:r>
            <w:r>
              <w:rPr>
                <w:b/>
                <w:i/>
              </w:rPr>
              <w:br/>
              <w:t>at 14%</w:t>
            </w:r>
          </w:p>
        </w:tc>
      </w:tr>
      <w:tr w:rsidR="00361651" w14:paraId="0BB2E404" w14:textId="77777777" w:rsidTr="009709A2">
        <w:trPr>
          <w:cantSplit/>
          <w:tblHeader/>
        </w:trPr>
        <w:tc>
          <w:tcPr>
            <w:tcW w:w="5514" w:type="dxa"/>
            <w:tcBorders>
              <w:top w:val="nil"/>
            </w:tcBorders>
            <w:vAlign w:val="bottom"/>
          </w:tcPr>
          <w:p w14:paraId="0BB2E400" w14:textId="77777777" w:rsidR="00361651" w:rsidRDefault="00361651" w:rsidP="002D54B2">
            <w:pPr>
              <w:pStyle w:val="IASBTableHeaderArial"/>
              <w:spacing w:after="120"/>
            </w:pPr>
          </w:p>
        </w:tc>
        <w:tc>
          <w:tcPr>
            <w:tcW w:w="1183" w:type="dxa"/>
            <w:tcBorders>
              <w:top w:val="nil"/>
              <w:left w:val="nil"/>
            </w:tcBorders>
          </w:tcPr>
          <w:p w14:paraId="0BB2E401" w14:textId="77777777" w:rsidR="00361651" w:rsidRDefault="00361651" w:rsidP="002D54B2">
            <w:pPr>
              <w:pStyle w:val="IASBTableHeaderArial"/>
              <w:spacing w:after="120"/>
              <w:jc w:val="right"/>
            </w:pPr>
            <w:r>
              <w:rPr>
                <w:b/>
              </w:rPr>
              <w:t>CU</w:t>
            </w:r>
          </w:p>
        </w:tc>
        <w:tc>
          <w:tcPr>
            <w:tcW w:w="455" w:type="dxa"/>
            <w:tcBorders>
              <w:top w:val="nil"/>
              <w:left w:val="nil"/>
            </w:tcBorders>
          </w:tcPr>
          <w:p w14:paraId="0BB2E402" w14:textId="77777777" w:rsidR="00361651" w:rsidRDefault="00361651" w:rsidP="002D54B2">
            <w:pPr>
              <w:pStyle w:val="IASBTableHeaderArial"/>
              <w:spacing w:after="120"/>
              <w:jc w:val="right"/>
            </w:pPr>
          </w:p>
        </w:tc>
        <w:tc>
          <w:tcPr>
            <w:tcW w:w="1092" w:type="dxa"/>
            <w:tcBorders>
              <w:top w:val="nil"/>
              <w:left w:val="nil"/>
            </w:tcBorders>
          </w:tcPr>
          <w:p w14:paraId="0BB2E403" w14:textId="77777777" w:rsidR="00361651" w:rsidRDefault="00361651" w:rsidP="002D54B2">
            <w:pPr>
              <w:pStyle w:val="IASBTableHeaderArial"/>
              <w:spacing w:after="120"/>
              <w:jc w:val="right"/>
            </w:pPr>
            <w:r>
              <w:rPr>
                <w:b/>
              </w:rPr>
              <w:t>CU</w:t>
            </w:r>
          </w:p>
        </w:tc>
      </w:tr>
      <w:tr w:rsidR="00361651" w14:paraId="0BB2E409" w14:textId="77777777" w:rsidTr="009709A2">
        <w:trPr>
          <w:cantSplit/>
        </w:trPr>
        <w:tc>
          <w:tcPr>
            <w:tcW w:w="5514" w:type="dxa"/>
            <w:tcBorders>
              <w:top w:val="nil"/>
            </w:tcBorders>
          </w:tcPr>
          <w:p w14:paraId="0BB2E405" w14:textId="77777777" w:rsidR="00361651" w:rsidRDefault="00361651" w:rsidP="009709A2">
            <w:pPr>
              <w:pStyle w:val="IASBTableArial"/>
            </w:pPr>
            <w:r>
              <w:t>20X1</w:t>
            </w:r>
          </w:p>
        </w:tc>
        <w:tc>
          <w:tcPr>
            <w:tcW w:w="1183" w:type="dxa"/>
            <w:tcBorders>
              <w:top w:val="nil"/>
              <w:left w:val="nil"/>
            </w:tcBorders>
            <w:vAlign w:val="bottom"/>
          </w:tcPr>
          <w:p w14:paraId="0BB2E406" w14:textId="77777777" w:rsidR="00361651" w:rsidRDefault="00361651" w:rsidP="009709A2">
            <w:pPr>
              <w:pStyle w:val="IASBTableArial"/>
              <w:jc w:val="right"/>
            </w:pPr>
            <w:r>
              <w:t>300</w:t>
            </w:r>
            <w:r>
              <w:rPr>
                <w:vertAlign w:val="superscript"/>
              </w:rPr>
              <w:t>(a)</w:t>
            </w:r>
          </w:p>
        </w:tc>
        <w:tc>
          <w:tcPr>
            <w:tcW w:w="455" w:type="dxa"/>
            <w:tcBorders>
              <w:top w:val="nil"/>
              <w:left w:val="nil"/>
            </w:tcBorders>
          </w:tcPr>
          <w:p w14:paraId="0BB2E407" w14:textId="77777777" w:rsidR="00361651" w:rsidRDefault="00361651" w:rsidP="009709A2">
            <w:pPr>
              <w:pStyle w:val="IASBTableArial"/>
            </w:pPr>
          </w:p>
        </w:tc>
        <w:tc>
          <w:tcPr>
            <w:tcW w:w="1092" w:type="dxa"/>
            <w:tcBorders>
              <w:top w:val="nil"/>
              <w:left w:val="nil"/>
            </w:tcBorders>
            <w:vAlign w:val="bottom"/>
          </w:tcPr>
          <w:p w14:paraId="0BB2E408" w14:textId="77777777" w:rsidR="00361651" w:rsidRDefault="00361651" w:rsidP="009709A2">
            <w:pPr>
              <w:pStyle w:val="IASBTableArial"/>
              <w:jc w:val="right"/>
            </w:pPr>
            <w:r>
              <w:t>263</w:t>
            </w:r>
          </w:p>
        </w:tc>
      </w:tr>
      <w:tr w:rsidR="00361651" w14:paraId="0BB2E40E" w14:textId="77777777" w:rsidTr="009709A2">
        <w:trPr>
          <w:cantSplit/>
        </w:trPr>
        <w:tc>
          <w:tcPr>
            <w:tcW w:w="5514" w:type="dxa"/>
            <w:tcBorders>
              <w:top w:val="nil"/>
            </w:tcBorders>
          </w:tcPr>
          <w:p w14:paraId="0BB2E40A" w14:textId="77777777" w:rsidR="00361651" w:rsidRDefault="00361651" w:rsidP="009709A2">
            <w:pPr>
              <w:pStyle w:val="IASBTableArial"/>
            </w:pPr>
            <w:r>
              <w:t>20X2</w:t>
            </w:r>
          </w:p>
        </w:tc>
        <w:tc>
          <w:tcPr>
            <w:tcW w:w="1183" w:type="dxa"/>
            <w:tcBorders>
              <w:top w:val="nil"/>
              <w:left w:val="nil"/>
            </w:tcBorders>
            <w:vAlign w:val="bottom"/>
          </w:tcPr>
          <w:p w14:paraId="0BB2E40B" w14:textId="77777777" w:rsidR="00361651" w:rsidRDefault="00361651" w:rsidP="009709A2">
            <w:pPr>
              <w:pStyle w:val="IASBTableArial"/>
              <w:jc w:val="right"/>
            </w:pPr>
            <w:r>
              <w:t>280</w:t>
            </w:r>
            <w:r>
              <w:rPr>
                <w:vertAlign w:val="superscript"/>
              </w:rPr>
              <w:t>(b)</w:t>
            </w:r>
          </w:p>
        </w:tc>
        <w:tc>
          <w:tcPr>
            <w:tcW w:w="455" w:type="dxa"/>
            <w:tcBorders>
              <w:top w:val="nil"/>
              <w:left w:val="nil"/>
            </w:tcBorders>
          </w:tcPr>
          <w:p w14:paraId="0BB2E40C" w14:textId="77777777" w:rsidR="00361651" w:rsidRDefault="00361651" w:rsidP="009709A2">
            <w:pPr>
              <w:pStyle w:val="IASBTableArial"/>
            </w:pPr>
          </w:p>
        </w:tc>
        <w:tc>
          <w:tcPr>
            <w:tcW w:w="1092" w:type="dxa"/>
            <w:tcBorders>
              <w:top w:val="nil"/>
              <w:left w:val="nil"/>
            </w:tcBorders>
            <w:vAlign w:val="bottom"/>
          </w:tcPr>
          <w:p w14:paraId="0BB2E40D" w14:textId="77777777" w:rsidR="00361651" w:rsidRDefault="00361651" w:rsidP="009709A2">
            <w:pPr>
              <w:pStyle w:val="IASBTableArial"/>
              <w:jc w:val="right"/>
            </w:pPr>
            <w:r>
              <w:t>215</w:t>
            </w:r>
          </w:p>
        </w:tc>
      </w:tr>
      <w:tr w:rsidR="00361651" w14:paraId="0BB2E413" w14:textId="77777777" w:rsidTr="009709A2">
        <w:trPr>
          <w:cantSplit/>
        </w:trPr>
        <w:tc>
          <w:tcPr>
            <w:tcW w:w="5514" w:type="dxa"/>
            <w:tcBorders>
              <w:top w:val="nil"/>
            </w:tcBorders>
          </w:tcPr>
          <w:p w14:paraId="0BB2E40F" w14:textId="77777777" w:rsidR="00361651" w:rsidRDefault="00361651" w:rsidP="009709A2">
            <w:pPr>
              <w:pStyle w:val="IASBTableArial"/>
            </w:pPr>
            <w:r>
              <w:t>20X3</w:t>
            </w:r>
          </w:p>
        </w:tc>
        <w:tc>
          <w:tcPr>
            <w:tcW w:w="1183" w:type="dxa"/>
            <w:tcBorders>
              <w:top w:val="nil"/>
              <w:left w:val="nil"/>
            </w:tcBorders>
            <w:vAlign w:val="bottom"/>
          </w:tcPr>
          <w:p w14:paraId="0BB2E410" w14:textId="77777777" w:rsidR="00361651" w:rsidRDefault="00361651" w:rsidP="009709A2">
            <w:pPr>
              <w:pStyle w:val="IASBTableArial"/>
              <w:jc w:val="right"/>
            </w:pPr>
            <w:r>
              <w:t>420</w:t>
            </w:r>
            <w:r>
              <w:rPr>
                <w:vertAlign w:val="superscript"/>
              </w:rPr>
              <w:t>(b)</w:t>
            </w:r>
          </w:p>
        </w:tc>
        <w:tc>
          <w:tcPr>
            <w:tcW w:w="455" w:type="dxa"/>
            <w:tcBorders>
              <w:top w:val="nil"/>
              <w:left w:val="nil"/>
            </w:tcBorders>
          </w:tcPr>
          <w:p w14:paraId="0BB2E411" w14:textId="77777777" w:rsidR="00361651" w:rsidRDefault="00361651" w:rsidP="009709A2">
            <w:pPr>
              <w:pStyle w:val="IASBTableArial"/>
            </w:pPr>
          </w:p>
        </w:tc>
        <w:tc>
          <w:tcPr>
            <w:tcW w:w="1092" w:type="dxa"/>
            <w:tcBorders>
              <w:top w:val="nil"/>
              <w:left w:val="nil"/>
            </w:tcBorders>
            <w:vAlign w:val="bottom"/>
          </w:tcPr>
          <w:p w14:paraId="0BB2E412" w14:textId="77777777" w:rsidR="00361651" w:rsidRDefault="00361651" w:rsidP="009709A2">
            <w:pPr>
              <w:pStyle w:val="IASBTableArial"/>
              <w:jc w:val="right"/>
            </w:pPr>
            <w:r>
              <w:t>283</w:t>
            </w:r>
          </w:p>
        </w:tc>
      </w:tr>
      <w:tr w:rsidR="00361651" w14:paraId="0BB2E418" w14:textId="77777777" w:rsidTr="009709A2">
        <w:trPr>
          <w:cantSplit/>
        </w:trPr>
        <w:tc>
          <w:tcPr>
            <w:tcW w:w="5514" w:type="dxa"/>
            <w:tcBorders>
              <w:top w:val="nil"/>
            </w:tcBorders>
          </w:tcPr>
          <w:p w14:paraId="0BB2E414" w14:textId="77777777" w:rsidR="00361651" w:rsidRDefault="00361651" w:rsidP="009709A2">
            <w:pPr>
              <w:pStyle w:val="IASBTableArial"/>
            </w:pPr>
            <w:r>
              <w:t>20X4</w:t>
            </w:r>
          </w:p>
        </w:tc>
        <w:tc>
          <w:tcPr>
            <w:tcW w:w="1183" w:type="dxa"/>
            <w:tcBorders>
              <w:top w:val="nil"/>
              <w:left w:val="nil"/>
            </w:tcBorders>
            <w:vAlign w:val="bottom"/>
          </w:tcPr>
          <w:p w14:paraId="0BB2E415" w14:textId="77777777" w:rsidR="00361651" w:rsidRDefault="00361651" w:rsidP="009709A2">
            <w:pPr>
              <w:pStyle w:val="IASBTableArial"/>
              <w:jc w:val="right"/>
            </w:pPr>
            <w:r>
              <w:t>520</w:t>
            </w:r>
            <w:r>
              <w:rPr>
                <w:vertAlign w:val="superscript"/>
              </w:rPr>
              <w:t>(b)</w:t>
            </w:r>
          </w:p>
        </w:tc>
        <w:tc>
          <w:tcPr>
            <w:tcW w:w="455" w:type="dxa"/>
            <w:tcBorders>
              <w:top w:val="nil"/>
              <w:left w:val="nil"/>
            </w:tcBorders>
          </w:tcPr>
          <w:p w14:paraId="0BB2E416" w14:textId="77777777" w:rsidR="00361651" w:rsidRDefault="00361651" w:rsidP="009709A2">
            <w:pPr>
              <w:pStyle w:val="IASBTableArial"/>
            </w:pPr>
          </w:p>
        </w:tc>
        <w:tc>
          <w:tcPr>
            <w:tcW w:w="1092" w:type="dxa"/>
            <w:tcBorders>
              <w:top w:val="nil"/>
              <w:left w:val="nil"/>
            </w:tcBorders>
            <w:vAlign w:val="bottom"/>
          </w:tcPr>
          <w:p w14:paraId="0BB2E417" w14:textId="77777777" w:rsidR="00361651" w:rsidRDefault="00361651" w:rsidP="009709A2">
            <w:pPr>
              <w:pStyle w:val="IASBTableArial"/>
              <w:jc w:val="right"/>
            </w:pPr>
            <w:r>
              <w:t>308</w:t>
            </w:r>
          </w:p>
        </w:tc>
      </w:tr>
      <w:tr w:rsidR="00361651" w14:paraId="0BB2E41D" w14:textId="77777777" w:rsidTr="009709A2">
        <w:trPr>
          <w:cantSplit/>
        </w:trPr>
        <w:tc>
          <w:tcPr>
            <w:tcW w:w="5514" w:type="dxa"/>
            <w:tcBorders>
              <w:top w:val="nil"/>
            </w:tcBorders>
          </w:tcPr>
          <w:p w14:paraId="0BB2E419" w14:textId="77777777" w:rsidR="00361651" w:rsidRDefault="00361651" w:rsidP="009709A2">
            <w:pPr>
              <w:pStyle w:val="IASBTableArial"/>
            </w:pPr>
            <w:r>
              <w:lastRenderedPageBreak/>
              <w:t>20X5</w:t>
            </w:r>
          </w:p>
        </w:tc>
        <w:tc>
          <w:tcPr>
            <w:tcW w:w="1183" w:type="dxa"/>
            <w:tcBorders>
              <w:top w:val="nil"/>
              <w:left w:val="nil"/>
            </w:tcBorders>
            <w:vAlign w:val="bottom"/>
          </w:tcPr>
          <w:p w14:paraId="0BB2E41A" w14:textId="77777777" w:rsidR="00361651" w:rsidRDefault="00361651" w:rsidP="009709A2">
            <w:pPr>
              <w:pStyle w:val="IASBTableArial"/>
              <w:jc w:val="right"/>
            </w:pPr>
            <w:r>
              <w:t>350</w:t>
            </w:r>
            <w:r>
              <w:rPr>
                <w:vertAlign w:val="superscript"/>
              </w:rPr>
              <w:t>(b)</w:t>
            </w:r>
          </w:p>
        </w:tc>
        <w:tc>
          <w:tcPr>
            <w:tcW w:w="455" w:type="dxa"/>
            <w:tcBorders>
              <w:top w:val="nil"/>
              <w:left w:val="nil"/>
            </w:tcBorders>
          </w:tcPr>
          <w:p w14:paraId="0BB2E41B" w14:textId="77777777" w:rsidR="00361651" w:rsidRDefault="00361651" w:rsidP="009709A2">
            <w:pPr>
              <w:pStyle w:val="IASBTableArial"/>
            </w:pPr>
          </w:p>
        </w:tc>
        <w:tc>
          <w:tcPr>
            <w:tcW w:w="1092" w:type="dxa"/>
            <w:tcBorders>
              <w:top w:val="nil"/>
              <w:left w:val="nil"/>
            </w:tcBorders>
            <w:vAlign w:val="bottom"/>
          </w:tcPr>
          <w:p w14:paraId="0BB2E41C" w14:textId="77777777" w:rsidR="00361651" w:rsidRDefault="00361651" w:rsidP="009709A2">
            <w:pPr>
              <w:pStyle w:val="IASBTableArial"/>
              <w:jc w:val="right"/>
            </w:pPr>
            <w:r>
              <w:t>182</w:t>
            </w:r>
          </w:p>
        </w:tc>
      </w:tr>
      <w:tr w:rsidR="00361651" w14:paraId="0BB2E422" w14:textId="77777777" w:rsidTr="009709A2">
        <w:trPr>
          <w:cantSplit/>
        </w:trPr>
        <w:tc>
          <w:tcPr>
            <w:tcW w:w="5514" w:type="dxa"/>
            <w:tcBorders>
              <w:top w:val="nil"/>
            </w:tcBorders>
          </w:tcPr>
          <w:p w14:paraId="0BB2E41E" w14:textId="77777777" w:rsidR="00361651" w:rsidRDefault="00361651" w:rsidP="009709A2">
            <w:pPr>
              <w:pStyle w:val="IASBTableArial"/>
            </w:pPr>
            <w:r>
              <w:t>20X6</w:t>
            </w:r>
          </w:p>
        </w:tc>
        <w:tc>
          <w:tcPr>
            <w:tcW w:w="1183" w:type="dxa"/>
            <w:tcBorders>
              <w:top w:val="nil"/>
              <w:left w:val="nil"/>
            </w:tcBorders>
            <w:vAlign w:val="bottom"/>
          </w:tcPr>
          <w:p w14:paraId="0BB2E41F" w14:textId="77777777" w:rsidR="00361651" w:rsidRDefault="00361651" w:rsidP="009709A2">
            <w:pPr>
              <w:pStyle w:val="IASBTableArial"/>
              <w:jc w:val="right"/>
            </w:pPr>
            <w:r>
              <w:t>420</w:t>
            </w:r>
            <w:r>
              <w:rPr>
                <w:vertAlign w:val="superscript"/>
              </w:rPr>
              <w:t>(b)</w:t>
            </w:r>
          </w:p>
        </w:tc>
        <w:tc>
          <w:tcPr>
            <w:tcW w:w="455" w:type="dxa"/>
            <w:tcBorders>
              <w:top w:val="nil"/>
              <w:left w:val="nil"/>
            </w:tcBorders>
          </w:tcPr>
          <w:p w14:paraId="0BB2E420" w14:textId="77777777" w:rsidR="00361651" w:rsidRDefault="00361651" w:rsidP="009709A2">
            <w:pPr>
              <w:pStyle w:val="IASBTableArial"/>
            </w:pPr>
          </w:p>
        </w:tc>
        <w:tc>
          <w:tcPr>
            <w:tcW w:w="1092" w:type="dxa"/>
            <w:tcBorders>
              <w:top w:val="nil"/>
              <w:left w:val="nil"/>
            </w:tcBorders>
            <w:vAlign w:val="bottom"/>
          </w:tcPr>
          <w:p w14:paraId="0BB2E421" w14:textId="77777777" w:rsidR="00361651" w:rsidRDefault="00361651" w:rsidP="009709A2">
            <w:pPr>
              <w:pStyle w:val="IASBTableArial"/>
              <w:jc w:val="right"/>
            </w:pPr>
            <w:r>
              <w:t>191</w:t>
            </w:r>
          </w:p>
        </w:tc>
      </w:tr>
      <w:tr w:rsidR="00361651" w14:paraId="0BB2E427" w14:textId="77777777" w:rsidTr="009709A2">
        <w:trPr>
          <w:cantSplit/>
        </w:trPr>
        <w:tc>
          <w:tcPr>
            <w:tcW w:w="5514" w:type="dxa"/>
            <w:tcBorders>
              <w:top w:val="nil"/>
            </w:tcBorders>
          </w:tcPr>
          <w:p w14:paraId="0BB2E423" w14:textId="77777777" w:rsidR="00361651" w:rsidRDefault="00361651" w:rsidP="009709A2">
            <w:pPr>
              <w:pStyle w:val="IASBTableArial"/>
            </w:pPr>
            <w:r>
              <w:t>20X7</w:t>
            </w:r>
          </w:p>
        </w:tc>
        <w:tc>
          <w:tcPr>
            <w:tcW w:w="1183" w:type="dxa"/>
            <w:tcBorders>
              <w:top w:val="nil"/>
              <w:left w:val="nil"/>
            </w:tcBorders>
            <w:vAlign w:val="bottom"/>
          </w:tcPr>
          <w:p w14:paraId="0BB2E424" w14:textId="77777777" w:rsidR="00361651" w:rsidRDefault="00361651" w:rsidP="009709A2">
            <w:pPr>
              <w:pStyle w:val="IASBTableArial"/>
              <w:jc w:val="right"/>
            </w:pPr>
            <w:r>
              <w:t>480</w:t>
            </w:r>
            <w:r>
              <w:rPr>
                <w:vertAlign w:val="superscript"/>
              </w:rPr>
              <w:t>(b)</w:t>
            </w:r>
          </w:p>
        </w:tc>
        <w:tc>
          <w:tcPr>
            <w:tcW w:w="455" w:type="dxa"/>
            <w:tcBorders>
              <w:top w:val="nil"/>
              <w:left w:val="nil"/>
            </w:tcBorders>
          </w:tcPr>
          <w:p w14:paraId="0BB2E425" w14:textId="77777777" w:rsidR="00361651" w:rsidRDefault="00361651" w:rsidP="009709A2">
            <w:pPr>
              <w:pStyle w:val="IASBTableArial"/>
            </w:pPr>
          </w:p>
        </w:tc>
        <w:tc>
          <w:tcPr>
            <w:tcW w:w="1092" w:type="dxa"/>
            <w:tcBorders>
              <w:top w:val="nil"/>
              <w:left w:val="nil"/>
            </w:tcBorders>
            <w:vAlign w:val="bottom"/>
          </w:tcPr>
          <w:p w14:paraId="0BB2E426" w14:textId="77777777" w:rsidR="00361651" w:rsidRDefault="00361651" w:rsidP="009709A2">
            <w:pPr>
              <w:pStyle w:val="IASBTableArial"/>
              <w:jc w:val="right"/>
            </w:pPr>
            <w:r>
              <w:t>192</w:t>
            </w:r>
          </w:p>
        </w:tc>
      </w:tr>
      <w:tr w:rsidR="00361651" w14:paraId="0BB2E42C" w14:textId="77777777" w:rsidTr="009709A2">
        <w:trPr>
          <w:cantSplit/>
        </w:trPr>
        <w:tc>
          <w:tcPr>
            <w:tcW w:w="5514" w:type="dxa"/>
            <w:tcBorders>
              <w:top w:val="nil"/>
            </w:tcBorders>
          </w:tcPr>
          <w:p w14:paraId="0BB2E428" w14:textId="77777777" w:rsidR="00361651" w:rsidRDefault="00361651" w:rsidP="009709A2">
            <w:pPr>
              <w:pStyle w:val="IASBTableArial"/>
            </w:pPr>
            <w:r>
              <w:t>20X8</w:t>
            </w:r>
          </w:p>
        </w:tc>
        <w:tc>
          <w:tcPr>
            <w:tcW w:w="1183" w:type="dxa"/>
            <w:tcBorders>
              <w:top w:val="nil"/>
              <w:left w:val="nil"/>
            </w:tcBorders>
            <w:vAlign w:val="bottom"/>
          </w:tcPr>
          <w:p w14:paraId="0BB2E429" w14:textId="77777777" w:rsidR="00361651" w:rsidRDefault="00361651" w:rsidP="009709A2">
            <w:pPr>
              <w:pStyle w:val="IASBTableArial"/>
              <w:jc w:val="right"/>
            </w:pPr>
            <w:r>
              <w:t>480</w:t>
            </w:r>
            <w:r>
              <w:rPr>
                <w:vertAlign w:val="superscript"/>
              </w:rPr>
              <w:t>(b)</w:t>
            </w:r>
          </w:p>
        </w:tc>
        <w:tc>
          <w:tcPr>
            <w:tcW w:w="455" w:type="dxa"/>
            <w:tcBorders>
              <w:top w:val="nil"/>
              <w:left w:val="nil"/>
            </w:tcBorders>
          </w:tcPr>
          <w:p w14:paraId="0BB2E42A" w14:textId="77777777" w:rsidR="00361651" w:rsidRDefault="00361651" w:rsidP="009709A2">
            <w:pPr>
              <w:pStyle w:val="IASBTableArial"/>
            </w:pPr>
          </w:p>
        </w:tc>
        <w:tc>
          <w:tcPr>
            <w:tcW w:w="1092" w:type="dxa"/>
            <w:tcBorders>
              <w:top w:val="nil"/>
              <w:left w:val="nil"/>
            </w:tcBorders>
            <w:vAlign w:val="bottom"/>
          </w:tcPr>
          <w:p w14:paraId="0BB2E42B" w14:textId="77777777" w:rsidR="00361651" w:rsidRDefault="00361651" w:rsidP="009709A2">
            <w:pPr>
              <w:pStyle w:val="IASBTableArial"/>
              <w:jc w:val="right"/>
            </w:pPr>
            <w:r>
              <w:t>168</w:t>
            </w:r>
          </w:p>
        </w:tc>
      </w:tr>
      <w:tr w:rsidR="00361651" w14:paraId="0BB2E431" w14:textId="77777777" w:rsidTr="009709A2">
        <w:trPr>
          <w:cantSplit/>
        </w:trPr>
        <w:tc>
          <w:tcPr>
            <w:tcW w:w="5514" w:type="dxa"/>
            <w:tcBorders>
              <w:top w:val="nil"/>
            </w:tcBorders>
          </w:tcPr>
          <w:p w14:paraId="0BB2E42D" w14:textId="77777777" w:rsidR="00361651" w:rsidRDefault="00361651" w:rsidP="009709A2">
            <w:pPr>
              <w:pStyle w:val="IASBTableArial"/>
            </w:pPr>
            <w:r>
              <w:t>20X9</w:t>
            </w:r>
          </w:p>
        </w:tc>
        <w:tc>
          <w:tcPr>
            <w:tcW w:w="1183" w:type="dxa"/>
            <w:tcBorders>
              <w:top w:val="nil"/>
              <w:left w:val="nil"/>
            </w:tcBorders>
            <w:vAlign w:val="bottom"/>
          </w:tcPr>
          <w:p w14:paraId="0BB2E42E" w14:textId="77777777" w:rsidR="00361651" w:rsidRDefault="00361651" w:rsidP="009709A2">
            <w:pPr>
              <w:pStyle w:val="IASBTableArial"/>
              <w:jc w:val="right"/>
            </w:pPr>
            <w:r>
              <w:t>460</w:t>
            </w:r>
            <w:r>
              <w:rPr>
                <w:vertAlign w:val="superscript"/>
              </w:rPr>
              <w:t>(b)</w:t>
            </w:r>
          </w:p>
        </w:tc>
        <w:tc>
          <w:tcPr>
            <w:tcW w:w="455" w:type="dxa"/>
            <w:tcBorders>
              <w:top w:val="nil"/>
              <w:left w:val="nil"/>
            </w:tcBorders>
          </w:tcPr>
          <w:p w14:paraId="0BB2E42F" w14:textId="77777777" w:rsidR="00361651" w:rsidRDefault="00361651" w:rsidP="009709A2">
            <w:pPr>
              <w:pStyle w:val="IASBTableArial"/>
            </w:pPr>
          </w:p>
        </w:tc>
        <w:tc>
          <w:tcPr>
            <w:tcW w:w="1092" w:type="dxa"/>
            <w:tcBorders>
              <w:top w:val="nil"/>
              <w:left w:val="nil"/>
            </w:tcBorders>
            <w:vAlign w:val="bottom"/>
          </w:tcPr>
          <w:p w14:paraId="0BB2E430" w14:textId="77777777" w:rsidR="00361651" w:rsidRDefault="00361651" w:rsidP="009709A2">
            <w:pPr>
              <w:pStyle w:val="IASBTableArial"/>
              <w:jc w:val="right"/>
            </w:pPr>
            <w:r>
              <w:t>141</w:t>
            </w:r>
          </w:p>
        </w:tc>
      </w:tr>
      <w:tr w:rsidR="00361651" w14:paraId="0BB2E436" w14:textId="77777777" w:rsidTr="009709A2">
        <w:trPr>
          <w:cantSplit/>
        </w:trPr>
        <w:tc>
          <w:tcPr>
            <w:tcW w:w="5514" w:type="dxa"/>
            <w:tcBorders>
              <w:top w:val="nil"/>
            </w:tcBorders>
          </w:tcPr>
          <w:p w14:paraId="0BB2E432" w14:textId="77777777" w:rsidR="00361651" w:rsidRDefault="00361651" w:rsidP="009709A2">
            <w:pPr>
              <w:pStyle w:val="IASBTableArial"/>
            </w:pPr>
            <w:r>
              <w:t>20X10</w:t>
            </w:r>
          </w:p>
        </w:tc>
        <w:tc>
          <w:tcPr>
            <w:tcW w:w="1183" w:type="dxa"/>
            <w:tcBorders>
              <w:top w:val="nil"/>
              <w:left w:val="nil"/>
            </w:tcBorders>
            <w:vAlign w:val="bottom"/>
          </w:tcPr>
          <w:p w14:paraId="0BB2E433" w14:textId="77777777" w:rsidR="00361651" w:rsidRDefault="00361651" w:rsidP="009709A2">
            <w:pPr>
              <w:pStyle w:val="IASBTableArial"/>
              <w:jc w:val="right"/>
            </w:pPr>
            <w:r>
              <w:t>400</w:t>
            </w:r>
            <w:r>
              <w:rPr>
                <w:vertAlign w:val="superscript"/>
              </w:rPr>
              <w:t>(b)</w:t>
            </w:r>
          </w:p>
        </w:tc>
        <w:tc>
          <w:tcPr>
            <w:tcW w:w="455" w:type="dxa"/>
            <w:tcBorders>
              <w:top w:val="nil"/>
              <w:left w:val="nil"/>
            </w:tcBorders>
          </w:tcPr>
          <w:p w14:paraId="0BB2E434" w14:textId="77777777" w:rsidR="00361651" w:rsidRDefault="00361651" w:rsidP="009709A2">
            <w:pPr>
              <w:pStyle w:val="IASBTableArial"/>
            </w:pPr>
          </w:p>
        </w:tc>
        <w:tc>
          <w:tcPr>
            <w:tcW w:w="1092" w:type="dxa"/>
            <w:tcBorders>
              <w:top w:val="nil"/>
              <w:left w:val="nil"/>
              <w:bottom w:val="single" w:sz="4" w:space="0" w:color="auto"/>
            </w:tcBorders>
            <w:vAlign w:val="bottom"/>
          </w:tcPr>
          <w:p w14:paraId="0BB2E435" w14:textId="77777777" w:rsidR="00361651" w:rsidRDefault="00361651" w:rsidP="009709A2">
            <w:pPr>
              <w:pStyle w:val="IASBTableArial"/>
              <w:jc w:val="right"/>
            </w:pPr>
            <w:r>
              <w:t>108</w:t>
            </w:r>
          </w:p>
        </w:tc>
      </w:tr>
      <w:tr w:rsidR="00361651" w14:paraId="0BB2E43B" w14:textId="77777777" w:rsidTr="009709A2">
        <w:trPr>
          <w:cantSplit/>
        </w:trPr>
        <w:tc>
          <w:tcPr>
            <w:tcW w:w="5514" w:type="dxa"/>
            <w:tcBorders>
              <w:top w:val="nil"/>
            </w:tcBorders>
          </w:tcPr>
          <w:p w14:paraId="0BB2E437" w14:textId="77777777" w:rsidR="00361651" w:rsidRDefault="00361651" w:rsidP="009709A2">
            <w:pPr>
              <w:pStyle w:val="IASBTableArial"/>
            </w:pPr>
          </w:p>
        </w:tc>
        <w:tc>
          <w:tcPr>
            <w:tcW w:w="1183" w:type="dxa"/>
            <w:tcBorders>
              <w:top w:val="nil"/>
              <w:left w:val="nil"/>
            </w:tcBorders>
            <w:vAlign w:val="bottom"/>
          </w:tcPr>
          <w:p w14:paraId="0BB2E438" w14:textId="77777777" w:rsidR="00361651" w:rsidRDefault="00361651" w:rsidP="009709A2">
            <w:pPr>
              <w:pStyle w:val="IASBTableArial"/>
            </w:pPr>
            <w:r>
              <w:t xml:space="preserve"> </w:t>
            </w:r>
          </w:p>
        </w:tc>
        <w:tc>
          <w:tcPr>
            <w:tcW w:w="455" w:type="dxa"/>
            <w:tcBorders>
              <w:top w:val="nil"/>
              <w:left w:val="nil"/>
            </w:tcBorders>
          </w:tcPr>
          <w:p w14:paraId="0BB2E439" w14:textId="77777777" w:rsidR="00361651" w:rsidRDefault="00361651" w:rsidP="009709A2">
            <w:pPr>
              <w:pStyle w:val="IASBTableArial"/>
            </w:pPr>
          </w:p>
        </w:tc>
        <w:tc>
          <w:tcPr>
            <w:tcW w:w="1092" w:type="dxa"/>
            <w:tcBorders>
              <w:top w:val="nil"/>
              <w:left w:val="nil"/>
              <w:bottom w:val="double" w:sz="4" w:space="0" w:color="auto"/>
            </w:tcBorders>
            <w:vAlign w:val="bottom"/>
          </w:tcPr>
          <w:p w14:paraId="0BB2E43A" w14:textId="77777777" w:rsidR="00361651" w:rsidRDefault="00361651" w:rsidP="009709A2">
            <w:pPr>
              <w:pStyle w:val="IASBTableArial"/>
              <w:jc w:val="right"/>
            </w:pPr>
            <w:r>
              <w:t>2,051</w:t>
            </w:r>
          </w:p>
        </w:tc>
      </w:tr>
      <w:tr w:rsidR="00361651" w14:paraId="0BB2E440" w14:textId="77777777" w:rsidTr="009709A2">
        <w:trPr>
          <w:cantSplit/>
        </w:trPr>
        <w:tc>
          <w:tcPr>
            <w:tcW w:w="5514" w:type="dxa"/>
            <w:tcBorders>
              <w:top w:val="nil"/>
            </w:tcBorders>
          </w:tcPr>
          <w:p w14:paraId="0BB2E43C" w14:textId="77777777" w:rsidR="00361651" w:rsidRDefault="00361651" w:rsidP="009709A2">
            <w:pPr>
              <w:pStyle w:val="IASBTableArial"/>
            </w:pPr>
          </w:p>
        </w:tc>
        <w:tc>
          <w:tcPr>
            <w:tcW w:w="1183" w:type="dxa"/>
            <w:tcBorders>
              <w:top w:val="nil"/>
              <w:left w:val="nil"/>
            </w:tcBorders>
            <w:vAlign w:val="bottom"/>
          </w:tcPr>
          <w:p w14:paraId="0BB2E43D" w14:textId="77777777" w:rsidR="00361651" w:rsidRDefault="00361651" w:rsidP="009709A2">
            <w:pPr>
              <w:pStyle w:val="IASBTableArial"/>
            </w:pPr>
          </w:p>
        </w:tc>
        <w:tc>
          <w:tcPr>
            <w:tcW w:w="455" w:type="dxa"/>
            <w:tcBorders>
              <w:top w:val="nil"/>
              <w:left w:val="nil"/>
            </w:tcBorders>
          </w:tcPr>
          <w:p w14:paraId="0BB2E43E" w14:textId="77777777" w:rsidR="00361651" w:rsidRDefault="00361651" w:rsidP="009709A2">
            <w:pPr>
              <w:pStyle w:val="IASBTableArial"/>
            </w:pPr>
          </w:p>
        </w:tc>
        <w:tc>
          <w:tcPr>
            <w:tcW w:w="1092" w:type="dxa"/>
            <w:tcBorders>
              <w:top w:val="nil"/>
              <w:left w:val="nil"/>
            </w:tcBorders>
            <w:vAlign w:val="bottom"/>
          </w:tcPr>
          <w:p w14:paraId="0BB2E43F" w14:textId="77777777" w:rsidR="00361651" w:rsidRDefault="00361651" w:rsidP="009709A2">
            <w:pPr>
              <w:pStyle w:val="IASBTableArial"/>
              <w:jc w:val="right"/>
            </w:pPr>
          </w:p>
        </w:tc>
      </w:tr>
      <w:tr w:rsidR="00361651" w14:paraId="0BB2E443" w14:textId="77777777" w:rsidTr="009709A2">
        <w:trPr>
          <w:cantSplit/>
        </w:trPr>
        <w:tc>
          <w:tcPr>
            <w:tcW w:w="8244" w:type="dxa"/>
            <w:gridSpan w:val="4"/>
            <w:tcBorders>
              <w:top w:val="nil"/>
            </w:tcBorders>
            <w:vAlign w:val="bottom"/>
          </w:tcPr>
          <w:p w14:paraId="0BB2E441" w14:textId="77777777" w:rsidR="00B86EF3" w:rsidRDefault="00361651" w:rsidP="00B86EF3">
            <w:pPr>
              <w:pStyle w:val="IASBTableTNR"/>
              <w:ind w:left="397" w:hanging="397"/>
              <w:rPr>
                <w:sz w:val="16"/>
              </w:rPr>
            </w:pPr>
            <w:r>
              <w:rPr>
                <w:rStyle w:val="FootnoteReference"/>
                <w:sz w:val="16"/>
                <w:vertAlign w:val="baseline"/>
              </w:rPr>
              <w:t>(a)</w:t>
            </w:r>
            <w:r>
              <w:rPr>
                <w:rStyle w:val="FootnoteReference"/>
                <w:sz w:val="16"/>
                <w:vertAlign w:val="baseline"/>
              </w:rPr>
              <w:tab/>
              <w:t>Excludes estimated restructuring costs reflected in management budgets.</w:t>
            </w:r>
          </w:p>
          <w:p w14:paraId="0BB2E442" w14:textId="77777777" w:rsidR="00361651" w:rsidRDefault="00361651" w:rsidP="00B86EF3">
            <w:pPr>
              <w:pStyle w:val="IASBTableTNR"/>
              <w:spacing w:before="0"/>
              <w:ind w:left="397" w:hanging="397"/>
            </w:pPr>
            <w:r>
              <w:rPr>
                <w:rStyle w:val="FootnoteReference"/>
                <w:sz w:val="16"/>
                <w:vertAlign w:val="baseline"/>
              </w:rPr>
              <w:t>(b)</w:t>
            </w:r>
            <w:r>
              <w:rPr>
                <w:rStyle w:val="FootnoteReference"/>
                <w:sz w:val="16"/>
                <w:vertAlign w:val="baseline"/>
              </w:rPr>
              <w:tab/>
              <w:t>Excludes estimated benefits expected from the restructuring reflected in management budgets.</w:t>
            </w:r>
          </w:p>
        </w:tc>
      </w:tr>
    </w:tbl>
    <w:p w14:paraId="0BB2E444" w14:textId="77777777" w:rsidR="00361651" w:rsidRDefault="00361651" w:rsidP="00361651">
      <w:pPr>
        <w:pStyle w:val="IASBNormalnpara"/>
      </w:pPr>
    </w:p>
    <w:p w14:paraId="0BB2E445" w14:textId="77777777" w:rsidR="00361651" w:rsidRDefault="00361651" w:rsidP="00361651">
      <w:pPr>
        <w:pStyle w:val="IASBNormalnpara"/>
      </w:pPr>
      <w:r>
        <w:t>IE49</w:t>
      </w:r>
      <w:r>
        <w:tab/>
        <w:t xml:space="preserve">The plant’s recoverable amount (ie value in use) is less than its carrying amount. Therefore, K recognises an impairment loss for the plant. </w:t>
      </w:r>
    </w:p>
    <w:p w14:paraId="0BB2E446" w14:textId="77777777" w:rsidR="00361651" w:rsidRDefault="00361651" w:rsidP="00361651">
      <w:pPr>
        <w:pStyle w:val="IASBNormalnparaP"/>
      </w:pPr>
      <w:r>
        <w:t>Schedule 2. Calculation of the impairment loss at the end of 20X0</w:t>
      </w:r>
    </w:p>
    <w:p w14:paraId="0BB2E447"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18"/>
      </w:tblPr>
      <w:tblGrid>
        <w:gridCol w:w="7152"/>
        <w:gridCol w:w="1092"/>
      </w:tblGrid>
      <w:tr w:rsidR="00361651" w14:paraId="0BB2E44A" w14:textId="77777777" w:rsidTr="009709A2">
        <w:trPr>
          <w:cantSplit/>
          <w:tblHeader/>
        </w:trPr>
        <w:tc>
          <w:tcPr>
            <w:tcW w:w="7152" w:type="dxa"/>
            <w:vAlign w:val="bottom"/>
          </w:tcPr>
          <w:p w14:paraId="0BB2E448" w14:textId="77777777" w:rsidR="00361651" w:rsidRDefault="00361651" w:rsidP="002D54B2">
            <w:pPr>
              <w:pStyle w:val="IASBTableHeaderArial"/>
              <w:spacing w:after="120"/>
            </w:pPr>
          </w:p>
        </w:tc>
        <w:tc>
          <w:tcPr>
            <w:tcW w:w="1092" w:type="dxa"/>
            <w:tcBorders>
              <w:left w:val="nil"/>
            </w:tcBorders>
          </w:tcPr>
          <w:p w14:paraId="0BB2E449" w14:textId="77777777" w:rsidR="00361651" w:rsidRDefault="00361651" w:rsidP="002D54B2">
            <w:pPr>
              <w:pStyle w:val="IASBTableHeaderArial"/>
              <w:spacing w:after="120"/>
              <w:jc w:val="right"/>
            </w:pPr>
            <w:r>
              <w:rPr>
                <w:b/>
                <w:i/>
              </w:rPr>
              <w:t>Plant</w:t>
            </w:r>
          </w:p>
        </w:tc>
      </w:tr>
      <w:tr w:rsidR="00361651" w14:paraId="0BB2E44D" w14:textId="77777777" w:rsidTr="009709A2">
        <w:trPr>
          <w:cantSplit/>
          <w:tblHeader/>
        </w:trPr>
        <w:tc>
          <w:tcPr>
            <w:tcW w:w="7152" w:type="dxa"/>
            <w:tcBorders>
              <w:top w:val="nil"/>
            </w:tcBorders>
            <w:vAlign w:val="bottom"/>
          </w:tcPr>
          <w:p w14:paraId="0BB2E44B" w14:textId="77777777" w:rsidR="00361651" w:rsidRDefault="00361651" w:rsidP="002D54B2">
            <w:pPr>
              <w:pStyle w:val="IASBTableHeaderArial"/>
              <w:spacing w:after="120"/>
            </w:pPr>
          </w:p>
        </w:tc>
        <w:tc>
          <w:tcPr>
            <w:tcW w:w="1092" w:type="dxa"/>
            <w:tcBorders>
              <w:top w:val="nil"/>
              <w:left w:val="nil"/>
            </w:tcBorders>
            <w:vAlign w:val="bottom"/>
          </w:tcPr>
          <w:p w14:paraId="0BB2E44C" w14:textId="77777777" w:rsidR="00361651" w:rsidRDefault="00361651" w:rsidP="002D54B2">
            <w:pPr>
              <w:pStyle w:val="IASBTableHeaderArial"/>
              <w:spacing w:after="120"/>
              <w:jc w:val="right"/>
            </w:pPr>
            <w:r>
              <w:rPr>
                <w:b/>
              </w:rPr>
              <w:t>CU</w:t>
            </w:r>
          </w:p>
        </w:tc>
      </w:tr>
      <w:tr w:rsidR="00361651" w14:paraId="0BB2E450" w14:textId="77777777" w:rsidTr="009709A2">
        <w:trPr>
          <w:cantSplit/>
        </w:trPr>
        <w:tc>
          <w:tcPr>
            <w:tcW w:w="7152" w:type="dxa"/>
            <w:tcBorders>
              <w:top w:val="nil"/>
            </w:tcBorders>
            <w:vAlign w:val="bottom"/>
          </w:tcPr>
          <w:p w14:paraId="0BB2E44E" w14:textId="77777777" w:rsidR="00361651" w:rsidRDefault="00361651" w:rsidP="009709A2">
            <w:pPr>
              <w:pStyle w:val="IASBTableArial"/>
            </w:pPr>
            <w:r>
              <w:t>Carrying amount before impairment loss</w:t>
            </w:r>
          </w:p>
        </w:tc>
        <w:tc>
          <w:tcPr>
            <w:tcW w:w="1092" w:type="dxa"/>
            <w:tcBorders>
              <w:top w:val="nil"/>
              <w:left w:val="nil"/>
            </w:tcBorders>
            <w:vAlign w:val="bottom"/>
          </w:tcPr>
          <w:p w14:paraId="0BB2E44F" w14:textId="77777777" w:rsidR="00361651" w:rsidRDefault="00361651" w:rsidP="009709A2">
            <w:pPr>
              <w:pStyle w:val="IASBTableArial"/>
              <w:jc w:val="right"/>
            </w:pPr>
            <w:r>
              <w:t>3,000</w:t>
            </w:r>
          </w:p>
        </w:tc>
      </w:tr>
      <w:tr w:rsidR="00361651" w14:paraId="0BB2E453" w14:textId="77777777" w:rsidTr="009709A2">
        <w:trPr>
          <w:cantSplit/>
        </w:trPr>
        <w:tc>
          <w:tcPr>
            <w:tcW w:w="7152" w:type="dxa"/>
            <w:tcBorders>
              <w:top w:val="nil"/>
            </w:tcBorders>
            <w:vAlign w:val="bottom"/>
          </w:tcPr>
          <w:p w14:paraId="0BB2E451" w14:textId="77777777" w:rsidR="00361651" w:rsidRDefault="00361651" w:rsidP="009709A2">
            <w:pPr>
              <w:pStyle w:val="IASBTableArial"/>
            </w:pPr>
            <w:r>
              <w:t>Recoverable amount (Schedule 1)</w:t>
            </w:r>
          </w:p>
        </w:tc>
        <w:tc>
          <w:tcPr>
            <w:tcW w:w="1092" w:type="dxa"/>
            <w:tcBorders>
              <w:top w:val="nil"/>
              <w:left w:val="nil"/>
              <w:bottom w:val="single" w:sz="4" w:space="0" w:color="auto"/>
            </w:tcBorders>
            <w:vAlign w:val="bottom"/>
          </w:tcPr>
          <w:p w14:paraId="0BB2E452" w14:textId="77777777" w:rsidR="00361651" w:rsidRDefault="00361651" w:rsidP="009709A2">
            <w:pPr>
              <w:pStyle w:val="IASBTableArial"/>
              <w:jc w:val="right"/>
            </w:pPr>
            <w:r>
              <w:t>2,051</w:t>
            </w:r>
          </w:p>
        </w:tc>
      </w:tr>
      <w:tr w:rsidR="00361651" w14:paraId="0BB2E456" w14:textId="77777777" w:rsidTr="009709A2">
        <w:trPr>
          <w:cantSplit/>
        </w:trPr>
        <w:tc>
          <w:tcPr>
            <w:tcW w:w="7152" w:type="dxa"/>
            <w:tcBorders>
              <w:top w:val="nil"/>
            </w:tcBorders>
            <w:vAlign w:val="bottom"/>
          </w:tcPr>
          <w:p w14:paraId="0BB2E454" w14:textId="77777777" w:rsidR="00361651" w:rsidRDefault="00361651" w:rsidP="009709A2">
            <w:pPr>
              <w:pStyle w:val="IASBTableArial"/>
            </w:pPr>
            <w:r>
              <w:t>Impairment loss</w:t>
            </w:r>
          </w:p>
        </w:tc>
        <w:tc>
          <w:tcPr>
            <w:tcW w:w="1092" w:type="dxa"/>
            <w:tcBorders>
              <w:top w:val="nil"/>
              <w:left w:val="nil"/>
              <w:bottom w:val="double" w:sz="4" w:space="0" w:color="auto"/>
            </w:tcBorders>
            <w:vAlign w:val="bottom"/>
          </w:tcPr>
          <w:p w14:paraId="0BB2E455" w14:textId="77777777" w:rsidR="00361651" w:rsidRDefault="00361651" w:rsidP="009709A2">
            <w:pPr>
              <w:pStyle w:val="IASBTableArial"/>
              <w:jc w:val="right"/>
            </w:pPr>
            <w:r>
              <w:t>(949)</w:t>
            </w:r>
          </w:p>
        </w:tc>
      </w:tr>
      <w:tr w:rsidR="00361651" w14:paraId="0BB2E459" w14:textId="77777777" w:rsidTr="009709A2">
        <w:trPr>
          <w:cantSplit/>
        </w:trPr>
        <w:tc>
          <w:tcPr>
            <w:tcW w:w="7152" w:type="dxa"/>
            <w:tcBorders>
              <w:top w:val="nil"/>
            </w:tcBorders>
            <w:vAlign w:val="bottom"/>
          </w:tcPr>
          <w:p w14:paraId="0BB2E457" w14:textId="77777777" w:rsidR="00361651" w:rsidRDefault="00361651" w:rsidP="009709A2">
            <w:pPr>
              <w:pStyle w:val="IASBTableArial"/>
            </w:pPr>
            <w:r>
              <w:t>Carrying amount after impairment loss</w:t>
            </w:r>
          </w:p>
        </w:tc>
        <w:tc>
          <w:tcPr>
            <w:tcW w:w="1092" w:type="dxa"/>
            <w:tcBorders>
              <w:top w:val="nil"/>
              <w:left w:val="nil"/>
              <w:bottom w:val="double" w:sz="4" w:space="0" w:color="auto"/>
            </w:tcBorders>
            <w:vAlign w:val="bottom"/>
          </w:tcPr>
          <w:p w14:paraId="0BB2E458" w14:textId="77777777" w:rsidR="00361651" w:rsidRDefault="00361651" w:rsidP="009709A2">
            <w:pPr>
              <w:pStyle w:val="IASBTableArial"/>
              <w:jc w:val="right"/>
            </w:pPr>
            <w:r>
              <w:t>2,051</w:t>
            </w:r>
          </w:p>
        </w:tc>
      </w:tr>
    </w:tbl>
    <w:p w14:paraId="0BB2E45A" w14:textId="77777777" w:rsidR="00361651" w:rsidRDefault="00361651" w:rsidP="00361651">
      <w:pPr>
        <w:pStyle w:val="IASBNormalnpara"/>
      </w:pPr>
    </w:p>
    <w:p w14:paraId="0BB2E45B" w14:textId="77777777" w:rsidR="00361651" w:rsidRDefault="00361651" w:rsidP="00361651">
      <w:pPr>
        <w:pStyle w:val="IASBSectionTitle3Ind"/>
      </w:pPr>
      <w:r>
        <w:t>At the end of 20X1</w:t>
      </w:r>
    </w:p>
    <w:p w14:paraId="0BB2E45C" w14:textId="77777777" w:rsidR="00361651" w:rsidRDefault="00361651" w:rsidP="00361651">
      <w:pPr>
        <w:pStyle w:val="IASBNormalnpara"/>
      </w:pPr>
      <w:r>
        <w:t>IE50</w:t>
      </w:r>
      <w:r>
        <w:tab/>
        <w:t>No event occurs that requires the plant’s recoverable amount to be re-estimated. Therefore, no calculation of the recoverable amount is required to be performed.</w:t>
      </w:r>
    </w:p>
    <w:p w14:paraId="0BB2E45D" w14:textId="77777777" w:rsidR="00361651" w:rsidRDefault="00361651" w:rsidP="00361651">
      <w:pPr>
        <w:pStyle w:val="IASBSectionTitle3Ind"/>
      </w:pPr>
      <w:r>
        <w:t>At the end of 20X2</w:t>
      </w:r>
    </w:p>
    <w:p w14:paraId="0BB2E45E" w14:textId="77777777" w:rsidR="00361651" w:rsidRDefault="00361651" w:rsidP="00361651">
      <w:pPr>
        <w:pStyle w:val="IASBNormalnpara"/>
      </w:pPr>
      <w:r>
        <w:t>IE51</w:t>
      </w:r>
      <w:r>
        <w:tab/>
        <w:t>The entity is now committed to the restructuring. Therefore, in determining the plant’s value in use, the benefits expected from the restructuring are considered in forecasting cash flows. This results in an increase in the estimated future cash flows used to determine value in use at the end of 20X0. In accordance with paragraphs 110 and 111 of</w:t>
      </w:r>
      <w:r w:rsidR="002D17D4">
        <w:t xml:space="preserve"> AASB 136</w:t>
      </w:r>
      <w:r>
        <w:t xml:space="preserve">, the recoverable amount of the plant is re-determined at the end of 20X2. </w:t>
      </w:r>
    </w:p>
    <w:p w14:paraId="0BB2E45F" w14:textId="77777777" w:rsidR="00361651" w:rsidRDefault="00361651" w:rsidP="00B86EF3">
      <w:pPr>
        <w:pStyle w:val="IASBNormalnparaP"/>
        <w:keepNext/>
      </w:pPr>
      <w:r>
        <w:t>Schedule 3. Calculation of the plant’s value in use at the end of 20X2</w:t>
      </w:r>
    </w:p>
    <w:p w14:paraId="0BB2E460" w14:textId="77777777" w:rsidR="00361651" w:rsidRDefault="00361651" w:rsidP="00B86EF3">
      <w:pPr>
        <w:pStyle w:val="IASBNormalnpara"/>
        <w:keepNext/>
      </w:pPr>
    </w:p>
    <w:tbl>
      <w:tblPr>
        <w:tblW w:w="0" w:type="auto"/>
        <w:tblInd w:w="964" w:type="dxa"/>
        <w:tblLayout w:type="fixed"/>
        <w:tblLook w:val="0000" w:firstRow="0" w:lastRow="0" w:firstColumn="0" w:lastColumn="0" w:noHBand="0" w:noVBand="0"/>
        <w:tblCaption w:val="AASB 136 Table 19"/>
      </w:tblPr>
      <w:tblGrid>
        <w:gridCol w:w="5514"/>
        <w:gridCol w:w="1183"/>
        <w:gridCol w:w="455"/>
        <w:gridCol w:w="1092"/>
      </w:tblGrid>
      <w:tr w:rsidR="00361651" w14:paraId="0BB2E464" w14:textId="77777777" w:rsidTr="009709A2">
        <w:trPr>
          <w:cantSplit/>
          <w:tblHeader/>
        </w:trPr>
        <w:tc>
          <w:tcPr>
            <w:tcW w:w="5514" w:type="dxa"/>
          </w:tcPr>
          <w:p w14:paraId="0BB2E461" w14:textId="77777777" w:rsidR="00361651" w:rsidRDefault="00361651" w:rsidP="002D54B2">
            <w:pPr>
              <w:pStyle w:val="IASBTableHeaderArial"/>
              <w:spacing w:after="120"/>
            </w:pPr>
            <w:r>
              <w:rPr>
                <w:b/>
                <w:i/>
              </w:rPr>
              <w:t>Year</w:t>
            </w:r>
          </w:p>
        </w:tc>
        <w:tc>
          <w:tcPr>
            <w:tcW w:w="1183" w:type="dxa"/>
            <w:tcBorders>
              <w:left w:val="nil"/>
            </w:tcBorders>
          </w:tcPr>
          <w:p w14:paraId="0BB2E462" w14:textId="77777777" w:rsidR="00361651" w:rsidRDefault="00361651" w:rsidP="002D54B2">
            <w:pPr>
              <w:pStyle w:val="IASBTableHeaderArial"/>
              <w:spacing w:after="120"/>
              <w:jc w:val="right"/>
            </w:pPr>
            <w:r>
              <w:rPr>
                <w:b/>
                <w:i/>
              </w:rPr>
              <w:t>Future</w:t>
            </w:r>
            <w:r>
              <w:rPr>
                <w:b/>
                <w:i/>
              </w:rPr>
              <w:br/>
              <w:t>cash flows</w:t>
            </w:r>
          </w:p>
        </w:tc>
        <w:tc>
          <w:tcPr>
            <w:tcW w:w="1547" w:type="dxa"/>
            <w:gridSpan w:val="2"/>
            <w:tcBorders>
              <w:left w:val="nil"/>
            </w:tcBorders>
          </w:tcPr>
          <w:p w14:paraId="0BB2E463" w14:textId="77777777" w:rsidR="00361651" w:rsidRDefault="00361651" w:rsidP="002D54B2">
            <w:pPr>
              <w:pStyle w:val="IASBTableHeaderArial"/>
              <w:spacing w:after="120"/>
              <w:jc w:val="right"/>
            </w:pPr>
            <w:r>
              <w:rPr>
                <w:b/>
                <w:i/>
              </w:rPr>
              <w:t>Discounted</w:t>
            </w:r>
            <w:r>
              <w:rPr>
                <w:b/>
                <w:i/>
              </w:rPr>
              <w:br/>
              <w:t>at 14%</w:t>
            </w:r>
          </w:p>
        </w:tc>
      </w:tr>
      <w:tr w:rsidR="00361651" w14:paraId="0BB2E469" w14:textId="77777777" w:rsidTr="009709A2">
        <w:trPr>
          <w:cantSplit/>
          <w:tblHeader/>
        </w:trPr>
        <w:tc>
          <w:tcPr>
            <w:tcW w:w="5514" w:type="dxa"/>
            <w:tcBorders>
              <w:top w:val="nil"/>
            </w:tcBorders>
            <w:vAlign w:val="bottom"/>
          </w:tcPr>
          <w:p w14:paraId="0BB2E465" w14:textId="77777777" w:rsidR="00361651" w:rsidRDefault="00361651" w:rsidP="002D54B2">
            <w:pPr>
              <w:pStyle w:val="IASBTableHeaderArial"/>
              <w:spacing w:after="120"/>
            </w:pPr>
          </w:p>
        </w:tc>
        <w:tc>
          <w:tcPr>
            <w:tcW w:w="1183" w:type="dxa"/>
            <w:tcBorders>
              <w:top w:val="nil"/>
              <w:left w:val="nil"/>
            </w:tcBorders>
          </w:tcPr>
          <w:p w14:paraId="0BB2E466" w14:textId="77777777" w:rsidR="00361651" w:rsidRDefault="00361651" w:rsidP="002D54B2">
            <w:pPr>
              <w:pStyle w:val="IASBTableHeaderArial"/>
              <w:spacing w:after="120"/>
              <w:jc w:val="right"/>
            </w:pPr>
            <w:r>
              <w:rPr>
                <w:b/>
              </w:rPr>
              <w:t>CU</w:t>
            </w:r>
          </w:p>
        </w:tc>
        <w:tc>
          <w:tcPr>
            <w:tcW w:w="455" w:type="dxa"/>
            <w:tcBorders>
              <w:top w:val="nil"/>
              <w:left w:val="nil"/>
            </w:tcBorders>
            <w:vAlign w:val="bottom"/>
          </w:tcPr>
          <w:p w14:paraId="0BB2E467" w14:textId="77777777" w:rsidR="00361651" w:rsidRDefault="00361651" w:rsidP="002D54B2">
            <w:pPr>
              <w:pStyle w:val="IASBTableHeaderArial"/>
              <w:spacing w:after="120"/>
            </w:pPr>
          </w:p>
        </w:tc>
        <w:tc>
          <w:tcPr>
            <w:tcW w:w="1092" w:type="dxa"/>
            <w:tcBorders>
              <w:top w:val="nil"/>
              <w:left w:val="nil"/>
            </w:tcBorders>
          </w:tcPr>
          <w:p w14:paraId="0BB2E468" w14:textId="77777777" w:rsidR="00361651" w:rsidRDefault="00361651" w:rsidP="002D54B2">
            <w:pPr>
              <w:pStyle w:val="IASBTableHeaderArial"/>
              <w:spacing w:after="120"/>
              <w:jc w:val="right"/>
            </w:pPr>
            <w:r>
              <w:rPr>
                <w:b/>
              </w:rPr>
              <w:t>CU</w:t>
            </w:r>
          </w:p>
        </w:tc>
      </w:tr>
      <w:tr w:rsidR="00361651" w14:paraId="0BB2E46E" w14:textId="77777777" w:rsidTr="009709A2">
        <w:trPr>
          <w:cantSplit/>
        </w:trPr>
        <w:tc>
          <w:tcPr>
            <w:tcW w:w="5514" w:type="dxa"/>
            <w:tcBorders>
              <w:top w:val="nil"/>
            </w:tcBorders>
          </w:tcPr>
          <w:p w14:paraId="0BB2E46A" w14:textId="77777777" w:rsidR="00361651" w:rsidRDefault="00361651" w:rsidP="009709A2">
            <w:pPr>
              <w:pStyle w:val="IASBTableArial"/>
            </w:pPr>
            <w:r>
              <w:t>20X3</w:t>
            </w:r>
          </w:p>
        </w:tc>
        <w:tc>
          <w:tcPr>
            <w:tcW w:w="1183" w:type="dxa"/>
            <w:tcBorders>
              <w:top w:val="nil"/>
              <w:left w:val="nil"/>
            </w:tcBorders>
            <w:vAlign w:val="bottom"/>
          </w:tcPr>
          <w:p w14:paraId="0BB2E46B" w14:textId="77777777" w:rsidR="00361651" w:rsidRDefault="00361651" w:rsidP="009709A2">
            <w:pPr>
              <w:pStyle w:val="IASBTableArial"/>
              <w:jc w:val="right"/>
            </w:pPr>
            <w:r>
              <w:t>420</w:t>
            </w:r>
            <w:r>
              <w:rPr>
                <w:vertAlign w:val="superscript"/>
              </w:rPr>
              <w:t>(a)</w:t>
            </w:r>
          </w:p>
        </w:tc>
        <w:tc>
          <w:tcPr>
            <w:tcW w:w="455" w:type="dxa"/>
            <w:tcBorders>
              <w:top w:val="nil"/>
              <w:left w:val="nil"/>
            </w:tcBorders>
          </w:tcPr>
          <w:p w14:paraId="0BB2E46C" w14:textId="77777777" w:rsidR="00361651" w:rsidRDefault="00361651" w:rsidP="009709A2">
            <w:pPr>
              <w:pStyle w:val="IASBTableArial"/>
            </w:pPr>
          </w:p>
        </w:tc>
        <w:tc>
          <w:tcPr>
            <w:tcW w:w="1092" w:type="dxa"/>
            <w:tcBorders>
              <w:top w:val="nil"/>
              <w:left w:val="nil"/>
            </w:tcBorders>
            <w:vAlign w:val="bottom"/>
          </w:tcPr>
          <w:p w14:paraId="0BB2E46D" w14:textId="77777777" w:rsidR="00361651" w:rsidRDefault="00361651" w:rsidP="009709A2">
            <w:pPr>
              <w:pStyle w:val="IASBTableArial"/>
              <w:jc w:val="right"/>
            </w:pPr>
            <w:r>
              <w:t>368</w:t>
            </w:r>
          </w:p>
        </w:tc>
      </w:tr>
      <w:tr w:rsidR="00361651" w14:paraId="0BB2E473" w14:textId="77777777" w:rsidTr="009709A2">
        <w:trPr>
          <w:cantSplit/>
        </w:trPr>
        <w:tc>
          <w:tcPr>
            <w:tcW w:w="5514" w:type="dxa"/>
            <w:tcBorders>
              <w:top w:val="nil"/>
            </w:tcBorders>
          </w:tcPr>
          <w:p w14:paraId="0BB2E46F" w14:textId="77777777" w:rsidR="00361651" w:rsidRDefault="00361651" w:rsidP="009709A2">
            <w:pPr>
              <w:pStyle w:val="IASBTableArial"/>
            </w:pPr>
            <w:r>
              <w:t>20X4</w:t>
            </w:r>
          </w:p>
        </w:tc>
        <w:tc>
          <w:tcPr>
            <w:tcW w:w="1183" w:type="dxa"/>
            <w:tcBorders>
              <w:top w:val="nil"/>
              <w:left w:val="nil"/>
            </w:tcBorders>
            <w:vAlign w:val="bottom"/>
          </w:tcPr>
          <w:p w14:paraId="0BB2E470" w14:textId="77777777" w:rsidR="00361651" w:rsidRDefault="00361651" w:rsidP="009709A2">
            <w:pPr>
              <w:pStyle w:val="IASBTableArial"/>
              <w:jc w:val="right"/>
            </w:pPr>
            <w:r>
              <w:t>570</w:t>
            </w:r>
            <w:r>
              <w:rPr>
                <w:vertAlign w:val="superscript"/>
              </w:rPr>
              <w:t>(b)</w:t>
            </w:r>
          </w:p>
        </w:tc>
        <w:tc>
          <w:tcPr>
            <w:tcW w:w="455" w:type="dxa"/>
            <w:tcBorders>
              <w:top w:val="nil"/>
              <w:left w:val="nil"/>
            </w:tcBorders>
          </w:tcPr>
          <w:p w14:paraId="0BB2E471" w14:textId="77777777" w:rsidR="00361651" w:rsidRDefault="00361651" w:rsidP="009709A2">
            <w:pPr>
              <w:pStyle w:val="IASBTableArial"/>
            </w:pPr>
          </w:p>
        </w:tc>
        <w:tc>
          <w:tcPr>
            <w:tcW w:w="1092" w:type="dxa"/>
            <w:tcBorders>
              <w:top w:val="nil"/>
              <w:left w:val="nil"/>
            </w:tcBorders>
            <w:vAlign w:val="bottom"/>
          </w:tcPr>
          <w:p w14:paraId="0BB2E472" w14:textId="77777777" w:rsidR="00361651" w:rsidRDefault="00361651" w:rsidP="009709A2">
            <w:pPr>
              <w:pStyle w:val="IASBTableArial"/>
              <w:jc w:val="right"/>
            </w:pPr>
            <w:r>
              <w:t>439</w:t>
            </w:r>
          </w:p>
        </w:tc>
      </w:tr>
      <w:tr w:rsidR="00361651" w14:paraId="0BB2E478" w14:textId="77777777" w:rsidTr="009709A2">
        <w:trPr>
          <w:cantSplit/>
        </w:trPr>
        <w:tc>
          <w:tcPr>
            <w:tcW w:w="5514" w:type="dxa"/>
            <w:tcBorders>
              <w:top w:val="nil"/>
            </w:tcBorders>
          </w:tcPr>
          <w:p w14:paraId="0BB2E474" w14:textId="77777777" w:rsidR="00361651" w:rsidRDefault="00361651" w:rsidP="009709A2">
            <w:pPr>
              <w:pStyle w:val="IASBTableArial"/>
            </w:pPr>
            <w:r>
              <w:lastRenderedPageBreak/>
              <w:t>20X5</w:t>
            </w:r>
          </w:p>
        </w:tc>
        <w:tc>
          <w:tcPr>
            <w:tcW w:w="1183" w:type="dxa"/>
            <w:tcBorders>
              <w:top w:val="nil"/>
              <w:left w:val="nil"/>
            </w:tcBorders>
            <w:vAlign w:val="bottom"/>
          </w:tcPr>
          <w:p w14:paraId="0BB2E475" w14:textId="77777777" w:rsidR="00361651" w:rsidRDefault="00361651" w:rsidP="009709A2">
            <w:pPr>
              <w:pStyle w:val="IASBTableArial"/>
              <w:jc w:val="right"/>
            </w:pPr>
            <w:r>
              <w:t>380</w:t>
            </w:r>
            <w:r>
              <w:rPr>
                <w:vertAlign w:val="superscript"/>
              </w:rPr>
              <w:t>(b)</w:t>
            </w:r>
          </w:p>
        </w:tc>
        <w:tc>
          <w:tcPr>
            <w:tcW w:w="455" w:type="dxa"/>
            <w:tcBorders>
              <w:top w:val="nil"/>
              <w:left w:val="nil"/>
            </w:tcBorders>
          </w:tcPr>
          <w:p w14:paraId="0BB2E476" w14:textId="77777777" w:rsidR="00361651" w:rsidRDefault="00361651" w:rsidP="009709A2">
            <w:pPr>
              <w:pStyle w:val="IASBTableArial"/>
            </w:pPr>
          </w:p>
        </w:tc>
        <w:tc>
          <w:tcPr>
            <w:tcW w:w="1092" w:type="dxa"/>
            <w:tcBorders>
              <w:top w:val="nil"/>
              <w:left w:val="nil"/>
            </w:tcBorders>
            <w:vAlign w:val="bottom"/>
          </w:tcPr>
          <w:p w14:paraId="0BB2E477" w14:textId="77777777" w:rsidR="00361651" w:rsidRDefault="00361651" w:rsidP="009709A2">
            <w:pPr>
              <w:pStyle w:val="IASBTableArial"/>
              <w:jc w:val="right"/>
            </w:pPr>
            <w:r>
              <w:t>256</w:t>
            </w:r>
          </w:p>
        </w:tc>
      </w:tr>
      <w:tr w:rsidR="00361651" w14:paraId="0BB2E47D" w14:textId="77777777" w:rsidTr="009709A2">
        <w:trPr>
          <w:cantSplit/>
        </w:trPr>
        <w:tc>
          <w:tcPr>
            <w:tcW w:w="5514" w:type="dxa"/>
            <w:tcBorders>
              <w:top w:val="nil"/>
            </w:tcBorders>
          </w:tcPr>
          <w:p w14:paraId="0BB2E479" w14:textId="77777777" w:rsidR="00361651" w:rsidRDefault="00361651" w:rsidP="009709A2">
            <w:pPr>
              <w:pStyle w:val="IASBTableArial"/>
            </w:pPr>
            <w:r>
              <w:t>20X6</w:t>
            </w:r>
          </w:p>
        </w:tc>
        <w:tc>
          <w:tcPr>
            <w:tcW w:w="1183" w:type="dxa"/>
            <w:tcBorders>
              <w:top w:val="nil"/>
              <w:left w:val="nil"/>
            </w:tcBorders>
            <w:vAlign w:val="bottom"/>
          </w:tcPr>
          <w:p w14:paraId="0BB2E47A" w14:textId="77777777" w:rsidR="00361651" w:rsidRDefault="00361651" w:rsidP="009709A2">
            <w:pPr>
              <w:pStyle w:val="IASBTableArial"/>
              <w:jc w:val="right"/>
            </w:pPr>
            <w:r>
              <w:t>450</w:t>
            </w:r>
            <w:r>
              <w:rPr>
                <w:vertAlign w:val="superscript"/>
              </w:rPr>
              <w:t>(b)</w:t>
            </w:r>
          </w:p>
        </w:tc>
        <w:tc>
          <w:tcPr>
            <w:tcW w:w="455" w:type="dxa"/>
            <w:tcBorders>
              <w:top w:val="nil"/>
              <w:left w:val="nil"/>
            </w:tcBorders>
          </w:tcPr>
          <w:p w14:paraId="0BB2E47B" w14:textId="77777777" w:rsidR="00361651" w:rsidRDefault="00361651" w:rsidP="009709A2">
            <w:pPr>
              <w:pStyle w:val="IASBTableArial"/>
            </w:pPr>
          </w:p>
        </w:tc>
        <w:tc>
          <w:tcPr>
            <w:tcW w:w="1092" w:type="dxa"/>
            <w:tcBorders>
              <w:top w:val="nil"/>
              <w:left w:val="nil"/>
            </w:tcBorders>
            <w:vAlign w:val="bottom"/>
          </w:tcPr>
          <w:p w14:paraId="0BB2E47C" w14:textId="77777777" w:rsidR="00361651" w:rsidRDefault="00361651" w:rsidP="009709A2">
            <w:pPr>
              <w:pStyle w:val="IASBTableArial"/>
              <w:jc w:val="right"/>
            </w:pPr>
            <w:r>
              <w:t>266</w:t>
            </w:r>
          </w:p>
        </w:tc>
      </w:tr>
      <w:tr w:rsidR="00361651" w14:paraId="0BB2E482" w14:textId="77777777" w:rsidTr="009709A2">
        <w:trPr>
          <w:cantSplit/>
        </w:trPr>
        <w:tc>
          <w:tcPr>
            <w:tcW w:w="5514" w:type="dxa"/>
            <w:tcBorders>
              <w:top w:val="nil"/>
            </w:tcBorders>
          </w:tcPr>
          <w:p w14:paraId="0BB2E47E" w14:textId="77777777" w:rsidR="00361651" w:rsidRDefault="00361651" w:rsidP="009709A2">
            <w:pPr>
              <w:pStyle w:val="IASBTableArial"/>
            </w:pPr>
            <w:r>
              <w:t>20X7</w:t>
            </w:r>
          </w:p>
        </w:tc>
        <w:tc>
          <w:tcPr>
            <w:tcW w:w="1183" w:type="dxa"/>
            <w:tcBorders>
              <w:top w:val="nil"/>
              <w:left w:val="nil"/>
            </w:tcBorders>
            <w:vAlign w:val="bottom"/>
          </w:tcPr>
          <w:p w14:paraId="0BB2E47F" w14:textId="77777777" w:rsidR="00361651" w:rsidRDefault="00361651" w:rsidP="009709A2">
            <w:pPr>
              <w:pStyle w:val="IASBTableArial"/>
              <w:jc w:val="right"/>
            </w:pPr>
            <w:r>
              <w:t>510</w:t>
            </w:r>
            <w:r>
              <w:rPr>
                <w:vertAlign w:val="superscript"/>
              </w:rPr>
              <w:t>(b)</w:t>
            </w:r>
          </w:p>
        </w:tc>
        <w:tc>
          <w:tcPr>
            <w:tcW w:w="455" w:type="dxa"/>
            <w:tcBorders>
              <w:top w:val="nil"/>
              <w:left w:val="nil"/>
            </w:tcBorders>
          </w:tcPr>
          <w:p w14:paraId="0BB2E480" w14:textId="77777777" w:rsidR="00361651" w:rsidRDefault="00361651" w:rsidP="009709A2">
            <w:pPr>
              <w:pStyle w:val="IASBTableArial"/>
            </w:pPr>
          </w:p>
        </w:tc>
        <w:tc>
          <w:tcPr>
            <w:tcW w:w="1092" w:type="dxa"/>
            <w:tcBorders>
              <w:top w:val="nil"/>
              <w:left w:val="nil"/>
            </w:tcBorders>
            <w:vAlign w:val="bottom"/>
          </w:tcPr>
          <w:p w14:paraId="0BB2E481" w14:textId="77777777" w:rsidR="00361651" w:rsidRDefault="00361651" w:rsidP="009709A2">
            <w:pPr>
              <w:pStyle w:val="IASBTableArial"/>
              <w:jc w:val="right"/>
            </w:pPr>
            <w:r>
              <w:t>265</w:t>
            </w:r>
          </w:p>
        </w:tc>
      </w:tr>
      <w:tr w:rsidR="00361651" w14:paraId="0BB2E487" w14:textId="77777777" w:rsidTr="009709A2">
        <w:trPr>
          <w:cantSplit/>
        </w:trPr>
        <w:tc>
          <w:tcPr>
            <w:tcW w:w="5514" w:type="dxa"/>
            <w:tcBorders>
              <w:top w:val="nil"/>
            </w:tcBorders>
          </w:tcPr>
          <w:p w14:paraId="0BB2E483" w14:textId="77777777" w:rsidR="00361651" w:rsidRDefault="00361651" w:rsidP="009709A2">
            <w:pPr>
              <w:pStyle w:val="IASBTableArial"/>
            </w:pPr>
            <w:r>
              <w:t>20X8</w:t>
            </w:r>
          </w:p>
        </w:tc>
        <w:tc>
          <w:tcPr>
            <w:tcW w:w="1183" w:type="dxa"/>
            <w:tcBorders>
              <w:top w:val="nil"/>
              <w:left w:val="nil"/>
            </w:tcBorders>
            <w:vAlign w:val="bottom"/>
          </w:tcPr>
          <w:p w14:paraId="0BB2E484" w14:textId="77777777" w:rsidR="00361651" w:rsidRDefault="00361651" w:rsidP="009709A2">
            <w:pPr>
              <w:pStyle w:val="IASBTableArial"/>
              <w:jc w:val="right"/>
            </w:pPr>
            <w:r>
              <w:t>510</w:t>
            </w:r>
            <w:r>
              <w:rPr>
                <w:vertAlign w:val="superscript"/>
              </w:rPr>
              <w:t>(b)</w:t>
            </w:r>
          </w:p>
        </w:tc>
        <w:tc>
          <w:tcPr>
            <w:tcW w:w="455" w:type="dxa"/>
            <w:tcBorders>
              <w:top w:val="nil"/>
              <w:left w:val="nil"/>
            </w:tcBorders>
          </w:tcPr>
          <w:p w14:paraId="0BB2E485" w14:textId="77777777" w:rsidR="00361651" w:rsidRDefault="00361651" w:rsidP="009709A2">
            <w:pPr>
              <w:pStyle w:val="IASBTableArial"/>
            </w:pPr>
          </w:p>
        </w:tc>
        <w:tc>
          <w:tcPr>
            <w:tcW w:w="1092" w:type="dxa"/>
            <w:tcBorders>
              <w:top w:val="nil"/>
              <w:left w:val="nil"/>
            </w:tcBorders>
            <w:vAlign w:val="bottom"/>
          </w:tcPr>
          <w:p w14:paraId="0BB2E486" w14:textId="77777777" w:rsidR="00361651" w:rsidRDefault="00361651" w:rsidP="009709A2">
            <w:pPr>
              <w:pStyle w:val="IASBTableArial"/>
              <w:jc w:val="right"/>
            </w:pPr>
            <w:r>
              <w:t>232</w:t>
            </w:r>
          </w:p>
        </w:tc>
      </w:tr>
      <w:tr w:rsidR="00361651" w14:paraId="0BB2E48C" w14:textId="77777777" w:rsidTr="009709A2">
        <w:trPr>
          <w:cantSplit/>
        </w:trPr>
        <w:tc>
          <w:tcPr>
            <w:tcW w:w="5514" w:type="dxa"/>
            <w:tcBorders>
              <w:top w:val="nil"/>
            </w:tcBorders>
          </w:tcPr>
          <w:p w14:paraId="0BB2E488" w14:textId="77777777" w:rsidR="00361651" w:rsidRDefault="00361651" w:rsidP="009709A2">
            <w:pPr>
              <w:pStyle w:val="IASBTableArial"/>
            </w:pPr>
            <w:r>
              <w:t>20X9</w:t>
            </w:r>
          </w:p>
        </w:tc>
        <w:tc>
          <w:tcPr>
            <w:tcW w:w="1183" w:type="dxa"/>
            <w:tcBorders>
              <w:top w:val="nil"/>
              <w:left w:val="nil"/>
            </w:tcBorders>
            <w:vAlign w:val="bottom"/>
          </w:tcPr>
          <w:p w14:paraId="0BB2E489" w14:textId="77777777" w:rsidR="00361651" w:rsidRDefault="00361651" w:rsidP="009709A2">
            <w:pPr>
              <w:pStyle w:val="IASBTableArial"/>
              <w:jc w:val="right"/>
            </w:pPr>
            <w:r>
              <w:t>480</w:t>
            </w:r>
            <w:r>
              <w:rPr>
                <w:vertAlign w:val="superscript"/>
              </w:rPr>
              <w:t>(b)</w:t>
            </w:r>
          </w:p>
        </w:tc>
        <w:tc>
          <w:tcPr>
            <w:tcW w:w="455" w:type="dxa"/>
            <w:tcBorders>
              <w:top w:val="nil"/>
              <w:left w:val="nil"/>
            </w:tcBorders>
          </w:tcPr>
          <w:p w14:paraId="0BB2E48A" w14:textId="77777777" w:rsidR="00361651" w:rsidRDefault="00361651" w:rsidP="009709A2">
            <w:pPr>
              <w:pStyle w:val="IASBTableArial"/>
            </w:pPr>
          </w:p>
        </w:tc>
        <w:tc>
          <w:tcPr>
            <w:tcW w:w="1092" w:type="dxa"/>
            <w:tcBorders>
              <w:top w:val="nil"/>
              <w:left w:val="nil"/>
            </w:tcBorders>
            <w:vAlign w:val="bottom"/>
          </w:tcPr>
          <w:p w14:paraId="0BB2E48B" w14:textId="77777777" w:rsidR="00361651" w:rsidRDefault="00361651" w:rsidP="009709A2">
            <w:pPr>
              <w:pStyle w:val="IASBTableArial"/>
              <w:jc w:val="right"/>
            </w:pPr>
            <w:r>
              <w:t>192</w:t>
            </w:r>
          </w:p>
        </w:tc>
      </w:tr>
      <w:tr w:rsidR="00361651" w14:paraId="0BB2E491" w14:textId="77777777" w:rsidTr="009709A2">
        <w:trPr>
          <w:cantSplit/>
        </w:trPr>
        <w:tc>
          <w:tcPr>
            <w:tcW w:w="5514" w:type="dxa"/>
            <w:tcBorders>
              <w:top w:val="nil"/>
            </w:tcBorders>
          </w:tcPr>
          <w:p w14:paraId="0BB2E48D" w14:textId="77777777" w:rsidR="00361651" w:rsidRDefault="00361651" w:rsidP="009709A2">
            <w:pPr>
              <w:pStyle w:val="IASBTableArial"/>
            </w:pPr>
            <w:r>
              <w:t>20X10</w:t>
            </w:r>
          </w:p>
        </w:tc>
        <w:tc>
          <w:tcPr>
            <w:tcW w:w="1183" w:type="dxa"/>
            <w:tcBorders>
              <w:top w:val="nil"/>
              <w:left w:val="nil"/>
            </w:tcBorders>
            <w:vAlign w:val="bottom"/>
          </w:tcPr>
          <w:p w14:paraId="0BB2E48E" w14:textId="77777777" w:rsidR="00361651" w:rsidRDefault="00361651" w:rsidP="009709A2">
            <w:pPr>
              <w:pStyle w:val="IASBTableArial"/>
              <w:jc w:val="right"/>
            </w:pPr>
            <w:r>
              <w:t>410</w:t>
            </w:r>
            <w:r>
              <w:rPr>
                <w:vertAlign w:val="superscript"/>
              </w:rPr>
              <w:t>(b)</w:t>
            </w:r>
          </w:p>
        </w:tc>
        <w:tc>
          <w:tcPr>
            <w:tcW w:w="455" w:type="dxa"/>
            <w:tcBorders>
              <w:top w:val="nil"/>
              <w:left w:val="nil"/>
            </w:tcBorders>
          </w:tcPr>
          <w:p w14:paraId="0BB2E48F" w14:textId="77777777" w:rsidR="00361651" w:rsidRDefault="00361651" w:rsidP="009709A2">
            <w:pPr>
              <w:pStyle w:val="IASBTableArial"/>
            </w:pPr>
          </w:p>
        </w:tc>
        <w:tc>
          <w:tcPr>
            <w:tcW w:w="1092" w:type="dxa"/>
            <w:tcBorders>
              <w:top w:val="nil"/>
              <w:left w:val="nil"/>
              <w:bottom w:val="single" w:sz="4" w:space="0" w:color="auto"/>
            </w:tcBorders>
            <w:vAlign w:val="bottom"/>
          </w:tcPr>
          <w:p w14:paraId="0BB2E490" w14:textId="77777777" w:rsidR="00361651" w:rsidRDefault="00361651" w:rsidP="009709A2">
            <w:pPr>
              <w:pStyle w:val="IASBTableArial"/>
              <w:jc w:val="right"/>
            </w:pPr>
            <w:r>
              <w:t>144</w:t>
            </w:r>
          </w:p>
        </w:tc>
      </w:tr>
      <w:tr w:rsidR="00361651" w14:paraId="0BB2E496" w14:textId="77777777" w:rsidTr="009709A2">
        <w:trPr>
          <w:cantSplit/>
        </w:trPr>
        <w:tc>
          <w:tcPr>
            <w:tcW w:w="5514" w:type="dxa"/>
            <w:tcBorders>
              <w:top w:val="nil"/>
            </w:tcBorders>
          </w:tcPr>
          <w:p w14:paraId="0BB2E492" w14:textId="77777777" w:rsidR="00361651" w:rsidRDefault="00361651" w:rsidP="009709A2">
            <w:pPr>
              <w:pStyle w:val="IASBTableArial"/>
            </w:pPr>
          </w:p>
        </w:tc>
        <w:tc>
          <w:tcPr>
            <w:tcW w:w="1183" w:type="dxa"/>
            <w:tcBorders>
              <w:top w:val="nil"/>
              <w:left w:val="nil"/>
            </w:tcBorders>
          </w:tcPr>
          <w:p w14:paraId="0BB2E493" w14:textId="77777777" w:rsidR="00361651" w:rsidRDefault="00361651" w:rsidP="009709A2">
            <w:pPr>
              <w:pStyle w:val="IASBTableArial"/>
            </w:pPr>
            <w:r>
              <w:t xml:space="preserve"> </w:t>
            </w:r>
          </w:p>
        </w:tc>
        <w:tc>
          <w:tcPr>
            <w:tcW w:w="455" w:type="dxa"/>
            <w:tcBorders>
              <w:top w:val="nil"/>
              <w:left w:val="nil"/>
            </w:tcBorders>
          </w:tcPr>
          <w:p w14:paraId="0BB2E494" w14:textId="77777777" w:rsidR="00361651" w:rsidRDefault="00361651" w:rsidP="009709A2">
            <w:pPr>
              <w:pStyle w:val="IASBTableArial"/>
            </w:pPr>
          </w:p>
        </w:tc>
        <w:tc>
          <w:tcPr>
            <w:tcW w:w="1092" w:type="dxa"/>
            <w:tcBorders>
              <w:top w:val="nil"/>
              <w:left w:val="nil"/>
              <w:bottom w:val="double" w:sz="4" w:space="0" w:color="auto"/>
            </w:tcBorders>
            <w:vAlign w:val="bottom"/>
          </w:tcPr>
          <w:p w14:paraId="0BB2E495" w14:textId="77777777" w:rsidR="00361651" w:rsidRDefault="00361651" w:rsidP="009709A2">
            <w:pPr>
              <w:pStyle w:val="IASBTableArial"/>
              <w:jc w:val="right"/>
            </w:pPr>
            <w:r>
              <w:t>2,162</w:t>
            </w:r>
          </w:p>
        </w:tc>
      </w:tr>
      <w:tr w:rsidR="00361651" w14:paraId="0BB2E49B" w14:textId="77777777" w:rsidTr="009709A2">
        <w:trPr>
          <w:cantSplit/>
        </w:trPr>
        <w:tc>
          <w:tcPr>
            <w:tcW w:w="5514" w:type="dxa"/>
            <w:tcBorders>
              <w:top w:val="nil"/>
            </w:tcBorders>
            <w:vAlign w:val="bottom"/>
          </w:tcPr>
          <w:p w14:paraId="0BB2E497" w14:textId="77777777" w:rsidR="00361651" w:rsidRDefault="00361651" w:rsidP="009709A2">
            <w:pPr>
              <w:pStyle w:val="IASBTableArial"/>
            </w:pPr>
          </w:p>
        </w:tc>
        <w:tc>
          <w:tcPr>
            <w:tcW w:w="1183" w:type="dxa"/>
            <w:tcBorders>
              <w:top w:val="nil"/>
              <w:left w:val="nil"/>
            </w:tcBorders>
            <w:vAlign w:val="bottom"/>
          </w:tcPr>
          <w:p w14:paraId="0BB2E498" w14:textId="77777777" w:rsidR="00361651" w:rsidRDefault="00361651" w:rsidP="009709A2">
            <w:pPr>
              <w:pStyle w:val="IASBTableArial"/>
            </w:pPr>
          </w:p>
        </w:tc>
        <w:tc>
          <w:tcPr>
            <w:tcW w:w="455" w:type="dxa"/>
            <w:tcBorders>
              <w:top w:val="nil"/>
              <w:left w:val="nil"/>
            </w:tcBorders>
            <w:vAlign w:val="bottom"/>
          </w:tcPr>
          <w:p w14:paraId="0BB2E499" w14:textId="77777777" w:rsidR="00361651" w:rsidRDefault="00361651" w:rsidP="009709A2">
            <w:pPr>
              <w:pStyle w:val="IASBTableArial"/>
            </w:pPr>
          </w:p>
        </w:tc>
        <w:tc>
          <w:tcPr>
            <w:tcW w:w="1092" w:type="dxa"/>
            <w:tcBorders>
              <w:top w:val="nil"/>
              <w:left w:val="nil"/>
            </w:tcBorders>
            <w:vAlign w:val="bottom"/>
          </w:tcPr>
          <w:p w14:paraId="0BB2E49A" w14:textId="77777777" w:rsidR="00361651" w:rsidRDefault="00361651" w:rsidP="009709A2">
            <w:pPr>
              <w:pStyle w:val="IASBTableArial"/>
            </w:pPr>
          </w:p>
        </w:tc>
      </w:tr>
      <w:tr w:rsidR="00361651" w14:paraId="0BB2E49E" w14:textId="77777777" w:rsidTr="009709A2">
        <w:trPr>
          <w:cantSplit/>
        </w:trPr>
        <w:tc>
          <w:tcPr>
            <w:tcW w:w="8244" w:type="dxa"/>
            <w:gridSpan w:val="4"/>
            <w:tcBorders>
              <w:top w:val="nil"/>
            </w:tcBorders>
            <w:vAlign w:val="bottom"/>
          </w:tcPr>
          <w:p w14:paraId="0BB2E49C" w14:textId="77777777" w:rsidR="00B86EF3" w:rsidRDefault="00361651" w:rsidP="00B86EF3">
            <w:pPr>
              <w:pStyle w:val="IASBTableTNR"/>
              <w:ind w:left="397" w:hanging="397"/>
              <w:rPr>
                <w:sz w:val="16"/>
              </w:rPr>
            </w:pPr>
            <w:r>
              <w:rPr>
                <w:rStyle w:val="FootnoteReference"/>
                <w:sz w:val="16"/>
                <w:vertAlign w:val="baseline"/>
              </w:rPr>
              <w:t>(a)</w:t>
            </w:r>
            <w:r>
              <w:rPr>
                <w:rStyle w:val="FootnoteReference"/>
                <w:sz w:val="16"/>
                <w:vertAlign w:val="baseline"/>
              </w:rPr>
              <w:tab/>
              <w:t>Excludes estimated restructuring costs because a liability has already been recognised.</w:t>
            </w:r>
          </w:p>
          <w:p w14:paraId="0BB2E49D" w14:textId="77777777" w:rsidR="00361651" w:rsidRDefault="00361651" w:rsidP="00B86EF3">
            <w:pPr>
              <w:pStyle w:val="IASBTableTNR"/>
              <w:spacing w:before="0"/>
              <w:ind w:left="397" w:hanging="397"/>
            </w:pPr>
            <w:r>
              <w:rPr>
                <w:rStyle w:val="FootnoteReference"/>
                <w:sz w:val="16"/>
                <w:vertAlign w:val="baseline"/>
              </w:rPr>
              <w:t>(b)</w:t>
            </w:r>
            <w:r>
              <w:rPr>
                <w:rStyle w:val="FootnoteReference"/>
                <w:sz w:val="16"/>
                <w:vertAlign w:val="baseline"/>
              </w:rPr>
              <w:tab/>
              <w:t>Includes estimated benefits expected from the restructuring reflected in management budgets.</w:t>
            </w:r>
          </w:p>
        </w:tc>
      </w:tr>
    </w:tbl>
    <w:p w14:paraId="0BB2E49F" w14:textId="77777777" w:rsidR="00361651" w:rsidRDefault="00361651" w:rsidP="00361651">
      <w:pPr>
        <w:pStyle w:val="IASBNormalnpara"/>
      </w:pPr>
    </w:p>
    <w:p w14:paraId="0BB2E4A0" w14:textId="77777777" w:rsidR="00361651" w:rsidRDefault="00361651" w:rsidP="00361651">
      <w:pPr>
        <w:pStyle w:val="IASBNormalnpara"/>
      </w:pPr>
      <w:r>
        <w:t>IE52</w:t>
      </w:r>
      <w:r>
        <w:tab/>
        <w:t xml:space="preserve">The plant’s recoverable amount (value in use) is higher than its carrying amount (see Schedule 4). Therefore, K reverses the impairment loss recognised for the plant at the end of 20X0. </w:t>
      </w:r>
    </w:p>
    <w:p w14:paraId="0BB2E4A1" w14:textId="77777777" w:rsidR="00361651" w:rsidRDefault="00361651" w:rsidP="00361651">
      <w:pPr>
        <w:pStyle w:val="IASBNormalnparaP"/>
      </w:pPr>
      <w:r>
        <w:t>Schedule 4. Calculation of the reversal of the impairment loss at the end of 20X2</w:t>
      </w:r>
    </w:p>
    <w:p w14:paraId="0BB2E4A2"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20"/>
      </w:tblPr>
      <w:tblGrid>
        <w:gridCol w:w="7152"/>
        <w:gridCol w:w="1092"/>
      </w:tblGrid>
      <w:tr w:rsidR="00361651" w14:paraId="0BB2E4A5" w14:textId="77777777" w:rsidTr="009709A2">
        <w:trPr>
          <w:cantSplit/>
          <w:tblHeader/>
        </w:trPr>
        <w:tc>
          <w:tcPr>
            <w:tcW w:w="7152" w:type="dxa"/>
            <w:vAlign w:val="bottom"/>
          </w:tcPr>
          <w:p w14:paraId="0BB2E4A3" w14:textId="77777777" w:rsidR="00361651" w:rsidRDefault="00361651" w:rsidP="002D54B2">
            <w:pPr>
              <w:pStyle w:val="IASBTableHeaderArial"/>
              <w:spacing w:after="120"/>
            </w:pPr>
          </w:p>
        </w:tc>
        <w:tc>
          <w:tcPr>
            <w:tcW w:w="1092" w:type="dxa"/>
            <w:tcBorders>
              <w:left w:val="nil"/>
            </w:tcBorders>
          </w:tcPr>
          <w:p w14:paraId="0BB2E4A4" w14:textId="77777777" w:rsidR="00361651" w:rsidRDefault="00361651" w:rsidP="002D54B2">
            <w:pPr>
              <w:pStyle w:val="IASBTableHeaderArial"/>
              <w:spacing w:after="120"/>
              <w:jc w:val="right"/>
            </w:pPr>
            <w:r>
              <w:rPr>
                <w:b/>
                <w:i/>
              </w:rPr>
              <w:t>Plant</w:t>
            </w:r>
          </w:p>
        </w:tc>
      </w:tr>
      <w:tr w:rsidR="00361651" w14:paraId="0BB2E4A8" w14:textId="77777777" w:rsidTr="009709A2">
        <w:trPr>
          <w:cantSplit/>
          <w:tblHeader/>
        </w:trPr>
        <w:tc>
          <w:tcPr>
            <w:tcW w:w="7152" w:type="dxa"/>
            <w:tcBorders>
              <w:top w:val="nil"/>
            </w:tcBorders>
            <w:vAlign w:val="bottom"/>
          </w:tcPr>
          <w:p w14:paraId="0BB2E4A6" w14:textId="77777777" w:rsidR="00361651" w:rsidRDefault="00361651" w:rsidP="002D54B2">
            <w:pPr>
              <w:pStyle w:val="IASBTableHeaderArial"/>
              <w:spacing w:after="120"/>
            </w:pPr>
          </w:p>
        </w:tc>
        <w:tc>
          <w:tcPr>
            <w:tcW w:w="1092" w:type="dxa"/>
            <w:tcBorders>
              <w:top w:val="nil"/>
              <w:left w:val="nil"/>
            </w:tcBorders>
          </w:tcPr>
          <w:p w14:paraId="0BB2E4A7" w14:textId="77777777" w:rsidR="00361651" w:rsidRDefault="00361651" w:rsidP="002D54B2">
            <w:pPr>
              <w:pStyle w:val="IASBTableHeaderArial"/>
              <w:spacing w:after="120"/>
              <w:jc w:val="right"/>
            </w:pPr>
            <w:r>
              <w:rPr>
                <w:b/>
              </w:rPr>
              <w:t>CU</w:t>
            </w:r>
          </w:p>
        </w:tc>
      </w:tr>
      <w:tr w:rsidR="00361651" w14:paraId="0BB2E4AB" w14:textId="77777777" w:rsidTr="009709A2">
        <w:trPr>
          <w:cantSplit/>
        </w:trPr>
        <w:tc>
          <w:tcPr>
            <w:tcW w:w="7152" w:type="dxa"/>
            <w:tcBorders>
              <w:top w:val="nil"/>
            </w:tcBorders>
          </w:tcPr>
          <w:p w14:paraId="0BB2E4A9" w14:textId="77777777" w:rsidR="00361651" w:rsidRDefault="00361651" w:rsidP="009709A2">
            <w:pPr>
              <w:pStyle w:val="IASBTableArial"/>
            </w:pPr>
            <w:r>
              <w:t>Carrying amount at the end of 20X0 (Schedule 2)</w:t>
            </w:r>
          </w:p>
        </w:tc>
        <w:tc>
          <w:tcPr>
            <w:tcW w:w="1092" w:type="dxa"/>
            <w:tcBorders>
              <w:top w:val="nil"/>
              <w:left w:val="nil"/>
            </w:tcBorders>
            <w:vAlign w:val="bottom"/>
          </w:tcPr>
          <w:p w14:paraId="0BB2E4AA" w14:textId="77777777" w:rsidR="00361651" w:rsidRDefault="00361651" w:rsidP="009709A2">
            <w:pPr>
              <w:pStyle w:val="IASBTableArial"/>
              <w:jc w:val="right"/>
            </w:pPr>
            <w:r>
              <w:t>2,051</w:t>
            </w:r>
          </w:p>
        </w:tc>
      </w:tr>
      <w:tr w:rsidR="00361651" w14:paraId="0BB2E4AE" w14:textId="77777777" w:rsidTr="009709A2">
        <w:trPr>
          <w:cantSplit/>
        </w:trPr>
        <w:tc>
          <w:tcPr>
            <w:tcW w:w="7152" w:type="dxa"/>
            <w:tcBorders>
              <w:top w:val="nil"/>
            </w:tcBorders>
          </w:tcPr>
          <w:p w14:paraId="0BB2E4AC" w14:textId="77777777" w:rsidR="00361651" w:rsidRDefault="00361651" w:rsidP="009709A2">
            <w:pPr>
              <w:pStyle w:val="IASBTableArial"/>
            </w:pPr>
            <w:r>
              <w:rPr>
                <w:i/>
              </w:rPr>
              <w:t>End of 20X2</w:t>
            </w:r>
          </w:p>
        </w:tc>
        <w:tc>
          <w:tcPr>
            <w:tcW w:w="1092" w:type="dxa"/>
            <w:tcBorders>
              <w:top w:val="nil"/>
              <w:left w:val="nil"/>
            </w:tcBorders>
            <w:vAlign w:val="bottom"/>
          </w:tcPr>
          <w:p w14:paraId="0BB2E4AD" w14:textId="77777777" w:rsidR="00361651" w:rsidRDefault="00361651" w:rsidP="00B86EF3">
            <w:pPr>
              <w:pStyle w:val="IASBTableArial"/>
              <w:jc w:val="right"/>
            </w:pPr>
          </w:p>
        </w:tc>
      </w:tr>
      <w:tr w:rsidR="00361651" w14:paraId="0BB2E4B1" w14:textId="77777777" w:rsidTr="009709A2">
        <w:trPr>
          <w:cantSplit/>
        </w:trPr>
        <w:tc>
          <w:tcPr>
            <w:tcW w:w="7152" w:type="dxa"/>
            <w:tcBorders>
              <w:top w:val="nil"/>
            </w:tcBorders>
          </w:tcPr>
          <w:p w14:paraId="0BB2E4AF" w14:textId="77777777" w:rsidR="00361651" w:rsidRDefault="00361651" w:rsidP="009709A2">
            <w:pPr>
              <w:pStyle w:val="IASBTableArial"/>
            </w:pPr>
            <w:r>
              <w:t>Depreciation charge (for 20X1 and 20X2–Schedule 5)</w:t>
            </w:r>
          </w:p>
        </w:tc>
        <w:tc>
          <w:tcPr>
            <w:tcW w:w="1092" w:type="dxa"/>
            <w:tcBorders>
              <w:top w:val="nil"/>
              <w:left w:val="nil"/>
              <w:bottom w:val="single" w:sz="4" w:space="0" w:color="auto"/>
            </w:tcBorders>
            <w:vAlign w:val="bottom"/>
          </w:tcPr>
          <w:p w14:paraId="0BB2E4B0" w14:textId="77777777" w:rsidR="00361651" w:rsidRDefault="00361651" w:rsidP="009709A2">
            <w:pPr>
              <w:pStyle w:val="IASBTableArial"/>
              <w:jc w:val="right"/>
            </w:pPr>
            <w:r>
              <w:t>(410)</w:t>
            </w:r>
          </w:p>
        </w:tc>
      </w:tr>
      <w:tr w:rsidR="00361651" w14:paraId="0BB2E4B4" w14:textId="77777777" w:rsidTr="009709A2">
        <w:trPr>
          <w:cantSplit/>
        </w:trPr>
        <w:tc>
          <w:tcPr>
            <w:tcW w:w="7152" w:type="dxa"/>
            <w:tcBorders>
              <w:top w:val="nil"/>
            </w:tcBorders>
          </w:tcPr>
          <w:p w14:paraId="0BB2E4B2" w14:textId="77777777" w:rsidR="00361651" w:rsidRDefault="00361651" w:rsidP="009709A2">
            <w:pPr>
              <w:pStyle w:val="IASBTableArial"/>
            </w:pPr>
            <w:r>
              <w:t>Carrying amount before reversal</w:t>
            </w:r>
          </w:p>
        </w:tc>
        <w:tc>
          <w:tcPr>
            <w:tcW w:w="1092" w:type="dxa"/>
            <w:tcBorders>
              <w:top w:val="nil"/>
              <w:left w:val="nil"/>
              <w:bottom w:val="double" w:sz="4" w:space="0" w:color="auto"/>
            </w:tcBorders>
            <w:vAlign w:val="bottom"/>
          </w:tcPr>
          <w:p w14:paraId="0BB2E4B3" w14:textId="77777777" w:rsidR="00361651" w:rsidRDefault="00361651" w:rsidP="009709A2">
            <w:pPr>
              <w:pStyle w:val="IASBTableArial"/>
              <w:jc w:val="right"/>
            </w:pPr>
            <w:r>
              <w:t>1,641</w:t>
            </w:r>
          </w:p>
        </w:tc>
      </w:tr>
      <w:tr w:rsidR="00361651" w14:paraId="0BB2E4B7" w14:textId="77777777" w:rsidTr="009709A2">
        <w:trPr>
          <w:cantSplit/>
        </w:trPr>
        <w:tc>
          <w:tcPr>
            <w:tcW w:w="7152" w:type="dxa"/>
            <w:tcBorders>
              <w:top w:val="nil"/>
            </w:tcBorders>
          </w:tcPr>
          <w:p w14:paraId="0BB2E4B5" w14:textId="77777777" w:rsidR="00361651" w:rsidRDefault="00361651" w:rsidP="009709A2">
            <w:pPr>
              <w:pStyle w:val="IASBTableArial"/>
            </w:pPr>
            <w:r>
              <w:t>Recoverable amount (Schedule 3)</w:t>
            </w:r>
          </w:p>
        </w:tc>
        <w:tc>
          <w:tcPr>
            <w:tcW w:w="1092" w:type="dxa"/>
            <w:tcBorders>
              <w:top w:val="nil"/>
              <w:left w:val="nil"/>
              <w:bottom w:val="single" w:sz="4" w:space="0" w:color="auto"/>
            </w:tcBorders>
            <w:vAlign w:val="bottom"/>
          </w:tcPr>
          <w:p w14:paraId="0BB2E4B6" w14:textId="77777777" w:rsidR="00361651" w:rsidRDefault="00361651" w:rsidP="009709A2">
            <w:pPr>
              <w:pStyle w:val="IASBTableArial"/>
              <w:jc w:val="right"/>
            </w:pPr>
            <w:r>
              <w:t>2,162</w:t>
            </w:r>
          </w:p>
        </w:tc>
      </w:tr>
      <w:tr w:rsidR="00361651" w14:paraId="0BB2E4BA" w14:textId="77777777" w:rsidTr="009709A2">
        <w:trPr>
          <w:cantSplit/>
        </w:trPr>
        <w:tc>
          <w:tcPr>
            <w:tcW w:w="7152" w:type="dxa"/>
            <w:tcBorders>
              <w:top w:val="nil"/>
            </w:tcBorders>
          </w:tcPr>
          <w:p w14:paraId="0BB2E4B8" w14:textId="77777777" w:rsidR="00361651" w:rsidRDefault="00361651" w:rsidP="009709A2">
            <w:pPr>
              <w:pStyle w:val="IASBTableArial"/>
            </w:pPr>
            <w:r>
              <w:t>Reversal of the impairment loss</w:t>
            </w:r>
          </w:p>
        </w:tc>
        <w:tc>
          <w:tcPr>
            <w:tcW w:w="1092" w:type="dxa"/>
            <w:tcBorders>
              <w:top w:val="nil"/>
              <w:left w:val="nil"/>
              <w:bottom w:val="double" w:sz="4" w:space="0" w:color="auto"/>
            </w:tcBorders>
            <w:vAlign w:val="bottom"/>
          </w:tcPr>
          <w:p w14:paraId="0BB2E4B9" w14:textId="77777777" w:rsidR="00361651" w:rsidRDefault="00361651" w:rsidP="009709A2">
            <w:pPr>
              <w:pStyle w:val="IASBTableArial"/>
              <w:jc w:val="right"/>
            </w:pPr>
            <w:r>
              <w:t>521</w:t>
            </w:r>
          </w:p>
        </w:tc>
      </w:tr>
      <w:tr w:rsidR="00361651" w14:paraId="0BB2E4BD" w14:textId="77777777" w:rsidTr="009709A2">
        <w:trPr>
          <w:cantSplit/>
        </w:trPr>
        <w:tc>
          <w:tcPr>
            <w:tcW w:w="7152" w:type="dxa"/>
            <w:tcBorders>
              <w:top w:val="nil"/>
            </w:tcBorders>
          </w:tcPr>
          <w:p w14:paraId="0BB2E4BB" w14:textId="77777777" w:rsidR="00361651" w:rsidRDefault="00361651" w:rsidP="009709A2">
            <w:pPr>
              <w:pStyle w:val="IASBTableArial"/>
            </w:pPr>
            <w:r>
              <w:t>Carrying amount after reversal</w:t>
            </w:r>
          </w:p>
        </w:tc>
        <w:tc>
          <w:tcPr>
            <w:tcW w:w="1092" w:type="dxa"/>
            <w:tcBorders>
              <w:top w:val="nil"/>
              <w:left w:val="nil"/>
              <w:bottom w:val="double" w:sz="4" w:space="0" w:color="auto"/>
            </w:tcBorders>
            <w:vAlign w:val="bottom"/>
          </w:tcPr>
          <w:p w14:paraId="0BB2E4BC" w14:textId="77777777" w:rsidR="00361651" w:rsidRDefault="00361651" w:rsidP="009709A2">
            <w:pPr>
              <w:pStyle w:val="IASBTableArial"/>
              <w:jc w:val="right"/>
            </w:pPr>
            <w:r>
              <w:t>2,162</w:t>
            </w:r>
          </w:p>
        </w:tc>
      </w:tr>
      <w:tr w:rsidR="00361651" w14:paraId="0BB2E4C0" w14:textId="77777777" w:rsidTr="009709A2">
        <w:trPr>
          <w:cantSplit/>
        </w:trPr>
        <w:tc>
          <w:tcPr>
            <w:tcW w:w="7152" w:type="dxa"/>
            <w:tcBorders>
              <w:top w:val="nil"/>
            </w:tcBorders>
          </w:tcPr>
          <w:p w14:paraId="0BB2E4BE" w14:textId="77777777" w:rsidR="00361651" w:rsidRDefault="00361651" w:rsidP="009709A2">
            <w:pPr>
              <w:pStyle w:val="IASBTableArial"/>
            </w:pPr>
            <w:r>
              <w:t>Carrying amount: depreciated historical cost (Schedule 5)</w:t>
            </w:r>
          </w:p>
        </w:tc>
        <w:tc>
          <w:tcPr>
            <w:tcW w:w="1092" w:type="dxa"/>
            <w:tcBorders>
              <w:top w:val="nil"/>
              <w:left w:val="nil"/>
            </w:tcBorders>
            <w:vAlign w:val="bottom"/>
          </w:tcPr>
          <w:p w14:paraId="0BB2E4BF" w14:textId="77777777" w:rsidR="00361651" w:rsidRDefault="00361651" w:rsidP="009709A2">
            <w:pPr>
              <w:pStyle w:val="IASBTableArial"/>
              <w:jc w:val="right"/>
            </w:pPr>
            <w:r>
              <w:t>2,400</w:t>
            </w:r>
            <w:r>
              <w:rPr>
                <w:vertAlign w:val="superscript"/>
              </w:rPr>
              <w:t>(a)</w:t>
            </w:r>
          </w:p>
        </w:tc>
      </w:tr>
      <w:tr w:rsidR="00361651" w14:paraId="0BB2E4C2" w14:textId="77777777" w:rsidTr="009709A2">
        <w:trPr>
          <w:cantSplit/>
        </w:trPr>
        <w:tc>
          <w:tcPr>
            <w:tcW w:w="8244" w:type="dxa"/>
            <w:gridSpan w:val="2"/>
            <w:tcBorders>
              <w:top w:val="nil"/>
            </w:tcBorders>
            <w:vAlign w:val="bottom"/>
          </w:tcPr>
          <w:p w14:paraId="0BB2E4C1" w14:textId="77777777" w:rsidR="00361651" w:rsidRDefault="00361651" w:rsidP="00B86EF3">
            <w:pPr>
              <w:pStyle w:val="IASBTableTNR"/>
              <w:ind w:left="397" w:hanging="397"/>
            </w:pPr>
            <w:r>
              <w:rPr>
                <w:rStyle w:val="FootnoteReference"/>
                <w:sz w:val="16"/>
                <w:vertAlign w:val="baseline"/>
              </w:rPr>
              <w:t>(a)</w:t>
            </w:r>
            <w:r>
              <w:rPr>
                <w:rStyle w:val="FootnoteReference"/>
                <w:sz w:val="16"/>
                <w:vertAlign w:val="baseline"/>
              </w:rPr>
              <w:tab/>
              <w:t>The reversal does not result in the carrying amount of the plant exceeding what its carrying amount would have been at depreciated historical cost. Therefore, the full reversal of the impairment loss is recognised.</w:t>
            </w:r>
          </w:p>
        </w:tc>
      </w:tr>
    </w:tbl>
    <w:p w14:paraId="0BB2E4C3" w14:textId="77777777" w:rsidR="00361651" w:rsidRDefault="00361651" w:rsidP="00361651">
      <w:pPr>
        <w:pStyle w:val="IASBNormalnpara"/>
      </w:pPr>
    </w:p>
    <w:p w14:paraId="0BB2E4C4" w14:textId="77777777" w:rsidR="00361651" w:rsidRDefault="00361651" w:rsidP="00361651">
      <w:pPr>
        <w:pStyle w:val="IASBSectionTitle3Ind"/>
      </w:pPr>
      <w:r>
        <w:t>At the end of 20X3</w:t>
      </w:r>
    </w:p>
    <w:p w14:paraId="0BB2E4C5" w14:textId="77777777" w:rsidR="00361651" w:rsidRDefault="00361651" w:rsidP="00361651">
      <w:pPr>
        <w:pStyle w:val="IASBNormalnpara"/>
      </w:pPr>
      <w:r>
        <w:t>IE53</w:t>
      </w:r>
      <w:r>
        <w:tab/>
        <w:t xml:space="preserve">There is a cash outflow of CU100 when the restructuring costs are paid. Even though a cash outflow has taken place, there is no change in the estimated future cash flows used to determine value in use at the end of 20X2. Therefore, the plant’s recoverable amount is not calculated at the end of 20X3. </w:t>
      </w:r>
    </w:p>
    <w:p w14:paraId="0BB2E4C6" w14:textId="77777777" w:rsidR="00361651" w:rsidRDefault="00361651" w:rsidP="00F236C3">
      <w:pPr>
        <w:pStyle w:val="IASBNormalnparaP"/>
        <w:keepNext/>
        <w:spacing w:before="120"/>
      </w:pPr>
      <w:r>
        <w:lastRenderedPageBreak/>
        <w:t>Schedule 5. Summary of the carrying amount of the plant</w:t>
      </w:r>
    </w:p>
    <w:p w14:paraId="0BB2E4C7" w14:textId="77777777" w:rsidR="00361651" w:rsidRDefault="00361651" w:rsidP="00936E62">
      <w:pPr>
        <w:pStyle w:val="IASBNormalnpara"/>
        <w:keepNext/>
      </w:pPr>
    </w:p>
    <w:tbl>
      <w:tblPr>
        <w:tblW w:w="0" w:type="auto"/>
        <w:tblInd w:w="964" w:type="dxa"/>
        <w:tblLayout w:type="fixed"/>
        <w:tblLook w:val="0000" w:firstRow="0" w:lastRow="0" w:firstColumn="0" w:lastColumn="0" w:noHBand="0" w:noVBand="0"/>
        <w:tblCaption w:val="AASB 136 Table 21"/>
      </w:tblPr>
      <w:tblGrid>
        <w:gridCol w:w="704"/>
        <w:gridCol w:w="1352"/>
        <w:gridCol w:w="455"/>
        <w:gridCol w:w="1092"/>
        <w:gridCol w:w="455"/>
        <w:gridCol w:w="1092"/>
        <w:gridCol w:w="455"/>
        <w:gridCol w:w="1092"/>
        <w:gridCol w:w="455"/>
        <w:gridCol w:w="1092"/>
      </w:tblGrid>
      <w:tr w:rsidR="00361651" w14:paraId="0BB2E4CE" w14:textId="77777777" w:rsidTr="009709A2">
        <w:trPr>
          <w:cantSplit/>
          <w:tblHeader/>
        </w:trPr>
        <w:tc>
          <w:tcPr>
            <w:tcW w:w="704" w:type="dxa"/>
          </w:tcPr>
          <w:p w14:paraId="0BB2E4C8" w14:textId="77777777" w:rsidR="00361651" w:rsidRDefault="00361651" w:rsidP="002D54B2">
            <w:pPr>
              <w:pStyle w:val="IASBTableHeaderArial"/>
              <w:spacing w:after="120"/>
            </w:pPr>
            <w:r>
              <w:rPr>
                <w:b/>
                <w:i/>
                <w:sz w:val="14"/>
              </w:rPr>
              <w:t>End of year</w:t>
            </w:r>
          </w:p>
        </w:tc>
        <w:tc>
          <w:tcPr>
            <w:tcW w:w="1352" w:type="dxa"/>
            <w:tcBorders>
              <w:left w:val="nil"/>
            </w:tcBorders>
          </w:tcPr>
          <w:p w14:paraId="0BB2E4C9" w14:textId="77777777" w:rsidR="00361651" w:rsidRDefault="00361651" w:rsidP="002D54B2">
            <w:pPr>
              <w:pStyle w:val="IASBTableHeaderArial"/>
              <w:spacing w:after="120"/>
              <w:jc w:val="right"/>
            </w:pPr>
            <w:r>
              <w:rPr>
                <w:b/>
                <w:i/>
                <w:sz w:val="14"/>
              </w:rPr>
              <w:t>Depreciated historical cost</w:t>
            </w:r>
          </w:p>
        </w:tc>
        <w:tc>
          <w:tcPr>
            <w:tcW w:w="1547" w:type="dxa"/>
            <w:gridSpan w:val="2"/>
            <w:tcBorders>
              <w:left w:val="nil"/>
            </w:tcBorders>
          </w:tcPr>
          <w:p w14:paraId="0BB2E4CA" w14:textId="77777777" w:rsidR="00361651" w:rsidRDefault="00361651" w:rsidP="002D54B2">
            <w:pPr>
              <w:pStyle w:val="IASBTableHeaderArial"/>
              <w:spacing w:after="120"/>
              <w:jc w:val="right"/>
            </w:pPr>
            <w:r>
              <w:rPr>
                <w:b/>
                <w:i/>
                <w:sz w:val="14"/>
              </w:rPr>
              <w:t>Recoverable amount</w:t>
            </w:r>
          </w:p>
        </w:tc>
        <w:tc>
          <w:tcPr>
            <w:tcW w:w="1547" w:type="dxa"/>
            <w:gridSpan w:val="2"/>
            <w:tcBorders>
              <w:left w:val="nil"/>
            </w:tcBorders>
          </w:tcPr>
          <w:p w14:paraId="0BB2E4CB" w14:textId="77777777" w:rsidR="00361651" w:rsidRDefault="00361651" w:rsidP="002D54B2">
            <w:pPr>
              <w:pStyle w:val="IASBTableHeaderArial"/>
              <w:spacing w:after="120"/>
              <w:jc w:val="right"/>
            </w:pPr>
            <w:r>
              <w:rPr>
                <w:b/>
                <w:i/>
                <w:sz w:val="14"/>
              </w:rPr>
              <w:t>Adjusted depreciation charge</w:t>
            </w:r>
          </w:p>
        </w:tc>
        <w:tc>
          <w:tcPr>
            <w:tcW w:w="1547" w:type="dxa"/>
            <w:gridSpan w:val="2"/>
            <w:tcBorders>
              <w:left w:val="nil"/>
            </w:tcBorders>
          </w:tcPr>
          <w:p w14:paraId="0BB2E4CC" w14:textId="77777777" w:rsidR="00361651" w:rsidRDefault="00361651" w:rsidP="002D54B2">
            <w:pPr>
              <w:pStyle w:val="IASBTableHeaderArial"/>
              <w:spacing w:after="120"/>
              <w:jc w:val="right"/>
            </w:pPr>
            <w:r>
              <w:rPr>
                <w:b/>
                <w:i/>
                <w:sz w:val="14"/>
              </w:rPr>
              <w:t>Impairment loss</w:t>
            </w:r>
          </w:p>
        </w:tc>
        <w:tc>
          <w:tcPr>
            <w:tcW w:w="1547" w:type="dxa"/>
            <w:gridSpan w:val="2"/>
            <w:tcBorders>
              <w:left w:val="nil"/>
            </w:tcBorders>
          </w:tcPr>
          <w:p w14:paraId="0BB2E4CD" w14:textId="77777777" w:rsidR="00361651" w:rsidRDefault="00361651" w:rsidP="002D54B2">
            <w:pPr>
              <w:pStyle w:val="IASBTableHeaderArial"/>
              <w:spacing w:after="120"/>
              <w:jc w:val="right"/>
            </w:pPr>
            <w:r>
              <w:rPr>
                <w:b/>
                <w:i/>
                <w:sz w:val="14"/>
              </w:rPr>
              <w:t>Carrying amount after impairment</w:t>
            </w:r>
          </w:p>
        </w:tc>
      </w:tr>
      <w:tr w:rsidR="00361651" w14:paraId="0BB2E4D9" w14:textId="77777777" w:rsidTr="009709A2">
        <w:trPr>
          <w:cantSplit/>
          <w:tblHeader/>
        </w:trPr>
        <w:tc>
          <w:tcPr>
            <w:tcW w:w="704" w:type="dxa"/>
            <w:tcBorders>
              <w:top w:val="nil"/>
            </w:tcBorders>
            <w:vAlign w:val="bottom"/>
          </w:tcPr>
          <w:p w14:paraId="0BB2E4CF" w14:textId="77777777" w:rsidR="00361651" w:rsidRDefault="00361651" w:rsidP="002D54B2">
            <w:pPr>
              <w:pStyle w:val="IASBTableHeaderArial"/>
              <w:spacing w:after="120"/>
            </w:pPr>
          </w:p>
        </w:tc>
        <w:tc>
          <w:tcPr>
            <w:tcW w:w="1352" w:type="dxa"/>
            <w:tcBorders>
              <w:top w:val="nil"/>
              <w:left w:val="nil"/>
            </w:tcBorders>
          </w:tcPr>
          <w:p w14:paraId="0BB2E4D0" w14:textId="77777777" w:rsidR="00361651" w:rsidRDefault="00361651" w:rsidP="002D54B2">
            <w:pPr>
              <w:pStyle w:val="IASBTableHeaderArial"/>
              <w:spacing w:after="120"/>
              <w:jc w:val="right"/>
            </w:pPr>
            <w:r>
              <w:rPr>
                <w:b/>
                <w:sz w:val="15"/>
              </w:rPr>
              <w:t>CU</w:t>
            </w:r>
          </w:p>
        </w:tc>
        <w:tc>
          <w:tcPr>
            <w:tcW w:w="455" w:type="dxa"/>
            <w:tcBorders>
              <w:top w:val="nil"/>
              <w:left w:val="nil"/>
            </w:tcBorders>
            <w:vAlign w:val="bottom"/>
          </w:tcPr>
          <w:p w14:paraId="0BB2E4D1" w14:textId="77777777" w:rsidR="00361651" w:rsidRDefault="00361651" w:rsidP="002D54B2">
            <w:pPr>
              <w:pStyle w:val="IASBTableHeaderArial"/>
              <w:spacing w:after="120"/>
            </w:pPr>
          </w:p>
        </w:tc>
        <w:tc>
          <w:tcPr>
            <w:tcW w:w="1092" w:type="dxa"/>
            <w:tcBorders>
              <w:top w:val="nil"/>
              <w:left w:val="nil"/>
            </w:tcBorders>
          </w:tcPr>
          <w:p w14:paraId="0BB2E4D2" w14:textId="77777777" w:rsidR="00361651" w:rsidRDefault="00361651" w:rsidP="002D54B2">
            <w:pPr>
              <w:pStyle w:val="IASBTableHeaderArial"/>
              <w:spacing w:after="120"/>
              <w:jc w:val="right"/>
            </w:pPr>
            <w:r>
              <w:rPr>
                <w:b/>
                <w:sz w:val="15"/>
              </w:rPr>
              <w:t>CU</w:t>
            </w:r>
          </w:p>
        </w:tc>
        <w:tc>
          <w:tcPr>
            <w:tcW w:w="455" w:type="dxa"/>
            <w:tcBorders>
              <w:top w:val="nil"/>
              <w:left w:val="nil"/>
            </w:tcBorders>
            <w:vAlign w:val="bottom"/>
          </w:tcPr>
          <w:p w14:paraId="0BB2E4D3" w14:textId="77777777" w:rsidR="00361651" w:rsidRDefault="00361651" w:rsidP="002D54B2">
            <w:pPr>
              <w:pStyle w:val="IASBTableHeaderArial"/>
              <w:spacing w:after="120"/>
            </w:pPr>
          </w:p>
        </w:tc>
        <w:tc>
          <w:tcPr>
            <w:tcW w:w="1092" w:type="dxa"/>
            <w:tcBorders>
              <w:top w:val="nil"/>
              <w:left w:val="nil"/>
            </w:tcBorders>
          </w:tcPr>
          <w:p w14:paraId="0BB2E4D4" w14:textId="77777777" w:rsidR="00361651" w:rsidRDefault="00361651" w:rsidP="002D54B2">
            <w:pPr>
              <w:pStyle w:val="IASBTableHeaderArial"/>
              <w:spacing w:after="120"/>
              <w:jc w:val="right"/>
            </w:pPr>
            <w:r>
              <w:rPr>
                <w:b/>
                <w:sz w:val="15"/>
              </w:rPr>
              <w:t>CU</w:t>
            </w:r>
          </w:p>
        </w:tc>
        <w:tc>
          <w:tcPr>
            <w:tcW w:w="455" w:type="dxa"/>
            <w:tcBorders>
              <w:top w:val="nil"/>
              <w:left w:val="nil"/>
            </w:tcBorders>
            <w:vAlign w:val="bottom"/>
          </w:tcPr>
          <w:p w14:paraId="0BB2E4D5" w14:textId="77777777" w:rsidR="00361651" w:rsidRDefault="00361651" w:rsidP="002D54B2">
            <w:pPr>
              <w:pStyle w:val="IASBTableHeaderArial"/>
              <w:spacing w:after="120"/>
            </w:pPr>
          </w:p>
        </w:tc>
        <w:tc>
          <w:tcPr>
            <w:tcW w:w="1092" w:type="dxa"/>
            <w:tcBorders>
              <w:top w:val="nil"/>
              <w:left w:val="nil"/>
            </w:tcBorders>
          </w:tcPr>
          <w:p w14:paraId="0BB2E4D6" w14:textId="77777777" w:rsidR="00361651" w:rsidRDefault="00361651" w:rsidP="002D54B2">
            <w:pPr>
              <w:pStyle w:val="IASBTableHeaderArial"/>
              <w:spacing w:after="120"/>
              <w:jc w:val="right"/>
            </w:pPr>
            <w:r>
              <w:rPr>
                <w:b/>
                <w:sz w:val="15"/>
              </w:rPr>
              <w:t>CU</w:t>
            </w:r>
          </w:p>
        </w:tc>
        <w:tc>
          <w:tcPr>
            <w:tcW w:w="455" w:type="dxa"/>
            <w:tcBorders>
              <w:top w:val="nil"/>
              <w:left w:val="nil"/>
            </w:tcBorders>
            <w:vAlign w:val="bottom"/>
          </w:tcPr>
          <w:p w14:paraId="0BB2E4D7" w14:textId="77777777" w:rsidR="00361651" w:rsidRDefault="00361651" w:rsidP="002D54B2">
            <w:pPr>
              <w:pStyle w:val="IASBTableHeaderArial"/>
              <w:spacing w:after="120"/>
            </w:pPr>
          </w:p>
        </w:tc>
        <w:tc>
          <w:tcPr>
            <w:tcW w:w="1092" w:type="dxa"/>
            <w:tcBorders>
              <w:top w:val="nil"/>
              <w:left w:val="nil"/>
            </w:tcBorders>
          </w:tcPr>
          <w:p w14:paraId="0BB2E4D8" w14:textId="77777777" w:rsidR="00361651" w:rsidRDefault="00361651" w:rsidP="002D54B2">
            <w:pPr>
              <w:pStyle w:val="IASBTableHeaderArial"/>
              <w:spacing w:after="120"/>
              <w:jc w:val="right"/>
            </w:pPr>
            <w:r>
              <w:rPr>
                <w:b/>
                <w:sz w:val="15"/>
              </w:rPr>
              <w:t>CU</w:t>
            </w:r>
          </w:p>
        </w:tc>
      </w:tr>
      <w:tr w:rsidR="00361651" w14:paraId="0BB2E4E4" w14:textId="77777777" w:rsidTr="009709A2">
        <w:trPr>
          <w:cantSplit/>
        </w:trPr>
        <w:tc>
          <w:tcPr>
            <w:tcW w:w="704" w:type="dxa"/>
            <w:tcBorders>
              <w:top w:val="nil"/>
            </w:tcBorders>
          </w:tcPr>
          <w:p w14:paraId="0BB2E4DA" w14:textId="77777777" w:rsidR="00361651" w:rsidRDefault="00361651" w:rsidP="00F236C3">
            <w:pPr>
              <w:pStyle w:val="IASBTableArial"/>
              <w:keepNext/>
            </w:pPr>
            <w:r>
              <w:t>20X0</w:t>
            </w:r>
          </w:p>
        </w:tc>
        <w:tc>
          <w:tcPr>
            <w:tcW w:w="1352" w:type="dxa"/>
            <w:tcBorders>
              <w:top w:val="nil"/>
              <w:left w:val="nil"/>
            </w:tcBorders>
            <w:vAlign w:val="bottom"/>
          </w:tcPr>
          <w:p w14:paraId="0BB2E4DB" w14:textId="77777777" w:rsidR="00361651" w:rsidRDefault="00361651" w:rsidP="009709A2">
            <w:pPr>
              <w:pStyle w:val="IASBTableArial"/>
              <w:jc w:val="right"/>
            </w:pPr>
            <w:r>
              <w:t>3,000</w:t>
            </w:r>
          </w:p>
        </w:tc>
        <w:tc>
          <w:tcPr>
            <w:tcW w:w="455" w:type="dxa"/>
            <w:tcBorders>
              <w:top w:val="nil"/>
              <w:left w:val="nil"/>
            </w:tcBorders>
            <w:vAlign w:val="bottom"/>
          </w:tcPr>
          <w:p w14:paraId="0BB2E4DC" w14:textId="77777777" w:rsidR="00361651" w:rsidRDefault="00361651" w:rsidP="009709A2">
            <w:pPr>
              <w:pStyle w:val="IASBTableArial"/>
              <w:jc w:val="right"/>
            </w:pPr>
          </w:p>
        </w:tc>
        <w:tc>
          <w:tcPr>
            <w:tcW w:w="1092" w:type="dxa"/>
            <w:tcBorders>
              <w:top w:val="nil"/>
              <w:left w:val="nil"/>
            </w:tcBorders>
            <w:vAlign w:val="bottom"/>
          </w:tcPr>
          <w:p w14:paraId="0BB2E4DD" w14:textId="77777777" w:rsidR="00361651" w:rsidRDefault="00361651" w:rsidP="009709A2">
            <w:pPr>
              <w:pStyle w:val="IASBTableArial"/>
              <w:jc w:val="right"/>
            </w:pPr>
            <w:r>
              <w:t>2,051</w:t>
            </w:r>
          </w:p>
        </w:tc>
        <w:tc>
          <w:tcPr>
            <w:tcW w:w="455" w:type="dxa"/>
            <w:tcBorders>
              <w:top w:val="nil"/>
              <w:left w:val="nil"/>
            </w:tcBorders>
            <w:vAlign w:val="bottom"/>
          </w:tcPr>
          <w:p w14:paraId="0BB2E4DE" w14:textId="77777777" w:rsidR="00361651" w:rsidRDefault="00361651" w:rsidP="009709A2">
            <w:pPr>
              <w:pStyle w:val="IASBTableArial"/>
              <w:jc w:val="right"/>
            </w:pPr>
          </w:p>
        </w:tc>
        <w:tc>
          <w:tcPr>
            <w:tcW w:w="1092" w:type="dxa"/>
            <w:tcBorders>
              <w:top w:val="nil"/>
              <w:left w:val="nil"/>
            </w:tcBorders>
          </w:tcPr>
          <w:p w14:paraId="0BB2E4DF" w14:textId="77777777" w:rsidR="00361651" w:rsidRDefault="00361651" w:rsidP="009709A2">
            <w:pPr>
              <w:pStyle w:val="IASBTableArial"/>
              <w:jc w:val="right"/>
            </w:pPr>
            <w:r>
              <w:t>0</w:t>
            </w:r>
          </w:p>
        </w:tc>
        <w:tc>
          <w:tcPr>
            <w:tcW w:w="455" w:type="dxa"/>
            <w:tcBorders>
              <w:top w:val="nil"/>
              <w:left w:val="nil"/>
            </w:tcBorders>
            <w:vAlign w:val="bottom"/>
          </w:tcPr>
          <w:p w14:paraId="0BB2E4E0" w14:textId="77777777" w:rsidR="00361651" w:rsidRDefault="00361651" w:rsidP="009709A2">
            <w:pPr>
              <w:pStyle w:val="IASBTableArial"/>
              <w:jc w:val="right"/>
            </w:pPr>
          </w:p>
        </w:tc>
        <w:tc>
          <w:tcPr>
            <w:tcW w:w="1092" w:type="dxa"/>
            <w:tcBorders>
              <w:top w:val="nil"/>
              <w:left w:val="nil"/>
            </w:tcBorders>
            <w:vAlign w:val="bottom"/>
          </w:tcPr>
          <w:p w14:paraId="0BB2E4E1" w14:textId="77777777" w:rsidR="00361651" w:rsidRDefault="00361651" w:rsidP="009709A2">
            <w:pPr>
              <w:pStyle w:val="IASBTableArial"/>
              <w:jc w:val="right"/>
            </w:pPr>
            <w:r>
              <w:t>(949)</w:t>
            </w:r>
          </w:p>
        </w:tc>
        <w:tc>
          <w:tcPr>
            <w:tcW w:w="455" w:type="dxa"/>
            <w:tcBorders>
              <w:top w:val="nil"/>
              <w:left w:val="nil"/>
            </w:tcBorders>
            <w:vAlign w:val="bottom"/>
          </w:tcPr>
          <w:p w14:paraId="0BB2E4E2" w14:textId="77777777" w:rsidR="00361651" w:rsidRDefault="00361651" w:rsidP="009709A2">
            <w:pPr>
              <w:pStyle w:val="IASBTableArial"/>
              <w:jc w:val="right"/>
            </w:pPr>
          </w:p>
        </w:tc>
        <w:tc>
          <w:tcPr>
            <w:tcW w:w="1092" w:type="dxa"/>
            <w:tcBorders>
              <w:top w:val="nil"/>
              <w:left w:val="nil"/>
            </w:tcBorders>
            <w:vAlign w:val="bottom"/>
          </w:tcPr>
          <w:p w14:paraId="0BB2E4E3" w14:textId="77777777" w:rsidR="00361651" w:rsidRDefault="00361651" w:rsidP="009709A2">
            <w:pPr>
              <w:pStyle w:val="IASBTableArial"/>
              <w:jc w:val="right"/>
            </w:pPr>
            <w:r>
              <w:t>2,051</w:t>
            </w:r>
          </w:p>
        </w:tc>
      </w:tr>
      <w:tr w:rsidR="00361651" w14:paraId="0BB2E4EF" w14:textId="77777777" w:rsidTr="009709A2">
        <w:trPr>
          <w:cantSplit/>
        </w:trPr>
        <w:tc>
          <w:tcPr>
            <w:tcW w:w="704" w:type="dxa"/>
            <w:tcBorders>
              <w:top w:val="nil"/>
            </w:tcBorders>
          </w:tcPr>
          <w:p w14:paraId="0BB2E4E5" w14:textId="77777777" w:rsidR="00361651" w:rsidRDefault="00361651" w:rsidP="009709A2">
            <w:pPr>
              <w:pStyle w:val="IASBTableArial"/>
            </w:pPr>
            <w:r>
              <w:t>20X1</w:t>
            </w:r>
          </w:p>
        </w:tc>
        <w:tc>
          <w:tcPr>
            <w:tcW w:w="1352" w:type="dxa"/>
            <w:tcBorders>
              <w:top w:val="nil"/>
              <w:left w:val="nil"/>
            </w:tcBorders>
            <w:vAlign w:val="bottom"/>
          </w:tcPr>
          <w:p w14:paraId="0BB2E4E6" w14:textId="77777777" w:rsidR="00361651" w:rsidRDefault="00361651" w:rsidP="009709A2">
            <w:pPr>
              <w:pStyle w:val="IASBTableArial"/>
              <w:jc w:val="right"/>
            </w:pPr>
            <w:r>
              <w:t>2,700</w:t>
            </w:r>
          </w:p>
        </w:tc>
        <w:tc>
          <w:tcPr>
            <w:tcW w:w="455" w:type="dxa"/>
            <w:tcBorders>
              <w:top w:val="nil"/>
              <w:left w:val="nil"/>
            </w:tcBorders>
            <w:vAlign w:val="bottom"/>
          </w:tcPr>
          <w:p w14:paraId="0BB2E4E7" w14:textId="77777777" w:rsidR="00361651" w:rsidRDefault="00361651" w:rsidP="009709A2">
            <w:pPr>
              <w:pStyle w:val="IASBTableArial"/>
              <w:jc w:val="right"/>
            </w:pPr>
          </w:p>
        </w:tc>
        <w:tc>
          <w:tcPr>
            <w:tcW w:w="1092" w:type="dxa"/>
            <w:tcBorders>
              <w:top w:val="nil"/>
              <w:left w:val="nil"/>
            </w:tcBorders>
            <w:vAlign w:val="bottom"/>
          </w:tcPr>
          <w:p w14:paraId="0BB2E4E8" w14:textId="77777777" w:rsidR="00361651" w:rsidRDefault="00361651" w:rsidP="009709A2">
            <w:pPr>
              <w:pStyle w:val="IASBTableArial"/>
              <w:jc w:val="right"/>
            </w:pPr>
            <w:r>
              <w:t>nc</w:t>
            </w:r>
          </w:p>
        </w:tc>
        <w:tc>
          <w:tcPr>
            <w:tcW w:w="455" w:type="dxa"/>
            <w:tcBorders>
              <w:top w:val="nil"/>
              <w:left w:val="nil"/>
            </w:tcBorders>
          </w:tcPr>
          <w:p w14:paraId="0BB2E4E9" w14:textId="77777777" w:rsidR="00361651" w:rsidRDefault="00361651" w:rsidP="009709A2">
            <w:pPr>
              <w:pStyle w:val="IASBTableArial"/>
              <w:jc w:val="right"/>
            </w:pPr>
          </w:p>
        </w:tc>
        <w:tc>
          <w:tcPr>
            <w:tcW w:w="1092" w:type="dxa"/>
            <w:tcBorders>
              <w:top w:val="nil"/>
              <w:left w:val="nil"/>
            </w:tcBorders>
            <w:vAlign w:val="bottom"/>
          </w:tcPr>
          <w:p w14:paraId="0BB2E4EA" w14:textId="77777777" w:rsidR="00361651" w:rsidRDefault="00361651" w:rsidP="009709A2">
            <w:pPr>
              <w:pStyle w:val="IASBTableArial"/>
              <w:jc w:val="right"/>
            </w:pPr>
            <w:r>
              <w:t>(205)</w:t>
            </w:r>
          </w:p>
        </w:tc>
        <w:tc>
          <w:tcPr>
            <w:tcW w:w="455" w:type="dxa"/>
            <w:tcBorders>
              <w:top w:val="nil"/>
              <w:left w:val="nil"/>
            </w:tcBorders>
            <w:vAlign w:val="bottom"/>
          </w:tcPr>
          <w:p w14:paraId="0BB2E4EB" w14:textId="77777777" w:rsidR="00361651" w:rsidRDefault="00361651" w:rsidP="009709A2">
            <w:pPr>
              <w:pStyle w:val="IASBTableArial"/>
              <w:jc w:val="right"/>
            </w:pPr>
          </w:p>
        </w:tc>
        <w:tc>
          <w:tcPr>
            <w:tcW w:w="1092" w:type="dxa"/>
            <w:tcBorders>
              <w:top w:val="nil"/>
              <w:left w:val="nil"/>
            </w:tcBorders>
          </w:tcPr>
          <w:p w14:paraId="0BB2E4EC" w14:textId="77777777" w:rsidR="00361651" w:rsidRDefault="00361651" w:rsidP="009709A2">
            <w:pPr>
              <w:pStyle w:val="IASBTableArial"/>
              <w:jc w:val="right"/>
            </w:pPr>
            <w:r>
              <w:t>0</w:t>
            </w:r>
          </w:p>
        </w:tc>
        <w:tc>
          <w:tcPr>
            <w:tcW w:w="455" w:type="dxa"/>
            <w:tcBorders>
              <w:top w:val="nil"/>
              <w:left w:val="nil"/>
            </w:tcBorders>
            <w:vAlign w:val="bottom"/>
          </w:tcPr>
          <w:p w14:paraId="0BB2E4ED" w14:textId="77777777" w:rsidR="00361651" w:rsidRDefault="00361651" w:rsidP="009709A2">
            <w:pPr>
              <w:pStyle w:val="IASBTableArial"/>
              <w:jc w:val="right"/>
            </w:pPr>
          </w:p>
        </w:tc>
        <w:tc>
          <w:tcPr>
            <w:tcW w:w="1092" w:type="dxa"/>
            <w:tcBorders>
              <w:top w:val="nil"/>
              <w:left w:val="nil"/>
            </w:tcBorders>
            <w:vAlign w:val="bottom"/>
          </w:tcPr>
          <w:p w14:paraId="0BB2E4EE" w14:textId="77777777" w:rsidR="00361651" w:rsidRDefault="00361651" w:rsidP="009709A2">
            <w:pPr>
              <w:pStyle w:val="IASBTableArial"/>
              <w:jc w:val="right"/>
            </w:pPr>
            <w:r>
              <w:t>1,846</w:t>
            </w:r>
          </w:p>
        </w:tc>
      </w:tr>
      <w:tr w:rsidR="00361651" w14:paraId="0BB2E4FA" w14:textId="77777777" w:rsidTr="009709A2">
        <w:trPr>
          <w:cantSplit/>
        </w:trPr>
        <w:tc>
          <w:tcPr>
            <w:tcW w:w="704" w:type="dxa"/>
            <w:tcBorders>
              <w:top w:val="nil"/>
            </w:tcBorders>
          </w:tcPr>
          <w:p w14:paraId="0BB2E4F0" w14:textId="77777777" w:rsidR="00361651" w:rsidRDefault="00361651" w:rsidP="009709A2">
            <w:pPr>
              <w:pStyle w:val="IASBTableArial"/>
            </w:pPr>
            <w:r>
              <w:t>20X2</w:t>
            </w:r>
          </w:p>
        </w:tc>
        <w:tc>
          <w:tcPr>
            <w:tcW w:w="1352" w:type="dxa"/>
            <w:tcBorders>
              <w:top w:val="nil"/>
              <w:left w:val="nil"/>
            </w:tcBorders>
            <w:vAlign w:val="bottom"/>
          </w:tcPr>
          <w:p w14:paraId="0BB2E4F1" w14:textId="77777777" w:rsidR="00361651" w:rsidRDefault="00361651" w:rsidP="009709A2">
            <w:pPr>
              <w:pStyle w:val="IASBTableArial"/>
              <w:jc w:val="right"/>
            </w:pPr>
            <w:r>
              <w:t>2,400</w:t>
            </w:r>
          </w:p>
        </w:tc>
        <w:tc>
          <w:tcPr>
            <w:tcW w:w="455" w:type="dxa"/>
            <w:tcBorders>
              <w:top w:val="nil"/>
              <w:left w:val="nil"/>
            </w:tcBorders>
            <w:vAlign w:val="bottom"/>
          </w:tcPr>
          <w:p w14:paraId="0BB2E4F2" w14:textId="77777777" w:rsidR="00361651" w:rsidRDefault="00361651" w:rsidP="009709A2">
            <w:pPr>
              <w:pStyle w:val="IASBTableArial"/>
              <w:jc w:val="right"/>
            </w:pPr>
          </w:p>
        </w:tc>
        <w:tc>
          <w:tcPr>
            <w:tcW w:w="1092" w:type="dxa"/>
            <w:tcBorders>
              <w:top w:val="nil"/>
              <w:left w:val="nil"/>
            </w:tcBorders>
            <w:vAlign w:val="bottom"/>
          </w:tcPr>
          <w:p w14:paraId="0BB2E4F3" w14:textId="77777777" w:rsidR="00361651" w:rsidRDefault="00361651" w:rsidP="009709A2">
            <w:pPr>
              <w:pStyle w:val="IASBTableArial"/>
              <w:jc w:val="right"/>
            </w:pPr>
            <w:r>
              <w:t>2,162</w:t>
            </w:r>
          </w:p>
        </w:tc>
        <w:tc>
          <w:tcPr>
            <w:tcW w:w="455" w:type="dxa"/>
            <w:tcBorders>
              <w:top w:val="nil"/>
              <w:left w:val="nil"/>
            </w:tcBorders>
          </w:tcPr>
          <w:p w14:paraId="0BB2E4F4" w14:textId="77777777" w:rsidR="00361651" w:rsidRDefault="00361651" w:rsidP="009709A2">
            <w:pPr>
              <w:pStyle w:val="IASBTableArial"/>
              <w:jc w:val="right"/>
            </w:pPr>
          </w:p>
        </w:tc>
        <w:tc>
          <w:tcPr>
            <w:tcW w:w="1092" w:type="dxa"/>
            <w:tcBorders>
              <w:top w:val="nil"/>
              <w:left w:val="nil"/>
            </w:tcBorders>
            <w:vAlign w:val="bottom"/>
          </w:tcPr>
          <w:p w14:paraId="0BB2E4F5" w14:textId="77777777" w:rsidR="00361651" w:rsidRDefault="00361651" w:rsidP="009709A2">
            <w:pPr>
              <w:pStyle w:val="IASBTableArial"/>
              <w:jc w:val="right"/>
            </w:pPr>
            <w:r>
              <w:t>(205)</w:t>
            </w:r>
          </w:p>
        </w:tc>
        <w:tc>
          <w:tcPr>
            <w:tcW w:w="455" w:type="dxa"/>
            <w:tcBorders>
              <w:top w:val="nil"/>
              <w:left w:val="nil"/>
            </w:tcBorders>
            <w:vAlign w:val="bottom"/>
          </w:tcPr>
          <w:p w14:paraId="0BB2E4F6" w14:textId="77777777" w:rsidR="00361651" w:rsidRDefault="00361651" w:rsidP="009709A2">
            <w:pPr>
              <w:pStyle w:val="IASBTableArial"/>
              <w:jc w:val="right"/>
            </w:pPr>
          </w:p>
        </w:tc>
        <w:tc>
          <w:tcPr>
            <w:tcW w:w="1092" w:type="dxa"/>
            <w:tcBorders>
              <w:top w:val="nil"/>
              <w:left w:val="nil"/>
            </w:tcBorders>
          </w:tcPr>
          <w:p w14:paraId="0BB2E4F7" w14:textId="77777777" w:rsidR="00361651" w:rsidRDefault="00361651" w:rsidP="009709A2">
            <w:pPr>
              <w:pStyle w:val="IASBTableArial"/>
              <w:jc w:val="right"/>
            </w:pPr>
            <w:r>
              <w:t>521</w:t>
            </w:r>
          </w:p>
        </w:tc>
        <w:tc>
          <w:tcPr>
            <w:tcW w:w="455" w:type="dxa"/>
            <w:tcBorders>
              <w:top w:val="nil"/>
              <w:left w:val="nil"/>
            </w:tcBorders>
            <w:vAlign w:val="bottom"/>
          </w:tcPr>
          <w:p w14:paraId="0BB2E4F8" w14:textId="77777777" w:rsidR="00361651" w:rsidRDefault="00361651" w:rsidP="009709A2">
            <w:pPr>
              <w:pStyle w:val="IASBTableArial"/>
              <w:jc w:val="right"/>
            </w:pPr>
          </w:p>
        </w:tc>
        <w:tc>
          <w:tcPr>
            <w:tcW w:w="1092" w:type="dxa"/>
            <w:tcBorders>
              <w:top w:val="nil"/>
              <w:left w:val="nil"/>
            </w:tcBorders>
            <w:vAlign w:val="bottom"/>
          </w:tcPr>
          <w:p w14:paraId="0BB2E4F9" w14:textId="77777777" w:rsidR="00361651" w:rsidRDefault="00361651" w:rsidP="009709A2">
            <w:pPr>
              <w:pStyle w:val="IASBTableArial"/>
              <w:jc w:val="right"/>
            </w:pPr>
            <w:r>
              <w:t>2,162</w:t>
            </w:r>
          </w:p>
        </w:tc>
      </w:tr>
      <w:tr w:rsidR="00361651" w14:paraId="0BB2E505" w14:textId="77777777" w:rsidTr="009709A2">
        <w:trPr>
          <w:cantSplit/>
        </w:trPr>
        <w:tc>
          <w:tcPr>
            <w:tcW w:w="704" w:type="dxa"/>
            <w:tcBorders>
              <w:top w:val="nil"/>
            </w:tcBorders>
          </w:tcPr>
          <w:p w14:paraId="0BB2E4FB" w14:textId="77777777" w:rsidR="00361651" w:rsidRDefault="00361651" w:rsidP="009709A2">
            <w:pPr>
              <w:pStyle w:val="IASBTableArial"/>
            </w:pPr>
            <w:r>
              <w:t>20X3</w:t>
            </w:r>
          </w:p>
        </w:tc>
        <w:tc>
          <w:tcPr>
            <w:tcW w:w="1352" w:type="dxa"/>
            <w:tcBorders>
              <w:top w:val="nil"/>
              <w:left w:val="nil"/>
            </w:tcBorders>
            <w:vAlign w:val="bottom"/>
          </w:tcPr>
          <w:p w14:paraId="0BB2E4FC" w14:textId="77777777" w:rsidR="00361651" w:rsidRDefault="00361651" w:rsidP="009709A2">
            <w:pPr>
              <w:pStyle w:val="IASBTableArial"/>
              <w:jc w:val="right"/>
            </w:pPr>
            <w:r>
              <w:t>2,100</w:t>
            </w:r>
          </w:p>
        </w:tc>
        <w:tc>
          <w:tcPr>
            <w:tcW w:w="455" w:type="dxa"/>
            <w:tcBorders>
              <w:top w:val="nil"/>
              <w:left w:val="nil"/>
            </w:tcBorders>
            <w:vAlign w:val="bottom"/>
          </w:tcPr>
          <w:p w14:paraId="0BB2E4FD" w14:textId="77777777" w:rsidR="00361651" w:rsidRDefault="00361651" w:rsidP="009709A2">
            <w:pPr>
              <w:pStyle w:val="IASBTableArial"/>
              <w:jc w:val="right"/>
            </w:pPr>
          </w:p>
        </w:tc>
        <w:tc>
          <w:tcPr>
            <w:tcW w:w="1092" w:type="dxa"/>
            <w:tcBorders>
              <w:top w:val="nil"/>
              <w:left w:val="nil"/>
            </w:tcBorders>
            <w:vAlign w:val="bottom"/>
          </w:tcPr>
          <w:p w14:paraId="0BB2E4FE" w14:textId="77777777" w:rsidR="00361651" w:rsidRDefault="00361651" w:rsidP="009709A2">
            <w:pPr>
              <w:pStyle w:val="IASBTableArial"/>
              <w:jc w:val="right"/>
            </w:pPr>
            <w:r>
              <w:t>nc</w:t>
            </w:r>
          </w:p>
        </w:tc>
        <w:tc>
          <w:tcPr>
            <w:tcW w:w="455" w:type="dxa"/>
            <w:tcBorders>
              <w:top w:val="nil"/>
              <w:left w:val="nil"/>
            </w:tcBorders>
          </w:tcPr>
          <w:p w14:paraId="0BB2E4FF" w14:textId="77777777" w:rsidR="00361651" w:rsidRDefault="00361651" w:rsidP="009709A2">
            <w:pPr>
              <w:pStyle w:val="IASBTableArial"/>
              <w:jc w:val="right"/>
            </w:pPr>
          </w:p>
        </w:tc>
        <w:tc>
          <w:tcPr>
            <w:tcW w:w="1092" w:type="dxa"/>
            <w:tcBorders>
              <w:top w:val="nil"/>
              <w:left w:val="nil"/>
            </w:tcBorders>
            <w:vAlign w:val="bottom"/>
          </w:tcPr>
          <w:p w14:paraId="0BB2E500" w14:textId="77777777" w:rsidR="00361651" w:rsidRDefault="00361651" w:rsidP="009709A2">
            <w:pPr>
              <w:pStyle w:val="IASBTableArial"/>
              <w:jc w:val="right"/>
            </w:pPr>
            <w:r>
              <w:t>(270)</w:t>
            </w:r>
          </w:p>
        </w:tc>
        <w:tc>
          <w:tcPr>
            <w:tcW w:w="455" w:type="dxa"/>
            <w:tcBorders>
              <w:top w:val="nil"/>
              <w:left w:val="nil"/>
            </w:tcBorders>
            <w:vAlign w:val="bottom"/>
          </w:tcPr>
          <w:p w14:paraId="0BB2E501" w14:textId="77777777" w:rsidR="00361651" w:rsidRDefault="00361651" w:rsidP="009709A2">
            <w:pPr>
              <w:pStyle w:val="IASBTableArial"/>
              <w:jc w:val="right"/>
            </w:pPr>
          </w:p>
        </w:tc>
        <w:tc>
          <w:tcPr>
            <w:tcW w:w="1092" w:type="dxa"/>
            <w:tcBorders>
              <w:top w:val="nil"/>
              <w:left w:val="nil"/>
            </w:tcBorders>
          </w:tcPr>
          <w:p w14:paraId="0BB2E502" w14:textId="77777777" w:rsidR="00361651" w:rsidRDefault="00361651" w:rsidP="009709A2">
            <w:pPr>
              <w:pStyle w:val="IASBTableArial"/>
              <w:jc w:val="right"/>
            </w:pPr>
            <w:r>
              <w:t>0</w:t>
            </w:r>
          </w:p>
        </w:tc>
        <w:tc>
          <w:tcPr>
            <w:tcW w:w="455" w:type="dxa"/>
            <w:tcBorders>
              <w:top w:val="nil"/>
              <w:left w:val="nil"/>
            </w:tcBorders>
            <w:vAlign w:val="bottom"/>
          </w:tcPr>
          <w:p w14:paraId="0BB2E503" w14:textId="77777777" w:rsidR="00361651" w:rsidRDefault="00361651" w:rsidP="009709A2">
            <w:pPr>
              <w:pStyle w:val="IASBTableArial"/>
              <w:jc w:val="right"/>
            </w:pPr>
          </w:p>
        </w:tc>
        <w:tc>
          <w:tcPr>
            <w:tcW w:w="1092" w:type="dxa"/>
            <w:tcBorders>
              <w:top w:val="nil"/>
              <w:left w:val="nil"/>
            </w:tcBorders>
            <w:vAlign w:val="bottom"/>
          </w:tcPr>
          <w:p w14:paraId="0BB2E504" w14:textId="77777777" w:rsidR="00361651" w:rsidRDefault="00361651" w:rsidP="009709A2">
            <w:pPr>
              <w:pStyle w:val="IASBTableArial"/>
              <w:jc w:val="right"/>
            </w:pPr>
            <w:r>
              <w:t>1,892</w:t>
            </w:r>
          </w:p>
        </w:tc>
      </w:tr>
      <w:tr w:rsidR="00361651" w14:paraId="0BB2E507" w14:textId="77777777" w:rsidTr="009709A2">
        <w:trPr>
          <w:cantSplit/>
        </w:trPr>
        <w:tc>
          <w:tcPr>
            <w:tcW w:w="8244" w:type="dxa"/>
            <w:gridSpan w:val="10"/>
            <w:tcBorders>
              <w:top w:val="nil"/>
            </w:tcBorders>
            <w:vAlign w:val="bottom"/>
          </w:tcPr>
          <w:p w14:paraId="0BB2E506" w14:textId="77777777" w:rsidR="00361651" w:rsidRDefault="00361651" w:rsidP="009709A2">
            <w:pPr>
              <w:pStyle w:val="IASBTableTNR"/>
            </w:pPr>
            <w:r>
              <w:t>nc = not calculated as there is no indication that the impairment loss may have increased/decreased.</w:t>
            </w:r>
          </w:p>
        </w:tc>
      </w:tr>
    </w:tbl>
    <w:p w14:paraId="0BB2E508" w14:textId="77777777" w:rsidR="00361651" w:rsidRDefault="00361651" w:rsidP="00361651">
      <w:pPr>
        <w:pStyle w:val="IASBNormalnpara"/>
      </w:pPr>
    </w:p>
    <w:p w14:paraId="0BB2E509" w14:textId="77777777" w:rsidR="00361651" w:rsidRDefault="00361651" w:rsidP="00361651">
      <w:pPr>
        <w:pStyle w:val="IASBSectionTitle1NonInd"/>
      </w:pPr>
      <w:r>
        <w:t>Example 6</w:t>
      </w:r>
      <w:r>
        <w:t> </w:t>
      </w:r>
      <w:r>
        <w:t>Treatment of future costs</w:t>
      </w:r>
    </w:p>
    <w:p w14:paraId="0BB2E50A" w14:textId="77777777" w:rsidR="00361651" w:rsidRDefault="00361651" w:rsidP="00361651">
      <w:pPr>
        <w:pStyle w:val="IASBNormal"/>
      </w:pPr>
      <w:r>
        <w:rPr>
          <w:i/>
        </w:rPr>
        <w:t>In this example, tax effects are ignored.</w:t>
      </w:r>
    </w:p>
    <w:p w14:paraId="0BB2E50B" w14:textId="77777777" w:rsidR="00361651" w:rsidRDefault="00361651" w:rsidP="00361651">
      <w:pPr>
        <w:pStyle w:val="IASBSectionTitle3Ind"/>
      </w:pPr>
      <w:r>
        <w:t>Background</w:t>
      </w:r>
    </w:p>
    <w:p w14:paraId="0BB2E50C" w14:textId="77777777" w:rsidR="00361651" w:rsidRDefault="00361651" w:rsidP="00361651">
      <w:pPr>
        <w:pStyle w:val="IASBNormalnpara"/>
      </w:pPr>
      <w:r>
        <w:t>IE54</w:t>
      </w:r>
      <w:r>
        <w:tab/>
        <w:t>At the end of 20X0, entity F tests a machine for impairment. The machine is a cash-generating unit. It is carried at depreciated historical cost and its carrying amount is CU150,000. It has an estimated remaining useful life of 10 years.</w:t>
      </w:r>
    </w:p>
    <w:p w14:paraId="0BB2E50D" w14:textId="77777777" w:rsidR="00361651" w:rsidRDefault="00361651" w:rsidP="00361651">
      <w:pPr>
        <w:pStyle w:val="IASBNormalnpara"/>
      </w:pPr>
      <w:r>
        <w:t>IE55</w:t>
      </w:r>
      <w:r>
        <w:tab/>
        <w:t>The machine’s recoverable amount (ie higher of value in use and fair value less costs of disposal) is determined on the basis of a value in use calculation. Value in use is calculated using a pre-tax discount rate of 14 per cent.</w:t>
      </w:r>
    </w:p>
    <w:p w14:paraId="0BB2E50E" w14:textId="77777777" w:rsidR="00361651" w:rsidRDefault="00361651" w:rsidP="00361651">
      <w:pPr>
        <w:pStyle w:val="IASBNormalnpara"/>
      </w:pPr>
      <w:r>
        <w:t>IE56</w:t>
      </w:r>
      <w:r>
        <w:tab/>
        <w:t xml:space="preserve">Management approved budgets reflect: </w:t>
      </w:r>
    </w:p>
    <w:p w14:paraId="0BB2E50F" w14:textId="77777777" w:rsidR="00361651" w:rsidRDefault="00361651" w:rsidP="00361651">
      <w:pPr>
        <w:pStyle w:val="IASBNormalnparaL1"/>
      </w:pPr>
      <w:r>
        <w:t>(a)</w:t>
      </w:r>
      <w:r>
        <w:tab/>
        <w:t>estimated costs necessary to maintain the level of economic benefit expected to arise from the machine in its current condition; and</w:t>
      </w:r>
    </w:p>
    <w:p w14:paraId="0BB2E510" w14:textId="77777777" w:rsidR="00361651" w:rsidRDefault="00361651" w:rsidP="00361651">
      <w:pPr>
        <w:pStyle w:val="IASBNormalnparaL1"/>
      </w:pPr>
      <w:r>
        <w:t>(b)</w:t>
      </w:r>
      <w:r>
        <w:tab/>
        <w:t>that in 20X4, costs of CU25,000 will be incurred to enhance the machine’s performance by increasing its productive capacity.</w:t>
      </w:r>
    </w:p>
    <w:p w14:paraId="0BB2E511" w14:textId="77777777" w:rsidR="00361651" w:rsidRDefault="00361651" w:rsidP="00361651">
      <w:pPr>
        <w:pStyle w:val="IASBNormalnpara"/>
      </w:pPr>
      <w:r>
        <w:t>IE57</w:t>
      </w:r>
      <w:r>
        <w:tab/>
        <w:t>At the end of 20X4, costs to enhance the machine’s performance are incurred. The machine’s estimated future cash flows reflected in the most recent management approved budgets are given in paragraph IE60 and a current discount rate is the same as at the end of 20X0.</w:t>
      </w:r>
    </w:p>
    <w:p w14:paraId="0BB2E512" w14:textId="77777777" w:rsidR="00361651" w:rsidRDefault="00361651" w:rsidP="00361651">
      <w:pPr>
        <w:pStyle w:val="IASBSectionTitle3Ind"/>
      </w:pPr>
      <w:r>
        <w:t>At the end of 20X0</w:t>
      </w:r>
    </w:p>
    <w:p w14:paraId="0BB2E513" w14:textId="77777777" w:rsidR="00361651" w:rsidRDefault="00361651" w:rsidP="00361651">
      <w:pPr>
        <w:pStyle w:val="IASBNormalnpara"/>
      </w:pPr>
      <w:r>
        <w:tab/>
        <w:t>Schedule 1. Calculation of the machine’s value in use at the end of 20X0</w:t>
      </w:r>
    </w:p>
    <w:p w14:paraId="0BB2E514"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22"/>
      </w:tblPr>
      <w:tblGrid>
        <w:gridCol w:w="5059"/>
        <w:gridCol w:w="1638"/>
        <w:gridCol w:w="455"/>
        <w:gridCol w:w="1092"/>
      </w:tblGrid>
      <w:tr w:rsidR="00361651" w14:paraId="0BB2E518" w14:textId="77777777" w:rsidTr="009709A2">
        <w:trPr>
          <w:cantSplit/>
          <w:tblHeader/>
        </w:trPr>
        <w:tc>
          <w:tcPr>
            <w:tcW w:w="5059" w:type="dxa"/>
          </w:tcPr>
          <w:p w14:paraId="0BB2E515" w14:textId="77777777" w:rsidR="00361651" w:rsidRDefault="00361651" w:rsidP="002D54B2">
            <w:pPr>
              <w:pStyle w:val="IASBTableHeaderArial"/>
              <w:spacing w:after="120"/>
            </w:pPr>
            <w:r>
              <w:rPr>
                <w:b/>
                <w:i/>
              </w:rPr>
              <w:t>Year</w:t>
            </w:r>
          </w:p>
        </w:tc>
        <w:tc>
          <w:tcPr>
            <w:tcW w:w="1638" w:type="dxa"/>
            <w:tcBorders>
              <w:left w:val="nil"/>
            </w:tcBorders>
          </w:tcPr>
          <w:p w14:paraId="0BB2E516" w14:textId="77777777" w:rsidR="00361651" w:rsidRDefault="00361651" w:rsidP="002D54B2">
            <w:pPr>
              <w:pStyle w:val="IASBTableHeaderArial"/>
              <w:spacing w:after="120"/>
              <w:jc w:val="right"/>
            </w:pPr>
            <w:r>
              <w:rPr>
                <w:b/>
                <w:i/>
              </w:rPr>
              <w:t>Future</w:t>
            </w:r>
            <w:r>
              <w:rPr>
                <w:b/>
                <w:i/>
              </w:rPr>
              <w:br/>
              <w:t xml:space="preserve"> cash flows</w:t>
            </w:r>
          </w:p>
        </w:tc>
        <w:tc>
          <w:tcPr>
            <w:tcW w:w="1547" w:type="dxa"/>
            <w:gridSpan w:val="2"/>
            <w:tcBorders>
              <w:left w:val="nil"/>
            </w:tcBorders>
          </w:tcPr>
          <w:p w14:paraId="0BB2E517" w14:textId="77777777" w:rsidR="00361651" w:rsidRDefault="00361651" w:rsidP="002D54B2">
            <w:pPr>
              <w:pStyle w:val="IASBTableHeaderArial"/>
              <w:spacing w:after="120"/>
              <w:jc w:val="right"/>
            </w:pPr>
            <w:r>
              <w:rPr>
                <w:b/>
                <w:i/>
              </w:rPr>
              <w:t>Discounted</w:t>
            </w:r>
            <w:r>
              <w:rPr>
                <w:b/>
                <w:i/>
              </w:rPr>
              <w:br/>
              <w:t>at 14%</w:t>
            </w:r>
          </w:p>
        </w:tc>
      </w:tr>
      <w:tr w:rsidR="00361651" w14:paraId="0BB2E51D" w14:textId="77777777" w:rsidTr="009709A2">
        <w:trPr>
          <w:cantSplit/>
          <w:tblHeader/>
        </w:trPr>
        <w:tc>
          <w:tcPr>
            <w:tcW w:w="5059" w:type="dxa"/>
            <w:tcBorders>
              <w:top w:val="nil"/>
            </w:tcBorders>
            <w:vAlign w:val="bottom"/>
          </w:tcPr>
          <w:p w14:paraId="0BB2E519" w14:textId="77777777" w:rsidR="00361651" w:rsidRDefault="00361651" w:rsidP="002D54B2">
            <w:pPr>
              <w:pStyle w:val="IASBTableHeaderArial"/>
              <w:spacing w:after="120"/>
            </w:pPr>
          </w:p>
        </w:tc>
        <w:tc>
          <w:tcPr>
            <w:tcW w:w="1638" w:type="dxa"/>
            <w:tcBorders>
              <w:top w:val="nil"/>
              <w:left w:val="nil"/>
            </w:tcBorders>
            <w:vAlign w:val="bottom"/>
          </w:tcPr>
          <w:p w14:paraId="0BB2E51A" w14:textId="77777777" w:rsidR="00361651" w:rsidRDefault="00361651" w:rsidP="002D54B2">
            <w:pPr>
              <w:pStyle w:val="IASBTableHeaderArial"/>
              <w:spacing w:after="120"/>
              <w:jc w:val="right"/>
            </w:pPr>
            <w:r>
              <w:rPr>
                <w:b/>
              </w:rPr>
              <w:t>CU</w:t>
            </w:r>
          </w:p>
        </w:tc>
        <w:tc>
          <w:tcPr>
            <w:tcW w:w="455" w:type="dxa"/>
            <w:tcBorders>
              <w:top w:val="nil"/>
              <w:left w:val="nil"/>
            </w:tcBorders>
            <w:vAlign w:val="bottom"/>
          </w:tcPr>
          <w:p w14:paraId="0BB2E51B" w14:textId="77777777" w:rsidR="00361651" w:rsidRDefault="00361651" w:rsidP="002D54B2">
            <w:pPr>
              <w:pStyle w:val="IASBTableHeaderArial"/>
              <w:spacing w:after="120"/>
            </w:pPr>
          </w:p>
        </w:tc>
        <w:tc>
          <w:tcPr>
            <w:tcW w:w="1092" w:type="dxa"/>
            <w:tcBorders>
              <w:top w:val="nil"/>
              <w:left w:val="nil"/>
            </w:tcBorders>
            <w:vAlign w:val="bottom"/>
          </w:tcPr>
          <w:p w14:paraId="0BB2E51C" w14:textId="77777777" w:rsidR="00361651" w:rsidRDefault="00361651" w:rsidP="002D54B2">
            <w:pPr>
              <w:pStyle w:val="IASBTableHeaderArial"/>
              <w:spacing w:after="120"/>
              <w:jc w:val="right"/>
            </w:pPr>
            <w:r>
              <w:rPr>
                <w:b/>
              </w:rPr>
              <w:t>CU</w:t>
            </w:r>
          </w:p>
        </w:tc>
      </w:tr>
      <w:tr w:rsidR="00361651" w14:paraId="0BB2E522" w14:textId="77777777" w:rsidTr="009709A2">
        <w:trPr>
          <w:cantSplit/>
        </w:trPr>
        <w:tc>
          <w:tcPr>
            <w:tcW w:w="5059" w:type="dxa"/>
            <w:tcBorders>
              <w:top w:val="nil"/>
            </w:tcBorders>
            <w:vAlign w:val="bottom"/>
          </w:tcPr>
          <w:p w14:paraId="0BB2E51E" w14:textId="77777777" w:rsidR="00361651" w:rsidRDefault="00361651" w:rsidP="009709A2">
            <w:pPr>
              <w:pStyle w:val="IASBTableArial"/>
            </w:pPr>
            <w:r>
              <w:t>20X1</w:t>
            </w:r>
          </w:p>
        </w:tc>
        <w:tc>
          <w:tcPr>
            <w:tcW w:w="1638" w:type="dxa"/>
            <w:tcBorders>
              <w:top w:val="nil"/>
              <w:left w:val="nil"/>
            </w:tcBorders>
            <w:vAlign w:val="bottom"/>
          </w:tcPr>
          <w:p w14:paraId="0BB2E51F" w14:textId="77777777" w:rsidR="00361651" w:rsidRDefault="00361651" w:rsidP="009709A2">
            <w:pPr>
              <w:pStyle w:val="IASBTableArial"/>
              <w:jc w:val="right"/>
            </w:pPr>
            <w:r>
              <w:t>22,165</w:t>
            </w:r>
            <w:r>
              <w:rPr>
                <w:vertAlign w:val="superscript"/>
              </w:rPr>
              <w:t>(a)</w:t>
            </w:r>
          </w:p>
        </w:tc>
        <w:tc>
          <w:tcPr>
            <w:tcW w:w="455" w:type="dxa"/>
            <w:tcBorders>
              <w:top w:val="nil"/>
              <w:left w:val="nil"/>
            </w:tcBorders>
            <w:vAlign w:val="bottom"/>
          </w:tcPr>
          <w:p w14:paraId="0BB2E520" w14:textId="77777777" w:rsidR="00361651" w:rsidRDefault="00361651" w:rsidP="009709A2">
            <w:pPr>
              <w:pStyle w:val="IASBTableArial"/>
            </w:pPr>
          </w:p>
        </w:tc>
        <w:tc>
          <w:tcPr>
            <w:tcW w:w="1092" w:type="dxa"/>
            <w:tcBorders>
              <w:top w:val="nil"/>
              <w:left w:val="nil"/>
            </w:tcBorders>
            <w:vAlign w:val="bottom"/>
          </w:tcPr>
          <w:p w14:paraId="0BB2E521" w14:textId="77777777" w:rsidR="00361651" w:rsidRDefault="00361651" w:rsidP="009709A2">
            <w:pPr>
              <w:pStyle w:val="IASBTableArial"/>
              <w:jc w:val="right"/>
            </w:pPr>
            <w:r>
              <w:t>19,443</w:t>
            </w:r>
          </w:p>
        </w:tc>
      </w:tr>
      <w:tr w:rsidR="00361651" w14:paraId="0BB2E527" w14:textId="77777777" w:rsidTr="009709A2">
        <w:trPr>
          <w:cantSplit/>
        </w:trPr>
        <w:tc>
          <w:tcPr>
            <w:tcW w:w="5059" w:type="dxa"/>
            <w:tcBorders>
              <w:top w:val="nil"/>
            </w:tcBorders>
            <w:vAlign w:val="bottom"/>
          </w:tcPr>
          <w:p w14:paraId="0BB2E523" w14:textId="77777777" w:rsidR="00361651" w:rsidRDefault="00361651" w:rsidP="009709A2">
            <w:pPr>
              <w:pStyle w:val="IASBTableArial"/>
            </w:pPr>
            <w:r>
              <w:t>20X2</w:t>
            </w:r>
          </w:p>
        </w:tc>
        <w:tc>
          <w:tcPr>
            <w:tcW w:w="1638" w:type="dxa"/>
            <w:tcBorders>
              <w:top w:val="nil"/>
              <w:left w:val="nil"/>
            </w:tcBorders>
            <w:vAlign w:val="bottom"/>
          </w:tcPr>
          <w:p w14:paraId="0BB2E524" w14:textId="77777777" w:rsidR="00361651" w:rsidRDefault="00361651" w:rsidP="009709A2">
            <w:pPr>
              <w:pStyle w:val="IASBTableArial"/>
              <w:jc w:val="right"/>
            </w:pPr>
            <w:r>
              <w:t>21,450</w:t>
            </w:r>
            <w:r>
              <w:rPr>
                <w:vertAlign w:val="superscript"/>
              </w:rPr>
              <w:t>(a)</w:t>
            </w:r>
          </w:p>
        </w:tc>
        <w:tc>
          <w:tcPr>
            <w:tcW w:w="455" w:type="dxa"/>
            <w:tcBorders>
              <w:top w:val="nil"/>
              <w:left w:val="nil"/>
            </w:tcBorders>
            <w:vAlign w:val="bottom"/>
          </w:tcPr>
          <w:p w14:paraId="0BB2E525" w14:textId="77777777" w:rsidR="00361651" w:rsidRDefault="00361651" w:rsidP="009709A2">
            <w:pPr>
              <w:pStyle w:val="IASBTableArial"/>
            </w:pPr>
          </w:p>
        </w:tc>
        <w:tc>
          <w:tcPr>
            <w:tcW w:w="1092" w:type="dxa"/>
            <w:tcBorders>
              <w:top w:val="nil"/>
              <w:left w:val="nil"/>
            </w:tcBorders>
            <w:vAlign w:val="bottom"/>
          </w:tcPr>
          <w:p w14:paraId="0BB2E526" w14:textId="77777777" w:rsidR="00361651" w:rsidRDefault="00361651" w:rsidP="009709A2">
            <w:pPr>
              <w:pStyle w:val="IASBTableArial"/>
              <w:jc w:val="right"/>
            </w:pPr>
            <w:r>
              <w:t>16,505</w:t>
            </w:r>
          </w:p>
        </w:tc>
      </w:tr>
      <w:tr w:rsidR="00361651" w14:paraId="0BB2E52C" w14:textId="77777777" w:rsidTr="009709A2">
        <w:trPr>
          <w:cantSplit/>
        </w:trPr>
        <w:tc>
          <w:tcPr>
            <w:tcW w:w="5059" w:type="dxa"/>
            <w:tcBorders>
              <w:top w:val="nil"/>
            </w:tcBorders>
            <w:vAlign w:val="bottom"/>
          </w:tcPr>
          <w:p w14:paraId="0BB2E528" w14:textId="77777777" w:rsidR="00361651" w:rsidRDefault="00361651" w:rsidP="009709A2">
            <w:pPr>
              <w:pStyle w:val="IASBTableArial"/>
            </w:pPr>
            <w:r>
              <w:t>20X3</w:t>
            </w:r>
          </w:p>
        </w:tc>
        <w:tc>
          <w:tcPr>
            <w:tcW w:w="1638" w:type="dxa"/>
            <w:tcBorders>
              <w:top w:val="nil"/>
              <w:left w:val="nil"/>
            </w:tcBorders>
            <w:vAlign w:val="bottom"/>
          </w:tcPr>
          <w:p w14:paraId="0BB2E529" w14:textId="77777777" w:rsidR="00361651" w:rsidRDefault="00361651" w:rsidP="009709A2">
            <w:pPr>
              <w:pStyle w:val="IASBTableArial"/>
              <w:jc w:val="right"/>
            </w:pPr>
            <w:r>
              <w:t>20,550</w:t>
            </w:r>
            <w:r>
              <w:rPr>
                <w:vertAlign w:val="superscript"/>
              </w:rPr>
              <w:t>(a)</w:t>
            </w:r>
          </w:p>
        </w:tc>
        <w:tc>
          <w:tcPr>
            <w:tcW w:w="455" w:type="dxa"/>
            <w:tcBorders>
              <w:top w:val="nil"/>
              <w:left w:val="nil"/>
            </w:tcBorders>
            <w:vAlign w:val="bottom"/>
          </w:tcPr>
          <w:p w14:paraId="0BB2E52A" w14:textId="77777777" w:rsidR="00361651" w:rsidRDefault="00361651" w:rsidP="009709A2">
            <w:pPr>
              <w:pStyle w:val="IASBTableArial"/>
            </w:pPr>
          </w:p>
        </w:tc>
        <w:tc>
          <w:tcPr>
            <w:tcW w:w="1092" w:type="dxa"/>
            <w:tcBorders>
              <w:top w:val="nil"/>
              <w:left w:val="nil"/>
            </w:tcBorders>
            <w:vAlign w:val="bottom"/>
          </w:tcPr>
          <w:p w14:paraId="0BB2E52B" w14:textId="77777777" w:rsidR="00361651" w:rsidRDefault="00361651" w:rsidP="009709A2">
            <w:pPr>
              <w:pStyle w:val="IASBTableArial"/>
              <w:jc w:val="right"/>
            </w:pPr>
            <w:r>
              <w:t>13,871</w:t>
            </w:r>
          </w:p>
        </w:tc>
      </w:tr>
      <w:tr w:rsidR="00361651" w14:paraId="0BB2E531" w14:textId="77777777" w:rsidTr="009709A2">
        <w:trPr>
          <w:cantSplit/>
        </w:trPr>
        <w:tc>
          <w:tcPr>
            <w:tcW w:w="5059" w:type="dxa"/>
            <w:tcBorders>
              <w:top w:val="nil"/>
            </w:tcBorders>
            <w:vAlign w:val="bottom"/>
          </w:tcPr>
          <w:p w14:paraId="0BB2E52D" w14:textId="77777777" w:rsidR="00361651" w:rsidRDefault="00361651" w:rsidP="009709A2">
            <w:pPr>
              <w:pStyle w:val="IASBTableArial"/>
            </w:pPr>
            <w:r>
              <w:t>20X4</w:t>
            </w:r>
          </w:p>
        </w:tc>
        <w:tc>
          <w:tcPr>
            <w:tcW w:w="1638" w:type="dxa"/>
            <w:tcBorders>
              <w:top w:val="nil"/>
              <w:left w:val="nil"/>
            </w:tcBorders>
            <w:vAlign w:val="bottom"/>
          </w:tcPr>
          <w:p w14:paraId="0BB2E52E" w14:textId="77777777" w:rsidR="00361651" w:rsidRDefault="00361651" w:rsidP="009709A2">
            <w:pPr>
              <w:pStyle w:val="IASBTableArial"/>
              <w:jc w:val="right"/>
            </w:pPr>
            <w:r>
              <w:t>24,725</w:t>
            </w:r>
            <w:r>
              <w:rPr>
                <w:vertAlign w:val="superscript"/>
              </w:rPr>
              <w:t>(a),(b)</w:t>
            </w:r>
          </w:p>
        </w:tc>
        <w:tc>
          <w:tcPr>
            <w:tcW w:w="455" w:type="dxa"/>
            <w:tcBorders>
              <w:top w:val="nil"/>
              <w:left w:val="nil"/>
            </w:tcBorders>
            <w:vAlign w:val="bottom"/>
          </w:tcPr>
          <w:p w14:paraId="0BB2E52F" w14:textId="77777777" w:rsidR="00361651" w:rsidRDefault="00361651" w:rsidP="009709A2">
            <w:pPr>
              <w:pStyle w:val="IASBTableArial"/>
            </w:pPr>
          </w:p>
        </w:tc>
        <w:tc>
          <w:tcPr>
            <w:tcW w:w="1092" w:type="dxa"/>
            <w:tcBorders>
              <w:top w:val="nil"/>
              <w:left w:val="nil"/>
            </w:tcBorders>
            <w:vAlign w:val="bottom"/>
          </w:tcPr>
          <w:p w14:paraId="0BB2E530" w14:textId="77777777" w:rsidR="00361651" w:rsidRDefault="00361651" w:rsidP="009709A2">
            <w:pPr>
              <w:pStyle w:val="IASBTableArial"/>
              <w:jc w:val="right"/>
            </w:pPr>
            <w:r>
              <w:t>14,639</w:t>
            </w:r>
          </w:p>
        </w:tc>
      </w:tr>
      <w:tr w:rsidR="00361651" w14:paraId="0BB2E536" w14:textId="77777777" w:rsidTr="009709A2">
        <w:trPr>
          <w:cantSplit/>
        </w:trPr>
        <w:tc>
          <w:tcPr>
            <w:tcW w:w="5059" w:type="dxa"/>
            <w:tcBorders>
              <w:top w:val="nil"/>
            </w:tcBorders>
            <w:vAlign w:val="bottom"/>
          </w:tcPr>
          <w:p w14:paraId="0BB2E532" w14:textId="77777777" w:rsidR="00361651" w:rsidRDefault="00361651" w:rsidP="009709A2">
            <w:pPr>
              <w:pStyle w:val="IASBTableArial"/>
            </w:pPr>
            <w:r>
              <w:t>20X5</w:t>
            </w:r>
          </w:p>
        </w:tc>
        <w:tc>
          <w:tcPr>
            <w:tcW w:w="1638" w:type="dxa"/>
            <w:tcBorders>
              <w:top w:val="nil"/>
              <w:left w:val="nil"/>
            </w:tcBorders>
            <w:vAlign w:val="bottom"/>
          </w:tcPr>
          <w:p w14:paraId="0BB2E533" w14:textId="77777777" w:rsidR="00361651" w:rsidRDefault="00361651" w:rsidP="009709A2">
            <w:pPr>
              <w:pStyle w:val="IASBTableArial"/>
              <w:jc w:val="right"/>
            </w:pPr>
            <w:r>
              <w:t>25,325</w:t>
            </w:r>
            <w:r>
              <w:rPr>
                <w:vertAlign w:val="superscript"/>
              </w:rPr>
              <w:t>(a),(c)</w:t>
            </w:r>
          </w:p>
        </w:tc>
        <w:tc>
          <w:tcPr>
            <w:tcW w:w="455" w:type="dxa"/>
            <w:tcBorders>
              <w:top w:val="nil"/>
              <w:left w:val="nil"/>
            </w:tcBorders>
            <w:vAlign w:val="bottom"/>
          </w:tcPr>
          <w:p w14:paraId="0BB2E534" w14:textId="77777777" w:rsidR="00361651" w:rsidRDefault="00361651" w:rsidP="009709A2">
            <w:pPr>
              <w:pStyle w:val="IASBTableArial"/>
            </w:pPr>
          </w:p>
        </w:tc>
        <w:tc>
          <w:tcPr>
            <w:tcW w:w="1092" w:type="dxa"/>
            <w:tcBorders>
              <w:top w:val="nil"/>
              <w:left w:val="nil"/>
            </w:tcBorders>
            <w:vAlign w:val="bottom"/>
          </w:tcPr>
          <w:p w14:paraId="0BB2E535" w14:textId="77777777" w:rsidR="00361651" w:rsidRDefault="00361651" w:rsidP="009709A2">
            <w:pPr>
              <w:pStyle w:val="IASBTableArial"/>
              <w:jc w:val="right"/>
            </w:pPr>
            <w:r>
              <w:t>13,153</w:t>
            </w:r>
          </w:p>
        </w:tc>
      </w:tr>
      <w:tr w:rsidR="00361651" w14:paraId="0BB2E53B" w14:textId="77777777" w:rsidTr="009709A2">
        <w:trPr>
          <w:cantSplit/>
        </w:trPr>
        <w:tc>
          <w:tcPr>
            <w:tcW w:w="5059" w:type="dxa"/>
            <w:tcBorders>
              <w:top w:val="nil"/>
            </w:tcBorders>
            <w:vAlign w:val="bottom"/>
          </w:tcPr>
          <w:p w14:paraId="0BB2E537" w14:textId="77777777" w:rsidR="00361651" w:rsidRDefault="00361651" w:rsidP="009709A2">
            <w:pPr>
              <w:pStyle w:val="IASBTableArial"/>
            </w:pPr>
            <w:r>
              <w:t>20X6</w:t>
            </w:r>
          </w:p>
        </w:tc>
        <w:tc>
          <w:tcPr>
            <w:tcW w:w="1638" w:type="dxa"/>
            <w:tcBorders>
              <w:top w:val="nil"/>
              <w:left w:val="nil"/>
            </w:tcBorders>
            <w:vAlign w:val="bottom"/>
          </w:tcPr>
          <w:p w14:paraId="0BB2E538" w14:textId="77777777" w:rsidR="00361651" w:rsidRDefault="00361651" w:rsidP="009709A2">
            <w:pPr>
              <w:pStyle w:val="IASBTableArial"/>
              <w:jc w:val="right"/>
            </w:pPr>
            <w:r>
              <w:t>24,825</w:t>
            </w:r>
            <w:r>
              <w:rPr>
                <w:vertAlign w:val="superscript"/>
              </w:rPr>
              <w:t>(a),(c)</w:t>
            </w:r>
          </w:p>
        </w:tc>
        <w:tc>
          <w:tcPr>
            <w:tcW w:w="455" w:type="dxa"/>
            <w:tcBorders>
              <w:top w:val="nil"/>
              <w:left w:val="nil"/>
            </w:tcBorders>
            <w:vAlign w:val="bottom"/>
          </w:tcPr>
          <w:p w14:paraId="0BB2E539" w14:textId="77777777" w:rsidR="00361651" w:rsidRDefault="00361651" w:rsidP="009709A2">
            <w:pPr>
              <w:pStyle w:val="IASBTableArial"/>
            </w:pPr>
          </w:p>
        </w:tc>
        <w:tc>
          <w:tcPr>
            <w:tcW w:w="1092" w:type="dxa"/>
            <w:tcBorders>
              <w:top w:val="nil"/>
              <w:left w:val="nil"/>
            </w:tcBorders>
            <w:vAlign w:val="bottom"/>
          </w:tcPr>
          <w:p w14:paraId="0BB2E53A" w14:textId="77777777" w:rsidR="00361651" w:rsidRDefault="00361651" w:rsidP="009709A2">
            <w:pPr>
              <w:pStyle w:val="IASBTableArial"/>
              <w:jc w:val="right"/>
            </w:pPr>
            <w:r>
              <w:t>11,310</w:t>
            </w:r>
          </w:p>
        </w:tc>
      </w:tr>
      <w:tr w:rsidR="00361651" w14:paraId="0BB2E540" w14:textId="77777777" w:rsidTr="009709A2">
        <w:trPr>
          <w:cantSplit/>
        </w:trPr>
        <w:tc>
          <w:tcPr>
            <w:tcW w:w="5059" w:type="dxa"/>
            <w:tcBorders>
              <w:top w:val="nil"/>
            </w:tcBorders>
            <w:vAlign w:val="bottom"/>
          </w:tcPr>
          <w:p w14:paraId="0BB2E53C" w14:textId="77777777" w:rsidR="00361651" w:rsidRDefault="00361651" w:rsidP="009709A2">
            <w:pPr>
              <w:pStyle w:val="IASBTableArial"/>
            </w:pPr>
            <w:r>
              <w:t>20X7</w:t>
            </w:r>
          </w:p>
        </w:tc>
        <w:tc>
          <w:tcPr>
            <w:tcW w:w="1638" w:type="dxa"/>
            <w:tcBorders>
              <w:top w:val="nil"/>
              <w:left w:val="nil"/>
            </w:tcBorders>
            <w:vAlign w:val="bottom"/>
          </w:tcPr>
          <w:p w14:paraId="0BB2E53D" w14:textId="77777777" w:rsidR="00361651" w:rsidRDefault="00361651" w:rsidP="009709A2">
            <w:pPr>
              <w:pStyle w:val="IASBTableArial"/>
              <w:jc w:val="right"/>
            </w:pPr>
            <w:r>
              <w:t>24,123</w:t>
            </w:r>
            <w:r>
              <w:rPr>
                <w:vertAlign w:val="superscript"/>
              </w:rPr>
              <w:t>(a),(c)</w:t>
            </w:r>
          </w:p>
        </w:tc>
        <w:tc>
          <w:tcPr>
            <w:tcW w:w="455" w:type="dxa"/>
            <w:tcBorders>
              <w:top w:val="nil"/>
              <w:left w:val="nil"/>
            </w:tcBorders>
            <w:vAlign w:val="bottom"/>
          </w:tcPr>
          <w:p w14:paraId="0BB2E53E" w14:textId="77777777" w:rsidR="00361651" w:rsidRDefault="00361651" w:rsidP="009709A2">
            <w:pPr>
              <w:pStyle w:val="IASBTableArial"/>
            </w:pPr>
          </w:p>
        </w:tc>
        <w:tc>
          <w:tcPr>
            <w:tcW w:w="1092" w:type="dxa"/>
            <w:tcBorders>
              <w:top w:val="nil"/>
              <w:left w:val="nil"/>
            </w:tcBorders>
            <w:vAlign w:val="bottom"/>
          </w:tcPr>
          <w:p w14:paraId="0BB2E53F" w14:textId="77777777" w:rsidR="00361651" w:rsidRDefault="00361651" w:rsidP="009709A2">
            <w:pPr>
              <w:pStyle w:val="IASBTableArial"/>
              <w:jc w:val="right"/>
            </w:pPr>
            <w:r>
              <w:t>9,640</w:t>
            </w:r>
          </w:p>
        </w:tc>
      </w:tr>
      <w:tr w:rsidR="00361651" w14:paraId="0BB2E545" w14:textId="77777777" w:rsidTr="009709A2">
        <w:trPr>
          <w:cantSplit/>
        </w:trPr>
        <w:tc>
          <w:tcPr>
            <w:tcW w:w="5059" w:type="dxa"/>
            <w:tcBorders>
              <w:top w:val="nil"/>
            </w:tcBorders>
            <w:vAlign w:val="bottom"/>
          </w:tcPr>
          <w:p w14:paraId="0BB2E541" w14:textId="77777777" w:rsidR="00361651" w:rsidRDefault="00361651" w:rsidP="009709A2">
            <w:pPr>
              <w:pStyle w:val="IASBTableArial"/>
            </w:pPr>
            <w:r>
              <w:lastRenderedPageBreak/>
              <w:t>20X8</w:t>
            </w:r>
          </w:p>
        </w:tc>
        <w:tc>
          <w:tcPr>
            <w:tcW w:w="1638" w:type="dxa"/>
            <w:tcBorders>
              <w:top w:val="nil"/>
              <w:left w:val="nil"/>
            </w:tcBorders>
            <w:vAlign w:val="bottom"/>
          </w:tcPr>
          <w:p w14:paraId="0BB2E542" w14:textId="77777777" w:rsidR="00361651" w:rsidRDefault="00361651" w:rsidP="009709A2">
            <w:pPr>
              <w:pStyle w:val="IASBTableArial"/>
              <w:jc w:val="right"/>
            </w:pPr>
            <w:r>
              <w:t>25,533</w:t>
            </w:r>
            <w:r>
              <w:rPr>
                <w:vertAlign w:val="superscript"/>
              </w:rPr>
              <w:t>(a),(c)</w:t>
            </w:r>
          </w:p>
        </w:tc>
        <w:tc>
          <w:tcPr>
            <w:tcW w:w="455" w:type="dxa"/>
            <w:tcBorders>
              <w:top w:val="nil"/>
              <w:left w:val="nil"/>
            </w:tcBorders>
            <w:vAlign w:val="bottom"/>
          </w:tcPr>
          <w:p w14:paraId="0BB2E543" w14:textId="77777777" w:rsidR="00361651" w:rsidRDefault="00361651" w:rsidP="009709A2">
            <w:pPr>
              <w:pStyle w:val="IASBTableArial"/>
            </w:pPr>
          </w:p>
        </w:tc>
        <w:tc>
          <w:tcPr>
            <w:tcW w:w="1092" w:type="dxa"/>
            <w:tcBorders>
              <w:top w:val="nil"/>
              <w:left w:val="nil"/>
            </w:tcBorders>
            <w:vAlign w:val="bottom"/>
          </w:tcPr>
          <w:p w14:paraId="0BB2E544" w14:textId="77777777" w:rsidR="00361651" w:rsidRDefault="00361651" w:rsidP="009709A2">
            <w:pPr>
              <w:pStyle w:val="IASBTableArial"/>
              <w:jc w:val="right"/>
            </w:pPr>
            <w:r>
              <w:t>8,951</w:t>
            </w:r>
          </w:p>
        </w:tc>
      </w:tr>
      <w:tr w:rsidR="00361651" w14:paraId="0BB2E54A" w14:textId="77777777" w:rsidTr="009709A2">
        <w:trPr>
          <w:cantSplit/>
        </w:trPr>
        <w:tc>
          <w:tcPr>
            <w:tcW w:w="5059" w:type="dxa"/>
            <w:tcBorders>
              <w:top w:val="nil"/>
            </w:tcBorders>
            <w:vAlign w:val="bottom"/>
          </w:tcPr>
          <w:p w14:paraId="0BB2E546" w14:textId="77777777" w:rsidR="00361651" w:rsidRDefault="00361651" w:rsidP="009709A2">
            <w:pPr>
              <w:pStyle w:val="IASBTableArial"/>
            </w:pPr>
            <w:r>
              <w:t>20X9</w:t>
            </w:r>
          </w:p>
        </w:tc>
        <w:tc>
          <w:tcPr>
            <w:tcW w:w="1638" w:type="dxa"/>
            <w:tcBorders>
              <w:top w:val="nil"/>
              <w:left w:val="nil"/>
            </w:tcBorders>
            <w:vAlign w:val="bottom"/>
          </w:tcPr>
          <w:p w14:paraId="0BB2E547" w14:textId="77777777" w:rsidR="00361651" w:rsidRDefault="00361651" w:rsidP="009709A2">
            <w:pPr>
              <w:pStyle w:val="IASBTableArial"/>
              <w:jc w:val="right"/>
            </w:pPr>
            <w:r>
              <w:t>24,234</w:t>
            </w:r>
            <w:r>
              <w:rPr>
                <w:vertAlign w:val="superscript"/>
              </w:rPr>
              <w:t>(a),(c)</w:t>
            </w:r>
          </w:p>
        </w:tc>
        <w:tc>
          <w:tcPr>
            <w:tcW w:w="455" w:type="dxa"/>
            <w:tcBorders>
              <w:top w:val="nil"/>
              <w:left w:val="nil"/>
            </w:tcBorders>
            <w:vAlign w:val="bottom"/>
          </w:tcPr>
          <w:p w14:paraId="0BB2E548" w14:textId="77777777" w:rsidR="00361651" w:rsidRDefault="00361651" w:rsidP="009709A2">
            <w:pPr>
              <w:pStyle w:val="IASBTableArial"/>
            </w:pPr>
          </w:p>
        </w:tc>
        <w:tc>
          <w:tcPr>
            <w:tcW w:w="1092" w:type="dxa"/>
            <w:tcBorders>
              <w:top w:val="nil"/>
              <w:left w:val="nil"/>
            </w:tcBorders>
            <w:vAlign w:val="bottom"/>
          </w:tcPr>
          <w:p w14:paraId="0BB2E549" w14:textId="77777777" w:rsidR="00361651" w:rsidRDefault="00361651" w:rsidP="009709A2">
            <w:pPr>
              <w:pStyle w:val="IASBTableArial"/>
              <w:jc w:val="right"/>
            </w:pPr>
            <w:r>
              <w:t>7,452</w:t>
            </w:r>
          </w:p>
        </w:tc>
      </w:tr>
      <w:tr w:rsidR="00361651" w14:paraId="0BB2E54F" w14:textId="77777777" w:rsidTr="009709A2">
        <w:trPr>
          <w:cantSplit/>
        </w:trPr>
        <w:tc>
          <w:tcPr>
            <w:tcW w:w="5059" w:type="dxa"/>
            <w:tcBorders>
              <w:top w:val="nil"/>
            </w:tcBorders>
            <w:vAlign w:val="bottom"/>
          </w:tcPr>
          <w:p w14:paraId="0BB2E54B" w14:textId="77777777" w:rsidR="00361651" w:rsidRDefault="00361651" w:rsidP="009709A2">
            <w:pPr>
              <w:pStyle w:val="IASBTableArial"/>
            </w:pPr>
            <w:r>
              <w:t>20X10</w:t>
            </w:r>
          </w:p>
        </w:tc>
        <w:tc>
          <w:tcPr>
            <w:tcW w:w="1638" w:type="dxa"/>
            <w:tcBorders>
              <w:top w:val="nil"/>
              <w:left w:val="nil"/>
            </w:tcBorders>
            <w:vAlign w:val="bottom"/>
          </w:tcPr>
          <w:p w14:paraId="0BB2E54C" w14:textId="77777777" w:rsidR="00361651" w:rsidRDefault="00361651" w:rsidP="009709A2">
            <w:pPr>
              <w:pStyle w:val="IASBTableArial"/>
              <w:jc w:val="right"/>
            </w:pPr>
            <w:r>
              <w:t>22,850</w:t>
            </w:r>
            <w:r>
              <w:rPr>
                <w:vertAlign w:val="superscript"/>
              </w:rPr>
              <w:t>(a),(c)</w:t>
            </w:r>
          </w:p>
        </w:tc>
        <w:tc>
          <w:tcPr>
            <w:tcW w:w="455" w:type="dxa"/>
            <w:tcBorders>
              <w:top w:val="nil"/>
              <w:left w:val="nil"/>
            </w:tcBorders>
            <w:vAlign w:val="bottom"/>
          </w:tcPr>
          <w:p w14:paraId="0BB2E54D" w14:textId="77777777" w:rsidR="00361651" w:rsidRDefault="00361651" w:rsidP="009709A2">
            <w:pPr>
              <w:pStyle w:val="IASBTableArial"/>
            </w:pPr>
          </w:p>
        </w:tc>
        <w:tc>
          <w:tcPr>
            <w:tcW w:w="1092" w:type="dxa"/>
            <w:tcBorders>
              <w:top w:val="nil"/>
              <w:left w:val="nil"/>
              <w:bottom w:val="single" w:sz="4" w:space="0" w:color="auto"/>
            </w:tcBorders>
            <w:vAlign w:val="bottom"/>
          </w:tcPr>
          <w:p w14:paraId="0BB2E54E" w14:textId="77777777" w:rsidR="00361651" w:rsidRDefault="00361651" w:rsidP="009709A2">
            <w:pPr>
              <w:pStyle w:val="IASBTableArial"/>
              <w:jc w:val="right"/>
            </w:pPr>
            <w:r>
              <w:t>6,164</w:t>
            </w:r>
          </w:p>
        </w:tc>
      </w:tr>
      <w:tr w:rsidR="00361651" w14:paraId="0BB2E554" w14:textId="77777777" w:rsidTr="009709A2">
        <w:trPr>
          <w:cantSplit/>
        </w:trPr>
        <w:tc>
          <w:tcPr>
            <w:tcW w:w="5059" w:type="dxa"/>
            <w:tcBorders>
              <w:top w:val="nil"/>
            </w:tcBorders>
          </w:tcPr>
          <w:p w14:paraId="0BB2E550" w14:textId="77777777" w:rsidR="00361651" w:rsidRDefault="00361651" w:rsidP="009709A2">
            <w:pPr>
              <w:pStyle w:val="IASBTableArial"/>
            </w:pPr>
            <w:r>
              <w:t>Value in use</w:t>
            </w:r>
          </w:p>
        </w:tc>
        <w:tc>
          <w:tcPr>
            <w:tcW w:w="1638" w:type="dxa"/>
            <w:tcBorders>
              <w:top w:val="nil"/>
              <w:left w:val="nil"/>
            </w:tcBorders>
            <w:vAlign w:val="bottom"/>
          </w:tcPr>
          <w:p w14:paraId="0BB2E551" w14:textId="77777777" w:rsidR="00361651" w:rsidRDefault="00361651" w:rsidP="009709A2">
            <w:pPr>
              <w:pStyle w:val="IASBTableArial"/>
            </w:pPr>
          </w:p>
        </w:tc>
        <w:tc>
          <w:tcPr>
            <w:tcW w:w="455" w:type="dxa"/>
            <w:tcBorders>
              <w:top w:val="nil"/>
              <w:left w:val="nil"/>
            </w:tcBorders>
            <w:vAlign w:val="bottom"/>
          </w:tcPr>
          <w:p w14:paraId="0BB2E552" w14:textId="77777777" w:rsidR="00361651" w:rsidRDefault="00361651" w:rsidP="009709A2">
            <w:pPr>
              <w:pStyle w:val="IASBTableArial"/>
            </w:pPr>
          </w:p>
        </w:tc>
        <w:tc>
          <w:tcPr>
            <w:tcW w:w="1092" w:type="dxa"/>
            <w:tcBorders>
              <w:top w:val="nil"/>
              <w:left w:val="nil"/>
              <w:bottom w:val="double" w:sz="4" w:space="0" w:color="auto"/>
            </w:tcBorders>
            <w:vAlign w:val="bottom"/>
          </w:tcPr>
          <w:p w14:paraId="0BB2E553" w14:textId="77777777" w:rsidR="00361651" w:rsidRDefault="00361651" w:rsidP="009709A2">
            <w:pPr>
              <w:pStyle w:val="IASBTableArial"/>
              <w:jc w:val="right"/>
            </w:pPr>
            <w:r>
              <w:t>121,128</w:t>
            </w:r>
          </w:p>
        </w:tc>
      </w:tr>
      <w:tr w:rsidR="00361651" w14:paraId="0BB2E556" w14:textId="77777777" w:rsidTr="009709A2">
        <w:trPr>
          <w:cantSplit/>
        </w:trPr>
        <w:tc>
          <w:tcPr>
            <w:tcW w:w="8244" w:type="dxa"/>
            <w:gridSpan w:val="4"/>
            <w:tcBorders>
              <w:top w:val="nil"/>
            </w:tcBorders>
            <w:vAlign w:val="bottom"/>
          </w:tcPr>
          <w:p w14:paraId="0BB2E555" w14:textId="77777777" w:rsidR="00361651" w:rsidRDefault="00361651" w:rsidP="009709A2">
            <w:pPr>
              <w:pStyle w:val="IASBTableArial"/>
            </w:pPr>
          </w:p>
        </w:tc>
      </w:tr>
      <w:tr w:rsidR="00361651" w14:paraId="0BB2E55A" w14:textId="77777777" w:rsidTr="009709A2">
        <w:trPr>
          <w:cantSplit/>
        </w:trPr>
        <w:tc>
          <w:tcPr>
            <w:tcW w:w="8244" w:type="dxa"/>
            <w:gridSpan w:val="4"/>
            <w:tcBorders>
              <w:top w:val="nil"/>
            </w:tcBorders>
            <w:vAlign w:val="bottom"/>
          </w:tcPr>
          <w:p w14:paraId="0BB2E557" w14:textId="77777777" w:rsidR="00361651" w:rsidRDefault="00361651" w:rsidP="00936E62">
            <w:pPr>
              <w:pStyle w:val="IASBTableTNR"/>
              <w:numPr>
                <w:ilvl w:val="0"/>
                <w:numId w:val="1"/>
              </w:numPr>
              <w:ind w:left="425" w:hanging="397"/>
              <w:rPr>
                <w:sz w:val="16"/>
              </w:rPr>
            </w:pPr>
            <w:r>
              <w:rPr>
                <w:rStyle w:val="FootnoteReference"/>
                <w:sz w:val="16"/>
                <w:vertAlign w:val="baseline"/>
              </w:rPr>
              <w:t>Includes estimated costs necessary to maintain the level of economic benefit expected to arise from the machine in its current condition.</w:t>
            </w:r>
          </w:p>
          <w:p w14:paraId="0BB2E558" w14:textId="77777777" w:rsidR="00361651" w:rsidRPr="008005F0" w:rsidRDefault="00361651" w:rsidP="00936E62">
            <w:pPr>
              <w:pStyle w:val="IASBTableTNR"/>
              <w:numPr>
                <w:ilvl w:val="0"/>
                <w:numId w:val="1"/>
              </w:numPr>
              <w:spacing w:before="0"/>
              <w:ind w:left="425" w:hanging="397"/>
            </w:pPr>
            <w:r>
              <w:rPr>
                <w:rStyle w:val="FootnoteReference"/>
                <w:sz w:val="16"/>
                <w:vertAlign w:val="baseline"/>
              </w:rPr>
              <w:t>Excludes estimated costs to enhance the machine’s performance reflected in management budgets.</w:t>
            </w:r>
          </w:p>
          <w:p w14:paraId="0BB2E559" w14:textId="77777777" w:rsidR="00361651" w:rsidRDefault="00361651" w:rsidP="00936E62">
            <w:pPr>
              <w:pStyle w:val="IASBTableTNR"/>
              <w:numPr>
                <w:ilvl w:val="0"/>
                <w:numId w:val="1"/>
              </w:numPr>
              <w:spacing w:before="0"/>
              <w:ind w:left="425" w:hanging="397"/>
            </w:pPr>
            <w:r>
              <w:rPr>
                <w:rStyle w:val="FootnoteReference"/>
                <w:sz w:val="16"/>
                <w:vertAlign w:val="baseline"/>
              </w:rPr>
              <w:t>Excludes estimated benefits expected from enhancing the machine’s performance reflected in management budgets.</w:t>
            </w:r>
          </w:p>
        </w:tc>
      </w:tr>
    </w:tbl>
    <w:p w14:paraId="0BB2E55B" w14:textId="77777777" w:rsidR="00361651" w:rsidRDefault="00361651" w:rsidP="00361651">
      <w:pPr>
        <w:pStyle w:val="IASBNormalnpara"/>
      </w:pPr>
    </w:p>
    <w:p w14:paraId="0BB2E55C" w14:textId="77777777" w:rsidR="00361651" w:rsidRDefault="00361651" w:rsidP="00361651">
      <w:pPr>
        <w:pStyle w:val="IASBNormalnpara"/>
      </w:pPr>
      <w:r>
        <w:t>IE58</w:t>
      </w:r>
      <w:r>
        <w:tab/>
        <w:t xml:space="preserve">The machine’s recoverable amount (value in use) is less than its carrying amount. Therefore, F recognises an impairment loss for the machine. </w:t>
      </w:r>
    </w:p>
    <w:p w14:paraId="0BB2E55D" w14:textId="77777777" w:rsidR="00361651" w:rsidRDefault="00361651" w:rsidP="00361651">
      <w:pPr>
        <w:pStyle w:val="IASBNormalnparaP"/>
      </w:pPr>
      <w:r>
        <w:t>Schedule 2. Calculation of the impairment loss at the end of 20X0</w:t>
      </w:r>
    </w:p>
    <w:p w14:paraId="0BB2E55E"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23"/>
      </w:tblPr>
      <w:tblGrid>
        <w:gridCol w:w="7152"/>
        <w:gridCol w:w="1092"/>
      </w:tblGrid>
      <w:tr w:rsidR="00361651" w14:paraId="0BB2E560" w14:textId="77777777" w:rsidTr="009709A2">
        <w:trPr>
          <w:cantSplit/>
          <w:tblHeader/>
        </w:trPr>
        <w:tc>
          <w:tcPr>
            <w:tcW w:w="8244" w:type="dxa"/>
            <w:gridSpan w:val="2"/>
          </w:tcPr>
          <w:p w14:paraId="0BB2E55F" w14:textId="77777777" w:rsidR="00361651" w:rsidRDefault="00361651" w:rsidP="002D54B2">
            <w:pPr>
              <w:pStyle w:val="IASBTableHeaderArial"/>
              <w:spacing w:after="120"/>
              <w:jc w:val="right"/>
            </w:pPr>
            <w:r>
              <w:rPr>
                <w:b/>
                <w:i/>
              </w:rPr>
              <w:t>Machine</w:t>
            </w:r>
          </w:p>
        </w:tc>
      </w:tr>
      <w:tr w:rsidR="00361651" w14:paraId="0BB2E563" w14:textId="77777777" w:rsidTr="009709A2">
        <w:trPr>
          <w:cantSplit/>
          <w:tblHeader/>
        </w:trPr>
        <w:tc>
          <w:tcPr>
            <w:tcW w:w="7152" w:type="dxa"/>
            <w:tcBorders>
              <w:top w:val="nil"/>
            </w:tcBorders>
            <w:vAlign w:val="bottom"/>
          </w:tcPr>
          <w:p w14:paraId="0BB2E561" w14:textId="77777777" w:rsidR="00361651" w:rsidRDefault="00361651" w:rsidP="002D54B2">
            <w:pPr>
              <w:pStyle w:val="IASBTableHeaderArial"/>
              <w:spacing w:after="120"/>
            </w:pPr>
          </w:p>
        </w:tc>
        <w:tc>
          <w:tcPr>
            <w:tcW w:w="1092" w:type="dxa"/>
            <w:tcBorders>
              <w:top w:val="nil"/>
              <w:left w:val="nil"/>
            </w:tcBorders>
          </w:tcPr>
          <w:p w14:paraId="0BB2E562" w14:textId="77777777" w:rsidR="00361651" w:rsidRDefault="00361651" w:rsidP="002D54B2">
            <w:pPr>
              <w:pStyle w:val="IASBTableHeaderArial"/>
              <w:spacing w:after="120"/>
              <w:jc w:val="right"/>
            </w:pPr>
            <w:r>
              <w:rPr>
                <w:b/>
              </w:rPr>
              <w:t>CU</w:t>
            </w:r>
          </w:p>
        </w:tc>
      </w:tr>
      <w:tr w:rsidR="00361651" w14:paraId="0BB2E566" w14:textId="77777777" w:rsidTr="009709A2">
        <w:trPr>
          <w:cantSplit/>
        </w:trPr>
        <w:tc>
          <w:tcPr>
            <w:tcW w:w="7152" w:type="dxa"/>
            <w:tcBorders>
              <w:top w:val="nil"/>
            </w:tcBorders>
            <w:vAlign w:val="bottom"/>
          </w:tcPr>
          <w:p w14:paraId="0BB2E564" w14:textId="77777777" w:rsidR="00361651" w:rsidRDefault="00361651" w:rsidP="009709A2">
            <w:pPr>
              <w:pStyle w:val="IASBTableArial"/>
            </w:pPr>
            <w:r>
              <w:t>Carrying amount before impairment loss</w:t>
            </w:r>
          </w:p>
        </w:tc>
        <w:tc>
          <w:tcPr>
            <w:tcW w:w="1092" w:type="dxa"/>
            <w:tcBorders>
              <w:top w:val="nil"/>
              <w:left w:val="nil"/>
            </w:tcBorders>
            <w:vAlign w:val="bottom"/>
          </w:tcPr>
          <w:p w14:paraId="0BB2E565" w14:textId="77777777" w:rsidR="00361651" w:rsidRDefault="00361651" w:rsidP="009709A2">
            <w:pPr>
              <w:pStyle w:val="IASBTableArial"/>
              <w:jc w:val="right"/>
            </w:pPr>
            <w:r>
              <w:t>150,000</w:t>
            </w:r>
          </w:p>
        </w:tc>
      </w:tr>
      <w:tr w:rsidR="00361651" w14:paraId="0BB2E569" w14:textId="77777777" w:rsidTr="009709A2">
        <w:trPr>
          <w:cantSplit/>
        </w:trPr>
        <w:tc>
          <w:tcPr>
            <w:tcW w:w="7152" w:type="dxa"/>
            <w:tcBorders>
              <w:top w:val="nil"/>
            </w:tcBorders>
          </w:tcPr>
          <w:p w14:paraId="0BB2E567" w14:textId="77777777" w:rsidR="00361651" w:rsidRDefault="00361651" w:rsidP="009709A2">
            <w:pPr>
              <w:pStyle w:val="IASBTableArial"/>
            </w:pPr>
            <w:r>
              <w:t>Recoverable amount (Schedule 1)</w:t>
            </w:r>
          </w:p>
        </w:tc>
        <w:tc>
          <w:tcPr>
            <w:tcW w:w="1092" w:type="dxa"/>
            <w:tcBorders>
              <w:top w:val="nil"/>
              <w:left w:val="nil"/>
              <w:bottom w:val="single" w:sz="4" w:space="0" w:color="auto"/>
            </w:tcBorders>
            <w:vAlign w:val="bottom"/>
          </w:tcPr>
          <w:p w14:paraId="0BB2E568" w14:textId="77777777" w:rsidR="00361651" w:rsidRDefault="00361651" w:rsidP="009709A2">
            <w:pPr>
              <w:pStyle w:val="IASBTableArial"/>
              <w:jc w:val="right"/>
            </w:pPr>
            <w:r>
              <w:t>121,128</w:t>
            </w:r>
          </w:p>
        </w:tc>
      </w:tr>
      <w:tr w:rsidR="00361651" w14:paraId="0BB2E56C" w14:textId="77777777" w:rsidTr="009709A2">
        <w:trPr>
          <w:cantSplit/>
        </w:trPr>
        <w:tc>
          <w:tcPr>
            <w:tcW w:w="7152" w:type="dxa"/>
            <w:tcBorders>
              <w:top w:val="nil"/>
            </w:tcBorders>
            <w:vAlign w:val="bottom"/>
          </w:tcPr>
          <w:p w14:paraId="0BB2E56A" w14:textId="77777777" w:rsidR="00361651" w:rsidRDefault="00361651" w:rsidP="009709A2">
            <w:pPr>
              <w:pStyle w:val="IASBTableArial"/>
            </w:pPr>
            <w:r>
              <w:t>Impairment loss</w:t>
            </w:r>
          </w:p>
        </w:tc>
        <w:tc>
          <w:tcPr>
            <w:tcW w:w="1092" w:type="dxa"/>
            <w:tcBorders>
              <w:top w:val="nil"/>
              <w:left w:val="nil"/>
              <w:bottom w:val="double" w:sz="4" w:space="0" w:color="auto"/>
            </w:tcBorders>
            <w:vAlign w:val="bottom"/>
          </w:tcPr>
          <w:p w14:paraId="0BB2E56B" w14:textId="77777777" w:rsidR="00361651" w:rsidRDefault="00361651" w:rsidP="009709A2">
            <w:pPr>
              <w:pStyle w:val="IASBTableArial"/>
              <w:jc w:val="right"/>
            </w:pPr>
            <w:r>
              <w:t>(28,872)</w:t>
            </w:r>
          </w:p>
        </w:tc>
      </w:tr>
      <w:tr w:rsidR="00361651" w14:paraId="0BB2E56F" w14:textId="77777777" w:rsidTr="009709A2">
        <w:trPr>
          <w:cantSplit/>
        </w:trPr>
        <w:tc>
          <w:tcPr>
            <w:tcW w:w="7152" w:type="dxa"/>
            <w:tcBorders>
              <w:top w:val="nil"/>
            </w:tcBorders>
            <w:vAlign w:val="bottom"/>
          </w:tcPr>
          <w:p w14:paraId="0BB2E56D" w14:textId="77777777" w:rsidR="00361651" w:rsidRDefault="00361651" w:rsidP="009709A2">
            <w:pPr>
              <w:pStyle w:val="IASBTableArial"/>
            </w:pPr>
            <w:r>
              <w:t>Carrying amount after impairment loss</w:t>
            </w:r>
          </w:p>
        </w:tc>
        <w:tc>
          <w:tcPr>
            <w:tcW w:w="1092" w:type="dxa"/>
            <w:tcBorders>
              <w:top w:val="nil"/>
              <w:left w:val="nil"/>
              <w:bottom w:val="double" w:sz="4" w:space="0" w:color="auto"/>
            </w:tcBorders>
            <w:vAlign w:val="bottom"/>
          </w:tcPr>
          <w:p w14:paraId="0BB2E56E" w14:textId="77777777" w:rsidR="00361651" w:rsidRDefault="00361651" w:rsidP="009709A2">
            <w:pPr>
              <w:pStyle w:val="IASBTableArial"/>
              <w:jc w:val="right"/>
            </w:pPr>
            <w:r>
              <w:t>121,128</w:t>
            </w:r>
          </w:p>
        </w:tc>
      </w:tr>
    </w:tbl>
    <w:p w14:paraId="0BB2E570" w14:textId="77777777" w:rsidR="00361651" w:rsidRDefault="00361651" w:rsidP="00361651">
      <w:pPr>
        <w:pStyle w:val="IASBNormalnpara"/>
      </w:pPr>
    </w:p>
    <w:p w14:paraId="0BB2E571" w14:textId="77777777" w:rsidR="00361651" w:rsidRDefault="00361651" w:rsidP="00361651">
      <w:pPr>
        <w:pStyle w:val="IASBSectionTitle3Ind"/>
      </w:pPr>
      <w:r>
        <w:t>Years 20X1–20X3</w:t>
      </w:r>
    </w:p>
    <w:p w14:paraId="0BB2E572" w14:textId="77777777" w:rsidR="00361651" w:rsidRDefault="00361651" w:rsidP="00361651">
      <w:pPr>
        <w:pStyle w:val="IASBNormalnpara"/>
      </w:pPr>
      <w:r>
        <w:t>IE59</w:t>
      </w:r>
      <w:r>
        <w:tab/>
        <w:t>No event occurs that requires the machine’s recoverable amount to be re-estimated. Therefore, no calculation of recoverable amount is required to be performed.</w:t>
      </w:r>
    </w:p>
    <w:p w14:paraId="0BB2E573" w14:textId="77777777" w:rsidR="00361651" w:rsidRDefault="00361651" w:rsidP="00361651">
      <w:pPr>
        <w:pStyle w:val="IASBSectionTitle3Ind"/>
      </w:pPr>
      <w:r>
        <w:t>At the end of 20X4</w:t>
      </w:r>
    </w:p>
    <w:p w14:paraId="0BB2E574" w14:textId="77777777" w:rsidR="00361651" w:rsidRDefault="00361651" w:rsidP="00361651">
      <w:pPr>
        <w:pStyle w:val="IASBNormalnpara"/>
      </w:pPr>
      <w:r>
        <w:t>IE60</w:t>
      </w:r>
      <w:r>
        <w:tab/>
        <w:t>The costs to enhance the machine’s performance are incurred. Therefore, in determining the machine’s value in use, the future benefits expected from enhancing the machine’s performance are considered in forecasting cash flows. This results in an increase in the estimated future cash flows used to determine value in use at the end of 20X0. As a consequence, in accordance with paragraphs 110 and 111 of</w:t>
      </w:r>
      <w:r w:rsidR="002D17D4">
        <w:t xml:space="preserve"> AASB 136</w:t>
      </w:r>
      <w:r>
        <w:t xml:space="preserve">, the recoverable amount of the machine is recalculated at the end of 20X4. </w:t>
      </w:r>
    </w:p>
    <w:p w14:paraId="0BB2E575" w14:textId="77777777" w:rsidR="00361651" w:rsidRDefault="00361651" w:rsidP="006E1E57">
      <w:pPr>
        <w:pStyle w:val="IASBNormalnparaP"/>
        <w:keepNext/>
      </w:pPr>
      <w:r>
        <w:t>Schedule 3. Calculation of the machine’s value in use at the end of 20X4</w:t>
      </w:r>
    </w:p>
    <w:p w14:paraId="0BB2E576" w14:textId="77777777" w:rsidR="00361651" w:rsidRDefault="00361651" w:rsidP="006E1E57">
      <w:pPr>
        <w:pStyle w:val="IASBNormalnpara"/>
        <w:keepNext/>
      </w:pPr>
    </w:p>
    <w:tbl>
      <w:tblPr>
        <w:tblW w:w="0" w:type="auto"/>
        <w:tblInd w:w="964" w:type="dxa"/>
        <w:tblLayout w:type="fixed"/>
        <w:tblLook w:val="0000" w:firstRow="0" w:lastRow="0" w:firstColumn="0" w:lastColumn="0" w:noHBand="0" w:noVBand="0"/>
        <w:tblCaption w:val="AASB 136 Table 24"/>
      </w:tblPr>
      <w:tblGrid>
        <w:gridCol w:w="5514"/>
        <w:gridCol w:w="1183"/>
        <w:gridCol w:w="455"/>
        <w:gridCol w:w="1092"/>
      </w:tblGrid>
      <w:tr w:rsidR="00361651" w14:paraId="0BB2E57A" w14:textId="77777777" w:rsidTr="009709A2">
        <w:trPr>
          <w:cantSplit/>
          <w:tblHeader/>
        </w:trPr>
        <w:tc>
          <w:tcPr>
            <w:tcW w:w="5514" w:type="dxa"/>
          </w:tcPr>
          <w:p w14:paraId="0BB2E577" w14:textId="77777777" w:rsidR="00361651" w:rsidRDefault="00361651" w:rsidP="002D54B2">
            <w:pPr>
              <w:pStyle w:val="IASBTableHeaderArial"/>
              <w:spacing w:after="120"/>
            </w:pPr>
            <w:r>
              <w:rPr>
                <w:b/>
                <w:i/>
              </w:rPr>
              <w:t>Year</w:t>
            </w:r>
          </w:p>
        </w:tc>
        <w:tc>
          <w:tcPr>
            <w:tcW w:w="1183" w:type="dxa"/>
            <w:tcBorders>
              <w:left w:val="nil"/>
            </w:tcBorders>
          </w:tcPr>
          <w:p w14:paraId="0BB2E578" w14:textId="77777777" w:rsidR="00361651" w:rsidRDefault="00361651" w:rsidP="002D54B2">
            <w:pPr>
              <w:pStyle w:val="IASBTableHeaderArial"/>
              <w:spacing w:after="120"/>
              <w:jc w:val="right"/>
            </w:pPr>
            <w:r>
              <w:rPr>
                <w:b/>
                <w:i/>
              </w:rPr>
              <w:t>Future</w:t>
            </w:r>
            <w:r>
              <w:rPr>
                <w:b/>
                <w:i/>
              </w:rPr>
              <w:br/>
              <w:t xml:space="preserve"> cash flows</w:t>
            </w:r>
            <w:r>
              <w:rPr>
                <w:b/>
                <w:i/>
                <w:vertAlign w:val="superscript"/>
              </w:rPr>
              <w:t>(a)</w:t>
            </w:r>
          </w:p>
        </w:tc>
        <w:tc>
          <w:tcPr>
            <w:tcW w:w="1547" w:type="dxa"/>
            <w:gridSpan w:val="2"/>
            <w:tcBorders>
              <w:left w:val="nil"/>
            </w:tcBorders>
          </w:tcPr>
          <w:p w14:paraId="0BB2E579" w14:textId="77777777" w:rsidR="00361651" w:rsidRDefault="00361651" w:rsidP="002D54B2">
            <w:pPr>
              <w:pStyle w:val="IASBTableHeaderArial"/>
              <w:spacing w:after="120"/>
              <w:jc w:val="right"/>
            </w:pPr>
            <w:r>
              <w:rPr>
                <w:b/>
                <w:i/>
              </w:rPr>
              <w:t>Discounted</w:t>
            </w:r>
            <w:r>
              <w:rPr>
                <w:b/>
                <w:i/>
              </w:rPr>
              <w:br/>
              <w:t>at 14%</w:t>
            </w:r>
          </w:p>
        </w:tc>
      </w:tr>
      <w:tr w:rsidR="00361651" w14:paraId="0BB2E57F" w14:textId="77777777" w:rsidTr="009709A2">
        <w:trPr>
          <w:cantSplit/>
          <w:tblHeader/>
        </w:trPr>
        <w:tc>
          <w:tcPr>
            <w:tcW w:w="5514" w:type="dxa"/>
            <w:tcBorders>
              <w:top w:val="nil"/>
            </w:tcBorders>
            <w:vAlign w:val="bottom"/>
          </w:tcPr>
          <w:p w14:paraId="0BB2E57B" w14:textId="77777777" w:rsidR="00361651" w:rsidRDefault="00361651" w:rsidP="002D54B2">
            <w:pPr>
              <w:pStyle w:val="IASBTableHeaderArial"/>
              <w:spacing w:after="120"/>
            </w:pPr>
          </w:p>
        </w:tc>
        <w:tc>
          <w:tcPr>
            <w:tcW w:w="1183" w:type="dxa"/>
            <w:tcBorders>
              <w:top w:val="nil"/>
              <w:left w:val="nil"/>
            </w:tcBorders>
          </w:tcPr>
          <w:p w14:paraId="0BB2E57C" w14:textId="77777777" w:rsidR="00361651" w:rsidRDefault="00361651" w:rsidP="002D54B2">
            <w:pPr>
              <w:pStyle w:val="IASBTableHeaderArial"/>
              <w:spacing w:after="120"/>
              <w:jc w:val="right"/>
            </w:pPr>
            <w:r>
              <w:rPr>
                <w:b/>
              </w:rPr>
              <w:t>CU</w:t>
            </w:r>
          </w:p>
        </w:tc>
        <w:tc>
          <w:tcPr>
            <w:tcW w:w="455" w:type="dxa"/>
            <w:tcBorders>
              <w:top w:val="nil"/>
              <w:left w:val="nil"/>
            </w:tcBorders>
          </w:tcPr>
          <w:p w14:paraId="0BB2E57D" w14:textId="77777777" w:rsidR="00361651" w:rsidRDefault="00361651" w:rsidP="002D54B2">
            <w:pPr>
              <w:pStyle w:val="IASBTableHeaderArial"/>
              <w:spacing w:after="120"/>
              <w:jc w:val="right"/>
            </w:pPr>
          </w:p>
        </w:tc>
        <w:tc>
          <w:tcPr>
            <w:tcW w:w="1092" w:type="dxa"/>
            <w:tcBorders>
              <w:top w:val="nil"/>
              <w:left w:val="nil"/>
            </w:tcBorders>
          </w:tcPr>
          <w:p w14:paraId="0BB2E57E" w14:textId="77777777" w:rsidR="00361651" w:rsidRDefault="00361651" w:rsidP="002D54B2">
            <w:pPr>
              <w:pStyle w:val="IASBTableHeaderArial"/>
              <w:spacing w:after="120"/>
              <w:jc w:val="right"/>
            </w:pPr>
            <w:r>
              <w:rPr>
                <w:b/>
              </w:rPr>
              <w:t>CU</w:t>
            </w:r>
          </w:p>
        </w:tc>
      </w:tr>
      <w:tr w:rsidR="00361651" w14:paraId="0BB2E584" w14:textId="77777777" w:rsidTr="009709A2">
        <w:trPr>
          <w:cantSplit/>
        </w:trPr>
        <w:tc>
          <w:tcPr>
            <w:tcW w:w="5514" w:type="dxa"/>
            <w:tcBorders>
              <w:top w:val="nil"/>
            </w:tcBorders>
          </w:tcPr>
          <w:p w14:paraId="0BB2E580" w14:textId="77777777" w:rsidR="00361651" w:rsidRDefault="00361651" w:rsidP="009709A2">
            <w:pPr>
              <w:pStyle w:val="IASBTableArial"/>
            </w:pPr>
            <w:r>
              <w:t>20X5</w:t>
            </w:r>
          </w:p>
        </w:tc>
        <w:tc>
          <w:tcPr>
            <w:tcW w:w="1183" w:type="dxa"/>
            <w:tcBorders>
              <w:top w:val="nil"/>
              <w:left w:val="nil"/>
            </w:tcBorders>
          </w:tcPr>
          <w:p w14:paraId="0BB2E581" w14:textId="77777777" w:rsidR="00361651" w:rsidRDefault="00361651" w:rsidP="009709A2">
            <w:pPr>
              <w:pStyle w:val="IASBTableArial"/>
              <w:jc w:val="right"/>
            </w:pPr>
            <w:r>
              <w:t>30,321</w:t>
            </w:r>
          </w:p>
        </w:tc>
        <w:tc>
          <w:tcPr>
            <w:tcW w:w="455" w:type="dxa"/>
            <w:tcBorders>
              <w:top w:val="nil"/>
              <w:left w:val="nil"/>
            </w:tcBorders>
          </w:tcPr>
          <w:p w14:paraId="0BB2E582" w14:textId="77777777" w:rsidR="00361651" w:rsidRDefault="00361651" w:rsidP="009709A2">
            <w:pPr>
              <w:pStyle w:val="IASBTableArial"/>
            </w:pPr>
          </w:p>
        </w:tc>
        <w:tc>
          <w:tcPr>
            <w:tcW w:w="1092" w:type="dxa"/>
            <w:tcBorders>
              <w:top w:val="nil"/>
              <w:left w:val="nil"/>
            </w:tcBorders>
          </w:tcPr>
          <w:p w14:paraId="0BB2E583" w14:textId="77777777" w:rsidR="00361651" w:rsidRDefault="00361651" w:rsidP="009709A2">
            <w:pPr>
              <w:pStyle w:val="IASBTableArial"/>
              <w:jc w:val="right"/>
            </w:pPr>
            <w:r>
              <w:t>26,597</w:t>
            </w:r>
          </w:p>
        </w:tc>
      </w:tr>
      <w:tr w:rsidR="00361651" w14:paraId="0BB2E589" w14:textId="77777777" w:rsidTr="009709A2">
        <w:trPr>
          <w:cantSplit/>
        </w:trPr>
        <w:tc>
          <w:tcPr>
            <w:tcW w:w="5514" w:type="dxa"/>
            <w:tcBorders>
              <w:top w:val="nil"/>
            </w:tcBorders>
          </w:tcPr>
          <w:p w14:paraId="0BB2E585" w14:textId="77777777" w:rsidR="00361651" w:rsidRDefault="00361651" w:rsidP="009709A2">
            <w:pPr>
              <w:pStyle w:val="IASBTableArial"/>
            </w:pPr>
            <w:r>
              <w:t>20X6</w:t>
            </w:r>
          </w:p>
        </w:tc>
        <w:tc>
          <w:tcPr>
            <w:tcW w:w="1183" w:type="dxa"/>
            <w:tcBorders>
              <w:top w:val="nil"/>
              <w:left w:val="nil"/>
            </w:tcBorders>
          </w:tcPr>
          <w:p w14:paraId="0BB2E586" w14:textId="77777777" w:rsidR="00361651" w:rsidRDefault="00361651" w:rsidP="009709A2">
            <w:pPr>
              <w:pStyle w:val="IASBTableArial"/>
              <w:jc w:val="right"/>
            </w:pPr>
            <w:r>
              <w:t>32,750</w:t>
            </w:r>
          </w:p>
        </w:tc>
        <w:tc>
          <w:tcPr>
            <w:tcW w:w="455" w:type="dxa"/>
            <w:tcBorders>
              <w:top w:val="nil"/>
              <w:left w:val="nil"/>
            </w:tcBorders>
          </w:tcPr>
          <w:p w14:paraId="0BB2E587" w14:textId="77777777" w:rsidR="00361651" w:rsidRDefault="00361651" w:rsidP="009709A2">
            <w:pPr>
              <w:pStyle w:val="IASBTableArial"/>
            </w:pPr>
          </w:p>
        </w:tc>
        <w:tc>
          <w:tcPr>
            <w:tcW w:w="1092" w:type="dxa"/>
            <w:tcBorders>
              <w:top w:val="nil"/>
              <w:left w:val="nil"/>
            </w:tcBorders>
          </w:tcPr>
          <w:p w14:paraId="0BB2E588" w14:textId="77777777" w:rsidR="00361651" w:rsidRDefault="00361651" w:rsidP="009709A2">
            <w:pPr>
              <w:pStyle w:val="IASBTableArial"/>
              <w:jc w:val="right"/>
            </w:pPr>
            <w:r>
              <w:t>25,200</w:t>
            </w:r>
          </w:p>
        </w:tc>
      </w:tr>
      <w:tr w:rsidR="00361651" w14:paraId="0BB2E58E" w14:textId="77777777" w:rsidTr="009709A2">
        <w:trPr>
          <w:cantSplit/>
        </w:trPr>
        <w:tc>
          <w:tcPr>
            <w:tcW w:w="5514" w:type="dxa"/>
            <w:tcBorders>
              <w:top w:val="nil"/>
            </w:tcBorders>
          </w:tcPr>
          <w:p w14:paraId="0BB2E58A" w14:textId="77777777" w:rsidR="00361651" w:rsidRDefault="00361651" w:rsidP="009709A2">
            <w:pPr>
              <w:pStyle w:val="IASBTableArial"/>
            </w:pPr>
            <w:r>
              <w:t>20X7</w:t>
            </w:r>
          </w:p>
        </w:tc>
        <w:tc>
          <w:tcPr>
            <w:tcW w:w="1183" w:type="dxa"/>
            <w:tcBorders>
              <w:top w:val="nil"/>
              <w:left w:val="nil"/>
            </w:tcBorders>
          </w:tcPr>
          <w:p w14:paraId="0BB2E58B" w14:textId="77777777" w:rsidR="00361651" w:rsidRDefault="00361651" w:rsidP="009709A2">
            <w:pPr>
              <w:pStyle w:val="IASBTableArial"/>
              <w:jc w:val="right"/>
            </w:pPr>
            <w:r>
              <w:t>31,721</w:t>
            </w:r>
          </w:p>
        </w:tc>
        <w:tc>
          <w:tcPr>
            <w:tcW w:w="455" w:type="dxa"/>
            <w:tcBorders>
              <w:top w:val="nil"/>
              <w:left w:val="nil"/>
            </w:tcBorders>
          </w:tcPr>
          <w:p w14:paraId="0BB2E58C" w14:textId="77777777" w:rsidR="00361651" w:rsidRDefault="00361651" w:rsidP="009709A2">
            <w:pPr>
              <w:pStyle w:val="IASBTableArial"/>
            </w:pPr>
          </w:p>
        </w:tc>
        <w:tc>
          <w:tcPr>
            <w:tcW w:w="1092" w:type="dxa"/>
            <w:tcBorders>
              <w:top w:val="nil"/>
              <w:left w:val="nil"/>
            </w:tcBorders>
          </w:tcPr>
          <w:p w14:paraId="0BB2E58D" w14:textId="77777777" w:rsidR="00361651" w:rsidRDefault="00361651" w:rsidP="009709A2">
            <w:pPr>
              <w:pStyle w:val="IASBTableArial"/>
              <w:jc w:val="right"/>
            </w:pPr>
            <w:r>
              <w:t>21,411</w:t>
            </w:r>
          </w:p>
        </w:tc>
      </w:tr>
      <w:tr w:rsidR="00361651" w14:paraId="0BB2E593" w14:textId="77777777" w:rsidTr="009709A2">
        <w:trPr>
          <w:cantSplit/>
        </w:trPr>
        <w:tc>
          <w:tcPr>
            <w:tcW w:w="5514" w:type="dxa"/>
            <w:tcBorders>
              <w:top w:val="nil"/>
            </w:tcBorders>
          </w:tcPr>
          <w:p w14:paraId="0BB2E58F" w14:textId="77777777" w:rsidR="00361651" w:rsidRDefault="00361651" w:rsidP="009709A2">
            <w:pPr>
              <w:pStyle w:val="IASBTableArial"/>
            </w:pPr>
            <w:r>
              <w:lastRenderedPageBreak/>
              <w:t>20X8</w:t>
            </w:r>
          </w:p>
        </w:tc>
        <w:tc>
          <w:tcPr>
            <w:tcW w:w="1183" w:type="dxa"/>
            <w:tcBorders>
              <w:top w:val="nil"/>
              <w:left w:val="nil"/>
            </w:tcBorders>
          </w:tcPr>
          <w:p w14:paraId="0BB2E590" w14:textId="77777777" w:rsidR="00361651" w:rsidRDefault="00361651" w:rsidP="009709A2">
            <w:pPr>
              <w:pStyle w:val="IASBTableArial"/>
              <w:jc w:val="right"/>
            </w:pPr>
            <w:r>
              <w:t>31,950</w:t>
            </w:r>
          </w:p>
        </w:tc>
        <w:tc>
          <w:tcPr>
            <w:tcW w:w="455" w:type="dxa"/>
            <w:tcBorders>
              <w:top w:val="nil"/>
              <w:left w:val="nil"/>
            </w:tcBorders>
          </w:tcPr>
          <w:p w14:paraId="0BB2E591" w14:textId="77777777" w:rsidR="00361651" w:rsidRDefault="00361651" w:rsidP="009709A2">
            <w:pPr>
              <w:pStyle w:val="IASBTableArial"/>
            </w:pPr>
          </w:p>
        </w:tc>
        <w:tc>
          <w:tcPr>
            <w:tcW w:w="1092" w:type="dxa"/>
            <w:tcBorders>
              <w:top w:val="nil"/>
              <w:left w:val="nil"/>
            </w:tcBorders>
          </w:tcPr>
          <w:p w14:paraId="0BB2E592" w14:textId="77777777" w:rsidR="00361651" w:rsidRDefault="00361651" w:rsidP="009709A2">
            <w:pPr>
              <w:pStyle w:val="IASBTableArial"/>
              <w:jc w:val="right"/>
            </w:pPr>
            <w:r>
              <w:t>18,917</w:t>
            </w:r>
          </w:p>
        </w:tc>
      </w:tr>
      <w:tr w:rsidR="00361651" w14:paraId="0BB2E598" w14:textId="77777777" w:rsidTr="009709A2">
        <w:trPr>
          <w:cantSplit/>
        </w:trPr>
        <w:tc>
          <w:tcPr>
            <w:tcW w:w="5514" w:type="dxa"/>
            <w:tcBorders>
              <w:top w:val="nil"/>
            </w:tcBorders>
          </w:tcPr>
          <w:p w14:paraId="0BB2E594" w14:textId="77777777" w:rsidR="00361651" w:rsidRDefault="00361651" w:rsidP="009709A2">
            <w:pPr>
              <w:pStyle w:val="IASBTableArial"/>
            </w:pPr>
            <w:r>
              <w:t>20X9</w:t>
            </w:r>
          </w:p>
        </w:tc>
        <w:tc>
          <w:tcPr>
            <w:tcW w:w="1183" w:type="dxa"/>
            <w:tcBorders>
              <w:top w:val="nil"/>
              <w:left w:val="nil"/>
            </w:tcBorders>
          </w:tcPr>
          <w:p w14:paraId="0BB2E595" w14:textId="77777777" w:rsidR="00361651" w:rsidRDefault="00361651" w:rsidP="009709A2">
            <w:pPr>
              <w:pStyle w:val="IASBTableArial"/>
              <w:jc w:val="right"/>
            </w:pPr>
            <w:r>
              <w:t>33,100</w:t>
            </w:r>
          </w:p>
        </w:tc>
        <w:tc>
          <w:tcPr>
            <w:tcW w:w="455" w:type="dxa"/>
            <w:tcBorders>
              <w:top w:val="nil"/>
              <w:left w:val="nil"/>
            </w:tcBorders>
          </w:tcPr>
          <w:p w14:paraId="0BB2E596" w14:textId="77777777" w:rsidR="00361651" w:rsidRDefault="00361651" w:rsidP="009709A2">
            <w:pPr>
              <w:pStyle w:val="IASBTableArial"/>
            </w:pPr>
          </w:p>
        </w:tc>
        <w:tc>
          <w:tcPr>
            <w:tcW w:w="1092" w:type="dxa"/>
            <w:tcBorders>
              <w:top w:val="nil"/>
              <w:left w:val="nil"/>
            </w:tcBorders>
          </w:tcPr>
          <w:p w14:paraId="0BB2E597" w14:textId="77777777" w:rsidR="00361651" w:rsidRDefault="00361651" w:rsidP="009709A2">
            <w:pPr>
              <w:pStyle w:val="IASBTableArial"/>
              <w:jc w:val="right"/>
            </w:pPr>
            <w:r>
              <w:t>17,191</w:t>
            </w:r>
          </w:p>
        </w:tc>
      </w:tr>
      <w:tr w:rsidR="00361651" w14:paraId="0BB2E59D" w14:textId="77777777" w:rsidTr="009709A2">
        <w:trPr>
          <w:cantSplit/>
        </w:trPr>
        <w:tc>
          <w:tcPr>
            <w:tcW w:w="5514" w:type="dxa"/>
            <w:tcBorders>
              <w:top w:val="nil"/>
            </w:tcBorders>
          </w:tcPr>
          <w:p w14:paraId="0BB2E599" w14:textId="77777777" w:rsidR="00361651" w:rsidRDefault="00361651" w:rsidP="009709A2">
            <w:pPr>
              <w:pStyle w:val="IASBTableArial"/>
            </w:pPr>
            <w:r>
              <w:t>20X10</w:t>
            </w:r>
          </w:p>
        </w:tc>
        <w:tc>
          <w:tcPr>
            <w:tcW w:w="1183" w:type="dxa"/>
            <w:tcBorders>
              <w:top w:val="nil"/>
              <w:left w:val="nil"/>
            </w:tcBorders>
          </w:tcPr>
          <w:p w14:paraId="0BB2E59A" w14:textId="77777777" w:rsidR="00361651" w:rsidRDefault="00361651" w:rsidP="009709A2">
            <w:pPr>
              <w:pStyle w:val="IASBTableArial"/>
              <w:jc w:val="right"/>
            </w:pPr>
            <w:r>
              <w:t>27,999</w:t>
            </w:r>
          </w:p>
        </w:tc>
        <w:tc>
          <w:tcPr>
            <w:tcW w:w="455" w:type="dxa"/>
            <w:tcBorders>
              <w:top w:val="nil"/>
              <w:left w:val="nil"/>
            </w:tcBorders>
          </w:tcPr>
          <w:p w14:paraId="0BB2E59B" w14:textId="77777777" w:rsidR="00361651" w:rsidRDefault="00361651" w:rsidP="009709A2">
            <w:pPr>
              <w:pStyle w:val="IASBTableArial"/>
            </w:pPr>
          </w:p>
        </w:tc>
        <w:tc>
          <w:tcPr>
            <w:tcW w:w="1092" w:type="dxa"/>
            <w:tcBorders>
              <w:top w:val="nil"/>
              <w:left w:val="nil"/>
              <w:bottom w:val="single" w:sz="4" w:space="0" w:color="auto"/>
            </w:tcBorders>
          </w:tcPr>
          <w:p w14:paraId="0BB2E59C" w14:textId="77777777" w:rsidR="00361651" w:rsidRDefault="00361651" w:rsidP="009709A2">
            <w:pPr>
              <w:pStyle w:val="IASBTableArial"/>
              <w:jc w:val="right"/>
            </w:pPr>
            <w:r>
              <w:t>12,756</w:t>
            </w:r>
          </w:p>
        </w:tc>
      </w:tr>
      <w:tr w:rsidR="00361651" w14:paraId="0BB2E5A2" w14:textId="77777777" w:rsidTr="009709A2">
        <w:trPr>
          <w:cantSplit/>
        </w:trPr>
        <w:tc>
          <w:tcPr>
            <w:tcW w:w="5514" w:type="dxa"/>
            <w:tcBorders>
              <w:top w:val="nil"/>
            </w:tcBorders>
          </w:tcPr>
          <w:p w14:paraId="0BB2E59E" w14:textId="77777777" w:rsidR="00361651" w:rsidRDefault="00361651" w:rsidP="009709A2">
            <w:pPr>
              <w:pStyle w:val="IASBTableArial"/>
            </w:pPr>
            <w:r>
              <w:t>Value in use</w:t>
            </w:r>
          </w:p>
        </w:tc>
        <w:tc>
          <w:tcPr>
            <w:tcW w:w="1183" w:type="dxa"/>
            <w:tcBorders>
              <w:top w:val="nil"/>
              <w:left w:val="nil"/>
            </w:tcBorders>
            <w:vAlign w:val="bottom"/>
          </w:tcPr>
          <w:p w14:paraId="0BB2E59F" w14:textId="77777777" w:rsidR="00361651" w:rsidRDefault="00361651" w:rsidP="009709A2">
            <w:pPr>
              <w:pStyle w:val="IASBTableArial"/>
            </w:pPr>
          </w:p>
        </w:tc>
        <w:tc>
          <w:tcPr>
            <w:tcW w:w="455" w:type="dxa"/>
            <w:tcBorders>
              <w:top w:val="nil"/>
              <w:left w:val="nil"/>
            </w:tcBorders>
          </w:tcPr>
          <w:p w14:paraId="0BB2E5A0" w14:textId="77777777" w:rsidR="00361651" w:rsidRDefault="00361651" w:rsidP="009709A2">
            <w:pPr>
              <w:pStyle w:val="IASBTableArial"/>
            </w:pPr>
          </w:p>
        </w:tc>
        <w:tc>
          <w:tcPr>
            <w:tcW w:w="1092" w:type="dxa"/>
            <w:tcBorders>
              <w:top w:val="nil"/>
              <w:left w:val="nil"/>
              <w:bottom w:val="double" w:sz="4" w:space="0" w:color="auto"/>
            </w:tcBorders>
          </w:tcPr>
          <w:p w14:paraId="0BB2E5A1" w14:textId="77777777" w:rsidR="00361651" w:rsidRDefault="00361651" w:rsidP="009709A2">
            <w:pPr>
              <w:pStyle w:val="IASBTableArial"/>
              <w:jc w:val="right"/>
            </w:pPr>
            <w:r>
              <w:t>122,072</w:t>
            </w:r>
          </w:p>
        </w:tc>
      </w:tr>
      <w:tr w:rsidR="00361651" w14:paraId="0BB2E5A7" w14:textId="77777777" w:rsidTr="009709A2">
        <w:trPr>
          <w:cantSplit/>
        </w:trPr>
        <w:tc>
          <w:tcPr>
            <w:tcW w:w="5514" w:type="dxa"/>
            <w:tcBorders>
              <w:top w:val="nil"/>
            </w:tcBorders>
          </w:tcPr>
          <w:p w14:paraId="0BB2E5A3" w14:textId="77777777" w:rsidR="00361651" w:rsidRDefault="00361651" w:rsidP="009709A2">
            <w:pPr>
              <w:pStyle w:val="IASBTableArial"/>
            </w:pPr>
          </w:p>
        </w:tc>
        <w:tc>
          <w:tcPr>
            <w:tcW w:w="1183" w:type="dxa"/>
            <w:tcBorders>
              <w:top w:val="nil"/>
              <w:left w:val="nil"/>
            </w:tcBorders>
            <w:vAlign w:val="bottom"/>
          </w:tcPr>
          <w:p w14:paraId="0BB2E5A4" w14:textId="77777777" w:rsidR="00361651" w:rsidRDefault="00361651" w:rsidP="009709A2">
            <w:pPr>
              <w:pStyle w:val="IASBTableArial"/>
            </w:pPr>
          </w:p>
        </w:tc>
        <w:tc>
          <w:tcPr>
            <w:tcW w:w="455" w:type="dxa"/>
            <w:tcBorders>
              <w:top w:val="nil"/>
              <w:left w:val="nil"/>
            </w:tcBorders>
          </w:tcPr>
          <w:p w14:paraId="0BB2E5A5" w14:textId="77777777" w:rsidR="00361651" w:rsidRDefault="00361651" w:rsidP="009709A2">
            <w:pPr>
              <w:pStyle w:val="IASBTableArial"/>
            </w:pPr>
          </w:p>
        </w:tc>
        <w:tc>
          <w:tcPr>
            <w:tcW w:w="1092" w:type="dxa"/>
            <w:tcBorders>
              <w:top w:val="nil"/>
              <w:left w:val="nil"/>
            </w:tcBorders>
          </w:tcPr>
          <w:p w14:paraId="0BB2E5A6" w14:textId="77777777" w:rsidR="00361651" w:rsidRDefault="00361651" w:rsidP="009709A2">
            <w:pPr>
              <w:pStyle w:val="IASBTableArial"/>
            </w:pPr>
          </w:p>
        </w:tc>
      </w:tr>
      <w:tr w:rsidR="00361651" w14:paraId="0BB2E5A9" w14:textId="77777777" w:rsidTr="009709A2">
        <w:trPr>
          <w:cantSplit/>
        </w:trPr>
        <w:tc>
          <w:tcPr>
            <w:tcW w:w="8244" w:type="dxa"/>
            <w:gridSpan w:val="4"/>
            <w:tcBorders>
              <w:top w:val="nil"/>
            </w:tcBorders>
            <w:vAlign w:val="bottom"/>
          </w:tcPr>
          <w:p w14:paraId="0BB2E5A8" w14:textId="77777777" w:rsidR="00361651" w:rsidRDefault="00361651" w:rsidP="006E1E57">
            <w:pPr>
              <w:pStyle w:val="IASBTableTNR"/>
              <w:ind w:left="397" w:hanging="397"/>
            </w:pPr>
            <w:r>
              <w:rPr>
                <w:rStyle w:val="FootnoteReference"/>
                <w:sz w:val="16"/>
                <w:vertAlign w:val="baseline"/>
              </w:rPr>
              <w:t>(a)</w:t>
            </w:r>
            <w:r>
              <w:rPr>
                <w:rStyle w:val="FootnoteReference"/>
                <w:sz w:val="16"/>
                <w:vertAlign w:val="baseline"/>
              </w:rPr>
              <w:tab/>
              <w:t>Includes estimated benefits expected from enhancing the machine’s performance reflected in management budgets.</w:t>
            </w:r>
          </w:p>
        </w:tc>
      </w:tr>
    </w:tbl>
    <w:p w14:paraId="0BB2E5AA" w14:textId="77777777" w:rsidR="00361651" w:rsidRDefault="00361651" w:rsidP="00361651">
      <w:pPr>
        <w:pStyle w:val="IASBNormalnpara"/>
      </w:pPr>
    </w:p>
    <w:p w14:paraId="0BB2E5AB" w14:textId="77777777" w:rsidR="00361651" w:rsidRDefault="00361651" w:rsidP="00361651">
      <w:pPr>
        <w:pStyle w:val="IASBNormalnpara"/>
      </w:pPr>
      <w:r>
        <w:t>IE61</w:t>
      </w:r>
      <w:r>
        <w:tab/>
        <w:t xml:space="preserve">The machine’s recoverable amount (ie value in use) is higher than the machine’s carrying amount and depreciated historical cost (see Schedule 4). Therefore, K reverses the impairment loss recognised for the machine at the end of 20X0 so that the machine is carried at depreciated historical cost. </w:t>
      </w:r>
    </w:p>
    <w:p w14:paraId="0BB2E5AC" w14:textId="77777777" w:rsidR="00361651" w:rsidRDefault="00361651" w:rsidP="00361651">
      <w:pPr>
        <w:pStyle w:val="IASBNormalnparaP"/>
      </w:pPr>
      <w:r>
        <w:t>Schedule 4. Calculation of the reversal of the impairment loss at the end of 20X4</w:t>
      </w:r>
    </w:p>
    <w:p w14:paraId="0BB2E5AD"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25"/>
      </w:tblPr>
      <w:tblGrid>
        <w:gridCol w:w="7152"/>
        <w:gridCol w:w="1092"/>
      </w:tblGrid>
      <w:tr w:rsidR="00361651" w14:paraId="0BB2E5AF" w14:textId="77777777" w:rsidTr="009709A2">
        <w:trPr>
          <w:cantSplit/>
          <w:tblHeader/>
        </w:trPr>
        <w:tc>
          <w:tcPr>
            <w:tcW w:w="8244" w:type="dxa"/>
            <w:gridSpan w:val="2"/>
            <w:vAlign w:val="bottom"/>
          </w:tcPr>
          <w:p w14:paraId="0BB2E5AE" w14:textId="77777777" w:rsidR="00361651" w:rsidRDefault="00361651" w:rsidP="002D54B2">
            <w:pPr>
              <w:pStyle w:val="IASBTableHeaderArial"/>
              <w:spacing w:after="120"/>
              <w:jc w:val="right"/>
            </w:pPr>
            <w:r>
              <w:rPr>
                <w:b/>
                <w:i/>
              </w:rPr>
              <w:t>Machine</w:t>
            </w:r>
          </w:p>
        </w:tc>
      </w:tr>
      <w:tr w:rsidR="00361651" w14:paraId="0BB2E5B2" w14:textId="77777777" w:rsidTr="009709A2">
        <w:trPr>
          <w:cantSplit/>
          <w:tblHeader/>
        </w:trPr>
        <w:tc>
          <w:tcPr>
            <w:tcW w:w="7152" w:type="dxa"/>
            <w:tcBorders>
              <w:top w:val="nil"/>
            </w:tcBorders>
            <w:vAlign w:val="bottom"/>
          </w:tcPr>
          <w:p w14:paraId="0BB2E5B0" w14:textId="77777777" w:rsidR="00361651" w:rsidRDefault="00361651" w:rsidP="002D54B2">
            <w:pPr>
              <w:pStyle w:val="IASBTableHeaderArial"/>
              <w:spacing w:after="120"/>
            </w:pPr>
          </w:p>
        </w:tc>
        <w:tc>
          <w:tcPr>
            <w:tcW w:w="1092" w:type="dxa"/>
            <w:tcBorders>
              <w:top w:val="nil"/>
              <w:left w:val="nil"/>
            </w:tcBorders>
            <w:vAlign w:val="bottom"/>
          </w:tcPr>
          <w:p w14:paraId="0BB2E5B1" w14:textId="77777777" w:rsidR="00361651" w:rsidRDefault="00361651" w:rsidP="002D54B2">
            <w:pPr>
              <w:pStyle w:val="IASBTableHeaderArial"/>
              <w:spacing w:after="120"/>
              <w:jc w:val="right"/>
            </w:pPr>
            <w:r>
              <w:rPr>
                <w:b/>
              </w:rPr>
              <w:t>CU</w:t>
            </w:r>
          </w:p>
        </w:tc>
      </w:tr>
      <w:tr w:rsidR="00361651" w14:paraId="0BB2E5B5" w14:textId="77777777" w:rsidTr="009709A2">
        <w:trPr>
          <w:cantSplit/>
        </w:trPr>
        <w:tc>
          <w:tcPr>
            <w:tcW w:w="7152" w:type="dxa"/>
            <w:tcBorders>
              <w:top w:val="nil"/>
            </w:tcBorders>
          </w:tcPr>
          <w:p w14:paraId="0BB2E5B3" w14:textId="77777777" w:rsidR="00361651" w:rsidRDefault="00361651" w:rsidP="009709A2">
            <w:pPr>
              <w:pStyle w:val="IASBTableArial"/>
            </w:pPr>
            <w:r>
              <w:t>Carrying amount at the end of 20X0 (Schedule 2)</w:t>
            </w:r>
          </w:p>
        </w:tc>
        <w:tc>
          <w:tcPr>
            <w:tcW w:w="1092" w:type="dxa"/>
            <w:tcBorders>
              <w:top w:val="nil"/>
              <w:left w:val="nil"/>
            </w:tcBorders>
            <w:vAlign w:val="bottom"/>
          </w:tcPr>
          <w:p w14:paraId="0BB2E5B4" w14:textId="77777777" w:rsidR="00361651" w:rsidRDefault="00361651" w:rsidP="009709A2">
            <w:pPr>
              <w:pStyle w:val="IASBTableArial"/>
              <w:jc w:val="right"/>
            </w:pPr>
            <w:r>
              <w:t>121,128</w:t>
            </w:r>
          </w:p>
        </w:tc>
      </w:tr>
      <w:tr w:rsidR="00361651" w14:paraId="0BB2E5B8" w14:textId="77777777" w:rsidTr="009709A2">
        <w:trPr>
          <w:cantSplit/>
        </w:trPr>
        <w:tc>
          <w:tcPr>
            <w:tcW w:w="7152" w:type="dxa"/>
            <w:tcBorders>
              <w:top w:val="nil"/>
            </w:tcBorders>
          </w:tcPr>
          <w:p w14:paraId="0BB2E5B6" w14:textId="77777777" w:rsidR="00361651" w:rsidRDefault="00361651" w:rsidP="009709A2">
            <w:pPr>
              <w:pStyle w:val="IASBTableArial"/>
            </w:pPr>
            <w:r>
              <w:rPr>
                <w:i/>
              </w:rPr>
              <w:t>End of 20X4</w:t>
            </w:r>
          </w:p>
        </w:tc>
        <w:tc>
          <w:tcPr>
            <w:tcW w:w="1092" w:type="dxa"/>
            <w:tcBorders>
              <w:top w:val="nil"/>
              <w:left w:val="nil"/>
            </w:tcBorders>
            <w:vAlign w:val="bottom"/>
          </w:tcPr>
          <w:p w14:paraId="0BB2E5B7" w14:textId="77777777" w:rsidR="00361651" w:rsidRDefault="00361651" w:rsidP="009709A2">
            <w:pPr>
              <w:pStyle w:val="IASBTableArial"/>
            </w:pPr>
            <w:r>
              <w:t xml:space="preserve"> </w:t>
            </w:r>
          </w:p>
        </w:tc>
      </w:tr>
      <w:tr w:rsidR="00361651" w14:paraId="0BB2E5BB" w14:textId="77777777" w:rsidTr="009709A2">
        <w:trPr>
          <w:cantSplit/>
        </w:trPr>
        <w:tc>
          <w:tcPr>
            <w:tcW w:w="7152" w:type="dxa"/>
            <w:tcBorders>
              <w:top w:val="nil"/>
            </w:tcBorders>
          </w:tcPr>
          <w:p w14:paraId="0BB2E5B9" w14:textId="77777777" w:rsidR="00361651" w:rsidRDefault="00361651" w:rsidP="009709A2">
            <w:pPr>
              <w:pStyle w:val="IASBTableArial"/>
            </w:pPr>
            <w:r>
              <w:t>Depreciation charge (20X1 to 20X4 – Schedule 5)</w:t>
            </w:r>
          </w:p>
        </w:tc>
        <w:tc>
          <w:tcPr>
            <w:tcW w:w="1092" w:type="dxa"/>
            <w:tcBorders>
              <w:top w:val="nil"/>
              <w:left w:val="nil"/>
            </w:tcBorders>
            <w:vAlign w:val="bottom"/>
          </w:tcPr>
          <w:p w14:paraId="0BB2E5BA" w14:textId="77777777" w:rsidR="00361651" w:rsidRDefault="00361651" w:rsidP="009709A2">
            <w:pPr>
              <w:pStyle w:val="IASBTableArial"/>
              <w:jc w:val="right"/>
            </w:pPr>
            <w:r>
              <w:t>(48,452)</w:t>
            </w:r>
          </w:p>
        </w:tc>
      </w:tr>
      <w:tr w:rsidR="00361651" w14:paraId="0BB2E5BE" w14:textId="77777777" w:rsidTr="009709A2">
        <w:trPr>
          <w:cantSplit/>
        </w:trPr>
        <w:tc>
          <w:tcPr>
            <w:tcW w:w="7152" w:type="dxa"/>
            <w:tcBorders>
              <w:top w:val="nil"/>
            </w:tcBorders>
          </w:tcPr>
          <w:p w14:paraId="0BB2E5BC" w14:textId="77777777" w:rsidR="00361651" w:rsidRDefault="00361651" w:rsidP="009709A2">
            <w:pPr>
              <w:pStyle w:val="IASBTableArial"/>
            </w:pPr>
            <w:r>
              <w:t>Costs to enhance the asset’s performance</w:t>
            </w:r>
          </w:p>
        </w:tc>
        <w:tc>
          <w:tcPr>
            <w:tcW w:w="1092" w:type="dxa"/>
            <w:tcBorders>
              <w:top w:val="nil"/>
              <w:left w:val="nil"/>
              <w:bottom w:val="single" w:sz="4" w:space="0" w:color="auto"/>
            </w:tcBorders>
            <w:vAlign w:val="bottom"/>
          </w:tcPr>
          <w:p w14:paraId="0BB2E5BD" w14:textId="77777777" w:rsidR="00361651" w:rsidRDefault="00361651" w:rsidP="009709A2">
            <w:pPr>
              <w:pStyle w:val="IASBTableArial"/>
              <w:jc w:val="right"/>
            </w:pPr>
            <w:r>
              <w:t>25,000</w:t>
            </w:r>
          </w:p>
        </w:tc>
      </w:tr>
      <w:tr w:rsidR="00361651" w14:paraId="0BB2E5C1" w14:textId="77777777" w:rsidTr="009709A2">
        <w:trPr>
          <w:cantSplit/>
        </w:trPr>
        <w:tc>
          <w:tcPr>
            <w:tcW w:w="7152" w:type="dxa"/>
            <w:tcBorders>
              <w:top w:val="nil"/>
            </w:tcBorders>
          </w:tcPr>
          <w:p w14:paraId="0BB2E5BF" w14:textId="77777777" w:rsidR="00361651" w:rsidRDefault="00361651" w:rsidP="009709A2">
            <w:pPr>
              <w:pStyle w:val="IASBTableArial"/>
            </w:pPr>
            <w:r>
              <w:t>Carrying amount before reversal</w:t>
            </w:r>
          </w:p>
        </w:tc>
        <w:tc>
          <w:tcPr>
            <w:tcW w:w="1092" w:type="dxa"/>
            <w:tcBorders>
              <w:top w:val="nil"/>
              <w:left w:val="nil"/>
              <w:bottom w:val="double" w:sz="4" w:space="0" w:color="auto"/>
            </w:tcBorders>
            <w:vAlign w:val="bottom"/>
          </w:tcPr>
          <w:p w14:paraId="0BB2E5C0" w14:textId="77777777" w:rsidR="00361651" w:rsidRDefault="00361651" w:rsidP="009709A2">
            <w:pPr>
              <w:pStyle w:val="IASBTableArial"/>
              <w:jc w:val="right"/>
            </w:pPr>
            <w:r>
              <w:t>97,676</w:t>
            </w:r>
          </w:p>
        </w:tc>
      </w:tr>
      <w:tr w:rsidR="00361651" w14:paraId="0BB2E5C4" w14:textId="77777777" w:rsidTr="009709A2">
        <w:trPr>
          <w:cantSplit/>
        </w:trPr>
        <w:tc>
          <w:tcPr>
            <w:tcW w:w="7152" w:type="dxa"/>
            <w:tcBorders>
              <w:top w:val="nil"/>
            </w:tcBorders>
          </w:tcPr>
          <w:p w14:paraId="0BB2E5C2" w14:textId="77777777" w:rsidR="00361651" w:rsidRDefault="00361651" w:rsidP="009709A2">
            <w:pPr>
              <w:pStyle w:val="IASBTableArial"/>
            </w:pPr>
            <w:r>
              <w:t>Recoverable amount (Schedule 3)</w:t>
            </w:r>
          </w:p>
        </w:tc>
        <w:tc>
          <w:tcPr>
            <w:tcW w:w="1092" w:type="dxa"/>
            <w:tcBorders>
              <w:top w:val="nil"/>
              <w:left w:val="nil"/>
              <w:bottom w:val="single" w:sz="4" w:space="0" w:color="auto"/>
            </w:tcBorders>
            <w:vAlign w:val="bottom"/>
          </w:tcPr>
          <w:p w14:paraId="0BB2E5C3" w14:textId="77777777" w:rsidR="00361651" w:rsidRDefault="00361651" w:rsidP="009709A2">
            <w:pPr>
              <w:pStyle w:val="IASBTableArial"/>
              <w:jc w:val="right"/>
            </w:pPr>
            <w:r>
              <w:t>122,072</w:t>
            </w:r>
          </w:p>
        </w:tc>
      </w:tr>
      <w:tr w:rsidR="00361651" w14:paraId="0BB2E5C7" w14:textId="77777777" w:rsidTr="009709A2">
        <w:trPr>
          <w:cantSplit/>
        </w:trPr>
        <w:tc>
          <w:tcPr>
            <w:tcW w:w="7152" w:type="dxa"/>
            <w:tcBorders>
              <w:top w:val="nil"/>
            </w:tcBorders>
          </w:tcPr>
          <w:p w14:paraId="0BB2E5C5" w14:textId="77777777" w:rsidR="00361651" w:rsidRDefault="00361651" w:rsidP="009709A2">
            <w:pPr>
              <w:pStyle w:val="IASBTableArial"/>
            </w:pPr>
            <w:r>
              <w:t>Reversal of the impairment loss</w:t>
            </w:r>
          </w:p>
        </w:tc>
        <w:tc>
          <w:tcPr>
            <w:tcW w:w="1092" w:type="dxa"/>
            <w:tcBorders>
              <w:top w:val="nil"/>
              <w:left w:val="nil"/>
              <w:bottom w:val="double" w:sz="4" w:space="0" w:color="auto"/>
            </w:tcBorders>
            <w:vAlign w:val="bottom"/>
          </w:tcPr>
          <w:p w14:paraId="0BB2E5C6" w14:textId="77777777" w:rsidR="00361651" w:rsidRDefault="00361651" w:rsidP="009709A2">
            <w:pPr>
              <w:pStyle w:val="IASBTableArial"/>
              <w:jc w:val="right"/>
            </w:pPr>
            <w:r>
              <w:t>17,324</w:t>
            </w:r>
          </w:p>
        </w:tc>
      </w:tr>
      <w:tr w:rsidR="00361651" w14:paraId="0BB2E5CA" w14:textId="77777777" w:rsidTr="009709A2">
        <w:trPr>
          <w:cantSplit/>
        </w:trPr>
        <w:tc>
          <w:tcPr>
            <w:tcW w:w="7152" w:type="dxa"/>
            <w:tcBorders>
              <w:top w:val="nil"/>
            </w:tcBorders>
          </w:tcPr>
          <w:p w14:paraId="0BB2E5C8" w14:textId="77777777" w:rsidR="00361651" w:rsidRDefault="00361651" w:rsidP="009709A2">
            <w:pPr>
              <w:pStyle w:val="IASBTableArial"/>
            </w:pPr>
            <w:r>
              <w:t>Carrying amount after reversal</w:t>
            </w:r>
          </w:p>
        </w:tc>
        <w:tc>
          <w:tcPr>
            <w:tcW w:w="1092" w:type="dxa"/>
            <w:tcBorders>
              <w:top w:val="nil"/>
              <w:left w:val="nil"/>
              <w:bottom w:val="double" w:sz="4" w:space="0" w:color="auto"/>
            </w:tcBorders>
            <w:vAlign w:val="bottom"/>
          </w:tcPr>
          <w:p w14:paraId="0BB2E5C9" w14:textId="77777777" w:rsidR="00361651" w:rsidRDefault="00361651" w:rsidP="009709A2">
            <w:pPr>
              <w:pStyle w:val="IASBTableArial"/>
              <w:jc w:val="right"/>
            </w:pPr>
            <w:r>
              <w:t>115,000</w:t>
            </w:r>
          </w:p>
        </w:tc>
      </w:tr>
      <w:tr w:rsidR="00361651" w14:paraId="0BB2E5CD" w14:textId="77777777" w:rsidTr="009709A2">
        <w:trPr>
          <w:cantSplit/>
        </w:trPr>
        <w:tc>
          <w:tcPr>
            <w:tcW w:w="7152" w:type="dxa"/>
            <w:tcBorders>
              <w:top w:val="nil"/>
            </w:tcBorders>
          </w:tcPr>
          <w:p w14:paraId="0BB2E5CB" w14:textId="77777777" w:rsidR="00361651" w:rsidRDefault="00361651" w:rsidP="009709A2">
            <w:pPr>
              <w:pStyle w:val="IASBTableArial"/>
            </w:pPr>
          </w:p>
        </w:tc>
        <w:tc>
          <w:tcPr>
            <w:tcW w:w="1092" w:type="dxa"/>
            <w:tcBorders>
              <w:top w:val="nil"/>
              <w:left w:val="nil"/>
            </w:tcBorders>
            <w:vAlign w:val="bottom"/>
          </w:tcPr>
          <w:p w14:paraId="0BB2E5CC" w14:textId="77777777" w:rsidR="00361651" w:rsidRDefault="00361651" w:rsidP="009709A2">
            <w:pPr>
              <w:pStyle w:val="IASBTableArial"/>
            </w:pPr>
          </w:p>
        </w:tc>
      </w:tr>
      <w:tr w:rsidR="00361651" w14:paraId="0BB2E5D0" w14:textId="77777777" w:rsidTr="009709A2">
        <w:trPr>
          <w:cantSplit/>
        </w:trPr>
        <w:tc>
          <w:tcPr>
            <w:tcW w:w="7152" w:type="dxa"/>
            <w:tcBorders>
              <w:top w:val="nil"/>
            </w:tcBorders>
          </w:tcPr>
          <w:p w14:paraId="0BB2E5CE" w14:textId="77777777" w:rsidR="00361651" w:rsidRDefault="00361651" w:rsidP="009709A2">
            <w:pPr>
              <w:pStyle w:val="IASBTableArial"/>
            </w:pPr>
            <w:r>
              <w:t>Carrying amount: depreciated historical cost (Schedule 5)</w:t>
            </w:r>
          </w:p>
        </w:tc>
        <w:tc>
          <w:tcPr>
            <w:tcW w:w="1092" w:type="dxa"/>
            <w:tcBorders>
              <w:top w:val="nil"/>
              <w:left w:val="nil"/>
            </w:tcBorders>
            <w:vAlign w:val="bottom"/>
          </w:tcPr>
          <w:p w14:paraId="0BB2E5CF" w14:textId="77777777" w:rsidR="00361651" w:rsidRDefault="00361651" w:rsidP="009709A2">
            <w:pPr>
              <w:pStyle w:val="IASBTableArial"/>
              <w:jc w:val="right"/>
            </w:pPr>
            <w:r>
              <w:t>115,000</w:t>
            </w:r>
            <w:r>
              <w:rPr>
                <w:vertAlign w:val="superscript"/>
              </w:rPr>
              <w:t>(a)</w:t>
            </w:r>
          </w:p>
        </w:tc>
      </w:tr>
      <w:tr w:rsidR="00361651" w14:paraId="0BB2E5D2" w14:textId="77777777" w:rsidTr="009709A2">
        <w:trPr>
          <w:cantSplit/>
        </w:trPr>
        <w:tc>
          <w:tcPr>
            <w:tcW w:w="8244" w:type="dxa"/>
            <w:gridSpan w:val="2"/>
            <w:tcBorders>
              <w:top w:val="nil"/>
            </w:tcBorders>
            <w:vAlign w:val="bottom"/>
          </w:tcPr>
          <w:p w14:paraId="0BB2E5D1" w14:textId="77777777" w:rsidR="00361651" w:rsidRDefault="00361651" w:rsidP="006E1E57">
            <w:pPr>
              <w:pStyle w:val="IASBTableTNR"/>
              <w:ind w:left="397" w:hanging="397"/>
            </w:pPr>
            <w:r>
              <w:rPr>
                <w:rStyle w:val="FootnoteReference"/>
                <w:sz w:val="16"/>
                <w:vertAlign w:val="baseline"/>
              </w:rPr>
              <w:t>(a)</w:t>
            </w:r>
            <w:r>
              <w:rPr>
                <w:rStyle w:val="FootnoteReference"/>
                <w:sz w:val="16"/>
                <w:vertAlign w:val="baseline"/>
              </w:rPr>
              <w:tab/>
              <w:t>The value in use of the machine exceeds what its carrying amount would have been at depreciated historical cost. Therefore, the reversal is limited to an amount that does not result in the carrying amount of the machine exceeding depreciated historical cost.</w:t>
            </w:r>
          </w:p>
        </w:tc>
      </w:tr>
    </w:tbl>
    <w:p w14:paraId="0BB2E5D3" w14:textId="77777777" w:rsidR="00361651" w:rsidRDefault="00361651" w:rsidP="00361651">
      <w:pPr>
        <w:pStyle w:val="IASBNormalnpara"/>
      </w:pPr>
    </w:p>
    <w:p w14:paraId="0BB2E5D4" w14:textId="77777777" w:rsidR="00361651" w:rsidRDefault="00361651" w:rsidP="006E1E57">
      <w:pPr>
        <w:pStyle w:val="IASBNormalnpara"/>
        <w:keepNext/>
      </w:pPr>
      <w:r>
        <w:tab/>
        <w:t>Schedule 5. Summary of the carrying amount of the machine</w:t>
      </w:r>
    </w:p>
    <w:p w14:paraId="0BB2E5D5" w14:textId="77777777" w:rsidR="00361651" w:rsidRDefault="00361651" w:rsidP="006E1E57">
      <w:pPr>
        <w:pStyle w:val="IASBNormalnpara"/>
        <w:keepNext/>
      </w:pPr>
    </w:p>
    <w:tbl>
      <w:tblPr>
        <w:tblW w:w="0" w:type="auto"/>
        <w:tblLayout w:type="fixed"/>
        <w:tblLook w:val="0000" w:firstRow="0" w:lastRow="0" w:firstColumn="0" w:lastColumn="0" w:noHBand="0" w:noVBand="0"/>
        <w:tblCaption w:val="AASB 136 Table 26"/>
      </w:tblPr>
      <w:tblGrid>
        <w:gridCol w:w="1928"/>
        <w:gridCol w:w="1456"/>
        <w:gridCol w:w="364"/>
        <w:gridCol w:w="1092"/>
        <w:gridCol w:w="364"/>
        <w:gridCol w:w="1092"/>
        <w:gridCol w:w="364"/>
        <w:gridCol w:w="1092"/>
        <w:gridCol w:w="364"/>
        <w:gridCol w:w="1092"/>
      </w:tblGrid>
      <w:tr w:rsidR="00361651" w14:paraId="0BB2E5DC" w14:textId="77777777" w:rsidTr="009709A2">
        <w:trPr>
          <w:cantSplit/>
          <w:tblHeader/>
        </w:trPr>
        <w:tc>
          <w:tcPr>
            <w:tcW w:w="1928" w:type="dxa"/>
          </w:tcPr>
          <w:p w14:paraId="0BB2E5D6" w14:textId="77777777" w:rsidR="00361651" w:rsidRDefault="00361651" w:rsidP="00EB33C1">
            <w:pPr>
              <w:pStyle w:val="IASBTableHeaderArial"/>
              <w:spacing w:after="120"/>
            </w:pPr>
            <w:r>
              <w:rPr>
                <w:b/>
                <w:i/>
                <w:sz w:val="14"/>
              </w:rPr>
              <w:t>Year</w:t>
            </w:r>
          </w:p>
        </w:tc>
        <w:tc>
          <w:tcPr>
            <w:tcW w:w="1456" w:type="dxa"/>
            <w:tcBorders>
              <w:left w:val="nil"/>
            </w:tcBorders>
          </w:tcPr>
          <w:p w14:paraId="0BB2E5D7" w14:textId="77777777" w:rsidR="00361651" w:rsidRDefault="00361651" w:rsidP="00EB33C1">
            <w:pPr>
              <w:pStyle w:val="IASBTableHeaderArial"/>
              <w:spacing w:after="120"/>
              <w:jc w:val="right"/>
            </w:pPr>
            <w:r>
              <w:rPr>
                <w:b/>
                <w:i/>
                <w:sz w:val="14"/>
              </w:rPr>
              <w:t>Depreciated historical cost</w:t>
            </w:r>
          </w:p>
        </w:tc>
        <w:tc>
          <w:tcPr>
            <w:tcW w:w="1456" w:type="dxa"/>
            <w:gridSpan w:val="2"/>
            <w:tcBorders>
              <w:left w:val="nil"/>
            </w:tcBorders>
          </w:tcPr>
          <w:p w14:paraId="0BB2E5D8" w14:textId="77777777" w:rsidR="00361651" w:rsidRDefault="00361651" w:rsidP="00EB33C1">
            <w:pPr>
              <w:pStyle w:val="IASBTableHeaderArial"/>
              <w:spacing w:after="120"/>
              <w:jc w:val="right"/>
            </w:pPr>
            <w:r>
              <w:rPr>
                <w:b/>
                <w:i/>
                <w:sz w:val="14"/>
              </w:rPr>
              <w:t>Recoverable amount</w:t>
            </w:r>
          </w:p>
        </w:tc>
        <w:tc>
          <w:tcPr>
            <w:tcW w:w="1456" w:type="dxa"/>
            <w:gridSpan w:val="2"/>
            <w:tcBorders>
              <w:left w:val="nil"/>
            </w:tcBorders>
          </w:tcPr>
          <w:p w14:paraId="0BB2E5D9" w14:textId="77777777" w:rsidR="00361651" w:rsidRDefault="00361651" w:rsidP="00EB33C1">
            <w:pPr>
              <w:pStyle w:val="IASBTableHeaderArial"/>
              <w:spacing w:after="120"/>
              <w:jc w:val="right"/>
            </w:pPr>
            <w:r>
              <w:rPr>
                <w:b/>
                <w:i/>
                <w:sz w:val="14"/>
              </w:rPr>
              <w:t>Adjusted depreciated charge</w:t>
            </w:r>
          </w:p>
        </w:tc>
        <w:tc>
          <w:tcPr>
            <w:tcW w:w="1456" w:type="dxa"/>
            <w:gridSpan w:val="2"/>
            <w:tcBorders>
              <w:left w:val="nil"/>
            </w:tcBorders>
          </w:tcPr>
          <w:p w14:paraId="0BB2E5DA" w14:textId="77777777" w:rsidR="00361651" w:rsidRDefault="00361651" w:rsidP="00EB33C1">
            <w:pPr>
              <w:pStyle w:val="IASBTableHeaderArial"/>
              <w:spacing w:after="120"/>
              <w:jc w:val="right"/>
            </w:pPr>
            <w:r>
              <w:rPr>
                <w:b/>
                <w:i/>
                <w:sz w:val="14"/>
              </w:rPr>
              <w:t>Impairment loss</w:t>
            </w:r>
          </w:p>
        </w:tc>
        <w:tc>
          <w:tcPr>
            <w:tcW w:w="1456" w:type="dxa"/>
            <w:gridSpan w:val="2"/>
            <w:tcBorders>
              <w:left w:val="nil"/>
            </w:tcBorders>
          </w:tcPr>
          <w:p w14:paraId="0BB2E5DB" w14:textId="77777777" w:rsidR="00361651" w:rsidRDefault="00361651" w:rsidP="00EB33C1">
            <w:pPr>
              <w:pStyle w:val="IASBTableHeaderArial"/>
              <w:spacing w:after="120"/>
              <w:jc w:val="right"/>
            </w:pPr>
            <w:r>
              <w:rPr>
                <w:b/>
                <w:i/>
                <w:sz w:val="14"/>
              </w:rPr>
              <w:t>Carrying amount after impairment</w:t>
            </w:r>
          </w:p>
        </w:tc>
      </w:tr>
      <w:tr w:rsidR="00361651" w14:paraId="0BB2E5E7" w14:textId="77777777" w:rsidTr="009709A2">
        <w:trPr>
          <w:cantSplit/>
          <w:tblHeader/>
        </w:trPr>
        <w:tc>
          <w:tcPr>
            <w:tcW w:w="1928" w:type="dxa"/>
            <w:tcBorders>
              <w:top w:val="nil"/>
            </w:tcBorders>
            <w:vAlign w:val="bottom"/>
          </w:tcPr>
          <w:p w14:paraId="0BB2E5DD" w14:textId="77777777" w:rsidR="00361651" w:rsidRDefault="00361651" w:rsidP="00EB33C1">
            <w:pPr>
              <w:pStyle w:val="IASBTableHeaderArial"/>
              <w:spacing w:after="120"/>
            </w:pPr>
          </w:p>
        </w:tc>
        <w:tc>
          <w:tcPr>
            <w:tcW w:w="1456" w:type="dxa"/>
            <w:tcBorders>
              <w:top w:val="nil"/>
              <w:left w:val="nil"/>
            </w:tcBorders>
          </w:tcPr>
          <w:p w14:paraId="0BB2E5DE" w14:textId="77777777" w:rsidR="00361651" w:rsidRDefault="00361651" w:rsidP="00EB33C1">
            <w:pPr>
              <w:pStyle w:val="IASBTableHeaderArial"/>
              <w:spacing w:after="120"/>
              <w:jc w:val="right"/>
            </w:pPr>
            <w:r>
              <w:rPr>
                <w:b/>
                <w:sz w:val="14"/>
              </w:rPr>
              <w:t>CU</w:t>
            </w:r>
          </w:p>
        </w:tc>
        <w:tc>
          <w:tcPr>
            <w:tcW w:w="364" w:type="dxa"/>
            <w:tcBorders>
              <w:top w:val="nil"/>
              <w:left w:val="nil"/>
            </w:tcBorders>
          </w:tcPr>
          <w:p w14:paraId="0BB2E5DF" w14:textId="77777777" w:rsidR="00361651" w:rsidRDefault="00361651" w:rsidP="00EB33C1">
            <w:pPr>
              <w:pStyle w:val="IASBTableHeaderArial"/>
              <w:spacing w:after="120"/>
              <w:jc w:val="right"/>
            </w:pPr>
          </w:p>
        </w:tc>
        <w:tc>
          <w:tcPr>
            <w:tcW w:w="1092" w:type="dxa"/>
            <w:tcBorders>
              <w:top w:val="nil"/>
              <w:left w:val="nil"/>
            </w:tcBorders>
          </w:tcPr>
          <w:p w14:paraId="0BB2E5E0" w14:textId="77777777" w:rsidR="00361651" w:rsidRDefault="00361651" w:rsidP="00EB33C1">
            <w:pPr>
              <w:pStyle w:val="IASBTableHeaderArial"/>
              <w:spacing w:after="120"/>
              <w:jc w:val="right"/>
            </w:pPr>
            <w:r>
              <w:rPr>
                <w:b/>
                <w:sz w:val="14"/>
              </w:rPr>
              <w:t>CU</w:t>
            </w:r>
          </w:p>
        </w:tc>
        <w:tc>
          <w:tcPr>
            <w:tcW w:w="364" w:type="dxa"/>
            <w:tcBorders>
              <w:top w:val="nil"/>
              <w:left w:val="nil"/>
            </w:tcBorders>
          </w:tcPr>
          <w:p w14:paraId="0BB2E5E1" w14:textId="77777777" w:rsidR="00361651" w:rsidRDefault="00361651" w:rsidP="00EB33C1">
            <w:pPr>
              <w:pStyle w:val="IASBTableHeaderArial"/>
              <w:spacing w:after="120"/>
              <w:jc w:val="right"/>
            </w:pPr>
          </w:p>
        </w:tc>
        <w:tc>
          <w:tcPr>
            <w:tcW w:w="1092" w:type="dxa"/>
            <w:tcBorders>
              <w:top w:val="nil"/>
              <w:left w:val="nil"/>
            </w:tcBorders>
          </w:tcPr>
          <w:p w14:paraId="0BB2E5E2" w14:textId="77777777" w:rsidR="00361651" w:rsidRDefault="00361651" w:rsidP="00EB33C1">
            <w:pPr>
              <w:pStyle w:val="IASBTableHeaderArial"/>
              <w:spacing w:after="120"/>
              <w:jc w:val="right"/>
            </w:pPr>
            <w:r>
              <w:rPr>
                <w:b/>
                <w:sz w:val="14"/>
              </w:rPr>
              <w:t>CU</w:t>
            </w:r>
          </w:p>
        </w:tc>
        <w:tc>
          <w:tcPr>
            <w:tcW w:w="364" w:type="dxa"/>
            <w:tcBorders>
              <w:top w:val="nil"/>
              <w:left w:val="nil"/>
            </w:tcBorders>
          </w:tcPr>
          <w:p w14:paraId="0BB2E5E3" w14:textId="77777777" w:rsidR="00361651" w:rsidRDefault="00361651" w:rsidP="00EB33C1">
            <w:pPr>
              <w:pStyle w:val="IASBTableHeaderArial"/>
              <w:spacing w:after="120"/>
              <w:jc w:val="right"/>
            </w:pPr>
          </w:p>
        </w:tc>
        <w:tc>
          <w:tcPr>
            <w:tcW w:w="1092" w:type="dxa"/>
            <w:tcBorders>
              <w:top w:val="nil"/>
              <w:left w:val="nil"/>
            </w:tcBorders>
          </w:tcPr>
          <w:p w14:paraId="0BB2E5E4" w14:textId="77777777" w:rsidR="00361651" w:rsidRDefault="00361651" w:rsidP="00EB33C1">
            <w:pPr>
              <w:pStyle w:val="IASBTableHeaderArial"/>
              <w:spacing w:after="120"/>
              <w:jc w:val="right"/>
            </w:pPr>
            <w:r>
              <w:rPr>
                <w:b/>
                <w:sz w:val="14"/>
              </w:rPr>
              <w:t>CU</w:t>
            </w:r>
          </w:p>
        </w:tc>
        <w:tc>
          <w:tcPr>
            <w:tcW w:w="364" w:type="dxa"/>
            <w:tcBorders>
              <w:top w:val="nil"/>
              <w:left w:val="nil"/>
            </w:tcBorders>
          </w:tcPr>
          <w:p w14:paraId="0BB2E5E5" w14:textId="77777777" w:rsidR="00361651" w:rsidRDefault="00361651" w:rsidP="00EB33C1">
            <w:pPr>
              <w:pStyle w:val="IASBTableHeaderArial"/>
              <w:spacing w:after="120"/>
              <w:jc w:val="right"/>
            </w:pPr>
          </w:p>
        </w:tc>
        <w:tc>
          <w:tcPr>
            <w:tcW w:w="1092" w:type="dxa"/>
            <w:tcBorders>
              <w:top w:val="nil"/>
              <w:left w:val="nil"/>
            </w:tcBorders>
          </w:tcPr>
          <w:p w14:paraId="0BB2E5E6" w14:textId="77777777" w:rsidR="00361651" w:rsidRDefault="00361651" w:rsidP="00EB33C1">
            <w:pPr>
              <w:pStyle w:val="IASBTableHeaderArial"/>
              <w:spacing w:after="120"/>
              <w:jc w:val="right"/>
            </w:pPr>
            <w:r>
              <w:rPr>
                <w:b/>
                <w:sz w:val="14"/>
              </w:rPr>
              <w:t>CU</w:t>
            </w:r>
          </w:p>
        </w:tc>
      </w:tr>
      <w:tr w:rsidR="00361651" w14:paraId="0BB2E5F2" w14:textId="77777777" w:rsidTr="009709A2">
        <w:trPr>
          <w:cantSplit/>
        </w:trPr>
        <w:tc>
          <w:tcPr>
            <w:tcW w:w="1928" w:type="dxa"/>
            <w:tcBorders>
              <w:top w:val="nil"/>
            </w:tcBorders>
          </w:tcPr>
          <w:p w14:paraId="0BB2E5E8" w14:textId="77777777" w:rsidR="00361651" w:rsidRDefault="00361651" w:rsidP="009709A2">
            <w:pPr>
              <w:pStyle w:val="IASBTableArial"/>
            </w:pPr>
            <w:r>
              <w:rPr>
                <w:sz w:val="14"/>
              </w:rPr>
              <w:t>20X0</w:t>
            </w:r>
          </w:p>
        </w:tc>
        <w:tc>
          <w:tcPr>
            <w:tcW w:w="1456" w:type="dxa"/>
            <w:tcBorders>
              <w:top w:val="nil"/>
              <w:left w:val="nil"/>
            </w:tcBorders>
            <w:vAlign w:val="bottom"/>
          </w:tcPr>
          <w:p w14:paraId="0BB2E5E9" w14:textId="77777777" w:rsidR="00361651" w:rsidRDefault="00361651" w:rsidP="009709A2">
            <w:pPr>
              <w:pStyle w:val="IASBTableArial"/>
              <w:jc w:val="right"/>
            </w:pPr>
            <w:r>
              <w:rPr>
                <w:sz w:val="14"/>
              </w:rPr>
              <w:t>150,000</w:t>
            </w:r>
          </w:p>
        </w:tc>
        <w:tc>
          <w:tcPr>
            <w:tcW w:w="364" w:type="dxa"/>
            <w:tcBorders>
              <w:top w:val="nil"/>
              <w:left w:val="nil"/>
            </w:tcBorders>
            <w:vAlign w:val="bottom"/>
          </w:tcPr>
          <w:p w14:paraId="0BB2E5EA" w14:textId="77777777" w:rsidR="00361651" w:rsidRDefault="00361651" w:rsidP="009709A2">
            <w:pPr>
              <w:pStyle w:val="IASBTableArial"/>
            </w:pPr>
          </w:p>
        </w:tc>
        <w:tc>
          <w:tcPr>
            <w:tcW w:w="1092" w:type="dxa"/>
            <w:tcBorders>
              <w:top w:val="nil"/>
              <w:left w:val="nil"/>
            </w:tcBorders>
            <w:vAlign w:val="bottom"/>
          </w:tcPr>
          <w:p w14:paraId="0BB2E5EB" w14:textId="77777777" w:rsidR="00361651" w:rsidRDefault="00361651" w:rsidP="009709A2">
            <w:pPr>
              <w:pStyle w:val="IASBTableArial"/>
              <w:jc w:val="right"/>
            </w:pPr>
            <w:r>
              <w:rPr>
                <w:sz w:val="14"/>
              </w:rPr>
              <w:t>121,128</w:t>
            </w:r>
          </w:p>
        </w:tc>
        <w:tc>
          <w:tcPr>
            <w:tcW w:w="364" w:type="dxa"/>
            <w:tcBorders>
              <w:top w:val="nil"/>
              <w:left w:val="nil"/>
            </w:tcBorders>
            <w:vAlign w:val="bottom"/>
          </w:tcPr>
          <w:p w14:paraId="0BB2E5EC" w14:textId="77777777" w:rsidR="00361651" w:rsidRDefault="00361651" w:rsidP="009709A2">
            <w:pPr>
              <w:pStyle w:val="IASBTableArial"/>
            </w:pPr>
          </w:p>
        </w:tc>
        <w:tc>
          <w:tcPr>
            <w:tcW w:w="1092" w:type="dxa"/>
            <w:tcBorders>
              <w:top w:val="nil"/>
              <w:left w:val="nil"/>
            </w:tcBorders>
          </w:tcPr>
          <w:p w14:paraId="0BB2E5ED" w14:textId="77777777" w:rsidR="00361651" w:rsidRDefault="00361651" w:rsidP="009709A2">
            <w:pPr>
              <w:pStyle w:val="IASBTableArial"/>
              <w:jc w:val="right"/>
            </w:pPr>
            <w:r>
              <w:rPr>
                <w:sz w:val="14"/>
              </w:rPr>
              <w:t>0</w:t>
            </w:r>
          </w:p>
        </w:tc>
        <w:tc>
          <w:tcPr>
            <w:tcW w:w="364" w:type="dxa"/>
            <w:tcBorders>
              <w:top w:val="nil"/>
              <w:left w:val="nil"/>
            </w:tcBorders>
            <w:vAlign w:val="bottom"/>
          </w:tcPr>
          <w:p w14:paraId="0BB2E5EE" w14:textId="77777777" w:rsidR="00361651" w:rsidRDefault="00361651" w:rsidP="009709A2">
            <w:pPr>
              <w:pStyle w:val="IASBTableArial"/>
            </w:pPr>
          </w:p>
        </w:tc>
        <w:tc>
          <w:tcPr>
            <w:tcW w:w="1092" w:type="dxa"/>
            <w:tcBorders>
              <w:top w:val="nil"/>
              <w:left w:val="nil"/>
            </w:tcBorders>
            <w:vAlign w:val="bottom"/>
          </w:tcPr>
          <w:p w14:paraId="0BB2E5EF" w14:textId="77777777" w:rsidR="00361651" w:rsidRDefault="00361651" w:rsidP="009709A2">
            <w:pPr>
              <w:pStyle w:val="IASBTableArial"/>
              <w:jc w:val="right"/>
            </w:pPr>
            <w:r>
              <w:rPr>
                <w:sz w:val="14"/>
              </w:rPr>
              <w:t>(28,872)</w:t>
            </w:r>
          </w:p>
        </w:tc>
        <w:tc>
          <w:tcPr>
            <w:tcW w:w="364" w:type="dxa"/>
            <w:tcBorders>
              <w:top w:val="nil"/>
              <w:left w:val="nil"/>
            </w:tcBorders>
            <w:vAlign w:val="bottom"/>
          </w:tcPr>
          <w:p w14:paraId="0BB2E5F0" w14:textId="77777777" w:rsidR="00361651" w:rsidRDefault="00361651" w:rsidP="009709A2">
            <w:pPr>
              <w:pStyle w:val="IASBTableArial"/>
            </w:pPr>
          </w:p>
        </w:tc>
        <w:tc>
          <w:tcPr>
            <w:tcW w:w="1092" w:type="dxa"/>
            <w:tcBorders>
              <w:top w:val="nil"/>
              <w:left w:val="nil"/>
            </w:tcBorders>
            <w:vAlign w:val="bottom"/>
          </w:tcPr>
          <w:p w14:paraId="0BB2E5F1" w14:textId="77777777" w:rsidR="00361651" w:rsidRDefault="00361651" w:rsidP="009709A2">
            <w:pPr>
              <w:pStyle w:val="IASBTableArial"/>
              <w:jc w:val="right"/>
            </w:pPr>
            <w:r>
              <w:rPr>
                <w:sz w:val="14"/>
              </w:rPr>
              <w:t>121,128</w:t>
            </w:r>
          </w:p>
        </w:tc>
      </w:tr>
      <w:tr w:rsidR="00361651" w14:paraId="0BB2E5FD" w14:textId="77777777" w:rsidTr="009709A2">
        <w:trPr>
          <w:cantSplit/>
        </w:trPr>
        <w:tc>
          <w:tcPr>
            <w:tcW w:w="1928" w:type="dxa"/>
            <w:tcBorders>
              <w:top w:val="nil"/>
            </w:tcBorders>
          </w:tcPr>
          <w:p w14:paraId="0BB2E5F3" w14:textId="77777777" w:rsidR="00361651" w:rsidRDefault="00361651" w:rsidP="009709A2">
            <w:pPr>
              <w:pStyle w:val="IASBTableArial"/>
            </w:pPr>
            <w:r>
              <w:rPr>
                <w:sz w:val="14"/>
              </w:rPr>
              <w:t>20X1</w:t>
            </w:r>
          </w:p>
        </w:tc>
        <w:tc>
          <w:tcPr>
            <w:tcW w:w="1456" w:type="dxa"/>
            <w:tcBorders>
              <w:top w:val="nil"/>
              <w:left w:val="nil"/>
            </w:tcBorders>
            <w:vAlign w:val="bottom"/>
          </w:tcPr>
          <w:p w14:paraId="0BB2E5F4" w14:textId="77777777" w:rsidR="00361651" w:rsidRDefault="00361651" w:rsidP="009709A2">
            <w:pPr>
              <w:pStyle w:val="IASBTableArial"/>
              <w:jc w:val="right"/>
            </w:pPr>
            <w:r>
              <w:rPr>
                <w:sz w:val="14"/>
              </w:rPr>
              <w:t>135,000</w:t>
            </w:r>
          </w:p>
        </w:tc>
        <w:tc>
          <w:tcPr>
            <w:tcW w:w="364" w:type="dxa"/>
            <w:tcBorders>
              <w:top w:val="nil"/>
              <w:left w:val="nil"/>
            </w:tcBorders>
            <w:vAlign w:val="bottom"/>
          </w:tcPr>
          <w:p w14:paraId="0BB2E5F5" w14:textId="77777777" w:rsidR="00361651" w:rsidRDefault="00361651" w:rsidP="009709A2">
            <w:pPr>
              <w:pStyle w:val="IASBTableArial"/>
            </w:pPr>
          </w:p>
        </w:tc>
        <w:tc>
          <w:tcPr>
            <w:tcW w:w="1092" w:type="dxa"/>
            <w:tcBorders>
              <w:top w:val="nil"/>
              <w:left w:val="nil"/>
            </w:tcBorders>
            <w:vAlign w:val="bottom"/>
          </w:tcPr>
          <w:p w14:paraId="0BB2E5F6" w14:textId="77777777" w:rsidR="00361651" w:rsidRDefault="00361651" w:rsidP="009709A2">
            <w:pPr>
              <w:pStyle w:val="IASBTableArial"/>
              <w:jc w:val="right"/>
            </w:pPr>
            <w:r>
              <w:rPr>
                <w:sz w:val="14"/>
              </w:rPr>
              <w:t>nc</w:t>
            </w:r>
          </w:p>
        </w:tc>
        <w:tc>
          <w:tcPr>
            <w:tcW w:w="364" w:type="dxa"/>
            <w:tcBorders>
              <w:top w:val="nil"/>
              <w:left w:val="nil"/>
            </w:tcBorders>
          </w:tcPr>
          <w:p w14:paraId="0BB2E5F7" w14:textId="77777777" w:rsidR="00361651" w:rsidRDefault="00361651" w:rsidP="009709A2">
            <w:pPr>
              <w:pStyle w:val="IASBTableArial"/>
            </w:pPr>
          </w:p>
        </w:tc>
        <w:tc>
          <w:tcPr>
            <w:tcW w:w="1092" w:type="dxa"/>
            <w:tcBorders>
              <w:top w:val="nil"/>
              <w:left w:val="nil"/>
            </w:tcBorders>
            <w:vAlign w:val="bottom"/>
          </w:tcPr>
          <w:p w14:paraId="0BB2E5F8" w14:textId="77777777" w:rsidR="00361651" w:rsidRDefault="00361651" w:rsidP="009709A2">
            <w:pPr>
              <w:pStyle w:val="IASBTableArial"/>
              <w:jc w:val="right"/>
            </w:pPr>
            <w:r>
              <w:rPr>
                <w:sz w:val="14"/>
              </w:rPr>
              <w:t>(12,113)</w:t>
            </w:r>
          </w:p>
        </w:tc>
        <w:tc>
          <w:tcPr>
            <w:tcW w:w="364" w:type="dxa"/>
            <w:tcBorders>
              <w:top w:val="nil"/>
              <w:left w:val="nil"/>
            </w:tcBorders>
            <w:vAlign w:val="bottom"/>
          </w:tcPr>
          <w:p w14:paraId="0BB2E5F9" w14:textId="77777777" w:rsidR="00361651" w:rsidRDefault="00361651" w:rsidP="009709A2">
            <w:pPr>
              <w:pStyle w:val="IASBTableArial"/>
            </w:pPr>
          </w:p>
        </w:tc>
        <w:tc>
          <w:tcPr>
            <w:tcW w:w="1092" w:type="dxa"/>
            <w:tcBorders>
              <w:top w:val="nil"/>
              <w:left w:val="nil"/>
            </w:tcBorders>
          </w:tcPr>
          <w:p w14:paraId="0BB2E5FA" w14:textId="77777777" w:rsidR="00361651" w:rsidRDefault="00361651" w:rsidP="009709A2">
            <w:pPr>
              <w:pStyle w:val="IASBTableArial"/>
              <w:jc w:val="right"/>
            </w:pPr>
            <w:r>
              <w:rPr>
                <w:sz w:val="14"/>
              </w:rPr>
              <w:t>0</w:t>
            </w:r>
          </w:p>
        </w:tc>
        <w:tc>
          <w:tcPr>
            <w:tcW w:w="364" w:type="dxa"/>
            <w:tcBorders>
              <w:top w:val="nil"/>
              <w:left w:val="nil"/>
            </w:tcBorders>
            <w:vAlign w:val="bottom"/>
          </w:tcPr>
          <w:p w14:paraId="0BB2E5FB" w14:textId="77777777" w:rsidR="00361651" w:rsidRDefault="00361651" w:rsidP="009709A2">
            <w:pPr>
              <w:pStyle w:val="IASBTableArial"/>
            </w:pPr>
          </w:p>
        </w:tc>
        <w:tc>
          <w:tcPr>
            <w:tcW w:w="1092" w:type="dxa"/>
            <w:tcBorders>
              <w:top w:val="nil"/>
              <w:left w:val="nil"/>
            </w:tcBorders>
            <w:vAlign w:val="bottom"/>
          </w:tcPr>
          <w:p w14:paraId="0BB2E5FC" w14:textId="77777777" w:rsidR="00361651" w:rsidRDefault="00361651" w:rsidP="009709A2">
            <w:pPr>
              <w:pStyle w:val="IASBTableArial"/>
              <w:jc w:val="right"/>
            </w:pPr>
            <w:r>
              <w:rPr>
                <w:sz w:val="14"/>
              </w:rPr>
              <w:t>109,015</w:t>
            </w:r>
          </w:p>
        </w:tc>
      </w:tr>
      <w:tr w:rsidR="00361651" w14:paraId="0BB2E608" w14:textId="77777777" w:rsidTr="009709A2">
        <w:trPr>
          <w:cantSplit/>
        </w:trPr>
        <w:tc>
          <w:tcPr>
            <w:tcW w:w="1928" w:type="dxa"/>
            <w:tcBorders>
              <w:top w:val="nil"/>
            </w:tcBorders>
          </w:tcPr>
          <w:p w14:paraId="0BB2E5FE" w14:textId="77777777" w:rsidR="00361651" w:rsidRDefault="00361651" w:rsidP="009709A2">
            <w:pPr>
              <w:pStyle w:val="IASBTableArial"/>
            </w:pPr>
            <w:r>
              <w:rPr>
                <w:sz w:val="14"/>
              </w:rPr>
              <w:t>20X2</w:t>
            </w:r>
          </w:p>
        </w:tc>
        <w:tc>
          <w:tcPr>
            <w:tcW w:w="1456" w:type="dxa"/>
            <w:tcBorders>
              <w:top w:val="nil"/>
              <w:left w:val="nil"/>
            </w:tcBorders>
            <w:vAlign w:val="bottom"/>
          </w:tcPr>
          <w:p w14:paraId="0BB2E5FF" w14:textId="77777777" w:rsidR="00361651" w:rsidRDefault="00361651" w:rsidP="009709A2">
            <w:pPr>
              <w:pStyle w:val="IASBTableArial"/>
              <w:jc w:val="right"/>
            </w:pPr>
            <w:r>
              <w:rPr>
                <w:sz w:val="14"/>
              </w:rPr>
              <w:t>120,000</w:t>
            </w:r>
          </w:p>
        </w:tc>
        <w:tc>
          <w:tcPr>
            <w:tcW w:w="364" w:type="dxa"/>
            <w:tcBorders>
              <w:top w:val="nil"/>
              <w:left w:val="nil"/>
            </w:tcBorders>
            <w:vAlign w:val="bottom"/>
          </w:tcPr>
          <w:p w14:paraId="0BB2E600" w14:textId="77777777" w:rsidR="00361651" w:rsidRDefault="00361651" w:rsidP="009709A2">
            <w:pPr>
              <w:pStyle w:val="IASBTableArial"/>
            </w:pPr>
          </w:p>
        </w:tc>
        <w:tc>
          <w:tcPr>
            <w:tcW w:w="1092" w:type="dxa"/>
            <w:tcBorders>
              <w:top w:val="nil"/>
              <w:left w:val="nil"/>
            </w:tcBorders>
            <w:vAlign w:val="bottom"/>
          </w:tcPr>
          <w:p w14:paraId="0BB2E601" w14:textId="77777777" w:rsidR="00361651" w:rsidRDefault="00361651" w:rsidP="009709A2">
            <w:pPr>
              <w:pStyle w:val="IASBTableArial"/>
              <w:jc w:val="right"/>
            </w:pPr>
            <w:r>
              <w:rPr>
                <w:sz w:val="14"/>
              </w:rPr>
              <w:t>nc</w:t>
            </w:r>
          </w:p>
        </w:tc>
        <w:tc>
          <w:tcPr>
            <w:tcW w:w="364" w:type="dxa"/>
            <w:tcBorders>
              <w:top w:val="nil"/>
              <w:left w:val="nil"/>
            </w:tcBorders>
          </w:tcPr>
          <w:p w14:paraId="0BB2E602" w14:textId="77777777" w:rsidR="00361651" w:rsidRDefault="00361651" w:rsidP="009709A2">
            <w:pPr>
              <w:pStyle w:val="IASBTableArial"/>
            </w:pPr>
          </w:p>
        </w:tc>
        <w:tc>
          <w:tcPr>
            <w:tcW w:w="1092" w:type="dxa"/>
            <w:tcBorders>
              <w:top w:val="nil"/>
              <w:left w:val="nil"/>
            </w:tcBorders>
            <w:vAlign w:val="bottom"/>
          </w:tcPr>
          <w:p w14:paraId="0BB2E603" w14:textId="77777777" w:rsidR="00361651" w:rsidRDefault="00361651" w:rsidP="009709A2">
            <w:pPr>
              <w:pStyle w:val="IASBTableArial"/>
              <w:jc w:val="right"/>
            </w:pPr>
            <w:r>
              <w:rPr>
                <w:sz w:val="14"/>
              </w:rPr>
              <w:t>(12,113)</w:t>
            </w:r>
          </w:p>
        </w:tc>
        <w:tc>
          <w:tcPr>
            <w:tcW w:w="364" w:type="dxa"/>
            <w:tcBorders>
              <w:top w:val="nil"/>
              <w:left w:val="nil"/>
            </w:tcBorders>
            <w:vAlign w:val="bottom"/>
          </w:tcPr>
          <w:p w14:paraId="0BB2E604" w14:textId="77777777" w:rsidR="00361651" w:rsidRDefault="00361651" w:rsidP="009709A2">
            <w:pPr>
              <w:pStyle w:val="IASBTableArial"/>
            </w:pPr>
          </w:p>
        </w:tc>
        <w:tc>
          <w:tcPr>
            <w:tcW w:w="1092" w:type="dxa"/>
            <w:tcBorders>
              <w:top w:val="nil"/>
              <w:left w:val="nil"/>
            </w:tcBorders>
          </w:tcPr>
          <w:p w14:paraId="0BB2E605" w14:textId="77777777" w:rsidR="00361651" w:rsidRDefault="00361651" w:rsidP="009709A2">
            <w:pPr>
              <w:pStyle w:val="IASBTableArial"/>
              <w:jc w:val="right"/>
            </w:pPr>
            <w:r>
              <w:rPr>
                <w:sz w:val="14"/>
              </w:rPr>
              <w:t>0</w:t>
            </w:r>
          </w:p>
        </w:tc>
        <w:tc>
          <w:tcPr>
            <w:tcW w:w="364" w:type="dxa"/>
            <w:tcBorders>
              <w:top w:val="nil"/>
              <w:left w:val="nil"/>
            </w:tcBorders>
            <w:vAlign w:val="bottom"/>
          </w:tcPr>
          <w:p w14:paraId="0BB2E606" w14:textId="77777777" w:rsidR="00361651" w:rsidRDefault="00361651" w:rsidP="009709A2">
            <w:pPr>
              <w:pStyle w:val="IASBTableArial"/>
            </w:pPr>
          </w:p>
        </w:tc>
        <w:tc>
          <w:tcPr>
            <w:tcW w:w="1092" w:type="dxa"/>
            <w:tcBorders>
              <w:top w:val="nil"/>
              <w:left w:val="nil"/>
            </w:tcBorders>
            <w:vAlign w:val="bottom"/>
          </w:tcPr>
          <w:p w14:paraId="0BB2E607" w14:textId="77777777" w:rsidR="00361651" w:rsidRDefault="00361651" w:rsidP="009709A2">
            <w:pPr>
              <w:pStyle w:val="IASBTableArial"/>
              <w:jc w:val="right"/>
            </w:pPr>
            <w:r>
              <w:rPr>
                <w:sz w:val="14"/>
              </w:rPr>
              <w:t>96,902</w:t>
            </w:r>
          </w:p>
        </w:tc>
      </w:tr>
      <w:tr w:rsidR="00361651" w14:paraId="0BB2E613" w14:textId="77777777" w:rsidTr="009709A2">
        <w:trPr>
          <w:cantSplit/>
        </w:trPr>
        <w:tc>
          <w:tcPr>
            <w:tcW w:w="1928" w:type="dxa"/>
            <w:tcBorders>
              <w:top w:val="nil"/>
            </w:tcBorders>
          </w:tcPr>
          <w:p w14:paraId="0BB2E609" w14:textId="77777777" w:rsidR="00361651" w:rsidRDefault="00361651" w:rsidP="009709A2">
            <w:pPr>
              <w:pStyle w:val="IASBTableArial"/>
            </w:pPr>
            <w:r>
              <w:rPr>
                <w:sz w:val="14"/>
              </w:rPr>
              <w:t>20X3</w:t>
            </w:r>
          </w:p>
        </w:tc>
        <w:tc>
          <w:tcPr>
            <w:tcW w:w="1456" w:type="dxa"/>
            <w:tcBorders>
              <w:top w:val="nil"/>
              <w:left w:val="nil"/>
            </w:tcBorders>
            <w:vAlign w:val="bottom"/>
          </w:tcPr>
          <w:p w14:paraId="0BB2E60A" w14:textId="77777777" w:rsidR="00361651" w:rsidRDefault="00361651" w:rsidP="009709A2">
            <w:pPr>
              <w:pStyle w:val="IASBTableArial"/>
              <w:jc w:val="right"/>
            </w:pPr>
            <w:r>
              <w:rPr>
                <w:sz w:val="14"/>
              </w:rPr>
              <w:t>105,000</w:t>
            </w:r>
          </w:p>
        </w:tc>
        <w:tc>
          <w:tcPr>
            <w:tcW w:w="364" w:type="dxa"/>
            <w:tcBorders>
              <w:top w:val="nil"/>
              <w:left w:val="nil"/>
            </w:tcBorders>
            <w:vAlign w:val="bottom"/>
          </w:tcPr>
          <w:p w14:paraId="0BB2E60B" w14:textId="77777777" w:rsidR="00361651" w:rsidRDefault="00361651" w:rsidP="009709A2">
            <w:pPr>
              <w:pStyle w:val="IASBTableArial"/>
            </w:pPr>
          </w:p>
        </w:tc>
        <w:tc>
          <w:tcPr>
            <w:tcW w:w="1092" w:type="dxa"/>
            <w:tcBorders>
              <w:top w:val="nil"/>
              <w:left w:val="nil"/>
            </w:tcBorders>
            <w:vAlign w:val="bottom"/>
          </w:tcPr>
          <w:p w14:paraId="0BB2E60C" w14:textId="77777777" w:rsidR="00361651" w:rsidRDefault="00361651" w:rsidP="009709A2">
            <w:pPr>
              <w:pStyle w:val="IASBTableArial"/>
              <w:jc w:val="right"/>
            </w:pPr>
            <w:r>
              <w:rPr>
                <w:sz w:val="14"/>
              </w:rPr>
              <w:t>nc</w:t>
            </w:r>
          </w:p>
        </w:tc>
        <w:tc>
          <w:tcPr>
            <w:tcW w:w="364" w:type="dxa"/>
            <w:tcBorders>
              <w:top w:val="nil"/>
              <w:left w:val="nil"/>
            </w:tcBorders>
          </w:tcPr>
          <w:p w14:paraId="0BB2E60D" w14:textId="77777777" w:rsidR="00361651" w:rsidRDefault="00361651" w:rsidP="009709A2">
            <w:pPr>
              <w:pStyle w:val="IASBTableArial"/>
            </w:pPr>
          </w:p>
        </w:tc>
        <w:tc>
          <w:tcPr>
            <w:tcW w:w="1092" w:type="dxa"/>
            <w:tcBorders>
              <w:top w:val="nil"/>
              <w:left w:val="nil"/>
            </w:tcBorders>
            <w:vAlign w:val="bottom"/>
          </w:tcPr>
          <w:p w14:paraId="0BB2E60E" w14:textId="77777777" w:rsidR="00361651" w:rsidRDefault="00361651" w:rsidP="009709A2">
            <w:pPr>
              <w:pStyle w:val="IASBTableArial"/>
              <w:jc w:val="right"/>
            </w:pPr>
            <w:r>
              <w:rPr>
                <w:sz w:val="14"/>
              </w:rPr>
              <w:t>(12,113)</w:t>
            </w:r>
          </w:p>
        </w:tc>
        <w:tc>
          <w:tcPr>
            <w:tcW w:w="364" w:type="dxa"/>
            <w:tcBorders>
              <w:top w:val="nil"/>
              <w:left w:val="nil"/>
            </w:tcBorders>
            <w:vAlign w:val="bottom"/>
          </w:tcPr>
          <w:p w14:paraId="0BB2E60F" w14:textId="77777777" w:rsidR="00361651" w:rsidRDefault="00361651" w:rsidP="009709A2">
            <w:pPr>
              <w:pStyle w:val="IASBTableArial"/>
            </w:pPr>
          </w:p>
        </w:tc>
        <w:tc>
          <w:tcPr>
            <w:tcW w:w="1092" w:type="dxa"/>
            <w:tcBorders>
              <w:top w:val="nil"/>
              <w:left w:val="nil"/>
            </w:tcBorders>
          </w:tcPr>
          <w:p w14:paraId="0BB2E610" w14:textId="77777777" w:rsidR="00361651" w:rsidRDefault="00361651" w:rsidP="009709A2">
            <w:pPr>
              <w:pStyle w:val="IASBTableArial"/>
              <w:jc w:val="right"/>
            </w:pPr>
            <w:r>
              <w:rPr>
                <w:sz w:val="14"/>
              </w:rPr>
              <w:t>0</w:t>
            </w:r>
          </w:p>
        </w:tc>
        <w:tc>
          <w:tcPr>
            <w:tcW w:w="364" w:type="dxa"/>
            <w:tcBorders>
              <w:top w:val="nil"/>
              <w:left w:val="nil"/>
            </w:tcBorders>
            <w:vAlign w:val="bottom"/>
          </w:tcPr>
          <w:p w14:paraId="0BB2E611" w14:textId="77777777" w:rsidR="00361651" w:rsidRDefault="00361651" w:rsidP="009709A2">
            <w:pPr>
              <w:pStyle w:val="IASBTableArial"/>
            </w:pPr>
          </w:p>
        </w:tc>
        <w:tc>
          <w:tcPr>
            <w:tcW w:w="1092" w:type="dxa"/>
            <w:tcBorders>
              <w:top w:val="nil"/>
              <w:left w:val="nil"/>
            </w:tcBorders>
            <w:vAlign w:val="bottom"/>
          </w:tcPr>
          <w:p w14:paraId="0BB2E612" w14:textId="77777777" w:rsidR="00361651" w:rsidRDefault="00361651" w:rsidP="009709A2">
            <w:pPr>
              <w:pStyle w:val="IASBTableArial"/>
              <w:jc w:val="right"/>
            </w:pPr>
            <w:r>
              <w:rPr>
                <w:sz w:val="14"/>
              </w:rPr>
              <w:t>84,789</w:t>
            </w:r>
          </w:p>
        </w:tc>
      </w:tr>
      <w:tr w:rsidR="00361651" w14:paraId="0BB2E61E" w14:textId="77777777" w:rsidTr="009709A2">
        <w:trPr>
          <w:cantSplit/>
        </w:trPr>
        <w:tc>
          <w:tcPr>
            <w:tcW w:w="1928" w:type="dxa"/>
            <w:tcBorders>
              <w:top w:val="nil"/>
            </w:tcBorders>
          </w:tcPr>
          <w:p w14:paraId="0BB2E614" w14:textId="77777777" w:rsidR="00361651" w:rsidRDefault="00361651" w:rsidP="009709A2">
            <w:pPr>
              <w:pStyle w:val="IASBTableArial"/>
            </w:pPr>
            <w:r>
              <w:rPr>
                <w:sz w:val="14"/>
              </w:rPr>
              <w:lastRenderedPageBreak/>
              <w:t>20X4</w:t>
            </w:r>
          </w:p>
        </w:tc>
        <w:tc>
          <w:tcPr>
            <w:tcW w:w="1456" w:type="dxa"/>
            <w:tcBorders>
              <w:top w:val="nil"/>
              <w:left w:val="nil"/>
            </w:tcBorders>
            <w:vAlign w:val="bottom"/>
          </w:tcPr>
          <w:p w14:paraId="0BB2E615" w14:textId="77777777" w:rsidR="00361651" w:rsidRDefault="00361651" w:rsidP="009709A2">
            <w:pPr>
              <w:pStyle w:val="IASBTableArial"/>
              <w:jc w:val="right"/>
            </w:pPr>
            <w:r>
              <w:rPr>
                <w:sz w:val="14"/>
              </w:rPr>
              <w:t>90,000</w:t>
            </w:r>
          </w:p>
        </w:tc>
        <w:tc>
          <w:tcPr>
            <w:tcW w:w="364" w:type="dxa"/>
            <w:tcBorders>
              <w:top w:val="nil"/>
              <w:left w:val="nil"/>
            </w:tcBorders>
            <w:vAlign w:val="bottom"/>
          </w:tcPr>
          <w:p w14:paraId="0BB2E616" w14:textId="77777777" w:rsidR="00361651" w:rsidRDefault="00361651" w:rsidP="009709A2">
            <w:pPr>
              <w:pStyle w:val="IASBTableArial"/>
            </w:pPr>
          </w:p>
        </w:tc>
        <w:tc>
          <w:tcPr>
            <w:tcW w:w="1092" w:type="dxa"/>
            <w:tcBorders>
              <w:top w:val="nil"/>
              <w:left w:val="nil"/>
            </w:tcBorders>
            <w:vAlign w:val="bottom"/>
          </w:tcPr>
          <w:p w14:paraId="0BB2E617" w14:textId="77777777" w:rsidR="00361651" w:rsidRDefault="00361651" w:rsidP="009709A2">
            <w:pPr>
              <w:pStyle w:val="IASBTableArial"/>
            </w:pPr>
            <w:r>
              <w:t xml:space="preserve"> </w:t>
            </w:r>
          </w:p>
        </w:tc>
        <w:tc>
          <w:tcPr>
            <w:tcW w:w="364" w:type="dxa"/>
            <w:tcBorders>
              <w:top w:val="nil"/>
              <w:left w:val="nil"/>
            </w:tcBorders>
          </w:tcPr>
          <w:p w14:paraId="0BB2E618" w14:textId="77777777" w:rsidR="00361651" w:rsidRDefault="00361651" w:rsidP="009709A2">
            <w:pPr>
              <w:pStyle w:val="IASBTableArial"/>
            </w:pPr>
          </w:p>
        </w:tc>
        <w:tc>
          <w:tcPr>
            <w:tcW w:w="1092" w:type="dxa"/>
            <w:tcBorders>
              <w:top w:val="nil"/>
              <w:left w:val="nil"/>
            </w:tcBorders>
            <w:vAlign w:val="bottom"/>
          </w:tcPr>
          <w:p w14:paraId="0BB2E619" w14:textId="77777777" w:rsidR="00361651" w:rsidRDefault="00361651" w:rsidP="009709A2">
            <w:pPr>
              <w:pStyle w:val="IASBTableArial"/>
              <w:jc w:val="right"/>
            </w:pPr>
            <w:r>
              <w:rPr>
                <w:sz w:val="14"/>
              </w:rPr>
              <w:t>(12,113)</w:t>
            </w:r>
          </w:p>
        </w:tc>
        <w:tc>
          <w:tcPr>
            <w:tcW w:w="364" w:type="dxa"/>
            <w:tcBorders>
              <w:top w:val="nil"/>
              <w:left w:val="nil"/>
            </w:tcBorders>
            <w:vAlign w:val="bottom"/>
          </w:tcPr>
          <w:p w14:paraId="0BB2E61A" w14:textId="77777777" w:rsidR="00361651" w:rsidRDefault="00361651" w:rsidP="009709A2">
            <w:pPr>
              <w:pStyle w:val="IASBTableArial"/>
            </w:pPr>
          </w:p>
        </w:tc>
        <w:tc>
          <w:tcPr>
            <w:tcW w:w="1092" w:type="dxa"/>
            <w:tcBorders>
              <w:top w:val="nil"/>
              <w:left w:val="nil"/>
            </w:tcBorders>
          </w:tcPr>
          <w:p w14:paraId="0BB2E61B" w14:textId="77777777" w:rsidR="00361651" w:rsidRDefault="00361651" w:rsidP="009709A2">
            <w:pPr>
              <w:pStyle w:val="IASBTableArial"/>
            </w:pPr>
            <w:r>
              <w:t xml:space="preserve"> </w:t>
            </w:r>
          </w:p>
        </w:tc>
        <w:tc>
          <w:tcPr>
            <w:tcW w:w="364" w:type="dxa"/>
            <w:tcBorders>
              <w:top w:val="nil"/>
              <w:left w:val="nil"/>
            </w:tcBorders>
            <w:vAlign w:val="bottom"/>
          </w:tcPr>
          <w:p w14:paraId="0BB2E61C" w14:textId="77777777" w:rsidR="00361651" w:rsidRDefault="00361651" w:rsidP="009709A2">
            <w:pPr>
              <w:pStyle w:val="IASBTableArial"/>
            </w:pPr>
          </w:p>
        </w:tc>
        <w:tc>
          <w:tcPr>
            <w:tcW w:w="1092" w:type="dxa"/>
            <w:tcBorders>
              <w:top w:val="nil"/>
              <w:left w:val="nil"/>
            </w:tcBorders>
            <w:vAlign w:val="bottom"/>
          </w:tcPr>
          <w:p w14:paraId="0BB2E61D" w14:textId="77777777" w:rsidR="00361651" w:rsidRDefault="00361651" w:rsidP="009709A2">
            <w:pPr>
              <w:pStyle w:val="IASBTableArial"/>
            </w:pPr>
            <w:r>
              <w:t xml:space="preserve"> </w:t>
            </w:r>
          </w:p>
        </w:tc>
      </w:tr>
      <w:tr w:rsidR="00361651" w14:paraId="0BB2E629" w14:textId="77777777" w:rsidTr="009709A2">
        <w:trPr>
          <w:cantSplit/>
        </w:trPr>
        <w:tc>
          <w:tcPr>
            <w:tcW w:w="1928" w:type="dxa"/>
            <w:tcBorders>
              <w:top w:val="nil"/>
            </w:tcBorders>
          </w:tcPr>
          <w:p w14:paraId="0BB2E61F" w14:textId="77777777" w:rsidR="00361651" w:rsidRDefault="00361651" w:rsidP="009709A2">
            <w:pPr>
              <w:pStyle w:val="IASBTableArial"/>
            </w:pPr>
            <w:r>
              <w:rPr>
                <w:sz w:val="14"/>
              </w:rPr>
              <w:t>enhancement</w:t>
            </w:r>
          </w:p>
        </w:tc>
        <w:tc>
          <w:tcPr>
            <w:tcW w:w="1456" w:type="dxa"/>
            <w:tcBorders>
              <w:top w:val="nil"/>
              <w:left w:val="nil"/>
              <w:bottom w:val="single" w:sz="4" w:space="0" w:color="auto"/>
            </w:tcBorders>
            <w:vAlign w:val="bottom"/>
          </w:tcPr>
          <w:p w14:paraId="0BB2E620" w14:textId="77777777" w:rsidR="00361651" w:rsidRDefault="00361651" w:rsidP="009709A2">
            <w:pPr>
              <w:pStyle w:val="IASBTableArial"/>
              <w:jc w:val="right"/>
            </w:pPr>
            <w:r>
              <w:rPr>
                <w:sz w:val="14"/>
              </w:rPr>
              <w:t>25,000</w:t>
            </w:r>
          </w:p>
        </w:tc>
        <w:tc>
          <w:tcPr>
            <w:tcW w:w="364" w:type="dxa"/>
            <w:tcBorders>
              <w:top w:val="nil"/>
              <w:left w:val="nil"/>
            </w:tcBorders>
            <w:vAlign w:val="bottom"/>
          </w:tcPr>
          <w:p w14:paraId="0BB2E621" w14:textId="77777777" w:rsidR="00361651" w:rsidRDefault="00361651" w:rsidP="009709A2">
            <w:pPr>
              <w:pStyle w:val="IASBTableArial"/>
            </w:pPr>
          </w:p>
        </w:tc>
        <w:tc>
          <w:tcPr>
            <w:tcW w:w="1092" w:type="dxa"/>
            <w:tcBorders>
              <w:top w:val="nil"/>
              <w:left w:val="nil"/>
            </w:tcBorders>
            <w:vAlign w:val="bottom"/>
          </w:tcPr>
          <w:p w14:paraId="0BB2E622" w14:textId="77777777" w:rsidR="00361651" w:rsidRDefault="00361651" w:rsidP="009709A2">
            <w:pPr>
              <w:pStyle w:val="IASBTableArial"/>
            </w:pPr>
            <w:r>
              <w:t xml:space="preserve"> </w:t>
            </w:r>
          </w:p>
        </w:tc>
        <w:tc>
          <w:tcPr>
            <w:tcW w:w="364" w:type="dxa"/>
            <w:tcBorders>
              <w:top w:val="nil"/>
              <w:left w:val="nil"/>
            </w:tcBorders>
          </w:tcPr>
          <w:p w14:paraId="0BB2E623" w14:textId="77777777" w:rsidR="00361651" w:rsidRDefault="00361651" w:rsidP="009709A2">
            <w:pPr>
              <w:pStyle w:val="IASBTableArial"/>
            </w:pPr>
          </w:p>
        </w:tc>
        <w:tc>
          <w:tcPr>
            <w:tcW w:w="1092" w:type="dxa"/>
            <w:tcBorders>
              <w:top w:val="nil"/>
              <w:left w:val="nil"/>
              <w:bottom w:val="single" w:sz="4" w:space="0" w:color="auto"/>
            </w:tcBorders>
          </w:tcPr>
          <w:p w14:paraId="0BB2E624" w14:textId="77777777" w:rsidR="00361651" w:rsidRDefault="00361651" w:rsidP="009709A2">
            <w:pPr>
              <w:pStyle w:val="IASBTableArial"/>
              <w:jc w:val="right"/>
            </w:pPr>
            <w:r>
              <w:t>–</w:t>
            </w:r>
          </w:p>
        </w:tc>
        <w:tc>
          <w:tcPr>
            <w:tcW w:w="364" w:type="dxa"/>
            <w:tcBorders>
              <w:top w:val="nil"/>
              <w:left w:val="nil"/>
            </w:tcBorders>
            <w:vAlign w:val="bottom"/>
          </w:tcPr>
          <w:p w14:paraId="0BB2E625" w14:textId="77777777" w:rsidR="00361651" w:rsidRDefault="00361651" w:rsidP="009709A2">
            <w:pPr>
              <w:pStyle w:val="IASBTableArial"/>
            </w:pPr>
          </w:p>
        </w:tc>
        <w:tc>
          <w:tcPr>
            <w:tcW w:w="1092" w:type="dxa"/>
            <w:tcBorders>
              <w:top w:val="nil"/>
              <w:left w:val="nil"/>
            </w:tcBorders>
          </w:tcPr>
          <w:p w14:paraId="0BB2E626" w14:textId="77777777" w:rsidR="00361651" w:rsidRDefault="00361651" w:rsidP="009709A2">
            <w:pPr>
              <w:pStyle w:val="IASBTableArial"/>
            </w:pPr>
            <w:r>
              <w:t xml:space="preserve"> </w:t>
            </w:r>
          </w:p>
        </w:tc>
        <w:tc>
          <w:tcPr>
            <w:tcW w:w="364" w:type="dxa"/>
            <w:tcBorders>
              <w:top w:val="nil"/>
              <w:left w:val="nil"/>
            </w:tcBorders>
            <w:vAlign w:val="bottom"/>
          </w:tcPr>
          <w:p w14:paraId="0BB2E627" w14:textId="77777777" w:rsidR="00361651" w:rsidRDefault="00361651" w:rsidP="009709A2">
            <w:pPr>
              <w:pStyle w:val="IASBTableArial"/>
            </w:pPr>
          </w:p>
        </w:tc>
        <w:tc>
          <w:tcPr>
            <w:tcW w:w="1092" w:type="dxa"/>
            <w:tcBorders>
              <w:top w:val="nil"/>
              <w:left w:val="nil"/>
            </w:tcBorders>
            <w:vAlign w:val="bottom"/>
          </w:tcPr>
          <w:p w14:paraId="0BB2E628" w14:textId="77777777" w:rsidR="00361651" w:rsidRDefault="00361651" w:rsidP="009709A2">
            <w:pPr>
              <w:pStyle w:val="IASBTableArial"/>
            </w:pPr>
            <w:r>
              <w:t xml:space="preserve"> </w:t>
            </w:r>
          </w:p>
        </w:tc>
      </w:tr>
      <w:tr w:rsidR="00361651" w14:paraId="0BB2E634" w14:textId="77777777" w:rsidTr="009709A2">
        <w:trPr>
          <w:cantSplit/>
        </w:trPr>
        <w:tc>
          <w:tcPr>
            <w:tcW w:w="1928" w:type="dxa"/>
            <w:tcBorders>
              <w:top w:val="nil"/>
            </w:tcBorders>
          </w:tcPr>
          <w:p w14:paraId="0BB2E62A" w14:textId="35E0B287" w:rsidR="00361651" w:rsidRDefault="00361651" w:rsidP="009709A2">
            <w:pPr>
              <w:pStyle w:val="IASBTableArial"/>
            </w:pPr>
          </w:p>
        </w:tc>
        <w:tc>
          <w:tcPr>
            <w:tcW w:w="1456" w:type="dxa"/>
            <w:tcBorders>
              <w:top w:val="nil"/>
              <w:left w:val="nil"/>
              <w:bottom w:val="double" w:sz="4" w:space="0" w:color="auto"/>
            </w:tcBorders>
            <w:vAlign w:val="bottom"/>
          </w:tcPr>
          <w:p w14:paraId="0BB2E62B" w14:textId="77777777" w:rsidR="00361651" w:rsidRDefault="00361651" w:rsidP="009709A2">
            <w:pPr>
              <w:pStyle w:val="IASBTableArial"/>
              <w:jc w:val="right"/>
            </w:pPr>
            <w:r>
              <w:rPr>
                <w:sz w:val="14"/>
              </w:rPr>
              <w:t>115,000</w:t>
            </w:r>
          </w:p>
        </w:tc>
        <w:tc>
          <w:tcPr>
            <w:tcW w:w="364" w:type="dxa"/>
            <w:tcBorders>
              <w:top w:val="nil"/>
              <w:left w:val="nil"/>
            </w:tcBorders>
            <w:vAlign w:val="bottom"/>
          </w:tcPr>
          <w:p w14:paraId="0BB2E62C" w14:textId="77777777" w:rsidR="00361651" w:rsidRDefault="00361651" w:rsidP="009709A2">
            <w:pPr>
              <w:pStyle w:val="IASBTableArial"/>
            </w:pPr>
          </w:p>
        </w:tc>
        <w:tc>
          <w:tcPr>
            <w:tcW w:w="1092" w:type="dxa"/>
            <w:tcBorders>
              <w:top w:val="nil"/>
              <w:left w:val="nil"/>
            </w:tcBorders>
            <w:vAlign w:val="bottom"/>
          </w:tcPr>
          <w:p w14:paraId="0BB2E62D" w14:textId="77777777" w:rsidR="00361651" w:rsidRDefault="00361651" w:rsidP="009709A2">
            <w:pPr>
              <w:pStyle w:val="IASBTableArial"/>
              <w:jc w:val="right"/>
            </w:pPr>
            <w:r>
              <w:rPr>
                <w:sz w:val="14"/>
              </w:rPr>
              <w:t>122,072</w:t>
            </w:r>
          </w:p>
        </w:tc>
        <w:tc>
          <w:tcPr>
            <w:tcW w:w="364" w:type="dxa"/>
            <w:tcBorders>
              <w:top w:val="nil"/>
              <w:left w:val="nil"/>
            </w:tcBorders>
          </w:tcPr>
          <w:p w14:paraId="0BB2E62E" w14:textId="77777777" w:rsidR="00361651" w:rsidRDefault="00361651" w:rsidP="009709A2">
            <w:pPr>
              <w:pStyle w:val="IASBTableArial"/>
            </w:pPr>
          </w:p>
        </w:tc>
        <w:tc>
          <w:tcPr>
            <w:tcW w:w="1092" w:type="dxa"/>
            <w:tcBorders>
              <w:top w:val="nil"/>
              <w:left w:val="nil"/>
              <w:bottom w:val="double" w:sz="4" w:space="0" w:color="auto"/>
            </w:tcBorders>
            <w:vAlign w:val="bottom"/>
          </w:tcPr>
          <w:p w14:paraId="0BB2E62F" w14:textId="77777777" w:rsidR="00361651" w:rsidRDefault="00361651" w:rsidP="009709A2">
            <w:pPr>
              <w:pStyle w:val="IASBTableArial"/>
              <w:jc w:val="right"/>
            </w:pPr>
            <w:r>
              <w:rPr>
                <w:sz w:val="14"/>
              </w:rPr>
              <w:t>(12,113)</w:t>
            </w:r>
          </w:p>
        </w:tc>
        <w:tc>
          <w:tcPr>
            <w:tcW w:w="364" w:type="dxa"/>
            <w:tcBorders>
              <w:top w:val="nil"/>
              <w:left w:val="nil"/>
            </w:tcBorders>
            <w:vAlign w:val="bottom"/>
          </w:tcPr>
          <w:p w14:paraId="0BB2E630" w14:textId="77777777" w:rsidR="00361651" w:rsidRDefault="00361651" w:rsidP="009709A2">
            <w:pPr>
              <w:pStyle w:val="IASBTableArial"/>
            </w:pPr>
          </w:p>
        </w:tc>
        <w:tc>
          <w:tcPr>
            <w:tcW w:w="1092" w:type="dxa"/>
            <w:tcBorders>
              <w:top w:val="nil"/>
              <w:left w:val="nil"/>
            </w:tcBorders>
          </w:tcPr>
          <w:p w14:paraId="0BB2E631" w14:textId="77777777" w:rsidR="00361651" w:rsidRDefault="00361651" w:rsidP="009709A2">
            <w:pPr>
              <w:pStyle w:val="IASBTableArial"/>
              <w:jc w:val="right"/>
            </w:pPr>
            <w:r>
              <w:rPr>
                <w:sz w:val="14"/>
              </w:rPr>
              <w:t>17,324</w:t>
            </w:r>
          </w:p>
        </w:tc>
        <w:tc>
          <w:tcPr>
            <w:tcW w:w="364" w:type="dxa"/>
            <w:tcBorders>
              <w:top w:val="nil"/>
              <w:left w:val="nil"/>
            </w:tcBorders>
            <w:vAlign w:val="bottom"/>
          </w:tcPr>
          <w:p w14:paraId="0BB2E632" w14:textId="77777777" w:rsidR="00361651" w:rsidRDefault="00361651" w:rsidP="009709A2">
            <w:pPr>
              <w:pStyle w:val="IASBTableArial"/>
            </w:pPr>
          </w:p>
        </w:tc>
        <w:tc>
          <w:tcPr>
            <w:tcW w:w="1092" w:type="dxa"/>
            <w:tcBorders>
              <w:top w:val="nil"/>
              <w:left w:val="nil"/>
            </w:tcBorders>
            <w:vAlign w:val="bottom"/>
          </w:tcPr>
          <w:p w14:paraId="0BB2E633" w14:textId="77777777" w:rsidR="00361651" w:rsidRDefault="00361651" w:rsidP="009709A2">
            <w:pPr>
              <w:pStyle w:val="IASBTableArial"/>
              <w:jc w:val="right"/>
            </w:pPr>
            <w:r>
              <w:rPr>
                <w:sz w:val="14"/>
              </w:rPr>
              <w:t>115,000</w:t>
            </w:r>
          </w:p>
        </w:tc>
      </w:tr>
      <w:tr w:rsidR="00361651" w14:paraId="0BB2E63F" w14:textId="77777777" w:rsidTr="009709A2">
        <w:trPr>
          <w:cantSplit/>
        </w:trPr>
        <w:tc>
          <w:tcPr>
            <w:tcW w:w="1928" w:type="dxa"/>
            <w:tcBorders>
              <w:top w:val="nil"/>
            </w:tcBorders>
          </w:tcPr>
          <w:p w14:paraId="0BB2E635" w14:textId="77777777" w:rsidR="00361651" w:rsidRDefault="00361651" w:rsidP="009709A2">
            <w:pPr>
              <w:pStyle w:val="IASBTableArial"/>
            </w:pPr>
            <w:r>
              <w:rPr>
                <w:sz w:val="14"/>
              </w:rPr>
              <w:t>20X5</w:t>
            </w:r>
          </w:p>
        </w:tc>
        <w:tc>
          <w:tcPr>
            <w:tcW w:w="1456" w:type="dxa"/>
            <w:tcBorders>
              <w:top w:val="nil"/>
              <w:left w:val="nil"/>
            </w:tcBorders>
            <w:vAlign w:val="bottom"/>
          </w:tcPr>
          <w:p w14:paraId="0BB2E636" w14:textId="77777777" w:rsidR="00361651" w:rsidRDefault="00361651" w:rsidP="009709A2">
            <w:pPr>
              <w:pStyle w:val="IASBTableArial"/>
              <w:jc w:val="right"/>
            </w:pPr>
            <w:r>
              <w:rPr>
                <w:sz w:val="14"/>
              </w:rPr>
              <w:t>95,833</w:t>
            </w:r>
          </w:p>
        </w:tc>
        <w:tc>
          <w:tcPr>
            <w:tcW w:w="364" w:type="dxa"/>
            <w:tcBorders>
              <w:top w:val="nil"/>
              <w:left w:val="nil"/>
            </w:tcBorders>
            <w:vAlign w:val="bottom"/>
          </w:tcPr>
          <w:p w14:paraId="0BB2E637" w14:textId="77777777" w:rsidR="00361651" w:rsidRDefault="00361651" w:rsidP="009709A2">
            <w:pPr>
              <w:pStyle w:val="IASBTableArial"/>
            </w:pPr>
          </w:p>
        </w:tc>
        <w:tc>
          <w:tcPr>
            <w:tcW w:w="1092" w:type="dxa"/>
            <w:tcBorders>
              <w:top w:val="nil"/>
              <w:left w:val="nil"/>
            </w:tcBorders>
            <w:vAlign w:val="bottom"/>
          </w:tcPr>
          <w:p w14:paraId="0BB2E638" w14:textId="77777777" w:rsidR="00361651" w:rsidRDefault="00361651" w:rsidP="009709A2">
            <w:pPr>
              <w:pStyle w:val="IASBTableArial"/>
              <w:jc w:val="right"/>
            </w:pPr>
            <w:r>
              <w:rPr>
                <w:sz w:val="14"/>
              </w:rPr>
              <w:t>nc</w:t>
            </w:r>
          </w:p>
        </w:tc>
        <w:tc>
          <w:tcPr>
            <w:tcW w:w="364" w:type="dxa"/>
            <w:tcBorders>
              <w:top w:val="nil"/>
              <w:left w:val="nil"/>
            </w:tcBorders>
          </w:tcPr>
          <w:p w14:paraId="0BB2E639" w14:textId="77777777" w:rsidR="00361651" w:rsidRDefault="00361651" w:rsidP="009709A2">
            <w:pPr>
              <w:pStyle w:val="IASBTableArial"/>
            </w:pPr>
          </w:p>
        </w:tc>
        <w:tc>
          <w:tcPr>
            <w:tcW w:w="1092" w:type="dxa"/>
            <w:tcBorders>
              <w:top w:val="nil"/>
              <w:left w:val="nil"/>
            </w:tcBorders>
            <w:vAlign w:val="bottom"/>
          </w:tcPr>
          <w:p w14:paraId="0BB2E63A" w14:textId="77777777" w:rsidR="00361651" w:rsidRDefault="00361651" w:rsidP="009709A2">
            <w:pPr>
              <w:pStyle w:val="IASBTableArial"/>
              <w:jc w:val="right"/>
            </w:pPr>
            <w:r>
              <w:rPr>
                <w:sz w:val="14"/>
              </w:rPr>
              <w:t>(19,167)</w:t>
            </w:r>
          </w:p>
        </w:tc>
        <w:tc>
          <w:tcPr>
            <w:tcW w:w="364" w:type="dxa"/>
            <w:tcBorders>
              <w:top w:val="nil"/>
              <w:left w:val="nil"/>
            </w:tcBorders>
            <w:vAlign w:val="bottom"/>
          </w:tcPr>
          <w:p w14:paraId="0BB2E63B" w14:textId="77777777" w:rsidR="00361651" w:rsidRDefault="00361651" w:rsidP="009709A2">
            <w:pPr>
              <w:pStyle w:val="IASBTableArial"/>
            </w:pPr>
          </w:p>
        </w:tc>
        <w:tc>
          <w:tcPr>
            <w:tcW w:w="1092" w:type="dxa"/>
            <w:tcBorders>
              <w:top w:val="nil"/>
              <w:left w:val="nil"/>
            </w:tcBorders>
            <w:vAlign w:val="bottom"/>
          </w:tcPr>
          <w:p w14:paraId="0BB2E63C" w14:textId="77777777" w:rsidR="00361651" w:rsidRDefault="00361651" w:rsidP="009709A2">
            <w:pPr>
              <w:pStyle w:val="IASBTableArial"/>
              <w:jc w:val="right"/>
            </w:pPr>
            <w:r>
              <w:rPr>
                <w:sz w:val="14"/>
              </w:rPr>
              <w:t>0</w:t>
            </w:r>
          </w:p>
        </w:tc>
        <w:tc>
          <w:tcPr>
            <w:tcW w:w="364" w:type="dxa"/>
            <w:tcBorders>
              <w:top w:val="nil"/>
              <w:left w:val="nil"/>
            </w:tcBorders>
            <w:vAlign w:val="bottom"/>
          </w:tcPr>
          <w:p w14:paraId="0BB2E63D" w14:textId="77777777" w:rsidR="00361651" w:rsidRDefault="00361651" w:rsidP="009709A2">
            <w:pPr>
              <w:pStyle w:val="IASBTableArial"/>
            </w:pPr>
          </w:p>
        </w:tc>
        <w:tc>
          <w:tcPr>
            <w:tcW w:w="1092" w:type="dxa"/>
            <w:tcBorders>
              <w:top w:val="nil"/>
              <w:left w:val="nil"/>
            </w:tcBorders>
            <w:vAlign w:val="bottom"/>
          </w:tcPr>
          <w:p w14:paraId="0BB2E63E" w14:textId="77777777" w:rsidR="00361651" w:rsidRDefault="00361651" w:rsidP="009709A2">
            <w:pPr>
              <w:pStyle w:val="IASBTableArial"/>
              <w:jc w:val="right"/>
            </w:pPr>
            <w:r>
              <w:rPr>
                <w:sz w:val="14"/>
              </w:rPr>
              <w:t>95,833</w:t>
            </w:r>
          </w:p>
        </w:tc>
      </w:tr>
      <w:tr w:rsidR="00361651" w14:paraId="0BB2E641" w14:textId="77777777" w:rsidTr="009709A2">
        <w:trPr>
          <w:cantSplit/>
        </w:trPr>
        <w:tc>
          <w:tcPr>
            <w:tcW w:w="9208" w:type="dxa"/>
            <w:gridSpan w:val="10"/>
            <w:tcBorders>
              <w:top w:val="nil"/>
            </w:tcBorders>
          </w:tcPr>
          <w:p w14:paraId="0BB2E640" w14:textId="77777777" w:rsidR="00361651" w:rsidRDefault="00361651" w:rsidP="009709A2">
            <w:pPr>
              <w:pStyle w:val="IASBTableTNR"/>
            </w:pPr>
            <w:r>
              <w:t>nc = not calculated as there is no indication that the impairment loss may have increased/decreased.</w:t>
            </w:r>
          </w:p>
        </w:tc>
      </w:tr>
    </w:tbl>
    <w:p w14:paraId="0BB2E642" w14:textId="77777777" w:rsidR="00361651" w:rsidRDefault="00361651" w:rsidP="00361651">
      <w:pPr>
        <w:pStyle w:val="IASBNormalnpara"/>
      </w:pPr>
    </w:p>
    <w:p w14:paraId="0BB2E643" w14:textId="082DA7E2" w:rsidR="00361651" w:rsidRDefault="00361651" w:rsidP="00361651">
      <w:pPr>
        <w:pStyle w:val="IASBSectionTitle1NonInd"/>
      </w:pPr>
      <w:r>
        <w:t>Example 7</w:t>
      </w:r>
      <w:r w:rsidR="00EB33C1">
        <w:t xml:space="preserve"> </w:t>
      </w:r>
      <w:r>
        <w:t xml:space="preserve"> Impairment testing cash-generating units with goodwill and non-controlling interests</w:t>
      </w:r>
    </w:p>
    <w:p w14:paraId="0BB2E644" w14:textId="5A8E3D7A" w:rsidR="00361651" w:rsidRDefault="00361651" w:rsidP="00361651">
      <w:pPr>
        <w:pStyle w:val="IASBSectionTitle2Ind"/>
      </w:pPr>
      <w:r>
        <w:t>Example 7A</w:t>
      </w:r>
      <w:r w:rsidR="00EB33C1">
        <w:t xml:space="preserve"> </w:t>
      </w:r>
      <w:r>
        <w:t xml:space="preserve"> Non-controlling interests measured initially as a proportionate share of the net identifiable assets</w:t>
      </w:r>
    </w:p>
    <w:p w14:paraId="0BB2E645" w14:textId="77777777" w:rsidR="00361651" w:rsidRDefault="00361651" w:rsidP="00361651">
      <w:pPr>
        <w:pStyle w:val="IASBNormalnpara"/>
      </w:pPr>
      <w:r>
        <w:tab/>
      </w:r>
      <w:r>
        <w:rPr>
          <w:i/>
        </w:rPr>
        <w:t>In this example, tax effects are ignored.</w:t>
      </w:r>
    </w:p>
    <w:p w14:paraId="0BB2E646" w14:textId="77777777" w:rsidR="00361651" w:rsidRDefault="00361651" w:rsidP="00361651">
      <w:pPr>
        <w:pStyle w:val="IASBSectionTitle3Ind"/>
      </w:pPr>
      <w:r>
        <w:t>Background</w:t>
      </w:r>
    </w:p>
    <w:p w14:paraId="0BB2E647" w14:textId="77777777" w:rsidR="00361651" w:rsidRDefault="00361651" w:rsidP="00361651">
      <w:pPr>
        <w:pStyle w:val="IASBNormalnpara"/>
      </w:pPr>
      <w:r>
        <w:t>IE62</w:t>
      </w:r>
      <w:r>
        <w:tab/>
        <w:t>Parent acquires an 80 per cent ownership interest in Subsidiary for CU2,100 on 1 January 20X3. At that date, Subsidiary’s net identifiable assets have a fair value of CU1,500. Parent chooses to measure the non-controlling interests as the proportionate interest of Subsidiary’s net identifiable assets of CU300 (20% of CU1,500). Goodwill of CU900 is the difference between the aggregate of the consideration transferred and the amount of the non-controlling interests (CU2,100 + CU300) and the net identifiable assets (CU1,500).</w:t>
      </w:r>
    </w:p>
    <w:p w14:paraId="0BB2E648" w14:textId="77777777" w:rsidR="00361651" w:rsidRDefault="00361651" w:rsidP="00361651">
      <w:pPr>
        <w:pStyle w:val="IASBNormalnpara"/>
      </w:pPr>
      <w:r>
        <w:t>IE63</w:t>
      </w:r>
      <w:r>
        <w:tab/>
        <w:t>The assets of Subsidiary together are the smallest group of assets that generate cash inflows that are largely independent of the cash inflows from other assets or groups of assets. Therefore Subsidiary is a cash-generating unit. Because other cash-generating units of Parent are expected to benefit from the synergies of the combination, the goodwill of CU500 related to those synergies has been allocated to other cash-generating units within Parent. Because the cash-generating unit comprising Subsidiary includes goodwill within its carrying amount, it must be tested for impairment annually, or more frequently if there is an indication that it may be impaired (see paragraph 90 of</w:t>
      </w:r>
      <w:r w:rsidR="002D17D4">
        <w:t xml:space="preserve"> AASB 136</w:t>
      </w:r>
      <w:r>
        <w:t>).</w:t>
      </w:r>
    </w:p>
    <w:p w14:paraId="0BB2E649" w14:textId="77777777" w:rsidR="00361651" w:rsidRDefault="00361651" w:rsidP="00361651">
      <w:pPr>
        <w:pStyle w:val="IASBNormalnpara"/>
      </w:pPr>
      <w:r>
        <w:t>IE64</w:t>
      </w:r>
      <w:r>
        <w:tab/>
        <w:t>At the end of 20X3, Parent determines that the recoverable amount of cash-generating unit Subsidiary is CU1,000. The carrying amount of the net assets of Subsidiary, excluding goodwill, is CU1,350.</w:t>
      </w:r>
    </w:p>
    <w:p w14:paraId="0BB2E64A" w14:textId="77777777" w:rsidR="00361651" w:rsidRDefault="00361651" w:rsidP="00361651">
      <w:pPr>
        <w:pStyle w:val="IASBSectionTitle3Ind"/>
      </w:pPr>
      <w:r>
        <w:t>Testing Subsidiary (cash-generating unit) for impairment</w:t>
      </w:r>
    </w:p>
    <w:p w14:paraId="0BB2E64B" w14:textId="77777777" w:rsidR="00361651" w:rsidRDefault="00361651" w:rsidP="00361651">
      <w:pPr>
        <w:pStyle w:val="IASBNormalnpara"/>
      </w:pPr>
      <w:r>
        <w:t>IE65</w:t>
      </w:r>
      <w:r>
        <w:tab/>
        <w:t>Goodwill attributable to non-controlling interests is included in Subsidiary’s recoverable amount of CU1,000 but has not been recognised in Parent’s consolidated financial statements. Therefore, in accordance with paragraph C4 of Appendix C of</w:t>
      </w:r>
      <w:r w:rsidR="002D17D4">
        <w:t xml:space="preserve"> AASB 136</w:t>
      </w:r>
      <w:r>
        <w:t>, the carrying amount of Subsidiary is grossed up to include goodwill attributable to the non-controlling interests, before being compared with the recoverable amount of CU1,000. Goodwill attributable to Parent’s 80 per cent interest in Subsidiary at the acquisition date is CU400 after allocating CU500 to other cash-generating units within Parent. Therefore, goodwill attributable to the 20 per cent non-controlling interests in Subsidiary at the acquisition date is CU100.</w:t>
      </w:r>
    </w:p>
    <w:p w14:paraId="0BB2E64C" w14:textId="77777777" w:rsidR="00361651" w:rsidRDefault="00361651" w:rsidP="00EB33C1">
      <w:pPr>
        <w:pStyle w:val="IASBNormalnpara"/>
        <w:keepNext/>
      </w:pPr>
      <w:r>
        <w:lastRenderedPageBreak/>
        <w:tab/>
        <w:t>Schedule 1. Testing Subsidiary for impairment at the end of 20X3</w:t>
      </w:r>
    </w:p>
    <w:p w14:paraId="0BB2E64D" w14:textId="77777777" w:rsidR="00361651" w:rsidRDefault="00361651" w:rsidP="00EB33C1">
      <w:pPr>
        <w:pStyle w:val="IASBNormalnpara"/>
        <w:keepNext/>
      </w:pPr>
    </w:p>
    <w:tbl>
      <w:tblPr>
        <w:tblW w:w="0" w:type="auto"/>
        <w:tblInd w:w="964" w:type="dxa"/>
        <w:tblLayout w:type="fixed"/>
        <w:tblLook w:val="0000" w:firstRow="0" w:lastRow="0" w:firstColumn="0" w:lastColumn="0" w:noHBand="0" w:noVBand="0"/>
        <w:tblCaption w:val="AASB 136 Table 27"/>
      </w:tblPr>
      <w:tblGrid>
        <w:gridCol w:w="3512"/>
        <w:gridCol w:w="1456"/>
        <w:gridCol w:w="455"/>
        <w:gridCol w:w="1183"/>
        <w:gridCol w:w="455"/>
        <w:gridCol w:w="1183"/>
      </w:tblGrid>
      <w:tr w:rsidR="00361651" w14:paraId="0BB2E652" w14:textId="77777777" w:rsidTr="009709A2">
        <w:trPr>
          <w:cantSplit/>
          <w:tblHeader/>
        </w:trPr>
        <w:tc>
          <w:tcPr>
            <w:tcW w:w="3512" w:type="dxa"/>
          </w:tcPr>
          <w:p w14:paraId="0BB2E64E" w14:textId="77777777" w:rsidR="00361651" w:rsidRDefault="00361651" w:rsidP="00EB33C1">
            <w:pPr>
              <w:pStyle w:val="IASBTableHeaderArial"/>
              <w:spacing w:after="120"/>
            </w:pPr>
            <w:r>
              <w:rPr>
                <w:rFonts w:ascii="Times New Roman" w:hAnsi="Times New Roman"/>
                <w:i/>
                <w:snapToGrid w:val="0"/>
                <w:sz w:val="16"/>
              </w:rPr>
              <w:t>End of 20X3</w:t>
            </w:r>
          </w:p>
        </w:tc>
        <w:tc>
          <w:tcPr>
            <w:tcW w:w="1456" w:type="dxa"/>
            <w:tcBorders>
              <w:left w:val="nil"/>
            </w:tcBorders>
          </w:tcPr>
          <w:p w14:paraId="0BB2E64F" w14:textId="77777777" w:rsidR="00361651" w:rsidRDefault="00361651" w:rsidP="00EB33C1">
            <w:pPr>
              <w:pStyle w:val="IASBTableHeaderArial"/>
              <w:spacing w:after="120"/>
              <w:jc w:val="right"/>
            </w:pPr>
            <w:r>
              <w:rPr>
                <w:rFonts w:ascii="Times New Roman" w:hAnsi="Times New Roman"/>
                <w:i/>
                <w:snapToGrid w:val="0"/>
                <w:sz w:val="16"/>
              </w:rPr>
              <w:t>Goodwill of Subsidiary</w:t>
            </w:r>
          </w:p>
        </w:tc>
        <w:tc>
          <w:tcPr>
            <w:tcW w:w="1638" w:type="dxa"/>
            <w:gridSpan w:val="2"/>
            <w:tcBorders>
              <w:left w:val="nil"/>
            </w:tcBorders>
          </w:tcPr>
          <w:p w14:paraId="0BB2E650" w14:textId="77777777" w:rsidR="00361651" w:rsidRDefault="00361651" w:rsidP="00EB33C1">
            <w:pPr>
              <w:pStyle w:val="IASBTableHeaderArial"/>
              <w:spacing w:after="120"/>
              <w:jc w:val="right"/>
            </w:pPr>
            <w:r>
              <w:rPr>
                <w:rFonts w:ascii="Times New Roman" w:hAnsi="Times New Roman"/>
                <w:i/>
                <w:snapToGrid w:val="0"/>
                <w:sz w:val="16"/>
              </w:rPr>
              <w:t>Net identifiable assets</w:t>
            </w:r>
          </w:p>
        </w:tc>
        <w:tc>
          <w:tcPr>
            <w:tcW w:w="1638" w:type="dxa"/>
            <w:gridSpan w:val="2"/>
            <w:tcBorders>
              <w:left w:val="nil"/>
            </w:tcBorders>
          </w:tcPr>
          <w:p w14:paraId="0BB2E651" w14:textId="77777777" w:rsidR="00361651" w:rsidRDefault="00361651" w:rsidP="00EB33C1">
            <w:pPr>
              <w:pStyle w:val="IASBTableHeaderArial"/>
              <w:spacing w:after="120"/>
              <w:jc w:val="right"/>
            </w:pPr>
            <w:r>
              <w:rPr>
                <w:rFonts w:ascii="Times New Roman" w:hAnsi="Times New Roman"/>
                <w:i/>
                <w:snapToGrid w:val="0"/>
                <w:sz w:val="16"/>
              </w:rPr>
              <w:t>Total</w:t>
            </w:r>
          </w:p>
        </w:tc>
      </w:tr>
      <w:tr w:rsidR="00361651" w14:paraId="0BB2E659" w14:textId="77777777" w:rsidTr="009709A2">
        <w:trPr>
          <w:cantSplit/>
          <w:tblHeader/>
        </w:trPr>
        <w:tc>
          <w:tcPr>
            <w:tcW w:w="3512" w:type="dxa"/>
            <w:tcBorders>
              <w:top w:val="nil"/>
            </w:tcBorders>
            <w:vAlign w:val="bottom"/>
          </w:tcPr>
          <w:p w14:paraId="0BB2E653" w14:textId="77777777" w:rsidR="00361651" w:rsidRDefault="00361651" w:rsidP="00EB33C1">
            <w:pPr>
              <w:pStyle w:val="IASBTableHeaderArial"/>
              <w:spacing w:after="120"/>
            </w:pPr>
          </w:p>
        </w:tc>
        <w:tc>
          <w:tcPr>
            <w:tcW w:w="1456" w:type="dxa"/>
            <w:tcBorders>
              <w:top w:val="nil"/>
              <w:left w:val="nil"/>
            </w:tcBorders>
          </w:tcPr>
          <w:p w14:paraId="0BB2E654"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655" w14:textId="77777777" w:rsidR="00361651" w:rsidRDefault="00361651" w:rsidP="00EB33C1">
            <w:pPr>
              <w:pStyle w:val="IASBTableHeaderArial"/>
              <w:spacing w:after="120"/>
            </w:pPr>
          </w:p>
        </w:tc>
        <w:tc>
          <w:tcPr>
            <w:tcW w:w="1183" w:type="dxa"/>
            <w:tcBorders>
              <w:top w:val="nil"/>
              <w:left w:val="nil"/>
            </w:tcBorders>
          </w:tcPr>
          <w:p w14:paraId="0BB2E656"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657" w14:textId="77777777" w:rsidR="00361651" w:rsidRDefault="00361651" w:rsidP="00EB33C1">
            <w:pPr>
              <w:pStyle w:val="IASBTableHeaderArial"/>
              <w:spacing w:after="120"/>
            </w:pPr>
          </w:p>
        </w:tc>
        <w:tc>
          <w:tcPr>
            <w:tcW w:w="1183" w:type="dxa"/>
            <w:tcBorders>
              <w:top w:val="nil"/>
              <w:left w:val="nil"/>
            </w:tcBorders>
          </w:tcPr>
          <w:p w14:paraId="0BB2E658" w14:textId="77777777" w:rsidR="00361651" w:rsidRDefault="00361651" w:rsidP="00EB33C1">
            <w:pPr>
              <w:pStyle w:val="IASBTableHeaderArial"/>
              <w:spacing w:after="120"/>
              <w:jc w:val="right"/>
            </w:pPr>
            <w:r>
              <w:rPr>
                <w:b/>
              </w:rPr>
              <w:t>CU</w:t>
            </w:r>
          </w:p>
        </w:tc>
      </w:tr>
      <w:tr w:rsidR="00361651" w14:paraId="0BB2E660" w14:textId="77777777" w:rsidTr="009709A2">
        <w:trPr>
          <w:cantSplit/>
        </w:trPr>
        <w:tc>
          <w:tcPr>
            <w:tcW w:w="3512" w:type="dxa"/>
            <w:tcBorders>
              <w:top w:val="nil"/>
            </w:tcBorders>
            <w:vAlign w:val="bottom"/>
          </w:tcPr>
          <w:p w14:paraId="0BB2E65A" w14:textId="77777777" w:rsidR="00361651" w:rsidRDefault="00361651" w:rsidP="009709A2">
            <w:pPr>
              <w:pStyle w:val="IASBTableArial"/>
            </w:pPr>
            <w:r>
              <w:t>Carrying amount</w:t>
            </w:r>
          </w:p>
        </w:tc>
        <w:tc>
          <w:tcPr>
            <w:tcW w:w="1456" w:type="dxa"/>
            <w:tcBorders>
              <w:top w:val="nil"/>
              <w:left w:val="nil"/>
            </w:tcBorders>
            <w:vAlign w:val="bottom"/>
          </w:tcPr>
          <w:p w14:paraId="0BB2E65B" w14:textId="77777777" w:rsidR="00361651" w:rsidRDefault="00361651" w:rsidP="009709A2">
            <w:pPr>
              <w:pStyle w:val="IASBTableArial"/>
              <w:jc w:val="right"/>
            </w:pPr>
            <w:r>
              <w:t>400</w:t>
            </w:r>
          </w:p>
        </w:tc>
        <w:tc>
          <w:tcPr>
            <w:tcW w:w="455" w:type="dxa"/>
            <w:tcBorders>
              <w:top w:val="nil"/>
              <w:left w:val="nil"/>
            </w:tcBorders>
            <w:vAlign w:val="bottom"/>
          </w:tcPr>
          <w:p w14:paraId="0BB2E65C" w14:textId="77777777" w:rsidR="00361651" w:rsidRDefault="00361651" w:rsidP="009709A2">
            <w:pPr>
              <w:pStyle w:val="IASBTableArial"/>
            </w:pPr>
          </w:p>
        </w:tc>
        <w:tc>
          <w:tcPr>
            <w:tcW w:w="1183" w:type="dxa"/>
            <w:tcBorders>
              <w:top w:val="nil"/>
              <w:left w:val="nil"/>
            </w:tcBorders>
            <w:vAlign w:val="bottom"/>
          </w:tcPr>
          <w:p w14:paraId="0BB2E65D" w14:textId="77777777" w:rsidR="00361651" w:rsidRDefault="00361651" w:rsidP="009709A2">
            <w:pPr>
              <w:pStyle w:val="IASBTableArial"/>
              <w:jc w:val="right"/>
            </w:pPr>
            <w:r>
              <w:t>1,350</w:t>
            </w:r>
          </w:p>
        </w:tc>
        <w:tc>
          <w:tcPr>
            <w:tcW w:w="455" w:type="dxa"/>
            <w:tcBorders>
              <w:top w:val="nil"/>
              <w:left w:val="nil"/>
            </w:tcBorders>
            <w:vAlign w:val="bottom"/>
          </w:tcPr>
          <w:p w14:paraId="0BB2E65E" w14:textId="77777777" w:rsidR="00361651" w:rsidRDefault="00361651" w:rsidP="009709A2">
            <w:pPr>
              <w:pStyle w:val="IASBTableArial"/>
            </w:pPr>
          </w:p>
        </w:tc>
        <w:tc>
          <w:tcPr>
            <w:tcW w:w="1183" w:type="dxa"/>
            <w:tcBorders>
              <w:top w:val="nil"/>
              <w:left w:val="nil"/>
            </w:tcBorders>
            <w:vAlign w:val="bottom"/>
          </w:tcPr>
          <w:p w14:paraId="0BB2E65F" w14:textId="77777777" w:rsidR="00361651" w:rsidRDefault="00361651" w:rsidP="009709A2">
            <w:pPr>
              <w:pStyle w:val="IASBTableArial"/>
              <w:jc w:val="right"/>
            </w:pPr>
            <w:r>
              <w:t>1,750</w:t>
            </w:r>
          </w:p>
        </w:tc>
      </w:tr>
      <w:tr w:rsidR="00361651" w14:paraId="0BB2E667" w14:textId="77777777" w:rsidTr="009709A2">
        <w:trPr>
          <w:cantSplit/>
        </w:trPr>
        <w:tc>
          <w:tcPr>
            <w:tcW w:w="3512" w:type="dxa"/>
            <w:tcBorders>
              <w:top w:val="nil"/>
            </w:tcBorders>
            <w:vAlign w:val="bottom"/>
          </w:tcPr>
          <w:p w14:paraId="0BB2E661" w14:textId="77777777" w:rsidR="00361651" w:rsidRDefault="00361651" w:rsidP="009709A2">
            <w:pPr>
              <w:pStyle w:val="IASBTableArial"/>
            </w:pPr>
            <w:r>
              <w:t>Unrecognised non-controlling interests</w:t>
            </w:r>
          </w:p>
        </w:tc>
        <w:tc>
          <w:tcPr>
            <w:tcW w:w="1456" w:type="dxa"/>
            <w:tcBorders>
              <w:top w:val="nil"/>
              <w:left w:val="nil"/>
              <w:bottom w:val="single" w:sz="4" w:space="0" w:color="auto"/>
            </w:tcBorders>
            <w:vAlign w:val="bottom"/>
          </w:tcPr>
          <w:p w14:paraId="0BB2E662" w14:textId="77777777" w:rsidR="00361651" w:rsidRDefault="00361651" w:rsidP="009709A2">
            <w:pPr>
              <w:pStyle w:val="IASBTableArial"/>
              <w:jc w:val="right"/>
            </w:pPr>
            <w:r>
              <w:t>100</w:t>
            </w:r>
          </w:p>
        </w:tc>
        <w:tc>
          <w:tcPr>
            <w:tcW w:w="455" w:type="dxa"/>
            <w:tcBorders>
              <w:top w:val="nil"/>
              <w:left w:val="nil"/>
            </w:tcBorders>
            <w:vAlign w:val="bottom"/>
          </w:tcPr>
          <w:p w14:paraId="0BB2E663"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664" w14:textId="77777777" w:rsidR="00361651" w:rsidRDefault="00361651" w:rsidP="009709A2">
            <w:pPr>
              <w:pStyle w:val="IASBTableArial"/>
              <w:jc w:val="right"/>
            </w:pPr>
            <w:r>
              <w:t>–</w:t>
            </w:r>
          </w:p>
        </w:tc>
        <w:tc>
          <w:tcPr>
            <w:tcW w:w="455" w:type="dxa"/>
            <w:tcBorders>
              <w:top w:val="nil"/>
              <w:left w:val="nil"/>
            </w:tcBorders>
            <w:vAlign w:val="bottom"/>
          </w:tcPr>
          <w:p w14:paraId="0BB2E665"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666" w14:textId="77777777" w:rsidR="00361651" w:rsidRDefault="00361651" w:rsidP="009709A2">
            <w:pPr>
              <w:pStyle w:val="IASBTableArial"/>
              <w:jc w:val="right"/>
            </w:pPr>
            <w:r>
              <w:t>100</w:t>
            </w:r>
          </w:p>
        </w:tc>
      </w:tr>
      <w:tr w:rsidR="00361651" w14:paraId="0BB2E66E" w14:textId="77777777" w:rsidTr="009709A2">
        <w:trPr>
          <w:cantSplit/>
        </w:trPr>
        <w:tc>
          <w:tcPr>
            <w:tcW w:w="3512" w:type="dxa"/>
            <w:tcBorders>
              <w:top w:val="nil"/>
            </w:tcBorders>
            <w:vAlign w:val="bottom"/>
          </w:tcPr>
          <w:p w14:paraId="0BB2E668" w14:textId="77777777" w:rsidR="00361651" w:rsidRDefault="00361651" w:rsidP="009709A2">
            <w:pPr>
              <w:pStyle w:val="IASBTableArial"/>
            </w:pPr>
            <w:r>
              <w:t>Adjusted carrying amount</w:t>
            </w:r>
          </w:p>
        </w:tc>
        <w:tc>
          <w:tcPr>
            <w:tcW w:w="1456" w:type="dxa"/>
            <w:tcBorders>
              <w:top w:val="nil"/>
              <w:left w:val="nil"/>
              <w:bottom w:val="single" w:sz="4" w:space="0" w:color="auto"/>
            </w:tcBorders>
            <w:vAlign w:val="bottom"/>
          </w:tcPr>
          <w:p w14:paraId="0BB2E669" w14:textId="77777777" w:rsidR="00361651" w:rsidRDefault="00361651" w:rsidP="009709A2">
            <w:pPr>
              <w:pStyle w:val="IASBTableArial"/>
              <w:jc w:val="right"/>
            </w:pPr>
            <w:r>
              <w:t>500</w:t>
            </w:r>
          </w:p>
        </w:tc>
        <w:tc>
          <w:tcPr>
            <w:tcW w:w="455" w:type="dxa"/>
            <w:tcBorders>
              <w:top w:val="nil"/>
              <w:left w:val="nil"/>
            </w:tcBorders>
            <w:vAlign w:val="bottom"/>
          </w:tcPr>
          <w:p w14:paraId="0BB2E66A"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66B" w14:textId="77777777" w:rsidR="00361651" w:rsidRDefault="00361651" w:rsidP="009709A2">
            <w:pPr>
              <w:pStyle w:val="IASBTableArial"/>
              <w:jc w:val="right"/>
            </w:pPr>
            <w:r>
              <w:t>1,350</w:t>
            </w:r>
          </w:p>
        </w:tc>
        <w:tc>
          <w:tcPr>
            <w:tcW w:w="455" w:type="dxa"/>
            <w:tcBorders>
              <w:top w:val="nil"/>
              <w:left w:val="nil"/>
            </w:tcBorders>
            <w:vAlign w:val="bottom"/>
          </w:tcPr>
          <w:p w14:paraId="0BB2E66C" w14:textId="77777777" w:rsidR="00361651" w:rsidRDefault="00361651" w:rsidP="009709A2">
            <w:pPr>
              <w:pStyle w:val="IASBTableArial"/>
            </w:pPr>
          </w:p>
        </w:tc>
        <w:tc>
          <w:tcPr>
            <w:tcW w:w="1183" w:type="dxa"/>
            <w:tcBorders>
              <w:top w:val="nil"/>
              <w:left w:val="nil"/>
            </w:tcBorders>
            <w:vAlign w:val="bottom"/>
          </w:tcPr>
          <w:p w14:paraId="0BB2E66D" w14:textId="77777777" w:rsidR="00361651" w:rsidRDefault="00361651" w:rsidP="009709A2">
            <w:pPr>
              <w:pStyle w:val="IASBTableArial"/>
              <w:jc w:val="right"/>
            </w:pPr>
            <w:r>
              <w:t>1,850</w:t>
            </w:r>
          </w:p>
        </w:tc>
      </w:tr>
      <w:tr w:rsidR="00361651" w14:paraId="0BB2E675" w14:textId="77777777" w:rsidTr="009709A2">
        <w:trPr>
          <w:cantSplit/>
        </w:trPr>
        <w:tc>
          <w:tcPr>
            <w:tcW w:w="3512" w:type="dxa"/>
            <w:tcBorders>
              <w:top w:val="nil"/>
            </w:tcBorders>
            <w:vAlign w:val="bottom"/>
          </w:tcPr>
          <w:p w14:paraId="0BB2E66F" w14:textId="77777777" w:rsidR="00361651" w:rsidRDefault="00361651" w:rsidP="009709A2">
            <w:pPr>
              <w:pStyle w:val="IASBTableArial"/>
            </w:pPr>
            <w:r>
              <w:t>Recoverable amount</w:t>
            </w:r>
          </w:p>
        </w:tc>
        <w:tc>
          <w:tcPr>
            <w:tcW w:w="1456" w:type="dxa"/>
            <w:tcBorders>
              <w:top w:val="nil"/>
              <w:left w:val="nil"/>
            </w:tcBorders>
            <w:vAlign w:val="bottom"/>
          </w:tcPr>
          <w:p w14:paraId="0BB2E670" w14:textId="77777777" w:rsidR="00361651" w:rsidRDefault="00361651" w:rsidP="009709A2">
            <w:pPr>
              <w:pStyle w:val="IASBTableArial"/>
            </w:pPr>
          </w:p>
        </w:tc>
        <w:tc>
          <w:tcPr>
            <w:tcW w:w="455" w:type="dxa"/>
            <w:tcBorders>
              <w:top w:val="nil"/>
              <w:left w:val="nil"/>
            </w:tcBorders>
            <w:vAlign w:val="bottom"/>
          </w:tcPr>
          <w:p w14:paraId="0BB2E671" w14:textId="77777777" w:rsidR="00361651" w:rsidRDefault="00361651" w:rsidP="009709A2">
            <w:pPr>
              <w:pStyle w:val="IASBTableArial"/>
            </w:pPr>
          </w:p>
        </w:tc>
        <w:tc>
          <w:tcPr>
            <w:tcW w:w="1183" w:type="dxa"/>
            <w:tcBorders>
              <w:top w:val="nil"/>
              <w:left w:val="nil"/>
            </w:tcBorders>
            <w:vAlign w:val="bottom"/>
          </w:tcPr>
          <w:p w14:paraId="0BB2E672" w14:textId="77777777" w:rsidR="00361651" w:rsidRDefault="00361651" w:rsidP="009709A2">
            <w:pPr>
              <w:pStyle w:val="IASBTableArial"/>
            </w:pPr>
          </w:p>
        </w:tc>
        <w:tc>
          <w:tcPr>
            <w:tcW w:w="455" w:type="dxa"/>
            <w:tcBorders>
              <w:top w:val="nil"/>
              <w:left w:val="nil"/>
            </w:tcBorders>
            <w:vAlign w:val="bottom"/>
          </w:tcPr>
          <w:p w14:paraId="0BB2E673"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674" w14:textId="77777777" w:rsidR="00361651" w:rsidRDefault="00361651" w:rsidP="009709A2">
            <w:pPr>
              <w:pStyle w:val="IASBTableArial"/>
              <w:jc w:val="right"/>
            </w:pPr>
            <w:r>
              <w:t>1,000</w:t>
            </w:r>
          </w:p>
        </w:tc>
      </w:tr>
      <w:tr w:rsidR="00361651" w14:paraId="0BB2E67C" w14:textId="77777777" w:rsidTr="009709A2">
        <w:trPr>
          <w:cantSplit/>
        </w:trPr>
        <w:tc>
          <w:tcPr>
            <w:tcW w:w="3512" w:type="dxa"/>
            <w:tcBorders>
              <w:top w:val="nil"/>
            </w:tcBorders>
            <w:vAlign w:val="bottom"/>
          </w:tcPr>
          <w:p w14:paraId="0BB2E676" w14:textId="77777777" w:rsidR="00361651" w:rsidRDefault="00361651" w:rsidP="009709A2">
            <w:pPr>
              <w:pStyle w:val="IASBTableArial"/>
            </w:pPr>
            <w:r>
              <w:t>Impairment loss</w:t>
            </w:r>
          </w:p>
        </w:tc>
        <w:tc>
          <w:tcPr>
            <w:tcW w:w="1456" w:type="dxa"/>
            <w:tcBorders>
              <w:top w:val="nil"/>
              <w:left w:val="nil"/>
            </w:tcBorders>
            <w:vAlign w:val="bottom"/>
          </w:tcPr>
          <w:p w14:paraId="0BB2E677" w14:textId="77777777" w:rsidR="00361651" w:rsidRDefault="00361651" w:rsidP="009709A2">
            <w:pPr>
              <w:pStyle w:val="IASBTableArial"/>
            </w:pPr>
          </w:p>
        </w:tc>
        <w:tc>
          <w:tcPr>
            <w:tcW w:w="455" w:type="dxa"/>
            <w:tcBorders>
              <w:top w:val="nil"/>
              <w:left w:val="nil"/>
            </w:tcBorders>
            <w:vAlign w:val="bottom"/>
          </w:tcPr>
          <w:p w14:paraId="0BB2E678" w14:textId="77777777" w:rsidR="00361651" w:rsidRDefault="00361651" w:rsidP="009709A2">
            <w:pPr>
              <w:pStyle w:val="IASBTableArial"/>
            </w:pPr>
          </w:p>
        </w:tc>
        <w:tc>
          <w:tcPr>
            <w:tcW w:w="1183" w:type="dxa"/>
            <w:tcBorders>
              <w:top w:val="nil"/>
              <w:left w:val="nil"/>
            </w:tcBorders>
            <w:vAlign w:val="bottom"/>
          </w:tcPr>
          <w:p w14:paraId="0BB2E679" w14:textId="77777777" w:rsidR="00361651" w:rsidRDefault="00361651" w:rsidP="009709A2">
            <w:pPr>
              <w:pStyle w:val="IASBTableArial"/>
            </w:pPr>
          </w:p>
        </w:tc>
        <w:tc>
          <w:tcPr>
            <w:tcW w:w="455" w:type="dxa"/>
            <w:tcBorders>
              <w:top w:val="nil"/>
              <w:left w:val="nil"/>
            </w:tcBorders>
            <w:vAlign w:val="bottom"/>
          </w:tcPr>
          <w:p w14:paraId="0BB2E67A" w14:textId="77777777" w:rsidR="00361651" w:rsidRDefault="00361651" w:rsidP="009709A2">
            <w:pPr>
              <w:pStyle w:val="IASBTableArial"/>
            </w:pPr>
          </w:p>
        </w:tc>
        <w:tc>
          <w:tcPr>
            <w:tcW w:w="1183" w:type="dxa"/>
            <w:tcBorders>
              <w:top w:val="nil"/>
              <w:left w:val="nil"/>
              <w:bottom w:val="double" w:sz="4" w:space="0" w:color="auto"/>
            </w:tcBorders>
            <w:vAlign w:val="bottom"/>
          </w:tcPr>
          <w:p w14:paraId="0BB2E67B" w14:textId="77777777" w:rsidR="00361651" w:rsidRDefault="00361651" w:rsidP="009709A2">
            <w:pPr>
              <w:pStyle w:val="IASBTableArial"/>
              <w:jc w:val="right"/>
            </w:pPr>
            <w:r>
              <w:t>850</w:t>
            </w:r>
          </w:p>
        </w:tc>
      </w:tr>
    </w:tbl>
    <w:p w14:paraId="0BB2E67D" w14:textId="77777777" w:rsidR="00361651" w:rsidRDefault="00361651" w:rsidP="00361651">
      <w:pPr>
        <w:pStyle w:val="IASBNormalnpara"/>
      </w:pPr>
    </w:p>
    <w:p w14:paraId="0BB2E67E" w14:textId="77777777" w:rsidR="00361651" w:rsidRDefault="00361651" w:rsidP="00361651">
      <w:pPr>
        <w:pStyle w:val="IASBSectionTitle3Ind"/>
      </w:pPr>
      <w:r>
        <w:t>Allocating the impairment loss</w:t>
      </w:r>
    </w:p>
    <w:p w14:paraId="0BB2E67F" w14:textId="77777777" w:rsidR="00361651" w:rsidRDefault="00361651" w:rsidP="00361651">
      <w:pPr>
        <w:pStyle w:val="IASBNormalnpara"/>
      </w:pPr>
      <w:r>
        <w:t>IE66</w:t>
      </w:r>
      <w:r>
        <w:tab/>
        <w:t>In accordance with paragraph 104 of</w:t>
      </w:r>
      <w:r w:rsidR="002D17D4">
        <w:t xml:space="preserve"> AASB 136</w:t>
      </w:r>
      <w:r>
        <w:t>, the impairment loss of CU850 is allocated to the assets in the unit by first reducing the carrying amount of goodwill.</w:t>
      </w:r>
    </w:p>
    <w:p w14:paraId="0BB2E680" w14:textId="77777777" w:rsidR="00361651" w:rsidRDefault="00361651" w:rsidP="00361651">
      <w:pPr>
        <w:pStyle w:val="IASBNormalnpara"/>
      </w:pPr>
      <w:r>
        <w:t>IE67</w:t>
      </w:r>
      <w:r>
        <w:tab/>
        <w:t>Therefore, CU500 of the CU850 impairment loss for the unit is allocated to the goodwill. In accordance with paragraph C6 of Appendix C of</w:t>
      </w:r>
      <w:r w:rsidR="002D17D4">
        <w:t xml:space="preserve"> AASB 136</w:t>
      </w:r>
      <w:r>
        <w:t>, if the partially-owned subsidiary is itself a cash-generating unit, the goodwill impairment loss is allocated to the controlling and non-controlling interests on the same basis as that on which profit or loss is allocated. In this example, profit or loss is allocated on the basis of relative ownership interests. Because the goodwill is recognised only to the extent of Parent’s 80 per cent ownership interest in Subsidiary, Parent recognises only 80 per cent of that goodwill impairment loss (ie CU400).</w:t>
      </w:r>
    </w:p>
    <w:p w14:paraId="0BB2E681" w14:textId="77777777" w:rsidR="00361651" w:rsidRDefault="00361651" w:rsidP="00361651">
      <w:pPr>
        <w:pStyle w:val="IASBNormalnpara"/>
      </w:pPr>
      <w:r>
        <w:t>IE68</w:t>
      </w:r>
      <w:r>
        <w:tab/>
        <w:t xml:space="preserve">The remaining impairment loss of CU350 is recognised by reducing the carrying amounts of Subsidiary’s identifiable assets (see Schedule 2). </w:t>
      </w:r>
    </w:p>
    <w:p w14:paraId="0BB2E682" w14:textId="77777777" w:rsidR="00361651" w:rsidRDefault="00361651" w:rsidP="00361651">
      <w:pPr>
        <w:pStyle w:val="IASBNormalnpara"/>
      </w:pPr>
      <w:r>
        <w:tab/>
        <w:t>Schedule 2. Allocation of the impairment loss for Subsidiary at the end of 20X3</w:t>
      </w:r>
    </w:p>
    <w:p w14:paraId="0BB2E683"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28"/>
      </w:tblPr>
      <w:tblGrid>
        <w:gridCol w:w="3694"/>
        <w:gridCol w:w="1274"/>
        <w:gridCol w:w="455"/>
        <w:gridCol w:w="1183"/>
        <w:gridCol w:w="455"/>
        <w:gridCol w:w="1183"/>
      </w:tblGrid>
      <w:tr w:rsidR="00361651" w14:paraId="0BB2E688" w14:textId="77777777" w:rsidTr="009709A2">
        <w:trPr>
          <w:cantSplit/>
          <w:tblHeader/>
        </w:trPr>
        <w:tc>
          <w:tcPr>
            <w:tcW w:w="3694" w:type="dxa"/>
          </w:tcPr>
          <w:p w14:paraId="0BB2E684" w14:textId="77777777" w:rsidR="00361651" w:rsidRDefault="00361651" w:rsidP="009709A2">
            <w:pPr>
              <w:pStyle w:val="IASBTableHeaderArial"/>
            </w:pPr>
            <w:r>
              <w:rPr>
                <w:rFonts w:ascii="Times New Roman" w:hAnsi="Times New Roman"/>
                <w:i/>
                <w:snapToGrid w:val="0"/>
                <w:sz w:val="16"/>
              </w:rPr>
              <w:t>End of 20X3</w:t>
            </w:r>
          </w:p>
        </w:tc>
        <w:tc>
          <w:tcPr>
            <w:tcW w:w="1274" w:type="dxa"/>
            <w:tcBorders>
              <w:left w:val="nil"/>
            </w:tcBorders>
          </w:tcPr>
          <w:p w14:paraId="0BB2E685" w14:textId="77777777" w:rsidR="00361651" w:rsidRDefault="00361651" w:rsidP="009709A2">
            <w:pPr>
              <w:pStyle w:val="IASBTableHeaderArial"/>
              <w:jc w:val="right"/>
            </w:pPr>
            <w:r>
              <w:rPr>
                <w:rFonts w:ascii="Times New Roman" w:hAnsi="Times New Roman"/>
                <w:i/>
                <w:snapToGrid w:val="0"/>
                <w:sz w:val="16"/>
              </w:rPr>
              <w:t>Goodwill</w:t>
            </w:r>
          </w:p>
        </w:tc>
        <w:tc>
          <w:tcPr>
            <w:tcW w:w="1638" w:type="dxa"/>
            <w:gridSpan w:val="2"/>
            <w:tcBorders>
              <w:left w:val="nil"/>
            </w:tcBorders>
          </w:tcPr>
          <w:p w14:paraId="0BB2E686" w14:textId="77777777" w:rsidR="00361651" w:rsidRDefault="00361651" w:rsidP="009709A2">
            <w:pPr>
              <w:pStyle w:val="IASBTableHeaderArial"/>
              <w:jc w:val="right"/>
            </w:pPr>
            <w:r>
              <w:rPr>
                <w:rFonts w:ascii="Times New Roman" w:hAnsi="Times New Roman"/>
                <w:i/>
                <w:snapToGrid w:val="0"/>
                <w:sz w:val="16"/>
              </w:rPr>
              <w:t>Net identifiable assets</w:t>
            </w:r>
          </w:p>
        </w:tc>
        <w:tc>
          <w:tcPr>
            <w:tcW w:w="1638" w:type="dxa"/>
            <w:gridSpan w:val="2"/>
            <w:tcBorders>
              <w:left w:val="nil"/>
            </w:tcBorders>
          </w:tcPr>
          <w:p w14:paraId="0BB2E687" w14:textId="77777777" w:rsidR="00361651" w:rsidRDefault="00361651" w:rsidP="009709A2">
            <w:pPr>
              <w:pStyle w:val="IASBTableHeaderArial"/>
              <w:jc w:val="right"/>
            </w:pPr>
            <w:r>
              <w:rPr>
                <w:rFonts w:ascii="Times New Roman" w:hAnsi="Times New Roman"/>
                <w:i/>
                <w:snapToGrid w:val="0"/>
                <w:sz w:val="16"/>
              </w:rPr>
              <w:t>Total</w:t>
            </w:r>
          </w:p>
        </w:tc>
      </w:tr>
      <w:tr w:rsidR="00361651" w14:paraId="0BB2E68F" w14:textId="77777777" w:rsidTr="009709A2">
        <w:trPr>
          <w:cantSplit/>
          <w:tblHeader/>
        </w:trPr>
        <w:tc>
          <w:tcPr>
            <w:tcW w:w="3694" w:type="dxa"/>
            <w:tcBorders>
              <w:top w:val="nil"/>
            </w:tcBorders>
            <w:vAlign w:val="bottom"/>
          </w:tcPr>
          <w:p w14:paraId="0BB2E689" w14:textId="77777777" w:rsidR="00361651" w:rsidRDefault="00361651" w:rsidP="009709A2">
            <w:pPr>
              <w:pStyle w:val="IASBTableHeaderArial"/>
            </w:pPr>
          </w:p>
        </w:tc>
        <w:tc>
          <w:tcPr>
            <w:tcW w:w="1274" w:type="dxa"/>
            <w:tcBorders>
              <w:top w:val="nil"/>
              <w:left w:val="nil"/>
            </w:tcBorders>
          </w:tcPr>
          <w:p w14:paraId="0BB2E68A" w14:textId="77777777" w:rsidR="00361651" w:rsidRDefault="00361651" w:rsidP="009709A2">
            <w:pPr>
              <w:pStyle w:val="IASBTableHeaderArial"/>
              <w:jc w:val="right"/>
            </w:pPr>
            <w:r>
              <w:rPr>
                <w:b/>
              </w:rPr>
              <w:t>CU</w:t>
            </w:r>
          </w:p>
        </w:tc>
        <w:tc>
          <w:tcPr>
            <w:tcW w:w="455" w:type="dxa"/>
            <w:tcBorders>
              <w:top w:val="nil"/>
              <w:left w:val="nil"/>
            </w:tcBorders>
            <w:vAlign w:val="bottom"/>
          </w:tcPr>
          <w:p w14:paraId="0BB2E68B" w14:textId="77777777" w:rsidR="00361651" w:rsidRDefault="00361651" w:rsidP="009709A2">
            <w:pPr>
              <w:pStyle w:val="IASBTableHeaderArial"/>
            </w:pPr>
          </w:p>
        </w:tc>
        <w:tc>
          <w:tcPr>
            <w:tcW w:w="1183" w:type="dxa"/>
            <w:tcBorders>
              <w:top w:val="nil"/>
              <w:left w:val="nil"/>
            </w:tcBorders>
          </w:tcPr>
          <w:p w14:paraId="0BB2E68C" w14:textId="77777777" w:rsidR="00361651" w:rsidRDefault="00361651" w:rsidP="009709A2">
            <w:pPr>
              <w:pStyle w:val="IASBTableHeaderArial"/>
              <w:jc w:val="right"/>
            </w:pPr>
            <w:r>
              <w:rPr>
                <w:b/>
              </w:rPr>
              <w:t>CU</w:t>
            </w:r>
          </w:p>
        </w:tc>
        <w:tc>
          <w:tcPr>
            <w:tcW w:w="455" w:type="dxa"/>
            <w:tcBorders>
              <w:top w:val="nil"/>
              <w:left w:val="nil"/>
            </w:tcBorders>
            <w:vAlign w:val="bottom"/>
          </w:tcPr>
          <w:p w14:paraId="0BB2E68D" w14:textId="77777777" w:rsidR="00361651" w:rsidRDefault="00361651" w:rsidP="009709A2">
            <w:pPr>
              <w:pStyle w:val="IASBTableHeaderArial"/>
            </w:pPr>
          </w:p>
        </w:tc>
        <w:tc>
          <w:tcPr>
            <w:tcW w:w="1183" w:type="dxa"/>
            <w:tcBorders>
              <w:top w:val="nil"/>
              <w:left w:val="nil"/>
            </w:tcBorders>
          </w:tcPr>
          <w:p w14:paraId="0BB2E68E" w14:textId="77777777" w:rsidR="00361651" w:rsidRDefault="00361651" w:rsidP="009709A2">
            <w:pPr>
              <w:pStyle w:val="IASBTableHeaderArial"/>
              <w:jc w:val="right"/>
            </w:pPr>
            <w:r>
              <w:rPr>
                <w:b/>
              </w:rPr>
              <w:t>CU</w:t>
            </w:r>
          </w:p>
        </w:tc>
      </w:tr>
      <w:tr w:rsidR="00361651" w14:paraId="0BB2E696" w14:textId="77777777" w:rsidTr="009709A2">
        <w:trPr>
          <w:cantSplit/>
        </w:trPr>
        <w:tc>
          <w:tcPr>
            <w:tcW w:w="3694" w:type="dxa"/>
            <w:tcBorders>
              <w:top w:val="nil"/>
            </w:tcBorders>
            <w:vAlign w:val="bottom"/>
          </w:tcPr>
          <w:p w14:paraId="0BB2E690" w14:textId="77777777" w:rsidR="00361651" w:rsidRDefault="00361651" w:rsidP="009709A2">
            <w:pPr>
              <w:pStyle w:val="IASBTableArial"/>
            </w:pPr>
            <w:r>
              <w:t>Carrying amount</w:t>
            </w:r>
          </w:p>
        </w:tc>
        <w:tc>
          <w:tcPr>
            <w:tcW w:w="1274" w:type="dxa"/>
            <w:tcBorders>
              <w:top w:val="nil"/>
              <w:left w:val="nil"/>
            </w:tcBorders>
            <w:vAlign w:val="bottom"/>
          </w:tcPr>
          <w:p w14:paraId="0BB2E691" w14:textId="77777777" w:rsidR="00361651" w:rsidRDefault="00361651" w:rsidP="009709A2">
            <w:pPr>
              <w:pStyle w:val="IASBTableArial"/>
              <w:jc w:val="right"/>
            </w:pPr>
            <w:r>
              <w:t>400</w:t>
            </w:r>
          </w:p>
        </w:tc>
        <w:tc>
          <w:tcPr>
            <w:tcW w:w="455" w:type="dxa"/>
            <w:tcBorders>
              <w:top w:val="nil"/>
              <w:left w:val="nil"/>
            </w:tcBorders>
            <w:vAlign w:val="bottom"/>
          </w:tcPr>
          <w:p w14:paraId="0BB2E692" w14:textId="77777777" w:rsidR="00361651" w:rsidRDefault="00361651" w:rsidP="009709A2">
            <w:pPr>
              <w:pStyle w:val="IASBTableArial"/>
            </w:pPr>
          </w:p>
        </w:tc>
        <w:tc>
          <w:tcPr>
            <w:tcW w:w="1183" w:type="dxa"/>
            <w:tcBorders>
              <w:top w:val="nil"/>
              <w:left w:val="nil"/>
            </w:tcBorders>
            <w:vAlign w:val="bottom"/>
          </w:tcPr>
          <w:p w14:paraId="0BB2E693" w14:textId="77777777" w:rsidR="00361651" w:rsidRDefault="00361651" w:rsidP="009709A2">
            <w:pPr>
              <w:pStyle w:val="IASBTableArial"/>
              <w:jc w:val="right"/>
            </w:pPr>
            <w:r>
              <w:t>1,350</w:t>
            </w:r>
          </w:p>
        </w:tc>
        <w:tc>
          <w:tcPr>
            <w:tcW w:w="455" w:type="dxa"/>
            <w:tcBorders>
              <w:top w:val="nil"/>
              <w:left w:val="nil"/>
            </w:tcBorders>
            <w:vAlign w:val="bottom"/>
          </w:tcPr>
          <w:p w14:paraId="0BB2E694" w14:textId="77777777" w:rsidR="00361651" w:rsidRDefault="00361651" w:rsidP="009709A2">
            <w:pPr>
              <w:pStyle w:val="IASBTableArial"/>
            </w:pPr>
          </w:p>
        </w:tc>
        <w:tc>
          <w:tcPr>
            <w:tcW w:w="1183" w:type="dxa"/>
            <w:tcBorders>
              <w:top w:val="nil"/>
              <w:left w:val="nil"/>
            </w:tcBorders>
            <w:vAlign w:val="bottom"/>
          </w:tcPr>
          <w:p w14:paraId="0BB2E695" w14:textId="77777777" w:rsidR="00361651" w:rsidRDefault="00361651" w:rsidP="009709A2">
            <w:pPr>
              <w:pStyle w:val="IASBTableArial"/>
              <w:jc w:val="right"/>
            </w:pPr>
            <w:r>
              <w:t>1,750</w:t>
            </w:r>
          </w:p>
        </w:tc>
      </w:tr>
      <w:tr w:rsidR="00361651" w14:paraId="0BB2E69D" w14:textId="77777777" w:rsidTr="009709A2">
        <w:trPr>
          <w:cantSplit/>
        </w:trPr>
        <w:tc>
          <w:tcPr>
            <w:tcW w:w="3694" w:type="dxa"/>
            <w:tcBorders>
              <w:top w:val="nil"/>
            </w:tcBorders>
            <w:vAlign w:val="bottom"/>
          </w:tcPr>
          <w:p w14:paraId="0BB2E697" w14:textId="77777777" w:rsidR="00361651" w:rsidRDefault="00361651" w:rsidP="009709A2">
            <w:pPr>
              <w:pStyle w:val="IASBTableArial"/>
            </w:pPr>
            <w:r>
              <w:t>Impairment loss</w:t>
            </w:r>
          </w:p>
        </w:tc>
        <w:tc>
          <w:tcPr>
            <w:tcW w:w="1274" w:type="dxa"/>
            <w:tcBorders>
              <w:top w:val="nil"/>
              <w:left w:val="nil"/>
              <w:bottom w:val="single" w:sz="4" w:space="0" w:color="auto"/>
            </w:tcBorders>
            <w:vAlign w:val="bottom"/>
          </w:tcPr>
          <w:p w14:paraId="0BB2E698" w14:textId="77777777" w:rsidR="00361651" w:rsidRDefault="00361651" w:rsidP="009709A2">
            <w:pPr>
              <w:pStyle w:val="IASBTableArial"/>
              <w:jc w:val="right"/>
            </w:pPr>
            <w:r>
              <w:t>(400)</w:t>
            </w:r>
          </w:p>
        </w:tc>
        <w:tc>
          <w:tcPr>
            <w:tcW w:w="455" w:type="dxa"/>
            <w:tcBorders>
              <w:top w:val="nil"/>
              <w:left w:val="nil"/>
            </w:tcBorders>
            <w:vAlign w:val="bottom"/>
          </w:tcPr>
          <w:p w14:paraId="0BB2E699"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69A" w14:textId="77777777" w:rsidR="00361651" w:rsidRDefault="00361651" w:rsidP="009709A2">
            <w:pPr>
              <w:pStyle w:val="IASBTableArial"/>
              <w:jc w:val="right"/>
            </w:pPr>
            <w:r>
              <w:t>(350)</w:t>
            </w:r>
          </w:p>
        </w:tc>
        <w:tc>
          <w:tcPr>
            <w:tcW w:w="455" w:type="dxa"/>
            <w:tcBorders>
              <w:top w:val="nil"/>
              <w:left w:val="nil"/>
            </w:tcBorders>
            <w:vAlign w:val="bottom"/>
          </w:tcPr>
          <w:p w14:paraId="0BB2E69B"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69C" w14:textId="77777777" w:rsidR="00361651" w:rsidRDefault="00361651" w:rsidP="009709A2">
            <w:pPr>
              <w:pStyle w:val="IASBTableArial"/>
              <w:jc w:val="right"/>
            </w:pPr>
            <w:r>
              <w:t>(750)</w:t>
            </w:r>
          </w:p>
        </w:tc>
      </w:tr>
      <w:tr w:rsidR="00361651" w14:paraId="0BB2E6A4" w14:textId="77777777" w:rsidTr="009709A2">
        <w:trPr>
          <w:cantSplit/>
        </w:trPr>
        <w:tc>
          <w:tcPr>
            <w:tcW w:w="3694" w:type="dxa"/>
            <w:tcBorders>
              <w:top w:val="nil"/>
            </w:tcBorders>
            <w:vAlign w:val="bottom"/>
          </w:tcPr>
          <w:p w14:paraId="0BB2E69E" w14:textId="77777777" w:rsidR="00361651" w:rsidRDefault="00361651" w:rsidP="009709A2">
            <w:pPr>
              <w:pStyle w:val="IASBTableArial"/>
            </w:pPr>
            <w:r>
              <w:t>Carrying amount after impairment loss</w:t>
            </w:r>
          </w:p>
        </w:tc>
        <w:tc>
          <w:tcPr>
            <w:tcW w:w="1274" w:type="dxa"/>
            <w:tcBorders>
              <w:top w:val="nil"/>
              <w:left w:val="nil"/>
              <w:bottom w:val="double" w:sz="4" w:space="0" w:color="auto"/>
            </w:tcBorders>
            <w:vAlign w:val="bottom"/>
          </w:tcPr>
          <w:p w14:paraId="0BB2E69F" w14:textId="77777777" w:rsidR="00361651" w:rsidRDefault="00361651" w:rsidP="009709A2">
            <w:pPr>
              <w:pStyle w:val="IASBTableArial"/>
              <w:jc w:val="right"/>
            </w:pPr>
            <w:r>
              <w:t>–</w:t>
            </w:r>
          </w:p>
        </w:tc>
        <w:tc>
          <w:tcPr>
            <w:tcW w:w="455" w:type="dxa"/>
            <w:tcBorders>
              <w:top w:val="nil"/>
              <w:left w:val="nil"/>
            </w:tcBorders>
            <w:vAlign w:val="bottom"/>
          </w:tcPr>
          <w:p w14:paraId="0BB2E6A0" w14:textId="77777777" w:rsidR="00361651" w:rsidRDefault="00361651" w:rsidP="009709A2">
            <w:pPr>
              <w:pStyle w:val="IASBTableArial"/>
            </w:pPr>
          </w:p>
        </w:tc>
        <w:tc>
          <w:tcPr>
            <w:tcW w:w="1183" w:type="dxa"/>
            <w:tcBorders>
              <w:top w:val="nil"/>
              <w:left w:val="nil"/>
              <w:bottom w:val="double" w:sz="4" w:space="0" w:color="auto"/>
            </w:tcBorders>
            <w:vAlign w:val="bottom"/>
          </w:tcPr>
          <w:p w14:paraId="0BB2E6A1" w14:textId="77777777" w:rsidR="00361651" w:rsidRDefault="00361651" w:rsidP="009709A2">
            <w:pPr>
              <w:pStyle w:val="IASBTableArial"/>
              <w:jc w:val="right"/>
            </w:pPr>
            <w:r>
              <w:t>1,000</w:t>
            </w:r>
          </w:p>
        </w:tc>
        <w:tc>
          <w:tcPr>
            <w:tcW w:w="455" w:type="dxa"/>
            <w:tcBorders>
              <w:top w:val="nil"/>
              <w:left w:val="nil"/>
            </w:tcBorders>
            <w:vAlign w:val="bottom"/>
          </w:tcPr>
          <w:p w14:paraId="0BB2E6A2" w14:textId="77777777" w:rsidR="00361651" w:rsidRDefault="00361651" w:rsidP="009709A2">
            <w:pPr>
              <w:pStyle w:val="IASBTableArial"/>
            </w:pPr>
          </w:p>
        </w:tc>
        <w:tc>
          <w:tcPr>
            <w:tcW w:w="1183" w:type="dxa"/>
            <w:tcBorders>
              <w:top w:val="nil"/>
              <w:left w:val="nil"/>
              <w:bottom w:val="double" w:sz="4" w:space="0" w:color="auto"/>
            </w:tcBorders>
            <w:vAlign w:val="bottom"/>
          </w:tcPr>
          <w:p w14:paraId="0BB2E6A3" w14:textId="77777777" w:rsidR="00361651" w:rsidRDefault="00361651" w:rsidP="009709A2">
            <w:pPr>
              <w:pStyle w:val="IASBTableArial"/>
              <w:jc w:val="right"/>
            </w:pPr>
            <w:r>
              <w:t>1,000</w:t>
            </w:r>
          </w:p>
        </w:tc>
      </w:tr>
    </w:tbl>
    <w:p w14:paraId="0BB2E6A5" w14:textId="77777777" w:rsidR="00361651" w:rsidRDefault="00361651" w:rsidP="00361651">
      <w:pPr>
        <w:pStyle w:val="IASBNormalnpara"/>
      </w:pPr>
    </w:p>
    <w:p w14:paraId="0BB2E6A6" w14:textId="4CE9DCE6" w:rsidR="00361651" w:rsidRDefault="00361651" w:rsidP="00361651">
      <w:pPr>
        <w:pStyle w:val="IASBSectionTitle2Ind"/>
      </w:pPr>
      <w:r>
        <w:t xml:space="preserve">Example 7B </w:t>
      </w:r>
      <w:r w:rsidR="00EB33C1">
        <w:t xml:space="preserve"> </w:t>
      </w:r>
      <w:r>
        <w:t>Non-controlling interests measured initially at fair value and the related subsidiary is a stand-alone cash-generating unit</w:t>
      </w:r>
    </w:p>
    <w:p w14:paraId="0BB2E6A7" w14:textId="77777777" w:rsidR="00361651" w:rsidRDefault="00361651" w:rsidP="00361651">
      <w:pPr>
        <w:pStyle w:val="IASBNormalnpara"/>
      </w:pPr>
      <w:r>
        <w:tab/>
      </w:r>
      <w:r>
        <w:rPr>
          <w:i/>
        </w:rPr>
        <w:t>In this example, tax effects are ignored.</w:t>
      </w:r>
    </w:p>
    <w:p w14:paraId="0BB2E6A8" w14:textId="77777777" w:rsidR="00361651" w:rsidRDefault="00361651" w:rsidP="00361651">
      <w:pPr>
        <w:pStyle w:val="IASBSectionTitle3Ind"/>
      </w:pPr>
      <w:r>
        <w:t>Background</w:t>
      </w:r>
    </w:p>
    <w:p w14:paraId="0BB2E6A9" w14:textId="77777777" w:rsidR="00361651" w:rsidRDefault="00361651" w:rsidP="00361651">
      <w:pPr>
        <w:pStyle w:val="IASBNormalnpara"/>
      </w:pPr>
      <w:r>
        <w:t>IE68A</w:t>
      </w:r>
      <w:r>
        <w:tab/>
        <w:t xml:space="preserve">Parent acquires an 80 per cent ownership interest in Subsidiary for CU2,100 on 1 January 20X3. At that date, Subsidiary’s net identifiable assets have a fair value of CU1,500. Parent chooses to measure the non-controlling interests at fair value, which is CU350. Goodwill of CU950 is the difference between the aggregate of the consideration transferred and the amount of the non-controlling interests (CU2,100 + CU350) and the net identifiable assets (CU1,500). </w:t>
      </w:r>
    </w:p>
    <w:p w14:paraId="0BB2E6AA" w14:textId="77777777" w:rsidR="00361651" w:rsidRDefault="00361651" w:rsidP="00361651">
      <w:pPr>
        <w:pStyle w:val="IASBNormalnpara"/>
      </w:pPr>
      <w:r>
        <w:t>IE68B</w:t>
      </w:r>
      <w:r>
        <w:tab/>
        <w:t>The assets of Subsidiary together are the smallest group of assets that generate cash inflows that are largely independent of the cash inflows from other assets or groups of assets. Therefore, Subsidiary is a cash-</w:t>
      </w:r>
      <w:r>
        <w:lastRenderedPageBreak/>
        <w:t>generating unit. Because other cash-generating units of Parent are expected to benefit from the synergies of the combination, the goodwill of CU500 related to those synergies has been allocated to other cash-generating units within Parent. Because Subsidiary includes goodwill within its carrying amount, it must be tested for impairment annually, or more frequently if there is an indication that it might be impaired (see paragraph 90 of</w:t>
      </w:r>
      <w:r w:rsidR="002D17D4">
        <w:t xml:space="preserve"> AASB 136</w:t>
      </w:r>
      <w:r>
        <w:t>).</w:t>
      </w:r>
    </w:p>
    <w:p w14:paraId="0BB2E6AB" w14:textId="77777777" w:rsidR="00361651" w:rsidRDefault="00361651" w:rsidP="00361651">
      <w:pPr>
        <w:pStyle w:val="IASBSectionTitle3Ind"/>
      </w:pPr>
      <w:r>
        <w:t>Testing Subsidiary for impairment</w:t>
      </w:r>
    </w:p>
    <w:p w14:paraId="0BB2E6AC" w14:textId="77777777" w:rsidR="00361651" w:rsidRDefault="00361651" w:rsidP="00361651">
      <w:pPr>
        <w:pStyle w:val="IASBNormalnpara"/>
      </w:pPr>
      <w:r>
        <w:t>IE68C</w:t>
      </w:r>
      <w:r>
        <w:tab/>
        <w:t>At the end of 20X3, Parent determines that the recoverable amount of cash-generating unit Subsidiary is CU1,650. The carrying amount of the net assets of Subsidiary, excluding goodwill, is CU1,350.</w:t>
      </w:r>
    </w:p>
    <w:p w14:paraId="0BB2E6AD" w14:textId="77777777" w:rsidR="00361651" w:rsidRDefault="00361651" w:rsidP="00361651">
      <w:pPr>
        <w:pStyle w:val="IASBNormalnpara"/>
      </w:pPr>
      <w:r>
        <w:tab/>
        <w:t>Schedule 1. Testing Subsidiary for impairment at the end of 20X3</w:t>
      </w:r>
    </w:p>
    <w:p w14:paraId="0BB2E6AE"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29"/>
      </w:tblPr>
      <w:tblGrid>
        <w:gridCol w:w="3694"/>
        <w:gridCol w:w="1274"/>
        <w:gridCol w:w="455"/>
        <w:gridCol w:w="1183"/>
        <w:gridCol w:w="455"/>
        <w:gridCol w:w="1183"/>
      </w:tblGrid>
      <w:tr w:rsidR="00361651" w14:paraId="0BB2E6B3" w14:textId="77777777" w:rsidTr="009709A2">
        <w:trPr>
          <w:cantSplit/>
          <w:tblHeader/>
        </w:trPr>
        <w:tc>
          <w:tcPr>
            <w:tcW w:w="3694" w:type="dxa"/>
          </w:tcPr>
          <w:p w14:paraId="0BB2E6AF" w14:textId="77777777" w:rsidR="00361651" w:rsidRDefault="00361651" w:rsidP="00EB33C1">
            <w:pPr>
              <w:pStyle w:val="IASBTableHeaderArial"/>
              <w:spacing w:after="120"/>
            </w:pPr>
            <w:r>
              <w:rPr>
                <w:rFonts w:ascii="Times New Roman" w:hAnsi="Times New Roman"/>
                <w:i/>
                <w:snapToGrid w:val="0"/>
                <w:sz w:val="16"/>
              </w:rPr>
              <w:t>End of 20X3</w:t>
            </w:r>
          </w:p>
        </w:tc>
        <w:tc>
          <w:tcPr>
            <w:tcW w:w="1274" w:type="dxa"/>
            <w:tcBorders>
              <w:left w:val="nil"/>
            </w:tcBorders>
          </w:tcPr>
          <w:p w14:paraId="0BB2E6B0" w14:textId="77777777" w:rsidR="00361651" w:rsidRDefault="00361651" w:rsidP="00EB33C1">
            <w:pPr>
              <w:pStyle w:val="IASBTableHeaderArial"/>
              <w:spacing w:after="120"/>
              <w:jc w:val="right"/>
            </w:pPr>
            <w:r>
              <w:rPr>
                <w:rFonts w:ascii="Times New Roman" w:hAnsi="Times New Roman"/>
                <w:i/>
                <w:snapToGrid w:val="0"/>
                <w:sz w:val="16"/>
              </w:rPr>
              <w:t>Goodwill</w:t>
            </w:r>
          </w:p>
        </w:tc>
        <w:tc>
          <w:tcPr>
            <w:tcW w:w="1638" w:type="dxa"/>
            <w:gridSpan w:val="2"/>
            <w:tcBorders>
              <w:left w:val="nil"/>
            </w:tcBorders>
          </w:tcPr>
          <w:p w14:paraId="0BB2E6B1" w14:textId="77777777" w:rsidR="00361651" w:rsidRDefault="00361651" w:rsidP="00EB33C1">
            <w:pPr>
              <w:pStyle w:val="IASBTableHeaderArial"/>
              <w:spacing w:after="120"/>
              <w:jc w:val="right"/>
            </w:pPr>
            <w:r>
              <w:rPr>
                <w:rFonts w:ascii="Times New Roman" w:hAnsi="Times New Roman"/>
                <w:i/>
                <w:snapToGrid w:val="0"/>
                <w:sz w:val="16"/>
              </w:rPr>
              <w:t>Net identifiable assets</w:t>
            </w:r>
          </w:p>
        </w:tc>
        <w:tc>
          <w:tcPr>
            <w:tcW w:w="1638" w:type="dxa"/>
            <w:gridSpan w:val="2"/>
            <w:tcBorders>
              <w:left w:val="nil"/>
            </w:tcBorders>
          </w:tcPr>
          <w:p w14:paraId="0BB2E6B2" w14:textId="77777777" w:rsidR="00361651" w:rsidRDefault="00361651" w:rsidP="00EB33C1">
            <w:pPr>
              <w:pStyle w:val="IASBTableHeaderArial"/>
              <w:spacing w:after="120"/>
              <w:jc w:val="right"/>
            </w:pPr>
            <w:r>
              <w:rPr>
                <w:rFonts w:ascii="Times New Roman" w:hAnsi="Times New Roman"/>
                <w:i/>
                <w:snapToGrid w:val="0"/>
                <w:sz w:val="16"/>
              </w:rPr>
              <w:t>Total</w:t>
            </w:r>
          </w:p>
        </w:tc>
      </w:tr>
      <w:tr w:rsidR="00361651" w14:paraId="0BB2E6BA" w14:textId="77777777" w:rsidTr="009709A2">
        <w:trPr>
          <w:cantSplit/>
          <w:tblHeader/>
        </w:trPr>
        <w:tc>
          <w:tcPr>
            <w:tcW w:w="3694" w:type="dxa"/>
            <w:tcBorders>
              <w:top w:val="nil"/>
            </w:tcBorders>
            <w:vAlign w:val="bottom"/>
          </w:tcPr>
          <w:p w14:paraId="0BB2E6B4" w14:textId="77777777" w:rsidR="00361651" w:rsidRDefault="00361651" w:rsidP="00EB33C1">
            <w:pPr>
              <w:pStyle w:val="IASBTableHeaderArial"/>
              <w:spacing w:after="120"/>
            </w:pPr>
          </w:p>
        </w:tc>
        <w:tc>
          <w:tcPr>
            <w:tcW w:w="1274" w:type="dxa"/>
            <w:tcBorders>
              <w:top w:val="nil"/>
              <w:left w:val="nil"/>
            </w:tcBorders>
          </w:tcPr>
          <w:p w14:paraId="0BB2E6B5"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6B6" w14:textId="77777777" w:rsidR="00361651" w:rsidRDefault="00361651" w:rsidP="00EB33C1">
            <w:pPr>
              <w:pStyle w:val="IASBTableHeaderArial"/>
              <w:spacing w:after="120"/>
            </w:pPr>
          </w:p>
        </w:tc>
        <w:tc>
          <w:tcPr>
            <w:tcW w:w="1183" w:type="dxa"/>
            <w:tcBorders>
              <w:top w:val="nil"/>
              <w:left w:val="nil"/>
            </w:tcBorders>
          </w:tcPr>
          <w:p w14:paraId="0BB2E6B7"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6B8" w14:textId="77777777" w:rsidR="00361651" w:rsidRDefault="00361651" w:rsidP="00EB33C1">
            <w:pPr>
              <w:pStyle w:val="IASBTableHeaderArial"/>
              <w:spacing w:after="120"/>
            </w:pPr>
          </w:p>
        </w:tc>
        <w:tc>
          <w:tcPr>
            <w:tcW w:w="1183" w:type="dxa"/>
            <w:tcBorders>
              <w:top w:val="nil"/>
              <w:left w:val="nil"/>
            </w:tcBorders>
          </w:tcPr>
          <w:p w14:paraId="0BB2E6B9" w14:textId="77777777" w:rsidR="00361651" w:rsidRDefault="00361651" w:rsidP="00EB33C1">
            <w:pPr>
              <w:pStyle w:val="IASBTableHeaderArial"/>
              <w:spacing w:after="120"/>
              <w:jc w:val="right"/>
            </w:pPr>
            <w:r>
              <w:rPr>
                <w:b/>
              </w:rPr>
              <w:t>CU</w:t>
            </w:r>
          </w:p>
        </w:tc>
      </w:tr>
      <w:tr w:rsidR="00361651" w14:paraId="0BB2E6C1" w14:textId="77777777" w:rsidTr="009709A2">
        <w:trPr>
          <w:cantSplit/>
        </w:trPr>
        <w:tc>
          <w:tcPr>
            <w:tcW w:w="3694" w:type="dxa"/>
            <w:tcBorders>
              <w:top w:val="nil"/>
            </w:tcBorders>
            <w:vAlign w:val="bottom"/>
          </w:tcPr>
          <w:p w14:paraId="0BB2E6BB" w14:textId="77777777" w:rsidR="00361651" w:rsidRDefault="00361651" w:rsidP="009709A2">
            <w:pPr>
              <w:pStyle w:val="IASBTableArial"/>
            </w:pPr>
            <w:r>
              <w:t>Carrying amount</w:t>
            </w:r>
          </w:p>
        </w:tc>
        <w:tc>
          <w:tcPr>
            <w:tcW w:w="1274" w:type="dxa"/>
            <w:tcBorders>
              <w:top w:val="nil"/>
              <w:left w:val="nil"/>
            </w:tcBorders>
            <w:vAlign w:val="bottom"/>
          </w:tcPr>
          <w:p w14:paraId="0BB2E6BC" w14:textId="77777777" w:rsidR="00361651" w:rsidRDefault="00361651" w:rsidP="009709A2">
            <w:pPr>
              <w:pStyle w:val="IASBTableArial"/>
              <w:jc w:val="right"/>
            </w:pPr>
            <w:r>
              <w:t>450</w:t>
            </w:r>
          </w:p>
        </w:tc>
        <w:tc>
          <w:tcPr>
            <w:tcW w:w="455" w:type="dxa"/>
            <w:tcBorders>
              <w:top w:val="nil"/>
              <w:left w:val="nil"/>
            </w:tcBorders>
            <w:vAlign w:val="bottom"/>
          </w:tcPr>
          <w:p w14:paraId="0BB2E6BD" w14:textId="77777777" w:rsidR="00361651" w:rsidRDefault="00361651" w:rsidP="009709A2">
            <w:pPr>
              <w:pStyle w:val="IASBTableArial"/>
            </w:pPr>
          </w:p>
        </w:tc>
        <w:tc>
          <w:tcPr>
            <w:tcW w:w="1183" w:type="dxa"/>
            <w:tcBorders>
              <w:top w:val="nil"/>
              <w:left w:val="nil"/>
            </w:tcBorders>
            <w:vAlign w:val="bottom"/>
          </w:tcPr>
          <w:p w14:paraId="0BB2E6BE" w14:textId="77777777" w:rsidR="00361651" w:rsidRDefault="00361651" w:rsidP="009709A2">
            <w:pPr>
              <w:pStyle w:val="IASBTableArial"/>
              <w:jc w:val="right"/>
            </w:pPr>
            <w:r>
              <w:t>1,350</w:t>
            </w:r>
          </w:p>
        </w:tc>
        <w:tc>
          <w:tcPr>
            <w:tcW w:w="455" w:type="dxa"/>
            <w:tcBorders>
              <w:top w:val="nil"/>
              <w:left w:val="nil"/>
            </w:tcBorders>
            <w:vAlign w:val="bottom"/>
          </w:tcPr>
          <w:p w14:paraId="0BB2E6BF" w14:textId="77777777" w:rsidR="00361651" w:rsidRDefault="00361651" w:rsidP="009709A2">
            <w:pPr>
              <w:pStyle w:val="IASBTableArial"/>
            </w:pPr>
          </w:p>
        </w:tc>
        <w:tc>
          <w:tcPr>
            <w:tcW w:w="1183" w:type="dxa"/>
            <w:tcBorders>
              <w:top w:val="nil"/>
              <w:left w:val="nil"/>
            </w:tcBorders>
            <w:vAlign w:val="bottom"/>
          </w:tcPr>
          <w:p w14:paraId="0BB2E6C0" w14:textId="77777777" w:rsidR="00361651" w:rsidRDefault="00361651" w:rsidP="009709A2">
            <w:pPr>
              <w:pStyle w:val="IASBTableArial"/>
              <w:jc w:val="right"/>
            </w:pPr>
            <w:r>
              <w:t>1,800</w:t>
            </w:r>
          </w:p>
        </w:tc>
      </w:tr>
      <w:tr w:rsidR="00361651" w14:paraId="0BB2E6C8" w14:textId="77777777" w:rsidTr="009709A2">
        <w:trPr>
          <w:cantSplit/>
        </w:trPr>
        <w:tc>
          <w:tcPr>
            <w:tcW w:w="3694" w:type="dxa"/>
            <w:tcBorders>
              <w:top w:val="nil"/>
            </w:tcBorders>
            <w:vAlign w:val="bottom"/>
          </w:tcPr>
          <w:p w14:paraId="0BB2E6C2" w14:textId="77777777" w:rsidR="00361651" w:rsidRDefault="00361651" w:rsidP="009709A2">
            <w:pPr>
              <w:pStyle w:val="IASBTableArial"/>
            </w:pPr>
            <w:r>
              <w:t>Recoverable amount</w:t>
            </w:r>
          </w:p>
        </w:tc>
        <w:tc>
          <w:tcPr>
            <w:tcW w:w="1274" w:type="dxa"/>
            <w:tcBorders>
              <w:top w:val="nil"/>
              <w:left w:val="nil"/>
            </w:tcBorders>
            <w:vAlign w:val="bottom"/>
          </w:tcPr>
          <w:p w14:paraId="0BB2E6C3" w14:textId="77777777" w:rsidR="00361651" w:rsidRDefault="00361651" w:rsidP="009709A2">
            <w:pPr>
              <w:pStyle w:val="IASBTableArial"/>
            </w:pPr>
          </w:p>
        </w:tc>
        <w:tc>
          <w:tcPr>
            <w:tcW w:w="455" w:type="dxa"/>
            <w:tcBorders>
              <w:top w:val="nil"/>
              <w:left w:val="nil"/>
            </w:tcBorders>
            <w:vAlign w:val="bottom"/>
          </w:tcPr>
          <w:p w14:paraId="0BB2E6C4" w14:textId="77777777" w:rsidR="00361651" w:rsidRDefault="00361651" w:rsidP="009709A2">
            <w:pPr>
              <w:pStyle w:val="IASBTableArial"/>
            </w:pPr>
          </w:p>
        </w:tc>
        <w:tc>
          <w:tcPr>
            <w:tcW w:w="1183" w:type="dxa"/>
            <w:tcBorders>
              <w:top w:val="nil"/>
              <w:left w:val="nil"/>
            </w:tcBorders>
            <w:vAlign w:val="bottom"/>
          </w:tcPr>
          <w:p w14:paraId="0BB2E6C5" w14:textId="77777777" w:rsidR="00361651" w:rsidRDefault="00361651" w:rsidP="009709A2">
            <w:pPr>
              <w:pStyle w:val="IASBTableArial"/>
            </w:pPr>
          </w:p>
        </w:tc>
        <w:tc>
          <w:tcPr>
            <w:tcW w:w="455" w:type="dxa"/>
            <w:tcBorders>
              <w:top w:val="nil"/>
              <w:left w:val="nil"/>
            </w:tcBorders>
            <w:vAlign w:val="bottom"/>
          </w:tcPr>
          <w:p w14:paraId="0BB2E6C6"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6C7" w14:textId="77777777" w:rsidR="00361651" w:rsidRDefault="00361651" w:rsidP="009709A2">
            <w:pPr>
              <w:pStyle w:val="IASBTableArial"/>
              <w:jc w:val="right"/>
            </w:pPr>
            <w:r>
              <w:t>1,650</w:t>
            </w:r>
          </w:p>
        </w:tc>
      </w:tr>
      <w:tr w:rsidR="00361651" w14:paraId="0BB2E6CF" w14:textId="77777777" w:rsidTr="009709A2">
        <w:trPr>
          <w:cantSplit/>
        </w:trPr>
        <w:tc>
          <w:tcPr>
            <w:tcW w:w="3694" w:type="dxa"/>
            <w:tcBorders>
              <w:top w:val="nil"/>
            </w:tcBorders>
            <w:vAlign w:val="bottom"/>
          </w:tcPr>
          <w:p w14:paraId="0BB2E6C9" w14:textId="77777777" w:rsidR="00361651" w:rsidRDefault="00361651" w:rsidP="009709A2">
            <w:pPr>
              <w:pStyle w:val="IASBTableArial"/>
            </w:pPr>
            <w:r>
              <w:t>Impairment loss</w:t>
            </w:r>
          </w:p>
        </w:tc>
        <w:tc>
          <w:tcPr>
            <w:tcW w:w="1274" w:type="dxa"/>
            <w:tcBorders>
              <w:top w:val="nil"/>
              <w:left w:val="nil"/>
            </w:tcBorders>
            <w:vAlign w:val="bottom"/>
          </w:tcPr>
          <w:p w14:paraId="0BB2E6CA" w14:textId="77777777" w:rsidR="00361651" w:rsidRDefault="00361651" w:rsidP="009709A2">
            <w:pPr>
              <w:pStyle w:val="IASBTableArial"/>
            </w:pPr>
          </w:p>
        </w:tc>
        <w:tc>
          <w:tcPr>
            <w:tcW w:w="455" w:type="dxa"/>
            <w:tcBorders>
              <w:top w:val="nil"/>
              <w:left w:val="nil"/>
            </w:tcBorders>
            <w:vAlign w:val="bottom"/>
          </w:tcPr>
          <w:p w14:paraId="0BB2E6CB" w14:textId="77777777" w:rsidR="00361651" w:rsidRDefault="00361651" w:rsidP="009709A2">
            <w:pPr>
              <w:pStyle w:val="IASBTableArial"/>
            </w:pPr>
          </w:p>
        </w:tc>
        <w:tc>
          <w:tcPr>
            <w:tcW w:w="1183" w:type="dxa"/>
            <w:tcBorders>
              <w:top w:val="nil"/>
              <w:left w:val="nil"/>
            </w:tcBorders>
            <w:vAlign w:val="bottom"/>
          </w:tcPr>
          <w:p w14:paraId="0BB2E6CC" w14:textId="77777777" w:rsidR="00361651" w:rsidRDefault="00361651" w:rsidP="009709A2">
            <w:pPr>
              <w:pStyle w:val="IASBTableArial"/>
            </w:pPr>
          </w:p>
        </w:tc>
        <w:tc>
          <w:tcPr>
            <w:tcW w:w="455" w:type="dxa"/>
            <w:tcBorders>
              <w:top w:val="nil"/>
              <w:left w:val="nil"/>
            </w:tcBorders>
            <w:vAlign w:val="bottom"/>
          </w:tcPr>
          <w:p w14:paraId="0BB2E6CD" w14:textId="77777777" w:rsidR="00361651" w:rsidRDefault="00361651" w:rsidP="009709A2">
            <w:pPr>
              <w:pStyle w:val="IASBTableArial"/>
            </w:pPr>
          </w:p>
        </w:tc>
        <w:tc>
          <w:tcPr>
            <w:tcW w:w="1183" w:type="dxa"/>
            <w:tcBorders>
              <w:top w:val="nil"/>
              <w:left w:val="nil"/>
              <w:bottom w:val="double" w:sz="4" w:space="0" w:color="auto"/>
            </w:tcBorders>
            <w:vAlign w:val="bottom"/>
          </w:tcPr>
          <w:p w14:paraId="0BB2E6CE" w14:textId="77777777" w:rsidR="00361651" w:rsidRDefault="00361651" w:rsidP="009709A2">
            <w:pPr>
              <w:pStyle w:val="IASBTableArial"/>
              <w:jc w:val="right"/>
            </w:pPr>
            <w:r>
              <w:t>150</w:t>
            </w:r>
          </w:p>
        </w:tc>
      </w:tr>
    </w:tbl>
    <w:p w14:paraId="0BB2E6D0" w14:textId="77777777" w:rsidR="00361651" w:rsidRDefault="00361651" w:rsidP="00361651">
      <w:pPr>
        <w:pStyle w:val="IASBNormalnpara"/>
      </w:pPr>
    </w:p>
    <w:p w14:paraId="0BB2E6D1" w14:textId="77777777" w:rsidR="00361651" w:rsidRDefault="00361651" w:rsidP="00361651">
      <w:pPr>
        <w:pStyle w:val="IASBSectionTitle3Ind"/>
      </w:pPr>
      <w:r>
        <w:t>Allocating the impairment loss</w:t>
      </w:r>
    </w:p>
    <w:p w14:paraId="0BB2E6D2" w14:textId="77777777" w:rsidR="00361651" w:rsidRDefault="00361651" w:rsidP="00361651">
      <w:pPr>
        <w:pStyle w:val="IASBNormalnpara"/>
      </w:pPr>
      <w:r>
        <w:t>IE68D</w:t>
      </w:r>
      <w:r>
        <w:tab/>
        <w:t>In accordance with paragraph 104 of</w:t>
      </w:r>
      <w:r w:rsidR="002D17D4">
        <w:t xml:space="preserve"> AASB 136</w:t>
      </w:r>
      <w:r>
        <w:t xml:space="preserve">, the impairment loss of CU150 is allocated to the assets in the unit by first reducing the carrying amount of goodwill. </w:t>
      </w:r>
    </w:p>
    <w:p w14:paraId="0BB2E6D3" w14:textId="77777777" w:rsidR="00361651" w:rsidRDefault="00361651" w:rsidP="00361651">
      <w:pPr>
        <w:pStyle w:val="IASBNormalnpara"/>
      </w:pPr>
      <w:r>
        <w:t>IE68E</w:t>
      </w:r>
      <w:r>
        <w:tab/>
        <w:t>Therefore, the full amount of impairment loss of CU150 for the unit is allocated to the goodwill. In accordance with paragraph C6 of Appendix C of</w:t>
      </w:r>
      <w:r w:rsidR="002D17D4">
        <w:t xml:space="preserve"> AASB 136</w:t>
      </w:r>
      <w:r>
        <w:t>, if the partially-owned subsidiary is itself a cash-generating unit, the goodwill impairment loss is allocated to the controlling and non-controlling interests on the same basis as that on which profit or loss is allocated.</w:t>
      </w:r>
    </w:p>
    <w:p w14:paraId="0BB2E6D4" w14:textId="77777777" w:rsidR="004B49E9" w:rsidRDefault="004B49E9" w:rsidP="004B49E9">
      <w:pPr>
        <w:pStyle w:val="IASBNormalnpara"/>
      </w:pPr>
    </w:p>
    <w:p w14:paraId="0BB2E6D5" w14:textId="42CC348D" w:rsidR="00361651" w:rsidRDefault="00361651" w:rsidP="00361651">
      <w:pPr>
        <w:pStyle w:val="IASBSectionTitle2Ind"/>
      </w:pPr>
      <w:r>
        <w:t xml:space="preserve">Example 7C </w:t>
      </w:r>
      <w:r w:rsidR="00EB33C1">
        <w:t xml:space="preserve"> </w:t>
      </w:r>
      <w:r>
        <w:t>Non-controlling interests measured initially at fair value and the related subsidiary is part of a larger cash-generating unit</w:t>
      </w:r>
    </w:p>
    <w:p w14:paraId="0BB2E6D6" w14:textId="77777777" w:rsidR="00361651" w:rsidRDefault="00361651" w:rsidP="00361651">
      <w:pPr>
        <w:pStyle w:val="IASBNormalnpara"/>
      </w:pPr>
      <w:r>
        <w:tab/>
      </w:r>
      <w:r>
        <w:rPr>
          <w:i/>
        </w:rPr>
        <w:t>In this example, tax effects are ignored.</w:t>
      </w:r>
    </w:p>
    <w:p w14:paraId="0BB2E6D7" w14:textId="77777777" w:rsidR="00361651" w:rsidRDefault="00361651" w:rsidP="00361651">
      <w:pPr>
        <w:pStyle w:val="IASBSectionTitle3Ind"/>
      </w:pPr>
      <w:r>
        <w:t>Background</w:t>
      </w:r>
    </w:p>
    <w:p w14:paraId="0BB2E6D8" w14:textId="77777777" w:rsidR="00361651" w:rsidRDefault="00361651" w:rsidP="00361651">
      <w:pPr>
        <w:pStyle w:val="IASBNormalnpara"/>
      </w:pPr>
      <w:r>
        <w:t>IE68F</w:t>
      </w:r>
      <w:r>
        <w:tab/>
        <w:t>Suppose that, for the business combination described in paragraph IE68A of Example 7B, the assets of Subsidiary will generate cash inflows together with other assets or groups of assets of Parent. Therefore, rather than Subsidiary being the cash-generating unit for the purposes of impairment testing, Subsidiary becomes part of a larger cash-generating unit, Z. Other cash-generating units of Parent are also expected to benefit from the synergies of the combination. Therefore, goodwill related to those synergies, in the amount of CU500, has been allocated to those other cash-generating units. Z’s goodwill related to previous business combinations is CU800.</w:t>
      </w:r>
    </w:p>
    <w:p w14:paraId="0BB2E6D9" w14:textId="77777777" w:rsidR="00361651" w:rsidRDefault="00361651" w:rsidP="00361651">
      <w:pPr>
        <w:pStyle w:val="IASBNormalnpara"/>
      </w:pPr>
      <w:r>
        <w:t>IE68G</w:t>
      </w:r>
      <w:r>
        <w:tab/>
        <w:t>Because Z includes goodwill within its carrying amount, both from Subsidiary and from previous business combinations, it must be tested for impairment annually, or more frequently if there is an indication that it might be impaired (see paragraph 90 of</w:t>
      </w:r>
      <w:r w:rsidR="002D17D4">
        <w:t xml:space="preserve"> AASB 136</w:t>
      </w:r>
      <w:r>
        <w:t xml:space="preserve">). </w:t>
      </w:r>
    </w:p>
    <w:p w14:paraId="0BB2E6DA" w14:textId="77777777" w:rsidR="00361651" w:rsidRDefault="00361651" w:rsidP="00361651">
      <w:pPr>
        <w:pStyle w:val="IASBSectionTitle3Ind"/>
      </w:pPr>
      <w:r>
        <w:t>Testing Subsidiary for impairment</w:t>
      </w:r>
    </w:p>
    <w:p w14:paraId="0BB2E6DB" w14:textId="77777777" w:rsidR="00361651" w:rsidRDefault="00361651" w:rsidP="00361651">
      <w:pPr>
        <w:pStyle w:val="IASBNormalnpara"/>
      </w:pPr>
      <w:r>
        <w:t>IE68H</w:t>
      </w:r>
      <w:r>
        <w:tab/>
        <w:t>At the end of 20X3, Parent determines that the recoverable amount of cash-generating unit Z is CU3,300. The carrying amount of the net assets of Z, excluding goodwill, is CU2,250.</w:t>
      </w:r>
    </w:p>
    <w:p w14:paraId="0BB2E6DC" w14:textId="77777777" w:rsidR="00361651" w:rsidRDefault="00361651" w:rsidP="004B49E9">
      <w:pPr>
        <w:pStyle w:val="IASBNormalnpara"/>
        <w:keepNext/>
      </w:pPr>
      <w:r>
        <w:lastRenderedPageBreak/>
        <w:tab/>
        <w:t>Schedule 3. Testing Z for impairment at the end of 20X3</w:t>
      </w:r>
    </w:p>
    <w:p w14:paraId="0BB2E6DD" w14:textId="77777777" w:rsidR="00361651" w:rsidRDefault="00361651" w:rsidP="004B49E9">
      <w:pPr>
        <w:pStyle w:val="IASBNormalnpara"/>
        <w:keepNext/>
      </w:pPr>
    </w:p>
    <w:tbl>
      <w:tblPr>
        <w:tblW w:w="0" w:type="auto"/>
        <w:tblInd w:w="964" w:type="dxa"/>
        <w:tblLayout w:type="fixed"/>
        <w:tblLook w:val="0000" w:firstRow="0" w:lastRow="0" w:firstColumn="0" w:lastColumn="0" w:noHBand="0" w:noVBand="0"/>
        <w:tblCaption w:val="AASB 136 Table 30"/>
      </w:tblPr>
      <w:tblGrid>
        <w:gridCol w:w="3694"/>
        <w:gridCol w:w="1274"/>
        <w:gridCol w:w="455"/>
        <w:gridCol w:w="1183"/>
        <w:gridCol w:w="455"/>
        <w:gridCol w:w="1183"/>
      </w:tblGrid>
      <w:tr w:rsidR="00361651" w14:paraId="0BB2E6E2" w14:textId="77777777" w:rsidTr="009709A2">
        <w:trPr>
          <w:cantSplit/>
          <w:tblHeader/>
        </w:trPr>
        <w:tc>
          <w:tcPr>
            <w:tcW w:w="3694" w:type="dxa"/>
          </w:tcPr>
          <w:p w14:paraId="0BB2E6DE" w14:textId="77777777" w:rsidR="00361651" w:rsidRDefault="00361651" w:rsidP="00EB33C1">
            <w:pPr>
              <w:pStyle w:val="IASBTableHeaderArial"/>
              <w:spacing w:after="120"/>
            </w:pPr>
            <w:r>
              <w:rPr>
                <w:rFonts w:ascii="Times New Roman" w:hAnsi="Times New Roman"/>
                <w:i/>
                <w:snapToGrid w:val="0"/>
                <w:sz w:val="16"/>
              </w:rPr>
              <w:t>End of 20X3</w:t>
            </w:r>
          </w:p>
        </w:tc>
        <w:tc>
          <w:tcPr>
            <w:tcW w:w="1274" w:type="dxa"/>
            <w:tcBorders>
              <w:left w:val="nil"/>
            </w:tcBorders>
          </w:tcPr>
          <w:p w14:paraId="0BB2E6DF" w14:textId="77777777" w:rsidR="00361651" w:rsidRDefault="00361651" w:rsidP="00EB33C1">
            <w:pPr>
              <w:pStyle w:val="IASBTableHeaderArial"/>
              <w:spacing w:after="120"/>
              <w:jc w:val="right"/>
            </w:pPr>
            <w:r>
              <w:rPr>
                <w:rFonts w:ascii="Times New Roman" w:hAnsi="Times New Roman"/>
                <w:i/>
                <w:snapToGrid w:val="0"/>
                <w:sz w:val="16"/>
              </w:rPr>
              <w:t>Goodwill</w:t>
            </w:r>
          </w:p>
        </w:tc>
        <w:tc>
          <w:tcPr>
            <w:tcW w:w="1638" w:type="dxa"/>
            <w:gridSpan w:val="2"/>
            <w:tcBorders>
              <w:left w:val="nil"/>
            </w:tcBorders>
          </w:tcPr>
          <w:p w14:paraId="0BB2E6E0" w14:textId="77777777" w:rsidR="00361651" w:rsidRDefault="00361651" w:rsidP="00EB33C1">
            <w:pPr>
              <w:pStyle w:val="IASBTableHeaderArial"/>
              <w:spacing w:after="120"/>
              <w:jc w:val="right"/>
            </w:pPr>
            <w:r>
              <w:rPr>
                <w:rFonts w:ascii="Times New Roman" w:hAnsi="Times New Roman"/>
                <w:i/>
                <w:snapToGrid w:val="0"/>
                <w:sz w:val="16"/>
              </w:rPr>
              <w:t>Net identifiable assets</w:t>
            </w:r>
          </w:p>
        </w:tc>
        <w:tc>
          <w:tcPr>
            <w:tcW w:w="1638" w:type="dxa"/>
            <w:gridSpan w:val="2"/>
            <w:tcBorders>
              <w:left w:val="nil"/>
            </w:tcBorders>
          </w:tcPr>
          <w:p w14:paraId="0BB2E6E1" w14:textId="77777777" w:rsidR="00361651" w:rsidRDefault="00361651" w:rsidP="00EB33C1">
            <w:pPr>
              <w:pStyle w:val="IASBTableHeaderArial"/>
              <w:spacing w:after="120"/>
              <w:jc w:val="right"/>
            </w:pPr>
            <w:r>
              <w:rPr>
                <w:rFonts w:ascii="Times New Roman" w:hAnsi="Times New Roman"/>
                <w:i/>
                <w:snapToGrid w:val="0"/>
                <w:sz w:val="16"/>
              </w:rPr>
              <w:t>Total</w:t>
            </w:r>
          </w:p>
        </w:tc>
      </w:tr>
      <w:tr w:rsidR="00361651" w14:paraId="0BB2E6E9" w14:textId="77777777" w:rsidTr="009709A2">
        <w:trPr>
          <w:cantSplit/>
          <w:tblHeader/>
        </w:trPr>
        <w:tc>
          <w:tcPr>
            <w:tcW w:w="3694" w:type="dxa"/>
            <w:tcBorders>
              <w:top w:val="nil"/>
            </w:tcBorders>
            <w:vAlign w:val="bottom"/>
          </w:tcPr>
          <w:p w14:paraId="0BB2E6E3" w14:textId="77777777" w:rsidR="00361651" w:rsidRDefault="00361651" w:rsidP="00EB33C1">
            <w:pPr>
              <w:pStyle w:val="IASBTableHeaderArial"/>
              <w:spacing w:after="120"/>
            </w:pPr>
          </w:p>
        </w:tc>
        <w:tc>
          <w:tcPr>
            <w:tcW w:w="1274" w:type="dxa"/>
            <w:tcBorders>
              <w:top w:val="nil"/>
              <w:left w:val="nil"/>
            </w:tcBorders>
          </w:tcPr>
          <w:p w14:paraId="0BB2E6E4"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6E5" w14:textId="77777777" w:rsidR="00361651" w:rsidRDefault="00361651" w:rsidP="00EB33C1">
            <w:pPr>
              <w:pStyle w:val="IASBTableHeaderArial"/>
              <w:spacing w:after="120"/>
            </w:pPr>
          </w:p>
        </w:tc>
        <w:tc>
          <w:tcPr>
            <w:tcW w:w="1183" w:type="dxa"/>
            <w:tcBorders>
              <w:top w:val="nil"/>
              <w:left w:val="nil"/>
            </w:tcBorders>
          </w:tcPr>
          <w:p w14:paraId="0BB2E6E6"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6E7" w14:textId="77777777" w:rsidR="00361651" w:rsidRDefault="00361651" w:rsidP="00EB33C1">
            <w:pPr>
              <w:pStyle w:val="IASBTableHeaderArial"/>
              <w:spacing w:after="120"/>
            </w:pPr>
          </w:p>
        </w:tc>
        <w:tc>
          <w:tcPr>
            <w:tcW w:w="1183" w:type="dxa"/>
            <w:tcBorders>
              <w:top w:val="nil"/>
              <w:left w:val="nil"/>
            </w:tcBorders>
          </w:tcPr>
          <w:p w14:paraId="0BB2E6E8" w14:textId="77777777" w:rsidR="00361651" w:rsidRDefault="00361651" w:rsidP="00EB33C1">
            <w:pPr>
              <w:pStyle w:val="IASBTableHeaderArial"/>
              <w:spacing w:after="120"/>
              <w:jc w:val="right"/>
            </w:pPr>
            <w:r>
              <w:rPr>
                <w:b/>
              </w:rPr>
              <w:t>CU</w:t>
            </w:r>
          </w:p>
        </w:tc>
      </w:tr>
      <w:tr w:rsidR="00361651" w14:paraId="0BB2E6F0" w14:textId="77777777" w:rsidTr="009709A2">
        <w:trPr>
          <w:cantSplit/>
        </w:trPr>
        <w:tc>
          <w:tcPr>
            <w:tcW w:w="3694" w:type="dxa"/>
            <w:tcBorders>
              <w:top w:val="nil"/>
            </w:tcBorders>
            <w:vAlign w:val="bottom"/>
          </w:tcPr>
          <w:p w14:paraId="0BB2E6EA" w14:textId="77777777" w:rsidR="00361651" w:rsidRDefault="00361651" w:rsidP="009709A2">
            <w:pPr>
              <w:pStyle w:val="IASBTableArial"/>
            </w:pPr>
            <w:r>
              <w:t>Carrying amount</w:t>
            </w:r>
          </w:p>
        </w:tc>
        <w:tc>
          <w:tcPr>
            <w:tcW w:w="1274" w:type="dxa"/>
            <w:tcBorders>
              <w:top w:val="nil"/>
              <w:left w:val="nil"/>
            </w:tcBorders>
            <w:vAlign w:val="bottom"/>
          </w:tcPr>
          <w:p w14:paraId="0BB2E6EB" w14:textId="77777777" w:rsidR="00361651" w:rsidRDefault="00361651" w:rsidP="009709A2">
            <w:pPr>
              <w:pStyle w:val="IASBTableArial"/>
              <w:jc w:val="right"/>
            </w:pPr>
            <w:r>
              <w:t>1,250</w:t>
            </w:r>
          </w:p>
        </w:tc>
        <w:tc>
          <w:tcPr>
            <w:tcW w:w="455" w:type="dxa"/>
            <w:tcBorders>
              <w:top w:val="nil"/>
              <w:left w:val="nil"/>
            </w:tcBorders>
            <w:vAlign w:val="bottom"/>
          </w:tcPr>
          <w:p w14:paraId="0BB2E6EC" w14:textId="77777777" w:rsidR="00361651" w:rsidRDefault="00361651" w:rsidP="009709A2">
            <w:pPr>
              <w:pStyle w:val="IASBTableArial"/>
            </w:pPr>
          </w:p>
        </w:tc>
        <w:tc>
          <w:tcPr>
            <w:tcW w:w="1183" w:type="dxa"/>
            <w:tcBorders>
              <w:top w:val="nil"/>
              <w:left w:val="nil"/>
            </w:tcBorders>
            <w:vAlign w:val="bottom"/>
          </w:tcPr>
          <w:p w14:paraId="0BB2E6ED" w14:textId="77777777" w:rsidR="00361651" w:rsidRDefault="00361651" w:rsidP="009709A2">
            <w:pPr>
              <w:pStyle w:val="IASBTableArial"/>
              <w:jc w:val="right"/>
            </w:pPr>
            <w:r>
              <w:t>2,250</w:t>
            </w:r>
          </w:p>
        </w:tc>
        <w:tc>
          <w:tcPr>
            <w:tcW w:w="455" w:type="dxa"/>
            <w:tcBorders>
              <w:top w:val="nil"/>
              <w:left w:val="nil"/>
            </w:tcBorders>
            <w:vAlign w:val="bottom"/>
          </w:tcPr>
          <w:p w14:paraId="0BB2E6EE" w14:textId="77777777" w:rsidR="00361651" w:rsidRDefault="00361651" w:rsidP="009709A2">
            <w:pPr>
              <w:pStyle w:val="IASBTableArial"/>
            </w:pPr>
          </w:p>
        </w:tc>
        <w:tc>
          <w:tcPr>
            <w:tcW w:w="1183" w:type="dxa"/>
            <w:tcBorders>
              <w:top w:val="nil"/>
              <w:left w:val="nil"/>
            </w:tcBorders>
            <w:vAlign w:val="bottom"/>
          </w:tcPr>
          <w:p w14:paraId="0BB2E6EF" w14:textId="77777777" w:rsidR="00361651" w:rsidRDefault="00361651" w:rsidP="009709A2">
            <w:pPr>
              <w:pStyle w:val="IASBTableArial"/>
              <w:jc w:val="right"/>
            </w:pPr>
            <w:r>
              <w:t>3,500</w:t>
            </w:r>
          </w:p>
        </w:tc>
      </w:tr>
      <w:tr w:rsidR="00361651" w14:paraId="0BB2E6F7" w14:textId="77777777" w:rsidTr="009709A2">
        <w:trPr>
          <w:cantSplit/>
        </w:trPr>
        <w:tc>
          <w:tcPr>
            <w:tcW w:w="3694" w:type="dxa"/>
            <w:tcBorders>
              <w:top w:val="nil"/>
            </w:tcBorders>
            <w:vAlign w:val="bottom"/>
          </w:tcPr>
          <w:p w14:paraId="0BB2E6F1" w14:textId="77777777" w:rsidR="00361651" w:rsidRDefault="00361651" w:rsidP="009709A2">
            <w:pPr>
              <w:pStyle w:val="IASBTableArial"/>
            </w:pPr>
            <w:r>
              <w:t>Recoverable amount</w:t>
            </w:r>
          </w:p>
        </w:tc>
        <w:tc>
          <w:tcPr>
            <w:tcW w:w="1274" w:type="dxa"/>
            <w:tcBorders>
              <w:top w:val="nil"/>
              <w:left w:val="nil"/>
            </w:tcBorders>
            <w:vAlign w:val="bottom"/>
          </w:tcPr>
          <w:p w14:paraId="0BB2E6F2" w14:textId="77777777" w:rsidR="00361651" w:rsidRDefault="00361651" w:rsidP="009709A2">
            <w:pPr>
              <w:pStyle w:val="IASBTableArial"/>
            </w:pPr>
          </w:p>
        </w:tc>
        <w:tc>
          <w:tcPr>
            <w:tcW w:w="455" w:type="dxa"/>
            <w:tcBorders>
              <w:top w:val="nil"/>
              <w:left w:val="nil"/>
            </w:tcBorders>
            <w:vAlign w:val="bottom"/>
          </w:tcPr>
          <w:p w14:paraId="0BB2E6F3" w14:textId="77777777" w:rsidR="00361651" w:rsidRDefault="00361651" w:rsidP="009709A2">
            <w:pPr>
              <w:pStyle w:val="IASBTableArial"/>
            </w:pPr>
          </w:p>
        </w:tc>
        <w:tc>
          <w:tcPr>
            <w:tcW w:w="1183" w:type="dxa"/>
            <w:tcBorders>
              <w:top w:val="nil"/>
              <w:left w:val="nil"/>
            </w:tcBorders>
            <w:vAlign w:val="bottom"/>
          </w:tcPr>
          <w:p w14:paraId="0BB2E6F4" w14:textId="77777777" w:rsidR="00361651" w:rsidRDefault="00361651" w:rsidP="009709A2">
            <w:pPr>
              <w:pStyle w:val="IASBTableArial"/>
            </w:pPr>
          </w:p>
        </w:tc>
        <w:tc>
          <w:tcPr>
            <w:tcW w:w="455" w:type="dxa"/>
            <w:tcBorders>
              <w:top w:val="nil"/>
              <w:left w:val="nil"/>
            </w:tcBorders>
            <w:vAlign w:val="bottom"/>
          </w:tcPr>
          <w:p w14:paraId="0BB2E6F5" w14:textId="77777777" w:rsidR="00361651" w:rsidRDefault="00361651" w:rsidP="009709A2">
            <w:pPr>
              <w:pStyle w:val="IASBTableArial"/>
            </w:pPr>
          </w:p>
        </w:tc>
        <w:tc>
          <w:tcPr>
            <w:tcW w:w="1183" w:type="dxa"/>
            <w:tcBorders>
              <w:top w:val="nil"/>
              <w:left w:val="nil"/>
              <w:bottom w:val="single" w:sz="4" w:space="0" w:color="auto"/>
            </w:tcBorders>
            <w:vAlign w:val="bottom"/>
          </w:tcPr>
          <w:p w14:paraId="0BB2E6F6" w14:textId="77777777" w:rsidR="00361651" w:rsidRDefault="00361651" w:rsidP="009709A2">
            <w:pPr>
              <w:pStyle w:val="IASBTableArial"/>
              <w:jc w:val="right"/>
            </w:pPr>
            <w:r>
              <w:t>3,300</w:t>
            </w:r>
          </w:p>
        </w:tc>
      </w:tr>
      <w:tr w:rsidR="00361651" w14:paraId="0BB2E6FE" w14:textId="77777777" w:rsidTr="009709A2">
        <w:trPr>
          <w:cantSplit/>
        </w:trPr>
        <w:tc>
          <w:tcPr>
            <w:tcW w:w="3694" w:type="dxa"/>
            <w:tcBorders>
              <w:top w:val="nil"/>
            </w:tcBorders>
            <w:vAlign w:val="bottom"/>
          </w:tcPr>
          <w:p w14:paraId="0BB2E6F8" w14:textId="77777777" w:rsidR="00361651" w:rsidRDefault="00361651" w:rsidP="009709A2">
            <w:pPr>
              <w:pStyle w:val="IASBTableArial"/>
            </w:pPr>
            <w:r>
              <w:t>Impairment loss</w:t>
            </w:r>
          </w:p>
        </w:tc>
        <w:tc>
          <w:tcPr>
            <w:tcW w:w="1274" w:type="dxa"/>
            <w:tcBorders>
              <w:top w:val="nil"/>
              <w:left w:val="nil"/>
            </w:tcBorders>
            <w:vAlign w:val="bottom"/>
          </w:tcPr>
          <w:p w14:paraId="0BB2E6F9" w14:textId="77777777" w:rsidR="00361651" w:rsidRDefault="00361651" w:rsidP="009709A2">
            <w:pPr>
              <w:pStyle w:val="IASBTableArial"/>
            </w:pPr>
          </w:p>
        </w:tc>
        <w:tc>
          <w:tcPr>
            <w:tcW w:w="455" w:type="dxa"/>
            <w:tcBorders>
              <w:top w:val="nil"/>
              <w:left w:val="nil"/>
            </w:tcBorders>
            <w:vAlign w:val="bottom"/>
          </w:tcPr>
          <w:p w14:paraId="0BB2E6FA" w14:textId="77777777" w:rsidR="00361651" w:rsidRDefault="00361651" w:rsidP="009709A2">
            <w:pPr>
              <w:pStyle w:val="IASBTableArial"/>
            </w:pPr>
          </w:p>
        </w:tc>
        <w:tc>
          <w:tcPr>
            <w:tcW w:w="1183" w:type="dxa"/>
            <w:tcBorders>
              <w:top w:val="nil"/>
              <w:left w:val="nil"/>
            </w:tcBorders>
            <w:vAlign w:val="bottom"/>
          </w:tcPr>
          <w:p w14:paraId="0BB2E6FB" w14:textId="77777777" w:rsidR="00361651" w:rsidRDefault="00361651" w:rsidP="009709A2">
            <w:pPr>
              <w:pStyle w:val="IASBTableArial"/>
            </w:pPr>
          </w:p>
        </w:tc>
        <w:tc>
          <w:tcPr>
            <w:tcW w:w="455" w:type="dxa"/>
            <w:tcBorders>
              <w:top w:val="nil"/>
              <w:left w:val="nil"/>
            </w:tcBorders>
            <w:vAlign w:val="bottom"/>
          </w:tcPr>
          <w:p w14:paraId="0BB2E6FC" w14:textId="77777777" w:rsidR="00361651" w:rsidRDefault="00361651" w:rsidP="009709A2">
            <w:pPr>
              <w:pStyle w:val="IASBTableArial"/>
            </w:pPr>
          </w:p>
        </w:tc>
        <w:tc>
          <w:tcPr>
            <w:tcW w:w="1183" w:type="dxa"/>
            <w:tcBorders>
              <w:top w:val="nil"/>
              <w:left w:val="nil"/>
              <w:bottom w:val="double" w:sz="4" w:space="0" w:color="auto"/>
            </w:tcBorders>
            <w:vAlign w:val="bottom"/>
          </w:tcPr>
          <w:p w14:paraId="0BB2E6FD" w14:textId="77777777" w:rsidR="00361651" w:rsidRDefault="00361651" w:rsidP="009709A2">
            <w:pPr>
              <w:pStyle w:val="IASBTableArial"/>
              <w:jc w:val="right"/>
            </w:pPr>
            <w:r>
              <w:t>200</w:t>
            </w:r>
          </w:p>
        </w:tc>
      </w:tr>
    </w:tbl>
    <w:p w14:paraId="0BB2E6FF" w14:textId="77777777" w:rsidR="00361651" w:rsidRDefault="00361651" w:rsidP="00361651">
      <w:pPr>
        <w:pStyle w:val="IASBNormalnpara"/>
      </w:pPr>
    </w:p>
    <w:p w14:paraId="0BB2E700" w14:textId="77777777" w:rsidR="00361651" w:rsidRDefault="00361651" w:rsidP="00361651">
      <w:pPr>
        <w:pStyle w:val="IASBSectionTitle3Ind"/>
      </w:pPr>
      <w:r>
        <w:t>Allocating the impairment loss</w:t>
      </w:r>
    </w:p>
    <w:p w14:paraId="0BB2E701" w14:textId="77777777" w:rsidR="00361651" w:rsidRDefault="00361651" w:rsidP="00361651">
      <w:pPr>
        <w:pStyle w:val="IASBNormalnpara"/>
      </w:pPr>
      <w:r>
        <w:t>IE68I</w:t>
      </w:r>
      <w:r>
        <w:tab/>
        <w:t>In accordance with paragraph 104 of</w:t>
      </w:r>
      <w:r w:rsidR="002D17D4">
        <w:t xml:space="preserve"> AASB 136</w:t>
      </w:r>
      <w:r>
        <w:t>, the impairment loss of CU200 is allocated to the assets in the unit by first reducing the carrying amount of goodwill. Therefore, the full amount of impairment loss of CU200 for cash-generating unit Z is allocated to the goodwill. In accordance with paragraph C7 of Appendix C of</w:t>
      </w:r>
      <w:r w:rsidR="002D17D4">
        <w:t xml:space="preserve"> AASB 136</w:t>
      </w:r>
      <w:r>
        <w:t>, if the partially-owned Subsidiary forms part of a larger cash-generating unit, the goodwill impairment loss would be allocated first to the parts of the cash-generating unit, Z, and then to the controlling and non-controlling interests of the partially-owned Subsidiary.</w:t>
      </w:r>
    </w:p>
    <w:p w14:paraId="0BB2E702" w14:textId="77777777" w:rsidR="00361651" w:rsidRDefault="00361651" w:rsidP="00361651">
      <w:pPr>
        <w:pStyle w:val="IASBNormalnpara"/>
      </w:pPr>
      <w:r>
        <w:t>IE68J</w:t>
      </w:r>
      <w:r>
        <w:tab/>
        <w:t>Parent allocates the impairment loss to the parts of the cash-generating unit on the basis of the relative carrying values of the goodwill of the parts before the impairment. In this example Subsidiary is allocated 36 per cent of the impairment (450/1,250). The impairment loss is then allocated to the controlling and non-controlling interests on the same basis as that on which profit or loss is allocated.</w:t>
      </w:r>
    </w:p>
    <w:p w14:paraId="0BB2E703" w14:textId="77777777" w:rsidR="004B49E9" w:rsidRDefault="004B49E9" w:rsidP="004B49E9">
      <w:pPr>
        <w:pStyle w:val="IASBNormalnpara"/>
      </w:pPr>
    </w:p>
    <w:p w14:paraId="0BB2E704" w14:textId="77777777" w:rsidR="00361651" w:rsidRDefault="00361651" w:rsidP="00361651">
      <w:pPr>
        <w:pStyle w:val="IASBSectionTitle1NonInd"/>
      </w:pPr>
      <w:r>
        <w:t>Example 8</w:t>
      </w:r>
      <w:r>
        <w:t> </w:t>
      </w:r>
      <w:r>
        <w:t>Allocation of corporate assets</w:t>
      </w:r>
    </w:p>
    <w:p w14:paraId="0BB2E705" w14:textId="77777777" w:rsidR="00361651" w:rsidRDefault="00361651" w:rsidP="00361651">
      <w:pPr>
        <w:pStyle w:val="IASBNormal"/>
      </w:pPr>
      <w:r>
        <w:rPr>
          <w:i/>
        </w:rPr>
        <w:t>In this example, tax effects are ignored.</w:t>
      </w:r>
    </w:p>
    <w:p w14:paraId="0BB2E706" w14:textId="77777777" w:rsidR="00361651" w:rsidRDefault="00361651" w:rsidP="00361651">
      <w:pPr>
        <w:pStyle w:val="IASBSectionTitle3Ind"/>
      </w:pPr>
      <w:r>
        <w:t>Background</w:t>
      </w:r>
    </w:p>
    <w:p w14:paraId="0BB2E707" w14:textId="77777777" w:rsidR="00361651" w:rsidRDefault="00361651" w:rsidP="00361651">
      <w:pPr>
        <w:pStyle w:val="IASBNormalnpara"/>
      </w:pPr>
      <w:r>
        <w:t>IE69</w:t>
      </w:r>
      <w:r>
        <w:tab/>
        <w:t xml:space="preserve">Entity M has three cash-generating units: A, B and C. The carrying amounts of those units do not include goodwill. There are adverse changes in the technological environment in which M operates. Therefore, M conducts impairment tests of each of its cash-generating units. At the end of 20X0, the carrying amounts of A, B and C are CU100, CU150 and CU200 respectively. </w:t>
      </w:r>
    </w:p>
    <w:p w14:paraId="0BB2E708" w14:textId="77777777" w:rsidR="00361651" w:rsidRDefault="00361651" w:rsidP="00361651">
      <w:pPr>
        <w:pStyle w:val="IASBNormalnpara"/>
      </w:pPr>
      <w:r>
        <w:t>IE70</w:t>
      </w:r>
      <w:r>
        <w:tab/>
        <w:t xml:space="preserve">The operations are conducted from a headquarters. The carrying amount of the headquarters is CU200: a headquarters building of CU150 and a research centre of CU50. The relative carrying amounts of the cash-generating units are a reasonable indication of the proportion of the headquarters building devoted to each cash-generating unit. The carrying amount of the research centre cannot be allocated on a reasonable basis to the individual cash-generating units. </w:t>
      </w:r>
    </w:p>
    <w:p w14:paraId="0BB2E709" w14:textId="77777777" w:rsidR="00361651" w:rsidRDefault="00361651" w:rsidP="00361651">
      <w:pPr>
        <w:pStyle w:val="IASBNormalnpara"/>
      </w:pPr>
      <w:r>
        <w:t>IE71</w:t>
      </w:r>
      <w:r>
        <w:tab/>
        <w:t>The remaining estimated useful life of cash-generating unit A is 10 years. The remaining useful lives of B, C and the headquarters are 20 years. The headquarters is depreciated on a straight-line basis.</w:t>
      </w:r>
    </w:p>
    <w:p w14:paraId="0BB2E70A" w14:textId="77777777" w:rsidR="00361651" w:rsidRDefault="00361651" w:rsidP="00361651">
      <w:pPr>
        <w:pStyle w:val="IASBNormalnpara"/>
      </w:pPr>
      <w:r>
        <w:t>IE72</w:t>
      </w:r>
      <w:r>
        <w:tab/>
        <w:t xml:space="preserve">The recoverable amount (ie higher of value in use and fair value less costs of disposal) of each cash-generating unit is based on its value in use. Value in use is calculated using a pre-tax discount rate of 15 per cent. </w:t>
      </w:r>
    </w:p>
    <w:p w14:paraId="0BB2E70B" w14:textId="77777777" w:rsidR="00361651" w:rsidRDefault="00361651" w:rsidP="00361651">
      <w:pPr>
        <w:pStyle w:val="IASBSectionTitle3Ind"/>
      </w:pPr>
      <w:r>
        <w:t>Identification of corporate assets</w:t>
      </w:r>
    </w:p>
    <w:p w14:paraId="0BB2E70C" w14:textId="77777777" w:rsidR="00361651" w:rsidRDefault="00361651" w:rsidP="00361651">
      <w:pPr>
        <w:pStyle w:val="IASBNormalnpara"/>
      </w:pPr>
      <w:r>
        <w:t>IE73</w:t>
      </w:r>
      <w:r>
        <w:tab/>
        <w:t>In accordance with paragraph 102 of</w:t>
      </w:r>
      <w:r w:rsidR="002D17D4">
        <w:t xml:space="preserve"> AASB 136</w:t>
      </w:r>
      <w:r>
        <w:t>, M first identifies all the corporate assets that relate to the individual cash-generating units under review. The corporate assets are the headquarters building and the research centre.</w:t>
      </w:r>
    </w:p>
    <w:p w14:paraId="0BB2E70D" w14:textId="77777777" w:rsidR="00361651" w:rsidRDefault="00361651" w:rsidP="00361651">
      <w:pPr>
        <w:pStyle w:val="IASBNormalnpara"/>
      </w:pPr>
      <w:r>
        <w:t>IE74</w:t>
      </w:r>
      <w:r>
        <w:tab/>
        <w:t xml:space="preserve">M then decides how to deal with each of the corporate assets: </w:t>
      </w:r>
    </w:p>
    <w:p w14:paraId="0BB2E70E" w14:textId="77777777" w:rsidR="00361651" w:rsidRDefault="00361651" w:rsidP="00361651">
      <w:pPr>
        <w:pStyle w:val="IASBNormalnparaL1"/>
      </w:pPr>
      <w:r>
        <w:t>(a)</w:t>
      </w:r>
      <w:r>
        <w:tab/>
        <w:t>the carrying amount of the headquarters building can be allocated on a reasonable and consistent basis to the cash-generating units under review; and</w:t>
      </w:r>
    </w:p>
    <w:p w14:paraId="0BB2E70F" w14:textId="77777777" w:rsidR="00361651" w:rsidRDefault="00361651" w:rsidP="00361651">
      <w:pPr>
        <w:pStyle w:val="IASBNormalnparaL1"/>
      </w:pPr>
      <w:r>
        <w:lastRenderedPageBreak/>
        <w:t>(b)</w:t>
      </w:r>
      <w:r>
        <w:tab/>
        <w:t>the carrying amount of the research centre cannot be allocated on a reasonable and consistent basis to the individual cash-generating units under review.</w:t>
      </w:r>
    </w:p>
    <w:p w14:paraId="0BB2E710" w14:textId="77777777" w:rsidR="00361651" w:rsidRDefault="00361651" w:rsidP="00361651">
      <w:pPr>
        <w:pStyle w:val="IASBSectionTitle3Ind"/>
      </w:pPr>
      <w:r>
        <w:t>Allocation of corporate assets</w:t>
      </w:r>
    </w:p>
    <w:p w14:paraId="0BB2E711" w14:textId="77777777" w:rsidR="00361651" w:rsidRDefault="00361651" w:rsidP="00361651">
      <w:pPr>
        <w:pStyle w:val="IASBNormalnpara"/>
      </w:pPr>
      <w:r>
        <w:t>IE75</w:t>
      </w:r>
      <w:r>
        <w:tab/>
        <w:t xml:space="preserve">The carrying amount of the headquarters building is allocated to the carrying amount of each individual cash-generating unit. A weighted allocation basis is used because the estimated remaining useful life of A’s cash-generating unit is 10 years, whereas the estimated remaining useful lives of B and C’s cash-generating units are 20 years. </w:t>
      </w:r>
    </w:p>
    <w:p w14:paraId="0BB2E712" w14:textId="77777777" w:rsidR="00361651" w:rsidRDefault="00361651" w:rsidP="00361651">
      <w:pPr>
        <w:pStyle w:val="IASBNormalnparaP"/>
      </w:pPr>
      <w:r>
        <w:t>Schedule 1. Calculation of a weighted allocation of the carrying amount of the headquarters building</w:t>
      </w:r>
    </w:p>
    <w:p w14:paraId="0BB2E713"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31"/>
      </w:tblPr>
      <w:tblGrid>
        <w:gridCol w:w="1965"/>
        <w:gridCol w:w="455"/>
        <w:gridCol w:w="1092"/>
        <w:gridCol w:w="455"/>
        <w:gridCol w:w="1092"/>
        <w:gridCol w:w="455"/>
        <w:gridCol w:w="1092"/>
        <w:gridCol w:w="455"/>
        <w:gridCol w:w="1092"/>
      </w:tblGrid>
      <w:tr w:rsidR="00361651" w14:paraId="0BB2E71D" w14:textId="77777777" w:rsidTr="009709A2">
        <w:trPr>
          <w:cantSplit/>
          <w:tblHeader/>
        </w:trPr>
        <w:tc>
          <w:tcPr>
            <w:tcW w:w="1965" w:type="dxa"/>
          </w:tcPr>
          <w:p w14:paraId="0BB2E714" w14:textId="77777777" w:rsidR="00361651" w:rsidRDefault="00361651" w:rsidP="00EB33C1">
            <w:pPr>
              <w:pStyle w:val="IASBTableHeaderArial"/>
              <w:spacing w:after="120"/>
            </w:pPr>
            <w:r>
              <w:rPr>
                <w:b/>
                <w:i/>
              </w:rPr>
              <w:t>End of 20X0</w:t>
            </w:r>
          </w:p>
        </w:tc>
        <w:tc>
          <w:tcPr>
            <w:tcW w:w="455" w:type="dxa"/>
            <w:tcBorders>
              <w:left w:val="nil"/>
            </w:tcBorders>
            <w:vAlign w:val="bottom"/>
          </w:tcPr>
          <w:p w14:paraId="0BB2E715" w14:textId="77777777" w:rsidR="00361651" w:rsidRDefault="00361651" w:rsidP="00EB33C1">
            <w:pPr>
              <w:pStyle w:val="IASBTableHeaderArial"/>
              <w:spacing w:after="120"/>
            </w:pPr>
          </w:p>
        </w:tc>
        <w:tc>
          <w:tcPr>
            <w:tcW w:w="1092" w:type="dxa"/>
            <w:tcBorders>
              <w:left w:val="nil"/>
            </w:tcBorders>
          </w:tcPr>
          <w:p w14:paraId="0BB2E716" w14:textId="77777777" w:rsidR="00361651" w:rsidRDefault="00361651" w:rsidP="00EB33C1">
            <w:pPr>
              <w:pStyle w:val="IASBTableHeaderArial"/>
              <w:spacing w:after="120"/>
              <w:jc w:val="right"/>
            </w:pPr>
            <w:r>
              <w:rPr>
                <w:b/>
                <w:i/>
              </w:rPr>
              <w:t>A</w:t>
            </w:r>
          </w:p>
        </w:tc>
        <w:tc>
          <w:tcPr>
            <w:tcW w:w="455" w:type="dxa"/>
            <w:tcBorders>
              <w:left w:val="nil"/>
            </w:tcBorders>
            <w:vAlign w:val="bottom"/>
          </w:tcPr>
          <w:p w14:paraId="0BB2E717" w14:textId="77777777" w:rsidR="00361651" w:rsidRDefault="00361651" w:rsidP="00EB33C1">
            <w:pPr>
              <w:pStyle w:val="IASBTableHeaderArial"/>
              <w:spacing w:after="120"/>
            </w:pPr>
          </w:p>
        </w:tc>
        <w:tc>
          <w:tcPr>
            <w:tcW w:w="1092" w:type="dxa"/>
            <w:tcBorders>
              <w:left w:val="nil"/>
            </w:tcBorders>
          </w:tcPr>
          <w:p w14:paraId="0BB2E718" w14:textId="77777777" w:rsidR="00361651" w:rsidRDefault="00361651" w:rsidP="00EB33C1">
            <w:pPr>
              <w:pStyle w:val="IASBTableHeaderArial"/>
              <w:spacing w:after="120"/>
              <w:jc w:val="right"/>
            </w:pPr>
            <w:r>
              <w:rPr>
                <w:b/>
                <w:i/>
              </w:rPr>
              <w:t>B</w:t>
            </w:r>
          </w:p>
        </w:tc>
        <w:tc>
          <w:tcPr>
            <w:tcW w:w="455" w:type="dxa"/>
            <w:tcBorders>
              <w:left w:val="nil"/>
            </w:tcBorders>
            <w:vAlign w:val="bottom"/>
          </w:tcPr>
          <w:p w14:paraId="0BB2E719" w14:textId="77777777" w:rsidR="00361651" w:rsidRDefault="00361651" w:rsidP="00EB33C1">
            <w:pPr>
              <w:pStyle w:val="IASBTableHeaderArial"/>
              <w:spacing w:after="120"/>
            </w:pPr>
          </w:p>
        </w:tc>
        <w:tc>
          <w:tcPr>
            <w:tcW w:w="1092" w:type="dxa"/>
            <w:tcBorders>
              <w:left w:val="nil"/>
            </w:tcBorders>
          </w:tcPr>
          <w:p w14:paraId="0BB2E71A" w14:textId="77777777" w:rsidR="00361651" w:rsidRDefault="00361651" w:rsidP="00EB33C1">
            <w:pPr>
              <w:pStyle w:val="IASBTableHeaderArial"/>
              <w:spacing w:after="120"/>
              <w:jc w:val="right"/>
            </w:pPr>
            <w:r>
              <w:rPr>
                <w:b/>
                <w:i/>
              </w:rPr>
              <w:t>C</w:t>
            </w:r>
          </w:p>
        </w:tc>
        <w:tc>
          <w:tcPr>
            <w:tcW w:w="455" w:type="dxa"/>
            <w:tcBorders>
              <w:left w:val="nil"/>
            </w:tcBorders>
            <w:vAlign w:val="bottom"/>
          </w:tcPr>
          <w:p w14:paraId="0BB2E71B" w14:textId="77777777" w:rsidR="00361651" w:rsidRDefault="00361651" w:rsidP="00EB33C1">
            <w:pPr>
              <w:pStyle w:val="IASBTableHeaderArial"/>
              <w:spacing w:after="120"/>
            </w:pPr>
          </w:p>
        </w:tc>
        <w:tc>
          <w:tcPr>
            <w:tcW w:w="1092" w:type="dxa"/>
            <w:tcBorders>
              <w:left w:val="nil"/>
            </w:tcBorders>
          </w:tcPr>
          <w:p w14:paraId="0BB2E71C" w14:textId="77777777" w:rsidR="00361651" w:rsidRDefault="00361651" w:rsidP="00EB33C1">
            <w:pPr>
              <w:pStyle w:val="IASBTableHeaderArial"/>
              <w:spacing w:after="120"/>
              <w:jc w:val="right"/>
            </w:pPr>
            <w:r>
              <w:rPr>
                <w:b/>
                <w:i/>
              </w:rPr>
              <w:t>Total</w:t>
            </w:r>
          </w:p>
        </w:tc>
      </w:tr>
      <w:tr w:rsidR="00361651" w14:paraId="0BB2E727" w14:textId="77777777" w:rsidTr="009709A2">
        <w:trPr>
          <w:cantSplit/>
          <w:tblHeader/>
        </w:trPr>
        <w:tc>
          <w:tcPr>
            <w:tcW w:w="1965" w:type="dxa"/>
            <w:tcBorders>
              <w:top w:val="nil"/>
            </w:tcBorders>
            <w:vAlign w:val="bottom"/>
          </w:tcPr>
          <w:p w14:paraId="0BB2E71E" w14:textId="77777777" w:rsidR="00361651" w:rsidRDefault="00361651" w:rsidP="00EB33C1">
            <w:pPr>
              <w:pStyle w:val="IASBTableHeaderArial"/>
              <w:spacing w:after="120"/>
            </w:pPr>
          </w:p>
        </w:tc>
        <w:tc>
          <w:tcPr>
            <w:tcW w:w="455" w:type="dxa"/>
            <w:tcBorders>
              <w:top w:val="nil"/>
              <w:left w:val="nil"/>
            </w:tcBorders>
            <w:vAlign w:val="bottom"/>
          </w:tcPr>
          <w:p w14:paraId="0BB2E71F" w14:textId="77777777" w:rsidR="00361651" w:rsidRDefault="00361651" w:rsidP="00EB33C1">
            <w:pPr>
              <w:pStyle w:val="IASBTableHeaderArial"/>
              <w:spacing w:after="120"/>
            </w:pPr>
          </w:p>
        </w:tc>
        <w:tc>
          <w:tcPr>
            <w:tcW w:w="1092" w:type="dxa"/>
            <w:tcBorders>
              <w:top w:val="nil"/>
              <w:left w:val="nil"/>
            </w:tcBorders>
          </w:tcPr>
          <w:p w14:paraId="0BB2E720"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721" w14:textId="77777777" w:rsidR="00361651" w:rsidRDefault="00361651" w:rsidP="00EB33C1">
            <w:pPr>
              <w:pStyle w:val="IASBTableHeaderArial"/>
              <w:spacing w:after="120"/>
            </w:pPr>
          </w:p>
        </w:tc>
        <w:tc>
          <w:tcPr>
            <w:tcW w:w="1092" w:type="dxa"/>
            <w:tcBorders>
              <w:top w:val="nil"/>
              <w:left w:val="nil"/>
            </w:tcBorders>
          </w:tcPr>
          <w:p w14:paraId="0BB2E722"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723" w14:textId="77777777" w:rsidR="00361651" w:rsidRDefault="00361651" w:rsidP="00EB33C1">
            <w:pPr>
              <w:pStyle w:val="IASBTableHeaderArial"/>
              <w:spacing w:after="120"/>
            </w:pPr>
          </w:p>
        </w:tc>
        <w:tc>
          <w:tcPr>
            <w:tcW w:w="1092" w:type="dxa"/>
            <w:tcBorders>
              <w:top w:val="nil"/>
              <w:left w:val="nil"/>
            </w:tcBorders>
          </w:tcPr>
          <w:p w14:paraId="0BB2E724"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725" w14:textId="77777777" w:rsidR="00361651" w:rsidRDefault="00361651" w:rsidP="00EB33C1">
            <w:pPr>
              <w:pStyle w:val="IASBTableHeaderArial"/>
              <w:spacing w:after="120"/>
            </w:pPr>
          </w:p>
        </w:tc>
        <w:tc>
          <w:tcPr>
            <w:tcW w:w="1092" w:type="dxa"/>
            <w:tcBorders>
              <w:top w:val="nil"/>
              <w:left w:val="nil"/>
            </w:tcBorders>
          </w:tcPr>
          <w:p w14:paraId="0BB2E726" w14:textId="77777777" w:rsidR="00361651" w:rsidRDefault="00361651" w:rsidP="00EB33C1">
            <w:pPr>
              <w:pStyle w:val="IASBTableHeaderArial"/>
              <w:spacing w:after="120"/>
              <w:jc w:val="right"/>
            </w:pPr>
            <w:r>
              <w:rPr>
                <w:b/>
              </w:rPr>
              <w:t>CU</w:t>
            </w:r>
          </w:p>
        </w:tc>
      </w:tr>
      <w:tr w:rsidR="00361651" w14:paraId="0BB2E731" w14:textId="77777777" w:rsidTr="009709A2">
        <w:trPr>
          <w:cantSplit/>
        </w:trPr>
        <w:tc>
          <w:tcPr>
            <w:tcW w:w="1965" w:type="dxa"/>
            <w:tcBorders>
              <w:top w:val="nil"/>
            </w:tcBorders>
          </w:tcPr>
          <w:p w14:paraId="0BB2E728" w14:textId="77777777" w:rsidR="00361651" w:rsidRDefault="00361651" w:rsidP="009709A2">
            <w:pPr>
              <w:pStyle w:val="IASBTableArial"/>
            </w:pPr>
            <w:r>
              <w:t>Carrying amount</w:t>
            </w:r>
          </w:p>
        </w:tc>
        <w:tc>
          <w:tcPr>
            <w:tcW w:w="455" w:type="dxa"/>
            <w:tcBorders>
              <w:top w:val="nil"/>
              <w:left w:val="nil"/>
            </w:tcBorders>
            <w:vAlign w:val="bottom"/>
          </w:tcPr>
          <w:p w14:paraId="0BB2E729" w14:textId="77777777" w:rsidR="00361651" w:rsidRDefault="00361651" w:rsidP="009709A2">
            <w:pPr>
              <w:pStyle w:val="IASBTableArial"/>
              <w:jc w:val="right"/>
            </w:pPr>
          </w:p>
        </w:tc>
        <w:tc>
          <w:tcPr>
            <w:tcW w:w="1092" w:type="dxa"/>
            <w:tcBorders>
              <w:top w:val="nil"/>
              <w:left w:val="nil"/>
            </w:tcBorders>
            <w:vAlign w:val="bottom"/>
          </w:tcPr>
          <w:p w14:paraId="0BB2E72A" w14:textId="77777777" w:rsidR="00361651" w:rsidRDefault="00361651" w:rsidP="009709A2">
            <w:pPr>
              <w:pStyle w:val="IASBTableArial"/>
              <w:jc w:val="right"/>
            </w:pPr>
            <w:r>
              <w:t>100</w:t>
            </w:r>
          </w:p>
        </w:tc>
        <w:tc>
          <w:tcPr>
            <w:tcW w:w="455" w:type="dxa"/>
            <w:tcBorders>
              <w:top w:val="nil"/>
              <w:left w:val="nil"/>
            </w:tcBorders>
            <w:vAlign w:val="bottom"/>
          </w:tcPr>
          <w:p w14:paraId="0BB2E72B" w14:textId="77777777" w:rsidR="00361651" w:rsidRDefault="00361651" w:rsidP="009709A2">
            <w:pPr>
              <w:pStyle w:val="IASBTableArial"/>
              <w:jc w:val="right"/>
            </w:pPr>
          </w:p>
        </w:tc>
        <w:tc>
          <w:tcPr>
            <w:tcW w:w="1092" w:type="dxa"/>
            <w:tcBorders>
              <w:top w:val="nil"/>
              <w:left w:val="nil"/>
            </w:tcBorders>
            <w:vAlign w:val="bottom"/>
          </w:tcPr>
          <w:p w14:paraId="0BB2E72C" w14:textId="77777777" w:rsidR="00361651" w:rsidRDefault="00361651" w:rsidP="009709A2">
            <w:pPr>
              <w:pStyle w:val="IASBTableArial"/>
              <w:jc w:val="right"/>
            </w:pPr>
            <w:r>
              <w:t>150</w:t>
            </w:r>
          </w:p>
        </w:tc>
        <w:tc>
          <w:tcPr>
            <w:tcW w:w="455" w:type="dxa"/>
            <w:tcBorders>
              <w:top w:val="nil"/>
              <w:left w:val="nil"/>
            </w:tcBorders>
            <w:vAlign w:val="bottom"/>
          </w:tcPr>
          <w:p w14:paraId="0BB2E72D" w14:textId="77777777" w:rsidR="00361651" w:rsidRDefault="00361651" w:rsidP="009709A2">
            <w:pPr>
              <w:pStyle w:val="IASBTableArial"/>
              <w:jc w:val="right"/>
            </w:pPr>
          </w:p>
        </w:tc>
        <w:tc>
          <w:tcPr>
            <w:tcW w:w="1092" w:type="dxa"/>
            <w:tcBorders>
              <w:top w:val="nil"/>
              <w:left w:val="nil"/>
            </w:tcBorders>
            <w:vAlign w:val="bottom"/>
          </w:tcPr>
          <w:p w14:paraId="0BB2E72E" w14:textId="77777777" w:rsidR="00361651" w:rsidRDefault="00361651" w:rsidP="009709A2">
            <w:pPr>
              <w:pStyle w:val="IASBTableArial"/>
              <w:jc w:val="right"/>
            </w:pPr>
            <w:r>
              <w:t>200</w:t>
            </w:r>
          </w:p>
        </w:tc>
        <w:tc>
          <w:tcPr>
            <w:tcW w:w="455" w:type="dxa"/>
            <w:tcBorders>
              <w:top w:val="nil"/>
              <w:left w:val="nil"/>
            </w:tcBorders>
            <w:vAlign w:val="bottom"/>
          </w:tcPr>
          <w:p w14:paraId="0BB2E72F" w14:textId="77777777" w:rsidR="00361651" w:rsidRDefault="00361651" w:rsidP="009709A2">
            <w:pPr>
              <w:pStyle w:val="IASBTableArial"/>
              <w:jc w:val="right"/>
            </w:pPr>
          </w:p>
        </w:tc>
        <w:tc>
          <w:tcPr>
            <w:tcW w:w="1092" w:type="dxa"/>
            <w:tcBorders>
              <w:top w:val="nil"/>
              <w:left w:val="nil"/>
            </w:tcBorders>
            <w:vAlign w:val="bottom"/>
          </w:tcPr>
          <w:p w14:paraId="0BB2E730" w14:textId="77777777" w:rsidR="00361651" w:rsidRDefault="00361651" w:rsidP="009709A2">
            <w:pPr>
              <w:pStyle w:val="IASBTableArial"/>
              <w:jc w:val="right"/>
            </w:pPr>
            <w:r>
              <w:t>450</w:t>
            </w:r>
          </w:p>
        </w:tc>
      </w:tr>
      <w:tr w:rsidR="00361651" w14:paraId="0BB2E738" w14:textId="77777777" w:rsidTr="009709A2">
        <w:trPr>
          <w:cantSplit/>
        </w:trPr>
        <w:tc>
          <w:tcPr>
            <w:tcW w:w="1965" w:type="dxa"/>
            <w:tcBorders>
              <w:top w:val="nil"/>
            </w:tcBorders>
          </w:tcPr>
          <w:p w14:paraId="0BB2E732" w14:textId="77777777" w:rsidR="00361651" w:rsidRDefault="00361651" w:rsidP="009709A2">
            <w:pPr>
              <w:pStyle w:val="IASBTableArial"/>
            </w:pPr>
            <w:r>
              <w:t>Useful life</w:t>
            </w:r>
          </w:p>
        </w:tc>
        <w:tc>
          <w:tcPr>
            <w:tcW w:w="1547" w:type="dxa"/>
            <w:gridSpan w:val="2"/>
            <w:tcBorders>
              <w:top w:val="nil"/>
              <w:left w:val="nil"/>
            </w:tcBorders>
            <w:vAlign w:val="bottom"/>
          </w:tcPr>
          <w:p w14:paraId="0BB2E733" w14:textId="77777777" w:rsidR="00361651" w:rsidRDefault="00361651" w:rsidP="009709A2">
            <w:pPr>
              <w:pStyle w:val="IASBTableArial"/>
              <w:jc w:val="right"/>
            </w:pPr>
            <w:r>
              <w:t>10 years</w:t>
            </w:r>
          </w:p>
        </w:tc>
        <w:tc>
          <w:tcPr>
            <w:tcW w:w="1547" w:type="dxa"/>
            <w:gridSpan w:val="2"/>
            <w:tcBorders>
              <w:top w:val="nil"/>
              <w:left w:val="nil"/>
            </w:tcBorders>
            <w:vAlign w:val="bottom"/>
          </w:tcPr>
          <w:p w14:paraId="0BB2E734" w14:textId="77777777" w:rsidR="00361651" w:rsidRDefault="00361651" w:rsidP="009709A2">
            <w:pPr>
              <w:pStyle w:val="IASBTableArial"/>
              <w:jc w:val="right"/>
            </w:pPr>
            <w:r>
              <w:t>20 years</w:t>
            </w:r>
          </w:p>
        </w:tc>
        <w:tc>
          <w:tcPr>
            <w:tcW w:w="1547" w:type="dxa"/>
            <w:gridSpan w:val="2"/>
            <w:tcBorders>
              <w:top w:val="nil"/>
              <w:left w:val="nil"/>
            </w:tcBorders>
            <w:vAlign w:val="bottom"/>
          </w:tcPr>
          <w:p w14:paraId="0BB2E735" w14:textId="77777777" w:rsidR="00361651" w:rsidRDefault="00361651" w:rsidP="009709A2">
            <w:pPr>
              <w:pStyle w:val="IASBTableArial"/>
              <w:jc w:val="right"/>
            </w:pPr>
            <w:r>
              <w:t>20 years</w:t>
            </w:r>
          </w:p>
        </w:tc>
        <w:tc>
          <w:tcPr>
            <w:tcW w:w="455" w:type="dxa"/>
            <w:tcBorders>
              <w:top w:val="nil"/>
              <w:left w:val="nil"/>
            </w:tcBorders>
            <w:vAlign w:val="bottom"/>
          </w:tcPr>
          <w:p w14:paraId="0BB2E736" w14:textId="77777777" w:rsidR="00361651" w:rsidRDefault="00361651" w:rsidP="009709A2">
            <w:pPr>
              <w:pStyle w:val="IASBTableArial"/>
              <w:jc w:val="right"/>
            </w:pPr>
          </w:p>
        </w:tc>
        <w:tc>
          <w:tcPr>
            <w:tcW w:w="1092" w:type="dxa"/>
            <w:tcBorders>
              <w:top w:val="nil"/>
              <w:left w:val="nil"/>
            </w:tcBorders>
            <w:vAlign w:val="center"/>
          </w:tcPr>
          <w:p w14:paraId="0BB2E737" w14:textId="77777777" w:rsidR="00361651" w:rsidRDefault="00361651" w:rsidP="009709A2">
            <w:pPr>
              <w:pStyle w:val="IASBTableArial"/>
            </w:pPr>
            <w:r>
              <w:t xml:space="preserve"> </w:t>
            </w:r>
          </w:p>
        </w:tc>
      </w:tr>
      <w:tr w:rsidR="00361651" w14:paraId="0BB2E742" w14:textId="77777777" w:rsidTr="009709A2">
        <w:trPr>
          <w:cantSplit/>
        </w:trPr>
        <w:tc>
          <w:tcPr>
            <w:tcW w:w="1965" w:type="dxa"/>
            <w:tcBorders>
              <w:top w:val="nil"/>
            </w:tcBorders>
          </w:tcPr>
          <w:p w14:paraId="0BB2E739" w14:textId="77777777" w:rsidR="00361651" w:rsidRDefault="00361651" w:rsidP="009709A2">
            <w:pPr>
              <w:pStyle w:val="IASBTableArial"/>
            </w:pPr>
            <w:r>
              <w:t>Weighting based on useful life</w:t>
            </w:r>
          </w:p>
        </w:tc>
        <w:tc>
          <w:tcPr>
            <w:tcW w:w="455" w:type="dxa"/>
            <w:tcBorders>
              <w:top w:val="nil"/>
              <w:left w:val="nil"/>
            </w:tcBorders>
            <w:vAlign w:val="bottom"/>
          </w:tcPr>
          <w:p w14:paraId="0BB2E73A" w14:textId="77777777" w:rsidR="00361651" w:rsidRDefault="00361651" w:rsidP="009709A2">
            <w:pPr>
              <w:pStyle w:val="IASBTableArial"/>
              <w:jc w:val="right"/>
            </w:pPr>
          </w:p>
        </w:tc>
        <w:tc>
          <w:tcPr>
            <w:tcW w:w="1092" w:type="dxa"/>
            <w:tcBorders>
              <w:top w:val="nil"/>
              <w:left w:val="nil"/>
            </w:tcBorders>
            <w:vAlign w:val="bottom"/>
          </w:tcPr>
          <w:p w14:paraId="0BB2E73B" w14:textId="77777777" w:rsidR="00361651" w:rsidRDefault="00361651" w:rsidP="009709A2">
            <w:pPr>
              <w:pStyle w:val="IASBTableArial"/>
              <w:jc w:val="right"/>
            </w:pPr>
            <w:r>
              <w:t>1</w:t>
            </w:r>
          </w:p>
        </w:tc>
        <w:tc>
          <w:tcPr>
            <w:tcW w:w="455" w:type="dxa"/>
            <w:tcBorders>
              <w:top w:val="nil"/>
              <w:left w:val="nil"/>
            </w:tcBorders>
            <w:vAlign w:val="bottom"/>
          </w:tcPr>
          <w:p w14:paraId="0BB2E73C" w14:textId="77777777" w:rsidR="00361651" w:rsidRDefault="00361651" w:rsidP="009709A2">
            <w:pPr>
              <w:pStyle w:val="IASBTableArial"/>
              <w:jc w:val="right"/>
            </w:pPr>
          </w:p>
        </w:tc>
        <w:tc>
          <w:tcPr>
            <w:tcW w:w="1092" w:type="dxa"/>
            <w:tcBorders>
              <w:top w:val="nil"/>
              <w:left w:val="nil"/>
            </w:tcBorders>
            <w:vAlign w:val="bottom"/>
          </w:tcPr>
          <w:p w14:paraId="0BB2E73D" w14:textId="77777777" w:rsidR="00361651" w:rsidRDefault="00361651" w:rsidP="009709A2">
            <w:pPr>
              <w:pStyle w:val="IASBTableArial"/>
              <w:jc w:val="right"/>
            </w:pPr>
            <w:r>
              <w:t>2</w:t>
            </w:r>
          </w:p>
        </w:tc>
        <w:tc>
          <w:tcPr>
            <w:tcW w:w="455" w:type="dxa"/>
            <w:tcBorders>
              <w:top w:val="nil"/>
              <w:left w:val="nil"/>
            </w:tcBorders>
            <w:vAlign w:val="bottom"/>
          </w:tcPr>
          <w:p w14:paraId="0BB2E73E" w14:textId="77777777" w:rsidR="00361651" w:rsidRDefault="00361651" w:rsidP="009709A2">
            <w:pPr>
              <w:pStyle w:val="IASBTableArial"/>
              <w:jc w:val="right"/>
            </w:pPr>
          </w:p>
        </w:tc>
        <w:tc>
          <w:tcPr>
            <w:tcW w:w="1092" w:type="dxa"/>
            <w:tcBorders>
              <w:top w:val="nil"/>
              <w:left w:val="nil"/>
            </w:tcBorders>
            <w:vAlign w:val="bottom"/>
          </w:tcPr>
          <w:p w14:paraId="0BB2E73F" w14:textId="77777777" w:rsidR="00361651" w:rsidRDefault="00361651" w:rsidP="009709A2">
            <w:pPr>
              <w:pStyle w:val="IASBTableArial"/>
              <w:jc w:val="right"/>
            </w:pPr>
            <w:r>
              <w:t>2</w:t>
            </w:r>
          </w:p>
        </w:tc>
        <w:tc>
          <w:tcPr>
            <w:tcW w:w="455" w:type="dxa"/>
            <w:tcBorders>
              <w:top w:val="nil"/>
              <w:left w:val="nil"/>
            </w:tcBorders>
            <w:vAlign w:val="bottom"/>
          </w:tcPr>
          <w:p w14:paraId="0BB2E740" w14:textId="77777777" w:rsidR="00361651" w:rsidRDefault="00361651" w:rsidP="009709A2">
            <w:pPr>
              <w:pStyle w:val="IASBTableArial"/>
              <w:jc w:val="right"/>
            </w:pPr>
          </w:p>
        </w:tc>
        <w:tc>
          <w:tcPr>
            <w:tcW w:w="1092" w:type="dxa"/>
            <w:tcBorders>
              <w:top w:val="nil"/>
              <w:left w:val="nil"/>
            </w:tcBorders>
            <w:vAlign w:val="center"/>
          </w:tcPr>
          <w:p w14:paraId="0BB2E741" w14:textId="77777777" w:rsidR="00361651" w:rsidRDefault="00361651" w:rsidP="009709A2">
            <w:pPr>
              <w:pStyle w:val="IASBTableArial"/>
            </w:pPr>
            <w:r>
              <w:t xml:space="preserve"> </w:t>
            </w:r>
          </w:p>
        </w:tc>
      </w:tr>
      <w:tr w:rsidR="00361651" w14:paraId="0BB2E74C" w14:textId="77777777" w:rsidTr="009709A2">
        <w:trPr>
          <w:cantSplit/>
        </w:trPr>
        <w:tc>
          <w:tcPr>
            <w:tcW w:w="1965" w:type="dxa"/>
            <w:tcBorders>
              <w:top w:val="nil"/>
            </w:tcBorders>
          </w:tcPr>
          <w:p w14:paraId="0BB2E743" w14:textId="77777777" w:rsidR="00361651" w:rsidRDefault="00361651" w:rsidP="009709A2">
            <w:pPr>
              <w:pStyle w:val="IASBTableArial"/>
            </w:pPr>
            <w:r>
              <w:t>Carrying amount after weighting</w:t>
            </w:r>
          </w:p>
        </w:tc>
        <w:tc>
          <w:tcPr>
            <w:tcW w:w="455" w:type="dxa"/>
            <w:tcBorders>
              <w:top w:val="nil"/>
              <w:left w:val="nil"/>
            </w:tcBorders>
            <w:vAlign w:val="bottom"/>
          </w:tcPr>
          <w:p w14:paraId="0BB2E744" w14:textId="77777777" w:rsidR="00361651" w:rsidRDefault="00361651" w:rsidP="009709A2">
            <w:pPr>
              <w:pStyle w:val="IASBTableArial"/>
              <w:jc w:val="right"/>
            </w:pPr>
          </w:p>
        </w:tc>
        <w:tc>
          <w:tcPr>
            <w:tcW w:w="1092" w:type="dxa"/>
            <w:tcBorders>
              <w:top w:val="nil"/>
              <w:left w:val="nil"/>
            </w:tcBorders>
            <w:vAlign w:val="bottom"/>
          </w:tcPr>
          <w:p w14:paraId="0BB2E745" w14:textId="77777777" w:rsidR="00361651" w:rsidRDefault="00361651" w:rsidP="009709A2">
            <w:pPr>
              <w:pStyle w:val="IASBTableArial"/>
              <w:jc w:val="right"/>
            </w:pPr>
            <w:r>
              <w:t>100</w:t>
            </w:r>
          </w:p>
        </w:tc>
        <w:tc>
          <w:tcPr>
            <w:tcW w:w="455" w:type="dxa"/>
            <w:tcBorders>
              <w:top w:val="nil"/>
              <w:left w:val="nil"/>
            </w:tcBorders>
            <w:vAlign w:val="bottom"/>
          </w:tcPr>
          <w:p w14:paraId="0BB2E746" w14:textId="77777777" w:rsidR="00361651" w:rsidRDefault="00361651" w:rsidP="009709A2">
            <w:pPr>
              <w:pStyle w:val="IASBTableArial"/>
              <w:jc w:val="right"/>
            </w:pPr>
          </w:p>
        </w:tc>
        <w:tc>
          <w:tcPr>
            <w:tcW w:w="1092" w:type="dxa"/>
            <w:tcBorders>
              <w:top w:val="nil"/>
              <w:left w:val="nil"/>
            </w:tcBorders>
            <w:vAlign w:val="bottom"/>
          </w:tcPr>
          <w:p w14:paraId="0BB2E747" w14:textId="77777777" w:rsidR="00361651" w:rsidRDefault="00361651" w:rsidP="009709A2">
            <w:pPr>
              <w:pStyle w:val="IASBTableArial"/>
              <w:jc w:val="right"/>
            </w:pPr>
            <w:r>
              <w:t>300</w:t>
            </w:r>
          </w:p>
        </w:tc>
        <w:tc>
          <w:tcPr>
            <w:tcW w:w="455" w:type="dxa"/>
            <w:tcBorders>
              <w:top w:val="nil"/>
              <w:left w:val="nil"/>
            </w:tcBorders>
            <w:vAlign w:val="bottom"/>
          </w:tcPr>
          <w:p w14:paraId="0BB2E748" w14:textId="77777777" w:rsidR="00361651" w:rsidRDefault="00361651" w:rsidP="009709A2">
            <w:pPr>
              <w:pStyle w:val="IASBTableArial"/>
              <w:jc w:val="right"/>
            </w:pPr>
          </w:p>
        </w:tc>
        <w:tc>
          <w:tcPr>
            <w:tcW w:w="1092" w:type="dxa"/>
            <w:tcBorders>
              <w:top w:val="nil"/>
              <w:left w:val="nil"/>
            </w:tcBorders>
            <w:vAlign w:val="bottom"/>
          </w:tcPr>
          <w:p w14:paraId="0BB2E749" w14:textId="77777777" w:rsidR="00361651" w:rsidRDefault="00361651" w:rsidP="009709A2">
            <w:pPr>
              <w:pStyle w:val="IASBTableArial"/>
              <w:jc w:val="right"/>
            </w:pPr>
            <w:r>
              <w:t>400</w:t>
            </w:r>
          </w:p>
        </w:tc>
        <w:tc>
          <w:tcPr>
            <w:tcW w:w="455" w:type="dxa"/>
            <w:tcBorders>
              <w:top w:val="nil"/>
              <w:left w:val="nil"/>
            </w:tcBorders>
            <w:vAlign w:val="bottom"/>
          </w:tcPr>
          <w:p w14:paraId="0BB2E74A" w14:textId="77777777" w:rsidR="00361651" w:rsidRDefault="00361651" w:rsidP="009709A2">
            <w:pPr>
              <w:pStyle w:val="IASBTableArial"/>
              <w:jc w:val="right"/>
            </w:pPr>
          </w:p>
        </w:tc>
        <w:tc>
          <w:tcPr>
            <w:tcW w:w="1092" w:type="dxa"/>
            <w:tcBorders>
              <w:top w:val="nil"/>
              <w:left w:val="nil"/>
            </w:tcBorders>
            <w:vAlign w:val="bottom"/>
          </w:tcPr>
          <w:p w14:paraId="0BB2E74B" w14:textId="77777777" w:rsidR="00361651" w:rsidRDefault="00361651" w:rsidP="009709A2">
            <w:pPr>
              <w:pStyle w:val="IASBTableArial"/>
              <w:jc w:val="right"/>
            </w:pPr>
            <w:r>
              <w:t>800</w:t>
            </w:r>
          </w:p>
        </w:tc>
      </w:tr>
      <w:tr w:rsidR="00361651" w14:paraId="0BB2E756" w14:textId="77777777" w:rsidTr="009709A2">
        <w:trPr>
          <w:cantSplit/>
        </w:trPr>
        <w:tc>
          <w:tcPr>
            <w:tcW w:w="1965" w:type="dxa"/>
            <w:vMerge w:val="restart"/>
            <w:tcBorders>
              <w:top w:val="nil"/>
            </w:tcBorders>
          </w:tcPr>
          <w:p w14:paraId="0BB2E74D" w14:textId="77777777" w:rsidR="00361651" w:rsidRDefault="00361651" w:rsidP="009709A2">
            <w:pPr>
              <w:pStyle w:val="IASBTableArial"/>
            </w:pPr>
            <w:r>
              <w:t>Pro-rata allocation of the building</w:t>
            </w:r>
          </w:p>
        </w:tc>
        <w:tc>
          <w:tcPr>
            <w:tcW w:w="455" w:type="dxa"/>
            <w:tcBorders>
              <w:top w:val="nil"/>
              <w:left w:val="nil"/>
            </w:tcBorders>
            <w:vAlign w:val="bottom"/>
          </w:tcPr>
          <w:p w14:paraId="0BB2E74E" w14:textId="77777777" w:rsidR="00361651" w:rsidRDefault="00361651" w:rsidP="009709A2">
            <w:pPr>
              <w:pStyle w:val="IASBTableArial"/>
              <w:jc w:val="right"/>
            </w:pPr>
          </w:p>
        </w:tc>
        <w:tc>
          <w:tcPr>
            <w:tcW w:w="1092" w:type="dxa"/>
            <w:tcBorders>
              <w:top w:val="nil"/>
              <w:left w:val="nil"/>
            </w:tcBorders>
            <w:vAlign w:val="bottom"/>
          </w:tcPr>
          <w:p w14:paraId="0BB2E74F" w14:textId="77777777" w:rsidR="00361651" w:rsidRDefault="00361651" w:rsidP="009709A2">
            <w:pPr>
              <w:pStyle w:val="IASBTableArial"/>
              <w:jc w:val="right"/>
            </w:pPr>
            <w:r>
              <w:t>12%</w:t>
            </w:r>
          </w:p>
        </w:tc>
        <w:tc>
          <w:tcPr>
            <w:tcW w:w="455" w:type="dxa"/>
            <w:tcBorders>
              <w:top w:val="nil"/>
              <w:left w:val="nil"/>
            </w:tcBorders>
            <w:vAlign w:val="bottom"/>
          </w:tcPr>
          <w:p w14:paraId="0BB2E750" w14:textId="77777777" w:rsidR="00361651" w:rsidRDefault="00361651" w:rsidP="009709A2">
            <w:pPr>
              <w:pStyle w:val="IASBTableArial"/>
              <w:jc w:val="right"/>
            </w:pPr>
          </w:p>
        </w:tc>
        <w:tc>
          <w:tcPr>
            <w:tcW w:w="1092" w:type="dxa"/>
            <w:tcBorders>
              <w:top w:val="nil"/>
              <w:left w:val="nil"/>
            </w:tcBorders>
            <w:vAlign w:val="bottom"/>
          </w:tcPr>
          <w:p w14:paraId="0BB2E751" w14:textId="77777777" w:rsidR="00361651" w:rsidRDefault="00361651" w:rsidP="009709A2">
            <w:pPr>
              <w:pStyle w:val="IASBTableArial"/>
              <w:jc w:val="right"/>
            </w:pPr>
            <w:r>
              <w:t>38%</w:t>
            </w:r>
          </w:p>
        </w:tc>
        <w:tc>
          <w:tcPr>
            <w:tcW w:w="455" w:type="dxa"/>
            <w:tcBorders>
              <w:top w:val="nil"/>
              <w:left w:val="nil"/>
            </w:tcBorders>
            <w:vAlign w:val="bottom"/>
          </w:tcPr>
          <w:p w14:paraId="0BB2E752" w14:textId="77777777" w:rsidR="00361651" w:rsidRDefault="00361651" w:rsidP="009709A2">
            <w:pPr>
              <w:pStyle w:val="IASBTableArial"/>
              <w:jc w:val="right"/>
            </w:pPr>
          </w:p>
        </w:tc>
        <w:tc>
          <w:tcPr>
            <w:tcW w:w="1092" w:type="dxa"/>
            <w:tcBorders>
              <w:top w:val="nil"/>
              <w:left w:val="nil"/>
            </w:tcBorders>
            <w:vAlign w:val="bottom"/>
          </w:tcPr>
          <w:p w14:paraId="0BB2E753" w14:textId="77777777" w:rsidR="00361651" w:rsidRDefault="00361651" w:rsidP="009709A2">
            <w:pPr>
              <w:pStyle w:val="IASBTableArial"/>
              <w:jc w:val="right"/>
            </w:pPr>
            <w:r>
              <w:t>50%</w:t>
            </w:r>
          </w:p>
        </w:tc>
        <w:tc>
          <w:tcPr>
            <w:tcW w:w="455" w:type="dxa"/>
            <w:tcBorders>
              <w:top w:val="nil"/>
              <w:left w:val="nil"/>
            </w:tcBorders>
            <w:vAlign w:val="bottom"/>
          </w:tcPr>
          <w:p w14:paraId="0BB2E754" w14:textId="77777777" w:rsidR="00361651" w:rsidRDefault="00361651" w:rsidP="009709A2">
            <w:pPr>
              <w:pStyle w:val="IASBTableArial"/>
              <w:jc w:val="right"/>
            </w:pPr>
          </w:p>
        </w:tc>
        <w:tc>
          <w:tcPr>
            <w:tcW w:w="1092" w:type="dxa"/>
            <w:tcBorders>
              <w:top w:val="nil"/>
              <w:left w:val="nil"/>
            </w:tcBorders>
            <w:vAlign w:val="bottom"/>
          </w:tcPr>
          <w:p w14:paraId="0BB2E755" w14:textId="77777777" w:rsidR="00361651" w:rsidRDefault="00361651" w:rsidP="009709A2">
            <w:pPr>
              <w:pStyle w:val="IASBTableArial"/>
              <w:jc w:val="right"/>
            </w:pPr>
            <w:r>
              <w:t>100%</w:t>
            </w:r>
          </w:p>
        </w:tc>
      </w:tr>
      <w:tr w:rsidR="00361651" w14:paraId="0BB2E75D" w14:textId="77777777" w:rsidTr="009709A2">
        <w:trPr>
          <w:cantSplit/>
        </w:trPr>
        <w:tc>
          <w:tcPr>
            <w:tcW w:w="1965" w:type="dxa"/>
            <w:vMerge/>
            <w:tcBorders>
              <w:top w:val="nil"/>
            </w:tcBorders>
          </w:tcPr>
          <w:p w14:paraId="0BB2E757" w14:textId="77777777" w:rsidR="00361651" w:rsidRDefault="00361651" w:rsidP="009709A2">
            <w:pPr>
              <w:widowControl w:val="0"/>
              <w:autoSpaceDE w:val="0"/>
              <w:autoSpaceDN w:val="0"/>
              <w:adjustRightInd w:val="0"/>
              <w:rPr>
                <w:lang w:eastAsia="en-GB"/>
              </w:rPr>
            </w:pPr>
          </w:p>
        </w:tc>
        <w:tc>
          <w:tcPr>
            <w:tcW w:w="1547" w:type="dxa"/>
            <w:gridSpan w:val="2"/>
            <w:tcBorders>
              <w:top w:val="nil"/>
            </w:tcBorders>
            <w:vAlign w:val="bottom"/>
          </w:tcPr>
          <w:p w14:paraId="0BB2E758" w14:textId="77777777" w:rsidR="00361651" w:rsidRDefault="00361651" w:rsidP="009709A2">
            <w:pPr>
              <w:pStyle w:val="IASBTableArial"/>
              <w:jc w:val="right"/>
            </w:pPr>
            <w:r>
              <w:rPr>
                <w:i/>
              </w:rPr>
              <w:t>(100/800)</w:t>
            </w:r>
          </w:p>
        </w:tc>
        <w:tc>
          <w:tcPr>
            <w:tcW w:w="1547" w:type="dxa"/>
            <w:gridSpan w:val="2"/>
            <w:tcBorders>
              <w:top w:val="nil"/>
              <w:left w:val="nil"/>
            </w:tcBorders>
            <w:vAlign w:val="bottom"/>
          </w:tcPr>
          <w:p w14:paraId="0BB2E759" w14:textId="77777777" w:rsidR="00361651" w:rsidRDefault="00361651" w:rsidP="009709A2">
            <w:pPr>
              <w:pStyle w:val="IASBTableArial"/>
              <w:jc w:val="right"/>
            </w:pPr>
            <w:r>
              <w:rPr>
                <w:i/>
              </w:rPr>
              <w:t>(300/800)</w:t>
            </w:r>
          </w:p>
        </w:tc>
        <w:tc>
          <w:tcPr>
            <w:tcW w:w="1547" w:type="dxa"/>
            <w:gridSpan w:val="2"/>
            <w:tcBorders>
              <w:top w:val="nil"/>
              <w:left w:val="nil"/>
            </w:tcBorders>
            <w:vAlign w:val="bottom"/>
          </w:tcPr>
          <w:p w14:paraId="0BB2E75A" w14:textId="77777777" w:rsidR="00361651" w:rsidRDefault="00361651" w:rsidP="009709A2">
            <w:pPr>
              <w:pStyle w:val="IASBTableArial"/>
              <w:jc w:val="right"/>
            </w:pPr>
            <w:r>
              <w:rPr>
                <w:i/>
              </w:rPr>
              <w:t>(400/800)</w:t>
            </w:r>
          </w:p>
        </w:tc>
        <w:tc>
          <w:tcPr>
            <w:tcW w:w="455" w:type="dxa"/>
            <w:tcBorders>
              <w:top w:val="nil"/>
              <w:left w:val="nil"/>
            </w:tcBorders>
            <w:vAlign w:val="bottom"/>
          </w:tcPr>
          <w:p w14:paraId="0BB2E75B" w14:textId="77777777" w:rsidR="00361651" w:rsidRDefault="00361651" w:rsidP="009709A2">
            <w:pPr>
              <w:pStyle w:val="IASBTableArial"/>
              <w:jc w:val="right"/>
            </w:pPr>
          </w:p>
        </w:tc>
        <w:tc>
          <w:tcPr>
            <w:tcW w:w="1092" w:type="dxa"/>
            <w:tcBorders>
              <w:top w:val="nil"/>
              <w:left w:val="nil"/>
            </w:tcBorders>
            <w:vAlign w:val="center"/>
          </w:tcPr>
          <w:p w14:paraId="0BB2E75C" w14:textId="77777777" w:rsidR="00361651" w:rsidRDefault="00361651" w:rsidP="009709A2">
            <w:pPr>
              <w:pStyle w:val="IASBTableArial"/>
            </w:pPr>
          </w:p>
        </w:tc>
      </w:tr>
      <w:tr w:rsidR="00361651" w14:paraId="0BB2E767" w14:textId="77777777" w:rsidTr="009709A2">
        <w:trPr>
          <w:cantSplit/>
        </w:trPr>
        <w:tc>
          <w:tcPr>
            <w:tcW w:w="1965" w:type="dxa"/>
            <w:tcBorders>
              <w:top w:val="nil"/>
            </w:tcBorders>
          </w:tcPr>
          <w:p w14:paraId="0BB2E75E" w14:textId="77777777" w:rsidR="00361651" w:rsidRDefault="00361651" w:rsidP="009709A2">
            <w:pPr>
              <w:pStyle w:val="IASBTableArial"/>
            </w:pPr>
            <w:r>
              <w:t>Allocation of the carrying amount of the building (based on pro-rata above)</w:t>
            </w:r>
          </w:p>
        </w:tc>
        <w:tc>
          <w:tcPr>
            <w:tcW w:w="455" w:type="dxa"/>
            <w:tcBorders>
              <w:top w:val="nil"/>
              <w:left w:val="nil"/>
            </w:tcBorders>
            <w:vAlign w:val="bottom"/>
          </w:tcPr>
          <w:p w14:paraId="0BB2E75F" w14:textId="77777777" w:rsidR="00361651" w:rsidRDefault="00361651" w:rsidP="009709A2">
            <w:pPr>
              <w:pStyle w:val="IASBTableArial"/>
              <w:jc w:val="right"/>
            </w:pPr>
          </w:p>
        </w:tc>
        <w:tc>
          <w:tcPr>
            <w:tcW w:w="1092" w:type="dxa"/>
            <w:tcBorders>
              <w:top w:val="nil"/>
              <w:left w:val="nil"/>
              <w:bottom w:val="single" w:sz="4" w:space="0" w:color="auto"/>
            </w:tcBorders>
            <w:vAlign w:val="bottom"/>
          </w:tcPr>
          <w:p w14:paraId="0BB2E760" w14:textId="77777777" w:rsidR="00361651" w:rsidRDefault="00361651" w:rsidP="009709A2">
            <w:pPr>
              <w:pStyle w:val="IASBTableArial"/>
              <w:jc w:val="right"/>
            </w:pPr>
            <w:r>
              <w:t>19</w:t>
            </w:r>
          </w:p>
        </w:tc>
        <w:tc>
          <w:tcPr>
            <w:tcW w:w="455" w:type="dxa"/>
            <w:tcBorders>
              <w:top w:val="nil"/>
              <w:left w:val="nil"/>
            </w:tcBorders>
            <w:vAlign w:val="bottom"/>
          </w:tcPr>
          <w:p w14:paraId="0BB2E761" w14:textId="77777777" w:rsidR="00361651" w:rsidRDefault="00361651" w:rsidP="009709A2">
            <w:pPr>
              <w:pStyle w:val="IASBTableArial"/>
              <w:jc w:val="right"/>
            </w:pPr>
          </w:p>
        </w:tc>
        <w:tc>
          <w:tcPr>
            <w:tcW w:w="1092" w:type="dxa"/>
            <w:tcBorders>
              <w:top w:val="nil"/>
              <w:left w:val="nil"/>
              <w:bottom w:val="single" w:sz="4" w:space="0" w:color="auto"/>
            </w:tcBorders>
            <w:vAlign w:val="bottom"/>
          </w:tcPr>
          <w:p w14:paraId="0BB2E762" w14:textId="77777777" w:rsidR="00361651" w:rsidRDefault="00361651" w:rsidP="009709A2">
            <w:pPr>
              <w:pStyle w:val="IASBTableArial"/>
              <w:jc w:val="right"/>
            </w:pPr>
            <w:r>
              <w:t>56</w:t>
            </w:r>
          </w:p>
        </w:tc>
        <w:tc>
          <w:tcPr>
            <w:tcW w:w="455" w:type="dxa"/>
            <w:tcBorders>
              <w:top w:val="nil"/>
              <w:left w:val="nil"/>
            </w:tcBorders>
            <w:vAlign w:val="bottom"/>
          </w:tcPr>
          <w:p w14:paraId="0BB2E763" w14:textId="77777777" w:rsidR="00361651" w:rsidRDefault="00361651" w:rsidP="009709A2">
            <w:pPr>
              <w:pStyle w:val="IASBTableArial"/>
              <w:jc w:val="right"/>
            </w:pPr>
          </w:p>
        </w:tc>
        <w:tc>
          <w:tcPr>
            <w:tcW w:w="1092" w:type="dxa"/>
            <w:tcBorders>
              <w:top w:val="nil"/>
              <w:left w:val="nil"/>
              <w:bottom w:val="single" w:sz="4" w:space="0" w:color="auto"/>
            </w:tcBorders>
            <w:vAlign w:val="bottom"/>
          </w:tcPr>
          <w:p w14:paraId="0BB2E764" w14:textId="77777777" w:rsidR="00361651" w:rsidRDefault="00361651" w:rsidP="009709A2">
            <w:pPr>
              <w:pStyle w:val="IASBTableArial"/>
              <w:jc w:val="right"/>
            </w:pPr>
            <w:r>
              <w:t>75</w:t>
            </w:r>
          </w:p>
        </w:tc>
        <w:tc>
          <w:tcPr>
            <w:tcW w:w="455" w:type="dxa"/>
            <w:tcBorders>
              <w:top w:val="nil"/>
              <w:left w:val="nil"/>
            </w:tcBorders>
            <w:vAlign w:val="bottom"/>
          </w:tcPr>
          <w:p w14:paraId="0BB2E765" w14:textId="77777777" w:rsidR="00361651" w:rsidRDefault="00361651" w:rsidP="009709A2">
            <w:pPr>
              <w:pStyle w:val="IASBTableArial"/>
              <w:jc w:val="right"/>
            </w:pPr>
          </w:p>
        </w:tc>
        <w:tc>
          <w:tcPr>
            <w:tcW w:w="1092" w:type="dxa"/>
            <w:tcBorders>
              <w:top w:val="nil"/>
              <w:left w:val="nil"/>
              <w:bottom w:val="single" w:sz="4" w:space="0" w:color="auto"/>
            </w:tcBorders>
            <w:vAlign w:val="bottom"/>
          </w:tcPr>
          <w:p w14:paraId="0BB2E766" w14:textId="77777777" w:rsidR="00361651" w:rsidRDefault="00361651" w:rsidP="009709A2">
            <w:pPr>
              <w:pStyle w:val="IASBTableArial"/>
              <w:jc w:val="right"/>
            </w:pPr>
            <w:r>
              <w:t>150</w:t>
            </w:r>
          </w:p>
        </w:tc>
      </w:tr>
      <w:tr w:rsidR="00361651" w14:paraId="0BB2E771" w14:textId="77777777" w:rsidTr="009709A2">
        <w:trPr>
          <w:cantSplit/>
        </w:trPr>
        <w:tc>
          <w:tcPr>
            <w:tcW w:w="1965" w:type="dxa"/>
            <w:tcBorders>
              <w:top w:val="nil"/>
            </w:tcBorders>
          </w:tcPr>
          <w:p w14:paraId="0BB2E768" w14:textId="77777777" w:rsidR="00361651" w:rsidRDefault="00361651" w:rsidP="009709A2">
            <w:pPr>
              <w:pStyle w:val="IASBTableArial"/>
            </w:pPr>
            <w:r>
              <w:t>Carrying amount (after allocation of the building)</w:t>
            </w:r>
          </w:p>
        </w:tc>
        <w:tc>
          <w:tcPr>
            <w:tcW w:w="455" w:type="dxa"/>
            <w:tcBorders>
              <w:top w:val="nil"/>
              <w:left w:val="nil"/>
            </w:tcBorders>
            <w:vAlign w:val="bottom"/>
          </w:tcPr>
          <w:p w14:paraId="0BB2E769" w14:textId="77777777" w:rsidR="00361651" w:rsidRDefault="00361651" w:rsidP="009709A2">
            <w:pPr>
              <w:pStyle w:val="IASBTableArial"/>
              <w:jc w:val="right"/>
            </w:pPr>
          </w:p>
        </w:tc>
        <w:tc>
          <w:tcPr>
            <w:tcW w:w="1092" w:type="dxa"/>
            <w:tcBorders>
              <w:top w:val="nil"/>
              <w:left w:val="nil"/>
              <w:bottom w:val="double" w:sz="4" w:space="0" w:color="auto"/>
            </w:tcBorders>
            <w:vAlign w:val="bottom"/>
          </w:tcPr>
          <w:p w14:paraId="0BB2E76A" w14:textId="77777777" w:rsidR="00361651" w:rsidRDefault="00361651" w:rsidP="009709A2">
            <w:pPr>
              <w:pStyle w:val="IASBTableArial"/>
              <w:jc w:val="right"/>
            </w:pPr>
            <w:r>
              <w:t>119</w:t>
            </w:r>
          </w:p>
        </w:tc>
        <w:tc>
          <w:tcPr>
            <w:tcW w:w="455" w:type="dxa"/>
            <w:tcBorders>
              <w:top w:val="nil"/>
              <w:left w:val="nil"/>
            </w:tcBorders>
            <w:vAlign w:val="bottom"/>
          </w:tcPr>
          <w:p w14:paraId="0BB2E76B" w14:textId="77777777" w:rsidR="00361651" w:rsidRDefault="00361651" w:rsidP="009709A2">
            <w:pPr>
              <w:pStyle w:val="IASBTableArial"/>
              <w:jc w:val="right"/>
            </w:pPr>
          </w:p>
        </w:tc>
        <w:tc>
          <w:tcPr>
            <w:tcW w:w="1092" w:type="dxa"/>
            <w:tcBorders>
              <w:top w:val="nil"/>
              <w:left w:val="nil"/>
              <w:bottom w:val="double" w:sz="4" w:space="0" w:color="auto"/>
            </w:tcBorders>
            <w:vAlign w:val="bottom"/>
          </w:tcPr>
          <w:p w14:paraId="0BB2E76C" w14:textId="77777777" w:rsidR="00361651" w:rsidRDefault="00361651" w:rsidP="009709A2">
            <w:pPr>
              <w:pStyle w:val="IASBTableArial"/>
              <w:jc w:val="right"/>
            </w:pPr>
            <w:r>
              <w:t>206</w:t>
            </w:r>
          </w:p>
        </w:tc>
        <w:tc>
          <w:tcPr>
            <w:tcW w:w="455" w:type="dxa"/>
            <w:tcBorders>
              <w:top w:val="nil"/>
              <w:left w:val="nil"/>
            </w:tcBorders>
            <w:vAlign w:val="bottom"/>
          </w:tcPr>
          <w:p w14:paraId="0BB2E76D" w14:textId="77777777" w:rsidR="00361651" w:rsidRDefault="00361651" w:rsidP="009709A2">
            <w:pPr>
              <w:pStyle w:val="IASBTableArial"/>
              <w:jc w:val="right"/>
            </w:pPr>
          </w:p>
        </w:tc>
        <w:tc>
          <w:tcPr>
            <w:tcW w:w="1092" w:type="dxa"/>
            <w:tcBorders>
              <w:top w:val="nil"/>
              <w:left w:val="nil"/>
              <w:bottom w:val="double" w:sz="4" w:space="0" w:color="auto"/>
            </w:tcBorders>
            <w:vAlign w:val="bottom"/>
          </w:tcPr>
          <w:p w14:paraId="0BB2E76E" w14:textId="77777777" w:rsidR="00361651" w:rsidRDefault="00361651" w:rsidP="009709A2">
            <w:pPr>
              <w:pStyle w:val="IASBTableArial"/>
              <w:jc w:val="right"/>
            </w:pPr>
            <w:r>
              <w:t>275</w:t>
            </w:r>
          </w:p>
        </w:tc>
        <w:tc>
          <w:tcPr>
            <w:tcW w:w="455" w:type="dxa"/>
            <w:tcBorders>
              <w:top w:val="nil"/>
              <w:left w:val="nil"/>
            </w:tcBorders>
            <w:vAlign w:val="bottom"/>
          </w:tcPr>
          <w:p w14:paraId="0BB2E76F" w14:textId="77777777" w:rsidR="00361651" w:rsidRDefault="00361651" w:rsidP="009709A2">
            <w:pPr>
              <w:pStyle w:val="IASBTableArial"/>
              <w:jc w:val="right"/>
            </w:pPr>
          </w:p>
        </w:tc>
        <w:tc>
          <w:tcPr>
            <w:tcW w:w="1092" w:type="dxa"/>
            <w:tcBorders>
              <w:top w:val="nil"/>
              <w:left w:val="nil"/>
              <w:bottom w:val="double" w:sz="4" w:space="0" w:color="auto"/>
            </w:tcBorders>
            <w:vAlign w:val="bottom"/>
          </w:tcPr>
          <w:p w14:paraId="0BB2E770" w14:textId="77777777" w:rsidR="00361651" w:rsidRDefault="00361651" w:rsidP="009709A2">
            <w:pPr>
              <w:pStyle w:val="IASBTableArial"/>
              <w:jc w:val="right"/>
            </w:pPr>
            <w:r>
              <w:t>600</w:t>
            </w:r>
          </w:p>
        </w:tc>
      </w:tr>
    </w:tbl>
    <w:p w14:paraId="0BB2E772" w14:textId="77777777" w:rsidR="00361651" w:rsidRDefault="00361651" w:rsidP="00361651">
      <w:pPr>
        <w:pStyle w:val="IASBNormalnpara"/>
      </w:pPr>
    </w:p>
    <w:p w14:paraId="0BB2E773" w14:textId="77777777" w:rsidR="00361651" w:rsidRDefault="00361651" w:rsidP="00361651">
      <w:pPr>
        <w:pStyle w:val="IASBSectionTitle3Ind"/>
      </w:pPr>
      <w:r>
        <w:t>Determination of recoverable amount and calculation of impairment losses</w:t>
      </w:r>
    </w:p>
    <w:p w14:paraId="0BB2E774" w14:textId="77777777" w:rsidR="00361651" w:rsidRDefault="00361651" w:rsidP="00361651">
      <w:pPr>
        <w:pStyle w:val="IASBNormalnpara"/>
      </w:pPr>
      <w:r>
        <w:t>IE76</w:t>
      </w:r>
      <w:r>
        <w:tab/>
        <w:t>Paragraph 102 of</w:t>
      </w:r>
      <w:r w:rsidR="002D17D4">
        <w:t xml:space="preserve"> AASB 136</w:t>
      </w:r>
      <w:r>
        <w:t xml:space="preserve"> requires first that the recoverable amount of each individual cash-generating unit be compared with its carrying amount, including the portion of the carrying amount of the headquarters building allocated to the unit, and any resulting impairment loss recognised. Paragraph 102 of</w:t>
      </w:r>
      <w:r w:rsidR="002D17D4">
        <w:t xml:space="preserve"> AASB 136</w:t>
      </w:r>
      <w:r>
        <w:t xml:space="preserve"> then requires the recoverable amount of M as a whole (ie the smallest group of cash-generating units that includes the research centre) to be compared with its carrying amount, including both the headquarters building and the research centre. </w:t>
      </w:r>
    </w:p>
    <w:p w14:paraId="0BB2E775" w14:textId="77777777" w:rsidR="00361651" w:rsidRDefault="00361651" w:rsidP="00361651">
      <w:pPr>
        <w:pStyle w:val="IASBNormalnparaP"/>
      </w:pPr>
      <w:r>
        <w:t>Schedule 2. Calculation of A, B, C and M’s value in use at the end of 20X0</w:t>
      </w:r>
    </w:p>
    <w:p w14:paraId="0BB2E776" w14:textId="77777777" w:rsidR="00361651" w:rsidRDefault="00361651" w:rsidP="00361651">
      <w:pPr>
        <w:pStyle w:val="IASBNormalnpara"/>
      </w:pPr>
    </w:p>
    <w:tbl>
      <w:tblPr>
        <w:tblW w:w="0" w:type="auto"/>
        <w:tblInd w:w="360" w:type="dxa"/>
        <w:tblLayout w:type="fixed"/>
        <w:tblLook w:val="0000" w:firstRow="0" w:lastRow="0" w:firstColumn="0" w:lastColumn="0" w:noHBand="0" w:noVBand="0"/>
        <w:tblCaption w:val="AASB 136 Table 32"/>
      </w:tblPr>
      <w:tblGrid>
        <w:gridCol w:w="840"/>
        <w:gridCol w:w="273"/>
        <w:gridCol w:w="728"/>
        <w:gridCol w:w="273"/>
        <w:gridCol w:w="728"/>
        <w:gridCol w:w="273"/>
        <w:gridCol w:w="728"/>
        <w:gridCol w:w="273"/>
        <w:gridCol w:w="728"/>
        <w:gridCol w:w="273"/>
        <w:gridCol w:w="728"/>
        <w:gridCol w:w="273"/>
        <w:gridCol w:w="728"/>
        <w:gridCol w:w="273"/>
        <w:gridCol w:w="728"/>
        <w:gridCol w:w="273"/>
        <w:gridCol w:w="728"/>
      </w:tblGrid>
      <w:tr w:rsidR="00361651" w14:paraId="0BB2E784" w14:textId="77777777" w:rsidTr="009709A2">
        <w:trPr>
          <w:cantSplit/>
          <w:tblHeader/>
        </w:trPr>
        <w:tc>
          <w:tcPr>
            <w:tcW w:w="840" w:type="dxa"/>
            <w:vAlign w:val="bottom"/>
          </w:tcPr>
          <w:p w14:paraId="0BB2E777" w14:textId="77777777" w:rsidR="00361651" w:rsidRDefault="00361651" w:rsidP="00EB33C1">
            <w:pPr>
              <w:pStyle w:val="IASBTableHeaderArial"/>
              <w:spacing w:after="120"/>
            </w:pPr>
          </w:p>
        </w:tc>
        <w:tc>
          <w:tcPr>
            <w:tcW w:w="273" w:type="dxa"/>
            <w:tcBorders>
              <w:left w:val="nil"/>
            </w:tcBorders>
            <w:vAlign w:val="bottom"/>
          </w:tcPr>
          <w:p w14:paraId="0BB2E778" w14:textId="77777777" w:rsidR="00361651" w:rsidRDefault="00361651" w:rsidP="00EB33C1">
            <w:pPr>
              <w:pStyle w:val="IASBTableHeaderArial"/>
              <w:spacing w:after="120"/>
            </w:pPr>
          </w:p>
        </w:tc>
        <w:tc>
          <w:tcPr>
            <w:tcW w:w="728" w:type="dxa"/>
            <w:tcBorders>
              <w:left w:val="nil"/>
            </w:tcBorders>
            <w:vAlign w:val="bottom"/>
          </w:tcPr>
          <w:p w14:paraId="0BB2E779" w14:textId="77777777" w:rsidR="00361651" w:rsidRDefault="00361651" w:rsidP="00EB33C1">
            <w:pPr>
              <w:pStyle w:val="IASBTableHeaderArial"/>
              <w:spacing w:after="120"/>
            </w:pPr>
          </w:p>
        </w:tc>
        <w:tc>
          <w:tcPr>
            <w:tcW w:w="1001" w:type="dxa"/>
            <w:gridSpan w:val="2"/>
            <w:tcBorders>
              <w:left w:val="nil"/>
            </w:tcBorders>
          </w:tcPr>
          <w:p w14:paraId="0BB2E77A" w14:textId="77777777" w:rsidR="00361651" w:rsidRDefault="00361651" w:rsidP="00EB33C1">
            <w:pPr>
              <w:pStyle w:val="IASBTableHeaderArial"/>
              <w:spacing w:after="120"/>
              <w:jc w:val="right"/>
            </w:pPr>
            <w:r>
              <w:rPr>
                <w:b/>
                <w:i/>
              </w:rPr>
              <w:t>A</w:t>
            </w:r>
          </w:p>
        </w:tc>
        <w:tc>
          <w:tcPr>
            <w:tcW w:w="273" w:type="dxa"/>
            <w:tcBorders>
              <w:left w:val="nil"/>
            </w:tcBorders>
            <w:vAlign w:val="bottom"/>
          </w:tcPr>
          <w:p w14:paraId="0BB2E77B" w14:textId="77777777" w:rsidR="00361651" w:rsidRDefault="00361651" w:rsidP="00EB33C1">
            <w:pPr>
              <w:pStyle w:val="IASBTableHeaderArial"/>
              <w:spacing w:after="120"/>
            </w:pPr>
          </w:p>
        </w:tc>
        <w:tc>
          <w:tcPr>
            <w:tcW w:w="728" w:type="dxa"/>
            <w:tcBorders>
              <w:left w:val="nil"/>
            </w:tcBorders>
            <w:vAlign w:val="bottom"/>
          </w:tcPr>
          <w:p w14:paraId="0BB2E77C" w14:textId="77777777" w:rsidR="00361651" w:rsidRDefault="00361651" w:rsidP="00EB33C1">
            <w:pPr>
              <w:pStyle w:val="IASBTableHeaderArial"/>
              <w:spacing w:after="120"/>
            </w:pPr>
          </w:p>
        </w:tc>
        <w:tc>
          <w:tcPr>
            <w:tcW w:w="1001" w:type="dxa"/>
            <w:gridSpan w:val="2"/>
            <w:tcBorders>
              <w:left w:val="nil"/>
            </w:tcBorders>
          </w:tcPr>
          <w:p w14:paraId="0BB2E77D" w14:textId="77777777" w:rsidR="00361651" w:rsidRDefault="00361651" w:rsidP="00EB33C1">
            <w:pPr>
              <w:pStyle w:val="IASBTableHeaderArial"/>
              <w:spacing w:after="120"/>
              <w:jc w:val="right"/>
            </w:pPr>
            <w:r>
              <w:rPr>
                <w:b/>
                <w:i/>
              </w:rPr>
              <w:t>B</w:t>
            </w:r>
          </w:p>
        </w:tc>
        <w:tc>
          <w:tcPr>
            <w:tcW w:w="273" w:type="dxa"/>
            <w:tcBorders>
              <w:left w:val="nil"/>
            </w:tcBorders>
            <w:vAlign w:val="bottom"/>
          </w:tcPr>
          <w:p w14:paraId="0BB2E77E" w14:textId="77777777" w:rsidR="00361651" w:rsidRDefault="00361651" w:rsidP="00EB33C1">
            <w:pPr>
              <w:pStyle w:val="IASBTableHeaderArial"/>
              <w:spacing w:after="120"/>
            </w:pPr>
          </w:p>
        </w:tc>
        <w:tc>
          <w:tcPr>
            <w:tcW w:w="728" w:type="dxa"/>
            <w:tcBorders>
              <w:left w:val="nil"/>
            </w:tcBorders>
            <w:vAlign w:val="bottom"/>
          </w:tcPr>
          <w:p w14:paraId="0BB2E77F" w14:textId="77777777" w:rsidR="00361651" w:rsidRDefault="00361651" w:rsidP="00EB33C1">
            <w:pPr>
              <w:pStyle w:val="IASBTableHeaderArial"/>
              <w:spacing w:after="120"/>
            </w:pPr>
          </w:p>
        </w:tc>
        <w:tc>
          <w:tcPr>
            <w:tcW w:w="1001" w:type="dxa"/>
            <w:gridSpan w:val="2"/>
            <w:tcBorders>
              <w:left w:val="nil"/>
            </w:tcBorders>
          </w:tcPr>
          <w:p w14:paraId="0BB2E780" w14:textId="77777777" w:rsidR="00361651" w:rsidRDefault="00361651" w:rsidP="00EB33C1">
            <w:pPr>
              <w:pStyle w:val="IASBTableHeaderArial"/>
              <w:spacing w:after="120"/>
              <w:jc w:val="right"/>
            </w:pPr>
            <w:r>
              <w:rPr>
                <w:b/>
                <w:i/>
              </w:rPr>
              <w:t>C</w:t>
            </w:r>
          </w:p>
        </w:tc>
        <w:tc>
          <w:tcPr>
            <w:tcW w:w="273" w:type="dxa"/>
            <w:tcBorders>
              <w:left w:val="nil"/>
            </w:tcBorders>
            <w:vAlign w:val="bottom"/>
          </w:tcPr>
          <w:p w14:paraId="0BB2E781" w14:textId="77777777" w:rsidR="00361651" w:rsidRDefault="00361651" w:rsidP="00EB33C1">
            <w:pPr>
              <w:pStyle w:val="IASBTableHeaderArial"/>
              <w:spacing w:after="120"/>
            </w:pPr>
          </w:p>
        </w:tc>
        <w:tc>
          <w:tcPr>
            <w:tcW w:w="728" w:type="dxa"/>
            <w:tcBorders>
              <w:left w:val="nil"/>
            </w:tcBorders>
            <w:vAlign w:val="bottom"/>
          </w:tcPr>
          <w:p w14:paraId="0BB2E782" w14:textId="77777777" w:rsidR="00361651" w:rsidRDefault="00361651" w:rsidP="00EB33C1">
            <w:pPr>
              <w:pStyle w:val="IASBTableHeaderArial"/>
              <w:spacing w:after="120"/>
            </w:pPr>
          </w:p>
        </w:tc>
        <w:tc>
          <w:tcPr>
            <w:tcW w:w="1001" w:type="dxa"/>
            <w:gridSpan w:val="2"/>
            <w:tcBorders>
              <w:left w:val="nil"/>
            </w:tcBorders>
          </w:tcPr>
          <w:p w14:paraId="0BB2E783" w14:textId="77777777" w:rsidR="00361651" w:rsidRDefault="00361651" w:rsidP="00EB33C1">
            <w:pPr>
              <w:pStyle w:val="IASBTableHeaderArial"/>
              <w:spacing w:after="120"/>
              <w:jc w:val="right"/>
            </w:pPr>
            <w:r>
              <w:rPr>
                <w:b/>
                <w:i/>
              </w:rPr>
              <w:t>M</w:t>
            </w:r>
          </w:p>
        </w:tc>
      </w:tr>
      <w:tr w:rsidR="00361651" w14:paraId="0BB2E78E" w14:textId="77777777" w:rsidTr="009709A2">
        <w:trPr>
          <w:cantSplit/>
          <w:tblHeader/>
        </w:trPr>
        <w:tc>
          <w:tcPr>
            <w:tcW w:w="840" w:type="dxa"/>
            <w:tcBorders>
              <w:top w:val="nil"/>
            </w:tcBorders>
          </w:tcPr>
          <w:p w14:paraId="0BB2E785" w14:textId="77777777" w:rsidR="00361651" w:rsidRDefault="00361651" w:rsidP="00EB33C1">
            <w:pPr>
              <w:pStyle w:val="IASBTableHeaderArial"/>
              <w:spacing w:after="120"/>
            </w:pPr>
            <w:r>
              <w:rPr>
                <w:b/>
                <w:i/>
                <w:sz w:val="14"/>
              </w:rPr>
              <w:t>Year</w:t>
            </w:r>
          </w:p>
        </w:tc>
        <w:tc>
          <w:tcPr>
            <w:tcW w:w="1001" w:type="dxa"/>
            <w:gridSpan w:val="2"/>
            <w:tcBorders>
              <w:top w:val="nil"/>
              <w:left w:val="nil"/>
            </w:tcBorders>
          </w:tcPr>
          <w:p w14:paraId="0BB2E786" w14:textId="77777777" w:rsidR="00361651" w:rsidRDefault="00361651" w:rsidP="00EB33C1">
            <w:pPr>
              <w:pStyle w:val="IASBTableHeaderArial"/>
              <w:spacing w:after="120"/>
              <w:jc w:val="right"/>
            </w:pPr>
            <w:r>
              <w:rPr>
                <w:b/>
                <w:i/>
                <w:sz w:val="14"/>
              </w:rPr>
              <w:t>Future cash flows</w:t>
            </w:r>
          </w:p>
        </w:tc>
        <w:tc>
          <w:tcPr>
            <w:tcW w:w="1001" w:type="dxa"/>
            <w:gridSpan w:val="2"/>
            <w:tcBorders>
              <w:top w:val="nil"/>
              <w:left w:val="nil"/>
            </w:tcBorders>
          </w:tcPr>
          <w:p w14:paraId="0BB2E787" w14:textId="77777777" w:rsidR="00361651" w:rsidRDefault="00361651" w:rsidP="00EB33C1">
            <w:pPr>
              <w:pStyle w:val="IASBTableHeaderArial"/>
              <w:spacing w:after="120"/>
              <w:jc w:val="right"/>
            </w:pPr>
            <w:r>
              <w:rPr>
                <w:b/>
                <w:i/>
                <w:sz w:val="14"/>
              </w:rPr>
              <w:t>Discount at 15%</w:t>
            </w:r>
          </w:p>
        </w:tc>
        <w:tc>
          <w:tcPr>
            <w:tcW w:w="1001" w:type="dxa"/>
            <w:gridSpan w:val="2"/>
            <w:tcBorders>
              <w:top w:val="nil"/>
              <w:left w:val="nil"/>
            </w:tcBorders>
          </w:tcPr>
          <w:p w14:paraId="0BB2E788" w14:textId="77777777" w:rsidR="00361651" w:rsidRDefault="00361651" w:rsidP="00EB33C1">
            <w:pPr>
              <w:pStyle w:val="IASBTableHeaderArial"/>
              <w:spacing w:after="120"/>
              <w:jc w:val="right"/>
            </w:pPr>
            <w:r>
              <w:rPr>
                <w:b/>
                <w:i/>
                <w:sz w:val="14"/>
              </w:rPr>
              <w:t>Future cash flows</w:t>
            </w:r>
          </w:p>
        </w:tc>
        <w:tc>
          <w:tcPr>
            <w:tcW w:w="1001" w:type="dxa"/>
            <w:gridSpan w:val="2"/>
            <w:tcBorders>
              <w:top w:val="nil"/>
              <w:left w:val="nil"/>
            </w:tcBorders>
          </w:tcPr>
          <w:p w14:paraId="0BB2E789" w14:textId="77777777" w:rsidR="00361651" w:rsidRDefault="00361651" w:rsidP="00EB33C1">
            <w:pPr>
              <w:pStyle w:val="IASBTableHeaderArial"/>
              <w:spacing w:after="120"/>
              <w:jc w:val="right"/>
            </w:pPr>
            <w:r>
              <w:rPr>
                <w:b/>
                <w:i/>
                <w:sz w:val="14"/>
              </w:rPr>
              <w:t>Discount at 15%</w:t>
            </w:r>
          </w:p>
        </w:tc>
        <w:tc>
          <w:tcPr>
            <w:tcW w:w="1001" w:type="dxa"/>
            <w:gridSpan w:val="2"/>
            <w:tcBorders>
              <w:top w:val="nil"/>
              <w:left w:val="nil"/>
            </w:tcBorders>
          </w:tcPr>
          <w:p w14:paraId="0BB2E78A" w14:textId="77777777" w:rsidR="00361651" w:rsidRDefault="00361651" w:rsidP="00EB33C1">
            <w:pPr>
              <w:pStyle w:val="IASBTableHeaderArial"/>
              <w:spacing w:after="120"/>
              <w:jc w:val="right"/>
            </w:pPr>
            <w:r>
              <w:rPr>
                <w:b/>
                <w:i/>
                <w:sz w:val="14"/>
              </w:rPr>
              <w:t>Future cash flows</w:t>
            </w:r>
          </w:p>
        </w:tc>
        <w:tc>
          <w:tcPr>
            <w:tcW w:w="1001" w:type="dxa"/>
            <w:gridSpan w:val="2"/>
            <w:tcBorders>
              <w:top w:val="nil"/>
              <w:left w:val="nil"/>
            </w:tcBorders>
          </w:tcPr>
          <w:p w14:paraId="0BB2E78B" w14:textId="77777777" w:rsidR="00361651" w:rsidRDefault="00361651" w:rsidP="00EB33C1">
            <w:pPr>
              <w:pStyle w:val="IASBTableHeaderArial"/>
              <w:spacing w:after="120"/>
              <w:jc w:val="right"/>
            </w:pPr>
            <w:r>
              <w:rPr>
                <w:b/>
                <w:i/>
                <w:sz w:val="14"/>
              </w:rPr>
              <w:t>Discount at 15%</w:t>
            </w:r>
          </w:p>
        </w:tc>
        <w:tc>
          <w:tcPr>
            <w:tcW w:w="1001" w:type="dxa"/>
            <w:gridSpan w:val="2"/>
            <w:tcBorders>
              <w:top w:val="nil"/>
              <w:left w:val="nil"/>
            </w:tcBorders>
          </w:tcPr>
          <w:p w14:paraId="0BB2E78C" w14:textId="77777777" w:rsidR="00361651" w:rsidRDefault="00361651" w:rsidP="00EB33C1">
            <w:pPr>
              <w:pStyle w:val="IASBTableHeaderArial"/>
              <w:spacing w:after="120"/>
              <w:jc w:val="right"/>
            </w:pPr>
            <w:r>
              <w:rPr>
                <w:b/>
                <w:i/>
                <w:sz w:val="14"/>
              </w:rPr>
              <w:t>Future cash flows</w:t>
            </w:r>
          </w:p>
        </w:tc>
        <w:tc>
          <w:tcPr>
            <w:tcW w:w="1001" w:type="dxa"/>
            <w:gridSpan w:val="2"/>
            <w:tcBorders>
              <w:top w:val="nil"/>
              <w:left w:val="nil"/>
            </w:tcBorders>
          </w:tcPr>
          <w:p w14:paraId="0BB2E78D" w14:textId="77777777" w:rsidR="00361651" w:rsidRDefault="00361651" w:rsidP="00EB33C1">
            <w:pPr>
              <w:pStyle w:val="IASBTableHeaderArial"/>
              <w:spacing w:after="120"/>
              <w:jc w:val="right"/>
            </w:pPr>
            <w:r>
              <w:rPr>
                <w:b/>
                <w:i/>
                <w:sz w:val="14"/>
              </w:rPr>
              <w:t>Discount at 15%</w:t>
            </w:r>
          </w:p>
        </w:tc>
      </w:tr>
      <w:tr w:rsidR="00361651" w14:paraId="0BB2E7A0" w14:textId="77777777" w:rsidTr="009709A2">
        <w:trPr>
          <w:cantSplit/>
          <w:tblHeader/>
        </w:trPr>
        <w:tc>
          <w:tcPr>
            <w:tcW w:w="840" w:type="dxa"/>
            <w:tcBorders>
              <w:top w:val="nil"/>
            </w:tcBorders>
            <w:vAlign w:val="bottom"/>
          </w:tcPr>
          <w:p w14:paraId="0BB2E78F" w14:textId="77777777" w:rsidR="00361651" w:rsidRDefault="00361651" w:rsidP="00EB33C1">
            <w:pPr>
              <w:pStyle w:val="IASBTableHeaderArial"/>
              <w:spacing w:after="120"/>
            </w:pPr>
          </w:p>
        </w:tc>
        <w:tc>
          <w:tcPr>
            <w:tcW w:w="273" w:type="dxa"/>
            <w:tcBorders>
              <w:top w:val="nil"/>
              <w:left w:val="nil"/>
            </w:tcBorders>
            <w:vAlign w:val="bottom"/>
          </w:tcPr>
          <w:p w14:paraId="0BB2E790" w14:textId="77777777" w:rsidR="00361651" w:rsidRDefault="00361651" w:rsidP="00EB33C1">
            <w:pPr>
              <w:pStyle w:val="IASBTableHeaderArial"/>
              <w:spacing w:after="120"/>
            </w:pPr>
          </w:p>
        </w:tc>
        <w:tc>
          <w:tcPr>
            <w:tcW w:w="728" w:type="dxa"/>
            <w:tcBorders>
              <w:top w:val="nil"/>
              <w:left w:val="nil"/>
            </w:tcBorders>
          </w:tcPr>
          <w:p w14:paraId="0BB2E791" w14:textId="77777777" w:rsidR="00361651" w:rsidRDefault="00361651" w:rsidP="00EB33C1">
            <w:pPr>
              <w:pStyle w:val="IASBTableHeaderArial"/>
              <w:spacing w:after="120"/>
              <w:jc w:val="right"/>
            </w:pPr>
            <w:r>
              <w:rPr>
                <w:b/>
              </w:rPr>
              <w:t>CU</w:t>
            </w:r>
          </w:p>
        </w:tc>
        <w:tc>
          <w:tcPr>
            <w:tcW w:w="273" w:type="dxa"/>
            <w:tcBorders>
              <w:top w:val="nil"/>
              <w:left w:val="nil"/>
            </w:tcBorders>
            <w:vAlign w:val="bottom"/>
          </w:tcPr>
          <w:p w14:paraId="0BB2E792" w14:textId="77777777" w:rsidR="00361651" w:rsidRDefault="00361651" w:rsidP="00EB33C1">
            <w:pPr>
              <w:pStyle w:val="IASBTableHeaderArial"/>
              <w:spacing w:after="120"/>
            </w:pPr>
          </w:p>
        </w:tc>
        <w:tc>
          <w:tcPr>
            <w:tcW w:w="728" w:type="dxa"/>
            <w:tcBorders>
              <w:top w:val="nil"/>
              <w:left w:val="nil"/>
            </w:tcBorders>
          </w:tcPr>
          <w:p w14:paraId="0BB2E793" w14:textId="77777777" w:rsidR="00361651" w:rsidRDefault="00361651" w:rsidP="00EB33C1">
            <w:pPr>
              <w:pStyle w:val="IASBTableHeaderArial"/>
              <w:spacing w:after="120"/>
              <w:jc w:val="right"/>
            </w:pPr>
            <w:r>
              <w:rPr>
                <w:b/>
              </w:rPr>
              <w:t>CU</w:t>
            </w:r>
          </w:p>
        </w:tc>
        <w:tc>
          <w:tcPr>
            <w:tcW w:w="273" w:type="dxa"/>
            <w:tcBorders>
              <w:top w:val="nil"/>
              <w:left w:val="nil"/>
            </w:tcBorders>
            <w:vAlign w:val="bottom"/>
          </w:tcPr>
          <w:p w14:paraId="0BB2E794" w14:textId="77777777" w:rsidR="00361651" w:rsidRDefault="00361651" w:rsidP="00EB33C1">
            <w:pPr>
              <w:pStyle w:val="IASBTableHeaderArial"/>
              <w:spacing w:after="120"/>
            </w:pPr>
          </w:p>
        </w:tc>
        <w:tc>
          <w:tcPr>
            <w:tcW w:w="728" w:type="dxa"/>
            <w:tcBorders>
              <w:top w:val="nil"/>
              <w:left w:val="nil"/>
            </w:tcBorders>
          </w:tcPr>
          <w:p w14:paraId="0BB2E795" w14:textId="77777777" w:rsidR="00361651" w:rsidRDefault="00361651" w:rsidP="00EB33C1">
            <w:pPr>
              <w:pStyle w:val="IASBTableHeaderArial"/>
              <w:spacing w:after="120"/>
              <w:jc w:val="right"/>
            </w:pPr>
            <w:r>
              <w:rPr>
                <w:b/>
              </w:rPr>
              <w:t>CU</w:t>
            </w:r>
          </w:p>
        </w:tc>
        <w:tc>
          <w:tcPr>
            <w:tcW w:w="273" w:type="dxa"/>
            <w:tcBorders>
              <w:top w:val="nil"/>
              <w:left w:val="nil"/>
            </w:tcBorders>
            <w:vAlign w:val="bottom"/>
          </w:tcPr>
          <w:p w14:paraId="0BB2E796" w14:textId="77777777" w:rsidR="00361651" w:rsidRDefault="00361651" w:rsidP="00EB33C1">
            <w:pPr>
              <w:pStyle w:val="IASBTableHeaderArial"/>
              <w:spacing w:after="120"/>
            </w:pPr>
          </w:p>
        </w:tc>
        <w:tc>
          <w:tcPr>
            <w:tcW w:w="728" w:type="dxa"/>
            <w:tcBorders>
              <w:top w:val="nil"/>
              <w:left w:val="nil"/>
            </w:tcBorders>
          </w:tcPr>
          <w:p w14:paraId="0BB2E797" w14:textId="77777777" w:rsidR="00361651" w:rsidRDefault="00361651" w:rsidP="00EB33C1">
            <w:pPr>
              <w:pStyle w:val="IASBTableHeaderArial"/>
              <w:spacing w:after="120"/>
              <w:jc w:val="right"/>
            </w:pPr>
            <w:r>
              <w:rPr>
                <w:b/>
              </w:rPr>
              <w:t>CU</w:t>
            </w:r>
          </w:p>
        </w:tc>
        <w:tc>
          <w:tcPr>
            <w:tcW w:w="273" w:type="dxa"/>
            <w:tcBorders>
              <w:top w:val="nil"/>
              <w:left w:val="nil"/>
            </w:tcBorders>
            <w:vAlign w:val="bottom"/>
          </w:tcPr>
          <w:p w14:paraId="0BB2E798" w14:textId="77777777" w:rsidR="00361651" w:rsidRDefault="00361651" w:rsidP="00EB33C1">
            <w:pPr>
              <w:pStyle w:val="IASBTableHeaderArial"/>
              <w:spacing w:after="120"/>
            </w:pPr>
          </w:p>
        </w:tc>
        <w:tc>
          <w:tcPr>
            <w:tcW w:w="728" w:type="dxa"/>
            <w:tcBorders>
              <w:top w:val="nil"/>
              <w:left w:val="nil"/>
            </w:tcBorders>
          </w:tcPr>
          <w:p w14:paraId="0BB2E799" w14:textId="77777777" w:rsidR="00361651" w:rsidRDefault="00361651" w:rsidP="00EB33C1">
            <w:pPr>
              <w:pStyle w:val="IASBTableHeaderArial"/>
              <w:spacing w:after="120"/>
              <w:jc w:val="right"/>
            </w:pPr>
            <w:r>
              <w:rPr>
                <w:b/>
              </w:rPr>
              <w:t>CU</w:t>
            </w:r>
          </w:p>
        </w:tc>
        <w:tc>
          <w:tcPr>
            <w:tcW w:w="273" w:type="dxa"/>
            <w:tcBorders>
              <w:top w:val="nil"/>
              <w:left w:val="nil"/>
            </w:tcBorders>
            <w:vAlign w:val="bottom"/>
          </w:tcPr>
          <w:p w14:paraId="0BB2E79A" w14:textId="77777777" w:rsidR="00361651" w:rsidRDefault="00361651" w:rsidP="00EB33C1">
            <w:pPr>
              <w:pStyle w:val="IASBTableHeaderArial"/>
              <w:spacing w:after="120"/>
            </w:pPr>
          </w:p>
        </w:tc>
        <w:tc>
          <w:tcPr>
            <w:tcW w:w="728" w:type="dxa"/>
            <w:tcBorders>
              <w:top w:val="nil"/>
              <w:left w:val="nil"/>
            </w:tcBorders>
          </w:tcPr>
          <w:p w14:paraId="0BB2E79B" w14:textId="77777777" w:rsidR="00361651" w:rsidRDefault="00361651" w:rsidP="00EB33C1">
            <w:pPr>
              <w:pStyle w:val="IASBTableHeaderArial"/>
              <w:spacing w:after="120"/>
              <w:jc w:val="right"/>
            </w:pPr>
            <w:r>
              <w:rPr>
                <w:b/>
              </w:rPr>
              <w:t>CU</w:t>
            </w:r>
          </w:p>
        </w:tc>
        <w:tc>
          <w:tcPr>
            <w:tcW w:w="273" w:type="dxa"/>
            <w:tcBorders>
              <w:top w:val="nil"/>
              <w:left w:val="nil"/>
            </w:tcBorders>
            <w:vAlign w:val="bottom"/>
          </w:tcPr>
          <w:p w14:paraId="0BB2E79C" w14:textId="77777777" w:rsidR="00361651" w:rsidRDefault="00361651" w:rsidP="00EB33C1">
            <w:pPr>
              <w:pStyle w:val="IASBTableHeaderArial"/>
              <w:spacing w:after="120"/>
            </w:pPr>
          </w:p>
        </w:tc>
        <w:tc>
          <w:tcPr>
            <w:tcW w:w="728" w:type="dxa"/>
            <w:tcBorders>
              <w:top w:val="nil"/>
              <w:left w:val="nil"/>
            </w:tcBorders>
          </w:tcPr>
          <w:p w14:paraId="0BB2E79D" w14:textId="77777777" w:rsidR="00361651" w:rsidRDefault="00361651" w:rsidP="00EB33C1">
            <w:pPr>
              <w:pStyle w:val="IASBTableHeaderArial"/>
              <w:spacing w:after="120"/>
              <w:jc w:val="right"/>
            </w:pPr>
            <w:r>
              <w:rPr>
                <w:b/>
              </w:rPr>
              <w:t>CU</w:t>
            </w:r>
          </w:p>
        </w:tc>
        <w:tc>
          <w:tcPr>
            <w:tcW w:w="273" w:type="dxa"/>
            <w:tcBorders>
              <w:top w:val="nil"/>
              <w:left w:val="nil"/>
            </w:tcBorders>
            <w:vAlign w:val="bottom"/>
          </w:tcPr>
          <w:p w14:paraId="0BB2E79E" w14:textId="77777777" w:rsidR="00361651" w:rsidRDefault="00361651" w:rsidP="00EB33C1">
            <w:pPr>
              <w:pStyle w:val="IASBTableHeaderArial"/>
              <w:spacing w:after="120"/>
            </w:pPr>
          </w:p>
        </w:tc>
        <w:tc>
          <w:tcPr>
            <w:tcW w:w="728" w:type="dxa"/>
            <w:tcBorders>
              <w:top w:val="nil"/>
              <w:left w:val="nil"/>
            </w:tcBorders>
          </w:tcPr>
          <w:p w14:paraId="0BB2E79F" w14:textId="77777777" w:rsidR="00361651" w:rsidRDefault="00361651" w:rsidP="00EB33C1">
            <w:pPr>
              <w:pStyle w:val="IASBTableHeaderArial"/>
              <w:spacing w:after="120"/>
              <w:jc w:val="right"/>
            </w:pPr>
            <w:r>
              <w:rPr>
                <w:b/>
              </w:rPr>
              <w:t>CU</w:t>
            </w:r>
          </w:p>
        </w:tc>
      </w:tr>
      <w:tr w:rsidR="00361651" w14:paraId="0BB2E7B2" w14:textId="77777777" w:rsidTr="009709A2">
        <w:trPr>
          <w:cantSplit/>
        </w:trPr>
        <w:tc>
          <w:tcPr>
            <w:tcW w:w="840" w:type="dxa"/>
            <w:tcBorders>
              <w:top w:val="nil"/>
            </w:tcBorders>
          </w:tcPr>
          <w:p w14:paraId="0BB2E7A1" w14:textId="77777777" w:rsidR="00361651" w:rsidRDefault="00361651" w:rsidP="009709A2">
            <w:pPr>
              <w:pStyle w:val="IASBTableArial"/>
            </w:pPr>
            <w:r>
              <w:t>1</w:t>
            </w:r>
          </w:p>
        </w:tc>
        <w:tc>
          <w:tcPr>
            <w:tcW w:w="273" w:type="dxa"/>
            <w:tcBorders>
              <w:top w:val="nil"/>
              <w:left w:val="nil"/>
            </w:tcBorders>
          </w:tcPr>
          <w:p w14:paraId="0BB2E7A2" w14:textId="77777777" w:rsidR="00361651" w:rsidRDefault="00361651" w:rsidP="009709A2">
            <w:pPr>
              <w:pStyle w:val="IASBTableArial"/>
            </w:pPr>
          </w:p>
        </w:tc>
        <w:tc>
          <w:tcPr>
            <w:tcW w:w="728" w:type="dxa"/>
            <w:tcBorders>
              <w:top w:val="nil"/>
              <w:left w:val="nil"/>
            </w:tcBorders>
          </w:tcPr>
          <w:p w14:paraId="0BB2E7A3" w14:textId="77777777" w:rsidR="00361651" w:rsidRDefault="00361651" w:rsidP="009709A2">
            <w:pPr>
              <w:pStyle w:val="IASBTableArial"/>
              <w:jc w:val="right"/>
            </w:pPr>
            <w:r>
              <w:t>18</w:t>
            </w:r>
          </w:p>
        </w:tc>
        <w:tc>
          <w:tcPr>
            <w:tcW w:w="273" w:type="dxa"/>
            <w:tcBorders>
              <w:top w:val="nil"/>
              <w:left w:val="nil"/>
            </w:tcBorders>
          </w:tcPr>
          <w:p w14:paraId="0BB2E7A4" w14:textId="77777777" w:rsidR="00361651" w:rsidRDefault="00361651" w:rsidP="009709A2">
            <w:pPr>
              <w:pStyle w:val="IASBTableArial"/>
            </w:pPr>
          </w:p>
        </w:tc>
        <w:tc>
          <w:tcPr>
            <w:tcW w:w="728" w:type="dxa"/>
            <w:tcBorders>
              <w:top w:val="nil"/>
              <w:left w:val="nil"/>
            </w:tcBorders>
          </w:tcPr>
          <w:p w14:paraId="0BB2E7A5" w14:textId="77777777" w:rsidR="00361651" w:rsidRDefault="00361651" w:rsidP="009709A2">
            <w:pPr>
              <w:pStyle w:val="IASBTableArial"/>
              <w:jc w:val="right"/>
            </w:pPr>
            <w:r>
              <w:t>16</w:t>
            </w:r>
          </w:p>
        </w:tc>
        <w:tc>
          <w:tcPr>
            <w:tcW w:w="273" w:type="dxa"/>
            <w:tcBorders>
              <w:top w:val="nil"/>
              <w:left w:val="nil"/>
            </w:tcBorders>
          </w:tcPr>
          <w:p w14:paraId="0BB2E7A6" w14:textId="77777777" w:rsidR="00361651" w:rsidRDefault="00361651" w:rsidP="009709A2">
            <w:pPr>
              <w:pStyle w:val="IASBTableArial"/>
            </w:pPr>
          </w:p>
        </w:tc>
        <w:tc>
          <w:tcPr>
            <w:tcW w:w="728" w:type="dxa"/>
            <w:tcBorders>
              <w:top w:val="nil"/>
              <w:left w:val="nil"/>
            </w:tcBorders>
          </w:tcPr>
          <w:p w14:paraId="0BB2E7A7" w14:textId="77777777" w:rsidR="00361651" w:rsidRDefault="00361651" w:rsidP="009709A2">
            <w:pPr>
              <w:pStyle w:val="IASBTableArial"/>
              <w:jc w:val="right"/>
            </w:pPr>
            <w:r>
              <w:t>9</w:t>
            </w:r>
          </w:p>
        </w:tc>
        <w:tc>
          <w:tcPr>
            <w:tcW w:w="273" w:type="dxa"/>
            <w:tcBorders>
              <w:top w:val="nil"/>
              <w:left w:val="nil"/>
            </w:tcBorders>
          </w:tcPr>
          <w:p w14:paraId="0BB2E7A8" w14:textId="77777777" w:rsidR="00361651" w:rsidRDefault="00361651" w:rsidP="009709A2">
            <w:pPr>
              <w:pStyle w:val="IASBTableArial"/>
            </w:pPr>
          </w:p>
        </w:tc>
        <w:tc>
          <w:tcPr>
            <w:tcW w:w="728" w:type="dxa"/>
            <w:tcBorders>
              <w:top w:val="nil"/>
              <w:left w:val="nil"/>
            </w:tcBorders>
          </w:tcPr>
          <w:p w14:paraId="0BB2E7A9" w14:textId="77777777" w:rsidR="00361651" w:rsidRDefault="00361651" w:rsidP="009709A2">
            <w:pPr>
              <w:pStyle w:val="IASBTableArial"/>
              <w:jc w:val="right"/>
            </w:pPr>
            <w:r>
              <w:t>8</w:t>
            </w:r>
          </w:p>
        </w:tc>
        <w:tc>
          <w:tcPr>
            <w:tcW w:w="273" w:type="dxa"/>
            <w:tcBorders>
              <w:top w:val="nil"/>
              <w:left w:val="nil"/>
            </w:tcBorders>
            <w:vAlign w:val="bottom"/>
          </w:tcPr>
          <w:p w14:paraId="0BB2E7AA" w14:textId="77777777" w:rsidR="00361651" w:rsidRDefault="00361651" w:rsidP="009709A2">
            <w:pPr>
              <w:pStyle w:val="IASBTableArial"/>
            </w:pPr>
          </w:p>
        </w:tc>
        <w:tc>
          <w:tcPr>
            <w:tcW w:w="728" w:type="dxa"/>
            <w:tcBorders>
              <w:top w:val="nil"/>
              <w:left w:val="nil"/>
            </w:tcBorders>
          </w:tcPr>
          <w:p w14:paraId="0BB2E7AB" w14:textId="77777777" w:rsidR="00361651" w:rsidRDefault="00361651" w:rsidP="009709A2">
            <w:pPr>
              <w:pStyle w:val="IASBTableArial"/>
              <w:jc w:val="right"/>
            </w:pPr>
            <w:r>
              <w:t>10</w:t>
            </w:r>
          </w:p>
        </w:tc>
        <w:tc>
          <w:tcPr>
            <w:tcW w:w="273" w:type="dxa"/>
            <w:tcBorders>
              <w:top w:val="nil"/>
              <w:left w:val="nil"/>
            </w:tcBorders>
            <w:vAlign w:val="bottom"/>
          </w:tcPr>
          <w:p w14:paraId="0BB2E7AC" w14:textId="77777777" w:rsidR="00361651" w:rsidRDefault="00361651" w:rsidP="009709A2">
            <w:pPr>
              <w:pStyle w:val="IASBTableArial"/>
            </w:pPr>
          </w:p>
        </w:tc>
        <w:tc>
          <w:tcPr>
            <w:tcW w:w="728" w:type="dxa"/>
            <w:tcBorders>
              <w:top w:val="nil"/>
              <w:left w:val="nil"/>
            </w:tcBorders>
          </w:tcPr>
          <w:p w14:paraId="0BB2E7AD" w14:textId="77777777" w:rsidR="00361651" w:rsidRDefault="00361651" w:rsidP="009709A2">
            <w:pPr>
              <w:pStyle w:val="IASBTableArial"/>
              <w:jc w:val="right"/>
            </w:pPr>
            <w:r>
              <w:t>9</w:t>
            </w:r>
          </w:p>
        </w:tc>
        <w:tc>
          <w:tcPr>
            <w:tcW w:w="273" w:type="dxa"/>
            <w:tcBorders>
              <w:top w:val="nil"/>
              <w:left w:val="nil"/>
            </w:tcBorders>
          </w:tcPr>
          <w:p w14:paraId="0BB2E7AE" w14:textId="77777777" w:rsidR="00361651" w:rsidRDefault="00361651" w:rsidP="009709A2">
            <w:pPr>
              <w:pStyle w:val="IASBTableArial"/>
              <w:jc w:val="right"/>
            </w:pPr>
          </w:p>
        </w:tc>
        <w:tc>
          <w:tcPr>
            <w:tcW w:w="728" w:type="dxa"/>
            <w:tcBorders>
              <w:top w:val="nil"/>
              <w:left w:val="nil"/>
            </w:tcBorders>
          </w:tcPr>
          <w:p w14:paraId="0BB2E7AF" w14:textId="77777777" w:rsidR="00361651" w:rsidRDefault="00361651" w:rsidP="009709A2">
            <w:pPr>
              <w:pStyle w:val="IASBTableArial"/>
              <w:jc w:val="right"/>
            </w:pPr>
            <w:r>
              <w:t>39</w:t>
            </w:r>
          </w:p>
        </w:tc>
        <w:tc>
          <w:tcPr>
            <w:tcW w:w="273" w:type="dxa"/>
            <w:tcBorders>
              <w:top w:val="nil"/>
              <w:left w:val="nil"/>
            </w:tcBorders>
            <w:vAlign w:val="bottom"/>
          </w:tcPr>
          <w:p w14:paraId="0BB2E7B0" w14:textId="77777777" w:rsidR="00361651" w:rsidRDefault="00361651" w:rsidP="009709A2">
            <w:pPr>
              <w:pStyle w:val="IASBTableArial"/>
            </w:pPr>
          </w:p>
        </w:tc>
        <w:tc>
          <w:tcPr>
            <w:tcW w:w="728" w:type="dxa"/>
            <w:tcBorders>
              <w:top w:val="nil"/>
              <w:left w:val="nil"/>
            </w:tcBorders>
            <w:vAlign w:val="bottom"/>
          </w:tcPr>
          <w:p w14:paraId="0BB2E7B1" w14:textId="77777777" w:rsidR="00361651" w:rsidRDefault="00361651" w:rsidP="009709A2">
            <w:pPr>
              <w:pStyle w:val="IASBTableArial"/>
              <w:jc w:val="right"/>
            </w:pPr>
            <w:r>
              <w:t>34</w:t>
            </w:r>
          </w:p>
        </w:tc>
      </w:tr>
      <w:tr w:rsidR="00361651" w14:paraId="0BB2E7C4" w14:textId="77777777" w:rsidTr="009709A2">
        <w:trPr>
          <w:cantSplit/>
        </w:trPr>
        <w:tc>
          <w:tcPr>
            <w:tcW w:w="840" w:type="dxa"/>
            <w:tcBorders>
              <w:top w:val="nil"/>
            </w:tcBorders>
          </w:tcPr>
          <w:p w14:paraId="0BB2E7B3" w14:textId="77777777" w:rsidR="00361651" w:rsidRDefault="00361651" w:rsidP="009709A2">
            <w:pPr>
              <w:pStyle w:val="IASBTableArial"/>
            </w:pPr>
            <w:r>
              <w:t>2</w:t>
            </w:r>
          </w:p>
        </w:tc>
        <w:tc>
          <w:tcPr>
            <w:tcW w:w="273" w:type="dxa"/>
            <w:tcBorders>
              <w:top w:val="nil"/>
              <w:left w:val="nil"/>
            </w:tcBorders>
          </w:tcPr>
          <w:p w14:paraId="0BB2E7B4" w14:textId="77777777" w:rsidR="00361651" w:rsidRDefault="00361651" w:rsidP="009709A2">
            <w:pPr>
              <w:pStyle w:val="IASBTableArial"/>
            </w:pPr>
          </w:p>
        </w:tc>
        <w:tc>
          <w:tcPr>
            <w:tcW w:w="728" w:type="dxa"/>
            <w:tcBorders>
              <w:top w:val="nil"/>
              <w:left w:val="nil"/>
            </w:tcBorders>
          </w:tcPr>
          <w:p w14:paraId="0BB2E7B5" w14:textId="77777777" w:rsidR="00361651" w:rsidRDefault="00361651" w:rsidP="009709A2">
            <w:pPr>
              <w:pStyle w:val="IASBTableArial"/>
              <w:jc w:val="right"/>
            </w:pPr>
            <w:r>
              <w:t>31</w:t>
            </w:r>
          </w:p>
        </w:tc>
        <w:tc>
          <w:tcPr>
            <w:tcW w:w="273" w:type="dxa"/>
            <w:tcBorders>
              <w:top w:val="nil"/>
              <w:left w:val="nil"/>
            </w:tcBorders>
          </w:tcPr>
          <w:p w14:paraId="0BB2E7B6" w14:textId="77777777" w:rsidR="00361651" w:rsidRDefault="00361651" w:rsidP="009709A2">
            <w:pPr>
              <w:pStyle w:val="IASBTableArial"/>
            </w:pPr>
          </w:p>
        </w:tc>
        <w:tc>
          <w:tcPr>
            <w:tcW w:w="728" w:type="dxa"/>
            <w:tcBorders>
              <w:top w:val="nil"/>
              <w:left w:val="nil"/>
            </w:tcBorders>
          </w:tcPr>
          <w:p w14:paraId="0BB2E7B7" w14:textId="77777777" w:rsidR="00361651" w:rsidRDefault="00361651" w:rsidP="009709A2">
            <w:pPr>
              <w:pStyle w:val="IASBTableArial"/>
              <w:jc w:val="right"/>
            </w:pPr>
            <w:r>
              <w:t>23</w:t>
            </w:r>
          </w:p>
        </w:tc>
        <w:tc>
          <w:tcPr>
            <w:tcW w:w="273" w:type="dxa"/>
            <w:tcBorders>
              <w:top w:val="nil"/>
              <w:left w:val="nil"/>
            </w:tcBorders>
          </w:tcPr>
          <w:p w14:paraId="0BB2E7B8" w14:textId="77777777" w:rsidR="00361651" w:rsidRDefault="00361651" w:rsidP="009709A2">
            <w:pPr>
              <w:pStyle w:val="IASBTableArial"/>
            </w:pPr>
          </w:p>
        </w:tc>
        <w:tc>
          <w:tcPr>
            <w:tcW w:w="728" w:type="dxa"/>
            <w:tcBorders>
              <w:top w:val="nil"/>
              <w:left w:val="nil"/>
            </w:tcBorders>
          </w:tcPr>
          <w:p w14:paraId="0BB2E7B9" w14:textId="77777777" w:rsidR="00361651" w:rsidRDefault="00361651" w:rsidP="009709A2">
            <w:pPr>
              <w:pStyle w:val="IASBTableArial"/>
              <w:jc w:val="right"/>
            </w:pPr>
            <w:r>
              <w:t>16</w:t>
            </w:r>
          </w:p>
        </w:tc>
        <w:tc>
          <w:tcPr>
            <w:tcW w:w="273" w:type="dxa"/>
            <w:tcBorders>
              <w:top w:val="nil"/>
              <w:left w:val="nil"/>
            </w:tcBorders>
          </w:tcPr>
          <w:p w14:paraId="0BB2E7BA" w14:textId="77777777" w:rsidR="00361651" w:rsidRDefault="00361651" w:rsidP="009709A2">
            <w:pPr>
              <w:pStyle w:val="IASBTableArial"/>
            </w:pPr>
          </w:p>
        </w:tc>
        <w:tc>
          <w:tcPr>
            <w:tcW w:w="728" w:type="dxa"/>
            <w:tcBorders>
              <w:top w:val="nil"/>
              <w:left w:val="nil"/>
            </w:tcBorders>
          </w:tcPr>
          <w:p w14:paraId="0BB2E7BB" w14:textId="77777777" w:rsidR="00361651" w:rsidRDefault="00361651" w:rsidP="009709A2">
            <w:pPr>
              <w:pStyle w:val="IASBTableArial"/>
              <w:jc w:val="right"/>
            </w:pPr>
            <w:r>
              <w:t>12</w:t>
            </w:r>
          </w:p>
        </w:tc>
        <w:tc>
          <w:tcPr>
            <w:tcW w:w="273" w:type="dxa"/>
            <w:tcBorders>
              <w:top w:val="nil"/>
              <w:left w:val="nil"/>
            </w:tcBorders>
            <w:vAlign w:val="bottom"/>
          </w:tcPr>
          <w:p w14:paraId="0BB2E7BC" w14:textId="77777777" w:rsidR="00361651" w:rsidRDefault="00361651" w:rsidP="009709A2">
            <w:pPr>
              <w:pStyle w:val="IASBTableArial"/>
            </w:pPr>
          </w:p>
        </w:tc>
        <w:tc>
          <w:tcPr>
            <w:tcW w:w="728" w:type="dxa"/>
            <w:tcBorders>
              <w:top w:val="nil"/>
              <w:left w:val="nil"/>
            </w:tcBorders>
          </w:tcPr>
          <w:p w14:paraId="0BB2E7BD" w14:textId="77777777" w:rsidR="00361651" w:rsidRDefault="00361651" w:rsidP="009709A2">
            <w:pPr>
              <w:pStyle w:val="IASBTableArial"/>
              <w:jc w:val="right"/>
            </w:pPr>
            <w:r>
              <w:t>20</w:t>
            </w:r>
          </w:p>
        </w:tc>
        <w:tc>
          <w:tcPr>
            <w:tcW w:w="273" w:type="dxa"/>
            <w:tcBorders>
              <w:top w:val="nil"/>
              <w:left w:val="nil"/>
            </w:tcBorders>
            <w:vAlign w:val="bottom"/>
          </w:tcPr>
          <w:p w14:paraId="0BB2E7BE" w14:textId="77777777" w:rsidR="00361651" w:rsidRDefault="00361651" w:rsidP="009709A2">
            <w:pPr>
              <w:pStyle w:val="IASBTableArial"/>
            </w:pPr>
          </w:p>
        </w:tc>
        <w:tc>
          <w:tcPr>
            <w:tcW w:w="728" w:type="dxa"/>
            <w:tcBorders>
              <w:top w:val="nil"/>
              <w:left w:val="nil"/>
            </w:tcBorders>
          </w:tcPr>
          <w:p w14:paraId="0BB2E7BF" w14:textId="77777777" w:rsidR="00361651" w:rsidRDefault="00361651" w:rsidP="009709A2">
            <w:pPr>
              <w:pStyle w:val="IASBTableArial"/>
              <w:jc w:val="right"/>
            </w:pPr>
            <w:r>
              <w:t>15</w:t>
            </w:r>
          </w:p>
        </w:tc>
        <w:tc>
          <w:tcPr>
            <w:tcW w:w="273" w:type="dxa"/>
            <w:tcBorders>
              <w:top w:val="nil"/>
              <w:left w:val="nil"/>
            </w:tcBorders>
          </w:tcPr>
          <w:p w14:paraId="0BB2E7C0" w14:textId="77777777" w:rsidR="00361651" w:rsidRDefault="00361651" w:rsidP="009709A2">
            <w:pPr>
              <w:pStyle w:val="IASBTableArial"/>
              <w:jc w:val="right"/>
            </w:pPr>
          </w:p>
        </w:tc>
        <w:tc>
          <w:tcPr>
            <w:tcW w:w="728" w:type="dxa"/>
            <w:tcBorders>
              <w:top w:val="nil"/>
              <w:left w:val="nil"/>
            </w:tcBorders>
          </w:tcPr>
          <w:p w14:paraId="0BB2E7C1" w14:textId="77777777" w:rsidR="00361651" w:rsidRDefault="00361651" w:rsidP="009709A2">
            <w:pPr>
              <w:pStyle w:val="IASBTableArial"/>
              <w:jc w:val="right"/>
            </w:pPr>
            <w:r>
              <w:t>72</w:t>
            </w:r>
          </w:p>
        </w:tc>
        <w:tc>
          <w:tcPr>
            <w:tcW w:w="273" w:type="dxa"/>
            <w:tcBorders>
              <w:top w:val="nil"/>
              <w:left w:val="nil"/>
            </w:tcBorders>
            <w:vAlign w:val="bottom"/>
          </w:tcPr>
          <w:p w14:paraId="0BB2E7C2" w14:textId="77777777" w:rsidR="00361651" w:rsidRDefault="00361651" w:rsidP="009709A2">
            <w:pPr>
              <w:pStyle w:val="IASBTableArial"/>
            </w:pPr>
          </w:p>
        </w:tc>
        <w:tc>
          <w:tcPr>
            <w:tcW w:w="728" w:type="dxa"/>
            <w:tcBorders>
              <w:top w:val="nil"/>
              <w:left w:val="nil"/>
            </w:tcBorders>
            <w:vAlign w:val="bottom"/>
          </w:tcPr>
          <w:p w14:paraId="0BB2E7C3" w14:textId="77777777" w:rsidR="00361651" w:rsidRDefault="00361651" w:rsidP="009709A2">
            <w:pPr>
              <w:pStyle w:val="IASBTableArial"/>
              <w:jc w:val="right"/>
            </w:pPr>
            <w:r>
              <w:t>54</w:t>
            </w:r>
          </w:p>
        </w:tc>
      </w:tr>
      <w:tr w:rsidR="00361651" w14:paraId="0BB2E7D6" w14:textId="77777777" w:rsidTr="009709A2">
        <w:trPr>
          <w:cantSplit/>
        </w:trPr>
        <w:tc>
          <w:tcPr>
            <w:tcW w:w="840" w:type="dxa"/>
            <w:tcBorders>
              <w:top w:val="nil"/>
            </w:tcBorders>
          </w:tcPr>
          <w:p w14:paraId="0BB2E7C5" w14:textId="77777777" w:rsidR="00361651" w:rsidRDefault="00361651" w:rsidP="009709A2">
            <w:pPr>
              <w:pStyle w:val="IASBTableArial"/>
            </w:pPr>
            <w:r>
              <w:t>3</w:t>
            </w:r>
          </w:p>
        </w:tc>
        <w:tc>
          <w:tcPr>
            <w:tcW w:w="273" w:type="dxa"/>
            <w:tcBorders>
              <w:top w:val="nil"/>
              <w:left w:val="nil"/>
            </w:tcBorders>
          </w:tcPr>
          <w:p w14:paraId="0BB2E7C6" w14:textId="77777777" w:rsidR="00361651" w:rsidRDefault="00361651" w:rsidP="009709A2">
            <w:pPr>
              <w:pStyle w:val="IASBTableArial"/>
            </w:pPr>
          </w:p>
        </w:tc>
        <w:tc>
          <w:tcPr>
            <w:tcW w:w="728" w:type="dxa"/>
            <w:tcBorders>
              <w:top w:val="nil"/>
              <w:left w:val="nil"/>
            </w:tcBorders>
          </w:tcPr>
          <w:p w14:paraId="0BB2E7C7" w14:textId="77777777" w:rsidR="00361651" w:rsidRDefault="00361651" w:rsidP="009709A2">
            <w:pPr>
              <w:pStyle w:val="IASBTableArial"/>
              <w:jc w:val="right"/>
            </w:pPr>
            <w:r>
              <w:t>37</w:t>
            </w:r>
          </w:p>
        </w:tc>
        <w:tc>
          <w:tcPr>
            <w:tcW w:w="273" w:type="dxa"/>
            <w:tcBorders>
              <w:top w:val="nil"/>
              <w:left w:val="nil"/>
            </w:tcBorders>
          </w:tcPr>
          <w:p w14:paraId="0BB2E7C8" w14:textId="77777777" w:rsidR="00361651" w:rsidRDefault="00361651" w:rsidP="009709A2">
            <w:pPr>
              <w:pStyle w:val="IASBTableArial"/>
            </w:pPr>
          </w:p>
        </w:tc>
        <w:tc>
          <w:tcPr>
            <w:tcW w:w="728" w:type="dxa"/>
            <w:tcBorders>
              <w:top w:val="nil"/>
              <w:left w:val="nil"/>
            </w:tcBorders>
          </w:tcPr>
          <w:p w14:paraId="0BB2E7C9" w14:textId="77777777" w:rsidR="00361651" w:rsidRDefault="00361651" w:rsidP="009709A2">
            <w:pPr>
              <w:pStyle w:val="IASBTableArial"/>
              <w:jc w:val="right"/>
            </w:pPr>
            <w:r>
              <w:t>24</w:t>
            </w:r>
          </w:p>
        </w:tc>
        <w:tc>
          <w:tcPr>
            <w:tcW w:w="273" w:type="dxa"/>
            <w:tcBorders>
              <w:top w:val="nil"/>
              <w:left w:val="nil"/>
            </w:tcBorders>
          </w:tcPr>
          <w:p w14:paraId="0BB2E7CA" w14:textId="77777777" w:rsidR="00361651" w:rsidRDefault="00361651" w:rsidP="009709A2">
            <w:pPr>
              <w:pStyle w:val="IASBTableArial"/>
            </w:pPr>
          </w:p>
        </w:tc>
        <w:tc>
          <w:tcPr>
            <w:tcW w:w="728" w:type="dxa"/>
            <w:tcBorders>
              <w:top w:val="nil"/>
              <w:left w:val="nil"/>
            </w:tcBorders>
          </w:tcPr>
          <w:p w14:paraId="0BB2E7CB" w14:textId="77777777" w:rsidR="00361651" w:rsidRDefault="00361651" w:rsidP="009709A2">
            <w:pPr>
              <w:pStyle w:val="IASBTableArial"/>
              <w:jc w:val="right"/>
            </w:pPr>
            <w:r>
              <w:t>24</w:t>
            </w:r>
          </w:p>
        </w:tc>
        <w:tc>
          <w:tcPr>
            <w:tcW w:w="273" w:type="dxa"/>
            <w:tcBorders>
              <w:top w:val="nil"/>
              <w:left w:val="nil"/>
            </w:tcBorders>
          </w:tcPr>
          <w:p w14:paraId="0BB2E7CC" w14:textId="77777777" w:rsidR="00361651" w:rsidRDefault="00361651" w:rsidP="009709A2">
            <w:pPr>
              <w:pStyle w:val="IASBTableArial"/>
            </w:pPr>
          </w:p>
        </w:tc>
        <w:tc>
          <w:tcPr>
            <w:tcW w:w="728" w:type="dxa"/>
            <w:tcBorders>
              <w:top w:val="nil"/>
              <w:left w:val="nil"/>
            </w:tcBorders>
          </w:tcPr>
          <w:p w14:paraId="0BB2E7CD" w14:textId="77777777" w:rsidR="00361651" w:rsidRDefault="00361651" w:rsidP="009709A2">
            <w:pPr>
              <w:pStyle w:val="IASBTableArial"/>
              <w:jc w:val="right"/>
            </w:pPr>
            <w:r>
              <w:t>16</w:t>
            </w:r>
          </w:p>
        </w:tc>
        <w:tc>
          <w:tcPr>
            <w:tcW w:w="273" w:type="dxa"/>
            <w:tcBorders>
              <w:top w:val="nil"/>
              <w:left w:val="nil"/>
            </w:tcBorders>
            <w:vAlign w:val="bottom"/>
          </w:tcPr>
          <w:p w14:paraId="0BB2E7CE" w14:textId="77777777" w:rsidR="00361651" w:rsidRDefault="00361651" w:rsidP="009709A2">
            <w:pPr>
              <w:pStyle w:val="IASBTableArial"/>
            </w:pPr>
          </w:p>
        </w:tc>
        <w:tc>
          <w:tcPr>
            <w:tcW w:w="728" w:type="dxa"/>
            <w:tcBorders>
              <w:top w:val="nil"/>
              <w:left w:val="nil"/>
            </w:tcBorders>
          </w:tcPr>
          <w:p w14:paraId="0BB2E7CF" w14:textId="77777777" w:rsidR="00361651" w:rsidRDefault="00361651" w:rsidP="009709A2">
            <w:pPr>
              <w:pStyle w:val="IASBTableArial"/>
              <w:jc w:val="right"/>
            </w:pPr>
            <w:r>
              <w:t>34</w:t>
            </w:r>
          </w:p>
        </w:tc>
        <w:tc>
          <w:tcPr>
            <w:tcW w:w="273" w:type="dxa"/>
            <w:tcBorders>
              <w:top w:val="nil"/>
              <w:left w:val="nil"/>
            </w:tcBorders>
            <w:vAlign w:val="bottom"/>
          </w:tcPr>
          <w:p w14:paraId="0BB2E7D0" w14:textId="77777777" w:rsidR="00361651" w:rsidRDefault="00361651" w:rsidP="009709A2">
            <w:pPr>
              <w:pStyle w:val="IASBTableArial"/>
            </w:pPr>
          </w:p>
        </w:tc>
        <w:tc>
          <w:tcPr>
            <w:tcW w:w="728" w:type="dxa"/>
            <w:tcBorders>
              <w:top w:val="nil"/>
              <w:left w:val="nil"/>
            </w:tcBorders>
          </w:tcPr>
          <w:p w14:paraId="0BB2E7D1" w14:textId="77777777" w:rsidR="00361651" w:rsidRDefault="00361651" w:rsidP="009709A2">
            <w:pPr>
              <w:pStyle w:val="IASBTableArial"/>
              <w:jc w:val="right"/>
            </w:pPr>
            <w:r>
              <w:t>22</w:t>
            </w:r>
          </w:p>
        </w:tc>
        <w:tc>
          <w:tcPr>
            <w:tcW w:w="273" w:type="dxa"/>
            <w:tcBorders>
              <w:top w:val="nil"/>
              <w:left w:val="nil"/>
            </w:tcBorders>
          </w:tcPr>
          <w:p w14:paraId="0BB2E7D2" w14:textId="77777777" w:rsidR="00361651" w:rsidRDefault="00361651" w:rsidP="009709A2">
            <w:pPr>
              <w:pStyle w:val="IASBTableArial"/>
              <w:jc w:val="right"/>
            </w:pPr>
          </w:p>
        </w:tc>
        <w:tc>
          <w:tcPr>
            <w:tcW w:w="728" w:type="dxa"/>
            <w:tcBorders>
              <w:top w:val="nil"/>
              <w:left w:val="nil"/>
            </w:tcBorders>
          </w:tcPr>
          <w:p w14:paraId="0BB2E7D3" w14:textId="77777777" w:rsidR="00361651" w:rsidRDefault="00361651" w:rsidP="009709A2">
            <w:pPr>
              <w:pStyle w:val="IASBTableArial"/>
              <w:jc w:val="right"/>
            </w:pPr>
            <w:r>
              <w:t>105</w:t>
            </w:r>
          </w:p>
        </w:tc>
        <w:tc>
          <w:tcPr>
            <w:tcW w:w="273" w:type="dxa"/>
            <w:tcBorders>
              <w:top w:val="nil"/>
              <w:left w:val="nil"/>
            </w:tcBorders>
            <w:vAlign w:val="bottom"/>
          </w:tcPr>
          <w:p w14:paraId="0BB2E7D4" w14:textId="77777777" w:rsidR="00361651" w:rsidRDefault="00361651" w:rsidP="009709A2">
            <w:pPr>
              <w:pStyle w:val="IASBTableArial"/>
            </w:pPr>
          </w:p>
        </w:tc>
        <w:tc>
          <w:tcPr>
            <w:tcW w:w="728" w:type="dxa"/>
            <w:tcBorders>
              <w:top w:val="nil"/>
              <w:left w:val="nil"/>
            </w:tcBorders>
            <w:vAlign w:val="bottom"/>
          </w:tcPr>
          <w:p w14:paraId="0BB2E7D5" w14:textId="77777777" w:rsidR="00361651" w:rsidRDefault="00361651" w:rsidP="009709A2">
            <w:pPr>
              <w:pStyle w:val="IASBTableArial"/>
              <w:jc w:val="right"/>
            </w:pPr>
            <w:r>
              <w:t>69</w:t>
            </w:r>
          </w:p>
        </w:tc>
      </w:tr>
      <w:tr w:rsidR="00361651" w14:paraId="0BB2E7E8" w14:textId="77777777" w:rsidTr="009709A2">
        <w:trPr>
          <w:cantSplit/>
        </w:trPr>
        <w:tc>
          <w:tcPr>
            <w:tcW w:w="840" w:type="dxa"/>
            <w:tcBorders>
              <w:top w:val="nil"/>
            </w:tcBorders>
          </w:tcPr>
          <w:p w14:paraId="0BB2E7D7" w14:textId="77777777" w:rsidR="00361651" w:rsidRDefault="00361651" w:rsidP="009709A2">
            <w:pPr>
              <w:pStyle w:val="IASBTableArial"/>
            </w:pPr>
            <w:r>
              <w:t>4</w:t>
            </w:r>
          </w:p>
        </w:tc>
        <w:tc>
          <w:tcPr>
            <w:tcW w:w="273" w:type="dxa"/>
            <w:tcBorders>
              <w:top w:val="nil"/>
              <w:left w:val="nil"/>
            </w:tcBorders>
          </w:tcPr>
          <w:p w14:paraId="0BB2E7D8" w14:textId="77777777" w:rsidR="00361651" w:rsidRDefault="00361651" w:rsidP="009709A2">
            <w:pPr>
              <w:pStyle w:val="IASBTableArial"/>
            </w:pPr>
          </w:p>
        </w:tc>
        <w:tc>
          <w:tcPr>
            <w:tcW w:w="728" w:type="dxa"/>
            <w:tcBorders>
              <w:top w:val="nil"/>
              <w:left w:val="nil"/>
            </w:tcBorders>
          </w:tcPr>
          <w:p w14:paraId="0BB2E7D9" w14:textId="77777777" w:rsidR="00361651" w:rsidRDefault="00361651" w:rsidP="009709A2">
            <w:pPr>
              <w:pStyle w:val="IASBTableArial"/>
              <w:jc w:val="right"/>
            </w:pPr>
            <w:r>
              <w:t>42</w:t>
            </w:r>
          </w:p>
        </w:tc>
        <w:tc>
          <w:tcPr>
            <w:tcW w:w="273" w:type="dxa"/>
            <w:tcBorders>
              <w:top w:val="nil"/>
              <w:left w:val="nil"/>
            </w:tcBorders>
          </w:tcPr>
          <w:p w14:paraId="0BB2E7DA" w14:textId="77777777" w:rsidR="00361651" w:rsidRDefault="00361651" w:rsidP="009709A2">
            <w:pPr>
              <w:pStyle w:val="IASBTableArial"/>
            </w:pPr>
          </w:p>
        </w:tc>
        <w:tc>
          <w:tcPr>
            <w:tcW w:w="728" w:type="dxa"/>
            <w:tcBorders>
              <w:top w:val="nil"/>
              <w:left w:val="nil"/>
            </w:tcBorders>
          </w:tcPr>
          <w:p w14:paraId="0BB2E7DB" w14:textId="77777777" w:rsidR="00361651" w:rsidRDefault="00361651" w:rsidP="009709A2">
            <w:pPr>
              <w:pStyle w:val="IASBTableArial"/>
              <w:jc w:val="right"/>
            </w:pPr>
            <w:r>
              <w:t>24</w:t>
            </w:r>
          </w:p>
        </w:tc>
        <w:tc>
          <w:tcPr>
            <w:tcW w:w="273" w:type="dxa"/>
            <w:tcBorders>
              <w:top w:val="nil"/>
              <w:left w:val="nil"/>
            </w:tcBorders>
          </w:tcPr>
          <w:p w14:paraId="0BB2E7DC" w14:textId="77777777" w:rsidR="00361651" w:rsidRDefault="00361651" w:rsidP="009709A2">
            <w:pPr>
              <w:pStyle w:val="IASBTableArial"/>
            </w:pPr>
          </w:p>
        </w:tc>
        <w:tc>
          <w:tcPr>
            <w:tcW w:w="728" w:type="dxa"/>
            <w:tcBorders>
              <w:top w:val="nil"/>
              <w:left w:val="nil"/>
            </w:tcBorders>
          </w:tcPr>
          <w:p w14:paraId="0BB2E7DD" w14:textId="77777777" w:rsidR="00361651" w:rsidRDefault="00361651" w:rsidP="009709A2">
            <w:pPr>
              <w:pStyle w:val="IASBTableArial"/>
              <w:jc w:val="right"/>
            </w:pPr>
            <w:r>
              <w:t>29</w:t>
            </w:r>
          </w:p>
        </w:tc>
        <w:tc>
          <w:tcPr>
            <w:tcW w:w="273" w:type="dxa"/>
            <w:tcBorders>
              <w:top w:val="nil"/>
              <w:left w:val="nil"/>
            </w:tcBorders>
          </w:tcPr>
          <w:p w14:paraId="0BB2E7DE" w14:textId="77777777" w:rsidR="00361651" w:rsidRDefault="00361651" w:rsidP="009709A2">
            <w:pPr>
              <w:pStyle w:val="IASBTableArial"/>
            </w:pPr>
          </w:p>
        </w:tc>
        <w:tc>
          <w:tcPr>
            <w:tcW w:w="728" w:type="dxa"/>
            <w:tcBorders>
              <w:top w:val="nil"/>
              <w:left w:val="nil"/>
            </w:tcBorders>
          </w:tcPr>
          <w:p w14:paraId="0BB2E7DF" w14:textId="77777777" w:rsidR="00361651" w:rsidRDefault="00361651" w:rsidP="009709A2">
            <w:pPr>
              <w:pStyle w:val="IASBTableArial"/>
              <w:jc w:val="right"/>
            </w:pPr>
            <w:r>
              <w:t>17</w:t>
            </w:r>
          </w:p>
        </w:tc>
        <w:tc>
          <w:tcPr>
            <w:tcW w:w="273" w:type="dxa"/>
            <w:tcBorders>
              <w:top w:val="nil"/>
              <w:left w:val="nil"/>
            </w:tcBorders>
            <w:vAlign w:val="bottom"/>
          </w:tcPr>
          <w:p w14:paraId="0BB2E7E0" w14:textId="77777777" w:rsidR="00361651" w:rsidRDefault="00361651" w:rsidP="009709A2">
            <w:pPr>
              <w:pStyle w:val="IASBTableArial"/>
            </w:pPr>
          </w:p>
        </w:tc>
        <w:tc>
          <w:tcPr>
            <w:tcW w:w="728" w:type="dxa"/>
            <w:tcBorders>
              <w:top w:val="nil"/>
              <w:left w:val="nil"/>
            </w:tcBorders>
          </w:tcPr>
          <w:p w14:paraId="0BB2E7E1" w14:textId="77777777" w:rsidR="00361651" w:rsidRDefault="00361651" w:rsidP="009709A2">
            <w:pPr>
              <w:pStyle w:val="IASBTableArial"/>
              <w:jc w:val="right"/>
            </w:pPr>
            <w:r>
              <w:t>44</w:t>
            </w:r>
          </w:p>
        </w:tc>
        <w:tc>
          <w:tcPr>
            <w:tcW w:w="273" w:type="dxa"/>
            <w:tcBorders>
              <w:top w:val="nil"/>
              <w:left w:val="nil"/>
            </w:tcBorders>
            <w:vAlign w:val="bottom"/>
          </w:tcPr>
          <w:p w14:paraId="0BB2E7E2" w14:textId="77777777" w:rsidR="00361651" w:rsidRDefault="00361651" w:rsidP="009709A2">
            <w:pPr>
              <w:pStyle w:val="IASBTableArial"/>
            </w:pPr>
          </w:p>
        </w:tc>
        <w:tc>
          <w:tcPr>
            <w:tcW w:w="728" w:type="dxa"/>
            <w:tcBorders>
              <w:top w:val="nil"/>
              <w:left w:val="nil"/>
            </w:tcBorders>
          </w:tcPr>
          <w:p w14:paraId="0BB2E7E3" w14:textId="77777777" w:rsidR="00361651" w:rsidRDefault="00361651" w:rsidP="009709A2">
            <w:pPr>
              <w:pStyle w:val="IASBTableArial"/>
              <w:jc w:val="right"/>
            </w:pPr>
            <w:r>
              <w:t>25</w:t>
            </w:r>
          </w:p>
        </w:tc>
        <w:tc>
          <w:tcPr>
            <w:tcW w:w="273" w:type="dxa"/>
            <w:tcBorders>
              <w:top w:val="nil"/>
              <w:left w:val="nil"/>
            </w:tcBorders>
          </w:tcPr>
          <w:p w14:paraId="0BB2E7E4" w14:textId="77777777" w:rsidR="00361651" w:rsidRDefault="00361651" w:rsidP="009709A2">
            <w:pPr>
              <w:pStyle w:val="IASBTableArial"/>
              <w:jc w:val="right"/>
            </w:pPr>
          </w:p>
        </w:tc>
        <w:tc>
          <w:tcPr>
            <w:tcW w:w="728" w:type="dxa"/>
            <w:tcBorders>
              <w:top w:val="nil"/>
              <w:left w:val="nil"/>
            </w:tcBorders>
          </w:tcPr>
          <w:p w14:paraId="0BB2E7E5" w14:textId="77777777" w:rsidR="00361651" w:rsidRDefault="00361651" w:rsidP="009709A2">
            <w:pPr>
              <w:pStyle w:val="IASBTableArial"/>
              <w:jc w:val="right"/>
            </w:pPr>
            <w:r>
              <w:t>128</w:t>
            </w:r>
          </w:p>
        </w:tc>
        <w:tc>
          <w:tcPr>
            <w:tcW w:w="273" w:type="dxa"/>
            <w:tcBorders>
              <w:top w:val="nil"/>
              <w:left w:val="nil"/>
            </w:tcBorders>
            <w:vAlign w:val="bottom"/>
          </w:tcPr>
          <w:p w14:paraId="0BB2E7E6" w14:textId="77777777" w:rsidR="00361651" w:rsidRDefault="00361651" w:rsidP="009709A2">
            <w:pPr>
              <w:pStyle w:val="IASBTableArial"/>
            </w:pPr>
          </w:p>
        </w:tc>
        <w:tc>
          <w:tcPr>
            <w:tcW w:w="728" w:type="dxa"/>
            <w:tcBorders>
              <w:top w:val="nil"/>
              <w:left w:val="nil"/>
            </w:tcBorders>
            <w:vAlign w:val="bottom"/>
          </w:tcPr>
          <w:p w14:paraId="0BB2E7E7" w14:textId="77777777" w:rsidR="00361651" w:rsidRDefault="00361651" w:rsidP="009709A2">
            <w:pPr>
              <w:pStyle w:val="IASBTableArial"/>
              <w:jc w:val="right"/>
            </w:pPr>
            <w:r>
              <w:t>73</w:t>
            </w:r>
          </w:p>
        </w:tc>
      </w:tr>
      <w:tr w:rsidR="00361651" w14:paraId="0BB2E7FA" w14:textId="77777777" w:rsidTr="009709A2">
        <w:trPr>
          <w:cantSplit/>
        </w:trPr>
        <w:tc>
          <w:tcPr>
            <w:tcW w:w="840" w:type="dxa"/>
            <w:tcBorders>
              <w:top w:val="nil"/>
            </w:tcBorders>
          </w:tcPr>
          <w:p w14:paraId="0BB2E7E9" w14:textId="77777777" w:rsidR="00361651" w:rsidRDefault="00361651" w:rsidP="009709A2">
            <w:pPr>
              <w:pStyle w:val="IASBTableArial"/>
            </w:pPr>
            <w:r>
              <w:t>5</w:t>
            </w:r>
          </w:p>
        </w:tc>
        <w:tc>
          <w:tcPr>
            <w:tcW w:w="273" w:type="dxa"/>
            <w:tcBorders>
              <w:top w:val="nil"/>
              <w:left w:val="nil"/>
            </w:tcBorders>
          </w:tcPr>
          <w:p w14:paraId="0BB2E7EA" w14:textId="77777777" w:rsidR="00361651" w:rsidRDefault="00361651" w:rsidP="009709A2">
            <w:pPr>
              <w:pStyle w:val="IASBTableArial"/>
            </w:pPr>
          </w:p>
        </w:tc>
        <w:tc>
          <w:tcPr>
            <w:tcW w:w="728" w:type="dxa"/>
            <w:tcBorders>
              <w:top w:val="nil"/>
              <w:left w:val="nil"/>
            </w:tcBorders>
          </w:tcPr>
          <w:p w14:paraId="0BB2E7EB" w14:textId="77777777" w:rsidR="00361651" w:rsidRDefault="00361651" w:rsidP="009709A2">
            <w:pPr>
              <w:pStyle w:val="IASBTableArial"/>
              <w:jc w:val="right"/>
            </w:pPr>
            <w:r>
              <w:t>47</w:t>
            </w:r>
          </w:p>
        </w:tc>
        <w:tc>
          <w:tcPr>
            <w:tcW w:w="273" w:type="dxa"/>
            <w:tcBorders>
              <w:top w:val="nil"/>
              <w:left w:val="nil"/>
            </w:tcBorders>
          </w:tcPr>
          <w:p w14:paraId="0BB2E7EC" w14:textId="77777777" w:rsidR="00361651" w:rsidRDefault="00361651" w:rsidP="009709A2">
            <w:pPr>
              <w:pStyle w:val="IASBTableArial"/>
            </w:pPr>
          </w:p>
        </w:tc>
        <w:tc>
          <w:tcPr>
            <w:tcW w:w="728" w:type="dxa"/>
            <w:tcBorders>
              <w:top w:val="nil"/>
              <w:left w:val="nil"/>
            </w:tcBorders>
          </w:tcPr>
          <w:p w14:paraId="0BB2E7ED" w14:textId="77777777" w:rsidR="00361651" w:rsidRDefault="00361651" w:rsidP="009709A2">
            <w:pPr>
              <w:pStyle w:val="IASBTableArial"/>
              <w:jc w:val="right"/>
            </w:pPr>
            <w:r>
              <w:t>24</w:t>
            </w:r>
          </w:p>
        </w:tc>
        <w:tc>
          <w:tcPr>
            <w:tcW w:w="273" w:type="dxa"/>
            <w:tcBorders>
              <w:top w:val="nil"/>
              <w:left w:val="nil"/>
            </w:tcBorders>
          </w:tcPr>
          <w:p w14:paraId="0BB2E7EE" w14:textId="77777777" w:rsidR="00361651" w:rsidRDefault="00361651" w:rsidP="009709A2">
            <w:pPr>
              <w:pStyle w:val="IASBTableArial"/>
            </w:pPr>
          </w:p>
        </w:tc>
        <w:tc>
          <w:tcPr>
            <w:tcW w:w="728" w:type="dxa"/>
            <w:tcBorders>
              <w:top w:val="nil"/>
              <w:left w:val="nil"/>
            </w:tcBorders>
          </w:tcPr>
          <w:p w14:paraId="0BB2E7EF" w14:textId="77777777" w:rsidR="00361651" w:rsidRDefault="00361651" w:rsidP="009709A2">
            <w:pPr>
              <w:pStyle w:val="IASBTableArial"/>
              <w:jc w:val="right"/>
            </w:pPr>
            <w:r>
              <w:t>32</w:t>
            </w:r>
          </w:p>
        </w:tc>
        <w:tc>
          <w:tcPr>
            <w:tcW w:w="273" w:type="dxa"/>
            <w:tcBorders>
              <w:top w:val="nil"/>
              <w:left w:val="nil"/>
            </w:tcBorders>
          </w:tcPr>
          <w:p w14:paraId="0BB2E7F0" w14:textId="77777777" w:rsidR="00361651" w:rsidRDefault="00361651" w:rsidP="009709A2">
            <w:pPr>
              <w:pStyle w:val="IASBTableArial"/>
            </w:pPr>
          </w:p>
        </w:tc>
        <w:tc>
          <w:tcPr>
            <w:tcW w:w="728" w:type="dxa"/>
            <w:tcBorders>
              <w:top w:val="nil"/>
              <w:left w:val="nil"/>
            </w:tcBorders>
          </w:tcPr>
          <w:p w14:paraId="0BB2E7F1" w14:textId="77777777" w:rsidR="00361651" w:rsidRDefault="00361651" w:rsidP="009709A2">
            <w:pPr>
              <w:pStyle w:val="IASBTableArial"/>
              <w:jc w:val="right"/>
            </w:pPr>
            <w:r>
              <w:t>16</w:t>
            </w:r>
          </w:p>
        </w:tc>
        <w:tc>
          <w:tcPr>
            <w:tcW w:w="273" w:type="dxa"/>
            <w:tcBorders>
              <w:top w:val="nil"/>
              <w:left w:val="nil"/>
            </w:tcBorders>
            <w:vAlign w:val="bottom"/>
          </w:tcPr>
          <w:p w14:paraId="0BB2E7F2" w14:textId="77777777" w:rsidR="00361651" w:rsidRDefault="00361651" w:rsidP="009709A2">
            <w:pPr>
              <w:pStyle w:val="IASBTableArial"/>
            </w:pPr>
          </w:p>
        </w:tc>
        <w:tc>
          <w:tcPr>
            <w:tcW w:w="728" w:type="dxa"/>
            <w:tcBorders>
              <w:top w:val="nil"/>
              <w:left w:val="nil"/>
            </w:tcBorders>
          </w:tcPr>
          <w:p w14:paraId="0BB2E7F3" w14:textId="77777777" w:rsidR="00361651" w:rsidRDefault="00361651" w:rsidP="009709A2">
            <w:pPr>
              <w:pStyle w:val="IASBTableArial"/>
              <w:jc w:val="right"/>
            </w:pPr>
            <w:r>
              <w:t>51</w:t>
            </w:r>
          </w:p>
        </w:tc>
        <w:tc>
          <w:tcPr>
            <w:tcW w:w="273" w:type="dxa"/>
            <w:tcBorders>
              <w:top w:val="nil"/>
              <w:left w:val="nil"/>
            </w:tcBorders>
            <w:vAlign w:val="bottom"/>
          </w:tcPr>
          <w:p w14:paraId="0BB2E7F4" w14:textId="77777777" w:rsidR="00361651" w:rsidRDefault="00361651" w:rsidP="009709A2">
            <w:pPr>
              <w:pStyle w:val="IASBTableArial"/>
            </w:pPr>
          </w:p>
        </w:tc>
        <w:tc>
          <w:tcPr>
            <w:tcW w:w="728" w:type="dxa"/>
            <w:tcBorders>
              <w:top w:val="nil"/>
              <w:left w:val="nil"/>
            </w:tcBorders>
          </w:tcPr>
          <w:p w14:paraId="0BB2E7F5" w14:textId="77777777" w:rsidR="00361651" w:rsidRDefault="00361651" w:rsidP="009709A2">
            <w:pPr>
              <w:pStyle w:val="IASBTableArial"/>
              <w:jc w:val="right"/>
            </w:pPr>
            <w:r>
              <w:t>25</w:t>
            </w:r>
          </w:p>
        </w:tc>
        <w:tc>
          <w:tcPr>
            <w:tcW w:w="273" w:type="dxa"/>
            <w:tcBorders>
              <w:top w:val="nil"/>
              <w:left w:val="nil"/>
            </w:tcBorders>
          </w:tcPr>
          <w:p w14:paraId="0BB2E7F6" w14:textId="77777777" w:rsidR="00361651" w:rsidRDefault="00361651" w:rsidP="009709A2">
            <w:pPr>
              <w:pStyle w:val="IASBTableArial"/>
              <w:jc w:val="right"/>
            </w:pPr>
          </w:p>
        </w:tc>
        <w:tc>
          <w:tcPr>
            <w:tcW w:w="728" w:type="dxa"/>
            <w:tcBorders>
              <w:top w:val="nil"/>
              <w:left w:val="nil"/>
            </w:tcBorders>
          </w:tcPr>
          <w:p w14:paraId="0BB2E7F7" w14:textId="77777777" w:rsidR="00361651" w:rsidRDefault="00361651" w:rsidP="009709A2">
            <w:pPr>
              <w:pStyle w:val="IASBTableArial"/>
              <w:jc w:val="right"/>
            </w:pPr>
            <w:r>
              <w:t>143</w:t>
            </w:r>
          </w:p>
        </w:tc>
        <w:tc>
          <w:tcPr>
            <w:tcW w:w="273" w:type="dxa"/>
            <w:tcBorders>
              <w:top w:val="nil"/>
              <w:left w:val="nil"/>
            </w:tcBorders>
            <w:vAlign w:val="bottom"/>
          </w:tcPr>
          <w:p w14:paraId="0BB2E7F8" w14:textId="77777777" w:rsidR="00361651" w:rsidRDefault="00361651" w:rsidP="009709A2">
            <w:pPr>
              <w:pStyle w:val="IASBTableArial"/>
            </w:pPr>
          </w:p>
        </w:tc>
        <w:tc>
          <w:tcPr>
            <w:tcW w:w="728" w:type="dxa"/>
            <w:tcBorders>
              <w:top w:val="nil"/>
              <w:left w:val="nil"/>
            </w:tcBorders>
            <w:vAlign w:val="bottom"/>
          </w:tcPr>
          <w:p w14:paraId="0BB2E7F9" w14:textId="77777777" w:rsidR="00361651" w:rsidRDefault="00361651" w:rsidP="009709A2">
            <w:pPr>
              <w:pStyle w:val="IASBTableArial"/>
              <w:jc w:val="right"/>
            </w:pPr>
            <w:r>
              <w:t>71</w:t>
            </w:r>
          </w:p>
        </w:tc>
      </w:tr>
      <w:tr w:rsidR="00361651" w14:paraId="0BB2E80C" w14:textId="77777777" w:rsidTr="009709A2">
        <w:trPr>
          <w:cantSplit/>
        </w:trPr>
        <w:tc>
          <w:tcPr>
            <w:tcW w:w="840" w:type="dxa"/>
            <w:tcBorders>
              <w:top w:val="nil"/>
            </w:tcBorders>
          </w:tcPr>
          <w:p w14:paraId="0BB2E7FB" w14:textId="77777777" w:rsidR="00361651" w:rsidRDefault="00361651" w:rsidP="009709A2">
            <w:pPr>
              <w:pStyle w:val="IASBTableArial"/>
            </w:pPr>
            <w:r>
              <w:lastRenderedPageBreak/>
              <w:t>6</w:t>
            </w:r>
          </w:p>
        </w:tc>
        <w:tc>
          <w:tcPr>
            <w:tcW w:w="273" w:type="dxa"/>
            <w:tcBorders>
              <w:top w:val="nil"/>
              <w:left w:val="nil"/>
            </w:tcBorders>
          </w:tcPr>
          <w:p w14:paraId="0BB2E7FC" w14:textId="77777777" w:rsidR="00361651" w:rsidRDefault="00361651" w:rsidP="009709A2">
            <w:pPr>
              <w:pStyle w:val="IASBTableArial"/>
            </w:pPr>
          </w:p>
        </w:tc>
        <w:tc>
          <w:tcPr>
            <w:tcW w:w="728" w:type="dxa"/>
            <w:tcBorders>
              <w:top w:val="nil"/>
              <w:left w:val="nil"/>
            </w:tcBorders>
          </w:tcPr>
          <w:p w14:paraId="0BB2E7FD" w14:textId="77777777" w:rsidR="00361651" w:rsidRDefault="00361651" w:rsidP="009709A2">
            <w:pPr>
              <w:pStyle w:val="IASBTableArial"/>
              <w:jc w:val="right"/>
            </w:pPr>
            <w:r>
              <w:t>52</w:t>
            </w:r>
          </w:p>
        </w:tc>
        <w:tc>
          <w:tcPr>
            <w:tcW w:w="273" w:type="dxa"/>
            <w:tcBorders>
              <w:top w:val="nil"/>
              <w:left w:val="nil"/>
            </w:tcBorders>
          </w:tcPr>
          <w:p w14:paraId="0BB2E7FE" w14:textId="77777777" w:rsidR="00361651" w:rsidRDefault="00361651" w:rsidP="009709A2">
            <w:pPr>
              <w:pStyle w:val="IASBTableArial"/>
            </w:pPr>
          </w:p>
        </w:tc>
        <w:tc>
          <w:tcPr>
            <w:tcW w:w="728" w:type="dxa"/>
            <w:tcBorders>
              <w:top w:val="nil"/>
              <w:left w:val="nil"/>
            </w:tcBorders>
          </w:tcPr>
          <w:p w14:paraId="0BB2E7FF" w14:textId="77777777" w:rsidR="00361651" w:rsidRDefault="00361651" w:rsidP="009709A2">
            <w:pPr>
              <w:pStyle w:val="IASBTableArial"/>
              <w:jc w:val="right"/>
            </w:pPr>
            <w:r>
              <w:t>22</w:t>
            </w:r>
          </w:p>
        </w:tc>
        <w:tc>
          <w:tcPr>
            <w:tcW w:w="273" w:type="dxa"/>
            <w:tcBorders>
              <w:top w:val="nil"/>
              <w:left w:val="nil"/>
            </w:tcBorders>
          </w:tcPr>
          <w:p w14:paraId="0BB2E800" w14:textId="77777777" w:rsidR="00361651" w:rsidRDefault="00361651" w:rsidP="009709A2">
            <w:pPr>
              <w:pStyle w:val="IASBTableArial"/>
            </w:pPr>
          </w:p>
        </w:tc>
        <w:tc>
          <w:tcPr>
            <w:tcW w:w="728" w:type="dxa"/>
            <w:tcBorders>
              <w:top w:val="nil"/>
              <w:left w:val="nil"/>
            </w:tcBorders>
          </w:tcPr>
          <w:p w14:paraId="0BB2E801" w14:textId="77777777" w:rsidR="00361651" w:rsidRDefault="00361651" w:rsidP="009709A2">
            <w:pPr>
              <w:pStyle w:val="IASBTableArial"/>
              <w:jc w:val="right"/>
            </w:pPr>
            <w:r>
              <w:t>33</w:t>
            </w:r>
          </w:p>
        </w:tc>
        <w:tc>
          <w:tcPr>
            <w:tcW w:w="273" w:type="dxa"/>
            <w:tcBorders>
              <w:top w:val="nil"/>
              <w:left w:val="nil"/>
            </w:tcBorders>
          </w:tcPr>
          <w:p w14:paraId="0BB2E802" w14:textId="77777777" w:rsidR="00361651" w:rsidRDefault="00361651" w:rsidP="009709A2">
            <w:pPr>
              <w:pStyle w:val="IASBTableArial"/>
            </w:pPr>
          </w:p>
        </w:tc>
        <w:tc>
          <w:tcPr>
            <w:tcW w:w="728" w:type="dxa"/>
            <w:tcBorders>
              <w:top w:val="nil"/>
              <w:left w:val="nil"/>
            </w:tcBorders>
          </w:tcPr>
          <w:p w14:paraId="0BB2E803" w14:textId="77777777" w:rsidR="00361651" w:rsidRDefault="00361651" w:rsidP="009709A2">
            <w:pPr>
              <w:pStyle w:val="IASBTableArial"/>
              <w:jc w:val="right"/>
            </w:pPr>
            <w:r>
              <w:t>14</w:t>
            </w:r>
          </w:p>
        </w:tc>
        <w:tc>
          <w:tcPr>
            <w:tcW w:w="273" w:type="dxa"/>
            <w:tcBorders>
              <w:top w:val="nil"/>
              <w:left w:val="nil"/>
            </w:tcBorders>
            <w:vAlign w:val="bottom"/>
          </w:tcPr>
          <w:p w14:paraId="0BB2E804" w14:textId="77777777" w:rsidR="00361651" w:rsidRDefault="00361651" w:rsidP="009709A2">
            <w:pPr>
              <w:pStyle w:val="IASBTableArial"/>
            </w:pPr>
          </w:p>
        </w:tc>
        <w:tc>
          <w:tcPr>
            <w:tcW w:w="728" w:type="dxa"/>
            <w:tcBorders>
              <w:top w:val="nil"/>
              <w:left w:val="nil"/>
            </w:tcBorders>
          </w:tcPr>
          <w:p w14:paraId="0BB2E805" w14:textId="77777777" w:rsidR="00361651" w:rsidRDefault="00361651" w:rsidP="009709A2">
            <w:pPr>
              <w:pStyle w:val="IASBTableArial"/>
              <w:jc w:val="right"/>
            </w:pPr>
            <w:r>
              <w:t>56</w:t>
            </w:r>
          </w:p>
        </w:tc>
        <w:tc>
          <w:tcPr>
            <w:tcW w:w="273" w:type="dxa"/>
            <w:tcBorders>
              <w:top w:val="nil"/>
              <w:left w:val="nil"/>
            </w:tcBorders>
            <w:vAlign w:val="bottom"/>
          </w:tcPr>
          <w:p w14:paraId="0BB2E806" w14:textId="77777777" w:rsidR="00361651" w:rsidRDefault="00361651" w:rsidP="009709A2">
            <w:pPr>
              <w:pStyle w:val="IASBTableArial"/>
            </w:pPr>
          </w:p>
        </w:tc>
        <w:tc>
          <w:tcPr>
            <w:tcW w:w="728" w:type="dxa"/>
            <w:tcBorders>
              <w:top w:val="nil"/>
              <w:left w:val="nil"/>
            </w:tcBorders>
          </w:tcPr>
          <w:p w14:paraId="0BB2E807" w14:textId="77777777" w:rsidR="00361651" w:rsidRDefault="00361651" w:rsidP="009709A2">
            <w:pPr>
              <w:pStyle w:val="IASBTableArial"/>
              <w:jc w:val="right"/>
            </w:pPr>
            <w:r>
              <w:t>24</w:t>
            </w:r>
          </w:p>
        </w:tc>
        <w:tc>
          <w:tcPr>
            <w:tcW w:w="273" w:type="dxa"/>
            <w:tcBorders>
              <w:top w:val="nil"/>
              <w:left w:val="nil"/>
            </w:tcBorders>
          </w:tcPr>
          <w:p w14:paraId="0BB2E808" w14:textId="77777777" w:rsidR="00361651" w:rsidRDefault="00361651" w:rsidP="009709A2">
            <w:pPr>
              <w:pStyle w:val="IASBTableArial"/>
              <w:jc w:val="right"/>
            </w:pPr>
          </w:p>
        </w:tc>
        <w:tc>
          <w:tcPr>
            <w:tcW w:w="728" w:type="dxa"/>
            <w:tcBorders>
              <w:top w:val="nil"/>
              <w:left w:val="nil"/>
            </w:tcBorders>
          </w:tcPr>
          <w:p w14:paraId="0BB2E809" w14:textId="77777777" w:rsidR="00361651" w:rsidRDefault="00361651" w:rsidP="009709A2">
            <w:pPr>
              <w:pStyle w:val="IASBTableArial"/>
              <w:jc w:val="right"/>
            </w:pPr>
            <w:r>
              <w:t>155</w:t>
            </w:r>
          </w:p>
        </w:tc>
        <w:tc>
          <w:tcPr>
            <w:tcW w:w="273" w:type="dxa"/>
            <w:tcBorders>
              <w:top w:val="nil"/>
              <w:left w:val="nil"/>
            </w:tcBorders>
            <w:vAlign w:val="bottom"/>
          </w:tcPr>
          <w:p w14:paraId="0BB2E80A" w14:textId="77777777" w:rsidR="00361651" w:rsidRDefault="00361651" w:rsidP="009709A2">
            <w:pPr>
              <w:pStyle w:val="IASBTableArial"/>
            </w:pPr>
          </w:p>
        </w:tc>
        <w:tc>
          <w:tcPr>
            <w:tcW w:w="728" w:type="dxa"/>
            <w:tcBorders>
              <w:top w:val="nil"/>
              <w:left w:val="nil"/>
            </w:tcBorders>
            <w:vAlign w:val="bottom"/>
          </w:tcPr>
          <w:p w14:paraId="0BB2E80B" w14:textId="77777777" w:rsidR="00361651" w:rsidRDefault="00361651" w:rsidP="009709A2">
            <w:pPr>
              <w:pStyle w:val="IASBTableArial"/>
              <w:jc w:val="right"/>
            </w:pPr>
            <w:r>
              <w:t>67</w:t>
            </w:r>
          </w:p>
        </w:tc>
      </w:tr>
      <w:tr w:rsidR="00361651" w14:paraId="0BB2E81E" w14:textId="77777777" w:rsidTr="009709A2">
        <w:trPr>
          <w:cantSplit/>
        </w:trPr>
        <w:tc>
          <w:tcPr>
            <w:tcW w:w="840" w:type="dxa"/>
            <w:tcBorders>
              <w:top w:val="nil"/>
            </w:tcBorders>
          </w:tcPr>
          <w:p w14:paraId="0BB2E80D" w14:textId="77777777" w:rsidR="00361651" w:rsidRDefault="00361651" w:rsidP="009709A2">
            <w:pPr>
              <w:pStyle w:val="IASBTableArial"/>
            </w:pPr>
            <w:r>
              <w:t>7</w:t>
            </w:r>
          </w:p>
        </w:tc>
        <w:tc>
          <w:tcPr>
            <w:tcW w:w="273" w:type="dxa"/>
            <w:tcBorders>
              <w:top w:val="nil"/>
              <w:left w:val="nil"/>
            </w:tcBorders>
          </w:tcPr>
          <w:p w14:paraId="0BB2E80E" w14:textId="77777777" w:rsidR="00361651" w:rsidRDefault="00361651" w:rsidP="009709A2">
            <w:pPr>
              <w:pStyle w:val="IASBTableArial"/>
            </w:pPr>
          </w:p>
        </w:tc>
        <w:tc>
          <w:tcPr>
            <w:tcW w:w="728" w:type="dxa"/>
            <w:tcBorders>
              <w:top w:val="nil"/>
              <w:left w:val="nil"/>
            </w:tcBorders>
          </w:tcPr>
          <w:p w14:paraId="0BB2E80F" w14:textId="77777777" w:rsidR="00361651" w:rsidRDefault="00361651" w:rsidP="009709A2">
            <w:pPr>
              <w:pStyle w:val="IASBTableArial"/>
              <w:jc w:val="right"/>
            </w:pPr>
            <w:r>
              <w:t>55</w:t>
            </w:r>
          </w:p>
        </w:tc>
        <w:tc>
          <w:tcPr>
            <w:tcW w:w="273" w:type="dxa"/>
            <w:tcBorders>
              <w:top w:val="nil"/>
              <w:left w:val="nil"/>
            </w:tcBorders>
          </w:tcPr>
          <w:p w14:paraId="0BB2E810" w14:textId="77777777" w:rsidR="00361651" w:rsidRDefault="00361651" w:rsidP="009709A2">
            <w:pPr>
              <w:pStyle w:val="IASBTableArial"/>
            </w:pPr>
          </w:p>
        </w:tc>
        <w:tc>
          <w:tcPr>
            <w:tcW w:w="728" w:type="dxa"/>
            <w:tcBorders>
              <w:top w:val="nil"/>
              <w:left w:val="nil"/>
            </w:tcBorders>
          </w:tcPr>
          <w:p w14:paraId="0BB2E811" w14:textId="77777777" w:rsidR="00361651" w:rsidRDefault="00361651" w:rsidP="009709A2">
            <w:pPr>
              <w:pStyle w:val="IASBTableArial"/>
              <w:jc w:val="right"/>
            </w:pPr>
            <w:r>
              <w:t>21</w:t>
            </w:r>
          </w:p>
        </w:tc>
        <w:tc>
          <w:tcPr>
            <w:tcW w:w="273" w:type="dxa"/>
            <w:tcBorders>
              <w:top w:val="nil"/>
              <w:left w:val="nil"/>
            </w:tcBorders>
          </w:tcPr>
          <w:p w14:paraId="0BB2E812" w14:textId="77777777" w:rsidR="00361651" w:rsidRDefault="00361651" w:rsidP="009709A2">
            <w:pPr>
              <w:pStyle w:val="IASBTableArial"/>
            </w:pPr>
          </w:p>
        </w:tc>
        <w:tc>
          <w:tcPr>
            <w:tcW w:w="728" w:type="dxa"/>
            <w:tcBorders>
              <w:top w:val="nil"/>
              <w:left w:val="nil"/>
            </w:tcBorders>
          </w:tcPr>
          <w:p w14:paraId="0BB2E813" w14:textId="77777777" w:rsidR="00361651" w:rsidRDefault="00361651" w:rsidP="009709A2">
            <w:pPr>
              <w:pStyle w:val="IASBTableArial"/>
              <w:jc w:val="right"/>
            </w:pPr>
            <w:r>
              <w:t>34</w:t>
            </w:r>
          </w:p>
        </w:tc>
        <w:tc>
          <w:tcPr>
            <w:tcW w:w="273" w:type="dxa"/>
            <w:tcBorders>
              <w:top w:val="nil"/>
              <w:left w:val="nil"/>
            </w:tcBorders>
          </w:tcPr>
          <w:p w14:paraId="0BB2E814" w14:textId="77777777" w:rsidR="00361651" w:rsidRDefault="00361651" w:rsidP="009709A2">
            <w:pPr>
              <w:pStyle w:val="IASBTableArial"/>
            </w:pPr>
          </w:p>
        </w:tc>
        <w:tc>
          <w:tcPr>
            <w:tcW w:w="728" w:type="dxa"/>
            <w:tcBorders>
              <w:top w:val="nil"/>
              <w:left w:val="nil"/>
            </w:tcBorders>
          </w:tcPr>
          <w:p w14:paraId="0BB2E815" w14:textId="77777777" w:rsidR="00361651" w:rsidRDefault="00361651" w:rsidP="009709A2">
            <w:pPr>
              <w:pStyle w:val="IASBTableArial"/>
              <w:jc w:val="right"/>
            </w:pPr>
            <w:r>
              <w:t>13</w:t>
            </w:r>
          </w:p>
        </w:tc>
        <w:tc>
          <w:tcPr>
            <w:tcW w:w="273" w:type="dxa"/>
            <w:tcBorders>
              <w:top w:val="nil"/>
              <w:left w:val="nil"/>
            </w:tcBorders>
            <w:vAlign w:val="bottom"/>
          </w:tcPr>
          <w:p w14:paraId="0BB2E816" w14:textId="77777777" w:rsidR="00361651" w:rsidRDefault="00361651" w:rsidP="009709A2">
            <w:pPr>
              <w:pStyle w:val="IASBTableArial"/>
            </w:pPr>
          </w:p>
        </w:tc>
        <w:tc>
          <w:tcPr>
            <w:tcW w:w="728" w:type="dxa"/>
            <w:tcBorders>
              <w:top w:val="nil"/>
              <w:left w:val="nil"/>
            </w:tcBorders>
          </w:tcPr>
          <w:p w14:paraId="0BB2E817" w14:textId="77777777" w:rsidR="00361651" w:rsidRDefault="00361651" w:rsidP="009709A2">
            <w:pPr>
              <w:pStyle w:val="IASBTableArial"/>
              <w:jc w:val="right"/>
            </w:pPr>
            <w:r>
              <w:t>60</w:t>
            </w:r>
          </w:p>
        </w:tc>
        <w:tc>
          <w:tcPr>
            <w:tcW w:w="273" w:type="dxa"/>
            <w:tcBorders>
              <w:top w:val="nil"/>
              <w:left w:val="nil"/>
            </w:tcBorders>
            <w:vAlign w:val="bottom"/>
          </w:tcPr>
          <w:p w14:paraId="0BB2E818" w14:textId="77777777" w:rsidR="00361651" w:rsidRDefault="00361651" w:rsidP="009709A2">
            <w:pPr>
              <w:pStyle w:val="IASBTableArial"/>
            </w:pPr>
          </w:p>
        </w:tc>
        <w:tc>
          <w:tcPr>
            <w:tcW w:w="728" w:type="dxa"/>
            <w:tcBorders>
              <w:top w:val="nil"/>
              <w:left w:val="nil"/>
            </w:tcBorders>
          </w:tcPr>
          <w:p w14:paraId="0BB2E819" w14:textId="77777777" w:rsidR="00361651" w:rsidRDefault="00361651" w:rsidP="009709A2">
            <w:pPr>
              <w:pStyle w:val="IASBTableArial"/>
              <w:jc w:val="right"/>
            </w:pPr>
            <w:r>
              <w:t>22</w:t>
            </w:r>
          </w:p>
        </w:tc>
        <w:tc>
          <w:tcPr>
            <w:tcW w:w="273" w:type="dxa"/>
            <w:tcBorders>
              <w:top w:val="nil"/>
              <w:left w:val="nil"/>
            </w:tcBorders>
          </w:tcPr>
          <w:p w14:paraId="0BB2E81A" w14:textId="77777777" w:rsidR="00361651" w:rsidRDefault="00361651" w:rsidP="009709A2">
            <w:pPr>
              <w:pStyle w:val="IASBTableArial"/>
              <w:jc w:val="right"/>
            </w:pPr>
          </w:p>
        </w:tc>
        <w:tc>
          <w:tcPr>
            <w:tcW w:w="728" w:type="dxa"/>
            <w:tcBorders>
              <w:top w:val="nil"/>
              <w:left w:val="nil"/>
            </w:tcBorders>
          </w:tcPr>
          <w:p w14:paraId="0BB2E81B" w14:textId="77777777" w:rsidR="00361651" w:rsidRDefault="00361651" w:rsidP="009709A2">
            <w:pPr>
              <w:pStyle w:val="IASBTableArial"/>
              <w:jc w:val="right"/>
            </w:pPr>
            <w:r>
              <w:t>162</w:t>
            </w:r>
          </w:p>
        </w:tc>
        <w:tc>
          <w:tcPr>
            <w:tcW w:w="273" w:type="dxa"/>
            <w:tcBorders>
              <w:top w:val="nil"/>
              <w:left w:val="nil"/>
            </w:tcBorders>
            <w:vAlign w:val="bottom"/>
          </w:tcPr>
          <w:p w14:paraId="0BB2E81C" w14:textId="77777777" w:rsidR="00361651" w:rsidRDefault="00361651" w:rsidP="009709A2">
            <w:pPr>
              <w:pStyle w:val="IASBTableArial"/>
            </w:pPr>
          </w:p>
        </w:tc>
        <w:tc>
          <w:tcPr>
            <w:tcW w:w="728" w:type="dxa"/>
            <w:tcBorders>
              <w:top w:val="nil"/>
              <w:left w:val="nil"/>
            </w:tcBorders>
            <w:vAlign w:val="bottom"/>
          </w:tcPr>
          <w:p w14:paraId="0BB2E81D" w14:textId="77777777" w:rsidR="00361651" w:rsidRDefault="00361651" w:rsidP="009709A2">
            <w:pPr>
              <w:pStyle w:val="IASBTableArial"/>
              <w:jc w:val="right"/>
            </w:pPr>
            <w:r>
              <w:t>61</w:t>
            </w:r>
          </w:p>
        </w:tc>
      </w:tr>
      <w:tr w:rsidR="00361651" w14:paraId="0BB2E830" w14:textId="77777777" w:rsidTr="009709A2">
        <w:trPr>
          <w:cantSplit/>
        </w:trPr>
        <w:tc>
          <w:tcPr>
            <w:tcW w:w="840" w:type="dxa"/>
            <w:tcBorders>
              <w:top w:val="nil"/>
            </w:tcBorders>
          </w:tcPr>
          <w:p w14:paraId="0BB2E81F" w14:textId="77777777" w:rsidR="00361651" w:rsidRDefault="00361651" w:rsidP="009709A2">
            <w:pPr>
              <w:pStyle w:val="IASBTableArial"/>
            </w:pPr>
            <w:r>
              <w:t>8</w:t>
            </w:r>
          </w:p>
        </w:tc>
        <w:tc>
          <w:tcPr>
            <w:tcW w:w="273" w:type="dxa"/>
            <w:tcBorders>
              <w:top w:val="nil"/>
              <w:left w:val="nil"/>
            </w:tcBorders>
          </w:tcPr>
          <w:p w14:paraId="0BB2E820" w14:textId="77777777" w:rsidR="00361651" w:rsidRDefault="00361651" w:rsidP="009709A2">
            <w:pPr>
              <w:pStyle w:val="IASBTableArial"/>
            </w:pPr>
          </w:p>
        </w:tc>
        <w:tc>
          <w:tcPr>
            <w:tcW w:w="728" w:type="dxa"/>
            <w:tcBorders>
              <w:top w:val="nil"/>
              <w:left w:val="nil"/>
            </w:tcBorders>
          </w:tcPr>
          <w:p w14:paraId="0BB2E821" w14:textId="77777777" w:rsidR="00361651" w:rsidRDefault="00361651" w:rsidP="009709A2">
            <w:pPr>
              <w:pStyle w:val="IASBTableArial"/>
              <w:jc w:val="right"/>
            </w:pPr>
            <w:r>
              <w:t>55</w:t>
            </w:r>
          </w:p>
        </w:tc>
        <w:tc>
          <w:tcPr>
            <w:tcW w:w="273" w:type="dxa"/>
            <w:tcBorders>
              <w:top w:val="nil"/>
              <w:left w:val="nil"/>
            </w:tcBorders>
          </w:tcPr>
          <w:p w14:paraId="0BB2E822" w14:textId="77777777" w:rsidR="00361651" w:rsidRDefault="00361651" w:rsidP="009709A2">
            <w:pPr>
              <w:pStyle w:val="IASBTableArial"/>
            </w:pPr>
          </w:p>
        </w:tc>
        <w:tc>
          <w:tcPr>
            <w:tcW w:w="728" w:type="dxa"/>
            <w:tcBorders>
              <w:top w:val="nil"/>
              <w:left w:val="nil"/>
            </w:tcBorders>
          </w:tcPr>
          <w:p w14:paraId="0BB2E823" w14:textId="77777777" w:rsidR="00361651" w:rsidRDefault="00361651" w:rsidP="009709A2">
            <w:pPr>
              <w:pStyle w:val="IASBTableArial"/>
              <w:jc w:val="right"/>
            </w:pPr>
            <w:r>
              <w:t>18</w:t>
            </w:r>
          </w:p>
        </w:tc>
        <w:tc>
          <w:tcPr>
            <w:tcW w:w="273" w:type="dxa"/>
            <w:tcBorders>
              <w:top w:val="nil"/>
              <w:left w:val="nil"/>
            </w:tcBorders>
          </w:tcPr>
          <w:p w14:paraId="0BB2E824" w14:textId="77777777" w:rsidR="00361651" w:rsidRDefault="00361651" w:rsidP="009709A2">
            <w:pPr>
              <w:pStyle w:val="IASBTableArial"/>
            </w:pPr>
          </w:p>
        </w:tc>
        <w:tc>
          <w:tcPr>
            <w:tcW w:w="728" w:type="dxa"/>
            <w:tcBorders>
              <w:top w:val="nil"/>
              <w:left w:val="nil"/>
            </w:tcBorders>
          </w:tcPr>
          <w:p w14:paraId="0BB2E825" w14:textId="77777777" w:rsidR="00361651" w:rsidRDefault="00361651" w:rsidP="009709A2">
            <w:pPr>
              <w:pStyle w:val="IASBTableArial"/>
              <w:jc w:val="right"/>
            </w:pPr>
            <w:r>
              <w:t>35</w:t>
            </w:r>
          </w:p>
        </w:tc>
        <w:tc>
          <w:tcPr>
            <w:tcW w:w="273" w:type="dxa"/>
            <w:tcBorders>
              <w:top w:val="nil"/>
              <w:left w:val="nil"/>
            </w:tcBorders>
          </w:tcPr>
          <w:p w14:paraId="0BB2E826" w14:textId="77777777" w:rsidR="00361651" w:rsidRDefault="00361651" w:rsidP="009709A2">
            <w:pPr>
              <w:pStyle w:val="IASBTableArial"/>
            </w:pPr>
          </w:p>
        </w:tc>
        <w:tc>
          <w:tcPr>
            <w:tcW w:w="728" w:type="dxa"/>
            <w:tcBorders>
              <w:top w:val="nil"/>
              <w:left w:val="nil"/>
            </w:tcBorders>
          </w:tcPr>
          <w:p w14:paraId="0BB2E827" w14:textId="77777777" w:rsidR="00361651" w:rsidRDefault="00361651" w:rsidP="009709A2">
            <w:pPr>
              <w:pStyle w:val="IASBTableArial"/>
              <w:jc w:val="right"/>
            </w:pPr>
            <w:r>
              <w:t>11</w:t>
            </w:r>
          </w:p>
        </w:tc>
        <w:tc>
          <w:tcPr>
            <w:tcW w:w="273" w:type="dxa"/>
            <w:tcBorders>
              <w:top w:val="nil"/>
              <w:left w:val="nil"/>
            </w:tcBorders>
            <w:vAlign w:val="bottom"/>
          </w:tcPr>
          <w:p w14:paraId="0BB2E828" w14:textId="77777777" w:rsidR="00361651" w:rsidRDefault="00361651" w:rsidP="009709A2">
            <w:pPr>
              <w:pStyle w:val="IASBTableArial"/>
            </w:pPr>
          </w:p>
        </w:tc>
        <w:tc>
          <w:tcPr>
            <w:tcW w:w="728" w:type="dxa"/>
            <w:tcBorders>
              <w:top w:val="nil"/>
              <w:left w:val="nil"/>
            </w:tcBorders>
          </w:tcPr>
          <w:p w14:paraId="0BB2E829" w14:textId="77777777" w:rsidR="00361651" w:rsidRDefault="00361651" w:rsidP="009709A2">
            <w:pPr>
              <w:pStyle w:val="IASBTableArial"/>
              <w:jc w:val="right"/>
            </w:pPr>
            <w:r>
              <w:t>63</w:t>
            </w:r>
          </w:p>
        </w:tc>
        <w:tc>
          <w:tcPr>
            <w:tcW w:w="273" w:type="dxa"/>
            <w:tcBorders>
              <w:top w:val="nil"/>
              <w:left w:val="nil"/>
            </w:tcBorders>
            <w:vAlign w:val="bottom"/>
          </w:tcPr>
          <w:p w14:paraId="0BB2E82A" w14:textId="77777777" w:rsidR="00361651" w:rsidRDefault="00361651" w:rsidP="009709A2">
            <w:pPr>
              <w:pStyle w:val="IASBTableArial"/>
            </w:pPr>
          </w:p>
        </w:tc>
        <w:tc>
          <w:tcPr>
            <w:tcW w:w="728" w:type="dxa"/>
            <w:tcBorders>
              <w:top w:val="nil"/>
              <w:left w:val="nil"/>
            </w:tcBorders>
          </w:tcPr>
          <w:p w14:paraId="0BB2E82B" w14:textId="77777777" w:rsidR="00361651" w:rsidRDefault="00361651" w:rsidP="009709A2">
            <w:pPr>
              <w:pStyle w:val="IASBTableArial"/>
              <w:jc w:val="right"/>
            </w:pPr>
            <w:r>
              <w:t>21</w:t>
            </w:r>
          </w:p>
        </w:tc>
        <w:tc>
          <w:tcPr>
            <w:tcW w:w="273" w:type="dxa"/>
            <w:tcBorders>
              <w:top w:val="nil"/>
              <w:left w:val="nil"/>
            </w:tcBorders>
          </w:tcPr>
          <w:p w14:paraId="0BB2E82C" w14:textId="77777777" w:rsidR="00361651" w:rsidRDefault="00361651" w:rsidP="009709A2">
            <w:pPr>
              <w:pStyle w:val="IASBTableArial"/>
              <w:jc w:val="right"/>
            </w:pPr>
          </w:p>
        </w:tc>
        <w:tc>
          <w:tcPr>
            <w:tcW w:w="728" w:type="dxa"/>
            <w:tcBorders>
              <w:top w:val="nil"/>
              <w:left w:val="nil"/>
            </w:tcBorders>
          </w:tcPr>
          <w:p w14:paraId="0BB2E82D" w14:textId="77777777" w:rsidR="00361651" w:rsidRDefault="00361651" w:rsidP="009709A2">
            <w:pPr>
              <w:pStyle w:val="IASBTableArial"/>
              <w:jc w:val="right"/>
            </w:pPr>
            <w:r>
              <w:t>166</w:t>
            </w:r>
          </w:p>
        </w:tc>
        <w:tc>
          <w:tcPr>
            <w:tcW w:w="273" w:type="dxa"/>
            <w:tcBorders>
              <w:top w:val="nil"/>
              <w:left w:val="nil"/>
            </w:tcBorders>
            <w:vAlign w:val="bottom"/>
          </w:tcPr>
          <w:p w14:paraId="0BB2E82E" w14:textId="77777777" w:rsidR="00361651" w:rsidRDefault="00361651" w:rsidP="009709A2">
            <w:pPr>
              <w:pStyle w:val="IASBTableArial"/>
            </w:pPr>
          </w:p>
        </w:tc>
        <w:tc>
          <w:tcPr>
            <w:tcW w:w="728" w:type="dxa"/>
            <w:tcBorders>
              <w:top w:val="nil"/>
              <w:left w:val="nil"/>
            </w:tcBorders>
            <w:vAlign w:val="bottom"/>
          </w:tcPr>
          <w:p w14:paraId="0BB2E82F" w14:textId="77777777" w:rsidR="00361651" w:rsidRDefault="00361651" w:rsidP="009709A2">
            <w:pPr>
              <w:pStyle w:val="IASBTableArial"/>
              <w:jc w:val="right"/>
            </w:pPr>
            <w:r>
              <w:t>54</w:t>
            </w:r>
          </w:p>
        </w:tc>
      </w:tr>
      <w:tr w:rsidR="00361651" w14:paraId="0BB2E842" w14:textId="77777777" w:rsidTr="009709A2">
        <w:trPr>
          <w:cantSplit/>
        </w:trPr>
        <w:tc>
          <w:tcPr>
            <w:tcW w:w="840" w:type="dxa"/>
            <w:tcBorders>
              <w:top w:val="nil"/>
            </w:tcBorders>
          </w:tcPr>
          <w:p w14:paraId="0BB2E831" w14:textId="77777777" w:rsidR="00361651" w:rsidRDefault="00361651" w:rsidP="009709A2">
            <w:pPr>
              <w:pStyle w:val="IASBTableArial"/>
            </w:pPr>
            <w:r>
              <w:t>9</w:t>
            </w:r>
          </w:p>
        </w:tc>
        <w:tc>
          <w:tcPr>
            <w:tcW w:w="273" w:type="dxa"/>
            <w:tcBorders>
              <w:top w:val="nil"/>
              <w:left w:val="nil"/>
            </w:tcBorders>
          </w:tcPr>
          <w:p w14:paraId="0BB2E832" w14:textId="77777777" w:rsidR="00361651" w:rsidRDefault="00361651" w:rsidP="009709A2">
            <w:pPr>
              <w:pStyle w:val="IASBTableArial"/>
            </w:pPr>
          </w:p>
        </w:tc>
        <w:tc>
          <w:tcPr>
            <w:tcW w:w="728" w:type="dxa"/>
            <w:tcBorders>
              <w:top w:val="nil"/>
              <w:left w:val="nil"/>
            </w:tcBorders>
          </w:tcPr>
          <w:p w14:paraId="0BB2E833" w14:textId="77777777" w:rsidR="00361651" w:rsidRDefault="00361651" w:rsidP="009709A2">
            <w:pPr>
              <w:pStyle w:val="IASBTableArial"/>
              <w:jc w:val="right"/>
            </w:pPr>
            <w:r>
              <w:t>53</w:t>
            </w:r>
          </w:p>
        </w:tc>
        <w:tc>
          <w:tcPr>
            <w:tcW w:w="273" w:type="dxa"/>
            <w:tcBorders>
              <w:top w:val="nil"/>
              <w:left w:val="nil"/>
            </w:tcBorders>
          </w:tcPr>
          <w:p w14:paraId="0BB2E834" w14:textId="77777777" w:rsidR="00361651" w:rsidRDefault="00361651" w:rsidP="009709A2">
            <w:pPr>
              <w:pStyle w:val="IASBTableArial"/>
            </w:pPr>
          </w:p>
        </w:tc>
        <w:tc>
          <w:tcPr>
            <w:tcW w:w="728" w:type="dxa"/>
            <w:tcBorders>
              <w:top w:val="nil"/>
              <w:left w:val="nil"/>
            </w:tcBorders>
          </w:tcPr>
          <w:p w14:paraId="0BB2E835" w14:textId="77777777" w:rsidR="00361651" w:rsidRDefault="00361651" w:rsidP="009709A2">
            <w:pPr>
              <w:pStyle w:val="IASBTableArial"/>
              <w:jc w:val="right"/>
            </w:pPr>
            <w:r>
              <w:t>15</w:t>
            </w:r>
          </w:p>
        </w:tc>
        <w:tc>
          <w:tcPr>
            <w:tcW w:w="273" w:type="dxa"/>
            <w:tcBorders>
              <w:top w:val="nil"/>
              <w:left w:val="nil"/>
            </w:tcBorders>
          </w:tcPr>
          <w:p w14:paraId="0BB2E836" w14:textId="77777777" w:rsidR="00361651" w:rsidRDefault="00361651" w:rsidP="009709A2">
            <w:pPr>
              <w:pStyle w:val="IASBTableArial"/>
            </w:pPr>
          </w:p>
        </w:tc>
        <w:tc>
          <w:tcPr>
            <w:tcW w:w="728" w:type="dxa"/>
            <w:tcBorders>
              <w:top w:val="nil"/>
              <w:left w:val="nil"/>
            </w:tcBorders>
          </w:tcPr>
          <w:p w14:paraId="0BB2E837" w14:textId="77777777" w:rsidR="00361651" w:rsidRDefault="00361651" w:rsidP="009709A2">
            <w:pPr>
              <w:pStyle w:val="IASBTableArial"/>
              <w:jc w:val="right"/>
            </w:pPr>
            <w:r>
              <w:t>35</w:t>
            </w:r>
          </w:p>
        </w:tc>
        <w:tc>
          <w:tcPr>
            <w:tcW w:w="273" w:type="dxa"/>
            <w:tcBorders>
              <w:top w:val="nil"/>
              <w:left w:val="nil"/>
            </w:tcBorders>
          </w:tcPr>
          <w:p w14:paraId="0BB2E838" w14:textId="77777777" w:rsidR="00361651" w:rsidRDefault="00361651" w:rsidP="009709A2">
            <w:pPr>
              <w:pStyle w:val="IASBTableArial"/>
            </w:pPr>
          </w:p>
        </w:tc>
        <w:tc>
          <w:tcPr>
            <w:tcW w:w="728" w:type="dxa"/>
            <w:tcBorders>
              <w:top w:val="nil"/>
              <w:left w:val="nil"/>
            </w:tcBorders>
          </w:tcPr>
          <w:p w14:paraId="0BB2E839" w14:textId="77777777" w:rsidR="00361651" w:rsidRDefault="00361651" w:rsidP="009709A2">
            <w:pPr>
              <w:pStyle w:val="IASBTableArial"/>
              <w:jc w:val="right"/>
            </w:pPr>
            <w:r>
              <w:t>10</w:t>
            </w:r>
          </w:p>
        </w:tc>
        <w:tc>
          <w:tcPr>
            <w:tcW w:w="273" w:type="dxa"/>
            <w:tcBorders>
              <w:top w:val="nil"/>
              <w:left w:val="nil"/>
            </w:tcBorders>
            <w:vAlign w:val="bottom"/>
          </w:tcPr>
          <w:p w14:paraId="0BB2E83A" w14:textId="77777777" w:rsidR="00361651" w:rsidRDefault="00361651" w:rsidP="009709A2">
            <w:pPr>
              <w:pStyle w:val="IASBTableArial"/>
            </w:pPr>
          </w:p>
        </w:tc>
        <w:tc>
          <w:tcPr>
            <w:tcW w:w="728" w:type="dxa"/>
            <w:tcBorders>
              <w:top w:val="nil"/>
              <w:left w:val="nil"/>
            </w:tcBorders>
          </w:tcPr>
          <w:p w14:paraId="0BB2E83B" w14:textId="77777777" w:rsidR="00361651" w:rsidRDefault="00361651" w:rsidP="009709A2">
            <w:pPr>
              <w:pStyle w:val="IASBTableArial"/>
              <w:jc w:val="right"/>
            </w:pPr>
            <w:r>
              <w:t>65</w:t>
            </w:r>
          </w:p>
        </w:tc>
        <w:tc>
          <w:tcPr>
            <w:tcW w:w="273" w:type="dxa"/>
            <w:tcBorders>
              <w:top w:val="nil"/>
              <w:left w:val="nil"/>
            </w:tcBorders>
            <w:vAlign w:val="bottom"/>
          </w:tcPr>
          <w:p w14:paraId="0BB2E83C" w14:textId="77777777" w:rsidR="00361651" w:rsidRDefault="00361651" w:rsidP="009709A2">
            <w:pPr>
              <w:pStyle w:val="IASBTableArial"/>
            </w:pPr>
          </w:p>
        </w:tc>
        <w:tc>
          <w:tcPr>
            <w:tcW w:w="728" w:type="dxa"/>
            <w:tcBorders>
              <w:top w:val="nil"/>
              <w:left w:val="nil"/>
            </w:tcBorders>
          </w:tcPr>
          <w:p w14:paraId="0BB2E83D" w14:textId="77777777" w:rsidR="00361651" w:rsidRDefault="00361651" w:rsidP="009709A2">
            <w:pPr>
              <w:pStyle w:val="IASBTableArial"/>
              <w:jc w:val="right"/>
            </w:pPr>
            <w:r>
              <w:t>18</w:t>
            </w:r>
          </w:p>
        </w:tc>
        <w:tc>
          <w:tcPr>
            <w:tcW w:w="273" w:type="dxa"/>
            <w:tcBorders>
              <w:top w:val="nil"/>
              <w:left w:val="nil"/>
            </w:tcBorders>
          </w:tcPr>
          <w:p w14:paraId="0BB2E83E" w14:textId="77777777" w:rsidR="00361651" w:rsidRDefault="00361651" w:rsidP="009709A2">
            <w:pPr>
              <w:pStyle w:val="IASBTableArial"/>
              <w:jc w:val="right"/>
            </w:pPr>
          </w:p>
        </w:tc>
        <w:tc>
          <w:tcPr>
            <w:tcW w:w="728" w:type="dxa"/>
            <w:tcBorders>
              <w:top w:val="nil"/>
              <w:left w:val="nil"/>
            </w:tcBorders>
          </w:tcPr>
          <w:p w14:paraId="0BB2E83F" w14:textId="77777777" w:rsidR="00361651" w:rsidRDefault="00361651" w:rsidP="009709A2">
            <w:pPr>
              <w:pStyle w:val="IASBTableArial"/>
              <w:jc w:val="right"/>
            </w:pPr>
            <w:r>
              <w:t>167</w:t>
            </w:r>
          </w:p>
        </w:tc>
        <w:tc>
          <w:tcPr>
            <w:tcW w:w="273" w:type="dxa"/>
            <w:tcBorders>
              <w:top w:val="nil"/>
              <w:left w:val="nil"/>
            </w:tcBorders>
            <w:vAlign w:val="bottom"/>
          </w:tcPr>
          <w:p w14:paraId="0BB2E840" w14:textId="77777777" w:rsidR="00361651" w:rsidRDefault="00361651" w:rsidP="009709A2">
            <w:pPr>
              <w:pStyle w:val="IASBTableArial"/>
            </w:pPr>
          </w:p>
        </w:tc>
        <w:tc>
          <w:tcPr>
            <w:tcW w:w="728" w:type="dxa"/>
            <w:tcBorders>
              <w:top w:val="nil"/>
              <w:left w:val="nil"/>
            </w:tcBorders>
            <w:vAlign w:val="bottom"/>
          </w:tcPr>
          <w:p w14:paraId="0BB2E841" w14:textId="77777777" w:rsidR="00361651" w:rsidRDefault="00361651" w:rsidP="009709A2">
            <w:pPr>
              <w:pStyle w:val="IASBTableArial"/>
              <w:jc w:val="right"/>
            </w:pPr>
            <w:r>
              <w:t>48</w:t>
            </w:r>
          </w:p>
        </w:tc>
      </w:tr>
      <w:tr w:rsidR="00361651" w14:paraId="0BB2E854" w14:textId="77777777" w:rsidTr="009709A2">
        <w:trPr>
          <w:cantSplit/>
        </w:trPr>
        <w:tc>
          <w:tcPr>
            <w:tcW w:w="840" w:type="dxa"/>
            <w:tcBorders>
              <w:top w:val="nil"/>
            </w:tcBorders>
          </w:tcPr>
          <w:p w14:paraId="0BB2E843" w14:textId="77777777" w:rsidR="00361651" w:rsidRDefault="00361651" w:rsidP="009709A2">
            <w:pPr>
              <w:pStyle w:val="IASBTableArial"/>
            </w:pPr>
            <w:r>
              <w:t>10</w:t>
            </w:r>
          </w:p>
        </w:tc>
        <w:tc>
          <w:tcPr>
            <w:tcW w:w="273" w:type="dxa"/>
            <w:tcBorders>
              <w:top w:val="nil"/>
              <w:left w:val="nil"/>
            </w:tcBorders>
          </w:tcPr>
          <w:p w14:paraId="0BB2E844" w14:textId="77777777" w:rsidR="00361651" w:rsidRDefault="00361651" w:rsidP="009709A2">
            <w:pPr>
              <w:pStyle w:val="IASBTableArial"/>
            </w:pPr>
          </w:p>
        </w:tc>
        <w:tc>
          <w:tcPr>
            <w:tcW w:w="728" w:type="dxa"/>
            <w:tcBorders>
              <w:top w:val="nil"/>
              <w:left w:val="nil"/>
            </w:tcBorders>
          </w:tcPr>
          <w:p w14:paraId="0BB2E845" w14:textId="77777777" w:rsidR="00361651" w:rsidRDefault="00361651" w:rsidP="009709A2">
            <w:pPr>
              <w:pStyle w:val="IASBTableArial"/>
              <w:jc w:val="right"/>
            </w:pPr>
            <w:r>
              <w:t>48</w:t>
            </w:r>
          </w:p>
        </w:tc>
        <w:tc>
          <w:tcPr>
            <w:tcW w:w="273" w:type="dxa"/>
            <w:tcBorders>
              <w:top w:val="nil"/>
              <w:left w:val="nil"/>
            </w:tcBorders>
          </w:tcPr>
          <w:p w14:paraId="0BB2E846" w14:textId="77777777" w:rsidR="00361651" w:rsidRDefault="00361651" w:rsidP="009709A2">
            <w:pPr>
              <w:pStyle w:val="IASBTableArial"/>
            </w:pPr>
          </w:p>
        </w:tc>
        <w:tc>
          <w:tcPr>
            <w:tcW w:w="728" w:type="dxa"/>
            <w:tcBorders>
              <w:top w:val="nil"/>
              <w:left w:val="nil"/>
            </w:tcBorders>
          </w:tcPr>
          <w:p w14:paraId="0BB2E847" w14:textId="77777777" w:rsidR="00361651" w:rsidRDefault="00361651" w:rsidP="009709A2">
            <w:pPr>
              <w:pStyle w:val="IASBTableArial"/>
              <w:jc w:val="right"/>
            </w:pPr>
            <w:r>
              <w:t>12</w:t>
            </w:r>
          </w:p>
        </w:tc>
        <w:tc>
          <w:tcPr>
            <w:tcW w:w="273" w:type="dxa"/>
            <w:tcBorders>
              <w:top w:val="nil"/>
              <w:left w:val="nil"/>
            </w:tcBorders>
          </w:tcPr>
          <w:p w14:paraId="0BB2E848" w14:textId="77777777" w:rsidR="00361651" w:rsidRDefault="00361651" w:rsidP="009709A2">
            <w:pPr>
              <w:pStyle w:val="IASBTableArial"/>
            </w:pPr>
          </w:p>
        </w:tc>
        <w:tc>
          <w:tcPr>
            <w:tcW w:w="728" w:type="dxa"/>
            <w:tcBorders>
              <w:top w:val="nil"/>
              <w:left w:val="nil"/>
            </w:tcBorders>
          </w:tcPr>
          <w:p w14:paraId="0BB2E849" w14:textId="77777777" w:rsidR="00361651" w:rsidRDefault="00361651" w:rsidP="009709A2">
            <w:pPr>
              <w:pStyle w:val="IASBTableArial"/>
              <w:jc w:val="right"/>
            </w:pPr>
            <w:r>
              <w:t>35</w:t>
            </w:r>
          </w:p>
        </w:tc>
        <w:tc>
          <w:tcPr>
            <w:tcW w:w="273" w:type="dxa"/>
            <w:tcBorders>
              <w:top w:val="nil"/>
              <w:left w:val="nil"/>
            </w:tcBorders>
          </w:tcPr>
          <w:p w14:paraId="0BB2E84A" w14:textId="77777777" w:rsidR="00361651" w:rsidRDefault="00361651" w:rsidP="009709A2">
            <w:pPr>
              <w:pStyle w:val="IASBTableArial"/>
            </w:pPr>
          </w:p>
        </w:tc>
        <w:tc>
          <w:tcPr>
            <w:tcW w:w="728" w:type="dxa"/>
            <w:tcBorders>
              <w:top w:val="nil"/>
              <w:left w:val="nil"/>
            </w:tcBorders>
          </w:tcPr>
          <w:p w14:paraId="0BB2E84B" w14:textId="77777777" w:rsidR="00361651" w:rsidRDefault="00361651" w:rsidP="009709A2">
            <w:pPr>
              <w:pStyle w:val="IASBTableArial"/>
              <w:jc w:val="right"/>
            </w:pPr>
            <w:r>
              <w:t>9</w:t>
            </w:r>
          </w:p>
        </w:tc>
        <w:tc>
          <w:tcPr>
            <w:tcW w:w="273" w:type="dxa"/>
            <w:tcBorders>
              <w:top w:val="nil"/>
              <w:left w:val="nil"/>
            </w:tcBorders>
            <w:vAlign w:val="bottom"/>
          </w:tcPr>
          <w:p w14:paraId="0BB2E84C" w14:textId="77777777" w:rsidR="00361651" w:rsidRDefault="00361651" w:rsidP="009709A2">
            <w:pPr>
              <w:pStyle w:val="IASBTableArial"/>
            </w:pPr>
          </w:p>
        </w:tc>
        <w:tc>
          <w:tcPr>
            <w:tcW w:w="728" w:type="dxa"/>
            <w:tcBorders>
              <w:top w:val="nil"/>
              <w:left w:val="nil"/>
            </w:tcBorders>
          </w:tcPr>
          <w:p w14:paraId="0BB2E84D" w14:textId="77777777" w:rsidR="00361651" w:rsidRDefault="00361651" w:rsidP="009709A2">
            <w:pPr>
              <w:pStyle w:val="IASBTableArial"/>
              <w:jc w:val="right"/>
            </w:pPr>
            <w:r>
              <w:t>66</w:t>
            </w:r>
          </w:p>
        </w:tc>
        <w:tc>
          <w:tcPr>
            <w:tcW w:w="273" w:type="dxa"/>
            <w:tcBorders>
              <w:top w:val="nil"/>
              <w:left w:val="nil"/>
            </w:tcBorders>
            <w:vAlign w:val="bottom"/>
          </w:tcPr>
          <w:p w14:paraId="0BB2E84E" w14:textId="77777777" w:rsidR="00361651" w:rsidRDefault="00361651" w:rsidP="009709A2">
            <w:pPr>
              <w:pStyle w:val="IASBTableArial"/>
            </w:pPr>
          </w:p>
        </w:tc>
        <w:tc>
          <w:tcPr>
            <w:tcW w:w="728" w:type="dxa"/>
            <w:tcBorders>
              <w:top w:val="nil"/>
              <w:left w:val="nil"/>
            </w:tcBorders>
          </w:tcPr>
          <w:p w14:paraId="0BB2E84F" w14:textId="77777777" w:rsidR="00361651" w:rsidRDefault="00361651" w:rsidP="009709A2">
            <w:pPr>
              <w:pStyle w:val="IASBTableArial"/>
              <w:jc w:val="right"/>
            </w:pPr>
            <w:r>
              <w:t>16</w:t>
            </w:r>
          </w:p>
        </w:tc>
        <w:tc>
          <w:tcPr>
            <w:tcW w:w="273" w:type="dxa"/>
            <w:tcBorders>
              <w:top w:val="nil"/>
              <w:left w:val="nil"/>
            </w:tcBorders>
          </w:tcPr>
          <w:p w14:paraId="0BB2E850" w14:textId="77777777" w:rsidR="00361651" w:rsidRDefault="00361651" w:rsidP="009709A2">
            <w:pPr>
              <w:pStyle w:val="IASBTableArial"/>
              <w:jc w:val="right"/>
            </w:pPr>
          </w:p>
        </w:tc>
        <w:tc>
          <w:tcPr>
            <w:tcW w:w="728" w:type="dxa"/>
            <w:tcBorders>
              <w:top w:val="nil"/>
              <w:left w:val="nil"/>
            </w:tcBorders>
          </w:tcPr>
          <w:p w14:paraId="0BB2E851" w14:textId="77777777" w:rsidR="00361651" w:rsidRDefault="00361651" w:rsidP="009709A2">
            <w:pPr>
              <w:pStyle w:val="IASBTableArial"/>
              <w:jc w:val="right"/>
            </w:pPr>
            <w:r>
              <w:t>169</w:t>
            </w:r>
          </w:p>
        </w:tc>
        <w:tc>
          <w:tcPr>
            <w:tcW w:w="273" w:type="dxa"/>
            <w:tcBorders>
              <w:top w:val="nil"/>
              <w:left w:val="nil"/>
            </w:tcBorders>
            <w:vAlign w:val="bottom"/>
          </w:tcPr>
          <w:p w14:paraId="0BB2E852" w14:textId="77777777" w:rsidR="00361651" w:rsidRDefault="00361651" w:rsidP="009709A2">
            <w:pPr>
              <w:pStyle w:val="IASBTableArial"/>
            </w:pPr>
          </w:p>
        </w:tc>
        <w:tc>
          <w:tcPr>
            <w:tcW w:w="728" w:type="dxa"/>
            <w:tcBorders>
              <w:top w:val="nil"/>
              <w:left w:val="nil"/>
            </w:tcBorders>
            <w:vAlign w:val="bottom"/>
          </w:tcPr>
          <w:p w14:paraId="0BB2E853" w14:textId="77777777" w:rsidR="00361651" w:rsidRDefault="00361651" w:rsidP="009709A2">
            <w:pPr>
              <w:pStyle w:val="IASBTableArial"/>
              <w:jc w:val="right"/>
            </w:pPr>
            <w:r>
              <w:t>42</w:t>
            </w:r>
          </w:p>
        </w:tc>
      </w:tr>
      <w:tr w:rsidR="00361651" w14:paraId="0BB2E866" w14:textId="77777777" w:rsidTr="009709A2">
        <w:trPr>
          <w:cantSplit/>
        </w:trPr>
        <w:tc>
          <w:tcPr>
            <w:tcW w:w="840" w:type="dxa"/>
            <w:tcBorders>
              <w:top w:val="nil"/>
            </w:tcBorders>
          </w:tcPr>
          <w:p w14:paraId="0BB2E855" w14:textId="77777777" w:rsidR="00361651" w:rsidRDefault="00361651" w:rsidP="009709A2">
            <w:pPr>
              <w:pStyle w:val="IASBTableArial"/>
            </w:pPr>
            <w:r>
              <w:t>11</w:t>
            </w:r>
          </w:p>
        </w:tc>
        <w:tc>
          <w:tcPr>
            <w:tcW w:w="273" w:type="dxa"/>
            <w:tcBorders>
              <w:top w:val="nil"/>
              <w:left w:val="nil"/>
            </w:tcBorders>
          </w:tcPr>
          <w:p w14:paraId="0BB2E856" w14:textId="77777777" w:rsidR="00361651" w:rsidRDefault="00361651" w:rsidP="009709A2">
            <w:pPr>
              <w:pStyle w:val="IASBTableArial"/>
            </w:pPr>
            <w:r>
              <w:t xml:space="preserve"> </w:t>
            </w:r>
          </w:p>
        </w:tc>
        <w:tc>
          <w:tcPr>
            <w:tcW w:w="728" w:type="dxa"/>
            <w:tcBorders>
              <w:top w:val="nil"/>
              <w:left w:val="nil"/>
            </w:tcBorders>
          </w:tcPr>
          <w:p w14:paraId="0BB2E857" w14:textId="77777777" w:rsidR="00361651" w:rsidRDefault="00361651" w:rsidP="009709A2">
            <w:pPr>
              <w:pStyle w:val="IASBTableArial"/>
            </w:pPr>
            <w:r>
              <w:t xml:space="preserve"> </w:t>
            </w:r>
          </w:p>
        </w:tc>
        <w:tc>
          <w:tcPr>
            <w:tcW w:w="273" w:type="dxa"/>
            <w:tcBorders>
              <w:top w:val="nil"/>
              <w:left w:val="nil"/>
            </w:tcBorders>
          </w:tcPr>
          <w:p w14:paraId="0BB2E858" w14:textId="77777777" w:rsidR="00361651" w:rsidRDefault="00361651" w:rsidP="009709A2">
            <w:pPr>
              <w:pStyle w:val="IASBTableArial"/>
            </w:pPr>
          </w:p>
        </w:tc>
        <w:tc>
          <w:tcPr>
            <w:tcW w:w="728" w:type="dxa"/>
            <w:tcBorders>
              <w:top w:val="nil"/>
              <w:left w:val="nil"/>
            </w:tcBorders>
          </w:tcPr>
          <w:p w14:paraId="0BB2E859" w14:textId="77777777" w:rsidR="00361651" w:rsidRDefault="00361651" w:rsidP="009709A2">
            <w:pPr>
              <w:pStyle w:val="IASBTableArial"/>
            </w:pPr>
          </w:p>
        </w:tc>
        <w:tc>
          <w:tcPr>
            <w:tcW w:w="273" w:type="dxa"/>
            <w:tcBorders>
              <w:top w:val="nil"/>
              <w:left w:val="nil"/>
            </w:tcBorders>
          </w:tcPr>
          <w:p w14:paraId="0BB2E85A" w14:textId="77777777" w:rsidR="00361651" w:rsidRDefault="00361651" w:rsidP="009709A2">
            <w:pPr>
              <w:pStyle w:val="IASBTableArial"/>
            </w:pPr>
          </w:p>
        </w:tc>
        <w:tc>
          <w:tcPr>
            <w:tcW w:w="728" w:type="dxa"/>
            <w:tcBorders>
              <w:top w:val="nil"/>
              <w:left w:val="nil"/>
            </w:tcBorders>
          </w:tcPr>
          <w:p w14:paraId="0BB2E85B" w14:textId="77777777" w:rsidR="00361651" w:rsidRDefault="00361651" w:rsidP="009709A2">
            <w:pPr>
              <w:pStyle w:val="IASBTableArial"/>
              <w:jc w:val="right"/>
            </w:pPr>
            <w:r>
              <w:t>36</w:t>
            </w:r>
          </w:p>
        </w:tc>
        <w:tc>
          <w:tcPr>
            <w:tcW w:w="273" w:type="dxa"/>
            <w:tcBorders>
              <w:top w:val="nil"/>
              <w:left w:val="nil"/>
            </w:tcBorders>
          </w:tcPr>
          <w:p w14:paraId="0BB2E85C" w14:textId="77777777" w:rsidR="00361651" w:rsidRDefault="00361651" w:rsidP="009709A2">
            <w:pPr>
              <w:pStyle w:val="IASBTableArial"/>
            </w:pPr>
          </w:p>
        </w:tc>
        <w:tc>
          <w:tcPr>
            <w:tcW w:w="728" w:type="dxa"/>
            <w:tcBorders>
              <w:top w:val="nil"/>
              <w:left w:val="nil"/>
            </w:tcBorders>
          </w:tcPr>
          <w:p w14:paraId="0BB2E85D" w14:textId="77777777" w:rsidR="00361651" w:rsidRDefault="00361651" w:rsidP="009709A2">
            <w:pPr>
              <w:pStyle w:val="IASBTableArial"/>
              <w:jc w:val="right"/>
            </w:pPr>
            <w:r>
              <w:t>8</w:t>
            </w:r>
          </w:p>
        </w:tc>
        <w:tc>
          <w:tcPr>
            <w:tcW w:w="273" w:type="dxa"/>
            <w:tcBorders>
              <w:top w:val="nil"/>
              <w:left w:val="nil"/>
            </w:tcBorders>
            <w:vAlign w:val="bottom"/>
          </w:tcPr>
          <w:p w14:paraId="0BB2E85E" w14:textId="77777777" w:rsidR="00361651" w:rsidRDefault="00361651" w:rsidP="009709A2">
            <w:pPr>
              <w:pStyle w:val="IASBTableArial"/>
            </w:pPr>
          </w:p>
        </w:tc>
        <w:tc>
          <w:tcPr>
            <w:tcW w:w="728" w:type="dxa"/>
            <w:tcBorders>
              <w:top w:val="nil"/>
              <w:left w:val="nil"/>
            </w:tcBorders>
          </w:tcPr>
          <w:p w14:paraId="0BB2E85F" w14:textId="77777777" w:rsidR="00361651" w:rsidRDefault="00361651" w:rsidP="009709A2">
            <w:pPr>
              <w:pStyle w:val="IASBTableArial"/>
              <w:jc w:val="right"/>
            </w:pPr>
            <w:r>
              <w:t>66</w:t>
            </w:r>
          </w:p>
        </w:tc>
        <w:tc>
          <w:tcPr>
            <w:tcW w:w="273" w:type="dxa"/>
            <w:tcBorders>
              <w:top w:val="nil"/>
              <w:left w:val="nil"/>
            </w:tcBorders>
            <w:vAlign w:val="bottom"/>
          </w:tcPr>
          <w:p w14:paraId="0BB2E860" w14:textId="77777777" w:rsidR="00361651" w:rsidRDefault="00361651" w:rsidP="009709A2">
            <w:pPr>
              <w:pStyle w:val="IASBTableArial"/>
            </w:pPr>
          </w:p>
        </w:tc>
        <w:tc>
          <w:tcPr>
            <w:tcW w:w="728" w:type="dxa"/>
            <w:tcBorders>
              <w:top w:val="nil"/>
              <w:left w:val="nil"/>
            </w:tcBorders>
          </w:tcPr>
          <w:p w14:paraId="0BB2E861" w14:textId="77777777" w:rsidR="00361651" w:rsidRDefault="00361651" w:rsidP="009709A2">
            <w:pPr>
              <w:pStyle w:val="IASBTableArial"/>
              <w:jc w:val="right"/>
            </w:pPr>
            <w:r>
              <w:t>14</w:t>
            </w:r>
          </w:p>
        </w:tc>
        <w:tc>
          <w:tcPr>
            <w:tcW w:w="273" w:type="dxa"/>
            <w:tcBorders>
              <w:top w:val="nil"/>
              <w:left w:val="nil"/>
            </w:tcBorders>
          </w:tcPr>
          <w:p w14:paraId="0BB2E862" w14:textId="77777777" w:rsidR="00361651" w:rsidRDefault="00361651" w:rsidP="009709A2">
            <w:pPr>
              <w:pStyle w:val="IASBTableArial"/>
              <w:jc w:val="right"/>
            </w:pPr>
          </w:p>
        </w:tc>
        <w:tc>
          <w:tcPr>
            <w:tcW w:w="728" w:type="dxa"/>
            <w:tcBorders>
              <w:top w:val="nil"/>
              <w:left w:val="nil"/>
            </w:tcBorders>
          </w:tcPr>
          <w:p w14:paraId="0BB2E863" w14:textId="77777777" w:rsidR="00361651" w:rsidRDefault="00361651" w:rsidP="009709A2">
            <w:pPr>
              <w:pStyle w:val="IASBTableArial"/>
              <w:jc w:val="right"/>
            </w:pPr>
            <w:r>
              <w:t>132</w:t>
            </w:r>
          </w:p>
        </w:tc>
        <w:tc>
          <w:tcPr>
            <w:tcW w:w="273" w:type="dxa"/>
            <w:tcBorders>
              <w:top w:val="nil"/>
              <w:left w:val="nil"/>
            </w:tcBorders>
            <w:vAlign w:val="bottom"/>
          </w:tcPr>
          <w:p w14:paraId="0BB2E864" w14:textId="77777777" w:rsidR="00361651" w:rsidRDefault="00361651" w:rsidP="009709A2">
            <w:pPr>
              <w:pStyle w:val="IASBTableArial"/>
            </w:pPr>
          </w:p>
        </w:tc>
        <w:tc>
          <w:tcPr>
            <w:tcW w:w="728" w:type="dxa"/>
            <w:tcBorders>
              <w:top w:val="nil"/>
              <w:left w:val="nil"/>
            </w:tcBorders>
            <w:vAlign w:val="bottom"/>
          </w:tcPr>
          <w:p w14:paraId="0BB2E865" w14:textId="77777777" w:rsidR="00361651" w:rsidRDefault="00361651" w:rsidP="009709A2">
            <w:pPr>
              <w:pStyle w:val="IASBTableArial"/>
              <w:jc w:val="right"/>
            </w:pPr>
            <w:r>
              <w:t>28</w:t>
            </w:r>
          </w:p>
        </w:tc>
      </w:tr>
      <w:tr w:rsidR="00361651" w14:paraId="0BB2E878" w14:textId="77777777" w:rsidTr="009709A2">
        <w:trPr>
          <w:cantSplit/>
        </w:trPr>
        <w:tc>
          <w:tcPr>
            <w:tcW w:w="840" w:type="dxa"/>
            <w:tcBorders>
              <w:top w:val="nil"/>
            </w:tcBorders>
          </w:tcPr>
          <w:p w14:paraId="0BB2E867" w14:textId="77777777" w:rsidR="00361651" w:rsidRDefault="00361651" w:rsidP="009709A2">
            <w:pPr>
              <w:pStyle w:val="IASBTableArial"/>
            </w:pPr>
            <w:r>
              <w:t>12</w:t>
            </w:r>
          </w:p>
        </w:tc>
        <w:tc>
          <w:tcPr>
            <w:tcW w:w="273" w:type="dxa"/>
            <w:tcBorders>
              <w:top w:val="nil"/>
              <w:left w:val="nil"/>
            </w:tcBorders>
          </w:tcPr>
          <w:p w14:paraId="0BB2E868" w14:textId="77777777" w:rsidR="00361651" w:rsidRDefault="00361651" w:rsidP="009709A2">
            <w:pPr>
              <w:pStyle w:val="IASBTableArial"/>
            </w:pPr>
            <w:r>
              <w:t xml:space="preserve"> </w:t>
            </w:r>
          </w:p>
        </w:tc>
        <w:tc>
          <w:tcPr>
            <w:tcW w:w="728" w:type="dxa"/>
            <w:tcBorders>
              <w:top w:val="nil"/>
              <w:left w:val="nil"/>
            </w:tcBorders>
          </w:tcPr>
          <w:p w14:paraId="0BB2E869" w14:textId="77777777" w:rsidR="00361651" w:rsidRDefault="00361651" w:rsidP="009709A2">
            <w:pPr>
              <w:pStyle w:val="IASBTableArial"/>
            </w:pPr>
            <w:r>
              <w:t xml:space="preserve"> </w:t>
            </w:r>
          </w:p>
        </w:tc>
        <w:tc>
          <w:tcPr>
            <w:tcW w:w="273" w:type="dxa"/>
            <w:tcBorders>
              <w:top w:val="nil"/>
              <w:left w:val="nil"/>
            </w:tcBorders>
          </w:tcPr>
          <w:p w14:paraId="0BB2E86A" w14:textId="77777777" w:rsidR="00361651" w:rsidRDefault="00361651" w:rsidP="009709A2">
            <w:pPr>
              <w:pStyle w:val="IASBTableArial"/>
            </w:pPr>
          </w:p>
        </w:tc>
        <w:tc>
          <w:tcPr>
            <w:tcW w:w="728" w:type="dxa"/>
            <w:tcBorders>
              <w:top w:val="nil"/>
              <w:left w:val="nil"/>
            </w:tcBorders>
          </w:tcPr>
          <w:p w14:paraId="0BB2E86B" w14:textId="77777777" w:rsidR="00361651" w:rsidRDefault="00361651" w:rsidP="009709A2">
            <w:pPr>
              <w:pStyle w:val="IASBTableArial"/>
            </w:pPr>
          </w:p>
        </w:tc>
        <w:tc>
          <w:tcPr>
            <w:tcW w:w="273" w:type="dxa"/>
            <w:tcBorders>
              <w:top w:val="nil"/>
              <w:left w:val="nil"/>
            </w:tcBorders>
          </w:tcPr>
          <w:p w14:paraId="0BB2E86C" w14:textId="77777777" w:rsidR="00361651" w:rsidRDefault="00361651" w:rsidP="009709A2">
            <w:pPr>
              <w:pStyle w:val="IASBTableArial"/>
            </w:pPr>
          </w:p>
        </w:tc>
        <w:tc>
          <w:tcPr>
            <w:tcW w:w="728" w:type="dxa"/>
            <w:tcBorders>
              <w:top w:val="nil"/>
              <w:left w:val="nil"/>
            </w:tcBorders>
          </w:tcPr>
          <w:p w14:paraId="0BB2E86D" w14:textId="77777777" w:rsidR="00361651" w:rsidRDefault="00361651" w:rsidP="009709A2">
            <w:pPr>
              <w:pStyle w:val="IASBTableArial"/>
              <w:jc w:val="right"/>
            </w:pPr>
            <w:r>
              <w:t>35</w:t>
            </w:r>
          </w:p>
        </w:tc>
        <w:tc>
          <w:tcPr>
            <w:tcW w:w="273" w:type="dxa"/>
            <w:tcBorders>
              <w:top w:val="nil"/>
              <w:left w:val="nil"/>
            </w:tcBorders>
          </w:tcPr>
          <w:p w14:paraId="0BB2E86E" w14:textId="77777777" w:rsidR="00361651" w:rsidRDefault="00361651" w:rsidP="009709A2">
            <w:pPr>
              <w:pStyle w:val="IASBTableArial"/>
            </w:pPr>
          </w:p>
        </w:tc>
        <w:tc>
          <w:tcPr>
            <w:tcW w:w="728" w:type="dxa"/>
            <w:tcBorders>
              <w:top w:val="nil"/>
              <w:left w:val="nil"/>
            </w:tcBorders>
          </w:tcPr>
          <w:p w14:paraId="0BB2E86F" w14:textId="77777777" w:rsidR="00361651" w:rsidRDefault="00361651" w:rsidP="009709A2">
            <w:pPr>
              <w:pStyle w:val="IASBTableArial"/>
              <w:jc w:val="right"/>
            </w:pPr>
            <w:r>
              <w:t>7</w:t>
            </w:r>
          </w:p>
        </w:tc>
        <w:tc>
          <w:tcPr>
            <w:tcW w:w="273" w:type="dxa"/>
            <w:tcBorders>
              <w:top w:val="nil"/>
              <w:left w:val="nil"/>
            </w:tcBorders>
            <w:vAlign w:val="bottom"/>
          </w:tcPr>
          <w:p w14:paraId="0BB2E870" w14:textId="77777777" w:rsidR="00361651" w:rsidRDefault="00361651" w:rsidP="009709A2">
            <w:pPr>
              <w:pStyle w:val="IASBTableArial"/>
            </w:pPr>
          </w:p>
        </w:tc>
        <w:tc>
          <w:tcPr>
            <w:tcW w:w="728" w:type="dxa"/>
            <w:tcBorders>
              <w:top w:val="nil"/>
              <w:left w:val="nil"/>
            </w:tcBorders>
          </w:tcPr>
          <w:p w14:paraId="0BB2E871" w14:textId="77777777" w:rsidR="00361651" w:rsidRDefault="00361651" w:rsidP="009709A2">
            <w:pPr>
              <w:pStyle w:val="IASBTableArial"/>
              <w:jc w:val="right"/>
            </w:pPr>
            <w:r>
              <w:t>66</w:t>
            </w:r>
          </w:p>
        </w:tc>
        <w:tc>
          <w:tcPr>
            <w:tcW w:w="273" w:type="dxa"/>
            <w:tcBorders>
              <w:top w:val="nil"/>
              <w:left w:val="nil"/>
            </w:tcBorders>
            <w:vAlign w:val="bottom"/>
          </w:tcPr>
          <w:p w14:paraId="0BB2E872" w14:textId="77777777" w:rsidR="00361651" w:rsidRDefault="00361651" w:rsidP="009709A2">
            <w:pPr>
              <w:pStyle w:val="IASBTableArial"/>
            </w:pPr>
          </w:p>
        </w:tc>
        <w:tc>
          <w:tcPr>
            <w:tcW w:w="728" w:type="dxa"/>
            <w:tcBorders>
              <w:top w:val="nil"/>
              <w:left w:val="nil"/>
            </w:tcBorders>
          </w:tcPr>
          <w:p w14:paraId="0BB2E873" w14:textId="77777777" w:rsidR="00361651" w:rsidRDefault="00361651" w:rsidP="009709A2">
            <w:pPr>
              <w:pStyle w:val="IASBTableArial"/>
              <w:jc w:val="right"/>
            </w:pPr>
            <w:r>
              <w:t>12</w:t>
            </w:r>
          </w:p>
        </w:tc>
        <w:tc>
          <w:tcPr>
            <w:tcW w:w="273" w:type="dxa"/>
            <w:tcBorders>
              <w:top w:val="nil"/>
              <w:left w:val="nil"/>
            </w:tcBorders>
          </w:tcPr>
          <w:p w14:paraId="0BB2E874" w14:textId="77777777" w:rsidR="00361651" w:rsidRDefault="00361651" w:rsidP="009709A2">
            <w:pPr>
              <w:pStyle w:val="IASBTableArial"/>
              <w:jc w:val="right"/>
            </w:pPr>
          </w:p>
        </w:tc>
        <w:tc>
          <w:tcPr>
            <w:tcW w:w="728" w:type="dxa"/>
            <w:tcBorders>
              <w:top w:val="nil"/>
              <w:left w:val="nil"/>
            </w:tcBorders>
          </w:tcPr>
          <w:p w14:paraId="0BB2E875" w14:textId="77777777" w:rsidR="00361651" w:rsidRDefault="00361651" w:rsidP="009709A2">
            <w:pPr>
              <w:pStyle w:val="IASBTableArial"/>
              <w:jc w:val="right"/>
            </w:pPr>
            <w:r>
              <w:t>131</w:t>
            </w:r>
          </w:p>
        </w:tc>
        <w:tc>
          <w:tcPr>
            <w:tcW w:w="273" w:type="dxa"/>
            <w:tcBorders>
              <w:top w:val="nil"/>
              <w:left w:val="nil"/>
            </w:tcBorders>
            <w:vAlign w:val="bottom"/>
          </w:tcPr>
          <w:p w14:paraId="0BB2E876" w14:textId="77777777" w:rsidR="00361651" w:rsidRDefault="00361651" w:rsidP="009709A2">
            <w:pPr>
              <w:pStyle w:val="IASBTableArial"/>
            </w:pPr>
          </w:p>
        </w:tc>
        <w:tc>
          <w:tcPr>
            <w:tcW w:w="728" w:type="dxa"/>
            <w:tcBorders>
              <w:top w:val="nil"/>
              <w:left w:val="nil"/>
            </w:tcBorders>
            <w:vAlign w:val="bottom"/>
          </w:tcPr>
          <w:p w14:paraId="0BB2E877" w14:textId="77777777" w:rsidR="00361651" w:rsidRDefault="00361651" w:rsidP="009709A2">
            <w:pPr>
              <w:pStyle w:val="IASBTableArial"/>
              <w:jc w:val="right"/>
            </w:pPr>
            <w:r>
              <w:t>25</w:t>
            </w:r>
          </w:p>
        </w:tc>
      </w:tr>
      <w:tr w:rsidR="00361651" w14:paraId="0BB2E88A" w14:textId="77777777" w:rsidTr="009709A2">
        <w:trPr>
          <w:cantSplit/>
        </w:trPr>
        <w:tc>
          <w:tcPr>
            <w:tcW w:w="840" w:type="dxa"/>
            <w:tcBorders>
              <w:top w:val="nil"/>
            </w:tcBorders>
          </w:tcPr>
          <w:p w14:paraId="0BB2E879" w14:textId="77777777" w:rsidR="00361651" w:rsidRDefault="00361651" w:rsidP="009709A2">
            <w:pPr>
              <w:pStyle w:val="IASBTableArial"/>
            </w:pPr>
            <w:r>
              <w:t>13</w:t>
            </w:r>
          </w:p>
        </w:tc>
        <w:tc>
          <w:tcPr>
            <w:tcW w:w="273" w:type="dxa"/>
            <w:tcBorders>
              <w:top w:val="nil"/>
              <w:left w:val="nil"/>
            </w:tcBorders>
          </w:tcPr>
          <w:p w14:paraId="0BB2E87A" w14:textId="77777777" w:rsidR="00361651" w:rsidRDefault="00361651" w:rsidP="009709A2">
            <w:pPr>
              <w:pStyle w:val="IASBTableArial"/>
            </w:pPr>
            <w:r>
              <w:t xml:space="preserve"> </w:t>
            </w:r>
          </w:p>
        </w:tc>
        <w:tc>
          <w:tcPr>
            <w:tcW w:w="728" w:type="dxa"/>
            <w:tcBorders>
              <w:top w:val="nil"/>
              <w:left w:val="nil"/>
            </w:tcBorders>
          </w:tcPr>
          <w:p w14:paraId="0BB2E87B" w14:textId="77777777" w:rsidR="00361651" w:rsidRDefault="00361651" w:rsidP="009709A2">
            <w:pPr>
              <w:pStyle w:val="IASBTableArial"/>
            </w:pPr>
            <w:r>
              <w:t xml:space="preserve"> </w:t>
            </w:r>
          </w:p>
        </w:tc>
        <w:tc>
          <w:tcPr>
            <w:tcW w:w="273" w:type="dxa"/>
            <w:tcBorders>
              <w:top w:val="nil"/>
              <w:left w:val="nil"/>
            </w:tcBorders>
          </w:tcPr>
          <w:p w14:paraId="0BB2E87C" w14:textId="77777777" w:rsidR="00361651" w:rsidRDefault="00361651" w:rsidP="009709A2">
            <w:pPr>
              <w:pStyle w:val="IASBTableArial"/>
            </w:pPr>
          </w:p>
        </w:tc>
        <w:tc>
          <w:tcPr>
            <w:tcW w:w="728" w:type="dxa"/>
            <w:tcBorders>
              <w:top w:val="nil"/>
              <w:left w:val="nil"/>
            </w:tcBorders>
          </w:tcPr>
          <w:p w14:paraId="0BB2E87D" w14:textId="77777777" w:rsidR="00361651" w:rsidRDefault="00361651" w:rsidP="009709A2">
            <w:pPr>
              <w:pStyle w:val="IASBTableArial"/>
            </w:pPr>
          </w:p>
        </w:tc>
        <w:tc>
          <w:tcPr>
            <w:tcW w:w="273" w:type="dxa"/>
            <w:tcBorders>
              <w:top w:val="nil"/>
              <w:left w:val="nil"/>
            </w:tcBorders>
          </w:tcPr>
          <w:p w14:paraId="0BB2E87E" w14:textId="77777777" w:rsidR="00361651" w:rsidRDefault="00361651" w:rsidP="009709A2">
            <w:pPr>
              <w:pStyle w:val="IASBTableArial"/>
            </w:pPr>
          </w:p>
        </w:tc>
        <w:tc>
          <w:tcPr>
            <w:tcW w:w="728" w:type="dxa"/>
            <w:tcBorders>
              <w:top w:val="nil"/>
              <w:left w:val="nil"/>
            </w:tcBorders>
          </w:tcPr>
          <w:p w14:paraId="0BB2E87F" w14:textId="77777777" w:rsidR="00361651" w:rsidRDefault="00361651" w:rsidP="009709A2">
            <w:pPr>
              <w:pStyle w:val="IASBTableArial"/>
              <w:jc w:val="right"/>
            </w:pPr>
            <w:r>
              <w:t>35</w:t>
            </w:r>
          </w:p>
        </w:tc>
        <w:tc>
          <w:tcPr>
            <w:tcW w:w="273" w:type="dxa"/>
            <w:tcBorders>
              <w:top w:val="nil"/>
              <w:left w:val="nil"/>
            </w:tcBorders>
          </w:tcPr>
          <w:p w14:paraId="0BB2E880" w14:textId="77777777" w:rsidR="00361651" w:rsidRDefault="00361651" w:rsidP="009709A2">
            <w:pPr>
              <w:pStyle w:val="IASBTableArial"/>
            </w:pPr>
          </w:p>
        </w:tc>
        <w:tc>
          <w:tcPr>
            <w:tcW w:w="728" w:type="dxa"/>
            <w:tcBorders>
              <w:top w:val="nil"/>
              <w:left w:val="nil"/>
            </w:tcBorders>
          </w:tcPr>
          <w:p w14:paraId="0BB2E881" w14:textId="77777777" w:rsidR="00361651" w:rsidRDefault="00361651" w:rsidP="009709A2">
            <w:pPr>
              <w:pStyle w:val="IASBTableArial"/>
              <w:jc w:val="right"/>
            </w:pPr>
            <w:r>
              <w:t>6</w:t>
            </w:r>
          </w:p>
        </w:tc>
        <w:tc>
          <w:tcPr>
            <w:tcW w:w="273" w:type="dxa"/>
            <w:tcBorders>
              <w:top w:val="nil"/>
              <w:left w:val="nil"/>
            </w:tcBorders>
            <w:vAlign w:val="bottom"/>
          </w:tcPr>
          <w:p w14:paraId="0BB2E882" w14:textId="77777777" w:rsidR="00361651" w:rsidRDefault="00361651" w:rsidP="009709A2">
            <w:pPr>
              <w:pStyle w:val="IASBTableArial"/>
            </w:pPr>
          </w:p>
        </w:tc>
        <w:tc>
          <w:tcPr>
            <w:tcW w:w="728" w:type="dxa"/>
            <w:tcBorders>
              <w:top w:val="nil"/>
              <w:left w:val="nil"/>
            </w:tcBorders>
          </w:tcPr>
          <w:p w14:paraId="0BB2E883" w14:textId="77777777" w:rsidR="00361651" w:rsidRDefault="00361651" w:rsidP="009709A2">
            <w:pPr>
              <w:pStyle w:val="IASBTableArial"/>
              <w:jc w:val="right"/>
            </w:pPr>
            <w:r>
              <w:t>66</w:t>
            </w:r>
          </w:p>
        </w:tc>
        <w:tc>
          <w:tcPr>
            <w:tcW w:w="273" w:type="dxa"/>
            <w:tcBorders>
              <w:top w:val="nil"/>
              <w:left w:val="nil"/>
            </w:tcBorders>
            <w:vAlign w:val="bottom"/>
          </w:tcPr>
          <w:p w14:paraId="0BB2E884" w14:textId="77777777" w:rsidR="00361651" w:rsidRDefault="00361651" w:rsidP="009709A2">
            <w:pPr>
              <w:pStyle w:val="IASBTableArial"/>
            </w:pPr>
          </w:p>
        </w:tc>
        <w:tc>
          <w:tcPr>
            <w:tcW w:w="728" w:type="dxa"/>
            <w:tcBorders>
              <w:top w:val="nil"/>
              <w:left w:val="nil"/>
            </w:tcBorders>
          </w:tcPr>
          <w:p w14:paraId="0BB2E885" w14:textId="77777777" w:rsidR="00361651" w:rsidRDefault="00361651" w:rsidP="009709A2">
            <w:pPr>
              <w:pStyle w:val="IASBTableArial"/>
              <w:jc w:val="right"/>
            </w:pPr>
            <w:r>
              <w:t>11</w:t>
            </w:r>
          </w:p>
        </w:tc>
        <w:tc>
          <w:tcPr>
            <w:tcW w:w="273" w:type="dxa"/>
            <w:tcBorders>
              <w:top w:val="nil"/>
              <w:left w:val="nil"/>
            </w:tcBorders>
          </w:tcPr>
          <w:p w14:paraId="0BB2E886" w14:textId="77777777" w:rsidR="00361651" w:rsidRDefault="00361651" w:rsidP="009709A2">
            <w:pPr>
              <w:pStyle w:val="IASBTableArial"/>
              <w:jc w:val="right"/>
            </w:pPr>
          </w:p>
        </w:tc>
        <w:tc>
          <w:tcPr>
            <w:tcW w:w="728" w:type="dxa"/>
            <w:tcBorders>
              <w:top w:val="nil"/>
              <w:left w:val="nil"/>
            </w:tcBorders>
          </w:tcPr>
          <w:p w14:paraId="0BB2E887" w14:textId="77777777" w:rsidR="00361651" w:rsidRDefault="00361651" w:rsidP="009709A2">
            <w:pPr>
              <w:pStyle w:val="IASBTableArial"/>
              <w:jc w:val="right"/>
            </w:pPr>
            <w:r>
              <w:t>131</w:t>
            </w:r>
          </w:p>
        </w:tc>
        <w:tc>
          <w:tcPr>
            <w:tcW w:w="273" w:type="dxa"/>
            <w:tcBorders>
              <w:top w:val="nil"/>
              <w:left w:val="nil"/>
            </w:tcBorders>
            <w:vAlign w:val="bottom"/>
          </w:tcPr>
          <w:p w14:paraId="0BB2E888" w14:textId="77777777" w:rsidR="00361651" w:rsidRDefault="00361651" w:rsidP="009709A2">
            <w:pPr>
              <w:pStyle w:val="IASBTableArial"/>
            </w:pPr>
          </w:p>
        </w:tc>
        <w:tc>
          <w:tcPr>
            <w:tcW w:w="728" w:type="dxa"/>
            <w:tcBorders>
              <w:top w:val="nil"/>
              <w:left w:val="nil"/>
            </w:tcBorders>
            <w:vAlign w:val="bottom"/>
          </w:tcPr>
          <w:p w14:paraId="0BB2E889" w14:textId="77777777" w:rsidR="00361651" w:rsidRDefault="00361651" w:rsidP="009709A2">
            <w:pPr>
              <w:pStyle w:val="IASBTableArial"/>
              <w:jc w:val="right"/>
            </w:pPr>
            <w:r>
              <w:t>21</w:t>
            </w:r>
          </w:p>
        </w:tc>
      </w:tr>
      <w:tr w:rsidR="00361651" w14:paraId="0BB2E89C" w14:textId="77777777" w:rsidTr="009709A2">
        <w:trPr>
          <w:cantSplit/>
        </w:trPr>
        <w:tc>
          <w:tcPr>
            <w:tcW w:w="840" w:type="dxa"/>
            <w:tcBorders>
              <w:top w:val="nil"/>
            </w:tcBorders>
          </w:tcPr>
          <w:p w14:paraId="0BB2E88B" w14:textId="77777777" w:rsidR="00361651" w:rsidRDefault="00361651" w:rsidP="009709A2">
            <w:pPr>
              <w:pStyle w:val="IASBTableArial"/>
            </w:pPr>
            <w:r>
              <w:t>14</w:t>
            </w:r>
          </w:p>
        </w:tc>
        <w:tc>
          <w:tcPr>
            <w:tcW w:w="273" w:type="dxa"/>
            <w:tcBorders>
              <w:top w:val="nil"/>
              <w:left w:val="nil"/>
            </w:tcBorders>
          </w:tcPr>
          <w:p w14:paraId="0BB2E88C" w14:textId="77777777" w:rsidR="00361651" w:rsidRDefault="00361651" w:rsidP="009709A2">
            <w:pPr>
              <w:pStyle w:val="IASBTableArial"/>
            </w:pPr>
            <w:r>
              <w:t xml:space="preserve"> </w:t>
            </w:r>
          </w:p>
        </w:tc>
        <w:tc>
          <w:tcPr>
            <w:tcW w:w="728" w:type="dxa"/>
            <w:tcBorders>
              <w:top w:val="nil"/>
              <w:left w:val="nil"/>
            </w:tcBorders>
          </w:tcPr>
          <w:p w14:paraId="0BB2E88D" w14:textId="77777777" w:rsidR="00361651" w:rsidRDefault="00361651" w:rsidP="009709A2">
            <w:pPr>
              <w:pStyle w:val="IASBTableArial"/>
            </w:pPr>
            <w:r>
              <w:t xml:space="preserve"> </w:t>
            </w:r>
          </w:p>
        </w:tc>
        <w:tc>
          <w:tcPr>
            <w:tcW w:w="273" w:type="dxa"/>
            <w:tcBorders>
              <w:top w:val="nil"/>
              <w:left w:val="nil"/>
            </w:tcBorders>
          </w:tcPr>
          <w:p w14:paraId="0BB2E88E" w14:textId="77777777" w:rsidR="00361651" w:rsidRDefault="00361651" w:rsidP="009709A2">
            <w:pPr>
              <w:pStyle w:val="IASBTableArial"/>
            </w:pPr>
          </w:p>
        </w:tc>
        <w:tc>
          <w:tcPr>
            <w:tcW w:w="728" w:type="dxa"/>
            <w:tcBorders>
              <w:top w:val="nil"/>
              <w:left w:val="nil"/>
            </w:tcBorders>
          </w:tcPr>
          <w:p w14:paraId="0BB2E88F" w14:textId="77777777" w:rsidR="00361651" w:rsidRDefault="00361651" w:rsidP="009709A2">
            <w:pPr>
              <w:pStyle w:val="IASBTableArial"/>
            </w:pPr>
          </w:p>
        </w:tc>
        <w:tc>
          <w:tcPr>
            <w:tcW w:w="273" w:type="dxa"/>
            <w:tcBorders>
              <w:top w:val="nil"/>
              <w:left w:val="nil"/>
            </w:tcBorders>
          </w:tcPr>
          <w:p w14:paraId="0BB2E890" w14:textId="77777777" w:rsidR="00361651" w:rsidRDefault="00361651" w:rsidP="009709A2">
            <w:pPr>
              <w:pStyle w:val="IASBTableArial"/>
            </w:pPr>
          </w:p>
        </w:tc>
        <w:tc>
          <w:tcPr>
            <w:tcW w:w="728" w:type="dxa"/>
            <w:tcBorders>
              <w:top w:val="nil"/>
              <w:left w:val="nil"/>
            </w:tcBorders>
          </w:tcPr>
          <w:p w14:paraId="0BB2E891" w14:textId="77777777" w:rsidR="00361651" w:rsidRDefault="00361651" w:rsidP="009709A2">
            <w:pPr>
              <w:pStyle w:val="IASBTableArial"/>
              <w:jc w:val="right"/>
            </w:pPr>
            <w:r>
              <w:t>33</w:t>
            </w:r>
          </w:p>
        </w:tc>
        <w:tc>
          <w:tcPr>
            <w:tcW w:w="273" w:type="dxa"/>
            <w:tcBorders>
              <w:top w:val="nil"/>
              <w:left w:val="nil"/>
            </w:tcBorders>
          </w:tcPr>
          <w:p w14:paraId="0BB2E892" w14:textId="77777777" w:rsidR="00361651" w:rsidRDefault="00361651" w:rsidP="009709A2">
            <w:pPr>
              <w:pStyle w:val="IASBTableArial"/>
            </w:pPr>
          </w:p>
        </w:tc>
        <w:tc>
          <w:tcPr>
            <w:tcW w:w="728" w:type="dxa"/>
            <w:tcBorders>
              <w:top w:val="nil"/>
              <w:left w:val="nil"/>
            </w:tcBorders>
          </w:tcPr>
          <w:p w14:paraId="0BB2E893" w14:textId="77777777" w:rsidR="00361651" w:rsidRDefault="00361651" w:rsidP="009709A2">
            <w:pPr>
              <w:pStyle w:val="IASBTableArial"/>
              <w:jc w:val="right"/>
            </w:pPr>
            <w:r>
              <w:t>5</w:t>
            </w:r>
          </w:p>
        </w:tc>
        <w:tc>
          <w:tcPr>
            <w:tcW w:w="273" w:type="dxa"/>
            <w:tcBorders>
              <w:top w:val="nil"/>
              <w:left w:val="nil"/>
            </w:tcBorders>
            <w:vAlign w:val="bottom"/>
          </w:tcPr>
          <w:p w14:paraId="0BB2E894" w14:textId="77777777" w:rsidR="00361651" w:rsidRDefault="00361651" w:rsidP="009709A2">
            <w:pPr>
              <w:pStyle w:val="IASBTableArial"/>
            </w:pPr>
          </w:p>
        </w:tc>
        <w:tc>
          <w:tcPr>
            <w:tcW w:w="728" w:type="dxa"/>
            <w:tcBorders>
              <w:top w:val="nil"/>
              <w:left w:val="nil"/>
            </w:tcBorders>
          </w:tcPr>
          <w:p w14:paraId="0BB2E895" w14:textId="77777777" w:rsidR="00361651" w:rsidRDefault="00361651" w:rsidP="009709A2">
            <w:pPr>
              <w:pStyle w:val="IASBTableArial"/>
              <w:jc w:val="right"/>
            </w:pPr>
            <w:r>
              <w:t>65</w:t>
            </w:r>
          </w:p>
        </w:tc>
        <w:tc>
          <w:tcPr>
            <w:tcW w:w="273" w:type="dxa"/>
            <w:tcBorders>
              <w:top w:val="nil"/>
              <w:left w:val="nil"/>
            </w:tcBorders>
            <w:vAlign w:val="bottom"/>
          </w:tcPr>
          <w:p w14:paraId="0BB2E896" w14:textId="77777777" w:rsidR="00361651" w:rsidRDefault="00361651" w:rsidP="009709A2">
            <w:pPr>
              <w:pStyle w:val="IASBTableArial"/>
            </w:pPr>
          </w:p>
        </w:tc>
        <w:tc>
          <w:tcPr>
            <w:tcW w:w="728" w:type="dxa"/>
            <w:tcBorders>
              <w:top w:val="nil"/>
              <w:left w:val="nil"/>
            </w:tcBorders>
          </w:tcPr>
          <w:p w14:paraId="0BB2E897" w14:textId="77777777" w:rsidR="00361651" w:rsidRDefault="00361651" w:rsidP="009709A2">
            <w:pPr>
              <w:pStyle w:val="IASBTableArial"/>
              <w:jc w:val="right"/>
            </w:pPr>
            <w:r>
              <w:t>9</w:t>
            </w:r>
          </w:p>
        </w:tc>
        <w:tc>
          <w:tcPr>
            <w:tcW w:w="273" w:type="dxa"/>
            <w:tcBorders>
              <w:top w:val="nil"/>
              <w:left w:val="nil"/>
            </w:tcBorders>
          </w:tcPr>
          <w:p w14:paraId="0BB2E898" w14:textId="77777777" w:rsidR="00361651" w:rsidRDefault="00361651" w:rsidP="009709A2">
            <w:pPr>
              <w:pStyle w:val="IASBTableArial"/>
              <w:jc w:val="right"/>
            </w:pPr>
          </w:p>
        </w:tc>
        <w:tc>
          <w:tcPr>
            <w:tcW w:w="728" w:type="dxa"/>
            <w:tcBorders>
              <w:top w:val="nil"/>
              <w:left w:val="nil"/>
            </w:tcBorders>
          </w:tcPr>
          <w:p w14:paraId="0BB2E899" w14:textId="77777777" w:rsidR="00361651" w:rsidRDefault="00361651" w:rsidP="009709A2">
            <w:pPr>
              <w:pStyle w:val="IASBTableArial"/>
              <w:jc w:val="right"/>
            </w:pPr>
            <w:r>
              <w:t>128</w:t>
            </w:r>
          </w:p>
        </w:tc>
        <w:tc>
          <w:tcPr>
            <w:tcW w:w="273" w:type="dxa"/>
            <w:tcBorders>
              <w:top w:val="nil"/>
              <w:left w:val="nil"/>
            </w:tcBorders>
            <w:vAlign w:val="bottom"/>
          </w:tcPr>
          <w:p w14:paraId="0BB2E89A" w14:textId="77777777" w:rsidR="00361651" w:rsidRDefault="00361651" w:rsidP="009709A2">
            <w:pPr>
              <w:pStyle w:val="IASBTableArial"/>
            </w:pPr>
          </w:p>
        </w:tc>
        <w:tc>
          <w:tcPr>
            <w:tcW w:w="728" w:type="dxa"/>
            <w:tcBorders>
              <w:top w:val="nil"/>
              <w:left w:val="nil"/>
            </w:tcBorders>
            <w:vAlign w:val="bottom"/>
          </w:tcPr>
          <w:p w14:paraId="0BB2E89B" w14:textId="77777777" w:rsidR="00361651" w:rsidRDefault="00361651" w:rsidP="009709A2">
            <w:pPr>
              <w:pStyle w:val="IASBTableArial"/>
              <w:jc w:val="right"/>
            </w:pPr>
            <w:r>
              <w:t>18</w:t>
            </w:r>
          </w:p>
        </w:tc>
      </w:tr>
      <w:tr w:rsidR="00361651" w14:paraId="0BB2E8AE" w14:textId="77777777" w:rsidTr="009709A2">
        <w:trPr>
          <w:cantSplit/>
        </w:trPr>
        <w:tc>
          <w:tcPr>
            <w:tcW w:w="840" w:type="dxa"/>
            <w:tcBorders>
              <w:top w:val="nil"/>
            </w:tcBorders>
          </w:tcPr>
          <w:p w14:paraId="0BB2E89D" w14:textId="77777777" w:rsidR="00361651" w:rsidRDefault="00361651" w:rsidP="009709A2">
            <w:pPr>
              <w:pStyle w:val="IASBTableArial"/>
            </w:pPr>
            <w:r>
              <w:t>15</w:t>
            </w:r>
          </w:p>
        </w:tc>
        <w:tc>
          <w:tcPr>
            <w:tcW w:w="273" w:type="dxa"/>
            <w:tcBorders>
              <w:top w:val="nil"/>
              <w:left w:val="nil"/>
            </w:tcBorders>
          </w:tcPr>
          <w:p w14:paraId="0BB2E89E" w14:textId="77777777" w:rsidR="00361651" w:rsidRDefault="00361651" w:rsidP="009709A2">
            <w:pPr>
              <w:pStyle w:val="IASBTableArial"/>
            </w:pPr>
            <w:r>
              <w:t xml:space="preserve"> </w:t>
            </w:r>
          </w:p>
        </w:tc>
        <w:tc>
          <w:tcPr>
            <w:tcW w:w="728" w:type="dxa"/>
            <w:tcBorders>
              <w:top w:val="nil"/>
              <w:left w:val="nil"/>
            </w:tcBorders>
          </w:tcPr>
          <w:p w14:paraId="0BB2E89F" w14:textId="77777777" w:rsidR="00361651" w:rsidRDefault="00361651" w:rsidP="009709A2">
            <w:pPr>
              <w:pStyle w:val="IASBTableArial"/>
            </w:pPr>
            <w:r>
              <w:t xml:space="preserve"> </w:t>
            </w:r>
          </w:p>
        </w:tc>
        <w:tc>
          <w:tcPr>
            <w:tcW w:w="273" w:type="dxa"/>
            <w:tcBorders>
              <w:top w:val="nil"/>
              <w:left w:val="nil"/>
            </w:tcBorders>
          </w:tcPr>
          <w:p w14:paraId="0BB2E8A0" w14:textId="77777777" w:rsidR="00361651" w:rsidRDefault="00361651" w:rsidP="009709A2">
            <w:pPr>
              <w:pStyle w:val="IASBTableArial"/>
            </w:pPr>
          </w:p>
        </w:tc>
        <w:tc>
          <w:tcPr>
            <w:tcW w:w="728" w:type="dxa"/>
            <w:tcBorders>
              <w:top w:val="nil"/>
              <w:left w:val="nil"/>
            </w:tcBorders>
          </w:tcPr>
          <w:p w14:paraId="0BB2E8A1" w14:textId="77777777" w:rsidR="00361651" w:rsidRDefault="00361651" w:rsidP="009709A2">
            <w:pPr>
              <w:pStyle w:val="IASBTableArial"/>
            </w:pPr>
          </w:p>
        </w:tc>
        <w:tc>
          <w:tcPr>
            <w:tcW w:w="273" w:type="dxa"/>
            <w:tcBorders>
              <w:top w:val="nil"/>
              <w:left w:val="nil"/>
            </w:tcBorders>
          </w:tcPr>
          <w:p w14:paraId="0BB2E8A2" w14:textId="77777777" w:rsidR="00361651" w:rsidRDefault="00361651" w:rsidP="009709A2">
            <w:pPr>
              <w:pStyle w:val="IASBTableArial"/>
            </w:pPr>
          </w:p>
        </w:tc>
        <w:tc>
          <w:tcPr>
            <w:tcW w:w="728" w:type="dxa"/>
            <w:tcBorders>
              <w:top w:val="nil"/>
              <w:left w:val="nil"/>
            </w:tcBorders>
          </w:tcPr>
          <w:p w14:paraId="0BB2E8A3" w14:textId="77777777" w:rsidR="00361651" w:rsidRDefault="00361651" w:rsidP="009709A2">
            <w:pPr>
              <w:pStyle w:val="IASBTableArial"/>
              <w:jc w:val="right"/>
            </w:pPr>
            <w:r>
              <w:t>30</w:t>
            </w:r>
          </w:p>
        </w:tc>
        <w:tc>
          <w:tcPr>
            <w:tcW w:w="273" w:type="dxa"/>
            <w:tcBorders>
              <w:top w:val="nil"/>
              <w:left w:val="nil"/>
            </w:tcBorders>
          </w:tcPr>
          <w:p w14:paraId="0BB2E8A4" w14:textId="77777777" w:rsidR="00361651" w:rsidRDefault="00361651" w:rsidP="009709A2">
            <w:pPr>
              <w:pStyle w:val="IASBTableArial"/>
            </w:pPr>
          </w:p>
        </w:tc>
        <w:tc>
          <w:tcPr>
            <w:tcW w:w="728" w:type="dxa"/>
            <w:tcBorders>
              <w:top w:val="nil"/>
              <w:left w:val="nil"/>
            </w:tcBorders>
          </w:tcPr>
          <w:p w14:paraId="0BB2E8A5" w14:textId="77777777" w:rsidR="00361651" w:rsidRDefault="00361651" w:rsidP="009709A2">
            <w:pPr>
              <w:pStyle w:val="IASBTableArial"/>
              <w:jc w:val="right"/>
            </w:pPr>
            <w:r>
              <w:t>4</w:t>
            </w:r>
          </w:p>
        </w:tc>
        <w:tc>
          <w:tcPr>
            <w:tcW w:w="273" w:type="dxa"/>
            <w:tcBorders>
              <w:top w:val="nil"/>
              <w:left w:val="nil"/>
            </w:tcBorders>
            <w:vAlign w:val="bottom"/>
          </w:tcPr>
          <w:p w14:paraId="0BB2E8A6" w14:textId="77777777" w:rsidR="00361651" w:rsidRDefault="00361651" w:rsidP="009709A2">
            <w:pPr>
              <w:pStyle w:val="IASBTableArial"/>
            </w:pPr>
          </w:p>
        </w:tc>
        <w:tc>
          <w:tcPr>
            <w:tcW w:w="728" w:type="dxa"/>
            <w:tcBorders>
              <w:top w:val="nil"/>
              <w:left w:val="nil"/>
            </w:tcBorders>
          </w:tcPr>
          <w:p w14:paraId="0BB2E8A7" w14:textId="77777777" w:rsidR="00361651" w:rsidRDefault="00361651" w:rsidP="009709A2">
            <w:pPr>
              <w:pStyle w:val="IASBTableArial"/>
              <w:jc w:val="right"/>
            </w:pPr>
            <w:r>
              <w:t>62</w:t>
            </w:r>
          </w:p>
        </w:tc>
        <w:tc>
          <w:tcPr>
            <w:tcW w:w="273" w:type="dxa"/>
            <w:tcBorders>
              <w:top w:val="nil"/>
              <w:left w:val="nil"/>
            </w:tcBorders>
            <w:vAlign w:val="bottom"/>
          </w:tcPr>
          <w:p w14:paraId="0BB2E8A8" w14:textId="77777777" w:rsidR="00361651" w:rsidRDefault="00361651" w:rsidP="009709A2">
            <w:pPr>
              <w:pStyle w:val="IASBTableArial"/>
            </w:pPr>
          </w:p>
        </w:tc>
        <w:tc>
          <w:tcPr>
            <w:tcW w:w="728" w:type="dxa"/>
            <w:tcBorders>
              <w:top w:val="nil"/>
              <w:left w:val="nil"/>
            </w:tcBorders>
          </w:tcPr>
          <w:p w14:paraId="0BB2E8A9" w14:textId="77777777" w:rsidR="00361651" w:rsidRDefault="00361651" w:rsidP="009709A2">
            <w:pPr>
              <w:pStyle w:val="IASBTableArial"/>
              <w:jc w:val="right"/>
            </w:pPr>
            <w:r>
              <w:t>8</w:t>
            </w:r>
          </w:p>
        </w:tc>
        <w:tc>
          <w:tcPr>
            <w:tcW w:w="273" w:type="dxa"/>
            <w:tcBorders>
              <w:top w:val="nil"/>
              <w:left w:val="nil"/>
            </w:tcBorders>
          </w:tcPr>
          <w:p w14:paraId="0BB2E8AA" w14:textId="77777777" w:rsidR="00361651" w:rsidRDefault="00361651" w:rsidP="009709A2">
            <w:pPr>
              <w:pStyle w:val="IASBTableArial"/>
              <w:jc w:val="right"/>
            </w:pPr>
          </w:p>
        </w:tc>
        <w:tc>
          <w:tcPr>
            <w:tcW w:w="728" w:type="dxa"/>
            <w:tcBorders>
              <w:top w:val="nil"/>
              <w:left w:val="nil"/>
            </w:tcBorders>
          </w:tcPr>
          <w:p w14:paraId="0BB2E8AB" w14:textId="77777777" w:rsidR="00361651" w:rsidRDefault="00361651" w:rsidP="009709A2">
            <w:pPr>
              <w:pStyle w:val="IASBTableArial"/>
              <w:jc w:val="right"/>
            </w:pPr>
            <w:r>
              <w:t>122</w:t>
            </w:r>
          </w:p>
        </w:tc>
        <w:tc>
          <w:tcPr>
            <w:tcW w:w="273" w:type="dxa"/>
            <w:tcBorders>
              <w:top w:val="nil"/>
              <w:left w:val="nil"/>
            </w:tcBorders>
            <w:vAlign w:val="bottom"/>
          </w:tcPr>
          <w:p w14:paraId="0BB2E8AC" w14:textId="77777777" w:rsidR="00361651" w:rsidRDefault="00361651" w:rsidP="009709A2">
            <w:pPr>
              <w:pStyle w:val="IASBTableArial"/>
            </w:pPr>
          </w:p>
        </w:tc>
        <w:tc>
          <w:tcPr>
            <w:tcW w:w="728" w:type="dxa"/>
            <w:tcBorders>
              <w:top w:val="nil"/>
              <w:left w:val="nil"/>
            </w:tcBorders>
            <w:vAlign w:val="bottom"/>
          </w:tcPr>
          <w:p w14:paraId="0BB2E8AD" w14:textId="77777777" w:rsidR="00361651" w:rsidRDefault="00361651" w:rsidP="009709A2">
            <w:pPr>
              <w:pStyle w:val="IASBTableArial"/>
              <w:jc w:val="right"/>
            </w:pPr>
            <w:r>
              <w:t>15</w:t>
            </w:r>
          </w:p>
        </w:tc>
      </w:tr>
      <w:tr w:rsidR="00361651" w14:paraId="0BB2E8C0" w14:textId="77777777" w:rsidTr="009709A2">
        <w:trPr>
          <w:cantSplit/>
        </w:trPr>
        <w:tc>
          <w:tcPr>
            <w:tcW w:w="840" w:type="dxa"/>
            <w:tcBorders>
              <w:top w:val="nil"/>
            </w:tcBorders>
          </w:tcPr>
          <w:p w14:paraId="0BB2E8AF" w14:textId="77777777" w:rsidR="00361651" w:rsidRDefault="00361651" w:rsidP="009709A2">
            <w:pPr>
              <w:pStyle w:val="IASBTableArial"/>
            </w:pPr>
            <w:r>
              <w:t>16</w:t>
            </w:r>
          </w:p>
        </w:tc>
        <w:tc>
          <w:tcPr>
            <w:tcW w:w="273" w:type="dxa"/>
            <w:tcBorders>
              <w:top w:val="nil"/>
              <w:left w:val="nil"/>
            </w:tcBorders>
          </w:tcPr>
          <w:p w14:paraId="0BB2E8B0" w14:textId="77777777" w:rsidR="00361651" w:rsidRDefault="00361651" w:rsidP="009709A2">
            <w:pPr>
              <w:pStyle w:val="IASBTableArial"/>
            </w:pPr>
            <w:r>
              <w:t xml:space="preserve"> </w:t>
            </w:r>
          </w:p>
        </w:tc>
        <w:tc>
          <w:tcPr>
            <w:tcW w:w="728" w:type="dxa"/>
            <w:tcBorders>
              <w:top w:val="nil"/>
              <w:left w:val="nil"/>
            </w:tcBorders>
          </w:tcPr>
          <w:p w14:paraId="0BB2E8B1" w14:textId="77777777" w:rsidR="00361651" w:rsidRDefault="00361651" w:rsidP="009709A2">
            <w:pPr>
              <w:pStyle w:val="IASBTableArial"/>
            </w:pPr>
            <w:r>
              <w:t xml:space="preserve"> </w:t>
            </w:r>
          </w:p>
        </w:tc>
        <w:tc>
          <w:tcPr>
            <w:tcW w:w="273" w:type="dxa"/>
            <w:tcBorders>
              <w:top w:val="nil"/>
              <w:left w:val="nil"/>
            </w:tcBorders>
          </w:tcPr>
          <w:p w14:paraId="0BB2E8B2" w14:textId="77777777" w:rsidR="00361651" w:rsidRDefault="00361651" w:rsidP="009709A2">
            <w:pPr>
              <w:pStyle w:val="IASBTableArial"/>
            </w:pPr>
          </w:p>
        </w:tc>
        <w:tc>
          <w:tcPr>
            <w:tcW w:w="728" w:type="dxa"/>
            <w:tcBorders>
              <w:top w:val="nil"/>
              <w:left w:val="nil"/>
            </w:tcBorders>
          </w:tcPr>
          <w:p w14:paraId="0BB2E8B3" w14:textId="77777777" w:rsidR="00361651" w:rsidRDefault="00361651" w:rsidP="009709A2">
            <w:pPr>
              <w:pStyle w:val="IASBTableArial"/>
            </w:pPr>
          </w:p>
        </w:tc>
        <w:tc>
          <w:tcPr>
            <w:tcW w:w="273" w:type="dxa"/>
            <w:tcBorders>
              <w:top w:val="nil"/>
              <w:left w:val="nil"/>
            </w:tcBorders>
          </w:tcPr>
          <w:p w14:paraId="0BB2E8B4" w14:textId="77777777" w:rsidR="00361651" w:rsidRDefault="00361651" w:rsidP="009709A2">
            <w:pPr>
              <w:pStyle w:val="IASBTableArial"/>
            </w:pPr>
          </w:p>
        </w:tc>
        <w:tc>
          <w:tcPr>
            <w:tcW w:w="728" w:type="dxa"/>
            <w:tcBorders>
              <w:top w:val="nil"/>
              <w:left w:val="nil"/>
            </w:tcBorders>
          </w:tcPr>
          <w:p w14:paraId="0BB2E8B5" w14:textId="77777777" w:rsidR="00361651" w:rsidRDefault="00361651" w:rsidP="009709A2">
            <w:pPr>
              <w:pStyle w:val="IASBTableArial"/>
              <w:jc w:val="right"/>
            </w:pPr>
            <w:r>
              <w:t>26</w:t>
            </w:r>
          </w:p>
        </w:tc>
        <w:tc>
          <w:tcPr>
            <w:tcW w:w="273" w:type="dxa"/>
            <w:tcBorders>
              <w:top w:val="nil"/>
              <w:left w:val="nil"/>
            </w:tcBorders>
          </w:tcPr>
          <w:p w14:paraId="0BB2E8B6" w14:textId="77777777" w:rsidR="00361651" w:rsidRDefault="00361651" w:rsidP="009709A2">
            <w:pPr>
              <w:pStyle w:val="IASBTableArial"/>
            </w:pPr>
          </w:p>
        </w:tc>
        <w:tc>
          <w:tcPr>
            <w:tcW w:w="728" w:type="dxa"/>
            <w:tcBorders>
              <w:top w:val="nil"/>
              <w:left w:val="nil"/>
            </w:tcBorders>
          </w:tcPr>
          <w:p w14:paraId="0BB2E8B7" w14:textId="77777777" w:rsidR="00361651" w:rsidRDefault="00361651" w:rsidP="009709A2">
            <w:pPr>
              <w:pStyle w:val="IASBTableArial"/>
              <w:jc w:val="right"/>
            </w:pPr>
            <w:r>
              <w:t>3</w:t>
            </w:r>
          </w:p>
        </w:tc>
        <w:tc>
          <w:tcPr>
            <w:tcW w:w="273" w:type="dxa"/>
            <w:tcBorders>
              <w:top w:val="nil"/>
              <w:left w:val="nil"/>
            </w:tcBorders>
            <w:vAlign w:val="bottom"/>
          </w:tcPr>
          <w:p w14:paraId="0BB2E8B8" w14:textId="77777777" w:rsidR="00361651" w:rsidRDefault="00361651" w:rsidP="009709A2">
            <w:pPr>
              <w:pStyle w:val="IASBTableArial"/>
            </w:pPr>
          </w:p>
        </w:tc>
        <w:tc>
          <w:tcPr>
            <w:tcW w:w="728" w:type="dxa"/>
            <w:tcBorders>
              <w:top w:val="nil"/>
              <w:left w:val="nil"/>
            </w:tcBorders>
          </w:tcPr>
          <w:p w14:paraId="0BB2E8B9" w14:textId="77777777" w:rsidR="00361651" w:rsidRDefault="00361651" w:rsidP="009709A2">
            <w:pPr>
              <w:pStyle w:val="IASBTableArial"/>
              <w:jc w:val="right"/>
            </w:pPr>
            <w:r>
              <w:t>60</w:t>
            </w:r>
          </w:p>
        </w:tc>
        <w:tc>
          <w:tcPr>
            <w:tcW w:w="273" w:type="dxa"/>
            <w:tcBorders>
              <w:top w:val="nil"/>
              <w:left w:val="nil"/>
            </w:tcBorders>
            <w:vAlign w:val="bottom"/>
          </w:tcPr>
          <w:p w14:paraId="0BB2E8BA" w14:textId="77777777" w:rsidR="00361651" w:rsidRDefault="00361651" w:rsidP="009709A2">
            <w:pPr>
              <w:pStyle w:val="IASBTableArial"/>
            </w:pPr>
          </w:p>
        </w:tc>
        <w:tc>
          <w:tcPr>
            <w:tcW w:w="728" w:type="dxa"/>
            <w:tcBorders>
              <w:top w:val="nil"/>
              <w:left w:val="nil"/>
            </w:tcBorders>
          </w:tcPr>
          <w:p w14:paraId="0BB2E8BB" w14:textId="77777777" w:rsidR="00361651" w:rsidRDefault="00361651" w:rsidP="009709A2">
            <w:pPr>
              <w:pStyle w:val="IASBTableArial"/>
              <w:jc w:val="right"/>
            </w:pPr>
            <w:r>
              <w:t>6</w:t>
            </w:r>
          </w:p>
        </w:tc>
        <w:tc>
          <w:tcPr>
            <w:tcW w:w="273" w:type="dxa"/>
            <w:tcBorders>
              <w:top w:val="nil"/>
              <w:left w:val="nil"/>
            </w:tcBorders>
          </w:tcPr>
          <w:p w14:paraId="0BB2E8BC" w14:textId="77777777" w:rsidR="00361651" w:rsidRDefault="00361651" w:rsidP="009709A2">
            <w:pPr>
              <w:pStyle w:val="IASBTableArial"/>
              <w:jc w:val="right"/>
            </w:pPr>
          </w:p>
        </w:tc>
        <w:tc>
          <w:tcPr>
            <w:tcW w:w="728" w:type="dxa"/>
            <w:tcBorders>
              <w:top w:val="nil"/>
              <w:left w:val="nil"/>
            </w:tcBorders>
          </w:tcPr>
          <w:p w14:paraId="0BB2E8BD" w14:textId="77777777" w:rsidR="00361651" w:rsidRDefault="00361651" w:rsidP="009709A2">
            <w:pPr>
              <w:pStyle w:val="IASBTableArial"/>
              <w:jc w:val="right"/>
            </w:pPr>
            <w:r>
              <w:t>115</w:t>
            </w:r>
          </w:p>
        </w:tc>
        <w:tc>
          <w:tcPr>
            <w:tcW w:w="273" w:type="dxa"/>
            <w:tcBorders>
              <w:top w:val="nil"/>
              <w:left w:val="nil"/>
            </w:tcBorders>
            <w:vAlign w:val="bottom"/>
          </w:tcPr>
          <w:p w14:paraId="0BB2E8BE" w14:textId="77777777" w:rsidR="00361651" w:rsidRDefault="00361651" w:rsidP="009709A2">
            <w:pPr>
              <w:pStyle w:val="IASBTableArial"/>
            </w:pPr>
          </w:p>
        </w:tc>
        <w:tc>
          <w:tcPr>
            <w:tcW w:w="728" w:type="dxa"/>
            <w:tcBorders>
              <w:top w:val="nil"/>
              <w:left w:val="nil"/>
            </w:tcBorders>
            <w:vAlign w:val="bottom"/>
          </w:tcPr>
          <w:p w14:paraId="0BB2E8BF" w14:textId="77777777" w:rsidR="00361651" w:rsidRDefault="00361651" w:rsidP="009709A2">
            <w:pPr>
              <w:pStyle w:val="IASBTableArial"/>
              <w:jc w:val="right"/>
            </w:pPr>
            <w:r>
              <w:t>12</w:t>
            </w:r>
          </w:p>
        </w:tc>
      </w:tr>
      <w:tr w:rsidR="00361651" w14:paraId="0BB2E8D2" w14:textId="77777777" w:rsidTr="009709A2">
        <w:trPr>
          <w:cantSplit/>
        </w:trPr>
        <w:tc>
          <w:tcPr>
            <w:tcW w:w="840" w:type="dxa"/>
            <w:tcBorders>
              <w:top w:val="nil"/>
            </w:tcBorders>
          </w:tcPr>
          <w:p w14:paraId="0BB2E8C1" w14:textId="77777777" w:rsidR="00361651" w:rsidRDefault="00361651" w:rsidP="009709A2">
            <w:pPr>
              <w:pStyle w:val="IASBTableArial"/>
            </w:pPr>
            <w:r>
              <w:t>17</w:t>
            </w:r>
          </w:p>
        </w:tc>
        <w:tc>
          <w:tcPr>
            <w:tcW w:w="273" w:type="dxa"/>
            <w:tcBorders>
              <w:top w:val="nil"/>
              <w:left w:val="nil"/>
            </w:tcBorders>
          </w:tcPr>
          <w:p w14:paraId="0BB2E8C2" w14:textId="77777777" w:rsidR="00361651" w:rsidRDefault="00361651" w:rsidP="009709A2">
            <w:pPr>
              <w:pStyle w:val="IASBTableArial"/>
            </w:pPr>
            <w:r>
              <w:t xml:space="preserve"> </w:t>
            </w:r>
          </w:p>
        </w:tc>
        <w:tc>
          <w:tcPr>
            <w:tcW w:w="728" w:type="dxa"/>
            <w:tcBorders>
              <w:top w:val="nil"/>
              <w:left w:val="nil"/>
            </w:tcBorders>
          </w:tcPr>
          <w:p w14:paraId="0BB2E8C3" w14:textId="77777777" w:rsidR="00361651" w:rsidRDefault="00361651" w:rsidP="009709A2">
            <w:pPr>
              <w:pStyle w:val="IASBTableArial"/>
            </w:pPr>
            <w:r>
              <w:t xml:space="preserve"> </w:t>
            </w:r>
          </w:p>
        </w:tc>
        <w:tc>
          <w:tcPr>
            <w:tcW w:w="273" w:type="dxa"/>
            <w:tcBorders>
              <w:top w:val="nil"/>
              <w:left w:val="nil"/>
            </w:tcBorders>
          </w:tcPr>
          <w:p w14:paraId="0BB2E8C4" w14:textId="77777777" w:rsidR="00361651" w:rsidRDefault="00361651" w:rsidP="009709A2">
            <w:pPr>
              <w:pStyle w:val="IASBTableArial"/>
            </w:pPr>
          </w:p>
        </w:tc>
        <w:tc>
          <w:tcPr>
            <w:tcW w:w="728" w:type="dxa"/>
            <w:tcBorders>
              <w:top w:val="nil"/>
              <w:left w:val="nil"/>
            </w:tcBorders>
          </w:tcPr>
          <w:p w14:paraId="0BB2E8C5" w14:textId="77777777" w:rsidR="00361651" w:rsidRDefault="00361651" w:rsidP="009709A2">
            <w:pPr>
              <w:pStyle w:val="IASBTableArial"/>
            </w:pPr>
          </w:p>
        </w:tc>
        <w:tc>
          <w:tcPr>
            <w:tcW w:w="273" w:type="dxa"/>
            <w:tcBorders>
              <w:top w:val="nil"/>
              <w:left w:val="nil"/>
            </w:tcBorders>
          </w:tcPr>
          <w:p w14:paraId="0BB2E8C6" w14:textId="77777777" w:rsidR="00361651" w:rsidRDefault="00361651" w:rsidP="009709A2">
            <w:pPr>
              <w:pStyle w:val="IASBTableArial"/>
            </w:pPr>
          </w:p>
        </w:tc>
        <w:tc>
          <w:tcPr>
            <w:tcW w:w="728" w:type="dxa"/>
            <w:tcBorders>
              <w:top w:val="nil"/>
              <w:left w:val="nil"/>
            </w:tcBorders>
          </w:tcPr>
          <w:p w14:paraId="0BB2E8C7" w14:textId="77777777" w:rsidR="00361651" w:rsidRDefault="00361651" w:rsidP="009709A2">
            <w:pPr>
              <w:pStyle w:val="IASBTableArial"/>
              <w:jc w:val="right"/>
            </w:pPr>
            <w:r>
              <w:t>22</w:t>
            </w:r>
          </w:p>
        </w:tc>
        <w:tc>
          <w:tcPr>
            <w:tcW w:w="273" w:type="dxa"/>
            <w:tcBorders>
              <w:top w:val="nil"/>
              <w:left w:val="nil"/>
            </w:tcBorders>
          </w:tcPr>
          <w:p w14:paraId="0BB2E8C8" w14:textId="77777777" w:rsidR="00361651" w:rsidRDefault="00361651" w:rsidP="009709A2">
            <w:pPr>
              <w:pStyle w:val="IASBTableArial"/>
            </w:pPr>
          </w:p>
        </w:tc>
        <w:tc>
          <w:tcPr>
            <w:tcW w:w="728" w:type="dxa"/>
            <w:tcBorders>
              <w:top w:val="nil"/>
              <w:left w:val="nil"/>
            </w:tcBorders>
          </w:tcPr>
          <w:p w14:paraId="0BB2E8C9" w14:textId="77777777" w:rsidR="00361651" w:rsidRDefault="00361651" w:rsidP="009709A2">
            <w:pPr>
              <w:pStyle w:val="IASBTableArial"/>
              <w:jc w:val="right"/>
            </w:pPr>
            <w:r>
              <w:t>2</w:t>
            </w:r>
          </w:p>
        </w:tc>
        <w:tc>
          <w:tcPr>
            <w:tcW w:w="273" w:type="dxa"/>
            <w:tcBorders>
              <w:top w:val="nil"/>
              <w:left w:val="nil"/>
            </w:tcBorders>
            <w:vAlign w:val="bottom"/>
          </w:tcPr>
          <w:p w14:paraId="0BB2E8CA" w14:textId="77777777" w:rsidR="00361651" w:rsidRDefault="00361651" w:rsidP="009709A2">
            <w:pPr>
              <w:pStyle w:val="IASBTableArial"/>
            </w:pPr>
          </w:p>
        </w:tc>
        <w:tc>
          <w:tcPr>
            <w:tcW w:w="728" w:type="dxa"/>
            <w:tcBorders>
              <w:top w:val="nil"/>
              <w:left w:val="nil"/>
            </w:tcBorders>
          </w:tcPr>
          <w:p w14:paraId="0BB2E8CB" w14:textId="77777777" w:rsidR="00361651" w:rsidRDefault="00361651" w:rsidP="009709A2">
            <w:pPr>
              <w:pStyle w:val="IASBTableArial"/>
              <w:jc w:val="right"/>
            </w:pPr>
            <w:r>
              <w:t>57</w:t>
            </w:r>
          </w:p>
        </w:tc>
        <w:tc>
          <w:tcPr>
            <w:tcW w:w="273" w:type="dxa"/>
            <w:tcBorders>
              <w:top w:val="nil"/>
              <w:left w:val="nil"/>
            </w:tcBorders>
            <w:vAlign w:val="bottom"/>
          </w:tcPr>
          <w:p w14:paraId="0BB2E8CC" w14:textId="77777777" w:rsidR="00361651" w:rsidRDefault="00361651" w:rsidP="009709A2">
            <w:pPr>
              <w:pStyle w:val="IASBTableArial"/>
            </w:pPr>
          </w:p>
        </w:tc>
        <w:tc>
          <w:tcPr>
            <w:tcW w:w="728" w:type="dxa"/>
            <w:tcBorders>
              <w:top w:val="nil"/>
              <w:left w:val="nil"/>
            </w:tcBorders>
          </w:tcPr>
          <w:p w14:paraId="0BB2E8CD" w14:textId="77777777" w:rsidR="00361651" w:rsidRDefault="00361651" w:rsidP="009709A2">
            <w:pPr>
              <w:pStyle w:val="IASBTableArial"/>
              <w:jc w:val="right"/>
            </w:pPr>
            <w:r>
              <w:t>5</w:t>
            </w:r>
          </w:p>
        </w:tc>
        <w:tc>
          <w:tcPr>
            <w:tcW w:w="273" w:type="dxa"/>
            <w:tcBorders>
              <w:top w:val="nil"/>
              <w:left w:val="nil"/>
            </w:tcBorders>
          </w:tcPr>
          <w:p w14:paraId="0BB2E8CE" w14:textId="77777777" w:rsidR="00361651" w:rsidRDefault="00361651" w:rsidP="009709A2">
            <w:pPr>
              <w:pStyle w:val="IASBTableArial"/>
              <w:jc w:val="right"/>
            </w:pPr>
          </w:p>
        </w:tc>
        <w:tc>
          <w:tcPr>
            <w:tcW w:w="728" w:type="dxa"/>
            <w:tcBorders>
              <w:top w:val="nil"/>
              <w:left w:val="nil"/>
            </w:tcBorders>
          </w:tcPr>
          <w:p w14:paraId="0BB2E8CF" w14:textId="77777777" w:rsidR="00361651" w:rsidRDefault="00361651" w:rsidP="009709A2">
            <w:pPr>
              <w:pStyle w:val="IASBTableArial"/>
              <w:jc w:val="right"/>
            </w:pPr>
            <w:r>
              <w:t>108</w:t>
            </w:r>
          </w:p>
        </w:tc>
        <w:tc>
          <w:tcPr>
            <w:tcW w:w="273" w:type="dxa"/>
            <w:tcBorders>
              <w:top w:val="nil"/>
              <w:left w:val="nil"/>
            </w:tcBorders>
            <w:vAlign w:val="bottom"/>
          </w:tcPr>
          <w:p w14:paraId="0BB2E8D0" w14:textId="77777777" w:rsidR="00361651" w:rsidRDefault="00361651" w:rsidP="009709A2">
            <w:pPr>
              <w:pStyle w:val="IASBTableArial"/>
            </w:pPr>
          </w:p>
        </w:tc>
        <w:tc>
          <w:tcPr>
            <w:tcW w:w="728" w:type="dxa"/>
            <w:tcBorders>
              <w:top w:val="nil"/>
              <w:left w:val="nil"/>
            </w:tcBorders>
            <w:vAlign w:val="bottom"/>
          </w:tcPr>
          <w:p w14:paraId="0BB2E8D1" w14:textId="77777777" w:rsidR="00361651" w:rsidRDefault="00361651" w:rsidP="009709A2">
            <w:pPr>
              <w:pStyle w:val="IASBTableArial"/>
              <w:jc w:val="right"/>
            </w:pPr>
            <w:r>
              <w:t>10</w:t>
            </w:r>
          </w:p>
        </w:tc>
      </w:tr>
      <w:tr w:rsidR="00361651" w14:paraId="0BB2E8E4" w14:textId="77777777" w:rsidTr="009709A2">
        <w:trPr>
          <w:cantSplit/>
        </w:trPr>
        <w:tc>
          <w:tcPr>
            <w:tcW w:w="840" w:type="dxa"/>
            <w:tcBorders>
              <w:top w:val="nil"/>
            </w:tcBorders>
          </w:tcPr>
          <w:p w14:paraId="0BB2E8D3" w14:textId="77777777" w:rsidR="00361651" w:rsidRDefault="00361651" w:rsidP="009709A2">
            <w:pPr>
              <w:pStyle w:val="IASBTableArial"/>
            </w:pPr>
            <w:r>
              <w:t>18</w:t>
            </w:r>
          </w:p>
        </w:tc>
        <w:tc>
          <w:tcPr>
            <w:tcW w:w="273" w:type="dxa"/>
            <w:tcBorders>
              <w:top w:val="nil"/>
              <w:left w:val="nil"/>
            </w:tcBorders>
          </w:tcPr>
          <w:p w14:paraId="0BB2E8D4" w14:textId="77777777" w:rsidR="00361651" w:rsidRDefault="00361651" w:rsidP="009709A2">
            <w:pPr>
              <w:pStyle w:val="IASBTableArial"/>
            </w:pPr>
            <w:r>
              <w:t xml:space="preserve"> </w:t>
            </w:r>
          </w:p>
        </w:tc>
        <w:tc>
          <w:tcPr>
            <w:tcW w:w="728" w:type="dxa"/>
            <w:tcBorders>
              <w:top w:val="nil"/>
              <w:left w:val="nil"/>
            </w:tcBorders>
          </w:tcPr>
          <w:p w14:paraId="0BB2E8D5" w14:textId="77777777" w:rsidR="00361651" w:rsidRDefault="00361651" w:rsidP="009709A2">
            <w:pPr>
              <w:pStyle w:val="IASBTableArial"/>
            </w:pPr>
            <w:r>
              <w:t xml:space="preserve"> </w:t>
            </w:r>
          </w:p>
        </w:tc>
        <w:tc>
          <w:tcPr>
            <w:tcW w:w="273" w:type="dxa"/>
            <w:tcBorders>
              <w:top w:val="nil"/>
              <w:left w:val="nil"/>
            </w:tcBorders>
          </w:tcPr>
          <w:p w14:paraId="0BB2E8D6" w14:textId="77777777" w:rsidR="00361651" w:rsidRDefault="00361651" w:rsidP="009709A2">
            <w:pPr>
              <w:pStyle w:val="IASBTableArial"/>
            </w:pPr>
          </w:p>
        </w:tc>
        <w:tc>
          <w:tcPr>
            <w:tcW w:w="728" w:type="dxa"/>
            <w:tcBorders>
              <w:top w:val="nil"/>
              <w:left w:val="nil"/>
            </w:tcBorders>
          </w:tcPr>
          <w:p w14:paraId="0BB2E8D7" w14:textId="77777777" w:rsidR="00361651" w:rsidRDefault="00361651" w:rsidP="009709A2">
            <w:pPr>
              <w:pStyle w:val="IASBTableArial"/>
            </w:pPr>
          </w:p>
        </w:tc>
        <w:tc>
          <w:tcPr>
            <w:tcW w:w="273" w:type="dxa"/>
            <w:tcBorders>
              <w:top w:val="nil"/>
              <w:left w:val="nil"/>
            </w:tcBorders>
          </w:tcPr>
          <w:p w14:paraId="0BB2E8D8" w14:textId="77777777" w:rsidR="00361651" w:rsidRDefault="00361651" w:rsidP="009709A2">
            <w:pPr>
              <w:pStyle w:val="IASBTableArial"/>
            </w:pPr>
          </w:p>
        </w:tc>
        <w:tc>
          <w:tcPr>
            <w:tcW w:w="728" w:type="dxa"/>
            <w:tcBorders>
              <w:top w:val="nil"/>
              <w:left w:val="nil"/>
            </w:tcBorders>
          </w:tcPr>
          <w:p w14:paraId="0BB2E8D9" w14:textId="77777777" w:rsidR="00361651" w:rsidRDefault="00361651" w:rsidP="009709A2">
            <w:pPr>
              <w:pStyle w:val="IASBTableArial"/>
              <w:jc w:val="right"/>
            </w:pPr>
            <w:r>
              <w:t>18</w:t>
            </w:r>
          </w:p>
        </w:tc>
        <w:tc>
          <w:tcPr>
            <w:tcW w:w="273" w:type="dxa"/>
            <w:tcBorders>
              <w:top w:val="nil"/>
              <w:left w:val="nil"/>
            </w:tcBorders>
          </w:tcPr>
          <w:p w14:paraId="0BB2E8DA" w14:textId="77777777" w:rsidR="00361651" w:rsidRDefault="00361651" w:rsidP="009709A2">
            <w:pPr>
              <w:pStyle w:val="IASBTableArial"/>
            </w:pPr>
          </w:p>
        </w:tc>
        <w:tc>
          <w:tcPr>
            <w:tcW w:w="728" w:type="dxa"/>
            <w:tcBorders>
              <w:top w:val="nil"/>
              <w:left w:val="nil"/>
            </w:tcBorders>
          </w:tcPr>
          <w:p w14:paraId="0BB2E8DB" w14:textId="77777777" w:rsidR="00361651" w:rsidRDefault="00361651" w:rsidP="009709A2">
            <w:pPr>
              <w:pStyle w:val="IASBTableArial"/>
              <w:jc w:val="right"/>
            </w:pPr>
            <w:r>
              <w:t>1</w:t>
            </w:r>
          </w:p>
        </w:tc>
        <w:tc>
          <w:tcPr>
            <w:tcW w:w="273" w:type="dxa"/>
            <w:tcBorders>
              <w:top w:val="nil"/>
              <w:left w:val="nil"/>
            </w:tcBorders>
            <w:vAlign w:val="bottom"/>
          </w:tcPr>
          <w:p w14:paraId="0BB2E8DC" w14:textId="77777777" w:rsidR="00361651" w:rsidRDefault="00361651" w:rsidP="009709A2">
            <w:pPr>
              <w:pStyle w:val="IASBTableArial"/>
            </w:pPr>
          </w:p>
        </w:tc>
        <w:tc>
          <w:tcPr>
            <w:tcW w:w="728" w:type="dxa"/>
            <w:tcBorders>
              <w:top w:val="nil"/>
              <w:left w:val="nil"/>
            </w:tcBorders>
          </w:tcPr>
          <w:p w14:paraId="0BB2E8DD" w14:textId="77777777" w:rsidR="00361651" w:rsidRDefault="00361651" w:rsidP="009709A2">
            <w:pPr>
              <w:pStyle w:val="IASBTableArial"/>
              <w:jc w:val="right"/>
            </w:pPr>
            <w:r>
              <w:t>51</w:t>
            </w:r>
          </w:p>
        </w:tc>
        <w:tc>
          <w:tcPr>
            <w:tcW w:w="273" w:type="dxa"/>
            <w:tcBorders>
              <w:top w:val="nil"/>
              <w:left w:val="nil"/>
            </w:tcBorders>
            <w:vAlign w:val="bottom"/>
          </w:tcPr>
          <w:p w14:paraId="0BB2E8DE" w14:textId="77777777" w:rsidR="00361651" w:rsidRDefault="00361651" w:rsidP="009709A2">
            <w:pPr>
              <w:pStyle w:val="IASBTableArial"/>
            </w:pPr>
          </w:p>
        </w:tc>
        <w:tc>
          <w:tcPr>
            <w:tcW w:w="728" w:type="dxa"/>
            <w:tcBorders>
              <w:top w:val="nil"/>
              <w:left w:val="nil"/>
            </w:tcBorders>
          </w:tcPr>
          <w:p w14:paraId="0BB2E8DF" w14:textId="77777777" w:rsidR="00361651" w:rsidRDefault="00361651" w:rsidP="009709A2">
            <w:pPr>
              <w:pStyle w:val="IASBTableArial"/>
              <w:jc w:val="right"/>
            </w:pPr>
            <w:r>
              <w:t>4</w:t>
            </w:r>
          </w:p>
        </w:tc>
        <w:tc>
          <w:tcPr>
            <w:tcW w:w="273" w:type="dxa"/>
            <w:tcBorders>
              <w:top w:val="nil"/>
              <w:left w:val="nil"/>
            </w:tcBorders>
          </w:tcPr>
          <w:p w14:paraId="0BB2E8E0" w14:textId="77777777" w:rsidR="00361651" w:rsidRDefault="00361651" w:rsidP="009709A2">
            <w:pPr>
              <w:pStyle w:val="IASBTableArial"/>
              <w:jc w:val="right"/>
            </w:pPr>
          </w:p>
        </w:tc>
        <w:tc>
          <w:tcPr>
            <w:tcW w:w="728" w:type="dxa"/>
            <w:tcBorders>
              <w:top w:val="nil"/>
              <w:left w:val="nil"/>
            </w:tcBorders>
          </w:tcPr>
          <w:p w14:paraId="0BB2E8E1" w14:textId="77777777" w:rsidR="00361651" w:rsidRDefault="00361651" w:rsidP="009709A2">
            <w:pPr>
              <w:pStyle w:val="IASBTableArial"/>
              <w:jc w:val="right"/>
            </w:pPr>
            <w:r>
              <w:t>97</w:t>
            </w:r>
          </w:p>
        </w:tc>
        <w:tc>
          <w:tcPr>
            <w:tcW w:w="273" w:type="dxa"/>
            <w:tcBorders>
              <w:top w:val="nil"/>
              <w:left w:val="nil"/>
            </w:tcBorders>
            <w:vAlign w:val="bottom"/>
          </w:tcPr>
          <w:p w14:paraId="0BB2E8E2" w14:textId="77777777" w:rsidR="00361651" w:rsidRDefault="00361651" w:rsidP="009709A2">
            <w:pPr>
              <w:pStyle w:val="IASBTableArial"/>
            </w:pPr>
          </w:p>
        </w:tc>
        <w:tc>
          <w:tcPr>
            <w:tcW w:w="728" w:type="dxa"/>
            <w:tcBorders>
              <w:top w:val="nil"/>
              <w:left w:val="nil"/>
            </w:tcBorders>
            <w:vAlign w:val="bottom"/>
          </w:tcPr>
          <w:p w14:paraId="0BB2E8E3" w14:textId="77777777" w:rsidR="00361651" w:rsidRDefault="00361651" w:rsidP="009709A2">
            <w:pPr>
              <w:pStyle w:val="IASBTableArial"/>
              <w:jc w:val="right"/>
            </w:pPr>
            <w:r>
              <w:t>8</w:t>
            </w:r>
          </w:p>
        </w:tc>
      </w:tr>
      <w:tr w:rsidR="00361651" w14:paraId="0BB2E8F6" w14:textId="77777777" w:rsidTr="009709A2">
        <w:trPr>
          <w:cantSplit/>
        </w:trPr>
        <w:tc>
          <w:tcPr>
            <w:tcW w:w="840" w:type="dxa"/>
            <w:tcBorders>
              <w:top w:val="nil"/>
            </w:tcBorders>
          </w:tcPr>
          <w:p w14:paraId="0BB2E8E5" w14:textId="77777777" w:rsidR="00361651" w:rsidRDefault="00361651" w:rsidP="009709A2">
            <w:pPr>
              <w:pStyle w:val="IASBTableArial"/>
            </w:pPr>
            <w:r>
              <w:t>19</w:t>
            </w:r>
          </w:p>
        </w:tc>
        <w:tc>
          <w:tcPr>
            <w:tcW w:w="273" w:type="dxa"/>
            <w:tcBorders>
              <w:top w:val="nil"/>
              <w:left w:val="nil"/>
            </w:tcBorders>
          </w:tcPr>
          <w:p w14:paraId="0BB2E8E6" w14:textId="77777777" w:rsidR="00361651" w:rsidRDefault="00361651" w:rsidP="009709A2">
            <w:pPr>
              <w:pStyle w:val="IASBTableArial"/>
            </w:pPr>
            <w:r>
              <w:t xml:space="preserve"> </w:t>
            </w:r>
          </w:p>
        </w:tc>
        <w:tc>
          <w:tcPr>
            <w:tcW w:w="728" w:type="dxa"/>
            <w:tcBorders>
              <w:top w:val="nil"/>
              <w:left w:val="nil"/>
            </w:tcBorders>
          </w:tcPr>
          <w:p w14:paraId="0BB2E8E7" w14:textId="77777777" w:rsidR="00361651" w:rsidRDefault="00361651" w:rsidP="009709A2">
            <w:pPr>
              <w:pStyle w:val="IASBTableArial"/>
            </w:pPr>
            <w:r>
              <w:t xml:space="preserve"> </w:t>
            </w:r>
          </w:p>
        </w:tc>
        <w:tc>
          <w:tcPr>
            <w:tcW w:w="273" w:type="dxa"/>
            <w:tcBorders>
              <w:top w:val="nil"/>
              <w:left w:val="nil"/>
            </w:tcBorders>
          </w:tcPr>
          <w:p w14:paraId="0BB2E8E8" w14:textId="77777777" w:rsidR="00361651" w:rsidRDefault="00361651" w:rsidP="009709A2">
            <w:pPr>
              <w:pStyle w:val="IASBTableArial"/>
            </w:pPr>
          </w:p>
        </w:tc>
        <w:tc>
          <w:tcPr>
            <w:tcW w:w="728" w:type="dxa"/>
            <w:tcBorders>
              <w:top w:val="nil"/>
              <w:left w:val="nil"/>
            </w:tcBorders>
          </w:tcPr>
          <w:p w14:paraId="0BB2E8E9" w14:textId="77777777" w:rsidR="00361651" w:rsidRDefault="00361651" w:rsidP="009709A2">
            <w:pPr>
              <w:pStyle w:val="IASBTableArial"/>
            </w:pPr>
          </w:p>
        </w:tc>
        <w:tc>
          <w:tcPr>
            <w:tcW w:w="273" w:type="dxa"/>
            <w:tcBorders>
              <w:top w:val="nil"/>
              <w:left w:val="nil"/>
            </w:tcBorders>
          </w:tcPr>
          <w:p w14:paraId="0BB2E8EA" w14:textId="77777777" w:rsidR="00361651" w:rsidRDefault="00361651" w:rsidP="009709A2">
            <w:pPr>
              <w:pStyle w:val="IASBTableArial"/>
            </w:pPr>
          </w:p>
        </w:tc>
        <w:tc>
          <w:tcPr>
            <w:tcW w:w="728" w:type="dxa"/>
            <w:tcBorders>
              <w:top w:val="nil"/>
              <w:left w:val="nil"/>
            </w:tcBorders>
          </w:tcPr>
          <w:p w14:paraId="0BB2E8EB" w14:textId="77777777" w:rsidR="00361651" w:rsidRDefault="00361651" w:rsidP="009709A2">
            <w:pPr>
              <w:pStyle w:val="IASBTableArial"/>
              <w:jc w:val="right"/>
            </w:pPr>
            <w:r>
              <w:t>14</w:t>
            </w:r>
          </w:p>
        </w:tc>
        <w:tc>
          <w:tcPr>
            <w:tcW w:w="273" w:type="dxa"/>
            <w:tcBorders>
              <w:top w:val="nil"/>
              <w:left w:val="nil"/>
            </w:tcBorders>
          </w:tcPr>
          <w:p w14:paraId="0BB2E8EC" w14:textId="77777777" w:rsidR="00361651" w:rsidRDefault="00361651" w:rsidP="009709A2">
            <w:pPr>
              <w:pStyle w:val="IASBTableArial"/>
            </w:pPr>
          </w:p>
        </w:tc>
        <w:tc>
          <w:tcPr>
            <w:tcW w:w="728" w:type="dxa"/>
            <w:tcBorders>
              <w:top w:val="nil"/>
              <w:left w:val="nil"/>
            </w:tcBorders>
          </w:tcPr>
          <w:p w14:paraId="0BB2E8ED" w14:textId="77777777" w:rsidR="00361651" w:rsidRDefault="00361651" w:rsidP="009709A2">
            <w:pPr>
              <w:pStyle w:val="IASBTableArial"/>
              <w:jc w:val="right"/>
            </w:pPr>
            <w:r>
              <w:t>1</w:t>
            </w:r>
          </w:p>
        </w:tc>
        <w:tc>
          <w:tcPr>
            <w:tcW w:w="273" w:type="dxa"/>
            <w:tcBorders>
              <w:top w:val="nil"/>
              <w:left w:val="nil"/>
            </w:tcBorders>
            <w:vAlign w:val="bottom"/>
          </w:tcPr>
          <w:p w14:paraId="0BB2E8EE" w14:textId="77777777" w:rsidR="00361651" w:rsidRDefault="00361651" w:rsidP="009709A2">
            <w:pPr>
              <w:pStyle w:val="IASBTableArial"/>
            </w:pPr>
          </w:p>
        </w:tc>
        <w:tc>
          <w:tcPr>
            <w:tcW w:w="728" w:type="dxa"/>
            <w:tcBorders>
              <w:top w:val="nil"/>
              <w:left w:val="nil"/>
            </w:tcBorders>
          </w:tcPr>
          <w:p w14:paraId="0BB2E8EF" w14:textId="77777777" w:rsidR="00361651" w:rsidRDefault="00361651" w:rsidP="009709A2">
            <w:pPr>
              <w:pStyle w:val="IASBTableArial"/>
              <w:jc w:val="right"/>
            </w:pPr>
            <w:r>
              <w:t>43</w:t>
            </w:r>
          </w:p>
        </w:tc>
        <w:tc>
          <w:tcPr>
            <w:tcW w:w="273" w:type="dxa"/>
            <w:tcBorders>
              <w:top w:val="nil"/>
              <w:left w:val="nil"/>
            </w:tcBorders>
            <w:vAlign w:val="bottom"/>
          </w:tcPr>
          <w:p w14:paraId="0BB2E8F0" w14:textId="77777777" w:rsidR="00361651" w:rsidRDefault="00361651" w:rsidP="009709A2">
            <w:pPr>
              <w:pStyle w:val="IASBTableArial"/>
            </w:pPr>
          </w:p>
        </w:tc>
        <w:tc>
          <w:tcPr>
            <w:tcW w:w="728" w:type="dxa"/>
            <w:tcBorders>
              <w:top w:val="nil"/>
              <w:left w:val="nil"/>
            </w:tcBorders>
          </w:tcPr>
          <w:p w14:paraId="0BB2E8F1" w14:textId="77777777" w:rsidR="00361651" w:rsidRDefault="00361651" w:rsidP="009709A2">
            <w:pPr>
              <w:pStyle w:val="IASBTableArial"/>
              <w:jc w:val="right"/>
            </w:pPr>
            <w:r>
              <w:t>3</w:t>
            </w:r>
          </w:p>
        </w:tc>
        <w:tc>
          <w:tcPr>
            <w:tcW w:w="273" w:type="dxa"/>
            <w:tcBorders>
              <w:top w:val="nil"/>
              <w:left w:val="nil"/>
            </w:tcBorders>
          </w:tcPr>
          <w:p w14:paraId="0BB2E8F2" w14:textId="77777777" w:rsidR="00361651" w:rsidRDefault="00361651" w:rsidP="009709A2">
            <w:pPr>
              <w:pStyle w:val="IASBTableArial"/>
              <w:jc w:val="right"/>
            </w:pPr>
          </w:p>
        </w:tc>
        <w:tc>
          <w:tcPr>
            <w:tcW w:w="728" w:type="dxa"/>
            <w:tcBorders>
              <w:top w:val="nil"/>
              <w:left w:val="nil"/>
            </w:tcBorders>
          </w:tcPr>
          <w:p w14:paraId="0BB2E8F3" w14:textId="77777777" w:rsidR="00361651" w:rsidRDefault="00361651" w:rsidP="009709A2">
            <w:pPr>
              <w:pStyle w:val="IASBTableArial"/>
              <w:jc w:val="right"/>
            </w:pPr>
            <w:r>
              <w:t>85</w:t>
            </w:r>
          </w:p>
        </w:tc>
        <w:tc>
          <w:tcPr>
            <w:tcW w:w="273" w:type="dxa"/>
            <w:tcBorders>
              <w:top w:val="nil"/>
              <w:left w:val="nil"/>
            </w:tcBorders>
            <w:vAlign w:val="bottom"/>
          </w:tcPr>
          <w:p w14:paraId="0BB2E8F4" w14:textId="77777777" w:rsidR="00361651" w:rsidRDefault="00361651" w:rsidP="009709A2">
            <w:pPr>
              <w:pStyle w:val="IASBTableArial"/>
            </w:pPr>
          </w:p>
        </w:tc>
        <w:tc>
          <w:tcPr>
            <w:tcW w:w="728" w:type="dxa"/>
            <w:tcBorders>
              <w:top w:val="nil"/>
              <w:left w:val="nil"/>
            </w:tcBorders>
            <w:vAlign w:val="bottom"/>
          </w:tcPr>
          <w:p w14:paraId="0BB2E8F5" w14:textId="77777777" w:rsidR="00361651" w:rsidRDefault="00361651" w:rsidP="009709A2">
            <w:pPr>
              <w:pStyle w:val="IASBTableArial"/>
              <w:jc w:val="right"/>
            </w:pPr>
            <w:r>
              <w:t>6</w:t>
            </w:r>
          </w:p>
        </w:tc>
      </w:tr>
      <w:tr w:rsidR="00361651" w14:paraId="0BB2E908" w14:textId="77777777" w:rsidTr="009709A2">
        <w:trPr>
          <w:cantSplit/>
        </w:trPr>
        <w:tc>
          <w:tcPr>
            <w:tcW w:w="840" w:type="dxa"/>
            <w:tcBorders>
              <w:top w:val="nil"/>
            </w:tcBorders>
          </w:tcPr>
          <w:p w14:paraId="0BB2E8F7" w14:textId="77777777" w:rsidR="00361651" w:rsidRDefault="00361651" w:rsidP="009709A2">
            <w:pPr>
              <w:pStyle w:val="IASBTableArial"/>
            </w:pPr>
            <w:r>
              <w:t>20</w:t>
            </w:r>
          </w:p>
        </w:tc>
        <w:tc>
          <w:tcPr>
            <w:tcW w:w="273" w:type="dxa"/>
            <w:tcBorders>
              <w:top w:val="nil"/>
              <w:left w:val="nil"/>
            </w:tcBorders>
          </w:tcPr>
          <w:p w14:paraId="0BB2E8F8" w14:textId="77777777" w:rsidR="00361651" w:rsidRDefault="00361651" w:rsidP="009709A2">
            <w:pPr>
              <w:pStyle w:val="IASBTableArial"/>
            </w:pPr>
            <w:r>
              <w:t xml:space="preserve"> </w:t>
            </w:r>
          </w:p>
        </w:tc>
        <w:tc>
          <w:tcPr>
            <w:tcW w:w="728" w:type="dxa"/>
            <w:tcBorders>
              <w:top w:val="nil"/>
              <w:left w:val="nil"/>
            </w:tcBorders>
          </w:tcPr>
          <w:p w14:paraId="0BB2E8F9" w14:textId="77777777" w:rsidR="00361651" w:rsidRDefault="00361651" w:rsidP="009709A2">
            <w:pPr>
              <w:pStyle w:val="IASBTableArial"/>
            </w:pPr>
          </w:p>
        </w:tc>
        <w:tc>
          <w:tcPr>
            <w:tcW w:w="273" w:type="dxa"/>
            <w:tcBorders>
              <w:top w:val="nil"/>
              <w:left w:val="nil"/>
            </w:tcBorders>
          </w:tcPr>
          <w:p w14:paraId="0BB2E8FA" w14:textId="77777777" w:rsidR="00361651" w:rsidRDefault="00361651" w:rsidP="009709A2">
            <w:pPr>
              <w:pStyle w:val="IASBTableArial"/>
            </w:pPr>
          </w:p>
        </w:tc>
        <w:tc>
          <w:tcPr>
            <w:tcW w:w="728" w:type="dxa"/>
            <w:tcBorders>
              <w:top w:val="nil"/>
              <w:left w:val="nil"/>
            </w:tcBorders>
          </w:tcPr>
          <w:p w14:paraId="0BB2E8FB" w14:textId="77777777" w:rsidR="00361651" w:rsidRDefault="00361651" w:rsidP="009709A2">
            <w:pPr>
              <w:pStyle w:val="IASBTableArial"/>
            </w:pPr>
          </w:p>
        </w:tc>
        <w:tc>
          <w:tcPr>
            <w:tcW w:w="273" w:type="dxa"/>
            <w:tcBorders>
              <w:top w:val="nil"/>
              <w:left w:val="nil"/>
            </w:tcBorders>
          </w:tcPr>
          <w:p w14:paraId="0BB2E8FC" w14:textId="77777777" w:rsidR="00361651" w:rsidRDefault="00361651" w:rsidP="009709A2">
            <w:pPr>
              <w:pStyle w:val="IASBTableArial"/>
            </w:pPr>
          </w:p>
        </w:tc>
        <w:tc>
          <w:tcPr>
            <w:tcW w:w="728" w:type="dxa"/>
            <w:tcBorders>
              <w:top w:val="nil"/>
              <w:left w:val="nil"/>
            </w:tcBorders>
          </w:tcPr>
          <w:p w14:paraId="0BB2E8FD" w14:textId="77777777" w:rsidR="00361651" w:rsidRDefault="00361651" w:rsidP="009709A2">
            <w:pPr>
              <w:pStyle w:val="IASBTableArial"/>
              <w:jc w:val="right"/>
            </w:pPr>
            <w:r>
              <w:t>10</w:t>
            </w:r>
          </w:p>
        </w:tc>
        <w:tc>
          <w:tcPr>
            <w:tcW w:w="273" w:type="dxa"/>
            <w:tcBorders>
              <w:top w:val="nil"/>
              <w:left w:val="nil"/>
            </w:tcBorders>
          </w:tcPr>
          <w:p w14:paraId="0BB2E8FE" w14:textId="77777777" w:rsidR="00361651" w:rsidRDefault="00361651" w:rsidP="009709A2">
            <w:pPr>
              <w:pStyle w:val="IASBTableArial"/>
            </w:pPr>
          </w:p>
        </w:tc>
        <w:tc>
          <w:tcPr>
            <w:tcW w:w="728" w:type="dxa"/>
            <w:tcBorders>
              <w:top w:val="nil"/>
              <w:left w:val="nil"/>
              <w:bottom w:val="single" w:sz="4" w:space="0" w:color="auto"/>
            </w:tcBorders>
          </w:tcPr>
          <w:p w14:paraId="0BB2E8FF" w14:textId="77777777" w:rsidR="00361651" w:rsidRDefault="00361651" w:rsidP="009709A2">
            <w:pPr>
              <w:pStyle w:val="IASBTableArial"/>
              <w:jc w:val="right"/>
            </w:pPr>
            <w:r>
              <w:t>1</w:t>
            </w:r>
          </w:p>
        </w:tc>
        <w:tc>
          <w:tcPr>
            <w:tcW w:w="273" w:type="dxa"/>
            <w:tcBorders>
              <w:top w:val="nil"/>
              <w:left w:val="nil"/>
            </w:tcBorders>
            <w:vAlign w:val="bottom"/>
          </w:tcPr>
          <w:p w14:paraId="0BB2E900" w14:textId="77777777" w:rsidR="00361651" w:rsidRDefault="00361651" w:rsidP="009709A2">
            <w:pPr>
              <w:pStyle w:val="IASBTableArial"/>
            </w:pPr>
          </w:p>
        </w:tc>
        <w:tc>
          <w:tcPr>
            <w:tcW w:w="728" w:type="dxa"/>
            <w:tcBorders>
              <w:top w:val="nil"/>
              <w:left w:val="nil"/>
            </w:tcBorders>
          </w:tcPr>
          <w:p w14:paraId="0BB2E901" w14:textId="77777777" w:rsidR="00361651" w:rsidRDefault="00361651" w:rsidP="009709A2">
            <w:pPr>
              <w:pStyle w:val="IASBTableArial"/>
              <w:jc w:val="right"/>
            </w:pPr>
            <w:r>
              <w:t>35</w:t>
            </w:r>
          </w:p>
        </w:tc>
        <w:tc>
          <w:tcPr>
            <w:tcW w:w="273" w:type="dxa"/>
            <w:tcBorders>
              <w:top w:val="nil"/>
              <w:left w:val="nil"/>
            </w:tcBorders>
            <w:vAlign w:val="bottom"/>
          </w:tcPr>
          <w:p w14:paraId="0BB2E902" w14:textId="77777777" w:rsidR="00361651" w:rsidRDefault="00361651" w:rsidP="009709A2">
            <w:pPr>
              <w:pStyle w:val="IASBTableArial"/>
            </w:pPr>
          </w:p>
        </w:tc>
        <w:tc>
          <w:tcPr>
            <w:tcW w:w="728" w:type="dxa"/>
            <w:tcBorders>
              <w:top w:val="nil"/>
              <w:left w:val="nil"/>
              <w:bottom w:val="single" w:sz="4" w:space="0" w:color="auto"/>
            </w:tcBorders>
          </w:tcPr>
          <w:p w14:paraId="0BB2E903" w14:textId="77777777" w:rsidR="00361651" w:rsidRDefault="00361651" w:rsidP="009709A2">
            <w:pPr>
              <w:pStyle w:val="IASBTableArial"/>
              <w:jc w:val="right"/>
            </w:pPr>
            <w:r>
              <w:t>2</w:t>
            </w:r>
          </w:p>
        </w:tc>
        <w:tc>
          <w:tcPr>
            <w:tcW w:w="273" w:type="dxa"/>
            <w:tcBorders>
              <w:top w:val="nil"/>
              <w:left w:val="nil"/>
            </w:tcBorders>
          </w:tcPr>
          <w:p w14:paraId="0BB2E904" w14:textId="77777777" w:rsidR="00361651" w:rsidRDefault="00361651" w:rsidP="009709A2">
            <w:pPr>
              <w:pStyle w:val="IASBTableArial"/>
              <w:jc w:val="right"/>
            </w:pPr>
          </w:p>
        </w:tc>
        <w:tc>
          <w:tcPr>
            <w:tcW w:w="728" w:type="dxa"/>
            <w:tcBorders>
              <w:top w:val="nil"/>
              <w:left w:val="nil"/>
            </w:tcBorders>
          </w:tcPr>
          <w:p w14:paraId="0BB2E905" w14:textId="77777777" w:rsidR="00361651" w:rsidRDefault="00361651" w:rsidP="009709A2">
            <w:pPr>
              <w:pStyle w:val="IASBTableArial"/>
              <w:jc w:val="right"/>
            </w:pPr>
            <w:r>
              <w:t>71</w:t>
            </w:r>
          </w:p>
        </w:tc>
        <w:tc>
          <w:tcPr>
            <w:tcW w:w="273" w:type="dxa"/>
            <w:tcBorders>
              <w:top w:val="nil"/>
              <w:left w:val="nil"/>
            </w:tcBorders>
            <w:vAlign w:val="bottom"/>
          </w:tcPr>
          <w:p w14:paraId="0BB2E906" w14:textId="77777777" w:rsidR="00361651" w:rsidRDefault="00361651" w:rsidP="009709A2">
            <w:pPr>
              <w:pStyle w:val="IASBTableArial"/>
            </w:pPr>
          </w:p>
        </w:tc>
        <w:tc>
          <w:tcPr>
            <w:tcW w:w="728" w:type="dxa"/>
            <w:tcBorders>
              <w:top w:val="nil"/>
              <w:left w:val="nil"/>
              <w:bottom w:val="single" w:sz="4" w:space="0" w:color="auto"/>
            </w:tcBorders>
            <w:vAlign w:val="bottom"/>
          </w:tcPr>
          <w:p w14:paraId="0BB2E907" w14:textId="77777777" w:rsidR="00361651" w:rsidRDefault="00361651" w:rsidP="009709A2">
            <w:pPr>
              <w:pStyle w:val="IASBTableArial"/>
              <w:jc w:val="right"/>
            </w:pPr>
            <w:r>
              <w:t>4</w:t>
            </w:r>
          </w:p>
        </w:tc>
      </w:tr>
      <w:tr w:rsidR="00361651" w14:paraId="0BB2E915" w14:textId="77777777" w:rsidTr="009709A2">
        <w:trPr>
          <w:cantSplit/>
        </w:trPr>
        <w:tc>
          <w:tcPr>
            <w:tcW w:w="1113" w:type="dxa"/>
            <w:gridSpan w:val="2"/>
            <w:tcBorders>
              <w:top w:val="nil"/>
            </w:tcBorders>
          </w:tcPr>
          <w:p w14:paraId="0BB2E909" w14:textId="77777777" w:rsidR="00361651" w:rsidRDefault="00361651" w:rsidP="009709A2">
            <w:pPr>
              <w:pStyle w:val="IASBTableArial"/>
            </w:pPr>
            <w:r>
              <w:t>Value in use</w:t>
            </w:r>
          </w:p>
        </w:tc>
        <w:tc>
          <w:tcPr>
            <w:tcW w:w="728" w:type="dxa"/>
            <w:tcBorders>
              <w:top w:val="nil"/>
              <w:left w:val="nil"/>
            </w:tcBorders>
          </w:tcPr>
          <w:p w14:paraId="0BB2E90A" w14:textId="77777777" w:rsidR="00361651" w:rsidRDefault="00361651" w:rsidP="009709A2">
            <w:pPr>
              <w:pStyle w:val="IASBTableArial"/>
            </w:pPr>
          </w:p>
        </w:tc>
        <w:tc>
          <w:tcPr>
            <w:tcW w:w="1001" w:type="dxa"/>
            <w:gridSpan w:val="2"/>
            <w:tcBorders>
              <w:top w:val="nil"/>
              <w:left w:val="nil"/>
              <w:bottom w:val="double" w:sz="4" w:space="0" w:color="auto"/>
            </w:tcBorders>
            <w:vAlign w:val="bottom"/>
          </w:tcPr>
          <w:p w14:paraId="0BB2E90B" w14:textId="77777777" w:rsidR="00361651" w:rsidRDefault="00361651" w:rsidP="009709A2">
            <w:pPr>
              <w:pStyle w:val="IASBTableArial"/>
              <w:jc w:val="right"/>
            </w:pPr>
            <w:r>
              <w:t>199</w:t>
            </w:r>
          </w:p>
        </w:tc>
        <w:tc>
          <w:tcPr>
            <w:tcW w:w="273" w:type="dxa"/>
            <w:tcBorders>
              <w:top w:val="nil"/>
              <w:left w:val="nil"/>
            </w:tcBorders>
          </w:tcPr>
          <w:p w14:paraId="0BB2E90C" w14:textId="77777777" w:rsidR="00361651" w:rsidRDefault="00361651" w:rsidP="009709A2">
            <w:pPr>
              <w:pStyle w:val="IASBTableArial"/>
            </w:pPr>
            <w:r>
              <w:t xml:space="preserve"> </w:t>
            </w:r>
          </w:p>
        </w:tc>
        <w:tc>
          <w:tcPr>
            <w:tcW w:w="728" w:type="dxa"/>
            <w:tcBorders>
              <w:top w:val="nil"/>
              <w:left w:val="nil"/>
            </w:tcBorders>
          </w:tcPr>
          <w:p w14:paraId="0BB2E90D" w14:textId="77777777" w:rsidR="00361651" w:rsidRDefault="00361651" w:rsidP="009709A2">
            <w:pPr>
              <w:pStyle w:val="IASBTableArial"/>
              <w:jc w:val="right"/>
            </w:pPr>
          </w:p>
        </w:tc>
        <w:tc>
          <w:tcPr>
            <w:tcW w:w="1001" w:type="dxa"/>
            <w:gridSpan w:val="2"/>
            <w:tcBorders>
              <w:top w:val="nil"/>
              <w:left w:val="nil"/>
              <w:bottom w:val="double" w:sz="4" w:space="0" w:color="auto"/>
            </w:tcBorders>
            <w:vAlign w:val="bottom"/>
          </w:tcPr>
          <w:p w14:paraId="0BB2E90E" w14:textId="77777777" w:rsidR="00361651" w:rsidRDefault="00361651" w:rsidP="009709A2">
            <w:pPr>
              <w:pStyle w:val="IASBTableArial"/>
              <w:jc w:val="right"/>
            </w:pPr>
            <w:r>
              <w:t>164</w:t>
            </w:r>
          </w:p>
        </w:tc>
        <w:tc>
          <w:tcPr>
            <w:tcW w:w="273" w:type="dxa"/>
            <w:tcBorders>
              <w:top w:val="nil"/>
              <w:left w:val="nil"/>
            </w:tcBorders>
            <w:vAlign w:val="bottom"/>
          </w:tcPr>
          <w:p w14:paraId="0BB2E90F" w14:textId="77777777" w:rsidR="00361651" w:rsidRDefault="00361651" w:rsidP="009709A2">
            <w:pPr>
              <w:pStyle w:val="IASBTableArial"/>
            </w:pPr>
          </w:p>
        </w:tc>
        <w:tc>
          <w:tcPr>
            <w:tcW w:w="728" w:type="dxa"/>
            <w:tcBorders>
              <w:top w:val="nil"/>
              <w:left w:val="nil"/>
            </w:tcBorders>
            <w:vAlign w:val="bottom"/>
          </w:tcPr>
          <w:p w14:paraId="0BB2E910" w14:textId="77777777" w:rsidR="00361651" w:rsidRDefault="00361651" w:rsidP="009709A2">
            <w:pPr>
              <w:pStyle w:val="IASBTableArial"/>
            </w:pPr>
          </w:p>
        </w:tc>
        <w:tc>
          <w:tcPr>
            <w:tcW w:w="1001" w:type="dxa"/>
            <w:gridSpan w:val="2"/>
            <w:tcBorders>
              <w:top w:val="nil"/>
              <w:left w:val="nil"/>
              <w:bottom w:val="double" w:sz="4" w:space="0" w:color="auto"/>
            </w:tcBorders>
            <w:vAlign w:val="bottom"/>
          </w:tcPr>
          <w:p w14:paraId="0BB2E911" w14:textId="77777777" w:rsidR="00361651" w:rsidRDefault="00361651" w:rsidP="009709A2">
            <w:pPr>
              <w:pStyle w:val="IASBTableArial"/>
              <w:jc w:val="right"/>
            </w:pPr>
            <w:r>
              <w:t>271</w:t>
            </w:r>
          </w:p>
        </w:tc>
        <w:tc>
          <w:tcPr>
            <w:tcW w:w="273" w:type="dxa"/>
            <w:tcBorders>
              <w:top w:val="nil"/>
              <w:left w:val="nil"/>
            </w:tcBorders>
            <w:vAlign w:val="bottom"/>
          </w:tcPr>
          <w:p w14:paraId="0BB2E912" w14:textId="77777777" w:rsidR="00361651" w:rsidRDefault="00361651" w:rsidP="009709A2">
            <w:pPr>
              <w:pStyle w:val="IASBTableArial"/>
            </w:pPr>
          </w:p>
        </w:tc>
        <w:tc>
          <w:tcPr>
            <w:tcW w:w="728" w:type="dxa"/>
            <w:tcBorders>
              <w:top w:val="nil"/>
              <w:left w:val="nil"/>
            </w:tcBorders>
            <w:vAlign w:val="bottom"/>
          </w:tcPr>
          <w:p w14:paraId="0BB2E913" w14:textId="77777777" w:rsidR="00361651" w:rsidRDefault="00361651" w:rsidP="009709A2">
            <w:pPr>
              <w:pStyle w:val="IASBTableArial"/>
            </w:pPr>
          </w:p>
        </w:tc>
        <w:tc>
          <w:tcPr>
            <w:tcW w:w="1001" w:type="dxa"/>
            <w:gridSpan w:val="2"/>
            <w:tcBorders>
              <w:top w:val="nil"/>
              <w:left w:val="nil"/>
              <w:bottom w:val="double" w:sz="4" w:space="0" w:color="auto"/>
            </w:tcBorders>
            <w:vAlign w:val="bottom"/>
          </w:tcPr>
          <w:p w14:paraId="0BB2E914" w14:textId="77777777" w:rsidR="00361651" w:rsidRDefault="00361651" w:rsidP="009709A2">
            <w:pPr>
              <w:pStyle w:val="IASBTableArial"/>
              <w:jc w:val="right"/>
            </w:pPr>
            <w:r>
              <w:t>720</w:t>
            </w:r>
            <w:r>
              <w:rPr>
                <w:vertAlign w:val="superscript"/>
              </w:rPr>
              <w:t>(a)</w:t>
            </w:r>
          </w:p>
        </w:tc>
      </w:tr>
      <w:tr w:rsidR="00361651" w14:paraId="0BB2E917" w14:textId="77777777" w:rsidTr="009709A2">
        <w:trPr>
          <w:cantSplit/>
        </w:trPr>
        <w:tc>
          <w:tcPr>
            <w:tcW w:w="8848" w:type="dxa"/>
            <w:gridSpan w:val="17"/>
            <w:tcBorders>
              <w:top w:val="nil"/>
            </w:tcBorders>
          </w:tcPr>
          <w:p w14:paraId="0BB2E916" w14:textId="77777777" w:rsidR="00361651" w:rsidRDefault="00361651" w:rsidP="009709A2">
            <w:pPr>
              <w:pStyle w:val="IASBTableArial"/>
            </w:pPr>
          </w:p>
        </w:tc>
      </w:tr>
      <w:tr w:rsidR="00361651" w14:paraId="0BB2E919" w14:textId="77777777" w:rsidTr="009709A2">
        <w:trPr>
          <w:cantSplit/>
        </w:trPr>
        <w:tc>
          <w:tcPr>
            <w:tcW w:w="8848" w:type="dxa"/>
            <w:gridSpan w:val="17"/>
            <w:tcBorders>
              <w:top w:val="nil"/>
            </w:tcBorders>
            <w:vAlign w:val="bottom"/>
          </w:tcPr>
          <w:p w14:paraId="0BB2E918" w14:textId="77777777" w:rsidR="00361651" w:rsidRDefault="00361651" w:rsidP="004B49E9">
            <w:pPr>
              <w:pStyle w:val="IASBTableTNR"/>
              <w:ind w:left="397" w:hanging="397"/>
            </w:pPr>
            <w:r>
              <w:rPr>
                <w:rStyle w:val="FootnoteReference"/>
                <w:sz w:val="16"/>
                <w:vertAlign w:val="baseline"/>
              </w:rPr>
              <w:t>(a)</w:t>
            </w:r>
            <w:r>
              <w:rPr>
                <w:rStyle w:val="FootnoteReference"/>
                <w:sz w:val="16"/>
                <w:vertAlign w:val="baseline"/>
              </w:rPr>
              <w:tab/>
              <w:t>It is assumed that the research centre generates additional future cash flows for the entity as a whole. Therefore, the sum of the value in use of each individual cash-generating unit is less than the value in use of the business as a whole. The additional cash flows are not attributable to the headquarters building.</w:t>
            </w:r>
          </w:p>
        </w:tc>
      </w:tr>
    </w:tbl>
    <w:p w14:paraId="0BB2E91A" w14:textId="77777777" w:rsidR="00361651" w:rsidRDefault="00361651" w:rsidP="00361651">
      <w:pPr>
        <w:pStyle w:val="IASBNormalnpara"/>
      </w:pPr>
    </w:p>
    <w:p w14:paraId="0BB2E91B" w14:textId="77777777" w:rsidR="00361651" w:rsidRDefault="00361651" w:rsidP="00361651">
      <w:pPr>
        <w:pStyle w:val="IASBNormalnparaP"/>
      </w:pPr>
      <w:r>
        <w:t>Schedule 3. Impairment testing A, B and C</w:t>
      </w:r>
    </w:p>
    <w:p w14:paraId="0BB2E91C"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33"/>
      </w:tblPr>
      <w:tblGrid>
        <w:gridCol w:w="4604"/>
        <w:gridCol w:w="910"/>
        <w:gridCol w:w="455"/>
        <w:gridCol w:w="910"/>
        <w:gridCol w:w="455"/>
        <w:gridCol w:w="910"/>
      </w:tblGrid>
      <w:tr w:rsidR="00361651" w14:paraId="0BB2E923" w14:textId="77777777" w:rsidTr="009709A2">
        <w:trPr>
          <w:cantSplit/>
          <w:tblHeader/>
        </w:trPr>
        <w:tc>
          <w:tcPr>
            <w:tcW w:w="4604" w:type="dxa"/>
          </w:tcPr>
          <w:p w14:paraId="0BB2E91D" w14:textId="77777777" w:rsidR="00361651" w:rsidRDefault="00361651" w:rsidP="00EB33C1">
            <w:pPr>
              <w:pStyle w:val="IASBTableHeaderArial"/>
              <w:spacing w:after="120"/>
            </w:pPr>
            <w:r>
              <w:rPr>
                <w:b/>
                <w:i/>
              </w:rPr>
              <w:t>End of 20X0</w:t>
            </w:r>
          </w:p>
        </w:tc>
        <w:tc>
          <w:tcPr>
            <w:tcW w:w="910" w:type="dxa"/>
            <w:tcBorders>
              <w:left w:val="nil"/>
            </w:tcBorders>
            <w:vAlign w:val="bottom"/>
          </w:tcPr>
          <w:p w14:paraId="0BB2E91E" w14:textId="77777777" w:rsidR="00361651" w:rsidRDefault="00361651" w:rsidP="00EB33C1">
            <w:pPr>
              <w:pStyle w:val="IASBTableHeaderArial"/>
              <w:spacing w:after="120"/>
              <w:jc w:val="right"/>
            </w:pPr>
            <w:r>
              <w:rPr>
                <w:b/>
                <w:i/>
              </w:rPr>
              <w:t>A</w:t>
            </w:r>
          </w:p>
        </w:tc>
        <w:tc>
          <w:tcPr>
            <w:tcW w:w="455" w:type="dxa"/>
            <w:tcBorders>
              <w:left w:val="nil"/>
            </w:tcBorders>
            <w:vAlign w:val="bottom"/>
          </w:tcPr>
          <w:p w14:paraId="0BB2E91F" w14:textId="77777777" w:rsidR="00361651" w:rsidRDefault="00361651" w:rsidP="00EB33C1">
            <w:pPr>
              <w:pStyle w:val="IASBTableHeaderArial"/>
              <w:spacing w:after="120"/>
            </w:pPr>
          </w:p>
        </w:tc>
        <w:tc>
          <w:tcPr>
            <w:tcW w:w="910" w:type="dxa"/>
            <w:tcBorders>
              <w:left w:val="nil"/>
            </w:tcBorders>
            <w:vAlign w:val="bottom"/>
          </w:tcPr>
          <w:p w14:paraId="0BB2E920" w14:textId="77777777" w:rsidR="00361651" w:rsidRDefault="00361651" w:rsidP="00EB33C1">
            <w:pPr>
              <w:pStyle w:val="IASBTableHeaderArial"/>
              <w:spacing w:after="120"/>
              <w:jc w:val="right"/>
            </w:pPr>
            <w:r>
              <w:rPr>
                <w:b/>
                <w:i/>
              </w:rPr>
              <w:t>B</w:t>
            </w:r>
          </w:p>
        </w:tc>
        <w:tc>
          <w:tcPr>
            <w:tcW w:w="455" w:type="dxa"/>
            <w:tcBorders>
              <w:left w:val="nil"/>
            </w:tcBorders>
            <w:vAlign w:val="bottom"/>
          </w:tcPr>
          <w:p w14:paraId="0BB2E921" w14:textId="77777777" w:rsidR="00361651" w:rsidRDefault="00361651" w:rsidP="00EB33C1">
            <w:pPr>
              <w:pStyle w:val="IASBTableHeaderArial"/>
              <w:spacing w:after="120"/>
            </w:pPr>
          </w:p>
        </w:tc>
        <w:tc>
          <w:tcPr>
            <w:tcW w:w="910" w:type="dxa"/>
            <w:tcBorders>
              <w:left w:val="nil"/>
            </w:tcBorders>
            <w:vAlign w:val="bottom"/>
          </w:tcPr>
          <w:p w14:paraId="0BB2E922" w14:textId="77777777" w:rsidR="00361651" w:rsidRDefault="00361651" w:rsidP="00EB33C1">
            <w:pPr>
              <w:pStyle w:val="IASBTableHeaderArial"/>
              <w:spacing w:after="120"/>
              <w:jc w:val="right"/>
            </w:pPr>
            <w:r>
              <w:rPr>
                <w:b/>
                <w:i/>
              </w:rPr>
              <w:t>C</w:t>
            </w:r>
          </w:p>
        </w:tc>
      </w:tr>
      <w:tr w:rsidR="00361651" w14:paraId="0BB2E92A" w14:textId="77777777" w:rsidTr="009709A2">
        <w:trPr>
          <w:cantSplit/>
          <w:tblHeader/>
        </w:trPr>
        <w:tc>
          <w:tcPr>
            <w:tcW w:w="4604" w:type="dxa"/>
            <w:tcBorders>
              <w:top w:val="nil"/>
            </w:tcBorders>
            <w:vAlign w:val="bottom"/>
          </w:tcPr>
          <w:p w14:paraId="0BB2E924" w14:textId="77777777" w:rsidR="00361651" w:rsidRDefault="00361651" w:rsidP="00EB33C1">
            <w:pPr>
              <w:pStyle w:val="IASBTableHeaderArial"/>
              <w:spacing w:after="120"/>
            </w:pPr>
          </w:p>
        </w:tc>
        <w:tc>
          <w:tcPr>
            <w:tcW w:w="910" w:type="dxa"/>
            <w:tcBorders>
              <w:top w:val="nil"/>
              <w:left w:val="nil"/>
            </w:tcBorders>
            <w:vAlign w:val="bottom"/>
          </w:tcPr>
          <w:p w14:paraId="0BB2E925"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926" w14:textId="77777777" w:rsidR="00361651" w:rsidRDefault="00361651" w:rsidP="00EB33C1">
            <w:pPr>
              <w:pStyle w:val="IASBTableHeaderArial"/>
              <w:spacing w:after="120"/>
            </w:pPr>
          </w:p>
        </w:tc>
        <w:tc>
          <w:tcPr>
            <w:tcW w:w="910" w:type="dxa"/>
            <w:tcBorders>
              <w:top w:val="nil"/>
              <w:left w:val="nil"/>
            </w:tcBorders>
            <w:vAlign w:val="bottom"/>
          </w:tcPr>
          <w:p w14:paraId="0BB2E927"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928" w14:textId="77777777" w:rsidR="00361651" w:rsidRDefault="00361651" w:rsidP="00EB33C1">
            <w:pPr>
              <w:pStyle w:val="IASBTableHeaderArial"/>
              <w:spacing w:after="120"/>
            </w:pPr>
          </w:p>
        </w:tc>
        <w:tc>
          <w:tcPr>
            <w:tcW w:w="910" w:type="dxa"/>
            <w:tcBorders>
              <w:top w:val="nil"/>
              <w:left w:val="nil"/>
            </w:tcBorders>
            <w:vAlign w:val="bottom"/>
          </w:tcPr>
          <w:p w14:paraId="0BB2E929" w14:textId="77777777" w:rsidR="00361651" w:rsidRDefault="00361651" w:rsidP="00EB33C1">
            <w:pPr>
              <w:pStyle w:val="IASBTableHeaderArial"/>
              <w:spacing w:after="120"/>
              <w:jc w:val="right"/>
            </w:pPr>
            <w:r>
              <w:rPr>
                <w:b/>
              </w:rPr>
              <w:t>CU</w:t>
            </w:r>
          </w:p>
        </w:tc>
      </w:tr>
      <w:tr w:rsidR="00361651" w14:paraId="0BB2E931" w14:textId="77777777" w:rsidTr="009709A2">
        <w:trPr>
          <w:cantSplit/>
        </w:trPr>
        <w:tc>
          <w:tcPr>
            <w:tcW w:w="4604" w:type="dxa"/>
            <w:tcBorders>
              <w:top w:val="nil"/>
            </w:tcBorders>
          </w:tcPr>
          <w:p w14:paraId="0BB2E92B" w14:textId="77777777" w:rsidR="00361651" w:rsidRDefault="00361651" w:rsidP="009709A2">
            <w:pPr>
              <w:pStyle w:val="IASBTableArial"/>
            </w:pPr>
            <w:r>
              <w:t>Carrying amount (after allocation of the building) (Schedule 1)</w:t>
            </w:r>
          </w:p>
        </w:tc>
        <w:tc>
          <w:tcPr>
            <w:tcW w:w="910" w:type="dxa"/>
            <w:tcBorders>
              <w:top w:val="nil"/>
              <w:left w:val="nil"/>
            </w:tcBorders>
            <w:vAlign w:val="bottom"/>
          </w:tcPr>
          <w:p w14:paraId="0BB2E92C" w14:textId="77777777" w:rsidR="00361651" w:rsidRDefault="00361651" w:rsidP="009709A2">
            <w:pPr>
              <w:pStyle w:val="IASBTableArial"/>
              <w:jc w:val="right"/>
            </w:pPr>
            <w:r>
              <w:t>119</w:t>
            </w:r>
          </w:p>
        </w:tc>
        <w:tc>
          <w:tcPr>
            <w:tcW w:w="455" w:type="dxa"/>
            <w:tcBorders>
              <w:top w:val="nil"/>
              <w:left w:val="nil"/>
            </w:tcBorders>
            <w:vAlign w:val="bottom"/>
          </w:tcPr>
          <w:p w14:paraId="0BB2E92D" w14:textId="77777777" w:rsidR="00361651" w:rsidRDefault="00361651" w:rsidP="009709A2">
            <w:pPr>
              <w:pStyle w:val="IASBTableArial"/>
            </w:pPr>
          </w:p>
        </w:tc>
        <w:tc>
          <w:tcPr>
            <w:tcW w:w="910" w:type="dxa"/>
            <w:tcBorders>
              <w:top w:val="nil"/>
              <w:left w:val="nil"/>
            </w:tcBorders>
            <w:vAlign w:val="bottom"/>
          </w:tcPr>
          <w:p w14:paraId="0BB2E92E" w14:textId="77777777" w:rsidR="00361651" w:rsidRDefault="00361651" w:rsidP="009709A2">
            <w:pPr>
              <w:pStyle w:val="IASBTableArial"/>
              <w:jc w:val="right"/>
            </w:pPr>
            <w:r>
              <w:t>206</w:t>
            </w:r>
          </w:p>
        </w:tc>
        <w:tc>
          <w:tcPr>
            <w:tcW w:w="455" w:type="dxa"/>
            <w:tcBorders>
              <w:top w:val="nil"/>
              <w:left w:val="nil"/>
            </w:tcBorders>
            <w:vAlign w:val="bottom"/>
          </w:tcPr>
          <w:p w14:paraId="0BB2E92F" w14:textId="77777777" w:rsidR="00361651" w:rsidRDefault="00361651" w:rsidP="009709A2">
            <w:pPr>
              <w:pStyle w:val="IASBTableArial"/>
            </w:pPr>
          </w:p>
        </w:tc>
        <w:tc>
          <w:tcPr>
            <w:tcW w:w="910" w:type="dxa"/>
            <w:tcBorders>
              <w:top w:val="nil"/>
              <w:left w:val="nil"/>
            </w:tcBorders>
            <w:vAlign w:val="bottom"/>
          </w:tcPr>
          <w:p w14:paraId="0BB2E930" w14:textId="77777777" w:rsidR="00361651" w:rsidRDefault="00361651" w:rsidP="009709A2">
            <w:pPr>
              <w:pStyle w:val="IASBTableArial"/>
              <w:jc w:val="right"/>
            </w:pPr>
            <w:r>
              <w:t>275</w:t>
            </w:r>
          </w:p>
        </w:tc>
      </w:tr>
      <w:tr w:rsidR="00361651" w14:paraId="0BB2E938" w14:textId="77777777" w:rsidTr="009709A2">
        <w:trPr>
          <w:cantSplit/>
        </w:trPr>
        <w:tc>
          <w:tcPr>
            <w:tcW w:w="4604" w:type="dxa"/>
            <w:tcBorders>
              <w:top w:val="nil"/>
            </w:tcBorders>
          </w:tcPr>
          <w:p w14:paraId="0BB2E932" w14:textId="77777777" w:rsidR="00361651" w:rsidRDefault="00361651" w:rsidP="009709A2">
            <w:pPr>
              <w:pStyle w:val="IASBTableArial"/>
            </w:pPr>
            <w:r>
              <w:t>Recoverable amount (Schedule 2)</w:t>
            </w:r>
          </w:p>
        </w:tc>
        <w:tc>
          <w:tcPr>
            <w:tcW w:w="910" w:type="dxa"/>
            <w:tcBorders>
              <w:top w:val="nil"/>
              <w:left w:val="nil"/>
              <w:bottom w:val="single" w:sz="4" w:space="0" w:color="auto"/>
            </w:tcBorders>
            <w:vAlign w:val="bottom"/>
          </w:tcPr>
          <w:p w14:paraId="0BB2E933" w14:textId="77777777" w:rsidR="00361651" w:rsidRDefault="00361651" w:rsidP="009709A2">
            <w:pPr>
              <w:pStyle w:val="IASBTableArial"/>
              <w:jc w:val="right"/>
            </w:pPr>
            <w:r>
              <w:t>199</w:t>
            </w:r>
          </w:p>
        </w:tc>
        <w:tc>
          <w:tcPr>
            <w:tcW w:w="455" w:type="dxa"/>
            <w:tcBorders>
              <w:top w:val="nil"/>
              <w:left w:val="nil"/>
            </w:tcBorders>
            <w:vAlign w:val="bottom"/>
          </w:tcPr>
          <w:p w14:paraId="0BB2E934" w14:textId="77777777" w:rsidR="00361651" w:rsidRDefault="00361651" w:rsidP="009709A2">
            <w:pPr>
              <w:pStyle w:val="IASBTableArial"/>
            </w:pPr>
          </w:p>
        </w:tc>
        <w:tc>
          <w:tcPr>
            <w:tcW w:w="910" w:type="dxa"/>
            <w:tcBorders>
              <w:top w:val="nil"/>
              <w:left w:val="nil"/>
              <w:bottom w:val="single" w:sz="4" w:space="0" w:color="auto"/>
            </w:tcBorders>
            <w:vAlign w:val="bottom"/>
          </w:tcPr>
          <w:p w14:paraId="0BB2E935" w14:textId="77777777" w:rsidR="00361651" w:rsidRDefault="00361651" w:rsidP="009709A2">
            <w:pPr>
              <w:pStyle w:val="IASBTableArial"/>
              <w:jc w:val="right"/>
            </w:pPr>
            <w:r>
              <w:t>164</w:t>
            </w:r>
          </w:p>
        </w:tc>
        <w:tc>
          <w:tcPr>
            <w:tcW w:w="455" w:type="dxa"/>
            <w:tcBorders>
              <w:top w:val="nil"/>
              <w:left w:val="nil"/>
            </w:tcBorders>
            <w:vAlign w:val="bottom"/>
          </w:tcPr>
          <w:p w14:paraId="0BB2E936" w14:textId="77777777" w:rsidR="00361651" w:rsidRDefault="00361651" w:rsidP="009709A2">
            <w:pPr>
              <w:pStyle w:val="IASBTableArial"/>
            </w:pPr>
          </w:p>
        </w:tc>
        <w:tc>
          <w:tcPr>
            <w:tcW w:w="910" w:type="dxa"/>
            <w:tcBorders>
              <w:top w:val="nil"/>
              <w:left w:val="nil"/>
              <w:bottom w:val="single" w:sz="4" w:space="0" w:color="auto"/>
            </w:tcBorders>
            <w:vAlign w:val="bottom"/>
          </w:tcPr>
          <w:p w14:paraId="0BB2E937" w14:textId="77777777" w:rsidR="00361651" w:rsidRDefault="00361651" w:rsidP="009709A2">
            <w:pPr>
              <w:pStyle w:val="IASBTableArial"/>
              <w:jc w:val="right"/>
            </w:pPr>
            <w:r>
              <w:t>271</w:t>
            </w:r>
          </w:p>
        </w:tc>
      </w:tr>
      <w:tr w:rsidR="00361651" w14:paraId="0BB2E93F" w14:textId="77777777" w:rsidTr="009709A2">
        <w:trPr>
          <w:cantSplit/>
        </w:trPr>
        <w:tc>
          <w:tcPr>
            <w:tcW w:w="4604" w:type="dxa"/>
            <w:tcBorders>
              <w:top w:val="nil"/>
            </w:tcBorders>
          </w:tcPr>
          <w:p w14:paraId="0BB2E939" w14:textId="77777777" w:rsidR="00361651" w:rsidRDefault="00361651" w:rsidP="009709A2">
            <w:pPr>
              <w:pStyle w:val="IASBTableArial"/>
            </w:pPr>
            <w:r>
              <w:t>Impairment loss</w:t>
            </w:r>
          </w:p>
        </w:tc>
        <w:tc>
          <w:tcPr>
            <w:tcW w:w="910" w:type="dxa"/>
            <w:tcBorders>
              <w:top w:val="nil"/>
              <w:left w:val="nil"/>
              <w:bottom w:val="double" w:sz="4" w:space="0" w:color="auto"/>
            </w:tcBorders>
            <w:vAlign w:val="bottom"/>
          </w:tcPr>
          <w:p w14:paraId="0BB2E93A" w14:textId="77777777" w:rsidR="00361651" w:rsidRDefault="00361651" w:rsidP="009709A2">
            <w:pPr>
              <w:pStyle w:val="IASBTableArial"/>
              <w:jc w:val="right"/>
            </w:pPr>
            <w:r>
              <w:t>0</w:t>
            </w:r>
          </w:p>
        </w:tc>
        <w:tc>
          <w:tcPr>
            <w:tcW w:w="455" w:type="dxa"/>
            <w:tcBorders>
              <w:top w:val="nil"/>
              <w:left w:val="nil"/>
            </w:tcBorders>
            <w:vAlign w:val="bottom"/>
          </w:tcPr>
          <w:p w14:paraId="0BB2E93B" w14:textId="77777777" w:rsidR="00361651" w:rsidRDefault="00361651" w:rsidP="009709A2">
            <w:pPr>
              <w:pStyle w:val="IASBTableArial"/>
            </w:pPr>
          </w:p>
        </w:tc>
        <w:tc>
          <w:tcPr>
            <w:tcW w:w="910" w:type="dxa"/>
            <w:tcBorders>
              <w:top w:val="nil"/>
              <w:left w:val="nil"/>
              <w:bottom w:val="double" w:sz="4" w:space="0" w:color="auto"/>
            </w:tcBorders>
            <w:vAlign w:val="bottom"/>
          </w:tcPr>
          <w:p w14:paraId="0BB2E93C" w14:textId="77777777" w:rsidR="00361651" w:rsidRDefault="00361651" w:rsidP="009709A2">
            <w:pPr>
              <w:pStyle w:val="IASBTableArial"/>
              <w:jc w:val="right"/>
            </w:pPr>
            <w:r>
              <w:t>(42)</w:t>
            </w:r>
          </w:p>
        </w:tc>
        <w:tc>
          <w:tcPr>
            <w:tcW w:w="455" w:type="dxa"/>
            <w:tcBorders>
              <w:top w:val="nil"/>
              <w:left w:val="nil"/>
            </w:tcBorders>
            <w:vAlign w:val="bottom"/>
          </w:tcPr>
          <w:p w14:paraId="0BB2E93D" w14:textId="77777777" w:rsidR="00361651" w:rsidRDefault="00361651" w:rsidP="009709A2">
            <w:pPr>
              <w:pStyle w:val="IASBTableArial"/>
            </w:pPr>
          </w:p>
        </w:tc>
        <w:tc>
          <w:tcPr>
            <w:tcW w:w="910" w:type="dxa"/>
            <w:tcBorders>
              <w:top w:val="nil"/>
              <w:left w:val="nil"/>
              <w:bottom w:val="double" w:sz="4" w:space="0" w:color="auto"/>
            </w:tcBorders>
            <w:vAlign w:val="bottom"/>
          </w:tcPr>
          <w:p w14:paraId="0BB2E93E" w14:textId="77777777" w:rsidR="00361651" w:rsidRDefault="00361651" w:rsidP="009709A2">
            <w:pPr>
              <w:pStyle w:val="IASBTableArial"/>
              <w:jc w:val="right"/>
            </w:pPr>
            <w:r>
              <w:t>(4)</w:t>
            </w:r>
          </w:p>
        </w:tc>
      </w:tr>
    </w:tbl>
    <w:p w14:paraId="0BB2E940" w14:textId="77777777" w:rsidR="00361651" w:rsidRDefault="00361651" w:rsidP="00361651">
      <w:pPr>
        <w:pStyle w:val="IASBNormalnpara"/>
      </w:pPr>
    </w:p>
    <w:p w14:paraId="0BB2E941" w14:textId="77777777" w:rsidR="00361651" w:rsidRDefault="00361651" w:rsidP="00361651">
      <w:pPr>
        <w:pStyle w:val="IASBNormalnpara"/>
      </w:pPr>
      <w:r>
        <w:t>IE77</w:t>
      </w:r>
      <w:r>
        <w:tab/>
        <w:t xml:space="preserve">The next step is to allocate the impairment losses between the assets of the cash-generating units and the headquarters building. </w:t>
      </w:r>
    </w:p>
    <w:p w14:paraId="0BB2E942" w14:textId="77777777" w:rsidR="00361651" w:rsidRDefault="00361651" w:rsidP="004B49E9">
      <w:pPr>
        <w:pStyle w:val="IASBNormalnparaP"/>
        <w:keepNext/>
      </w:pPr>
      <w:r>
        <w:lastRenderedPageBreak/>
        <w:t>Schedule 4. Allocation of the impairment losses for cash-generating units B and C</w:t>
      </w:r>
    </w:p>
    <w:p w14:paraId="0BB2E943" w14:textId="77777777" w:rsidR="00361651" w:rsidRDefault="00361651" w:rsidP="004B49E9">
      <w:pPr>
        <w:pStyle w:val="IASBNormalnpara"/>
        <w:keepNext/>
      </w:pPr>
    </w:p>
    <w:tbl>
      <w:tblPr>
        <w:tblW w:w="0" w:type="auto"/>
        <w:tblInd w:w="964" w:type="dxa"/>
        <w:tblLayout w:type="fixed"/>
        <w:tblLook w:val="0000" w:firstRow="0" w:lastRow="0" w:firstColumn="0" w:lastColumn="0" w:noHBand="0" w:noVBand="0"/>
        <w:tblCaption w:val="AASB 136 Table 34"/>
      </w:tblPr>
      <w:tblGrid>
        <w:gridCol w:w="2784"/>
        <w:gridCol w:w="910"/>
        <w:gridCol w:w="1820"/>
        <w:gridCol w:w="910"/>
        <w:gridCol w:w="1820"/>
      </w:tblGrid>
      <w:tr w:rsidR="00361651" w14:paraId="0BB2E949" w14:textId="77777777" w:rsidTr="009709A2">
        <w:trPr>
          <w:cantSplit/>
          <w:tblHeader/>
        </w:trPr>
        <w:tc>
          <w:tcPr>
            <w:tcW w:w="2784" w:type="dxa"/>
          </w:tcPr>
          <w:p w14:paraId="0BB2E944" w14:textId="77777777" w:rsidR="00361651" w:rsidRDefault="00361651" w:rsidP="00EB33C1">
            <w:pPr>
              <w:pStyle w:val="IASBTableHeaderArial"/>
              <w:spacing w:after="120"/>
            </w:pPr>
            <w:r>
              <w:rPr>
                <w:b/>
                <w:i/>
              </w:rPr>
              <w:t>Cash-generating unit</w:t>
            </w:r>
          </w:p>
        </w:tc>
        <w:tc>
          <w:tcPr>
            <w:tcW w:w="910" w:type="dxa"/>
            <w:tcBorders>
              <w:left w:val="nil"/>
            </w:tcBorders>
          </w:tcPr>
          <w:p w14:paraId="0BB2E945" w14:textId="77777777" w:rsidR="00361651" w:rsidRDefault="00361651" w:rsidP="00EB33C1">
            <w:pPr>
              <w:pStyle w:val="IASBTableHeaderArial"/>
              <w:spacing w:after="120"/>
              <w:jc w:val="right"/>
            </w:pPr>
            <w:r>
              <w:rPr>
                <w:b/>
                <w:i/>
              </w:rPr>
              <w:t>B</w:t>
            </w:r>
          </w:p>
        </w:tc>
        <w:tc>
          <w:tcPr>
            <w:tcW w:w="1820" w:type="dxa"/>
            <w:tcBorders>
              <w:left w:val="nil"/>
            </w:tcBorders>
            <w:vAlign w:val="bottom"/>
          </w:tcPr>
          <w:p w14:paraId="0BB2E946" w14:textId="77777777" w:rsidR="00361651" w:rsidRDefault="00361651" w:rsidP="00EB33C1">
            <w:pPr>
              <w:pStyle w:val="IASBTableHeaderArial"/>
              <w:spacing w:after="120"/>
            </w:pPr>
          </w:p>
        </w:tc>
        <w:tc>
          <w:tcPr>
            <w:tcW w:w="910" w:type="dxa"/>
            <w:tcBorders>
              <w:left w:val="nil"/>
            </w:tcBorders>
          </w:tcPr>
          <w:p w14:paraId="0BB2E947" w14:textId="77777777" w:rsidR="00361651" w:rsidRDefault="00361651" w:rsidP="00EB33C1">
            <w:pPr>
              <w:pStyle w:val="IASBTableHeaderArial"/>
              <w:spacing w:after="120"/>
              <w:jc w:val="right"/>
            </w:pPr>
            <w:r>
              <w:rPr>
                <w:b/>
                <w:i/>
              </w:rPr>
              <w:t>C</w:t>
            </w:r>
          </w:p>
        </w:tc>
        <w:tc>
          <w:tcPr>
            <w:tcW w:w="1820" w:type="dxa"/>
            <w:tcBorders>
              <w:left w:val="nil"/>
            </w:tcBorders>
            <w:vAlign w:val="bottom"/>
          </w:tcPr>
          <w:p w14:paraId="0BB2E948" w14:textId="77777777" w:rsidR="00361651" w:rsidRDefault="00361651" w:rsidP="00EB33C1">
            <w:pPr>
              <w:pStyle w:val="IASBTableHeaderArial"/>
              <w:spacing w:after="120"/>
            </w:pPr>
          </w:p>
        </w:tc>
      </w:tr>
      <w:tr w:rsidR="00361651" w14:paraId="0BB2E94F" w14:textId="77777777" w:rsidTr="009709A2">
        <w:trPr>
          <w:cantSplit/>
          <w:tblHeader/>
        </w:trPr>
        <w:tc>
          <w:tcPr>
            <w:tcW w:w="2784" w:type="dxa"/>
            <w:tcBorders>
              <w:top w:val="nil"/>
            </w:tcBorders>
            <w:vAlign w:val="bottom"/>
          </w:tcPr>
          <w:p w14:paraId="0BB2E94A" w14:textId="77777777" w:rsidR="00361651" w:rsidRDefault="00361651" w:rsidP="00EB33C1">
            <w:pPr>
              <w:pStyle w:val="IASBTableHeaderArial"/>
              <w:spacing w:after="120"/>
            </w:pPr>
          </w:p>
        </w:tc>
        <w:tc>
          <w:tcPr>
            <w:tcW w:w="910" w:type="dxa"/>
            <w:tcBorders>
              <w:top w:val="nil"/>
              <w:left w:val="nil"/>
            </w:tcBorders>
          </w:tcPr>
          <w:p w14:paraId="0BB2E94B" w14:textId="77777777" w:rsidR="00361651" w:rsidRDefault="00361651" w:rsidP="00EB33C1">
            <w:pPr>
              <w:pStyle w:val="IASBTableHeaderArial"/>
              <w:spacing w:after="120"/>
              <w:jc w:val="right"/>
            </w:pPr>
            <w:r>
              <w:rPr>
                <w:b/>
              </w:rPr>
              <w:t>CU</w:t>
            </w:r>
          </w:p>
        </w:tc>
        <w:tc>
          <w:tcPr>
            <w:tcW w:w="1820" w:type="dxa"/>
            <w:tcBorders>
              <w:top w:val="nil"/>
              <w:left w:val="nil"/>
            </w:tcBorders>
            <w:vAlign w:val="bottom"/>
          </w:tcPr>
          <w:p w14:paraId="0BB2E94C" w14:textId="77777777" w:rsidR="00361651" w:rsidRDefault="00361651" w:rsidP="00EB33C1">
            <w:pPr>
              <w:pStyle w:val="IASBTableHeaderArial"/>
              <w:spacing w:after="120"/>
            </w:pPr>
          </w:p>
        </w:tc>
        <w:tc>
          <w:tcPr>
            <w:tcW w:w="910" w:type="dxa"/>
            <w:tcBorders>
              <w:top w:val="nil"/>
              <w:left w:val="nil"/>
            </w:tcBorders>
          </w:tcPr>
          <w:p w14:paraId="0BB2E94D" w14:textId="77777777" w:rsidR="00361651" w:rsidRDefault="00361651" w:rsidP="00EB33C1">
            <w:pPr>
              <w:pStyle w:val="IASBTableHeaderArial"/>
              <w:spacing w:after="120"/>
              <w:jc w:val="right"/>
            </w:pPr>
            <w:r>
              <w:rPr>
                <w:b/>
              </w:rPr>
              <w:t>CU</w:t>
            </w:r>
          </w:p>
        </w:tc>
        <w:tc>
          <w:tcPr>
            <w:tcW w:w="1820" w:type="dxa"/>
            <w:tcBorders>
              <w:top w:val="nil"/>
              <w:left w:val="nil"/>
            </w:tcBorders>
            <w:vAlign w:val="bottom"/>
          </w:tcPr>
          <w:p w14:paraId="0BB2E94E" w14:textId="77777777" w:rsidR="00361651" w:rsidRDefault="00361651" w:rsidP="00EB33C1">
            <w:pPr>
              <w:pStyle w:val="IASBTableHeaderArial"/>
              <w:spacing w:after="120"/>
            </w:pPr>
          </w:p>
        </w:tc>
      </w:tr>
      <w:tr w:rsidR="00361651" w14:paraId="0BB2E955" w14:textId="77777777" w:rsidTr="009709A2">
        <w:trPr>
          <w:cantSplit/>
        </w:trPr>
        <w:tc>
          <w:tcPr>
            <w:tcW w:w="2784" w:type="dxa"/>
            <w:tcBorders>
              <w:top w:val="nil"/>
            </w:tcBorders>
          </w:tcPr>
          <w:p w14:paraId="0BB2E950" w14:textId="77777777" w:rsidR="00361651" w:rsidRDefault="00361651" w:rsidP="00EB33C1">
            <w:pPr>
              <w:pStyle w:val="IASBTableArial"/>
              <w:keepNext/>
            </w:pPr>
            <w:r>
              <w:t>To headquarters building</w:t>
            </w:r>
          </w:p>
        </w:tc>
        <w:tc>
          <w:tcPr>
            <w:tcW w:w="910" w:type="dxa"/>
            <w:tcBorders>
              <w:top w:val="nil"/>
              <w:left w:val="nil"/>
            </w:tcBorders>
            <w:vAlign w:val="bottom"/>
          </w:tcPr>
          <w:p w14:paraId="0BB2E951" w14:textId="77777777" w:rsidR="00361651" w:rsidRDefault="00361651" w:rsidP="009709A2">
            <w:pPr>
              <w:pStyle w:val="IASBTableArial"/>
              <w:jc w:val="right"/>
            </w:pPr>
            <w:r>
              <w:t>(12)</w:t>
            </w:r>
          </w:p>
        </w:tc>
        <w:tc>
          <w:tcPr>
            <w:tcW w:w="1820" w:type="dxa"/>
            <w:tcBorders>
              <w:top w:val="nil"/>
              <w:left w:val="nil"/>
            </w:tcBorders>
            <w:vAlign w:val="bottom"/>
          </w:tcPr>
          <w:p w14:paraId="0BB2E952" w14:textId="77777777" w:rsidR="00361651" w:rsidRDefault="00361651" w:rsidP="009709A2">
            <w:pPr>
              <w:pStyle w:val="IASBTableArial"/>
              <w:jc w:val="right"/>
            </w:pPr>
            <w:r>
              <w:rPr>
                <w:i/>
              </w:rPr>
              <w:t xml:space="preserve">(42 × </w:t>
            </w:r>
            <w:r>
              <w:rPr>
                <w:i/>
                <w:vertAlign w:val="superscript"/>
              </w:rPr>
              <w:t>56</w:t>
            </w:r>
            <w:r>
              <w:rPr>
                <w:i/>
              </w:rPr>
              <w:t>/</w:t>
            </w:r>
            <w:r>
              <w:rPr>
                <w:i/>
                <w:vertAlign w:val="subscript"/>
              </w:rPr>
              <w:t>206</w:t>
            </w:r>
            <w:r>
              <w:rPr>
                <w:i/>
              </w:rPr>
              <w:t>)</w:t>
            </w:r>
          </w:p>
        </w:tc>
        <w:tc>
          <w:tcPr>
            <w:tcW w:w="910" w:type="dxa"/>
            <w:tcBorders>
              <w:top w:val="nil"/>
              <w:left w:val="nil"/>
            </w:tcBorders>
            <w:vAlign w:val="bottom"/>
          </w:tcPr>
          <w:p w14:paraId="0BB2E953" w14:textId="77777777" w:rsidR="00361651" w:rsidRDefault="00361651" w:rsidP="009709A2">
            <w:pPr>
              <w:pStyle w:val="IASBTableArial"/>
              <w:jc w:val="right"/>
            </w:pPr>
            <w:r>
              <w:t>(1)</w:t>
            </w:r>
          </w:p>
        </w:tc>
        <w:tc>
          <w:tcPr>
            <w:tcW w:w="1820" w:type="dxa"/>
            <w:tcBorders>
              <w:top w:val="nil"/>
              <w:left w:val="nil"/>
            </w:tcBorders>
          </w:tcPr>
          <w:p w14:paraId="0BB2E954" w14:textId="77777777" w:rsidR="00361651" w:rsidRDefault="00361651" w:rsidP="009709A2">
            <w:pPr>
              <w:pStyle w:val="IASBTableArial"/>
              <w:jc w:val="right"/>
            </w:pPr>
            <w:r>
              <w:rPr>
                <w:i/>
              </w:rPr>
              <w:t xml:space="preserve">(4 × </w:t>
            </w:r>
            <w:r>
              <w:rPr>
                <w:i/>
                <w:vertAlign w:val="superscript"/>
              </w:rPr>
              <w:t>75</w:t>
            </w:r>
            <w:r>
              <w:rPr>
                <w:i/>
              </w:rPr>
              <w:t>/</w:t>
            </w:r>
            <w:r>
              <w:rPr>
                <w:i/>
                <w:vertAlign w:val="subscript"/>
              </w:rPr>
              <w:t>275</w:t>
            </w:r>
            <w:r>
              <w:rPr>
                <w:i/>
              </w:rPr>
              <w:t>)</w:t>
            </w:r>
          </w:p>
        </w:tc>
      </w:tr>
      <w:tr w:rsidR="00361651" w14:paraId="0BB2E95B" w14:textId="77777777" w:rsidTr="009709A2">
        <w:trPr>
          <w:cantSplit/>
        </w:trPr>
        <w:tc>
          <w:tcPr>
            <w:tcW w:w="2784" w:type="dxa"/>
            <w:tcBorders>
              <w:top w:val="nil"/>
            </w:tcBorders>
          </w:tcPr>
          <w:p w14:paraId="0BB2E956" w14:textId="77777777" w:rsidR="00361651" w:rsidRDefault="00361651" w:rsidP="009709A2">
            <w:pPr>
              <w:pStyle w:val="IASBTableArial"/>
            </w:pPr>
            <w:r>
              <w:t>To assets in cash-generating unit</w:t>
            </w:r>
          </w:p>
        </w:tc>
        <w:tc>
          <w:tcPr>
            <w:tcW w:w="910" w:type="dxa"/>
            <w:tcBorders>
              <w:top w:val="nil"/>
              <w:left w:val="nil"/>
              <w:bottom w:val="single" w:sz="4" w:space="0" w:color="auto"/>
            </w:tcBorders>
            <w:vAlign w:val="bottom"/>
          </w:tcPr>
          <w:p w14:paraId="0BB2E957" w14:textId="77777777" w:rsidR="00361651" w:rsidRDefault="00361651" w:rsidP="009709A2">
            <w:pPr>
              <w:pStyle w:val="IASBTableArial"/>
              <w:jc w:val="right"/>
            </w:pPr>
            <w:r>
              <w:t>(30)</w:t>
            </w:r>
          </w:p>
        </w:tc>
        <w:tc>
          <w:tcPr>
            <w:tcW w:w="1820" w:type="dxa"/>
            <w:tcBorders>
              <w:top w:val="nil"/>
              <w:left w:val="nil"/>
            </w:tcBorders>
            <w:vAlign w:val="bottom"/>
          </w:tcPr>
          <w:p w14:paraId="0BB2E958" w14:textId="77777777" w:rsidR="00361651" w:rsidRDefault="00361651" w:rsidP="009709A2">
            <w:pPr>
              <w:pStyle w:val="IASBTableArial"/>
              <w:jc w:val="right"/>
            </w:pPr>
            <w:r>
              <w:rPr>
                <w:i/>
              </w:rPr>
              <w:t xml:space="preserve">(42 × </w:t>
            </w:r>
            <w:r>
              <w:rPr>
                <w:i/>
                <w:vertAlign w:val="superscript"/>
              </w:rPr>
              <w:t>150</w:t>
            </w:r>
            <w:r>
              <w:rPr>
                <w:i/>
              </w:rPr>
              <w:t>/</w:t>
            </w:r>
            <w:r>
              <w:rPr>
                <w:i/>
                <w:vertAlign w:val="subscript"/>
              </w:rPr>
              <w:t>206</w:t>
            </w:r>
            <w:r>
              <w:rPr>
                <w:i/>
              </w:rPr>
              <w:t>)</w:t>
            </w:r>
          </w:p>
        </w:tc>
        <w:tc>
          <w:tcPr>
            <w:tcW w:w="910" w:type="dxa"/>
            <w:tcBorders>
              <w:top w:val="nil"/>
              <w:left w:val="nil"/>
              <w:bottom w:val="single" w:sz="4" w:space="0" w:color="auto"/>
            </w:tcBorders>
            <w:vAlign w:val="bottom"/>
          </w:tcPr>
          <w:p w14:paraId="0BB2E959" w14:textId="77777777" w:rsidR="00361651" w:rsidRDefault="00361651" w:rsidP="009709A2">
            <w:pPr>
              <w:pStyle w:val="IASBTableArial"/>
              <w:jc w:val="right"/>
            </w:pPr>
            <w:r>
              <w:t>(3)</w:t>
            </w:r>
          </w:p>
        </w:tc>
        <w:tc>
          <w:tcPr>
            <w:tcW w:w="1820" w:type="dxa"/>
            <w:tcBorders>
              <w:top w:val="nil"/>
              <w:left w:val="nil"/>
            </w:tcBorders>
            <w:vAlign w:val="bottom"/>
          </w:tcPr>
          <w:p w14:paraId="0BB2E95A" w14:textId="77777777" w:rsidR="00361651" w:rsidRDefault="00361651" w:rsidP="009709A2">
            <w:pPr>
              <w:pStyle w:val="IASBTableArial"/>
              <w:jc w:val="right"/>
            </w:pPr>
            <w:r>
              <w:rPr>
                <w:i/>
              </w:rPr>
              <w:t xml:space="preserve">(4 × </w:t>
            </w:r>
            <w:r>
              <w:rPr>
                <w:i/>
                <w:vertAlign w:val="superscript"/>
              </w:rPr>
              <w:t>200</w:t>
            </w:r>
            <w:r>
              <w:rPr>
                <w:i/>
              </w:rPr>
              <w:t>/</w:t>
            </w:r>
            <w:r>
              <w:rPr>
                <w:i/>
                <w:vertAlign w:val="subscript"/>
              </w:rPr>
              <w:t>275</w:t>
            </w:r>
            <w:r>
              <w:rPr>
                <w:i/>
              </w:rPr>
              <w:t>)</w:t>
            </w:r>
          </w:p>
        </w:tc>
      </w:tr>
      <w:tr w:rsidR="00361651" w14:paraId="0BB2E961" w14:textId="77777777" w:rsidTr="009709A2">
        <w:trPr>
          <w:cantSplit/>
        </w:trPr>
        <w:tc>
          <w:tcPr>
            <w:tcW w:w="2784" w:type="dxa"/>
            <w:tcBorders>
              <w:top w:val="nil"/>
            </w:tcBorders>
          </w:tcPr>
          <w:p w14:paraId="0BB2E95C" w14:textId="77777777" w:rsidR="00361651" w:rsidRDefault="00361651" w:rsidP="009709A2">
            <w:pPr>
              <w:pStyle w:val="IASBTableArial"/>
            </w:pPr>
            <w:r>
              <w:t xml:space="preserve"> </w:t>
            </w:r>
          </w:p>
        </w:tc>
        <w:tc>
          <w:tcPr>
            <w:tcW w:w="910" w:type="dxa"/>
            <w:tcBorders>
              <w:top w:val="nil"/>
              <w:left w:val="nil"/>
              <w:bottom w:val="double" w:sz="4" w:space="0" w:color="auto"/>
            </w:tcBorders>
            <w:vAlign w:val="bottom"/>
          </w:tcPr>
          <w:p w14:paraId="0BB2E95D" w14:textId="77777777" w:rsidR="00361651" w:rsidRDefault="00361651" w:rsidP="009709A2">
            <w:pPr>
              <w:pStyle w:val="IASBTableArial"/>
              <w:jc w:val="right"/>
            </w:pPr>
            <w:r>
              <w:t>(42)</w:t>
            </w:r>
          </w:p>
        </w:tc>
        <w:tc>
          <w:tcPr>
            <w:tcW w:w="1820" w:type="dxa"/>
            <w:tcBorders>
              <w:top w:val="nil"/>
              <w:left w:val="nil"/>
            </w:tcBorders>
            <w:vAlign w:val="bottom"/>
          </w:tcPr>
          <w:p w14:paraId="0BB2E95E" w14:textId="77777777" w:rsidR="00361651" w:rsidRDefault="00361651" w:rsidP="009709A2">
            <w:pPr>
              <w:pStyle w:val="IASBTableArial"/>
            </w:pPr>
            <w:r>
              <w:t xml:space="preserve"> </w:t>
            </w:r>
          </w:p>
        </w:tc>
        <w:tc>
          <w:tcPr>
            <w:tcW w:w="910" w:type="dxa"/>
            <w:tcBorders>
              <w:top w:val="nil"/>
              <w:left w:val="nil"/>
              <w:bottom w:val="double" w:sz="4" w:space="0" w:color="auto"/>
            </w:tcBorders>
            <w:vAlign w:val="bottom"/>
          </w:tcPr>
          <w:p w14:paraId="0BB2E95F" w14:textId="77777777" w:rsidR="00361651" w:rsidRDefault="00361651" w:rsidP="009709A2">
            <w:pPr>
              <w:pStyle w:val="IASBTableArial"/>
              <w:jc w:val="right"/>
            </w:pPr>
            <w:r>
              <w:t>(4)</w:t>
            </w:r>
          </w:p>
        </w:tc>
        <w:tc>
          <w:tcPr>
            <w:tcW w:w="1820" w:type="dxa"/>
            <w:tcBorders>
              <w:top w:val="nil"/>
              <w:left w:val="nil"/>
            </w:tcBorders>
          </w:tcPr>
          <w:p w14:paraId="0BB2E960" w14:textId="77777777" w:rsidR="00361651" w:rsidRDefault="00361651" w:rsidP="009709A2">
            <w:pPr>
              <w:pStyle w:val="IASBTableArial"/>
            </w:pPr>
            <w:r>
              <w:t xml:space="preserve"> </w:t>
            </w:r>
          </w:p>
        </w:tc>
      </w:tr>
    </w:tbl>
    <w:p w14:paraId="0BB2E962" w14:textId="77777777" w:rsidR="00361651" w:rsidRDefault="00361651" w:rsidP="00361651">
      <w:pPr>
        <w:pStyle w:val="IASBNormalnpara"/>
      </w:pPr>
    </w:p>
    <w:p w14:paraId="0BB2E963" w14:textId="77777777" w:rsidR="00361651" w:rsidRDefault="00361651" w:rsidP="00361651">
      <w:pPr>
        <w:pStyle w:val="IASBNormalnpara"/>
      </w:pPr>
      <w:r>
        <w:t>IE78</w:t>
      </w:r>
      <w:r>
        <w:tab/>
        <w:t xml:space="preserve">Because the research centre could not be allocated on a reasonable and consistent basis to A, B and C’s cash-generating units, M compares the carrying amount of the smallest group of cash-generating units to which the carrying amount of the research centre can be allocated (ie M as a whole) to its recoverable amount. </w:t>
      </w:r>
    </w:p>
    <w:p w14:paraId="0BB2E964" w14:textId="77777777" w:rsidR="00361651" w:rsidRDefault="00361651" w:rsidP="00361651">
      <w:pPr>
        <w:pStyle w:val="IASBNormalnparaP"/>
      </w:pPr>
      <w:r>
        <w:t>Schedule 5. Impairment testing the smallest group of cash-generating units to which the carrying amount of the research centre can be allocated (ie M as a whole)</w:t>
      </w:r>
    </w:p>
    <w:p w14:paraId="0BB2E965"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35"/>
      </w:tblPr>
      <w:tblGrid>
        <w:gridCol w:w="2329"/>
        <w:gridCol w:w="728"/>
        <w:gridCol w:w="273"/>
        <w:gridCol w:w="728"/>
        <w:gridCol w:w="273"/>
        <w:gridCol w:w="728"/>
        <w:gridCol w:w="273"/>
        <w:gridCol w:w="728"/>
        <w:gridCol w:w="455"/>
        <w:gridCol w:w="728"/>
        <w:gridCol w:w="273"/>
        <w:gridCol w:w="728"/>
      </w:tblGrid>
      <w:tr w:rsidR="00361651" w14:paraId="0BB2E96F" w14:textId="77777777" w:rsidTr="009709A2">
        <w:trPr>
          <w:cantSplit/>
          <w:tblHeader/>
        </w:trPr>
        <w:tc>
          <w:tcPr>
            <w:tcW w:w="2329" w:type="dxa"/>
          </w:tcPr>
          <w:p w14:paraId="0BB2E966" w14:textId="77777777" w:rsidR="00361651" w:rsidRDefault="00361651" w:rsidP="00EB33C1">
            <w:pPr>
              <w:pStyle w:val="IASBTableHeaderArial"/>
              <w:spacing w:after="120"/>
            </w:pPr>
            <w:r>
              <w:rPr>
                <w:rFonts w:ascii="Times New Roman" w:hAnsi="Times New Roman"/>
                <w:i/>
                <w:snapToGrid w:val="0"/>
                <w:sz w:val="16"/>
              </w:rPr>
              <w:t>End of 20X0</w:t>
            </w:r>
          </w:p>
        </w:tc>
        <w:tc>
          <w:tcPr>
            <w:tcW w:w="728" w:type="dxa"/>
            <w:tcBorders>
              <w:left w:val="nil"/>
            </w:tcBorders>
          </w:tcPr>
          <w:p w14:paraId="0BB2E967" w14:textId="77777777" w:rsidR="00361651" w:rsidRDefault="00361651" w:rsidP="00EB33C1">
            <w:pPr>
              <w:pStyle w:val="IASBTableHeaderArial"/>
              <w:spacing w:after="120"/>
              <w:jc w:val="right"/>
            </w:pPr>
            <w:r>
              <w:rPr>
                <w:rFonts w:ascii="Times New Roman" w:hAnsi="Times New Roman"/>
                <w:i/>
                <w:snapToGrid w:val="0"/>
                <w:sz w:val="16"/>
              </w:rPr>
              <w:t>A</w:t>
            </w:r>
          </w:p>
        </w:tc>
        <w:tc>
          <w:tcPr>
            <w:tcW w:w="273" w:type="dxa"/>
            <w:tcBorders>
              <w:left w:val="nil"/>
            </w:tcBorders>
            <w:vAlign w:val="bottom"/>
          </w:tcPr>
          <w:p w14:paraId="0BB2E968" w14:textId="77777777" w:rsidR="00361651" w:rsidRDefault="00361651" w:rsidP="00EB33C1">
            <w:pPr>
              <w:pStyle w:val="IASBTableHeaderArial"/>
              <w:spacing w:after="120"/>
            </w:pPr>
          </w:p>
        </w:tc>
        <w:tc>
          <w:tcPr>
            <w:tcW w:w="728" w:type="dxa"/>
            <w:tcBorders>
              <w:left w:val="nil"/>
            </w:tcBorders>
          </w:tcPr>
          <w:p w14:paraId="0BB2E969" w14:textId="77777777" w:rsidR="00361651" w:rsidRDefault="00361651" w:rsidP="00EB33C1">
            <w:pPr>
              <w:pStyle w:val="IASBTableHeaderArial"/>
              <w:spacing w:after="120"/>
              <w:jc w:val="right"/>
            </w:pPr>
            <w:r>
              <w:rPr>
                <w:rFonts w:ascii="Times New Roman" w:hAnsi="Times New Roman"/>
                <w:i/>
                <w:snapToGrid w:val="0"/>
                <w:sz w:val="16"/>
              </w:rPr>
              <w:t>B</w:t>
            </w:r>
          </w:p>
        </w:tc>
        <w:tc>
          <w:tcPr>
            <w:tcW w:w="273" w:type="dxa"/>
            <w:tcBorders>
              <w:left w:val="nil"/>
            </w:tcBorders>
            <w:vAlign w:val="bottom"/>
          </w:tcPr>
          <w:p w14:paraId="0BB2E96A" w14:textId="77777777" w:rsidR="00361651" w:rsidRDefault="00361651" w:rsidP="00EB33C1">
            <w:pPr>
              <w:pStyle w:val="IASBTableHeaderArial"/>
              <w:spacing w:after="120"/>
            </w:pPr>
          </w:p>
        </w:tc>
        <w:tc>
          <w:tcPr>
            <w:tcW w:w="728" w:type="dxa"/>
            <w:tcBorders>
              <w:left w:val="nil"/>
            </w:tcBorders>
          </w:tcPr>
          <w:p w14:paraId="0BB2E96B" w14:textId="77777777" w:rsidR="00361651" w:rsidRDefault="00361651" w:rsidP="00EB33C1">
            <w:pPr>
              <w:pStyle w:val="IASBTableHeaderArial"/>
              <w:spacing w:after="120"/>
              <w:jc w:val="right"/>
            </w:pPr>
            <w:r>
              <w:rPr>
                <w:rFonts w:ascii="Times New Roman" w:hAnsi="Times New Roman"/>
                <w:i/>
                <w:snapToGrid w:val="0"/>
                <w:sz w:val="16"/>
              </w:rPr>
              <w:t>C</w:t>
            </w:r>
          </w:p>
        </w:tc>
        <w:tc>
          <w:tcPr>
            <w:tcW w:w="1001" w:type="dxa"/>
            <w:gridSpan w:val="2"/>
            <w:tcBorders>
              <w:left w:val="nil"/>
            </w:tcBorders>
          </w:tcPr>
          <w:p w14:paraId="0BB2E96C" w14:textId="77777777" w:rsidR="00361651" w:rsidRDefault="00361651" w:rsidP="00EB33C1">
            <w:pPr>
              <w:pStyle w:val="IASBTableHeaderArial"/>
              <w:spacing w:after="120"/>
              <w:jc w:val="right"/>
            </w:pPr>
            <w:r>
              <w:rPr>
                <w:rFonts w:ascii="Times New Roman" w:hAnsi="Times New Roman"/>
                <w:i/>
                <w:snapToGrid w:val="0"/>
                <w:sz w:val="16"/>
              </w:rPr>
              <w:t>Building</w:t>
            </w:r>
          </w:p>
        </w:tc>
        <w:tc>
          <w:tcPr>
            <w:tcW w:w="1183" w:type="dxa"/>
            <w:gridSpan w:val="2"/>
            <w:tcBorders>
              <w:left w:val="nil"/>
            </w:tcBorders>
          </w:tcPr>
          <w:p w14:paraId="0BB2E96D" w14:textId="77777777" w:rsidR="00361651" w:rsidRDefault="00361651" w:rsidP="00EB33C1">
            <w:pPr>
              <w:pStyle w:val="IASBTableHeaderArial"/>
              <w:spacing w:after="120"/>
              <w:jc w:val="right"/>
            </w:pPr>
            <w:r>
              <w:rPr>
                <w:rFonts w:ascii="Times New Roman" w:hAnsi="Times New Roman"/>
                <w:i/>
                <w:snapToGrid w:val="0"/>
                <w:sz w:val="16"/>
              </w:rPr>
              <w:t>Research centre</w:t>
            </w:r>
          </w:p>
        </w:tc>
        <w:tc>
          <w:tcPr>
            <w:tcW w:w="1001" w:type="dxa"/>
            <w:gridSpan w:val="2"/>
            <w:tcBorders>
              <w:left w:val="nil"/>
            </w:tcBorders>
          </w:tcPr>
          <w:p w14:paraId="0BB2E96E" w14:textId="77777777" w:rsidR="00361651" w:rsidRDefault="00361651" w:rsidP="00EB33C1">
            <w:pPr>
              <w:pStyle w:val="IASBTableHeaderArial"/>
              <w:spacing w:after="120"/>
              <w:jc w:val="right"/>
            </w:pPr>
            <w:r>
              <w:rPr>
                <w:rFonts w:ascii="Times New Roman" w:hAnsi="Times New Roman"/>
                <w:i/>
                <w:snapToGrid w:val="0"/>
                <w:sz w:val="16"/>
              </w:rPr>
              <w:t>M</w:t>
            </w:r>
          </w:p>
        </w:tc>
      </w:tr>
      <w:tr w:rsidR="00361651" w14:paraId="0BB2E97C" w14:textId="77777777" w:rsidTr="009709A2">
        <w:trPr>
          <w:cantSplit/>
          <w:tblHeader/>
        </w:trPr>
        <w:tc>
          <w:tcPr>
            <w:tcW w:w="2329" w:type="dxa"/>
            <w:tcBorders>
              <w:top w:val="nil"/>
            </w:tcBorders>
            <w:vAlign w:val="bottom"/>
          </w:tcPr>
          <w:p w14:paraId="0BB2E970" w14:textId="77777777" w:rsidR="00361651" w:rsidRDefault="00361651" w:rsidP="00EB33C1">
            <w:pPr>
              <w:pStyle w:val="IASBTableHeaderArial"/>
              <w:spacing w:after="120"/>
            </w:pPr>
          </w:p>
        </w:tc>
        <w:tc>
          <w:tcPr>
            <w:tcW w:w="728" w:type="dxa"/>
            <w:tcBorders>
              <w:top w:val="nil"/>
              <w:left w:val="nil"/>
            </w:tcBorders>
          </w:tcPr>
          <w:p w14:paraId="0BB2E971" w14:textId="77777777" w:rsidR="00361651" w:rsidRDefault="00361651" w:rsidP="00EB33C1">
            <w:pPr>
              <w:pStyle w:val="IASBTableHeaderArial"/>
              <w:spacing w:after="120"/>
              <w:jc w:val="right"/>
            </w:pPr>
            <w:r>
              <w:rPr>
                <w:b/>
              </w:rPr>
              <w:t>CU</w:t>
            </w:r>
          </w:p>
        </w:tc>
        <w:tc>
          <w:tcPr>
            <w:tcW w:w="273" w:type="dxa"/>
            <w:tcBorders>
              <w:top w:val="nil"/>
              <w:left w:val="nil"/>
            </w:tcBorders>
            <w:vAlign w:val="bottom"/>
          </w:tcPr>
          <w:p w14:paraId="0BB2E972" w14:textId="77777777" w:rsidR="00361651" w:rsidRDefault="00361651" w:rsidP="00EB33C1">
            <w:pPr>
              <w:pStyle w:val="IASBTableHeaderArial"/>
              <w:spacing w:after="120"/>
            </w:pPr>
          </w:p>
        </w:tc>
        <w:tc>
          <w:tcPr>
            <w:tcW w:w="728" w:type="dxa"/>
            <w:tcBorders>
              <w:top w:val="nil"/>
              <w:left w:val="nil"/>
            </w:tcBorders>
          </w:tcPr>
          <w:p w14:paraId="0BB2E973" w14:textId="77777777" w:rsidR="00361651" w:rsidRDefault="00361651" w:rsidP="00EB33C1">
            <w:pPr>
              <w:pStyle w:val="IASBTableHeaderArial"/>
              <w:spacing w:after="120"/>
              <w:jc w:val="right"/>
            </w:pPr>
            <w:r>
              <w:rPr>
                <w:b/>
              </w:rPr>
              <w:t>CU</w:t>
            </w:r>
          </w:p>
        </w:tc>
        <w:tc>
          <w:tcPr>
            <w:tcW w:w="273" w:type="dxa"/>
            <w:tcBorders>
              <w:top w:val="nil"/>
              <w:left w:val="nil"/>
            </w:tcBorders>
            <w:vAlign w:val="bottom"/>
          </w:tcPr>
          <w:p w14:paraId="0BB2E974" w14:textId="77777777" w:rsidR="00361651" w:rsidRDefault="00361651" w:rsidP="00EB33C1">
            <w:pPr>
              <w:pStyle w:val="IASBTableHeaderArial"/>
              <w:spacing w:after="120"/>
            </w:pPr>
          </w:p>
        </w:tc>
        <w:tc>
          <w:tcPr>
            <w:tcW w:w="728" w:type="dxa"/>
            <w:tcBorders>
              <w:top w:val="nil"/>
              <w:left w:val="nil"/>
            </w:tcBorders>
          </w:tcPr>
          <w:p w14:paraId="0BB2E975" w14:textId="77777777" w:rsidR="00361651" w:rsidRDefault="00361651" w:rsidP="00EB33C1">
            <w:pPr>
              <w:pStyle w:val="IASBTableHeaderArial"/>
              <w:spacing w:after="120"/>
              <w:jc w:val="right"/>
            </w:pPr>
            <w:r>
              <w:rPr>
                <w:b/>
              </w:rPr>
              <w:t>CU</w:t>
            </w:r>
          </w:p>
        </w:tc>
        <w:tc>
          <w:tcPr>
            <w:tcW w:w="273" w:type="dxa"/>
            <w:tcBorders>
              <w:top w:val="nil"/>
              <w:left w:val="nil"/>
            </w:tcBorders>
            <w:vAlign w:val="bottom"/>
          </w:tcPr>
          <w:p w14:paraId="0BB2E976" w14:textId="77777777" w:rsidR="00361651" w:rsidRDefault="00361651" w:rsidP="00EB33C1">
            <w:pPr>
              <w:pStyle w:val="IASBTableHeaderArial"/>
              <w:spacing w:after="120"/>
            </w:pPr>
          </w:p>
        </w:tc>
        <w:tc>
          <w:tcPr>
            <w:tcW w:w="728" w:type="dxa"/>
            <w:tcBorders>
              <w:top w:val="nil"/>
              <w:left w:val="nil"/>
            </w:tcBorders>
          </w:tcPr>
          <w:p w14:paraId="0BB2E977"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978" w14:textId="77777777" w:rsidR="00361651" w:rsidRDefault="00361651" w:rsidP="00EB33C1">
            <w:pPr>
              <w:pStyle w:val="IASBTableHeaderArial"/>
              <w:spacing w:after="120"/>
            </w:pPr>
          </w:p>
        </w:tc>
        <w:tc>
          <w:tcPr>
            <w:tcW w:w="728" w:type="dxa"/>
            <w:tcBorders>
              <w:top w:val="nil"/>
              <w:left w:val="nil"/>
            </w:tcBorders>
          </w:tcPr>
          <w:p w14:paraId="0BB2E979" w14:textId="77777777" w:rsidR="00361651" w:rsidRDefault="00361651" w:rsidP="00EB33C1">
            <w:pPr>
              <w:pStyle w:val="IASBTableHeaderArial"/>
              <w:spacing w:after="120"/>
              <w:jc w:val="right"/>
            </w:pPr>
            <w:r>
              <w:rPr>
                <w:b/>
              </w:rPr>
              <w:t>CU</w:t>
            </w:r>
          </w:p>
        </w:tc>
        <w:tc>
          <w:tcPr>
            <w:tcW w:w="273" w:type="dxa"/>
            <w:tcBorders>
              <w:top w:val="nil"/>
              <w:left w:val="nil"/>
            </w:tcBorders>
            <w:vAlign w:val="bottom"/>
          </w:tcPr>
          <w:p w14:paraId="0BB2E97A" w14:textId="77777777" w:rsidR="00361651" w:rsidRDefault="00361651" w:rsidP="00EB33C1">
            <w:pPr>
              <w:pStyle w:val="IASBTableHeaderArial"/>
              <w:spacing w:after="120"/>
            </w:pPr>
          </w:p>
        </w:tc>
        <w:tc>
          <w:tcPr>
            <w:tcW w:w="728" w:type="dxa"/>
            <w:tcBorders>
              <w:top w:val="nil"/>
              <w:left w:val="nil"/>
            </w:tcBorders>
          </w:tcPr>
          <w:p w14:paraId="0BB2E97B" w14:textId="77777777" w:rsidR="00361651" w:rsidRDefault="00361651" w:rsidP="00EB33C1">
            <w:pPr>
              <w:pStyle w:val="IASBTableHeaderArial"/>
              <w:spacing w:after="120"/>
              <w:jc w:val="right"/>
            </w:pPr>
            <w:r>
              <w:rPr>
                <w:b/>
              </w:rPr>
              <w:t>CU</w:t>
            </w:r>
          </w:p>
        </w:tc>
      </w:tr>
      <w:tr w:rsidR="00361651" w14:paraId="0BB2E989" w14:textId="77777777" w:rsidTr="009709A2">
        <w:trPr>
          <w:cantSplit/>
        </w:trPr>
        <w:tc>
          <w:tcPr>
            <w:tcW w:w="2329" w:type="dxa"/>
            <w:tcBorders>
              <w:top w:val="nil"/>
            </w:tcBorders>
          </w:tcPr>
          <w:p w14:paraId="0BB2E97D" w14:textId="77777777" w:rsidR="00361651" w:rsidRDefault="00361651" w:rsidP="009709A2">
            <w:pPr>
              <w:pStyle w:val="IASBTableArial"/>
            </w:pPr>
            <w:r>
              <w:t>Carrying amount</w:t>
            </w:r>
          </w:p>
        </w:tc>
        <w:tc>
          <w:tcPr>
            <w:tcW w:w="728" w:type="dxa"/>
            <w:tcBorders>
              <w:top w:val="nil"/>
              <w:left w:val="nil"/>
            </w:tcBorders>
            <w:vAlign w:val="bottom"/>
          </w:tcPr>
          <w:p w14:paraId="0BB2E97E" w14:textId="77777777" w:rsidR="00361651" w:rsidRDefault="00361651" w:rsidP="009709A2">
            <w:pPr>
              <w:pStyle w:val="IASBTableArial"/>
              <w:jc w:val="right"/>
            </w:pPr>
            <w:r>
              <w:t>100</w:t>
            </w:r>
          </w:p>
        </w:tc>
        <w:tc>
          <w:tcPr>
            <w:tcW w:w="273" w:type="dxa"/>
            <w:tcBorders>
              <w:top w:val="nil"/>
              <w:left w:val="nil"/>
            </w:tcBorders>
            <w:vAlign w:val="bottom"/>
          </w:tcPr>
          <w:p w14:paraId="0BB2E97F" w14:textId="77777777" w:rsidR="00361651" w:rsidRDefault="00361651" w:rsidP="009709A2">
            <w:pPr>
              <w:pStyle w:val="IASBTableArial"/>
            </w:pPr>
          </w:p>
        </w:tc>
        <w:tc>
          <w:tcPr>
            <w:tcW w:w="728" w:type="dxa"/>
            <w:tcBorders>
              <w:top w:val="nil"/>
              <w:left w:val="nil"/>
            </w:tcBorders>
            <w:vAlign w:val="bottom"/>
          </w:tcPr>
          <w:p w14:paraId="0BB2E980" w14:textId="77777777" w:rsidR="00361651" w:rsidRDefault="00361651" w:rsidP="009709A2">
            <w:pPr>
              <w:pStyle w:val="IASBTableArial"/>
              <w:jc w:val="right"/>
            </w:pPr>
            <w:r>
              <w:t>150</w:t>
            </w:r>
          </w:p>
        </w:tc>
        <w:tc>
          <w:tcPr>
            <w:tcW w:w="273" w:type="dxa"/>
            <w:tcBorders>
              <w:top w:val="nil"/>
              <w:left w:val="nil"/>
            </w:tcBorders>
            <w:vAlign w:val="bottom"/>
          </w:tcPr>
          <w:p w14:paraId="0BB2E981" w14:textId="77777777" w:rsidR="00361651" w:rsidRDefault="00361651" w:rsidP="009709A2">
            <w:pPr>
              <w:pStyle w:val="IASBTableArial"/>
            </w:pPr>
          </w:p>
        </w:tc>
        <w:tc>
          <w:tcPr>
            <w:tcW w:w="728" w:type="dxa"/>
            <w:tcBorders>
              <w:top w:val="nil"/>
              <w:left w:val="nil"/>
            </w:tcBorders>
            <w:vAlign w:val="bottom"/>
          </w:tcPr>
          <w:p w14:paraId="0BB2E982" w14:textId="77777777" w:rsidR="00361651" w:rsidRDefault="00361651" w:rsidP="009709A2">
            <w:pPr>
              <w:pStyle w:val="IASBTableArial"/>
              <w:jc w:val="right"/>
            </w:pPr>
            <w:r>
              <w:t>200</w:t>
            </w:r>
          </w:p>
        </w:tc>
        <w:tc>
          <w:tcPr>
            <w:tcW w:w="273" w:type="dxa"/>
            <w:tcBorders>
              <w:top w:val="nil"/>
              <w:left w:val="nil"/>
            </w:tcBorders>
            <w:vAlign w:val="bottom"/>
          </w:tcPr>
          <w:p w14:paraId="0BB2E983" w14:textId="77777777" w:rsidR="00361651" w:rsidRDefault="00361651" w:rsidP="009709A2">
            <w:pPr>
              <w:pStyle w:val="IASBTableArial"/>
            </w:pPr>
          </w:p>
        </w:tc>
        <w:tc>
          <w:tcPr>
            <w:tcW w:w="728" w:type="dxa"/>
            <w:tcBorders>
              <w:top w:val="nil"/>
              <w:left w:val="nil"/>
            </w:tcBorders>
            <w:vAlign w:val="bottom"/>
          </w:tcPr>
          <w:p w14:paraId="0BB2E984" w14:textId="77777777" w:rsidR="00361651" w:rsidRDefault="00361651" w:rsidP="009709A2">
            <w:pPr>
              <w:pStyle w:val="IASBTableArial"/>
              <w:jc w:val="right"/>
            </w:pPr>
            <w:r>
              <w:t>150</w:t>
            </w:r>
          </w:p>
        </w:tc>
        <w:tc>
          <w:tcPr>
            <w:tcW w:w="455" w:type="dxa"/>
            <w:tcBorders>
              <w:top w:val="nil"/>
              <w:left w:val="nil"/>
            </w:tcBorders>
            <w:vAlign w:val="bottom"/>
          </w:tcPr>
          <w:p w14:paraId="0BB2E985" w14:textId="77777777" w:rsidR="00361651" w:rsidRDefault="00361651" w:rsidP="009709A2">
            <w:pPr>
              <w:pStyle w:val="IASBTableArial"/>
            </w:pPr>
          </w:p>
        </w:tc>
        <w:tc>
          <w:tcPr>
            <w:tcW w:w="728" w:type="dxa"/>
            <w:tcBorders>
              <w:top w:val="nil"/>
              <w:left w:val="nil"/>
            </w:tcBorders>
            <w:vAlign w:val="bottom"/>
          </w:tcPr>
          <w:p w14:paraId="0BB2E986" w14:textId="77777777" w:rsidR="00361651" w:rsidRDefault="00361651" w:rsidP="009709A2">
            <w:pPr>
              <w:pStyle w:val="IASBTableArial"/>
              <w:jc w:val="right"/>
            </w:pPr>
            <w:r>
              <w:t>50</w:t>
            </w:r>
          </w:p>
        </w:tc>
        <w:tc>
          <w:tcPr>
            <w:tcW w:w="273" w:type="dxa"/>
            <w:tcBorders>
              <w:top w:val="nil"/>
              <w:left w:val="nil"/>
            </w:tcBorders>
            <w:vAlign w:val="bottom"/>
          </w:tcPr>
          <w:p w14:paraId="0BB2E987" w14:textId="77777777" w:rsidR="00361651" w:rsidRDefault="00361651" w:rsidP="009709A2">
            <w:pPr>
              <w:pStyle w:val="IASBTableArial"/>
            </w:pPr>
          </w:p>
        </w:tc>
        <w:tc>
          <w:tcPr>
            <w:tcW w:w="728" w:type="dxa"/>
            <w:tcBorders>
              <w:top w:val="nil"/>
              <w:left w:val="nil"/>
            </w:tcBorders>
            <w:vAlign w:val="bottom"/>
          </w:tcPr>
          <w:p w14:paraId="0BB2E988" w14:textId="77777777" w:rsidR="00361651" w:rsidRDefault="00361651" w:rsidP="009709A2">
            <w:pPr>
              <w:pStyle w:val="IASBTableArial"/>
              <w:jc w:val="right"/>
            </w:pPr>
            <w:r>
              <w:t>650</w:t>
            </w:r>
          </w:p>
        </w:tc>
      </w:tr>
      <w:tr w:rsidR="00361651" w14:paraId="0BB2E996" w14:textId="77777777" w:rsidTr="009709A2">
        <w:trPr>
          <w:cantSplit/>
        </w:trPr>
        <w:tc>
          <w:tcPr>
            <w:tcW w:w="2329" w:type="dxa"/>
            <w:tcBorders>
              <w:top w:val="nil"/>
            </w:tcBorders>
          </w:tcPr>
          <w:p w14:paraId="0BB2E98A" w14:textId="77777777" w:rsidR="00361651" w:rsidRDefault="00361651" w:rsidP="009709A2">
            <w:pPr>
              <w:pStyle w:val="IASBTableArial"/>
            </w:pPr>
            <w:r>
              <w:t>Impairment loss arising from the first step of the test</w:t>
            </w:r>
          </w:p>
        </w:tc>
        <w:tc>
          <w:tcPr>
            <w:tcW w:w="728" w:type="dxa"/>
            <w:tcBorders>
              <w:top w:val="nil"/>
              <w:left w:val="nil"/>
              <w:bottom w:val="single" w:sz="4" w:space="0" w:color="auto"/>
            </w:tcBorders>
            <w:vAlign w:val="bottom"/>
          </w:tcPr>
          <w:p w14:paraId="0BB2E98B" w14:textId="77777777" w:rsidR="00361651" w:rsidRDefault="00361651" w:rsidP="009709A2">
            <w:pPr>
              <w:pStyle w:val="IASBTableArial"/>
              <w:jc w:val="right"/>
            </w:pPr>
            <w:r>
              <w:t>–</w:t>
            </w:r>
          </w:p>
        </w:tc>
        <w:tc>
          <w:tcPr>
            <w:tcW w:w="273" w:type="dxa"/>
            <w:tcBorders>
              <w:top w:val="nil"/>
              <w:left w:val="nil"/>
            </w:tcBorders>
            <w:vAlign w:val="bottom"/>
          </w:tcPr>
          <w:p w14:paraId="0BB2E98C" w14:textId="77777777" w:rsidR="00361651" w:rsidRDefault="00361651" w:rsidP="009709A2">
            <w:pPr>
              <w:pStyle w:val="IASBTableArial"/>
            </w:pPr>
          </w:p>
        </w:tc>
        <w:tc>
          <w:tcPr>
            <w:tcW w:w="728" w:type="dxa"/>
            <w:tcBorders>
              <w:top w:val="nil"/>
              <w:left w:val="nil"/>
              <w:bottom w:val="single" w:sz="4" w:space="0" w:color="auto"/>
            </w:tcBorders>
            <w:vAlign w:val="bottom"/>
          </w:tcPr>
          <w:p w14:paraId="0BB2E98D" w14:textId="77777777" w:rsidR="00361651" w:rsidRDefault="00361651" w:rsidP="009709A2">
            <w:pPr>
              <w:pStyle w:val="IASBTableArial"/>
              <w:jc w:val="right"/>
            </w:pPr>
            <w:r>
              <w:t>(30)</w:t>
            </w:r>
          </w:p>
        </w:tc>
        <w:tc>
          <w:tcPr>
            <w:tcW w:w="273" w:type="dxa"/>
            <w:tcBorders>
              <w:top w:val="nil"/>
              <w:left w:val="nil"/>
            </w:tcBorders>
            <w:vAlign w:val="bottom"/>
          </w:tcPr>
          <w:p w14:paraId="0BB2E98E" w14:textId="77777777" w:rsidR="00361651" w:rsidRDefault="00361651" w:rsidP="009709A2">
            <w:pPr>
              <w:pStyle w:val="IASBTableArial"/>
            </w:pPr>
          </w:p>
        </w:tc>
        <w:tc>
          <w:tcPr>
            <w:tcW w:w="728" w:type="dxa"/>
            <w:tcBorders>
              <w:top w:val="nil"/>
              <w:left w:val="nil"/>
              <w:bottom w:val="single" w:sz="4" w:space="0" w:color="auto"/>
            </w:tcBorders>
            <w:vAlign w:val="bottom"/>
          </w:tcPr>
          <w:p w14:paraId="0BB2E98F" w14:textId="77777777" w:rsidR="00361651" w:rsidRDefault="00361651" w:rsidP="009709A2">
            <w:pPr>
              <w:pStyle w:val="IASBTableArial"/>
              <w:jc w:val="right"/>
            </w:pPr>
            <w:r>
              <w:t>(3)</w:t>
            </w:r>
          </w:p>
        </w:tc>
        <w:tc>
          <w:tcPr>
            <w:tcW w:w="273" w:type="dxa"/>
            <w:tcBorders>
              <w:top w:val="nil"/>
              <w:left w:val="nil"/>
            </w:tcBorders>
            <w:vAlign w:val="bottom"/>
          </w:tcPr>
          <w:p w14:paraId="0BB2E990" w14:textId="77777777" w:rsidR="00361651" w:rsidRDefault="00361651" w:rsidP="009709A2">
            <w:pPr>
              <w:pStyle w:val="IASBTableArial"/>
            </w:pPr>
          </w:p>
        </w:tc>
        <w:tc>
          <w:tcPr>
            <w:tcW w:w="728" w:type="dxa"/>
            <w:tcBorders>
              <w:top w:val="nil"/>
              <w:left w:val="nil"/>
              <w:bottom w:val="single" w:sz="4" w:space="0" w:color="auto"/>
            </w:tcBorders>
            <w:vAlign w:val="bottom"/>
          </w:tcPr>
          <w:p w14:paraId="0BB2E991" w14:textId="77777777" w:rsidR="00361651" w:rsidRDefault="00361651" w:rsidP="009709A2">
            <w:pPr>
              <w:pStyle w:val="IASBTableArial"/>
              <w:jc w:val="right"/>
            </w:pPr>
            <w:r>
              <w:t>(13)</w:t>
            </w:r>
          </w:p>
        </w:tc>
        <w:tc>
          <w:tcPr>
            <w:tcW w:w="455" w:type="dxa"/>
            <w:tcBorders>
              <w:top w:val="nil"/>
              <w:left w:val="nil"/>
            </w:tcBorders>
            <w:vAlign w:val="bottom"/>
          </w:tcPr>
          <w:p w14:paraId="0BB2E992" w14:textId="77777777" w:rsidR="00361651" w:rsidRDefault="00361651" w:rsidP="009709A2">
            <w:pPr>
              <w:pStyle w:val="IASBTableArial"/>
            </w:pPr>
          </w:p>
        </w:tc>
        <w:tc>
          <w:tcPr>
            <w:tcW w:w="728" w:type="dxa"/>
            <w:tcBorders>
              <w:top w:val="nil"/>
              <w:left w:val="nil"/>
              <w:bottom w:val="single" w:sz="4" w:space="0" w:color="auto"/>
            </w:tcBorders>
            <w:vAlign w:val="bottom"/>
          </w:tcPr>
          <w:p w14:paraId="0BB2E993" w14:textId="77777777" w:rsidR="00361651" w:rsidRDefault="00361651" w:rsidP="009709A2">
            <w:pPr>
              <w:pStyle w:val="IASBTableArial"/>
              <w:jc w:val="right"/>
            </w:pPr>
            <w:r>
              <w:t>–</w:t>
            </w:r>
          </w:p>
        </w:tc>
        <w:tc>
          <w:tcPr>
            <w:tcW w:w="273" w:type="dxa"/>
            <w:tcBorders>
              <w:top w:val="nil"/>
              <w:left w:val="nil"/>
            </w:tcBorders>
            <w:vAlign w:val="bottom"/>
          </w:tcPr>
          <w:p w14:paraId="0BB2E994" w14:textId="77777777" w:rsidR="00361651" w:rsidRDefault="00361651" w:rsidP="009709A2">
            <w:pPr>
              <w:pStyle w:val="IASBTableArial"/>
            </w:pPr>
          </w:p>
        </w:tc>
        <w:tc>
          <w:tcPr>
            <w:tcW w:w="728" w:type="dxa"/>
            <w:tcBorders>
              <w:top w:val="nil"/>
              <w:left w:val="nil"/>
              <w:bottom w:val="single" w:sz="4" w:space="0" w:color="auto"/>
            </w:tcBorders>
            <w:vAlign w:val="bottom"/>
          </w:tcPr>
          <w:p w14:paraId="0BB2E995" w14:textId="77777777" w:rsidR="00361651" w:rsidRDefault="00361651" w:rsidP="009709A2">
            <w:pPr>
              <w:pStyle w:val="IASBTableArial"/>
              <w:jc w:val="right"/>
            </w:pPr>
            <w:r>
              <w:t>(46)</w:t>
            </w:r>
          </w:p>
        </w:tc>
      </w:tr>
      <w:tr w:rsidR="00361651" w14:paraId="0BB2E9A3" w14:textId="77777777" w:rsidTr="009709A2">
        <w:trPr>
          <w:cantSplit/>
        </w:trPr>
        <w:tc>
          <w:tcPr>
            <w:tcW w:w="2329" w:type="dxa"/>
            <w:tcBorders>
              <w:top w:val="nil"/>
            </w:tcBorders>
          </w:tcPr>
          <w:p w14:paraId="0BB2E997" w14:textId="77777777" w:rsidR="00361651" w:rsidRDefault="00361651" w:rsidP="009709A2">
            <w:pPr>
              <w:pStyle w:val="IASBTableArial"/>
            </w:pPr>
            <w:r>
              <w:t>Carrying amount after the first step of the test</w:t>
            </w:r>
          </w:p>
        </w:tc>
        <w:tc>
          <w:tcPr>
            <w:tcW w:w="728" w:type="dxa"/>
            <w:tcBorders>
              <w:top w:val="nil"/>
              <w:left w:val="nil"/>
              <w:bottom w:val="double" w:sz="4" w:space="0" w:color="auto"/>
            </w:tcBorders>
            <w:vAlign w:val="bottom"/>
          </w:tcPr>
          <w:p w14:paraId="0BB2E998" w14:textId="77777777" w:rsidR="00361651" w:rsidRDefault="00361651" w:rsidP="009709A2">
            <w:pPr>
              <w:pStyle w:val="IASBTableArial"/>
              <w:jc w:val="right"/>
            </w:pPr>
            <w:r>
              <w:t>100</w:t>
            </w:r>
          </w:p>
        </w:tc>
        <w:tc>
          <w:tcPr>
            <w:tcW w:w="273" w:type="dxa"/>
            <w:tcBorders>
              <w:top w:val="nil"/>
              <w:left w:val="nil"/>
            </w:tcBorders>
            <w:vAlign w:val="bottom"/>
          </w:tcPr>
          <w:p w14:paraId="0BB2E999" w14:textId="77777777" w:rsidR="00361651" w:rsidRDefault="00361651" w:rsidP="009709A2">
            <w:pPr>
              <w:pStyle w:val="IASBTableArial"/>
            </w:pPr>
          </w:p>
        </w:tc>
        <w:tc>
          <w:tcPr>
            <w:tcW w:w="728" w:type="dxa"/>
            <w:tcBorders>
              <w:top w:val="nil"/>
              <w:left w:val="nil"/>
              <w:bottom w:val="double" w:sz="4" w:space="0" w:color="auto"/>
            </w:tcBorders>
            <w:vAlign w:val="bottom"/>
          </w:tcPr>
          <w:p w14:paraId="0BB2E99A" w14:textId="77777777" w:rsidR="00361651" w:rsidRDefault="00361651" w:rsidP="009709A2">
            <w:pPr>
              <w:pStyle w:val="IASBTableArial"/>
              <w:jc w:val="right"/>
            </w:pPr>
            <w:r>
              <w:t>120</w:t>
            </w:r>
          </w:p>
        </w:tc>
        <w:tc>
          <w:tcPr>
            <w:tcW w:w="273" w:type="dxa"/>
            <w:tcBorders>
              <w:top w:val="nil"/>
              <w:left w:val="nil"/>
            </w:tcBorders>
            <w:vAlign w:val="bottom"/>
          </w:tcPr>
          <w:p w14:paraId="0BB2E99B" w14:textId="77777777" w:rsidR="00361651" w:rsidRDefault="00361651" w:rsidP="009709A2">
            <w:pPr>
              <w:pStyle w:val="IASBTableArial"/>
            </w:pPr>
          </w:p>
        </w:tc>
        <w:tc>
          <w:tcPr>
            <w:tcW w:w="728" w:type="dxa"/>
            <w:tcBorders>
              <w:top w:val="nil"/>
              <w:left w:val="nil"/>
              <w:bottom w:val="double" w:sz="4" w:space="0" w:color="auto"/>
            </w:tcBorders>
            <w:vAlign w:val="bottom"/>
          </w:tcPr>
          <w:p w14:paraId="0BB2E99C" w14:textId="77777777" w:rsidR="00361651" w:rsidRDefault="00361651" w:rsidP="009709A2">
            <w:pPr>
              <w:pStyle w:val="IASBTableArial"/>
              <w:jc w:val="right"/>
            </w:pPr>
            <w:r>
              <w:t>197</w:t>
            </w:r>
          </w:p>
        </w:tc>
        <w:tc>
          <w:tcPr>
            <w:tcW w:w="273" w:type="dxa"/>
            <w:tcBorders>
              <w:top w:val="nil"/>
              <w:left w:val="nil"/>
            </w:tcBorders>
            <w:vAlign w:val="bottom"/>
          </w:tcPr>
          <w:p w14:paraId="0BB2E99D" w14:textId="77777777" w:rsidR="00361651" w:rsidRDefault="00361651" w:rsidP="009709A2">
            <w:pPr>
              <w:pStyle w:val="IASBTableArial"/>
            </w:pPr>
          </w:p>
        </w:tc>
        <w:tc>
          <w:tcPr>
            <w:tcW w:w="728" w:type="dxa"/>
            <w:tcBorders>
              <w:top w:val="nil"/>
              <w:left w:val="nil"/>
              <w:bottom w:val="double" w:sz="4" w:space="0" w:color="auto"/>
            </w:tcBorders>
            <w:vAlign w:val="bottom"/>
          </w:tcPr>
          <w:p w14:paraId="0BB2E99E" w14:textId="77777777" w:rsidR="00361651" w:rsidRDefault="00361651" w:rsidP="009709A2">
            <w:pPr>
              <w:pStyle w:val="IASBTableArial"/>
              <w:jc w:val="right"/>
            </w:pPr>
            <w:r>
              <w:t>137</w:t>
            </w:r>
          </w:p>
        </w:tc>
        <w:tc>
          <w:tcPr>
            <w:tcW w:w="455" w:type="dxa"/>
            <w:tcBorders>
              <w:top w:val="nil"/>
              <w:left w:val="nil"/>
            </w:tcBorders>
            <w:vAlign w:val="bottom"/>
          </w:tcPr>
          <w:p w14:paraId="0BB2E99F" w14:textId="77777777" w:rsidR="00361651" w:rsidRDefault="00361651" w:rsidP="009709A2">
            <w:pPr>
              <w:pStyle w:val="IASBTableArial"/>
            </w:pPr>
          </w:p>
        </w:tc>
        <w:tc>
          <w:tcPr>
            <w:tcW w:w="728" w:type="dxa"/>
            <w:tcBorders>
              <w:top w:val="nil"/>
              <w:left w:val="nil"/>
              <w:bottom w:val="double" w:sz="4" w:space="0" w:color="auto"/>
            </w:tcBorders>
            <w:vAlign w:val="bottom"/>
          </w:tcPr>
          <w:p w14:paraId="0BB2E9A0" w14:textId="77777777" w:rsidR="00361651" w:rsidRDefault="00361651" w:rsidP="009709A2">
            <w:pPr>
              <w:pStyle w:val="IASBTableArial"/>
              <w:jc w:val="right"/>
            </w:pPr>
            <w:r>
              <w:t>50</w:t>
            </w:r>
          </w:p>
        </w:tc>
        <w:tc>
          <w:tcPr>
            <w:tcW w:w="273" w:type="dxa"/>
            <w:tcBorders>
              <w:top w:val="nil"/>
              <w:left w:val="nil"/>
            </w:tcBorders>
            <w:vAlign w:val="bottom"/>
          </w:tcPr>
          <w:p w14:paraId="0BB2E9A1" w14:textId="77777777" w:rsidR="00361651" w:rsidRDefault="00361651" w:rsidP="009709A2">
            <w:pPr>
              <w:pStyle w:val="IASBTableArial"/>
            </w:pPr>
          </w:p>
        </w:tc>
        <w:tc>
          <w:tcPr>
            <w:tcW w:w="728" w:type="dxa"/>
            <w:tcBorders>
              <w:top w:val="nil"/>
              <w:left w:val="nil"/>
              <w:bottom w:val="double" w:sz="4" w:space="0" w:color="auto"/>
            </w:tcBorders>
            <w:vAlign w:val="bottom"/>
          </w:tcPr>
          <w:p w14:paraId="0BB2E9A2" w14:textId="77777777" w:rsidR="00361651" w:rsidRDefault="00361651" w:rsidP="009709A2">
            <w:pPr>
              <w:pStyle w:val="IASBTableArial"/>
              <w:jc w:val="right"/>
            </w:pPr>
            <w:r>
              <w:t>604</w:t>
            </w:r>
          </w:p>
        </w:tc>
      </w:tr>
      <w:tr w:rsidR="00361651" w14:paraId="0BB2E9B0" w14:textId="77777777" w:rsidTr="009709A2">
        <w:trPr>
          <w:cantSplit/>
        </w:trPr>
        <w:tc>
          <w:tcPr>
            <w:tcW w:w="2329" w:type="dxa"/>
            <w:tcBorders>
              <w:top w:val="nil"/>
            </w:tcBorders>
          </w:tcPr>
          <w:p w14:paraId="0BB2E9A4" w14:textId="77777777" w:rsidR="00361651" w:rsidRDefault="00361651" w:rsidP="009709A2">
            <w:pPr>
              <w:pStyle w:val="IASBTableArial"/>
            </w:pPr>
            <w:r>
              <w:t>Recoverable amount (Schedule 2)</w:t>
            </w:r>
          </w:p>
        </w:tc>
        <w:tc>
          <w:tcPr>
            <w:tcW w:w="728" w:type="dxa"/>
            <w:tcBorders>
              <w:top w:val="nil"/>
              <w:left w:val="nil"/>
            </w:tcBorders>
            <w:vAlign w:val="bottom"/>
          </w:tcPr>
          <w:p w14:paraId="0BB2E9A5" w14:textId="77777777" w:rsidR="00361651" w:rsidRDefault="00361651" w:rsidP="009709A2">
            <w:pPr>
              <w:pStyle w:val="IASBTableArial"/>
            </w:pPr>
            <w:r>
              <w:t xml:space="preserve"> </w:t>
            </w:r>
          </w:p>
        </w:tc>
        <w:tc>
          <w:tcPr>
            <w:tcW w:w="273" w:type="dxa"/>
            <w:tcBorders>
              <w:top w:val="nil"/>
              <w:left w:val="nil"/>
            </w:tcBorders>
            <w:vAlign w:val="bottom"/>
          </w:tcPr>
          <w:p w14:paraId="0BB2E9A6" w14:textId="77777777" w:rsidR="00361651" w:rsidRDefault="00361651" w:rsidP="009709A2">
            <w:pPr>
              <w:pStyle w:val="IASBTableArial"/>
            </w:pPr>
            <w:r>
              <w:t xml:space="preserve"> </w:t>
            </w:r>
          </w:p>
        </w:tc>
        <w:tc>
          <w:tcPr>
            <w:tcW w:w="728" w:type="dxa"/>
            <w:tcBorders>
              <w:top w:val="nil"/>
              <w:left w:val="nil"/>
            </w:tcBorders>
            <w:vAlign w:val="bottom"/>
          </w:tcPr>
          <w:p w14:paraId="0BB2E9A7" w14:textId="77777777" w:rsidR="00361651" w:rsidRDefault="00361651" w:rsidP="009709A2">
            <w:pPr>
              <w:pStyle w:val="IASBTableArial"/>
            </w:pPr>
            <w:r>
              <w:t xml:space="preserve"> </w:t>
            </w:r>
          </w:p>
        </w:tc>
        <w:tc>
          <w:tcPr>
            <w:tcW w:w="273" w:type="dxa"/>
            <w:tcBorders>
              <w:top w:val="nil"/>
              <w:left w:val="nil"/>
            </w:tcBorders>
            <w:vAlign w:val="bottom"/>
          </w:tcPr>
          <w:p w14:paraId="0BB2E9A8" w14:textId="77777777" w:rsidR="00361651" w:rsidRDefault="00361651" w:rsidP="009709A2">
            <w:pPr>
              <w:pStyle w:val="IASBTableArial"/>
            </w:pPr>
            <w:r>
              <w:t xml:space="preserve"> </w:t>
            </w:r>
          </w:p>
        </w:tc>
        <w:tc>
          <w:tcPr>
            <w:tcW w:w="728" w:type="dxa"/>
            <w:tcBorders>
              <w:top w:val="nil"/>
              <w:left w:val="nil"/>
            </w:tcBorders>
            <w:vAlign w:val="bottom"/>
          </w:tcPr>
          <w:p w14:paraId="0BB2E9A9" w14:textId="77777777" w:rsidR="00361651" w:rsidRDefault="00361651" w:rsidP="009709A2">
            <w:pPr>
              <w:pStyle w:val="IASBTableArial"/>
            </w:pPr>
            <w:r>
              <w:t xml:space="preserve"> </w:t>
            </w:r>
          </w:p>
        </w:tc>
        <w:tc>
          <w:tcPr>
            <w:tcW w:w="273" w:type="dxa"/>
            <w:tcBorders>
              <w:top w:val="nil"/>
              <w:left w:val="nil"/>
            </w:tcBorders>
            <w:vAlign w:val="bottom"/>
          </w:tcPr>
          <w:p w14:paraId="0BB2E9AA" w14:textId="77777777" w:rsidR="00361651" w:rsidRDefault="00361651" w:rsidP="009709A2">
            <w:pPr>
              <w:pStyle w:val="IASBTableArial"/>
            </w:pPr>
          </w:p>
        </w:tc>
        <w:tc>
          <w:tcPr>
            <w:tcW w:w="728" w:type="dxa"/>
            <w:tcBorders>
              <w:top w:val="nil"/>
              <w:left w:val="nil"/>
            </w:tcBorders>
            <w:vAlign w:val="bottom"/>
          </w:tcPr>
          <w:p w14:paraId="0BB2E9AB" w14:textId="77777777" w:rsidR="00361651" w:rsidRDefault="00361651" w:rsidP="009709A2">
            <w:pPr>
              <w:pStyle w:val="IASBTableArial"/>
            </w:pPr>
          </w:p>
        </w:tc>
        <w:tc>
          <w:tcPr>
            <w:tcW w:w="455" w:type="dxa"/>
            <w:tcBorders>
              <w:top w:val="nil"/>
              <w:left w:val="nil"/>
            </w:tcBorders>
            <w:vAlign w:val="bottom"/>
          </w:tcPr>
          <w:p w14:paraId="0BB2E9AC" w14:textId="77777777" w:rsidR="00361651" w:rsidRDefault="00361651" w:rsidP="009709A2">
            <w:pPr>
              <w:pStyle w:val="IASBTableArial"/>
            </w:pPr>
          </w:p>
        </w:tc>
        <w:tc>
          <w:tcPr>
            <w:tcW w:w="728" w:type="dxa"/>
            <w:tcBorders>
              <w:top w:val="nil"/>
              <w:left w:val="nil"/>
            </w:tcBorders>
            <w:vAlign w:val="bottom"/>
          </w:tcPr>
          <w:p w14:paraId="0BB2E9AD" w14:textId="77777777" w:rsidR="00361651" w:rsidRDefault="00361651" w:rsidP="009709A2">
            <w:pPr>
              <w:pStyle w:val="IASBTableArial"/>
            </w:pPr>
          </w:p>
        </w:tc>
        <w:tc>
          <w:tcPr>
            <w:tcW w:w="273" w:type="dxa"/>
            <w:tcBorders>
              <w:top w:val="nil"/>
              <w:left w:val="nil"/>
            </w:tcBorders>
            <w:vAlign w:val="bottom"/>
          </w:tcPr>
          <w:p w14:paraId="0BB2E9AE" w14:textId="77777777" w:rsidR="00361651" w:rsidRDefault="00361651" w:rsidP="009709A2">
            <w:pPr>
              <w:pStyle w:val="IASBTableArial"/>
            </w:pPr>
          </w:p>
        </w:tc>
        <w:tc>
          <w:tcPr>
            <w:tcW w:w="728" w:type="dxa"/>
            <w:tcBorders>
              <w:top w:val="nil"/>
              <w:left w:val="nil"/>
              <w:bottom w:val="single" w:sz="4" w:space="0" w:color="auto"/>
            </w:tcBorders>
            <w:vAlign w:val="bottom"/>
          </w:tcPr>
          <w:p w14:paraId="0BB2E9AF" w14:textId="77777777" w:rsidR="00361651" w:rsidRDefault="00361651" w:rsidP="009709A2">
            <w:pPr>
              <w:pStyle w:val="IASBTableArial"/>
              <w:jc w:val="right"/>
            </w:pPr>
            <w:r>
              <w:t>720</w:t>
            </w:r>
          </w:p>
        </w:tc>
      </w:tr>
      <w:tr w:rsidR="00361651" w14:paraId="0BB2E9BD" w14:textId="77777777" w:rsidTr="009709A2">
        <w:trPr>
          <w:cantSplit/>
        </w:trPr>
        <w:tc>
          <w:tcPr>
            <w:tcW w:w="2329" w:type="dxa"/>
            <w:tcBorders>
              <w:top w:val="nil"/>
            </w:tcBorders>
          </w:tcPr>
          <w:p w14:paraId="0BB2E9B1" w14:textId="77777777" w:rsidR="00361651" w:rsidRDefault="00361651" w:rsidP="009709A2">
            <w:pPr>
              <w:pStyle w:val="IASBTableArial"/>
            </w:pPr>
            <w:r>
              <w:t>Impairment loss for the ‘larger’ cash-generating unit</w:t>
            </w:r>
          </w:p>
        </w:tc>
        <w:tc>
          <w:tcPr>
            <w:tcW w:w="728" w:type="dxa"/>
            <w:tcBorders>
              <w:top w:val="nil"/>
              <w:left w:val="nil"/>
            </w:tcBorders>
            <w:vAlign w:val="bottom"/>
          </w:tcPr>
          <w:p w14:paraId="0BB2E9B2" w14:textId="77777777" w:rsidR="00361651" w:rsidRDefault="00361651" w:rsidP="009709A2">
            <w:pPr>
              <w:pStyle w:val="IASBTableArial"/>
            </w:pPr>
            <w:r>
              <w:t xml:space="preserve"> </w:t>
            </w:r>
          </w:p>
        </w:tc>
        <w:tc>
          <w:tcPr>
            <w:tcW w:w="273" w:type="dxa"/>
            <w:tcBorders>
              <w:top w:val="nil"/>
              <w:left w:val="nil"/>
            </w:tcBorders>
            <w:vAlign w:val="bottom"/>
          </w:tcPr>
          <w:p w14:paraId="0BB2E9B3" w14:textId="77777777" w:rsidR="00361651" w:rsidRDefault="00361651" w:rsidP="009709A2">
            <w:pPr>
              <w:pStyle w:val="IASBTableArial"/>
            </w:pPr>
            <w:r>
              <w:t xml:space="preserve"> </w:t>
            </w:r>
          </w:p>
        </w:tc>
        <w:tc>
          <w:tcPr>
            <w:tcW w:w="728" w:type="dxa"/>
            <w:tcBorders>
              <w:top w:val="nil"/>
              <w:left w:val="nil"/>
            </w:tcBorders>
            <w:vAlign w:val="bottom"/>
          </w:tcPr>
          <w:p w14:paraId="0BB2E9B4" w14:textId="77777777" w:rsidR="00361651" w:rsidRDefault="00361651" w:rsidP="009709A2">
            <w:pPr>
              <w:pStyle w:val="IASBTableArial"/>
            </w:pPr>
            <w:r>
              <w:t xml:space="preserve"> </w:t>
            </w:r>
          </w:p>
        </w:tc>
        <w:tc>
          <w:tcPr>
            <w:tcW w:w="273" w:type="dxa"/>
            <w:tcBorders>
              <w:top w:val="nil"/>
              <w:left w:val="nil"/>
            </w:tcBorders>
            <w:vAlign w:val="bottom"/>
          </w:tcPr>
          <w:p w14:paraId="0BB2E9B5" w14:textId="77777777" w:rsidR="00361651" w:rsidRDefault="00361651" w:rsidP="009709A2">
            <w:pPr>
              <w:pStyle w:val="IASBTableArial"/>
            </w:pPr>
            <w:r>
              <w:t xml:space="preserve"> </w:t>
            </w:r>
          </w:p>
        </w:tc>
        <w:tc>
          <w:tcPr>
            <w:tcW w:w="728" w:type="dxa"/>
            <w:tcBorders>
              <w:top w:val="nil"/>
              <w:left w:val="nil"/>
            </w:tcBorders>
            <w:vAlign w:val="bottom"/>
          </w:tcPr>
          <w:p w14:paraId="0BB2E9B6" w14:textId="77777777" w:rsidR="00361651" w:rsidRDefault="00361651" w:rsidP="009709A2">
            <w:pPr>
              <w:pStyle w:val="IASBTableArial"/>
            </w:pPr>
            <w:r>
              <w:t xml:space="preserve"> </w:t>
            </w:r>
          </w:p>
        </w:tc>
        <w:tc>
          <w:tcPr>
            <w:tcW w:w="273" w:type="dxa"/>
            <w:tcBorders>
              <w:top w:val="nil"/>
              <w:left w:val="nil"/>
            </w:tcBorders>
            <w:vAlign w:val="bottom"/>
          </w:tcPr>
          <w:p w14:paraId="0BB2E9B7" w14:textId="77777777" w:rsidR="00361651" w:rsidRDefault="00361651" w:rsidP="009709A2">
            <w:pPr>
              <w:pStyle w:val="IASBTableArial"/>
            </w:pPr>
          </w:p>
        </w:tc>
        <w:tc>
          <w:tcPr>
            <w:tcW w:w="728" w:type="dxa"/>
            <w:tcBorders>
              <w:top w:val="nil"/>
              <w:left w:val="nil"/>
            </w:tcBorders>
            <w:vAlign w:val="bottom"/>
          </w:tcPr>
          <w:p w14:paraId="0BB2E9B8" w14:textId="77777777" w:rsidR="00361651" w:rsidRDefault="00361651" w:rsidP="009709A2">
            <w:pPr>
              <w:pStyle w:val="IASBTableArial"/>
            </w:pPr>
          </w:p>
        </w:tc>
        <w:tc>
          <w:tcPr>
            <w:tcW w:w="455" w:type="dxa"/>
            <w:tcBorders>
              <w:top w:val="nil"/>
              <w:left w:val="nil"/>
            </w:tcBorders>
            <w:vAlign w:val="bottom"/>
          </w:tcPr>
          <w:p w14:paraId="0BB2E9B9" w14:textId="77777777" w:rsidR="00361651" w:rsidRDefault="00361651" w:rsidP="009709A2">
            <w:pPr>
              <w:pStyle w:val="IASBTableArial"/>
            </w:pPr>
          </w:p>
        </w:tc>
        <w:tc>
          <w:tcPr>
            <w:tcW w:w="728" w:type="dxa"/>
            <w:tcBorders>
              <w:top w:val="nil"/>
              <w:left w:val="nil"/>
            </w:tcBorders>
            <w:vAlign w:val="bottom"/>
          </w:tcPr>
          <w:p w14:paraId="0BB2E9BA" w14:textId="77777777" w:rsidR="00361651" w:rsidRDefault="00361651" w:rsidP="009709A2">
            <w:pPr>
              <w:pStyle w:val="IASBTableArial"/>
            </w:pPr>
          </w:p>
        </w:tc>
        <w:tc>
          <w:tcPr>
            <w:tcW w:w="273" w:type="dxa"/>
            <w:tcBorders>
              <w:top w:val="nil"/>
              <w:left w:val="nil"/>
            </w:tcBorders>
            <w:vAlign w:val="bottom"/>
          </w:tcPr>
          <w:p w14:paraId="0BB2E9BB" w14:textId="77777777" w:rsidR="00361651" w:rsidRDefault="00361651" w:rsidP="009709A2">
            <w:pPr>
              <w:pStyle w:val="IASBTableArial"/>
            </w:pPr>
          </w:p>
        </w:tc>
        <w:tc>
          <w:tcPr>
            <w:tcW w:w="728" w:type="dxa"/>
            <w:tcBorders>
              <w:top w:val="nil"/>
              <w:left w:val="nil"/>
              <w:bottom w:val="double" w:sz="4" w:space="0" w:color="auto"/>
            </w:tcBorders>
            <w:vAlign w:val="bottom"/>
          </w:tcPr>
          <w:p w14:paraId="0BB2E9BC" w14:textId="77777777" w:rsidR="00361651" w:rsidRDefault="00361651" w:rsidP="009709A2">
            <w:pPr>
              <w:pStyle w:val="IASBTableArial"/>
              <w:jc w:val="right"/>
            </w:pPr>
            <w:r>
              <w:t>0</w:t>
            </w:r>
          </w:p>
        </w:tc>
      </w:tr>
    </w:tbl>
    <w:p w14:paraId="0BB2E9BE" w14:textId="77777777" w:rsidR="00361651" w:rsidRDefault="00361651" w:rsidP="00361651">
      <w:pPr>
        <w:pStyle w:val="IASBNormalnpara"/>
      </w:pPr>
    </w:p>
    <w:p w14:paraId="0BB2E9BF" w14:textId="77777777" w:rsidR="00361651" w:rsidRDefault="00361651" w:rsidP="00361651">
      <w:pPr>
        <w:pStyle w:val="IASBNormalnpara"/>
      </w:pPr>
      <w:r>
        <w:t>IE79</w:t>
      </w:r>
      <w:r>
        <w:tab/>
        <w:t>Therefore, no additional impairment loss results from the application of the impairment test to M as a whole. Only an impairment loss of CU46 is recognised as a result of the application of the first step of the test to A, B and C.</w:t>
      </w:r>
    </w:p>
    <w:p w14:paraId="0BB2E9C0" w14:textId="77777777" w:rsidR="00356AB2" w:rsidRDefault="00356AB2" w:rsidP="00361651">
      <w:pPr>
        <w:pStyle w:val="IASBNormalnpara"/>
      </w:pPr>
    </w:p>
    <w:p w14:paraId="0BB2E9C1" w14:textId="77777777" w:rsidR="00361651" w:rsidRDefault="00361651" w:rsidP="00361651">
      <w:pPr>
        <w:pStyle w:val="IASBSectionTitle1NonInd"/>
      </w:pPr>
      <w:r>
        <w:t>Example 9</w:t>
      </w:r>
      <w:r>
        <w:t> </w:t>
      </w:r>
      <w:r>
        <w:t>Disclosures about cash-generating units with goodwill or intangible assets with indefinite useful lives</w:t>
      </w:r>
    </w:p>
    <w:p w14:paraId="0BB2E9C2" w14:textId="77777777" w:rsidR="00361651" w:rsidRDefault="00361651" w:rsidP="00361651">
      <w:pPr>
        <w:pStyle w:val="IASBNormal"/>
      </w:pPr>
      <w:r>
        <w:rPr>
          <w:i/>
        </w:rPr>
        <w:t>The purpose of this example is to illustrate the disclosures required by paragraphs 134 and 135 of</w:t>
      </w:r>
      <w:r w:rsidR="002D17D4">
        <w:rPr>
          <w:i/>
        </w:rPr>
        <w:t xml:space="preserve"> AASB 136</w:t>
      </w:r>
      <w:r>
        <w:rPr>
          <w:i/>
        </w:rPr>
        <w:t>.</w:t>
      </w:r>
    </w:p>
    <w:p w14:paraId="0BB2E9C3" w14:textId="77777777" w:rsidR="00361651" w:rsidRDefault="00361651" w:rsidP="00361651">
      <w:pPr>
        <w:pStyle w:val="IASBSectionTitle3Ind"/>
      </w:pPr>
      <w:r>
        <w:t>Background</w:t>
      </w:r>
    </w:p>
    <w:p w14:paraId="0BB2E9C4" w14:textId="77777777" w:rsidR="00361651" w:rsidRDefault="00361651" w:rsidP="00361651">
      <w:pPr>
        <w:pStyle w:val="IASBNormalnpara"/>
      </w:pPr>
      <w:r>
        <w:t>IE80</w:t>
      </w:r>
      <w:r>
        <w:tab/>
        <w:t>Entity M is a multinational manufacturing firm that uses geographical segments for reporting segment information. M’s three reportable segments are Europe, North America and Asia. Goodwill has been allocated for impairment testing purposes to three individual cash-generating units—two in Europe (units A and B) and one in North America (unit C)—and to one group of cash-generating units (comprising operation XYZ) in Asia. Units A, B and C and operation XYZ each represent the lowest level within M at which the goodwill is monitored for internal management purposes.</w:t>
      </w:r>
    </w:p>
    <w:p w14:paraId="0BB2E9C5" w14:textId="77777777" w:rsidR="00361651" w:rsidRDefault="00361651" w:rsidP="00361651">
      <w:pPr>
        <w:pStyle w:val="IASBNormalnpara"/>
      </w:pPr>
      <w:r>
        <w:lastRenderedPageBreak/>
        <w:t>IE81</w:t>
      </w:r>
      <w:r>
        <w:tab/>
        <w:t xml:space="preserve">M acquired unit C, a manufacturing operation in North America, in December 20X2. Unlike M’s other North American operations, C operates in an industry with high margins and high growth rates, and with the benefit of a 10-year patent on its primary product. The patent was granted to C just before M’s acquisition of C. As part of accounting for the acquisition of C, M recognised, in addition to the patent, goodwill of CU3,000 and a brand name of CU1,000. M’s management has determined that the brand name has an indefinite useful life. M has no other intangible assets with indefinite useful lives. </w:t>
      </w:r>
    </w:p>
    <w:p w14:paraId="0BB2E9C6" w14:textId="77777777" w:rsidR="00361651" w:rsidRDefault="00361651" w:rsidP="00361651">
      <w:pPr>
        <w:pStyle w:val="IASBNormalnpara"/>
      </w:pPr>
      <w:r>
        <w:t>IE82</w:t>
      </w:r>
      <w:r>
        <w:tab/>
        <w:t xml:space="preserve">The carrying amounts of goodwill and intangible assets with indefinite useful lives allocated to units A, B and C and to operation XYZ are as follows: </w:t>
      </w:r>
    </w:p>
    <w:p w14:paraId="0BB2E9C7"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36"/>
      </w:tblPr>
      <w:tblGrid>
        <w:gridCol w:w="5059"/>
        <w:gridCol w:w="1365"/>
        <w:gridCol w:w="455"/>
        <w:gridCol w:w="1365"/>
      </w:tblGrid>
      <w:tr w:rsidR="00361651" w14:paraId="0BB2E9CB" w14:textId="77777777" w:rsidTr="009709A2">
        <w:trPr>
          <w:cantSplit/>
          <w:tblHeader/>
        </w:trPr>
        <w:tc>
          <w:tcPr>
            <w:tcW w:w="5059" w:type="dxa"/>
            <w:vAlign w:val="bottom"/>
          </w:tcPr>
          <w:p w14:paraId="0BB2E9C8" w14:textId="77777777" w:rsidR="00361651" w:rsidRDefault="00361651" w:rsidP="00EB33C1">
            <w:pPr>
              <w:pStyle w:val="IASBTableHeaderArial"/>
              <w:spacing w:after="120"/>
            </w:pPr>
          </w:p>
        </w:tc>
        <w:tc>
          <w:tcPr>
            <w:tcW w:w="1365" w:type="dxa"/>
            <w:tcBorders>
              <w:left w:val="nil"/>
            </w:tcBorders>
          </w:tcPr>
          <w:p w14:paraId="0BB2E9C9" w14:textId="77777777" w:rsidR="00361651" w:rsidRDefault="00361651" w:rsidP="00EB33C1">
            <w:pPr>
              <w:pStyle w:val="IASBTableHeaderArial"/>
              <w:spacing w:after="120"/>
              <w:jc w:val="right"/>
            </w:pPr>
            <w:r>
              <w:rPr>
                <w:rFonts w:ascii="Times New Roman" w:hAnsi="Times New Roman"/>
                <w:i/>
                <w:snapToGrid w:val="0"/>
                <w:sz w:val="16"/>
              </w:rPr>
              <w:t>Goodwill</w:t>
            </w:r>
          </w:p>
        </w:tc>
        <w:tc>
          <w:tcPr>
            <w:tcW w:w="1820" w:type="dxa"/>
            <w:gridSpan w:val="2"/>
            <w:tcBorders>
              <w:left w:val="nil"/>
            </w:tcBorders>
          </w:tcPr>
          <w:p w14:paraId="0BB2E9CA" w14:textId="77777777" w:rsidR="00361651" w:rsidRDefault="00361651" w:rsidP="00EB33C1">
            <w:pPr>
              <w:pStyle w:val="IASBTableHeaderArial"/>
              <w:spacing w:after="120"/>
              <w:jc w:val="right"/>
            </w:pPr>
            <w:r>
              <w:rPr>
                <w:rFonts w:ascii="Times New Roman" w:hAnsi="Times New Roman"/>
                <w:i/>
                <w:snapToGrid w:val="0"/>
                <w:sz w:val="16"/>
              </w:rPr>
              <w:t>Intangible assets with indefinite useful lives</w:t>
            </w:r>
          </w:p>
        </w:tc>
      </w:tr>
      <w:tr w:rsidR="00361651" w14:paraId="0BB2E9D0" w14:textId="77777777" w:rsidTr="009709A2">
        <w:trPr>
          <w:cantSplit/>
          <w:tblHeader/>
        </w:trPr>
        <w:tc>
          <w:tcPr>
            <w:tcW w:w="5059" w:type="dxa"/>
            <w:tcBorders>
              <w:top w:val="nil"/>
            </w:tcBorders>
            <w:vAlign w:val="bottom"/>
          </w:tcPr>
          <w:p w14:paraId="0BB2E9CC" w14:textId="77777777" w:rsidR="00361651" w:rsidRDefault="00361651" w:rsidP="00EB33C1">
            <w:pPr>
              <w:pStyle w:val="IASBTableHeaderArial"/>
              <w:spacing w:after="120"/>
            </w:pPr>
          </w:p>
        </w:tc>
        <w:tc>
          <w:tcPr>
            <w:tcW w:w="1365" w:type="dxa"/>
            <w:tcBorders>
              <w:top w:val="nil"/>
              <w:left w:val="nil"/>
            </w:tcBorders>
            <w:vAlign w:val="bottom"/>
          </w:tcPr>
          <w:p w14:paraId="0BB2E9CD" w14:textId="77777777" w:rsidR="00361651" w:rsidRDefault="00361651" w:rsidP="00EB33C1">
            <w:pPr>
              <w:pStyle w:val="IASBTableHeaderArial"/>
              <w:spacing w:after="120"/>
              <w:jc w:val="right"/>
            </w:pPr>
            <w:r>
              <w:rPr>
                <w:b/>
              </w:rPr>
              <w:t>CU</w:t>
            </w:r>
          </w:p>
        </w:tc>
        <w:tc>
          <w:tcPr>
            <w:tcW w:w="455" w:type="dxa"/>
            <w:tcBorders>
              <w:top w:val="nil"/>
              <w:left w:val="nil"/>
            </w:tcBorders>
            <w:vAlign w:val="bottom"/>
          </w:tcPr>
          <w:p w14:paraId="0BB2E9CE" w14:textId="77777777" w:rsidR="00361651" w:rsidRDefault="00361651" w:rsidP="00EB33C1">
            <w:pPr>
              <w:pStyle w:val="IASBTableHeaderArial"/>
              <w:spacing w:after="120"/>
            </w:pPr>
          </w:p>
        </w:tc>
        <w:tc>
          <w:tcPr>
            <w:tcW w:w="1365" w:type="dxa"/>
            <w:tcBorders>
              <w:top w:val="nil"/>
              <w:left w:val="nil"/>
            </w:tcBorders>
            <w:vAlign w:val="bottom"/>
          </w:tcPr>
          <w:p w14:paraId="0BB2E9CF" w14:textId="77777777" w:rsidR="00361651" w:rsidRDefault="00361651" w:rsidP="00EB33C1">
            <w:pPr>
              <w:pStyle w:val="IASBTableHeaderArial"/>
              <w:spacing w:after="120"/>
              <w:jc w:val="right"/>
            </w:pPr>
            <w:r>
              <w:rPr>
                <w:b/>
              </w:rPr>
              <w:t>CU</w:t>
            </w:r>
          </w:p>
        </w:tc>
      </w:tr>
      <w:tr w:rsidR="00361651" w14:paraId="0BB2E9D5" w14:textId="77777777" w:rsidTr="009709A2">
        <w:trPr>
          <w:cantSplit/>
        </w:trPr>
        <w:tc>
          <w:tcPr>
            <w:tcW w:w="5059" w:type="dxa"/>
            <w:tcBorders>
              <w:top w:val="nil"/>
            </w:tcBorders>
          </w:tcPr>
          <w:p w14:paraId="0BB2E9D1" w14:textId="77777777" w:rsidR="00361651" w:rsidRDefault="00361651" w:rsidP="009709A2">
            <w:pPr>
              <w:pStyle w:val="IASBTableArial"/>
            </w:pPr>
            <w:r>
              <w:t>A</w:t>
            </w:r>
          </w:p>
        </w:tc>
        <w:tc>
          <w:tcPr>
            <w:tcW w:w="1365" w:type="dxa"/>
            <w:tcBorders>
              <w:top w:val="nil"/>
              <w:left w:val="nil"/>
            </w:tcBorders>
            <w:vAlign w:val="bottom"/>
          </w:tcPr>
          <w:p w14:paraId="0BB2E9D2" w14:textId="77777777" w:rsidR="00361651" w:rsidRDefault="00361651" w:rsidP="009709A2">
            <w:pPr>
              <w:pStyle w:val="IASBTableArial"/>
              <w:jc w:val="right"/>
            </w:pPr>
            <w:r>
              <w:t>350</w:t>
            </w:r>
          </w:p>
        </w:tc>
        <w:tc>
          <w:tcPr>
            <w:tcW w:w="455" w:type="dxa"/>
            <w:tcBorders>
              <w:top w:val="nil"/>
              <w:left w:val="nil"/>
            </w:tcBorders>
          </w:tcPr>
          <w:p w14:paraId="0BB2E9D3" w14:textId="77777777" w:rsidR="00361651" w:rsidRDefault="00361651" w:rsidP="009709A2">
            <w:pPr>
              <w:pStyle w:val="IASBTableArial"/>
            </w:pPr>
          </w:p>
        </w:tc>
        <w:tc>
          <w:tcPr>
            <w:tcW w:w="1365" w:type="dxa"/>
            <w:tcBorders>
              <w:top w:val="nil"/>
              <w:left w:val="nil"/>
            </w:tcBorders>
          </w:tcPr>
          <w:p w14:paraId="0BB2E9D4" w14:textId="77777777" w:rsidR="00361651" w:rsidRDefault="00361651" w:rsidP="009709A2">
            <w:pPr>
              <w:pStyle w:val="IASBTableArial"/>
            </w:pPr>
            <w:r>
              <w:t xml:space="preserve"> </w:t>
            </w:r>
          </w:p>
        </w:tc>
      </w:tr>
      <w:tr w:rsidR="00361651" w14:paraId="0BB2E9DA" w14:textId="77777777" w:rsidTr="009709A2">
        <w:trPr>
          <w:cantSplit/>
        </w:trPr>
        <w:tc>
          <w:tcPr>
            <w:tcW w:w="5059" w:type="dxa"/>
            <w:tcBorders>
              <w:top w:val="nil"/>
            </w:tcBorders>
          </w:tcPr>
          <w:p w14:paraId="0BB2E9D6" w14:textId="77777777" w:rsidR="00361651" w:rsidRDefault="00361651" w:rsidP="009709A2">
            <w:pPr>
              <w:pStyle w:val="IASBTableArial"/>
            </w:pPr>
            <w:r>
              <w:t>B</w:t>
            </w:r>
          </w:p>
        </w:tc>
        <w:tc>
          <w:tcPr>
            <w:tcW w:w="1365" w:type="dxa"/>
            <w:tcBorders>
              <w:top w:val="nil"/>
              <w:left w:val="nil"/>
            </w:tcBorders>
            <w:vAlign w:val="bottom"/>
          </w:tcPr>
          <w:p w14:paraId="0BB2E9D7" w14:textId="77777777" w:rsidR="00361651" w:rsidRDefault="00361651" w:rsidP="009709A2">
            <w:pPr>
              <w:pStyle w:val="IASBTableArial"/>
              <w:jc w:val="right"/>
            </w:pPr>
            <w:r>
              <w:t>450</w:t>
            </w:r>
          </w:p>
        </w:tc>
        <w:tc>
          <w:tcPr>
            <w:tcW w:w="455" w:type="dxa"/>
            <w:tcBorders>
              <w:top w:val="nil"/>
              <w:left w:val="nil"/>
            </w:tcBorders>
          </w:tcPr>
          <w:p w14:paraId="0BB2E9D8" w14:textId="77777777" w:rsidR="00361651" w:rsidRDefault="00361651" w:rsidP="009709A2">
            <w:pPr>
              <w:pStyle w:val="IASBTableArial"/>
            </w:pPr>
          </w:p>
        </w:tc>
        <w:tc>
          <w:tcPr>
            <w:tcW w:w="1365" w:type="dxa"/>
            <w:tcBorders>
              <w:top w:val="nil"/>
              <w:left w:val="nil"/>
            </w:tcBorders>
          </w:tcPr>
          <w:p w14:paraId="0BB2E9D9" w14:textId="77777777" w:rsidR="00361651" w:rsidRDefault="00361651" w:rsidP="009709A2">
            <w:pPr>
              <w:pStyle w:val="IASBTableArial"/>
            </w:pPr>
            <w:r>
              <w:t xml:space="preserve"> </w:t>
            </w:r>
          </w:p>
        </w:tc>
      </w:tr>
      <w:tr w:rsidR="00361651" w14:paraId="0BB2E9DF" w14:textId="77777777" w:rsidTr="009709A2">
        <w:trPr>
          <w:cantSplit/>
        </w:trPr>
        <w:tc>
          <w:tcPr>
            <w:tcW w:w="5059" w:type="dxa"/>
            <w:tcBorders>
              <w:top w:val="nil"/>
            </w:tcBorders>
          </w:tcPr>
          <w:p w14:paraId="0BB2E9DB" w14:textId="77777777" w:rsidR="00361651" w:rsidRDefault="00361651" w:rsidP="009709A2">
            <w:pPr>
              <w:pStyle w:val="IASBTableArial"/>
            </w:pPr>
            <w:r>
              <w:t>C</w:t>
            </w:r>
          </w:p>
        </w:tc>
        <w:tc>
          <w:tcPr>
            <w:tcW w:w="1365" w:type="dxa"/>
            <w:tcBorders>
              <w:top w:val="nil"/>
              <w:left w:val="nil"/>
            </w:tcBorders>
            <w:vAlign w:val="bottom"/>
          </w:tcPr>
          <w:p w14:paraId="0BB2E9DC" w14:textId="77777777" w:rsidR="00361651" w:rsidRDefault="00361651" w:rsidP="009709A2">
            <w:pPr>
              <w:pStyle w:val="IASBTableArial"/>
              <w:jc w:val="right"/>
            </w:pPr>
            <w:r>
              <w:t>3,000</w:t>
            </w:r>
          </w:p>
        </w:tc>
        <w:tc>
          <w:tcPr>
            <w:tcW w:w="455" w:type="dxa"/>
            <w:tcBorders>
              <w:top w:val="nil"/>
              <w:left w:val="nil"/>
            </w:tcBorders>
          </w:tcPr>
          <w:p w14:paraId="0BB2E9DD" w14:textId="77777777" w:rsidR="00361651" w:rsidRDefault="00361651" w:rsidP="009709A2">
            <w:pPr>
              <w:pStyle w:val="IASBTableArial"/>
            </w:pPr>
          </w:p>
        </w:tc>
        <w:tc>
          <w:tcPr>
            <w:tcW w:w="1365" w:type="dxa"/>
            <w:tcBorders>
              <w:top w:val="nil"/>
              <w:left w:val="nil"/>
            </w:tcBorders>
            <w:vAlign w:val="bottom"/>
          </w:tcPr>
          <w:p w14:paraId="0BB2E9DE" w14:textId="77777777" w:rsidR="00361651" w:rsidRDefault="00361651" w:rsidP="009709A2">
            <w:pPr>
              <w:pStyle w:val="IASBTableArial"/>
              <w:jc w:val="right"/>
            </w:pPr>
            <w:r>
              <w:t>1,000</w:t>
            </w:r>
          </w:p>
        </w:tc>
      </w:tr>
      <w:tr w:rsidR="00361651" w14:paraId="0BB2E9E4" w14:textId="77777777" w:rsidTr="009709A2">
        <w:trPr>
          <w:cantSplit/>
        </w:trPr>
        <w:tc>
          <w:tcPr>
            <w:tcW w:w="5059" w:type="dxa"/>
            <w:tcBorders>
              <w:top w:val="nil"/>
            </w:tcBorders>
          </w:tcPr>
          <w:p w14:paraId="0BB2E9E0" w14:textId="77777777" w:rsidR="00361651" w:rsidRDefault="00361651" w:rsidP="009709A2">
            <w:pPr>
              <w:pStyle w:val="IASBTableArial"/>
            </w:pPr>
            <w:r>
              <w:t>XYZ</w:t>
            </w:r>
          </w:p>
        </w:tc>
        <w:tc>
          <w:tcPr>
            <w:tcW w:w="1365" w:type="dxa"/>
            <w:tcBorders>
              <w:top w:val="nil"/>
              <w:left w:val="nil"/>
              <w:bottom w:val="single" w:sz="4" w:space="0" w:color="auto"/>
            </w:tcBorders>
            <w:vAlign w:val="bottom"/>
          </w:tcPr>
          <w:p w14:paraId="0BB2E9E1" w14:textId="77777777" w:rsidR="00361651" w:rsidRDefault="00361651" w:rsidP="009709A2">
            <w:pPr>
              <w:pStyle w:val="IASBTableArial"/>
              <w:jc w:val="right"/>
            </w:pPr>
            <w:r>
              <w:t>1,200</w:t>
            </w:r>
          </w:p>
        </w:tc>
        <w:tc>
          <w:tcPr>
            <w:tcW w:w="455" w:type="dxa"/>
            <w:tcBorders>
              <w:top w:val="nil"/>
              <w:left w:val="nil"/>
            </w:tcBorders>
          </w:tcPr>
          <w:p w14:paraId="0BB2E9E2" w14:textId="77777777" w:rsidR="00361651" w:rsidRDefault="00361651" w:rsidP="009709A2">
            <w:pPr>
              <w:pStyle w:val="IASBTableArial"/>
            </w:pPr>
          </w:p>
        </w:tc>
        <w:tc>
          <w:tcPr>
            <w:tcW w:w="1365" w:type="dxa"/>
            <w:tcBorders>
              <w:top w:val="nil"/>
              <w:left w:val="nil"/>
              <w:bottom w:val="single" w:sz="4" w:space="0" w:color="auto"/>
            </w:tcBorders>
            <w:vAlign w:val="bottom"/>
          </w:tcPr>
          <w:p w14:paraId="0BB2E9E3" w14:textId="77777777" w:rsidR="00361651" w:rsidRDefault="00361651" w:rsidP="009709A2">
            <w:pPr>
              <w:pStyle w:val="IASBTableArial"/>
              <w:jc w:val="right"/>
            </w:pPr>
            <w:r>
              <w:t xml:space="preserve"> </w:t>
            </w:r>
          </w:p>
        </w:tc>
      </w:tr>
      <w:tr w:rsidR="00361651" w14:paraId="0BB2E9E9" w14:textId="77777777" w:rsidTr="009709A2">
        <w:trPr>
          <w:cantSplit/>
        </w:trPr>
        <w:tc>
          <w:tcPr>
            <w:tcW w:w="5059" w:type="dxa"/>
            <w:tcBorders>
              <w:top w:val="nil"/>
            </w:tcBorders>
          </w:tcPr>
          <w:p w14:paraId="0BB2E9E5" w14:textId="77777777" w:rsidR="00361651" w:rsidRDefault="00361651" w:rsidP="009709A2">
            <w:pPr>
              <w:pStyle w:val="IASBTableArial"/>
            </w:pPr>
            <w:r>
              <w:t>Total</w:t>
            </w:r>
          </w:p>
        </w:tc>
        <w:tc>
          <w:tcPr>
            <w:tcW w:w="1365" w:type="dxa"/>
            <w:tcBorders>
              <w:top w:val="nil"/>
              <w:left w:val="nil"/>
              <w:bottom w:val="double" w:sz="4" w:space="0" w:color="auto"/>
            </w:tcBorders>
            <w:vAlign w:val="bottom"/>
          </w:tcPr>
          <w:p w14:paraId="0BB2E9E6" w14:textId="77777777" w:rsidR="00361651" w:rsidRDefault="00361651" w:rsidP="009709A2">
            <w:pPr>
              <w:pStyle w:val="IASBTableArial"/>
              <w:jc w:val="right"/>
            </w:pPr>
            <w:r>
              <w:t>5,000</w:t>
            </w:r>
          </w:p>
        </w:tc>
        <w:tc>
          <w:tcPr>
            <w:tcW w:w="455" w:type="dxa"/>
            <w:tcBorders>
              <w:top w:val="nil"/>
              <w:left w:val="nil"/>
            </w:tcBorders>
          </w:tcPr>
          <w:p w14:paraId="0BB2E9E7" w14:textId="77777777" w:rsidR="00361651" w:rsidRDefault="00361651" w:rsidP="009709A2">
            <w:pPr>
              <w:pStyle w:val="IASBTableArial"/>
            </w:pPr>
          </w:p>
        </w:tc>
        <w:tc>
          <w:tcPr>
            <w:tcW w:w="1365" w:type="dxa"/>
            <w:tcBorders>
              <w:top w:val="nil"/>
              <w:left w:val="nil"/>
              <w:bottom w:val="double" w:sz="4" w:space="0" w:color="auto"/>
            </w:tcBorders>
            <w:vAlign w:val="bottom"/>
          </w:tcPr>
          <w:p w14:paraId="0BB2E9E8" w14:textId="77777777" w:rsidR="00361651" w:rsidRDefault="00361651" w:rsidP="009709A2">
            <w:pPr>
              <w:pStyle w:val="IASBTableArial"/>
              <w:jc w:val="right"/>
            </w:pPr>
            <w:r>
              <w:t>1,000</w:t>
            </w:r>
          </w:p>
        </w:tc>
      </w:tr>
    </w:tbl>
    <w:p w14:paraId="0BB2E9EA" w14:textId="77777777" w:rsidR="00361651" w:rsidRDefault="00361651" w:rsidP="00361651">
      <w:pPr>
        <w:pStyle w:val="IASBNormalnpara"/>
      </w:pPr>
    </w:p>
    <w:p w14:paraId="0BB2E9EB" w14:textId="77777777" w:rsidR="00361651" w:rsidRDefault="00361651" w:rsidP="00361651">
      <w:pPr>
        <w:pStyle w:val="IASBNormalnpara"/>
      </w:pPr>
      <w:r>
        <w:t>IE83</w:t>
      </w:r>
      <w:r>
        <w:tab/>
        <w:t xml:space="preserve">During the year ending 31 December 20X3, M determines that there is no impairment of any of its cash-generating units or group of cash-generating units containing goodwill or intangible assets with indefinite useful lives. The recoverable amounts (ie higher of value in use and fair value less costs of disposal) of those units and group of units are determined on the basis of value in use calculations. M has determined that the recoverable amount calculations are most sensitive to changes in the following assumptions: </w:t>
      </w:r>
    </w:p>
    <w:p w14:paraId="0BB2E9EC" w14:textId="77777777" w:rsidR="00361651" w:rsidRDefault="00361651" w:rsidP="00361651">
      <w:pPr>
        <w:pStyle w:val="IASBNormalnpara"/>
      </w:pPr>
    </w:p>
    <w:tbl>
      <w:tblPr>
        <w:tblW w:w="0" w:type="auto"/>
        <w:tblInd w:w="964" w:type="dxa"/>
        <w:tblLayout w:type="fixed"/>
        <w:tblLook w:val="0000" w:firstRow="0" w:lastRow="0" w:firstColumn="0" w:lastColumn="0" w:noHBand="0" w:noVBand="0"/>
        <w:tblCaption w:val="AASB 136 Table 37"/>
      </w:tblPr>
      <w:tblGrid>
        <w:gridCol w:w="2238"/>
        <w:gridCol w:w="3003"/>
        <w:gridCol w:w="3003"/>
      </w:tblGrid>
      <w:tr w:rsidR="00361651" w14:paraId="0BB2E9F0" w14:textId="77777777" w:rsidTr="009709A2">
        <w:trPr>
          <w:cantSplit/>
          <w:tblHeader/>
        </w:trPr>
        <w:tc>
          <w:tcPr>
            <w:tcW w:w="2238" w:type="dxa"/>
            <w:tcBorders>
              <w:top w:val="single" w:sz="4" w:space="0" w:color="auto"/>
              <w:left w:val="single" w:sz="4" w:space="0" w:color="auto"/>
              <w:bottom w:val="single" w:sz="4" w:space="0" w:color="auto"/>
              <w:right w:val="single" w:sz="4" w:space="0" w:color="auto"/>
            </w:tcBorders>
          </w:tcPr>
          <w:p w14:paraId="0BB2E9ED" w14:textId="77777777" w:rsidR="00361651" w:rsidRDefault="00361651" w:rsidP="00EB33C1">
            <w:pPr>
              <w:pStyle w:val="IASBTableHeaderArial"/>
              <w:spacing w:after="120"/>
            </w:pPr>
            <w:r>
              <w:rPr>
                <w:b/>
                <w:i/>
              </w:rPr>
              <w:t>Units A and B</w:t>
            </w:r>
          </w:p>
        </w:tc>
        <w:tc>
          <w:tcPr>
            <w:tcW w:w="3003" w:type="dxa"/>
            <w:tcBorders>
              <w:top w:val="single" w:sz="4" w:space="0" w:color="auto"/>
              <w:left w:val="nil"/>
              <w:bottom w:val="single" w:sz="4" w:space="0" w:color="auto"/>
              <w:right w:val="single" w:sz="4" w:space="0" w:color="auto"/>
            </w:tcBorders>
          </w:tcPr>
          <w:p w14:paraId="0BB2E9EE" w14:textId="77777777" w:rsidR="00361651" w:rsidRDefault="00361651" w:rsidP="00EB33C1">
            <w:pPr>
              <w:pStyle w:val="IASBTableHeaderArial"/>
              <w:spacing w:after="120"/>
            </w:pPr>
            <w:r>
              <w:rPr>
                <w:b/>
                <w:i/>
              </w:rPr>
              <w:t>Unit C</w:t>
            </w:r>
          </w:p>
        </w:tc>
        <w:tc>
          <w:tcPr>
            <w:tcW w:w="3003" w:type="dxa"/>
            <w:tcBorders>
              <w:top w:val="single" w:sz="4" w:space="0" w:color="auto"/>
              <w:left w:val="nil"/>
              <w:bottom w:val="single" w:sz="4" w:space="0" w:color="auto"/>
              <w:right w:val="single" w:sz="4" w:space="0" w:color="auto"/>
            </w:tcBorders>
          </w:tcPr>
          <w:p w14:paraId="0BB2E9EF" w14:textId="77777777" w:rsidR="00361651" w:rsidRDefault="00361651" w:rsidP="00EB33C1">
            <w:pPr>
              <w:pStyle w:val="IASBTableHeaderArial"/>
              <w:spacing w:after="120"/>
            </w:pPr>
            <w:r>
              <w:rPr>
                <w:b/>
                <w:i/>
              </w:rPr>
              <w:t>Operation XYZ</w:t>
            </w:r>
          </w:p>
        </w:tc>
      </w:tr>
      <w:tr w:rsidR="00361651" w14:paraId="0BB2E9F4" w14:textId="77777777" w:rsidTr="009709A2">
        <w:trPr>
          <w:cantSplit/>
        </w:trPr>
        <w:tc>
          <w:tcPr>
            <w:tcW w:w="2238" w:type="dxa"/>
            <w:tcBorders>
              <w:top w:val="nil"/>
              <w:left w:val="single" w:sz="4" w:space="0" w:color="auto"/>
              <w:bottom w:val="single" w:sz="4" w:space="0" w:color="auto"/>
              <w:right w:val="single" w:sz="4" w:space="0" w:color="auto"/>
            </w:tcBorders>
          </w:tcPr>
          <w:p w14:paraId="0BB2E9F1" w14:textId="77777777" w:rsidR="00361651" w:rsidRDefault="00361651" w:rsidP="009709A2">
            <w:pPr>
              <w:pStyle w:val="IASBTableArial"/>
            </w:pPr>
            <w:r>
              <w:t>Gross margin during the budget period (budget period is 4 years)</w:t>
            </w:r>
          </w:p>
        </w:tc>
        <w:tc>
          <w:tcPr>
            <w:tcW w:w="3003" w:type="dxa"/>
            <w:tcBorders>
              <w:top w:val="nil"/>
              <w:left w:val="nil"/>
              <w:bottom w:val="single" w:sz="4" w:space="0" w:color="auto"/>
              <w:right w:val="single" w:sz="4" w:space="0" w:color="auto"/>
            </w:tcBorders>
          </w:tcPr>
          <w:p w14:paraId="0BB2E9F2" w14:textId="77777777" w:rsidR="00361651" w:rsidRDefault="00361651" w:rsidP="009709A2">
            <w:pPr>
              <w:pStyle w:val="IASBTableArial"/>
            </w:pPr>
            <w:r>
              <w:t>5-year US government bond rate during the budget period (budget period is 5 years)</w:t>
            </w:r>
          </w:p>
        </w:tc>
        <w:tc>
          <w:tcPr>
            <w:tcW w:w="3003" w:type="dxa"/>
            <w:tcBorders>
              <w:top w:val="nil"/>
              <w:left w:val="nil"/>
              <w:bottom w:val="single" w:sz="4" w:space="0" w:color="auto"/>
              <w:right w:val="single" w:sz="4" w:space="0" w:color="auto"/>
            </w:tcBorders>
          </w:tcPr>
          <w:p w14:paraId="0BB2E9F3" w14:textId="77777777" w:rsidR="00361651" w:rsidRDefault="00361651" w:rsidP="009709A2">
            <w:pPr>
              <w:pStyle w:val="IASBTableArial"/>
            </w:pPr>
            <w:r>
              <w:t>Gross margin during the budget period (budget period is 5 years)</w:t>
            </w:r>
          </w:p>
        </w:tc>
      </w:tr>
      <w:tr w:rsidR="00361651" w14:paraId="0BB2E9F8" w14:textId="77777777" w:rsidTr="009709A2">
        <w:trPr>
          <w:cantSplit/>
        </w:trPr>
        <w:tc>
          <w:tcPr>
            <w:tcW w:w="2238" w:type="dxa"/>
            <w:tcBorders>
              <w:top w:val="nil"/>
              <w:left w:val="single" w:sz="4" w:space="0" w:color="auto"/>
              <w:bottom w:val="single" w:sz="4" w:space="0" w:color="auto"/>
              <w:right w:val="single" w:sz="4" w:space="0" w:color="auto"/>
            </w:tcBorders>
          </w:tcPr>
          <w:p w14:paraId="0BB2E9F5" w14:textId="77777777" w:rsidR="00361651" w:rsidRDefault="00361651" w:rsidP="009709A2">
            <w:pPr>
              <w:pStyle w:val="IASBTableArial"/>
            </w:pPr>
            <w:r>
              <w:t>Raw materials price inflation during the budget period</w:t>
            </w:r>
          </w:p>
        </w:tc>
        <w:tc>
          <w:tcPr>
            <w:tcW w:w="3003" w:type="dxa"/>
            <w:tcBorders>
              <w:top w:val="nil"/>
              <w:left w:val="nil"/>
              <w:bottom w:val="single" w:sz="4" w:space="0" w:color="auto"/>
              <w:right w:val="single" w:sz="4" w:space="0" w:color="auto"/>
            </w:tcBorders>
          </w:tcPr>
          <w:p w14:paraId="0BB2E9F6" w14:textId="77777777" w:rsidR="00361651" w:rsidRDefault="00361651" w:rsidP="009709A2">
            <w:pPr>
              <w:pStyle w:val="IASBTableArial"/>
            </w:pPr>
            <w:r>
              <w:t>Raw materials price inflation during the budget period</w:t>
            </w:r>
          </w:p>
        </w:tc>
        <w:tc>
          <w:tcPr>
            <w:tcW w:w="3003" w:type="dxa"/>
            <w:tcBorders>
              <w:top w:val="nil"/>
              <w:left w:val="nil"/>
              <w:bottom w:val="single" w:sz="4" w:space="0" w:color="auto"/>
              <w:right w:val="single" w:sz="4" w:space="0" w:color="auto"/>
            </w:tcBorders>
          </w:tcPr>
          <w:p w14:paraId="0BB2E9F7" w14:textId="77777777" w:rsidR="00361651" w:rsidRDefault="00361651" w:rsidP="009709A2">
            <w:pPr>
              <w:pStyle w:val="IASBTableArial"/>
            </w:pPr>
            <w:r>
              <w:t>Japanese yen/US dollar exchange rate during the budget period</w:t>
            </w:r>
          </w:p>
        </w:tc>
      </w:tr>
      <w:tr w:rsidR="00361651" w14:paraId="0BB2E9FC" w14:textId="77777777" w:rsidTr="009709A2">
        <w:trPr>
          <w:cantSplit/>
        </w:trPr>
        <w:tc>
          <w:tcPr>
            <w:tcW w:w="2238" w:type="dxa"/>
            <w:tcBorders>
              <w:top w:val="nil"/>
              <w:left w:val="single" w:sz="4" w:space="0" w:color="auto"/>
              <w:bottom w:val="single" w:sz="4" w:space="0" w:color="auto"/>
              <w:right w:val="single" w:sz="4" w:space="0" w:color="auto"/>
            </w:tcBorders>
          </w:tcPr>
          <w:p w14:paraId="0BB2E9F9" w14:textId="77777777" w:rsidR="00361651" w:rsidRDefault="00361651" w:rsidP="009709A2">
            <w:pPr>
              <w:pStyle w:val="IASBTableArial"/>
            </w:pPr>
            <w:r>
              <w:t>Market share during the budget period</w:t>
            </w:r>
          </w:p>
        </w:tc>
        <w:tc>
          <w:tcPr>
            <w:tcW w:w="3003" w:type="dxa"/>
            <w:tcBorders>
              <w:top w:val="nil"/>
              <w:left w:val="nil"/>
              <w:bottom w:val="single" w:sz="4" w:space="0" w:color="auto"/>
              <w:right w:val="single" w:sz="4" w:space="0" w:color="auto"/>
            </w:tcBorders>
          </w:tcPr>
          <w:p w14:paraId="0BB2E9FA" w14:textId="77777777" w:rsidR="00361651" w:rsidRDefault="00361651" w:rsidP="009709A2">
            <w:pPr>
              <w:pStyle w:val="IASBTableArial"/>
            </w:pPr>
            <w:r>
              <w:t>Market share during the budget period</w:t>
            </w:r>
          </w:p>
        </w:tc>
        <w:tc>
          <w:tcPr>
            <w:tcW w:w="3003" w:type="dxa"/>
            <w:tcBorders>
              <w:top w:val="nil"/>
              <w:left w:val="nil"/>
              <w:bottom w:val="single" w:sz="4" w:space="0" w:color="auto"/>
              <w:right w:val="single" w:sz="4" w:space="0" w:color="auto"/>
            </w:tcBorders>
          </w:tcPr>
          <w:p w14:paraId="0BB2E9FB" w14:textId="77777777" w:rsidR="00361651" w:rsidRDefault="00361651" w:rsidP="009709A2">
            <w:pPr>
              <w:pStyle w:val="IASBTableArial"/>
            </w:pPr>
            <w:r>
              <w:t>Market share during the budget period</w:t>
            </w:r>
          </w:p>
        </w:tc>
      </w:tr>
      <w:tr w:rsidR="00361651" w14:paraId="0BB2EA00" w14:textId="77777777" w:rsidTr="009709A2">
        <w:trPr>
          <w:cantSplit/>
        </w:trPr>
        <w:tc>
          <w:tcPr>
            <w:tcW w:w="2238" w:type="dxa"/>
            <w:tcBorders>
              <w:top w:val="nil"/>
              <w:left w:val="single" w:sz="4" w:space="0" w:color="auto"/>
              <w:bottom w:val="single" w:sz="4" w:space="0" w:color="auto"/>
              <w:right w:val="single" w:sz="4" w:space="0" w:color="auto"/>
            </w:tcBorders>
          </w:tcPr>
          <w:p w14:paraId="0BB2E9FD" w14:textId="77777777" w:rsidR="00361651" w:rsidRDefault="00361651" w:rsidP="009709A2">
            <w:pPr>
              <w:pStyle w:val="IASBTableArial"/>
            </w:pPr>
            <w:r>
              <w:t>Growth rate used to extrapolate cash flows beyond the budget period</w:t>
            </w:r>
          </w:p>
        </w:tc>
        <w:tc>
          <w:tcPr>
            <w:tcW w:w="3003" w:type="dxa"/>
            <w:tcBorders>
              <w:top w:val="nil"/>
              <w:left w:val="nil"/>
              <w:bottom w:val="single" w:sz="4" w:space="0" w:color="auto"/>
              <w:right w:val="single" w:sz="4" w:space="0" w:color="auto"/>
            </w:tcBorders>
          </w:tcPr>
          <w:p w14:paraId="0BB2E9FE" w14:textId="77777777" w:rsidR="00361651" w:rsidRDefault="00361651" w:rsidP="009709A2">
            <w:pPr>
              <w:pStyle w:val="IASBTableArial"/>
            </w:pPr>
            <w:r>
              <w:t>Growth rate used to extrapolate cash flows beyond the budget period</w:t>
            </w:r>
          </w:p>
        </w:tc>
        <w:tc>
          <w:tcPr>
            <w:tcW w:w="3003" w:type="dxa"/>
            <w:tcBorders>
              <w:top w:val="nil"/>
              <w:left w:val="nil"/>
              <w:bottom w:val="single" w:sz="4" w:space="0" w:color="auto"/>
              <w:right w:val="single" w:sz="4" w:space="0" w:color="auto"/>
            </w:tcBorders>
          </w:tcPr>
          <w:p w14:paraId="0BB2E9FF" w14:textId="77777777" w:rsidR="00361651" w:rsidRDefault="00361651" w:rsidP="009709A2">
            <w:pPr>
              <w:pStyle w:val="IASBTableArial"/>
            </w:pPr>
            <w:r>
              <w:t>Growth rate used to extrapolate cash flows beyond the budget period</w:t>
            </w:r>
          </w:p>
        </w:tc>
      </w:tr>
    </w:tbl>
    <w:p w14:paraId="0BB2EA01" w14:textId="77777777" w:rsidR="00361651" w:rsidRDefault="00361651" w:rsidP="00361651">
      <w:pPr>
        <w:pStyle w:val="IASBNormalnpara"/>
      </w:pPr>
    </w:p>
    <w:p w14:paraId="0BB2EA02" w14:textId="77777777" w:rsidR="00361651" w:rsidRDefault="00361651" w:rsidP="00361651">
      <w:pPr>
        <w:pStyle w:val="IASBNormalnpara"/>
      </w:pPr>
      <w:r>
        <w:t>IE84</w:t>
      </w:r>
      <w:r>
        <w:tab/>
        <w:t xml:space="preserve">Gross margins during the budget period for A, B and XYZ are estimated by M based on average gross margins achieved in the period immediately before the start of the budget period, increased by 5 per cent per year for anticipated efficiency improvements. A and B produce complementary products and are operated by M to achieve the same gross margins. </w:t>
      </w:r>
    </w:p>
    <w:p w14:paraId="0BB2EA03" w14:textId="77777777" w:rsidR="00361651" w:rsidRDefault="00361651" w:rsidP="00361651">
      <w:pPr>
        <w:pStyle w:val="IASBNormalnpara"/>
      </w:pPr>
      <w:r>
        <w:t>IE85</w:t>
      </w:r>
      <w:r>
        <w:tab/>
        <w:t xml:space="preserve">Market shares during the budget period are estimated by M based on average market shares achieved in the period immediately before the start of the budget period, adjusted each year for any anticipated growth or decline in market shares. M anticipates that: </w:t>
      </w:r>
    </w:p>
    <w:p w14:paraId="0BB2EA04" w14:textId="77777777" w:rsidR="00361651" w:rsidRDefault="00361651" w:rsidP="00361651">
      <w:pPr>
        <w:pStyle w:val="IASBNormalnparaL1"/>
      </w:pPr>
      <w:r>
        <w:t>(a)</w:t>
      </w:r>
      <w:r>
        <w:tab/>
        <w:t>market shares for A and B will differ, but will each grow during the budget period by 3 per cent per year as a result of ongoing improvements in product quality.</w:t>
      </w:r>
    </w:p>
    <w:p w14:paraId="0BB2EA05" w14:textId="77777777" w:rsidR="00361651" w:rsidRDefault="00361651" w:rsidP="00361651">
      <w:pPr>
        <w:pStyle w:val="IASBNormalnparaL1"/>
      </w:pPr>
      <w:r>
        <w:t>(b)</w:t>
      </w:r>
      <w:r>
        <w:tab/>
        <w:t>C’s market share will grow during the budget period by 6 per cent per year as a result of increased advertising expenditure and the benefits from the protection of the 10-year patent on its primary product.</w:t>
      </w:r>
    </w:p>
    <w:p w14:paraId="0BB2EA06" w14:textId="77777777" w:rsidR="00361651" w:rsidRDefault="00361651" w:rsidP="00361651">
      <w:pPr>
        <w:pStyle w:val="IASBNormalnparaL1"/>
      </w:pPr>
      <w:r>
        <w:lastRenderedPageBreak/>
        <w:t>(c)</w:t>
      </w:r>
      <w:r>
        <w:tab/>
        <w:t>XYZ’s market share will remain unchanged during the budget period as a result of the combination of ongoing improvements in product quality and an anticipated increase in competition.</w:t>
      </w:r>
    </w:p>
    <w:p w14:paraId="0BB2EA07" w14:textId="77777777" w:rsidR="00361651" w:rsidRDefault="00361651" w:rsidP="00361651">
      <w:pPr>
        <w:pStyle w:val="IASBNormalnpara"/>
      </w:pPr>
      <w:r>
        <w:t>IE86</w:t>
      </w:r>
      <w:r>
        <w:tab/>
        <w:t xml:space="preserve">A and B purchase raw materials from the same European suppliers, whereas C’s raw materials are purchased from various North American suppliers. Raw materials price inflation during the budget period is estimated by M to be consistent with forecast consumer price indices published by government agencies in the relevant European and North American countries. </w:t>
      </w:r>
    </w:p>
    <w:p w14:paraId="0BB2EA08" w14:textId="77777777" w:rsidR="00361651" w:rsidRDefault="00361651" w:rsidP="00361651">
      <w:pPr>
        <w:pStyle w:val="IASBNormalnpara"/>
      </w:pPr>
      <w:r>
        <w:t>IE87</w:t>
      </w:r>
      <w:r>
        <w:tab/>
        <w:t xml:space="preserve">The 5-year US government bond rate during the budget period is estimated by M to be consistent with the yield on such bonds at the beginning of the budget period. The Japanese yen/US dollar exchange rate is estimated by M to be consistent with the average market forward exchange rate over the budget period. </w:t>
      </w:r>
    </w:p>
    <w:p w14:paraId="0BB2EA09" w14:textId="77777777" w:rsidR="00361651" w:rsidRDefault="00361651" w:rsidP="00361651">
      <w:pPr>
        <w:pStyle w:val="IASBNormalnpara"/>
      </w:pPr>
      <w:r>
        <w:t>IE88</w:t>
      </w:r>
      <w:r>
        <w:tab/>
        <w:t xml:space="preserve">M uses steady growth rates to extrapolate beyond the budget period cash flows for A, B, C and XYX. The growth rates for A, B and XYZ are estimated by M to be consistent with publicly available information about the long-term average growth rates for the markets in which A, B and XYZ operate. However, the growth rate for C exceeds the long-term average growth rate for the market in which C operates. M’s management is of the opinion that this is reasonable in the light of the protection of the 10-year patent on C’s primary product. </w:t>
      </w:r>
    </w:p>
    <w:p w14:paraId="0BB2EA0A" w14:textId="77777777" w:rsidR="00361651" w:rsidRDefault="00361651" w:rsidP="00361651">
      <w:pPr>
        <w:pStyle w:val="IASBNormalnpara"/>
      </w:pPr>
      <w:r>
        <w:t>IE89</w:t>
      </w:r>
      <w:r>
        <w:tab/>
        <w:t xml:space="preserve">M includes the following disclosure in the notes to its financial statements for the year ending 31 December 20X3. </w:t>
      </w:r>
    </w:p>
    <w:p w14:paraId="0BB2EA0B" w14:textId="77777777" w:rsidR="00361651" w:rsidRDefault="00361651" w:rsidP="00361651">
      <w:pPr>
        <w:pStyle w:val="IASBNormalnparaP"/>
      </w:pPr>
      <w:r>
        <w:rPr>
          <w:i/>
        </w:rPr>
        <w:t>Impairment Tests for Goodwill and Intangible Assets with Indefinite Lives</w:t>
      </w:r>
    </w:p>
    <w:p w14:paraId="0BB2EA0C" w14:textId="77777777" w:rsidR="00361651" w:rsidRDefault="00361651" w:rsidP="00361651">
      <w:pPr>
        <w:pStyle w:val="IASBNormalnparaP"/>
      </w:pPr>
      <w:r>
        <w:t>Goodwill has been allocated for impairment testing purposes to three individual cash-generating units—two in Europe (units A and B) and one in North America (unit C)—and to one group of cash-generating units (comprising operation XYZ) in Asia. The carrying amount of goodwill allocated to unit C and operation XYZ is significant in comparison with the total carrying amount of goodwill, but the carrying amount of goodwill allocated to each of units A and B is not. Nevertheless, the recoverable amounts of units A and B are based on some of the same key assumptions, and the aggregate carrying amount of goodwill allocated to those units is significant.</w:t>
      </w:r>
    </w:p>
    <w:p w14:paraId="0BB2EA0D" w14:textId="77777777" w:rsidR="00361651" w:rsidRDefault="00361651" w:rsidP="00361651">
      <w:pPr>
        <w:pStyle w:val="IASBNormalnparaP"/>
      </w:pPr>
      <w:r>
        <w:rPr>
          <w:i/>
        </w:rPr>
        <w:t>Operation XYZ</w:t>
      </w:r>
    </w:p>
    <w:p w14:paraId="0BB2EA0E" w14:textId="77777777" w:rsidR="00361651" w:rsidRDefault="00361651" w:rsidP="00361651">
      <w:pPr>
        <w:pStyle w:val="IASBNormalnparaP"/>
      </w:pPr>
      <w:r>
        <w:t xml:space="preserve">The recoverable amount of operation XYZ has been determined based on a value in use calculation. That calculation uses cash flow projections based on financial budgets approved by management covering a five-year period, and a discount rate of 8.4 per cent. Cash flows beyond that five-year period have been extrapolated using a steady 6.3 per cent growth rate. This growth rate does not exceed the long-term average growth rate for the market in which XYZ operates. Management believes that any reasonably possible change in the key assumptions on which XYZ’s recoverable amount is based would </w:t>
      </w:r>
      <w:r>
        <w:rPr>
          <w:i/>
        </w:rPr>
        <w:t xml:space="preserve">not </w:t>
      </w:r>
      <w:r>
        <w:t>cause XYZ’s carrying amount to exceed its recoverable amount.</w:t>
      </w:r>
    </w:p>
    <w:p w14:paraId="0BB2EA0F" w14:textId="77777777" w:rsidR="00361651" w:rsidRDefault="00361651" w:rsidP="00361651">
      <w:pPr>
        <w:pStyle w:val="IASBNormalnparaP"/>
      </w:pPr>
      <w:r>
        <w:rPr>
          <w:i/>
        </w:rPr>
        <w:t>Unit C</w:t>
      </w:r>
    </w:p>
    <w:p w14:paraId="0BB2EA10" w14:textId="77777777" w:rsidR="00361651" w:rsidRDefault="00361651" w:rsidP="00361651">
      <w:pPr>
        <w:pStyle w:val="IASBNormalnparaP"/>
      </w:pPr>
      <w:r>
        <w:t xml:space="preserve">The recoverable amount of unit C has also been determined based on a value in use calculation. That calculation uses cash flow projections based on financial budgets approved by management covering a five-year period, and a discount rate of 9.2 per cent. C’s cash flows beyond the five-year period are extrapolated using a steady 12 per cent growth rate. This growth rate exceeds by 4 percentage points the long-term average growth rate for the market in which C operates. However, C benefits from the protection of a 10-year patent on its primary product, granted in December 20X2. Management believes that a 12 per cent growth rate is reasonable in the light of that patent. Management also believes that any reasonably possible change in the key assumptions on which C’s recoverable amount is based would </w:t>
      </w:r>
      <w:r>
        <w:rPr>
          <w:i/>
        </w:rPr>
        <w:t xml:space="preserve">not </w:t>
      </w:r>
      <w:r>
        <w:t>cause C’s carrying amount to exceed its recoverable amount.</w:t>
      </w:r>
    </w:p>
    <w:p w14:paraId="0BB2EA11" w14:textId="77777777" w:rsidR="00361651" w:rsidRDefault="00361651" w:rsidP="00361651">
      <w:pPr>
        <w:pStyle w:val="IASBNormalnparaP"/>
      </w:pPr>
      <w:r>
        <w:rPr>
          <w:i/>
        </w:rPr>
        <w:t>Units A and B</w:t>
      </w:r>
    </w:p>
    <w:p w14:paraId="0BB2EA12" w14:textId="77777777" w:rsidR="00361651" w:rsidRDefault="00361651" w:rsidP="00361651">
      <w:pPr>
        <w:pStyle w:val="IASBNormalnparaP"/>
      </w:pPr>
      <w:r>
        <w:t xml:space="preserve">The recoverable amounts of units A and B have been determined on the basis of value in use calculations. Those units produce complementary products, and their recoverable amounts are based on some of the same key assumptions. Both value in use calculations use cash flow projections based on financial budgets approved by management covering a four-year period, and a discount rate of 7.9 per cent. Both sets of cash flows beyond the four-year period are extrapolated using a steady 5 per cent growth rate. This growth rate does not exceed the long-term average growth rate for the market in which A and B operate. Cash flow projections during the budget period for both A and B are also based on the same expected gross margins during the budget period and the same raw materials price inflation during the budget period. Management believes that any reasonably possible change in any of these key assumptions would </w:t>
      </w:r>
      <w:r>
        <w:rPr>
          <w:i/>
        </w:rPr>
        <w:t>not</w:t>
      </w:r>
      <w:r>
        <w:t xml:space="preserve"> cause the aggregate carrying amount of A and B to exceed the aggregate recoverable amount of those units.</w:t>
      </w:r>
    </w:p>
    <w:p w14:paraId="0BB2EA13" w14:textId="77777777" w:rsidR="00361651" w:rsidRDefault="00361651" w:rsidP="00361651">
      <w:pPr>
        <w:pStyle w:val="IASBNormalnpara"/>
      </w:pPr>
    </w:p>
    <w:tbl>
      <w:tblPr>
        <w:tblW w:w="9169" w:type="dxa"/>
        <w:tblInd w:w="178" w:type="dxa"/>
        <w:tblLayout w:type="fixed"/>
        <w:tblLook w:val="0000" w:firstRow="0" w:lastRow="0" w:firstColumn="0" w:lastColumn="0" w:noHBand="0" w:noVBand="0"/>
        <w:tblCaption w:val="AASB 136 Table 38"/>
      </w:tblPr>
      <w:tblGrid>
        <w:gridCol w:w="1773"/>
        <w:gridCol w:w="2268"/>
        <w:gridCol w:w="2835"/>
        <w:gridCol w:w="2293"/>
      </w:tblGrid>
      <w:tr w:rsidR="00361651" w14:paraId="0BB2EA18" w14:textId="77777777" w:rsidTr="00D00827">
        <w:trPr>
          <w:cantSplit/>
          <w:tblHeader/>
        </w:trPr>
        <w:tc>
          <w:tcPr>
            <w:tcW w:w="1773" w:type="dxa"/>
            <w:tcBorders>
              <w:top w:val="single" w:sz="4" w:space="0" w:color="auto"/>
              <w:left w:val="single" w:sz="4" w:space="0" w:color="auto"/>
            </w:tcBorders>
          </w:tcPr>
          <w:p w14:paraId="0BB2EA14" w14:textId="77777777" w:rsidR="00361651" w:rsidRDefault="00361651" w:rsidP="00D00827">
            <w:pPr>
              <w:pStyle w:val="IASBTableArial"/>
              <w:keepNext/>
            </w:pPr>
          </w:p>
        </w:tc>
        <w:tc>
          <w:tcPr>
            <w:tcW w:w="2268" w:type="dxa"/>
            <w:tcBorders>
              <w:top w:val="single" w:sz="4" w:space="0" w:color="auto"/>
              <w:left w:val="nil"/>
            </w:tcBorders>
          </w:tcPr>
          <w:p w14:paraId="0BB2EA15" w14:textId="77777777" w:rsidR="00361651" w:rsidRDefault="00361651" w:rsidP="009709A2">
            <w:pPr>
              <w:pStyle w:val="IASBTableArial"/>
            </w:pPr>
            <w:r>
              <w:rPr>
                <w:i/>
              </w:rPr>
              <w:t>Operation XYZ</w:t>
            </w:r>
          </w:p>
        </w:tc>
        <w:tc>
          <w:tcPr>
            <w:tcW w:w="2835" w:type="dxa"/>
            <w:tcBorders>
              <w:top w:val="single" w:sz="4" w:space="0" w:color="auto"/>
              <w:left w:val="nil"/>
            </w:tcBorders>
          </w:tcPr>
          <w:p w14:paraId="0BB2EA16" w14:textId="77777777" w:rsidR="00361651" w:rsidRDefault="00361651" w:rsidP="009709A2">
            <w:pPr>
              <w:pStyle w:val="IASBTableArial"/>
            </w:pPr>
            <w:r>
              <w:rPr>
                <w:i/>
              </w:rPr>
              <w:t>Unit C</w:t>
            </w:r>
          </w:p>
        </w:tc>
        <w:tc>
          <w:tcPr>
            <w:tcW w:w="2293" w:type="dxa"/>
            <w:tcBorders>
              <w:top w:val="single" w:sz="4" w:space="0" w:color="auto"/>
              <w:left w:val="nil"/>
              <w:right w:val="single" w:sz="4" w:space="0" w:color="auto"/>
            </w:tcBorders>
          </w:tcPr>
          <w:p w14:paraId="0BB2EA17" w14:textId="77777777" w:rsidR="00361651" w:rsidRDefault="00361651" w:rsidP="009709A2">
            <w:pPr>
              <w:pStyle w:val="IASBTableArial"/>
            </w:pPr>
            <w:r>
              <w:rPr>
                <w:i/>
              </w:rPr>
              <w:t xml:space="preserve">Units A and B </w:t>
            </w:r>
            <w:r>
              <w:rPr>
                <w:i/>
              </w:rPr>
              <w:br/>
              <w:t>(in aggregate)</w:t>
            </w:r>
          </w:p>
        </w:tc>
      </w:tr>
      <w:tr w:rsidR="00361651" w14:paraId="0BB2EA1D" w14:textId="77777777" w:rsidTr="00D00827">
        <w:trPr>
          <w:cantSplit/>
        </w:trPr>
        <w:tc>
          <w:tcPr>
            <w:tcW w:w="1773" w:type="dxa"/>
            <w:tcBorders>
              <w:top w:val="nil"/>
              <w:left w:val="single" w:sz="4" w:space="0" w:color="auto"/>
            </w:tcBorders>
          </w:tcPr>
          <w:p w14:paraId="0BB2EA19" w14:textId="77777777" w:rsidR="00361651" w:rsidRDefault="00361651" w:rsidP="00D00827">
            <w:pPr>
              <w:pStyle w:val="IASBTableArial"/>
            </w:pPr>
            <w:r>
              <w:t>Carrying amount of goodwill</w:t>
            </w:r>
          </w:p>
        </w:tc>
        <w:tc>
          <w:tcPr>
            <w:tcW w:w="2268" w:type="dxa"/>
            <w:tcBorders>
              <w:top w:val="nil"/>
              <w:left w:val="nil"/>
            </w:tcBorders>
            <w:vAlign w:val="bottom"/>
          </w:tcPr>
          <w:p w14:paraId="0BB2EA1A" w14:textId="77777777" w:rsidR="00361651" w:rsidRDefault="00361651" w:rsidP="00D00827">
            <w:pPr>
              <w:pStyle w:val="IASBTableArial"/>
            </w:pPr>
            <w:r>
              <w:t>CU1,200</w:t>
            </w:r>
          </w:p>
        </w:tc>
        <w:tc>
          <w:tcPr>
            <w:tcW w:w="2835" w:type="dxa"/>
            <w:tcBorders>
              <w:top w:val="nil"/>
              <w:left w:val="nil"/>
            </w:tcBorders>
            <w:vAlign w:val="bottom"/>
          </w:tcPr>
          <w:p w14:paraId="0BB2EA1B" w14:textId="77777777" w:rsidR="00361651" w:rsidRDefault="00361651" w:rsidP="00D00827">
            <w:pPr>
              <w:pStyle w:val="IASBTableArial"/>
            </w:pPr>
            <w:r>
              <w:t>CU3,000</w:t>
            </w:r>
          </w:p>
        </w:tc>
        <w:tc>
          <w:tcPr>
            <w:tcW w:w="2293" w:type="dxa"/>
            <w:tcBorders>
              <w:top w:val="nil"/>
              <w:left w:val="nil"/>
              <w:right w:val="single" w:sz="4" w:space="0" w:color="auto"/>
            </w:tcBorders>
            <w:vAlign w:val="bottom"/>
          </w:tcPr>
          <w:p w14:paraId="0BB2EA1C" w14:textId="77777777" w:rsidR="00361651" w:rsidRDefault="00361651" w:rsidP="00D00827">
            <w:pPr>
              <w:pStyle w:val="IASBTableArial"/>
            </w:pPr>
            <w:r>
              <w:t>CU800</w:t>
            </w:r>
          </w:p>
        </w:tc>
      </w:tr>
      <w:tr w:rsidR="00361651" w14:paraId="0BB2EA22" w14:textId="77777777" w:rsidTr="00D00827">
        <w:trPr>
          <w:cantSplit/>
        </w:trPr>
        <w:tc>
          <w:tcPr>
            <w:tcW w:w="1773" w:type="dxa"/>
            <w:tcBorders>
              <w:top w:val="nil"/>
              <w:left w:val="single" w:sz="4" w:space="0" w:color="auto"/>
              <w:bottom w:val="single" w:sz="4" w:space="0" w:color="auto"/>
            </w:tcBorders>
          </w:tcPr>
          <w:p w14:paraId="0BB2EA1E" w14:textId="77777777" w:rsidR="00361651" w:rsidRDefault="00361651" w:rsidP="00D00827">
            <w:pPr>
              <w:pStyle w:val="IASBTableArial"/>
            </w:pPr>
            <w:r>
              <w:t>Carrying amount of brand name with indefinite useful life</w:t>
            </w:r>
          </w:p>
        </w:tc>
        <w:tc>
          <w:tcPr>
            <w:tcW w:w="2268" w:type="dxa"/>
            <w:tcBorders>
              <w:top w:val="nil"/>
              <w:left w:val="nil"/>
              <w:bottom w:val="single" w:sz="4" w:space="0" w:color="auto"/>
            </w:tcBorders>
            <w:vAlign w:val="bottom"/>
          </w:tcPr>
          <w:p w14:paraId="0BB2EA1F" w14:textId="77777777" w:rsidR="00361651" w:rsidRDefault="00361651" w:rsidP="00D00827">
            <w:pPr>
              <w:pStyle w:val="IASBTableArial"/>
            </w:pPr>
            <w:r>
              <w:t>–</w:t>
            </w:r>
          </w:p>
        </w:tc>
        <w:tc>
          <w:tcPr>
            <w:tcW w:w="2835" w:type="dxa"/>
            <w:tcBorders>
              <w:top w:val="nil"/>
              <w:left w:val="nil"/>
              <w:bottom w:val="single" w:sz="4" w:space="0" w:color="auto"/>
            </w:tcBorders>
            <w:vAlign w:val="bottom"/>
          </w:tcPr>
          <w:p w14:paraId="0BB2EA20" w14:textId="77777777" w:rsidR="00361651" w:rsidRDefault="00361651" w:rsidP="00D00827">
            <w:pPr>
              <w:pStyle w:val="IASBTableArial"/>
            </w:pPr>
            <w:r>
              <w:t>CU1,000</w:t>
            </w:r>
          </w:p>
        </w:tc>
        <w:tc>
          <w:tcPr>
            <w:tcW w:w="2293" w:type="dxa"/>
            <w:tcBorders>
              <w:top w:val="nil"/>
              <w:left w:val="nil"/>
              <w:bottom w:val="single" w:sz="4" w:space="0" w:color="auto"/>
              <w:right w:val="single" w:sz="4" w:space="0" w:color="auto"/>
            </w:tcBorders>
            <w:vAlign w:val="bottom"/>
          </w:tcPr>
          <w:p w14:paraId="0BB2EA21" w14:textId="77777777" w:rsidR="00361651" w:rsidRDefault="00361651" w:rsidP="00D00827">
            <w:pPr>
              <w:pStyle w:val="IASBTableArial"/>
            </w:pPr>
            <w:r>
              <w:t>–</w:t>
            </w:r>
          </w:p>
        </w:tc>
      </w:tr>
      <w:tr w:rsidR="00361651" w14:paraId="0BB2EA24" w14:textId="77777777" w:rsidTr="009709A2">
        <w:trPr>
          <w:cantSplit/>
        </w:trPr>
        <w:tc>
          <w:tcPr>
            <w:tcW w:w="9169" w:type="dxa"/>
            <w:gridSpan w:val="4"/>
            <w:tcBorders>
              <w:top w:val="nil"/>
              <w:left w:val="single" w:sz="4" w:space="0" w:color="auto"/>
              <w:bottom w:val="single" w:sz="4" w:space="0" w:color="auto"/>
              <w:right w:val="single" w:sz="4" w:space="0" w:color="auto"/>
            </w:tcBorders>
          </w:tcPr>
          <w:p w14:paraId="0BB2EA23" w14:textId="77777777" w:rsidR="00361651" w:rsidRDefault="00361651" w:rsidP="009709A2">
            <w:pPr>
              <w:pStyle w:val="IASBTableArial"/>
            </w:pPr>
            <w:r>
              <w:rPr>
                <w:b/>
              </w:rPr>
              <w:t>Key assumptions used in value in use calculations</w:t>
            </w:r>
            <w:r>
              <w:rPr>
                <w:vertAlign w:val="superscript"/>
              </w:rPr>
              <w:t>(a)</w:t>
            </w:r>
          </w:p>
        </w:tc>
      </w:tr>
      <w:tr w:rsidR="00361651" w14:paraId="0BB2EA29" w14:textId="77777777" w:rsidTr="00D00827">
        <w:trPr>
          <w:cantSplit/>
        </w:trPr>
        <w:tc>
          <w:tcPr>
            <w:tcW w:w="1773" w:type="dxa"/>
            <w:tcBorders>
              <w:top w:val="nil"/>
              <w:left w:val="single" w:sz="4" w:space="0" w:color="auto"/>
            </w:tcBorders>
          </w:tcPr>
          <w:p w14:paraId="0BB2EA25" w14:textId="77777777" w:rsidR="00361651" w:rsidRDefault="00361651" w:rsidP="009709A2">
            <w:pPr>
              <w:pStyle w:val="IASBTableTNR"/>
            </w:pPr>
            <w:r>
              <w:t>Key assumption</w:t>
            </w:r>
          </w:p>
        </w:tc>
        <w:tc>
          <w:tcPr>
            <w:tcW w:w="2268" w:type="dxa"/>
            <w:tcBorders>
              <w:top w:val="nil"/>
              <w:left w:val="nil"/>
            </w:tcBorders>
          </w:tcPr>
          <w:p w14:paraId="0BB2EA26" w14:textId="77777777" w:rsidR="00361651" w:rsidRDefault="00361651" w:rsidP="009709A2">
            <w:pPr>
              <w:pStyle w:val="IASBTableTNR"/>
            </w:pPr>
            <w:r>
              <w:t>Budgeted gross margins</w:t>
            </w:r>
          </w:p>
        </w:tc>
        <w:tc>
          <w:tcPr>
            <w:tcW w:w="2835" w:type="dxa"/>
            <w:tcBorders>
              <w:top w:val="nil"/>
              <w:left w:val="nil"/>
            </w:tcBorders>
          </w:tcPr>
          <w:p w14:paraId="0BB2EA27" w14:textId="77777777" w:rsidR="00361651" w:rsidRDefault="00361651" w:rsidP="009709A2">
            <w:pPr>
              <w:pStyle w:val="IASBTableTNR"/>
            </w:pPr>
            <w:r>
              <w:t>5-year US government bond rate</w:t>
            </w:r>
          </w:p>
        </w:tc>
        <w:tc>
          <w:tcPr>
            <w:tcW w:w="2293" w:type="dxa"/>
            <w:tcBorders>
              <w:top w:val="nil"/>
              <w:left w:val="nil"/>
              <w:right w:val="single" w:sz="4" w:space="0" w:color="auto"/>
            </w:tcBorders>
          </w:tcPr>
          <w:p w14:paraId="0BB2EA28" w14:textId="77777777" w:rsidR="00361651" w:rsidRDefault="00361651" w:rsidP="009709A2">
            <w:pPr>
              <w:pStyle w:val="IASBTableTNR"/>
            </w:pPr>
            <w:r>
              <w:t>Budgeted gross margins</w:t>
            </w:r>
          </w:p>
        </w:tc>
      </w:tr>
      <w:tr w:rsidR="00361651" w14:paraId="0BB2EA2E" w14:textId="77777777" w:rsidTr="00D00827">
        <w:trPr>
          <w:cantSplit/>
        </w:trPr>
        <w:tc>
          <w:tcPr>
            <w:tcW w:w="1773" w:type="dxa"/>
            <w:tcBorders>
              <w:top w:val="nil"/>
              <w:left w:val="single" w:sz="4" w:space="0" w:color="auto"/>
            </w:tcBorders>
          </w:tcPr>
          <w:p w14:paraId="0BB2EA2A" w14:textId="77777777" w:rsidR="00361651" w:rsidRDefault="00361651" w:rsidP="009709A2">
            <w:pPr>
              <w:pStyle w:val="IASBTableTNR"/>
            </w:pPr>
            <w:r>
              <w:t>Basis for determining value(s) assigned to key assumption</w:t>
            </w:r>
          </w:p>
        </w:tc>
        <w:tc>
          <w:tcPr>
            <w:tcW w:w="2268" w:type="dxa"/>
            <w:tcBorders>
              <w:top w:val="nil"/>
              <w:left w:val="nil"/>
            </w:tcBorders>
          </w:tcPr>
          <w:p w14:paraId="0BB2EA2B" w14:textId="77777777" w:rsidR="00361651" w:rsidRDefault="00361651" w:rsidP="009709A2">
            <w:pPr>
              <w:pStyle w:val="IASBTableTNR"/>
            </w:pPr>
            <w:r>
              <w:t>Average gross margins achieved in period immediately before the budget period, increased for expected efficiency improvements.</w:t>
            </w:r>
          </w:p>
        </w:tc>
        <w:tc>
          <w:tcPr>
            <w:tcW w:w="2835" w:type="dxa"/>
            <w:tcBorders>
              <w:top w:val="nil"/>
              <w:left w:val="nil"/>
            </w:tcBorders>
          </w:tcPr>
          <w:p w14:paraId="0BB2EA2C" w14:textId="77777777" w:rsidR="00361651" w:rsidRDefault="00361651" w:rsidP="009709A2">
            <w:pPr>
              <w:pStyle w:val="IASBTableTNR"/>
            </w:pPr>
            <w:r>
              <w:t>Yield on 5-year US government bonds at the beginning of the budget period.</w:t>
            </w:r>
          </w:p>
        </w:tc>
        <w:tc>
          <w:tcPr>
            <w:tcW w:w="2293" w:type="dxa"/>
            <w:tcBorders>
              <w:top w:val="nil"/>
              <w:left w:val="nil"/>
              <w:right w:val="single" w:sz="4" w:space="0" w:color="auto"/>
            </w:tcBorders>
          </w:tcPr>
          <w:p w14:paraId="0BB2EA2D" w14:textId="77777777" w:rsidR="00361651" w:rsidRDefault="00361651" w:rsidP="009709A2">
            <w:pPr>
              <w:pStyle w:val="IASBTableTNR"/>
            </w:pPr>
            <w:r>
              <w:t>Average gross margins achieved in period immediately before the budget period, increased for expected efficiency improvements.</w:t>
            </w:r>
          </w:p>
        </w:tc>
      </w:tr>
      <w:tr w:rsidR="00361651" w14:paraId="0BB2EA33" w14:textId="77777777" w:rsidTr="00D00827">
        <w:trPr>
          <w:cantSplit/>
        </w:trPr>
        <w:tc>
          <w:tcPr>
            <w:tcW w:w="1773" w:type="dxa"/>
            <w:tcBorders>
              <w:top w:val="nil"/>
              <w:left w:val="single" w:sz="4" w:space="0" w:color="auto"/>
            </w:tcBorders>
          </w:tcPr>
          <w:p w14:paraId="0BB2EA2F" w14:textId="77777777" w:rsidR="00361651" w:rsidRDefault="00361651" w:rsidP="009709A2">
            <w:pPr>
              <w:pStyle w:val="IASBTableArial"/>
            </w:pPr>
          </w:p>
        </w:tc>
        <w:tc>
          <w:tcPr>
            <w:tcW w:w="2268" w:type="dxa"/>
            <w:tcBorders>
              <w:top w:val="nil"/>
              <w:left w:val="nil"/>
            </w:tcBorders>
          </w:tcPr>
          <w:p w14:paraId="0BB2EA30" w14:textId="77777777" w:rsidR="00361651" w:rsidRDefault="00361651" w:rsidP="009709A2">
            <w:pPr>
              <w:pStyle w:val="IASBTableTNR"/>
            </w:pPr>
            <w:r>
              <w:t>Values assigned to key assumption reflect past experience, except for efficiency improvements. Management believes improvements of 5% per year are reasonably achievable.</w:t>
            </w:r>
          </w:p>
        </w:tc>
        <w:tc>
          <w:tcPr>
            <w:tcW w:w="2835" w:type="dxa"/>
            <w:tcBorders>
              <w:top w:val="nil"/>
              <w:left w:val="nil"/>
            </w:tcBorders>
          </w:tcPr>
          <w:p w14:paraId="0BB2EA31" w14:textId="77777777" w:rsidR="00361651" w:rsidRDefault="00361651" w:rsidP="009709A2">
            <w:pPr>
              <w:pStyle w:val="IASBTableTNR"/>
            </w:pPr>
            <w:r>
              <w:t>Value assigned to key assumption is consistent with external sources of information.</w:t>
            </w:r>
          </w:p>
        </w:tc>
        <w:tc>
          <w:tcPr>
            <w:tcW w:w="2293" w:type="dxa"/>
            <w:tcBorders>
              <w:top w:val="nil"/>
              <w:left w:val="nil"/>
              <w:right w:val="single" w:sz="4" w:space="0" w:color="auto"/>
            </w:tcBorders>
          </w:tcPr>
          <w:p w14:paraId="0BB2EA32" w14:textId="77777777" w:rsidR="00361651" w:rsidRDefault="00361651" w:rsidP="009709A2">
            <w:pPr>
              <w:pStyle w:val="IASBTableTNR"/>
            </w:pPr>
            <w:r>
              <w:t>Values assigned to key assumption reflect past experience, except for efficiency improvements. Management believes improvements of 5% per year are reasonably achievable.</w:t>
            </w:r>
          </w:p>
        </w:tc>
      </w:tr>
      <w:tr w:rsidR="00361651" w14:paraId="0BB2EA38" w14:textId="77777777" w:rsidTr="00D00827">
        <w:trPr>
          <w:cantSplit/>
        </w:trPr>
        <w:tc>
          <w:tcPr>
            <w:tcW w:w="1773" w:type="dxa"/>
            <w:tcBorders>
              <w:top w:val="nil"/>
              <w:left w:val="single" w:sz="4" w:space="0" w:color="auto"/>
            </w:tcBorders>
          </w:tcPr>
          <w:p w14:paraId="0BB2EA34" w14:textId="77777777" w:rsidR="00361651" w:rsidRDefault="00361651" w:rsidP="009709A2">
            <w:pPr>
              <w:pStyle w:val="IASBTableTNR"/>
            </w:pPr>
            <w:r>
              <w:t>Key assumption</w:t>
            </w:r>
          </w:p>
        </w:tc>
        <w:tc>
          <w:tcPr>
            <w:tcW w:w="2268" w:type="dxa"/>
            <w:tcBorders>
              <w:top w:val="nil"/>
              <w:left w:val="nil"/>
            </w:tcBorders>
          </w:tcPr>
          <w:p w14:paraId="0BB2EA35" w14:textId="77777777" w:rsidR="00361651" w:rsidRDefault="00361651" w:rsidP="009709A2">
            <w:pPr>
              <w:pStyle w:val="IASBTableTNR"/>
            </w:pPr>
            <w:r>
              <w:t>Japanese yen/US dollar exchange rate during the budget period</w:t>
            </w:r>
          </w:p>
        </w:tc>
        <w:tc>
          <w:tcPr>
            <w:tcW w:w="2835" w:type="dxa"/>
            <w:tcBorders>
              <w:top w:val="nil"/>
              <w:left w:val="nil"/>
            </w:tcBorders>
          </w:tcPr>
          <w:p w14:paraId="0BB2EA36" w14:textId="77777777" w:rsidR="00361651" w:rsidRDefault="00361651" w:rsidP="009709A2">
            <w:pPr>
              <w:pStyle w:val="IASBTableTNR"/>
            </w:pPr>
            <w:r>
              <w:t>Raw materials price inflation</w:t>
            </w:r>
          </w:p>
        </w:tc>
        <w:tc>
          <w:tcPr>
            <w:tcW w:w="2293" w:type="dxa"/>
            <w:tcBorders>
              <w:top w:val="nil"/>
              <w:left w:val="nil"/>
              <w:right w:val="single" w:sz="4" w:space="0" w:color="auto"/>
            </w:tcBorders>
          </w:tcPr>
          <w:p w14:paraId="0BB2EA37" w14:textId="77777777" w:rsidR="00361651" w:rsidRDefault="00361651" w:rsidP="009709A2">
            <w:pPr>
              <w:pStyle w:val="IASBTableTNR"/>
            </w:pPr>
            <w:r>
              <w:t>Raw materials price inflation</w:t>
            </w:r>
          </w:p>
        </w:tc>
      </w:tr>
      <w:tr w:rsidR="00361651" w14:paraId="0BB2EA3D" w14:textId="77777777" w:rsidTr="00D00827">
        <w:trPr>
          <w:cantSplit/>
        </w:trPr>
        <w:tc>
          <w:tcPr>
            <w:tcW w:w="1773" w:type="dxa"/>
            <w:tcBorders>
              <w:top w:val="nil"/>
              <w:left w:val="single" w:sz="4" w:space="0" w:color="auto"/>
            </w:tcBorders>
          </w:tcPr>
          <w:p w14:paraId="0BB2EA39" w14:textId="77777777" w:rsidR="00361651" w:rsidRDefault="00361651" w:rsidP="009709A2">
            <w:pPr>
              <w:pStyle w:val="IASBTableTNR"/>
            </w:pPr>
            <w:r>
              <w:t>Basis for determining value(s) assigned to key assumption</w:t>
            </w:r>
          </w:p>
        </w:tc>
        <w:tc>
          <w:tcPr>
            <w:tcW w:w="2268" w:type="dxa"/>
            <w:tcBorders>
              <w:top w:val="nil"/>
              <w:left w:val="nil"/>
            </w:tcBorders>
          </w:tcPr>
          <w:p w14:paraId="0BB2EA3A" w14:textId="77777777" w:rsidR="00361651" w:rsidRDefault="00361651" w:rsidP="009709A2">
            <w:pPr>
              <w:pStyle w:val="IASBTableTNR"/>
            </w:pPr>
            <w:r>
              <w:t>Average market forward exchange rate over the budget period.</w:t>
            </w:r>
          </w:p>
        </w:tc>
        <w:tc>
          <w:tcPr>
            <w:tcW w:w="2835" w:type="dxa"/>
            <w:tcBorders>
              <w:top w:val="nil"/>
              <w:left w:val="nil"/>
            </w:tcBorders>
          </w:tcPr>
          <w:p w14:paraId="0BB2EA3B" w14:textId="77777777" w:rsidR="00361651" w:rsidRDefault="00361651" w:rsidP="009709A2">
            <w:pPr>
              <w:pStyle w:val="IASBTableTNR"/>
            </w:pPr>
            <w:r>
              <w:t>Forecast consumer price indices during the budget period for North American countries from which raw materials are purchased.</w:t>
            </w:r>
          </w:p>
        </w:tc>
        <w:tc>
          <w:tcPr>
            <w:tcW w:w="2293" w:type="dxa"/>
            <w:tcBorders>
              <w:top w:val="nil"/>
              <w:left w:val="nil"/>
              <w:right w:val="single" w:sz="4" w:space="0" w:color="auto"/>
            </w:tcBorders>
          </w:tcPr>
          <w:p w14:paraId="0BB2EA3C" w14:textId="77777777" w:rsidR="00361651" w:rsidRDefault="00361651" w:rsidP="009709A2">
            <w:pPr>
              <w:pStyle w:val="IASBTableTNR"/>
            </w:pPr>
            <w:r>
              <w:t>Forecast consumer price indices during the budget period for European countries from which raw materials are purchased.</w:t>
            </w:r>
          </w:p>
        </w:tc>
      </w:tr>
      <w:tr w:rsidR="00361651" w14:paraId="0BB2EA42" w14:textId="77777777" w:rsidTr="00D00827">
        <w:trPr>
          <w:cantSplit/>
        </w:trPr>
        <w:tc>
          <w:tcPr>
            <w:tcW w:w="1773" w:type="dxa"/>
            <w:tcBorders>
              <w:top w:val="nil"/>
              <w:left w:val="single" w:sz="4" w:space="0" w:color="auto"/>
            </w:tcBorders>
          </w:tcPr>
          <w:p w14:paraId="0BB2EA3E" w14:textId="77777777" w:rsidR="00361651" w:rsidRDefault="00361651" w:rsidP="009709A2">
            <w:pPr>
              <w:pStyle w:val="IASBTableArial"/>
            </w:pPr>
          </w:p>
        </w:tc>
        <w:tc>
          <w:tcPr>
            <w:tcW w:w="2268" w:type="dxa"/>
            <w:tcBorders>
              <w:top w:val="nil"/>
              <w:left w:val="nil"/>
            </w:tcBorders>
          </w:tcPr>
          <w:p w14:paraId="0BB2EA3F" w14:textId="77777777" w:rsidR="00361651" w:rsidRDefault="00361651" w:rsidP="009709A2">
            <w:pPr>
              <w:pStyle w:val="IASBTableTNR"/>
            </w:pPr>
            <w:r>
              <w:t>Value assigned to key assumption is consistent with external sources of information.</w:t>
            </w:r>
          </w:p>
        </w:tc>
        <w:tc>
          <w:tcPr>
            <w:tcW w:w="2835" w:type="dxa"/>
            <w:tcBorders>
              <w:top w:val="nil"/>
              <w:left w:val="nil"/>
            </w:tcBorders>
          </w:tcPr>
          <w:p w14:paraId="0BB2EA40" w14:textId="77777777" w:rsidR="00361651" w:rsidRDefault="00361651" w:rsidP="009709A2">
            <w:pPr>
              <w:pStyle w:val="IASBTableTNR"/>
            </w:pPr>
            <w:r>
              <w:t>Value assigned to key assumption is consistent with external sources of information.</w:t>
            </w:r>
          </w:p>
        </w:tc>
        <w:tc>
          <w:tcPr>
            <w:tcW w:w="2293" w:type="dxa"/>
            <w:tcBorders>
              <w:top w:val="nil"/>
              <w:left w:val="nil"/>
              <w:right w:val="single" w:sz="4" w:space="0" w:color="auto"/>
            </w:tcBorders>
          </w:tcPr>
          <w:p w14:paraId="0BB2EA41" w14:textId="77777777" w:rsidR="00361651" w:rsidRDefault="00361651" w:rsidP="009709A2">
            <w:pPr>
              <w:pStyle w:val="IASBTableTNR"/>
            </w:pPr>
            <w:r>
              <w:t>Value assigned to key assumption is consistent with external sources of information.</w:t>
            </w:r>
          </w:p>
        </w:tc>
      </w:tr>
      <w:tr w:rsidR="00361651" w14:paraId="0BB2EA47" w14:textId="77777777" w:rsidTr="00D00827">
        <w:trPr>
          <w:cantSplit/>
        </w:trPr>
        <w:tc>
          <w:tcPr>
            <w:tcW w:w="1773" w:type="dxa"/>
            <w:tcBorders>
              <w:top w:val="nil"/>
              <w:left w:val="single" w:sz="4" w:space="0" w:color="auto"/>
            </w:tcBorders>
          </w:tcPr>
          <w:p w14:paraId="0BB2EA43" w14:textId="77777777" w:rsidR="00361651" w:rsidRDefault="00361651" w:rsidP="009709A2">
            <w:pPr>
              <w:pStyle w:val="IASBTableTNR"/>
            </w:pPr>
            <w:r>
              <w:t>Key assumption</w:t>
            </w:r>
          </w:p>
        </w:tc>
        <w:tc>
          <w:tcPr>
            <w:tcW w:w="2268" w:type="dxa"/>
            <w:tcBorders>
              <w:top w:val="nil"/>
              <w:left w:val="nil"/>
            </w:tcBorders>
          </w:tcPr>
          <w:p w14:paraId="0BB2EA44" w14:textId="77777777" w:rsidR="00361651" w:rsidRDefault="00361651" w:rsidP="009709A2">
            <w:pPr>
              <w:pStyle w:val="IASBTableTNR"/>
            </w:pPr>
            <w:r>
              <w:t>Budgeted market share</w:t>
            </w:r>
          </w:p>
        </w:tc>
        <w:tc>
          <w:tcPr>
            <w:tcW w:w="2835" w:type="dxa"/>
            <w:tcBorders>
              <w:top w:val="nil"/>
              <w:left w:val="nil"/>
            </w:tcBorders>
          </w:tcPr>
          <w:p w14:paraId="0BB2EA45" w14:textId="77777777" w:rsidR="00361651" w:rsidRDefault="00361651" w:rsidP="009709A2">
            <w:pPr>
              <w:pStyle w:val="IASBTableTNR"/>
            </w:pPr>
            <w:r>
              <w:t>Budgeted market share</w:t>
            </w:r>
          </w:p>
        </w:tc>
        <w:tc>
          <w:tcPr>
            <w:tcW w:w="2293" w:type="dxa"/>
            <w:tcBorders>
              <w:top w:val="nil"/>
              <w:left w:val="nil"/>
              <w:right w:val="single" w:sz="4" w:space="0" w:color="auto"/>
            </w:tcBorders>
          </w:tcPr>
          <w:p w14:paraId="0BB2EA46" w14:textId="77777777" w:rsidR="00361651" w:rsidRDefault="00361651" w:rsidP="009709A2">
            <w:pPr>
              <w:pStyle w:val="IASBTableArial"/>
            </w:pPr>
          </w:p>
        </w:tc>
      </w:tr>
      <w:tr w:rsidR="00361651" w14:paraId="0BB2EA4C" w14:textId="77777777" w:rsidTr="00D00827">
        <w:trPr>
          <w:cantSplit/>
        </w:trPr>
        <w:tc>
          <w:tcPr>
            <w:tcW w:w="1773" w:type="dxa"/>
            <w:tcBorders>
              <w:top w:val="nil"/>
              <w:left w:val="single" w:sz="4" w:space="0" w:color="auto"/>
            </w:tcBorders>
          </w:tcPr>
          <w:p w14:paraId="0BB2EA48" w14:textId="77777777" w:rsidR="00361651" w:rsidRDefault="00361651" w:rsidP="009709A2">
            <w:pPr>
              <w:pStyle w:val="IASBTableTNR"/>
            </w:pPr>
            <w:r>
              <w:t>Basis for determining value(s) assigned to key assumption</w:t>
            </w:r>
          </w:p>
        </w:tc>
        <w:tc>
          <w:tcPr>
            <w:tcW w:w="2268" w:type="dxa"/>
            <w:tcBorders>
              <w:top w:val="nil"/>
              <w:left w:val="nil"/>
            </w:tcBorders>
          </w:tcPr>
          <w:p w14:paraId="0BB2EA49" w14:textId="77777777" w:rsidR="00361651" w:rsidRDefault="00361651" w:rsidP="009709A2">
            <w:pPr>
              <w:pStyle w:val="IASBTableTNR"/>
            </w:pPr>
            <w:r>
              <w:t>Average market share in period immediately before the budget period.</w:t>
            </w:r>
          </w:p>
        </w:tc>
        <w:tc>
          <w:tcPr>
            <w:tcW w:w="2835" w:type="dxa"/>
            <w:tcBorders>
              <w:top w:val="nil"/>
              <w:left w:val="nil"/>
            </w:tcBorders>
          </w:tcPr>
          <w:p w14:paraId="0BB2EA4A" w14:textId="77777777" w:rsidR="00361651" w:rsidRDefault="00361651" w:rsidP="009709A2">
            <w:pPr>
              <w:pStyle w:val="IASBTableTNR"/>
            </w:pPr>
            <w:r>
              <w:t>Average market share in period immediately before the budget period, increased each year for anticipated growth in market share.</w:t>
            </w:r>
          </w:p>
        </w:tc>
        <w:tc>
          <w:tcPr>
            <w:tcW w:w="2293" w:type="dxa"/>
            <w:tcBorders>
              <w:top w:val="nil"/>
              <w:left w:val="nil"/>
              <w:right w:val="single" w:sz="4" w:space="0" w:color="auto"/>
            </w:tcBorders>
          </w:tcPr>
          <w:p w14:paraId="0BB2EA4B" w14:textId="77777777" w:rsidR="00361651" w:rsidRDefault="00361651" w:rsidP="009709A2">
            <w:pPr>
              <w:pStyle w:val="IASBTableArial"/>
            </w:pPr>
          </w:p>
        </w:tc>
      </w:tr>
      <w:tr w:rsidR="00361651" w14:paraId="0BB2EA51" w14:textId="77777777" w:rsidTr="00D00827">
        <w:tc>
          <w:tcPr>
            <w:tcW w:w="1773" w:type="dxa"/>
            <w:tcBorders>
              <w:top w:val="nil"/>
              <w:left w:val="single" w:sz="4" w:space="0" w:color="auto"/>
            </w:tcBorders>
          </w:tcPr>
          <w:p w14:paraId="0BB2EA4D" w14:textId="77777777" w:rsidR="00361651" w:rsidRDefault="00361651" w:rsidP="009709A2">
            <w:pPr>
              <w:pStyle w:val="IASBTableArial"/>
            </w:pPr>
          </w:p>
        </w:tc>
        <w:tc>
          <w:tcPr>
            <w:tcW w:w="2268" w:type="dxa"/>
            <w:tcBorders>
              <w:top w:val="nil"/>
              <w:left w:val="nil"/>
            </w:tcBorders>
          </w:tcPr>
          <w:p w14:paraId="0BB2EA4E" w14:textId="77777777" w:rsidR="00361651" w:rsidRDefault="00361651" w:rsidP="009709A2">
            <w:pPr>
              <w:pStyle w:val="IASBTableTNR"/>
            </w:pPr>
            <w:r>
              <w:t>Value assigned to key assumption reflects past experience. No change in market share expected as a result of ongoing product quality improvements coupled with anticipated increase in competition.</w:t>
            </w:r>
          </w:p>
        </w:tc>
        <w:tc>
          <w:tcPr>
            <w:tcW w:w="2835" w:type="dxa"/>
            <w:tcBorders>
              <w:top w:val="nil"/>
              <w:left w:val="nil"/>
            </w:tcBorders>
          </w:tcPr>
          <w:p w14:paraId="0BB2EA4F" w14:textId="77777777" w:rsidR="00361651" w:rsidRDefault="00361651" w:rsidP="009709A2">
            <w:pPr>
              <w:pStyle w:val="IASBTableTNR"/>
            </w:pPr>
            <w:r>
              <w:t>Management believes market share growth of 6% per year is reasonably achievable due to increased advertising expenditure, the benefits from the protection of the 10-year patent on C’s primary product, and the expected synergies to be achieved from operating C as part of M’s North American segment.</w:t>
            </w:r>
          </w:p>
        </w:tc>
        <w:tc>
          <w:tcPr>
            <w:tcW w:w="2293" w:type="dxa"/>
            <w:tcBorders>
              <w:top w:val="nil"/>
              <w:left w:val="nil"/>
              <w:right w:val="single" w:sz="4" w:space="0" w:color="auto"/>
            </w:tcBorders>
          </w:tcPr>
          <w:p w14:paraId="0BB2EA50" w14:textId="77777777" w:rsidR="00361651" w:rsidRDefault="00361651" w:rsidP="009709A2">
            <w:pPr>
              <w:pStyle w:val="IASBTableArial"/>
            </w:pPr>
          </w:p>
        </w:tc>
      </w:tr>
      <w:tr w:rsidR="00A61D7C" w14:paraId="2D09ADBC" w14:textId="77777777" w:rsidTr="0003083E">
        <w:trPr>
          <w:cantSplit/>
        </w:trPr>
        <w:tc>
          <w:tcPr>
            <w:tcW w:w="9169" w:type="dxa"/>
            <w:gridSpan w:val="4"/>
            <w:tcBorders>
              <w:top w:val="nil"/>
              <w:left w:val="single" w:sz="4" w:space="0" w:color="auto"/>
              <w:bottom w:val="single" w:sz="4" w:space="0" w:color="auto"/>
              <w:right w:val="single" w:sz="4" w:space="0" w:color="auto"/>
            </w:tcBorders>
            <w:tcMar>
              <w:bottom w:w="85" w:type="dxa"/>
            </w:tcMar>
            <w:vAlign w:val="bottom"/>
          </w:tcPr>
          <w:p w14:paraId="5626E41A" w14:textId="77777777" w:rsidR="00A61D7C" w:rsidRDefault="00A61D7C" w:rsidP="00D00827">
            <w:pPr>
              <w:pStyle w:val="IASBTableTNR"/>
              <w:spacing w:before="60"/>
              <w:ind w:left="397" w:hanging="397"/>
            </w:pPr>
            <w:r>
              <w:rPr>
                <w:rStyle w:val="FootnoteReference"/>
                <w:sz w:val="16"/>
                <w:vertAlign w:val="baseline"/>
              </w:rPr>
              <w:t>(a)</w:t>
            </w:r>
            <w:r>
              <w:rPr>
                <w:rStyle w:val="FootnoteReference"/>
                <w:sz w:val="16"/>
                <w:vertAlign w:val="baseline"/>
              </w:rPr>
              <w:tab/>
              <w:t>The key assumptions shown in this table for units A and B are only those that are used in the recoverable amount calculations for both units.</w:t>
            </w:r>
          </w:p>
        </w:tc>
      </w:tr>
    </w:tbl>
    <w:p w14:paraId="391CE7F9" w14:textId="77777777" w:rsidR="00A61D7C" w:rsidRDefault="00A61D7C" w:rsidP="00A61D7C">
      <w:pPr>
        <w:spacing w:before="100"/>
      </w:pPr>
    </w:p>
    <w:p w14:paraId="0BB2EA54" w14:textId="77777777" w:rsidR="00047152" w:rsidRDefault="00047152" w:rsidP="00A61D7C">
      <w:pPr>
        <w:pStyle w:val="IASBNormalnpara"/>
        <w:sectPr w:rsidR="00047152" w:rsidSect="00BE4AE5">
          <w:footerReference w:type="default" r:id="rId41"/>
          <w:pgSz w:w="11907" w:h="16839"/>
          <w:pgMar w:top="1440" w:right="1440" w:bottom="1440" w:left="1440" w:header="720" w:footer="720" w:gutter="0"/>
          <w:cols w:space="708"/>
          <w:docGrid w:linePitch="360"/>
        </w:sectPr>
      </w:pPr>
    </w:p>
    <w:p w14:paraId="0BB2EA55" w14:textId="77777777" w:rsidR="00047152" w:rsidRDefault="00047152" w:rsidP="00047152">
      <w:pPr>
        <w:pStyle w:val="ConvSectionTitle"/>
      </w:pPr>
      <w:r>
        <w:lastRenderedPageBreak/>
        <w:t>Compilation details</w:t>
      </w:r>
      <w:r>
        <w:br/>
      </w:r>
      <w:r w:rsidRPr="00B663AC">
        <w:t xml:space="preserve">Accounting Standard AASB </w:t>
      </w:r>
      <w:r w:rsidR="00322477">
        <w:fldChar w:fldCharType="begin" w:fldLock="1"/>
      </w:r>
      <w:r w:rsidR="00322477">
        <w:instrText xml:space="preserve"> REF DocNo \* charformat</w:instrText>
      </w:r>
      <w:r w:rsidR="00322477">
        <w:fldChar w:fldCharType="separate"/>
      </w:r>
      <w:r w:rsidR="00322477">
        <w:t>136</w:t>
      </w:r>
      <w:r w:rsidR="00322477">
        <w:fldChar w:fldCharType="end"/>
      </w:r>
      <w:r>
        <w:t xml:space="preserve"> </w:t>
      </w:r>
      <w:r w:rsidR="00322477" w:rsidRPr="00844AB3">
        <w:rPr>
          <w:i/>
        </w:rPr>
        <w:fldChar w:fldCharType="begin" w:fldLock="1"/>
      </w:r>
      <w:r w:rsidR="00322477" w:rsidRPr="00844AB3">
        <w:rPr>
          <w:i/>
        </w:rPr>
        <w:instrText xml:space="preserve"> REF DocTitle \* charformat</w:instrText>
      </w:r>
      <w:r w:rsidR="00322477" w:rsidRPr="00844AB3">
        <w:rPr>
          <w:i/>
        </w:rPr>
        <w:fldChar w:fldCharType="separate"/>
      </w:r>
      <w:r w:rsidR="00322477" w:rsidRPr="007D3BF0">
        <w:rPr>
          <w:i/>
        </w:rPr>
        <w:t>Impairment of Assets</w:t>
      </w:r>
      <w:r w:rsidR="00322477" w:rsidRPr="00844AB3">
        <w:rPr>
          <w:i/>
        </w:rPr>
        <w:fldChar w:fldCharType="end"/>
      </w:r>
      <w:r w:rsidRPr="00B663AC">
        <w:t xml:space="preserve"> </w:t>
      </w:r>
      <w:r w:rsidR="00990B1F">
        <w:t>(</w:t>
      </w:r>
      <w:r w:rsidRPr="00B663AC">
        <w:t>as amended</w:t>
      </w:r>
      <w:r w:rsidR="00990B1F">
        <w:t>)</w:t>
      </w:r>
    </w:p>
    <w:p w14:paraId="0BB2EA56" w14:textId="57680239" w:rsidR="00047152" w:rsidRDefault="00047152" w:rsidP="00047152">
      <w:pPr>
        <w:pStyle w:val="IASBNote"/>
      </w:pPr>
      <w:r>
        <w:t xml:space="preserve">Compilation details are not part of </w:t>
      </w:r>
      <w:r>
        <w:fldChar w:fldCharType="begin"/>
      </w:r>
      <w:r>
        <w:instrText xml:space="preserve"> REF DocTypeAbb \* charformat</w:instrText>
      </w:r>
      <w:r>
        <w:fldChar w:fldCharType="separate"/>
      </w:r>
      <w:r w:rsidR="004E444B" w:rsidRPr="004E444B">
        <w:t>AASB</w:t>
      </w:r>
      <w:r>
        <w:fldChar w:fldCharType="end"/>
      </w:r>
      <w:r>
        <w:t xml:space="preserve"> </w:t>
      </w:r>
      <w:r w:rsidR="00322477">
        <w:fldChar w:fldCharType="begin" w:fldLock="1"/>
      </w:r>
      <w:r w:rsidR="00322477">
        <w:instrText xml:space="preserve"> REF DocNo \* charformat</w:instrText>
      </w:r>
      <w:r w:rsidR="00322477">
        <w:fldChar w:fldCharType="separate"/>
      </w:r>
      <w:r w:rsidR="00322477">
        <w:t>136</w:t>
      </w:r>
      <w:r w:rsidR="00322477">
        <w:fldChar w:fldCharType="end"/>
      </w:r>
      <w:r>
        <w:t>.</w:t>
      </w:r>
    </w:p>
    <w:p w14:paraId="0BB2EA57" w14:textId="0933C499" w:rsidR="00047152" w:rsidRPr="000D35D8" w:rsidRDefault="00047152" w:rsidP="00047152">
      <w:pPr>
        <w:pStyle w:val="IASBNormal"/>
      </w:pPr>
      <w:r w:rsidRPr="000D35D8">
        <w:t xml:space="preserve">This compiled Standard applies to annual periods </w:t>
      </w:r>
      <w:r w:rsidR="004E444B">
        <w:fldChar w:fldCharType="begin" w:fldLock="1"/>
      </w:r>
      <w:r w:rsidR="004E444B">
        <w:instrText xml:space="preserve"> REF ApplyTextCompile \* charformat  \* MERGEFORMAT </w:instrText>
      </w:r>
      <w:r w:rsidR="004E444B">
        <w:fldChar w:fldCharType="separate"/>
      </w:r>
      <w:r w:rsidRPr="000D35D8">
        <w:t>beginning</w:t>
      </w:r>
      <w:r w:rsidR="004E444B">
        <w:fldChar w:fldCharType="end"/>
      </w:r>
      <w:r w:rsidRPr="000D35D8">
        <w:t xml:space="preserve"> on or after </w:t>
      </w:r>
      <w:r w:rsidRPr="005570EE">
        <w:rPr>
          <w:szCs w:val="19"/>
        </w:rPr>
        <w:fldChar w:fldCharType="begin"/>
      </w:r>
      <w:r w:rsidRPr="005570EE">
        <w:rPr>
          <w:szCs w:val="19"/>
        </w:rPr>
        <w:instrText xml:space="preserve"> REF \* charformat ApplyDateCompile  \* MERGEFORMAT </w:instrText>
      </w:r>
      <w:r w:rsidRPr="005570EE">
        <w:rPr>
          <w:szCs w:val="19"/>
        </w:rPr>
        <w:fldChar w:fldCharType="separate"/>
      </w:r>
      <w:r w:rsidR="004E444B" w:rsidRPr="004E444B" w:rsidDel="001D073E">
        <w:rPr>
          <w:szCs w:val="19"/>
        </w:rPr>
        <w:t xml:space="preserve">1 </w:t>
      </w:r>
      <w:r w:rsidR="004E444B" w:rsidRPr="004E444B">
        <w:rPr>
          <w:szCs w:val="19"/>
        </w:rPr>
        <w:t>January 2023 but before 1 July 2026</w:t>
      </w:r>
      <w:r w:rsidRPr="005570EE">
        <w:rPr>
          <w:szCs w:val="19"/>
        </w:rPr>
        <w:fldChar w:fldCharType="end"/>
      </w:r>
      <w:r w:rsidR="004A33B3">
        <w:rPr>
          <w:szCs w:val="19"/>
        </w:rPr>
        <w:t xml:space="preserve">.  </w:t>
      </w:r>
      <w:r w:rsidRPr="000D35D8">
        <w:t xml:space="preserve">It takes into account amendments up to and including </w:t>
      </w:r>
      <w:bookmarkStart w:id="24" w:name="CompileDate"/>
      <w:r w:rsidR="00CF47DB">
        <w:t>15 December</w:t>
      </w:r>
      <w:r w:rsidR="009F7ABE">
        <w:t xml:space="preserve"> 2022</w:t>
      </w:r>
      <w:bookmarkEnd w:id="24"/>
      <w:r w:rsidRPr="000D35D8">
        <w:t xml:space="preserve"> and was prepared on </w:t>
      </w:r>
      <w:bookmarkStart w:id="25" w:name="PrepDate"/>
      <w:r w:rsidR="00441F51">
        <w:t>6</w:t>
      </w:r>
      <w:r w:rsidR="00CF47DB">
        <w:t> </w:t>
      </w:r>
      <w:r w:rsidR="00441F51">
        <w:t>February</w:t>
      </w:r>
      <w:r w:rsidR="009F7ABE">
        <w:t xml:space="preserve"> 2023</w:t>
      </w:r>
      <w:bookmarkEnd w:id="25"/>
      <w:r w:rsidRPr="000D35D8">
        <w:t xml:space="preserve"> by the staff of the Australian Accounting Standards Board (AASB).</w:t>
      </w:r>
    </w:p>
    <w:p w14:paraId="0BB2EA58" w14:textId="30E07534" w:rsidR="00047152" w:rsidRPr="000D35D8" w:rsidRDefault="00047152" w:rsidP="00047152">
      <w:pPr>
        <w:pStyle w:val="IASBNormal"/>
      </w:pPr>
      <w:r w:rsidRPr="000D35D8">
        <w:t>This compilation is not a separate Accounting Standard made by the AASB.  Instead, it is a representation of AASB </w:t>
      </w:r>
      <w:r w:rsidR="007418E9">
        <w:fldChar w:fldCharType="begin" w:fldLock="1"/>
      </w:r>
      <w:r w:rsidR="007418E9">
        <w:instrText xml:space="preserve"> REF DocNo \* charformat</w:instrText>
      </w:r>
      <w:r w:rsidR="007418E9">
        <w:fldChar w:fldCharType="separate"/>
      </w:r>
      <w:r w:rsidR="007418E9">
        <w:t>136</w:t>
      </w:r>
      <w:r w:rsidR="007418E9">
        <w:fldChar w:fldCharType="end"/>
      </w:r>
      <w:r w:rsidR="007418E9">
        <w:t xml:space="preserve"> </w:t>
      </w:r>
      <w:r>
        <w:t xml:space="preserve">(August 2015) </w:t>
      </w:r>
      <w:r w:rsidRPr="000D35D8">
        <w:t>as amended by other Accounting Stan</w:t>
      </w:r>
      <w:r>
        <w:t xml:space="preserve">dards, which are listed in the </w:t>
      </w:r>
      <w:r w:rsidR="0049768D">
        <w:t>t</w:t>
      </w:r>
      <w:r w:rsidRPr="000D35D8">
        <w:t>able below.</w:t>
      </w:r>
    </w:p>
    <w:p w14:paraId="0BB2EA59" w14:textId="77777777" w:rsidR="00047152" w:rsidRPr="000D35D8" w:rsidRDefault="00047152" w:rsidP="00047152">
      <w:pPr>
        <w:pStyle w:val="IASBSectionTitle2NonInd"/>
      </w:pPr>
      <w:r w:rsidRPr="00B663AC">
        <w:t>Table of Standards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listing the principal Standard and the subsequent amending Standards"/>
        <w:tblDescription w:val="Details for each principal and amending Standard listed, that is, number of the Standard, date made by the AASB, FRL identifier, legal commencement date, effective (application) date, and early application note reference or a note that the particular Standard is not incorporated in this version of the compiled Standard."/>
      </w:tblPr>
      <w:tblGrid>
        <w:gridCol w:w="1333"/>
        <w:gridCol w:w="1276"/>
        <w:gridCol w:w="1417"/>
        <w:gridCol w:w="1276"/>
        <w:gridCol w:w="2552"/>
        <w:gridCol w:w="1275"/>
      </w:tblGrid>
      <w:tr w:rsidR="00047152" w:rsidRPr="009305B8" w14:paraId="0BB2EA60" w14:textId="77777777" w:rsidTr="00FB1B31">
        <w:trPr>
          <w:cantSplit/>
          <w:tblHeader/>
        </w:trPr>
        <w:tc>
          <w:tcPr>
            <w:tcW w:w="1333" w:type="dxa"/>
          </w:tcPr>
          <w:p w14:paraId="0BB2EA5A" w14:textId="77777777" w:rsidR="00047152" w:rsidRPr="009305B8" w:rsidRDefault="00047152" w:rsidP="00FB1B31">
            <w:pPr>
              <w:pStyle w:val="NoNumBold1"/>
              <w:rPr>
                <w:rFonts w:ascii="Arial" w:hAnsi="Arial" w:cs="Arial"/>
                <w:sz w:val="18"/>
                <w:szCs w:val="18"/>
              </w:rPr>
            </w:pPr>
            <w:r w:rsidRPr="009305B8">
              <w:rPr>
                <w:rFonts w:ascii="Arial" w:hAnsi="Arial" w:cs="Arial"/>
                <w:sz w:val="18"/>
                <w:szCs w:val="18"/>
              </w:rPr>
              <w:t>Standard</w:t>
            </w:r>
          </w:p>
        </w:tc>
        <w:tc>
          <w:tcPr>
            <w:tcW w:w="1276" w:type="dxa"/>
          </w:tcPr>
          <w:p w14:paraId="0BB2EA5B" w14:textId="77777777" w:rsidR="00047152" w:rsidRDefault="00047152" w:rsidP="00FB1B31">
            <w:pPr>
              <w:pStyle w:val="NoNumBold1"/>
              <w:rPr>
                <w:rFonts w:ascii="Arial" w:hAnsi="Arial" w:cs="Arial"/>
                <w:sz w:val="18"/>
                <w:szCs w:val="18"/>
              </w:rPr>
            </w:pPr>
            <w:r>
              <w:rPr>
                <w:rFonts w:ascii="Arial" w:hAnsi="Arial" w:cs="Arial"/>
                <w:sz w:val="18"/>
                <w:szCs w:val="18"/>
              </w:rPr>
              <w:t>Date made</w:t>
            </w:r>
          </w:p>
        </w:tc>
        <w:tc>
          <w:tcPr>
            <w:tcW w:w="1417" w:type="dxa"/>
          </w:tcPr>
          <w:p w14:paraId="0BB2EA5C" w14:textId="77777777" w:rsidR="00047152" w:rsidRPr="009305B8" w:rsidRDefault="00047152" w:rsidP="00FB1B31">
            <w:pPr>
              <w:pStyle w:val="NoNumBold1"/>
              <w:rPr>
                <w:rFonts w:ascii="Arial" w:hAnsi="Arial" w:cs="Arial"/>
                <w:sz w:val="18"/>
                <w:szCs w:val="18"/>
              </w:rPr>
            </w:pPr>
            <w:r>
              <w:rPr>
                <w:rFonts w:ascii="Arial" w:hAnsi="Arial" w:cs="Arial"/>
                <w:sz w:val="18"/>
                <w:szCs w:val="18"/>
              </w:rPr>
              <w:t>FRL identifier</w:t>
            </w:r>
          </w:p>
        </w:tc>
        <w:tc>
          <w:tcPr>
            <w:tcW w:w="1276" w:type="dxa"/>
          </w:tcPr>
          <w:p w14:paraId="0BB2EA5D" w14:textId="77777777" w:rsidR="00047152" w:rsidRPr="009305B8" w:rsidRDefault="00047152" w:rsidP="00FB1B31">
            <w:pPr>
              <w:pStyle w:val="NoNumBold1"/>
              <w:rPr>
                <w:rFonts w:ascii="Arial" w:hAnsi="Arial" w:cs="Arial"/>
                <w:sz w:val="18"/>
                <w:szCs w:val="18"/>
              </w:rPr>
            </w:pPr>
            <w:r>
              <w:rPr>
                <w:rFonts w:ascii="Arial" w:hAnsi="Arial" w:cs="Arial"/>
                <w:sz w:val="18"/>
                <w:szCs w:val="18"/>
              </w:rPr>
              <w:t>Commence-ment date</w:t>
            </w:r>
          </w:p>
        </w:tc>
        <w:tc>
          <w:tcPr>
            <w:tcW w:w="2552" w:type="dxa"/>
          </w:tcPr>
          <w:p w14:paraId="0BB2EA5E" w14:textId="77777777" w:rsidR="00047152" w:rsidRPr="009305B8" w:rsidRDefault="00047152" w:rsidP="00FB1B31">
            <w:pPr>
              <w:pStyle w:val="NoNumBold1"/>
              <w:rPr>
                <w:rFonts w:ascii="Arial" w:hAnsi="Arial" w:cs="Arial"/>
                <w:sz w:val="18"/>
                <w:szCs w:val="18"/>
              </w:rPr>
            </w:pPr>
            <w:r>
              <w:rPr>
                <w:rFonts w:ascii="Arial" w:hAnsi="Arial" w:cs="Arial"/>
                <w:sz w:val="18"/>
                <w:szCs w:val="18"/>
              </w:rPr>
              <w:t>Effective</w:t>
            </w:r>
            <w:r w:rsidRPr="009305B8">
              <w:rPr>
                <w:rFonts w:ascii="Arial" w:hAnsi="Arial" w:cs="Arial"/>
                <w:sz w:val="18"/>
                <w:szCs w:val="18"/>
              </w:rPr>
              <w:t xml:space="preserve"> date</w:t>
            </w:r>
            <w:r w:rsidRPr="009305B8">
              <w:rPr>
                <w:rFonts w:ascii="Arial" w:hAnsi="Arial" w:cs="Arial"/>
                <w:sz w:val="18"/>
                <w:szCs w:val="18"/>
              </w:rPr>
              <w:br/>
            </w:r>
            <w:r w:rsidRPr="009305B8">
              <w:rPr>
                <w:rFonts w:ascii="Arial" w:hAnsi="Arial" w:cs="Arial"/>
                <w:i/>
                <w:sz w:val="18"/>
                <w:szCs w:val="18"/>
              </w:rPr>
              <w:t xml:space="preserve">(annual periods </w:t>
            </w:r>
            <w:r>
              <w:rPr>
                <w:rFonts w:ascii="Arial" w:hAnsi="Arial" w:cs="Arial"/>
                <w:i/>
                <w:sz w:val="18"/>
                <w:szCs w:val="18"/>
              </w:rPr>
              <w:br/>
            </w:r>
            <w:r w:rsidRPr="009305B8">
              <w:rPr>
                <w:rFonts w:ascii="Arial" w:hAnsi="Arial" w:cs="Arial"/>
                <w:i/>
                <w:sz w:val="18"/>
                <w:szCs w:val="18"/>
              </w:rPr>
              <w:t>… on or after …)</w:t>
            </w:r>
          </w:p>
        </w:tc>
        <w:tc>
          <w:tcPr>
            <w:tcW w:w="1275" w:type="dxa"/>
          </w:tcPr>
          <w:p w14:paraId="0BB2EA5F" w14:textId="77777777" w:rsidR="00047152" w:rsidRPr="009305B8" w:rsidRDefault="00047152" w:rsidP="00FB1B31">
            <w:pPr>
              <w:pStyle w:val="NoNumBold1"/>
              <w:rPr>
                <w:rFonts w:ascii="Arial" w:hAnsi="Arial" w:cs="Arial"/>
                <w:sz w:val="18"/>
                <w:szCs w:val="18"/>
              </w:rPr>
            </w:pPr>
            <w:r w:rsidRPr="009305B8">
              <w:rPr>
                <w:rFonts w:ascii="Arial" w:hAnsi="Arial" w:cs="Arial"/>
                <w:sz w:val="18"/>
                <w:szCs w:val="18"/>
              </w:rPr>
              <w:t>Application, saving or transitional provisions</w:t>
            </w:r>
          </w:p>
        </w:tc>
      </w:tr>
      <w:tr w:rsidR="00047152" w:rsidRPr="009305B8" w14:paraId="0BB2EA67" w14:textId="77777777" w:rsidTr="00FB1B31">
        <w:trPr>
          <w:cantSplit/>
        </w:trPr>
        <w:tc>
          <w:tcPr>
            <w:tcW w:w="1333" w:type="dxa"/>
          </w:tcPr>
          <w:p w14:paraId="0BB2EA61" w14:textId="77777777" w:rsidR="00047152" w:rsidRPr="005816E9" w:rsidRDefault="00047152" w:rsidP="00FB1B31">
            <w:pPr>
              <w:rPr>
                <w:rFonts w:ascii="Arial" w:hAnsi="Arial" w:cs="Arial"/>
                <w:sz w:val="18"/>
                <w:szCs w:val="18"/>
              </w:rPr>
            </w:pPr>
            <w:r w:rsidRPr="005816E9">
              <w:rPr>
                <w:rFonts w:ascii="Arial" w:hAnsi="Arial" w:cs="Arial"/>
                <w:sz w:val="18"/>
                <w:szCs w:val="18"/>
              </w:rPr>
              <w:t xml:space="preserve">AASB </w:t>
            </w:r>
            <w:r w:rsidR="007418E9" w:rsidRPr="007418E9">
              <w:rPr>
                <w:rFonts w:ascii="Arial" w:hAnsi="Arial" w:cs="Arial"/>
                <w:sz w:val="18"/>
                <w:szCs w:val="18"/>
              </w:rPr>
              <w:fldChar w:fldCharType="begin" w:fldLock="1"/>
            </w:r>
            <w:r w:rsidR="007418E9" w:rsidRPr="007418E9">
              <w:rPr>
                <w:rFonts w:ascii="Arial" w:hAnsi="Arial" w:cs="Arial"/>
                <w:sz w:val="18"/>
                <w:szCs w:val="18"/>
              </w:rPr>
              <w:instrText xml:space="preserve"> REF DocNo \* charformat</w:instrText>
            </w:r>
            <w:r w:rsidR="007418E9">
              <w:rPr>
                <w:rFonts w:ascii="Arial" w:hAnsi="Arial" w:cs="Arial"/>
                <w:sz w:val="18"/>
                <w:szCs w:val="18"/>
              </w:rPr>
              <w:instrText xml:space="preserve"> \* MERGEFORMAT </w:instrText>
            </w:r>
            <w:r w:rsidR="007418E9" w:rsidRPr="007418E9">
              <w:rPr>
                <w:rFonts w:ascii="Arial" w:hAnsi="Arial" w:cs="Arial"/>
                <w:sz w:val="18"/>
                <w:szCs w:val="18"/>
              </w:rPr>
              <w:fldChar w:fldCharType="separate"/>
            </w:r>
            <w:r w:rsidR="007418E9" w:rsidRPr="007418E9">
              <w:rPr>
                <w:rFonts w:ascii="Arial" w:hAnsi="Arial" w:cs="Arial"/>
                <w:sz w:val="18"/>
                <w:szCs w:val="18"/>
              </w:rPr>
              <w:t>136</w:t>
            </w:r>
            <w:r w:rsidR="007418E9" w:rsidRPr="007418E9">
              <w:rPr>
                <w:rFonts w:ascii="Arial" w:hAnsi="Arial" w:cs="Arial"/>
                <w:sz w:val="18"/>
                <w:szCs w:val="18"/>
              </w:rPr>
              <w:fldChar w:fldCharType="end"/>
            </w:r>
          </w:p>
        </w:tc>
        <w:tc>
          <w:tcPr>
            <w:tcW w:w="1276" w:type="dxa"/>
          </w:tcPr>
          <w:p w14:paraId="0BB2EA62" w14:textId="77777777" w:rsidR="00047152" w:rsidRPr="005816E9" w:rsidRDefault="007418E9" w:rsidP="00FB1B31">
            <w:pPr>
              <w:rPr>
                <w:rFonts w:ascii="Arial" w:hAnsi="Arial" w:cs="Arial"/>
                <w:sz w:val="18"/>
                <w:szCs w:val="18"/>
              </w:rPr>
            </w:pPr>
            <w:r>
              <w:rPr>
                <w:rFonts w:ascii="Arial" w:hAnsi="Arial" w:cs="Arial"/>
                <w:sz w:val="18"/>
                <w:szCs w:val="18"/>
              </w:rPr>
              <w:t>14</w:t>
            </w:r>
            <w:r w:rsidR="00047152" w:rsidRPr="005816E9">
              <w:rPr>
                <w:rFonts w:ascii="Arial" w:hAnsi="Arial" w:cs="Arial"/>
                <w:sz w:val="18"/>
                <w:szCs w:val="18"/>
              </w:rPr>
              <w:t xml:space="preserve"> Aug 2015</w:t>
            </w:r>
          </w:p>
        </w:tc>
        <w:tc>
          <w:tcPr>
            <w:tcW w:w="1417" w:type="dxa"/>
          </w:tcPr>
          <w:p w14:paraId="0BB2EA63" w14:textId="77777777" w:rsidR="00047152" w:rsidRPr="005816E9" w:rsidRDefault="00344FFD" w:rsidP="00344FFD">
            <w:pPr>
              <w:rPr>
                <w:rFonts w:ascii="Arial" w:hAnsi="Arial" w:cs="Arial"/>
                <w:sz w:val="18"/>
                <w:szCs w:val="18"/>
              </w:rPr>
            </w:pPr>
            <w:r w:rsidRPr="00344FFD">
              <w:rPr>
                <w:rFonts w:ascii="Arial" w:hAnsi="Arial" w:cs="Arial"/>
                <w:sz w:val="18"/>
                <w:szCs w:val="18"/>
              </w:rPr>
              <w:t>F2015L01622</w:t>
            </w:r>
          </w:p>
        </w:tc>
        <w:tc>
          <w:tcPr>
            <w:tcW w:w="1276" w:type="dxa"/>
          </w:tcPr>
          <w:p w14:paraId="0BB2EA64" w14:textId="77777777" w:rsidR="00047152" w:rsidRPr="005816E9" w:rsidRDefault="00047152" w:rsidP="00FB1B31">
            <w:pPr>
              <w:rPr>
                <w:rFonts w:ascii="Arial" w:hAnsi="Arial" w:cs="Arial"/>
                <w:sz w:val="18"/>
                <w:szCs w:val="18"/>
              </w:rPr>
            </w:pPr>
            <w:r w:rsidRPr="005816E9">
              <w:rPr>
                <w:rFonts w:ascii="Arial" w:hAnsi="Arial" w:cs="Arial"/>
                <w:sz w:val="18"/>
                <w:szCs w:val="18"/>
              </w:rPr>
              <w:t>31 Dec 201</w:t>
            </w:r>
            <w:r w:rsidR="00FB1B31">
              <w:rPr>
                <w:rFonts w:ascii="Arial" w:hAnsi="Arial" w:cs="Arial"/>
                <w:sz w:val="18"/>
                <w:szCs w:val="18"/>
              </w:rPr>
              <w:t>7</w:t>
            </w:r>
          </w:p>
        </w:tc>
        <w:tc>
          <w:tcPr>
            <w:tcW w:w="2552" w:type="dxa"/>
          </w:tcPr>
          <w:p w14:paraId="0BB2EA65" w14:textId="77777777" w:rsidR="00047152" w:rsidRPr="005816E9" w:rsidRDefault="00047152" w:rsidP="00344FFD">
            <w:pPr>
              <w:rPr>
                <w:rFonts w:ascii="Arial" w:hAnsi="Arial" w:cs="Arial"/>
                <w:sz w:val="18"/>
                <w:szCs w:val="18"/>
              </w:rPr>
            </w:pPr>
            <w:r w:rsidRPr="005816E9">
              <w:rPr>
                <w:rFonts w:ascii="Arial" w:hAnsi="Arial" w:cs="Arial"/>
                <w:i/>
                <w:sz w:val="18"/>
                <w:szCs w:val="18"/>
              </w:rPr>
              <w:t>(beginning)</w:t>
            </w:r>
            <w:r w:rsidRPr="005816E9">
              <w:rPr>
                <w:rFonts w:ascii="Arial" w:hAnsi="Arial" w:cs="Arial"/>
                <w:sz w:val="18"/>
                <w:szCs w:val="18"/>
              </w:rPr>
              <w:t xml:space="preserve"> 1 Jan 201</w:t>
            </w:r>
            <w:r w:rsidR="00FB1B31">
              <w:rPr>
                <w:rFonts w:ascii="Arial" w:hAnsi="Arial" w:cs="Arial"/>
                <w:sz w:val="18"/>
                <w:szCs w:val="18"/>
              </w:rPr>
              <w:t>8</w:t>
            </w:r>
          </w:p>
        </w:tc>
        <w:tc>
          <w:tcPr>
            <w:tcW w:w="1275" w:type="dxa"/>
          </w:tcPr>
          <w:p w14:paraId="0BB2EA66" w14:textId="77777777" w:rsidR="00047152" w:rsidRPr="005816E9" w:rsidRDefault="00047152" w:rsidP="00FB1B31">
            <w:pPr>
              <w:rPr>
                <w:rFonts w:ascii="Arial" w:hAnsi="Arial" w:cs="Arial"/>
                <w:sz w:val="18"/>
                <w:szCs w:val="18"/>
              </w:rPr>
            </w:pPr>
            <w:r w:rsidRPr="005816E9">
              <w:rPr>
                <w:rFonts w:ascii="Arial" w:hAnsi="Arial" w:cs="Arial"/>
                <w:sz w:val="18"/>
                <w:szCs w:val="18"/>
              </w:rPr>
              <w:t>see (a) below</w:t>
            </w:r>
          </w:p>
        </w:tc>
      </w:tr>
      <w:tr w:rsidR="00047152" w:rsidRPr="009305B8" w14:paraId="0BB2EA6E" w14:textId="77777777" w:rsidTr="00FB1B31">
        <w:trPr>
          <w:cantSplit/>
        </w:trPr>
        <w:tc>
          <w:tcPr>
            <w:tcW w:w="1333" w:type="dxa"/>
          </w:tcPr>
          <w:p w14:paraId="0BB2EA68" w14:textId="77777777" w:rsidR="00047152" w:rsidRPr="005816E9" w:rsidRDefault="00047152" w:rsidP="007418E9">
            <w:pPr>
              <w:rPr>
                <w:rFonts w:ascii="Arial" w:hAnsi="Arial" w:cs="Arial"/>
                <w:sz w:val="18"/>
                <w:szCs w:val="18"/>
              </w:rPr>
            </w:pPr>
            <w:r w:rsidRPr="005816E9">
              <w:rPr>
                <w:rFonts w:ascii="Arial" w:hAnsi="Arial" w:cs="Arial"/>
                <w:sz w:val="18"/>
                <w:szCs w:val="18"/>
              </w:rPr>
              <w:t xml:space="preserve">AASB </w:t>
            </w:r>
            <w:r w:rsidR="007418E9">
              <w:rPr>
                <w:rFonts w:ascii="Arial" w:hAnsi="Arial" w:cs="Arial"/>
                <w:sz w:val="18"/>
                <w:szCs w:val="18"/>
              </w:rPr>
              <w:t>2016-4</w:t>
            </w:r>
          </w:p>
        </w:tc>
        <w:tc>
          <w:tcPr>
            <w:tcW w:w="1276" w:type="dxa"/>
          </w:tcPr>
          <w:p w14:paraId="0BB2EA69" w14:textId="77777777" w:rsidR="00047152" w:rsidRPr="005816E9" w:rsidRDefault="007418E9" w:rsidP="00FB1B31">
            <w:pPr>
              <w:rPr>
                <w:rFonts w:ascii="Arial" w:hAnsi="Arial" w:cs="Arial"/>
                <w:sz w:val="18"/>
                <w:szCs w:val="18"/>
              </w:rPr>
            </w:pPr>
            <w:r>
              <w:rPr>
                <w:rFonts w:ascii="Arial" w:hAnsi="Arial" w:cs="Arial"/>
                <w:sz w:val="18"/>
                <w:szCs w:val="18"/>
              </w:rPr>
              <w:t>27 Jun 2016</w:t>
            </w:r>
          </w:p>
        </w:tc>
        <w:tc>
          <w:tcPr>
            <w:tcW w:w="1417" w:type="dxa"/>
          </w:tcPr>
          <w:p w14:paraId="0BB2EA6A" w14:textId="77777777" w:rsidR="00047152" w:rsidRPr="005816E9" w:rsidRDefault="007418E9" w:rsidP="00FB1B31">
            <w:pPr>
              <w:rPr>
                <w:rFonts w:ascii="Arial" w:hAnsi="Arial" w:cs="Arial"/>
                <w:sz w:val="18"/>
                <w:szCs w:val="18"/>
              </w:rPr>
            </w:pPr>
            <w:r>
              <w:rPr>
                <w:rFonts w:ascii="Arial" w:hAnsi="Arial" w:cs="Arial"/>
                <w:sz w:val="18"/>
                <w:szCs w:val="18"/>
              </w:rPr>
              <w:t>F2016L01173</w:t>
            </w:r>
          </w:p>
        </w:tc>
        <w:tc>
          <w:tcPr>
            <w:tcW w:w="1276" w:type="dxa"/>
          </w:tcPr>
          <w:p w14:paraId="0BB2EA6B" w14:textId="77777777" w:rsidR="00047152" w:rsidRPr="005816E9" w:rsidRDefault="00047152" w:rsidP="00FB1B31">
            <w:pPr>
              <w:rPr>
                <w:rFonts w:ascii="Arial" w:hAnsi="Arial" w:cs="Arial"/>
                <w:sz w:val="18"/>
                <w:szCs w:val="18"/>
              </w:rPr>
            </w:pPr>
            <w:r w:rsidRPr="005816E9">
              <w:rPr>
                <w:rFonts w:ascii="Arial" w:hAnsi="Arial" w:cs="Arial"/>
                <w:sz w:val="18"/>
                <w:szCs w:val="18"/>
              </w:rPr>
              <w:t>31 Dec 2016</w:t>
            </w:r>
          </w:p>
        </w:tc>
        <w:tc>
          <w:tcPr>
            <w:tcW w:w="2552" w:type="dxa"/>
          </w:tcPr>
          <w:p w14:paraId="0BB2EA6C" w14:textId="77777777" w:rsidR="00047152" w:rsidRPr="005816E9" w:rsidRDefault="00047152" w:rsidP="00FB1B31">
            <w:pPr>
              <w:rPr>
                <w:rFonts w:ascii="Arial" w:hAnsi="Arial" w:cs="Arial"/>
                <w:sz w:val="18"/>
                <w:szCs w:val="18"/>
              </w:rPr>
            </w:pPr>
            <w:r w:rsidRPr="005816E9">
              <w:rPr>
                <w:rFonts w:ascii="Arial" w:hAnsi="Arial" w:cs="Arial"/>
                <w:i/>
                <w:sz w:val="18"/>
                <w:szCs w:val="18"/>
              </w:rPr>
              <w:t xml:space="preserve">(beginning) </w:t>
            </w:r>
            <w:r w:rsidRPr="005816E9">
              <w:rPr>
                <w:rFonts w:ascii="Arial" w:hAnsi="Arial" w:cs="Arial"/>
                <w:sz w:val="18"/>
                <w:szCs w:val="18"/>
              </w:rPr>
              <w:t>1 Jan 2017</w:t>
            </w:r>
          </w:p>
        </w:tc>
        <w:tc>
          <w:tcPr>
            <w:tcW w:w="1275" w:type="dxa"/>
          </w:tcPr>
          <w:p w14:paraId="0BB2EA6D" w14:textId="77777777" w:rsidR="00047152" w:rsidRPr="005816E9" w:rsidRDefault="00047152" w:rsidP="00FB1B31">
            <w:pPr>
              <w:rPr>
                <w:rFonts w:ascii="Arial" w:hAnsi="Arial" w:cs="Arial"/>
                <w:sz w:val="18"/>
                <w:szCs w:val="18"/>
              </w:rPr>
            </w:pPr>
            <w:r w:rsidRPr="005816E9">
              <w:rPr>
                <w:rFonts w:ascii="Arial" w:hAnsi="Arial" w:cs="Arial"/>
                <w:sz w:val="18"/>
                <w:szCs w:val="18"/>
              </w:rPr>
              <w:t xml:space="preserve">see </w:t>
            </w:r>
            <w:r>
              <w:rPr>
                <w:rFonts w:ascii="Arial" w:hAnsi="Arial" w:cs="Arial"/>
                <w:sz w:val="18"/>
                <w:szCs w:val="18"/>
              </w:rPr>
              <w:t>(b</w:t>
            </w:r>
            <w:r w:rsidRPr="005816E9">
              <w:rPr>
                <w:rFonts w:ascii="Arial" w:hAnsi="Arial" w:cs="Arial"/>
                <w:sz w:val="18"/>
                <w:szCs w:val="18"/>
              </w:rPr>
              <w:t>) below</w:t>
            </w:r>
          </w:p>
        </w:tc>
      </w:tr>
      <w:tr w:rsidR="00EC522E" w:rsidRPr="009305B8" w14:paraId="0BB2EA75" w14:textId="77777777" w:rsidTr="00FB1B31">
        <w:trPr>
          <w:cantSplit/>
        </w:trPr>
        <w:tc>
          <w:tcPr>
            <w:tcW w:w="1333" w:type="dxa"/>
          </w:tcPr>
          <w:p w14:paraId="0BB2EA6F" w14:textId="77777777" w:rsidR="00EC522E" w:rsidRDefault="00EC522E" w:rsidP="00EC522E">
            <w:pPr>
              <w:rPr>
                <w:rFonts w:ascii="Arial" w:hAnsi="Arial" w:cs="Arial"/>
                <w:sz w:val="18"/>
                <w:szCs w:val="18"/>
              </w:rPr>
            </w:pPr>
            <w:r>
              <w:rPr>
                <w:rFonts w:ascii="Arial" w:hAnsi="Arial" w:cs="Arial"/>
                <w:sz w:val="18"/>
                <w:szCs w:val="18"/>
              </w:rPr>
              <w:t>AASB 2016-7</w:t>
            </w:r>
          </w:p>
        </w:tc>
        <w:tc>
          <w:tcPr>
            <w:tcW w:w="1276" w:type="dxa"/>
          </w:tcPr>
          <w:p w14:paraId="0BB2EA70" w14:textId="77777777" w:rsidR="00EC522E" w:rsidRDefault="00EC522E" w:rsidP="00EC522E">
            <w:pPr>
              <w:rPr>
                <w:rFonts w:ascii="Arial" w:hAnsi="Arial" w:cs="Arial"/>
                <w:sz w:val="18"/>
                <w:szCs w:val="18"/>
              </w:rPr>
            </w:pPr>
            <w:r>
              <w:rPr>
                <w:rFonts w:ascii="Arial" w:hAnsi="Arial" w:cs="Arial"/>
                <w:sz w:val="18"/>
                <w:szCs w:val="18"/>
              </w:rPr>
              <w:t>9 Dec 2016</w:t>
            </w:r>
          </w:p>
        </w:tc>
        <w:tc>
          <w:tcPr>
            <w:tcW w:w="1417" w:type="dxa"/>
          </w:tcPr>
          <w:p w14:paraId="0BB2EA71" w14:textId="77777777" w:rsidR="00EC522E" w:rsidRDefault="00EC522E" w:rsidP="00EC522E">
            <w:pPr>
              <w:rPr>
                <w:rFonts w:ascii="Arial" w:hAnsi="Arial" w:cs="Arial"/>
                <w:sz w:val="18"/>
                <w:szCs w:val="18"/>
              </w:rPr>
            </w:pPr>
            <w:r>
              <w:rPr>
                <w:rFonts w:ascii="Arial" w:hAnsi="Arial" w:cs="Arial"/>
                <w:sz w:val="18"/>
                <w:szCs w:val="18"/>
              </w:rPr>
              <w:t>F2017L00043</w:t>
            </w:r>
          </w:p>
        </w:tc>
        <w:tc>
          <w:tcPr>
            <w:tcW w:w="1276" w:type="dxa"/>
          </w:tcPr>
          <w:p w14:paraId="0BB2EA72" w14:textId="77777777" w:rsidR="00EC522E" w:rsidRDefault="00EC522E" w:rsidP="00EC522E">
            <w:pPr>
              <w:rPr>
                <w:rFonts w:ascii="Arial" w:hAnsi="Arial" w:cs="Arial"/>
                <w:sz w:val="18"/>
                <w:szCs w:val="18"/>
              </w:rPr>
            </w:pPr>
            <w:r>
              <w:rPr>
                <w:rFonts w:ascii="Arial" w:hAnsi="Arial" w:cs="Arial"/>
                <w:sz w:val="18"/>
                <w:szCs w:val="18"/>
              </w:rPr>
              <w:t>31 Dec 2016</w:t>
            </w:r>
          </w:p>
        </w:tc>
        <w:tc>
          <w:tcPr>
            <w:tcW w:w="2552" w:type="dxa"/>
          </w:tcPr>
          <w:p w14:paraId="0BB2EA73" w14:textId="77777777" w:rsidR="00EC522E" w:rsidRPr="009305B8" w:rsidRDefault="00EC522E" w:rsidP="00EC522E">
            <w:pPr>
              <w:rPr>
                <w:rFonts w:ascii="Arial" w:hAnsi="Arial" w:cs="Arial"/>
                <w:i/>
                <w:sz w:val="18"/>
                <w:szCs w:val="18"/>
              </w:rPr>
            </w:pPr>
            <w:r>
              <w:rPr>
                <w:rFonts w:ascii="Arial" w:hAnsi="Arial" w:cs="Arial"/>
                <w:i/>
                <w:sz w:val="18"/>
                <w:szCs w:val="18"/>
              </w:rPr>
              <w:t xml:space="preserve">(beginning) </w:t>
            </w:r>
            <w:r>
              <w:rPr>
                <w:rFonts w:ascii="Arial" w:hAnsi="Arial" w:cs="Arial"/>
                <w:sz w:val="18"/>
                <w:szCs w:val="18"/>
              </w:rPr>
              <w:t>1 Jan 2017</w:t>
            </w:r>
          </w:p>
        </w:tc>
        <w:tc>
          <w:tcPr>
            <w:tcW w:w="1275" w:type="dxa"/>
          </w:tcPr>
          <w:p w14:paraId="0BB2EA74" w14:textId="77777777" w:rsidR="00EC522E" w:rsidRDefault="00EC522E" w:rsidP="00EC522E">
            <w:pPr>
              <w:rPr>
                <w:rFonts w:ascii="Arial" w:hAnsi="Arial" w:cs="Arial"/>
                <w:sz w:val="18"/>
                <w:szCs w:val="18"/>
              </w:rPr>
            </w:pPr>
            <w:r>
              <w:rPr>
                <w:rFonts w:ascii="Arial" w:hAnsi="Arial" w:cs="Arial"/>
                <w:sz w:val="18"/>
                <w:szCs w:val="18"/>
              </w:rPr>
              <w:t>see (c) below</w:t>
            </w:r>
          </w:p>
        </w:tc>
      </w:tr>
      <w:tr w:rsidR="00990B1F" w:rsidRPr="009305B8" w14:paraId="0BB2EA7C" w14:textId="77777777" w:rsidTr="00FB1B31">
        <w:trPr>
          <w:cantSplit/>
        </w:trPr>
        <w:tc>
          <w:tcPr>
            <w:tcW w:w="1333" w:type="dxa"/>
          </w:tcPr>
          <w:p w14:paraId="0BB2EA76" w14:textId="77777777" w:rsidR="00990B1F" w:rsidRDefault="00990B1F" w:rsidP="00990B1F">
            <w:pPr>
              <w:rPr>
                <w:rFonts w:ascii="Arial" w:hAnsi="Arial" w:cs="Arial"/>
                <w:sz w:val="18"/>
                <w:szCs w:val="18"/>
              </w:rPr>
            </w:pPr>
            <w:r>
              <w:rPr>
                <w:rFonts w:ascii="Arial" w:hAnsi="Arial" w:cs="Arial"/>
                <w:sz w:val="18"/>
                <w:szCs w:val="18"/>
              </w:rPr>
              <w:t>AASB 17</w:t>
            </w:r>
          </w:p>
        </w:tc>
        <w:tc>
          <w:tcPr>
            <w:tcW w:w="1276" w:type="dxa"/>
          </w:tcPr>
          <w:p w14:paraId="0BB2EA77" w14:textId="77777777" w:rsidR="00990B1F" w:rsidRDefault="00990B1F" w:rsidP="00990B1F">
            <w:pPr>
              <w:rPr>
                <w:rFonts w:ascii="Arial" w:hAnsi="Arial" w:cs="Arial"/>
                <w:sz w:val="18"/>
                <w:szCs w:val="18"/>
              </w:rPr>
            </w:pPr>
            <w:r>
              <w:rPr>
                <w:rFonts w:ascii="Arial" w:hAnsi="Arial" w:cs="Arial"/>
                <w:sz w:val="18"/>
                <w:szCs w:val="18"/>
              </w:rPr>
              <w:t>19 Jul 2017</w:t>
            </w:r>
          </w:p>
        </w:tc>
        <w:tc>
          <w:tcPr>
            <w:tcW w:w="1417" w:type="dxa"/>
          </w:tcPr>
          <w:p w14:paraId="0BB2EA78" w14:textId="77777777" w:rsidR="00990B1F" w:rsidRDefault="00990B1F" w:rsidP="00990B1F">
            <w:pPr>
              <w:rPr>
                <w:rFonts w:ascii="Arial" w:hAnsi="Arial" w:cs="Arial"/>
                <w:sz w:val="18"/>
                <w:szCs w:val="18"/>
              </w:rPr>
            </w:pPr>
            <w:r>
              <w:rPr>
                <w:rFonts w:ascii="Arial" w:hAnsi="Arial" w:cs="Arial"/>
                <w:sz w:val="18"/>
                <w:szCs w:val="18"/>
              </w:rPr>
              <w:t>F2017L01184</w:t>
            </w:r>
          </w:p>
        </w:tc>
        <w:tc>
          <w:tcPr>
            <w:tcW w:w="1276" w:type="dxa"/>
          </w:tcPr>
          <w:p w14:paraId="0BB2EA79" w14:textId="2DFD0955" w:rsidR="00990B1F" w:rsidRDefault="00990B1F" w:rsidP="00990B1F">
            <w:pPr>
              <w:rPr>
                <w:rFonts w:ascii="Arial" w:hAnsi="Arial" w:cs="Arial"/>
                <w:sz w:val="18"/>
                <w:szCs w:val="18"/>
              </w:rPr>
            </w:pPr>
            <w:r>
              <w:rPr>
                <w:rFonts w:ascii="Arial" w:hAnsi="Arial" w:cs="Arial"/>
                <w:sz w:val="18"/>
                <w:szCs w:val="18"/>
              </w:rPr>
              <w:t>31 Dec 202</w:t>
            </w:r>
            <w:r w:rsidR="00BC677E">
              <w:rPr>
                <w:rFonts w:ascii="Arial" w:hAnsi="Arial" w:cs="Arial"/>
                <w:sz w:val="18"/>
                <w:szCs w:val="18"/>
              </w:rPr>
              <w:t>2</w:t>
            </w:r>
          </w:p>
        </w:tc>
        <w:tc>
          <w:tcPr>
            <w:tcW w:w="2552" w:type="dxa"/>
          </w:tcPr>
          <w:p w14:paraId="0BB2EA7A" w14:textId="5F5BD99E" w:rsidR="00990B1F" w:rsidRPr="009305B8" w:rsidRDefault="00990B1F" w:rsidP="00990B1F">
            <w:pPr>
              <w:rPr>
                <w:rFonts w:ascii="Arial" w:hAnsi="Arial" w:cs="Arial"/>
                <w:i/>
                <w:sz w:val="18"/>
                <w:szCs w:val="18"/>
              </w:rPr>
            </w:pPr>
            <w:r>
              <w:rPr>
                <w:rFonts w:ascii="Arial" w:hAnsi="Arial" w:cs="Arial"/>
                <w:i/>
                <w:sz w:val="18"/>
                <w:szCs w:val="18"/>
              </w:rPr>
              <w:t xml:space="preserve">(beginning) </w:t>
            </w:r>
            <w:r>
              <w:rPr>
                <w:rFonts w:ascii="Arial" w:hAnsi="Arial" w:cs="Arial"/>
                <w:sz w:val="18"/>
                <w:szCs w:val="18"/>
              </w:rPr>
              <w:t>1 Jan 202</w:t>
            </w:r>
            <w:r w:rsidR="00BC677E">
              <w:rPr>
                <w:rFonts w:ascii="Arial" w:hAnsi="Arial" w:cs="Arial"/>
                <w:sz w:val="18"/>
                <w:szCs w:val="18"/>
              </w:rPr>
              <w:t>3</w:t>
            </w:r>
          </w:p>
        </w:tc>
        <w:tc>
          <w:tcPr>
            <w:tcW w:w="1275" w:type="dxa"/>
          </w:tcPr>
          <w:p w14:paraId="0BB2EA7B" w14:textId="460AE240" w:rsidR="00990B1F" w:rsidRDefault="00223423" w:rsidP="00990B1F">
            <w:pPr>
              <w:rPr>
                <w:rFonts w:ascii="Arial" w:hAnsi="Arial" w:cs="Arial"/>
                <w:sz w:val="18"/>
                <w:szCs w:val="18"/>
              </w:rPr>
            </w:pPr>
            <w:r>
              <w:rPr>
                <w:rFonts w:ascii="Arial" w:hAnsi="Arial" w:cs="Arial"/>
                <w:sz w:val="18"/>
                <w:szCs w:val="18"/>
              </w:rPr>
              <w:t>see (d) below</w:t>
            </w:r>
          </w:p>
        </w:tc>
      </w:tr>
      <w:tr w:rsidR="007323F7" w:rsidRPr="009305B8" w14:paraId="10D9B293" w14:textId="77777777" w:rsidTr="00FB1B31">
        <w:trPr>
          <w:cantSplit/>
        </w:trPr>
        <w:tc>
          <w:tcPr>
            <w:tcW w:w="1333" w:type="dxa"/>
          </w:tcPr>
          <w:p w14:paraId="2AB8548B" w14:textId="5055AE0F" w:rsidR="007323F7" w:rsidRDefault="007323F7" w:rsidP="007323F7">
            <w:pPr>
              <w:rPr>
                <w:rFonts w:ascii="Arial" w:hAnsi="Arial" w:cs="Arial"/>
                <w:sz w:val="18"/>
                <w:szCs w:val="18"/>
              </w:rPr>
            </w:pPr>
            <w:r>
              <w:rPr>
                <w:rFonts w:ascii="Arial" w:hAnsi="Arial" w:cs="Arial"/>
                <w:sz w:val="18"/>
                <w:szCs w:val="18"/>
              </w:rPr>
              <w:t>AASB 1060</w:t>
            </w:r>
          </w:p>
        </w:tc>
        <w:tc>
          <w:tcPr>
            <w:tcW w:w="1276" w:type="dxa"/>
          </w:tcPr>
          <w:p w14:paraId="7C902751" w14:textId="02035104" w:rsidR="007323F7" w:rsidRDefault="007323F7" w:rsidP="007323F7">
            <w:pPr>
              <w:rPr>
                <w:rFonts w:ascii="Arial" w:hAnsi="Arial" w:cs="Arial"/>
                <w:sz w:val="18"/>
                <w:szCs w:val="18"/>
              </w:rPr>
            </w:pPr>
            <w:r>
              <w:rPr>
                <w:rFonts w:ascii="Arial" w:hAnsi="Arial" w:cs="Arial"/>
                <w:sz w:val="18"/>
                <w:szCs w:val="18"/>
              </w:rPr>
              <w:t>6 Mar 2020</w:t>
            </w:r>
          </w:p>
        </w:tc>
        <w:tc>
          <w:tcPr>
            <w:tcW w:w="1417" w:type="dxa"/>
          </w:tcPr>
          <w:p w14:paraId="414151ED" w14:textId="5447B894" w:rsidR="007323F7" w:rsidRDefault="007323F7" w:rsidP="007323F7">
            <w:pPr>
              <w:rPr>
                <w:rFonts w:ascii="Arial" w:hAnsi="Arial" w:cs="Arial"/>
                <w:sz w:val="18"/>
                <w:szCs w:val="18"/>
              </w:rPr>
            </w:pPr>
            <w:r w:rsidRPr="00B82B1C">
              <w:rPr>
                <w:rFonts w:ascii="Arial" w:hAnsi="Arial" w:cs="Arial"/>
                <w:sz w:val="18"/>
                <w:szCs w:val="18"/>
              </w:rPr>
              <w:t>F2020L00288</w:t>
            </w:r>
          </w:p>
        </w:tc>
        <w:tc>
          <w:tcPr>
            <w:tcW w:w="1276" w:type="dxa"/>
          </w:tcPr>
          <w:p w14:paraId="01F0C28C" w14:textId="5E80F376" w:rsidR="007323F7" w:rsidRDefault="007323F7" w:rsidP="007323F7">
            <w:pPr>
              <w:rPr>
                <w:rFonts w:ascii="Arial" w:hAnsi="Arial" w:cs="Arial"/>
                <w:sz w:val="18"/>
                <w:szCs w:val="18"/>
              </w:rPr>
            </w:pPr>
            <w:r>
              <w:rPr>
                <w:rFonts w:ascii="Arial" w:hAnsi="Arial" w:cs="Arial"/>
                <w:sz w:val="18"/>
                <w:szCs w:val="18"/>
              </w:rPr>
              <w:t>30 Jun 2021</w:t>
            </w:r>
          </w:p>
        </w:tc>
        <w:tc>
          <w:tcPr>
            <w:tcW w:w="2552" w:type="dxa"/>
          </w:tcPr>
          <w:p w14:paraId="0C643959" w14:textId="1408E3B7" w:rsidR="007323F7" w:rsidRDefault="007323F7" w:rsidP="007323F7">
            <w:pPr>
              <w:rPr>
                <w:rFonts w:ascii="Arial" w:hAnsi="Arial" w:cs="Arial"/>
                <w:i/>
                <w:sz w:val="18"/>
                <w:szCs w:val="18"/>
              </w:rPr>
            </w:pPr>
            <w:r w:rsidRPr="00015164">
              <w:rPr>
                <w:rFonts w:ascii="Arial" w:hAnsi="Arial" w:cs="Arial"/>
                <w:i/>
                <w:color w:val="000000" w:themeColor="text1"/>
                <w:sz w:val="18"/>
                <w:szCs w:val="18"/>
              </w:rPr>
              <w:t>(beginning)</w:t>
            </w:r>
            <w:r w:rsidRPr="00015164">
              <w:rPr>
                <w:rFonts w:ascii="Arial" w:hAnsi="Arial" w:cs="Arial"/>
                <w:color w:val="000000" w:themeColor="text1"/>
                <w:sz w:val="18"/>
                <w:szCs w:val="18"/>
              </w:rPr>
              <w:t xml:space="preserve"> 1</w:t>
            </w:r>
            <w:r>
              <w:rPr>
                <w:rFonts w:ascii="Arial" w:hAnsi="Arial" w:cs="Arial"/>
                <w:color w:val="000000" w:themeColor="text1"/>
                <w:sz w:val="18"/>
                <w:szCs w:val="18"/>
              </w:rPr>
              <w:t xml:space="preserve"> Jul 2021</w:t>
            </w:r>
          </w:p>
        </w:tc>
        <w:tc>
          <w:tcPr>
            <w:tcW w:w="1275" w:type="dxa"/>
          </w:tcPr>
          <w:p w14:paraId="7BF8BF8E" w14:textId="2A967C1B" w:rsidR="007323F7" w:rsidRDefault="007323F7" w:rsidP="007323F7">
            <w:pPr>
              <w:rPr>
                <w:rFonts w:ascii="Arial" w:hAnsi="Arial" w:cs="Arial"/>
                <w:sz w:val="18"/>
                <w:szCs w:val="18"/>
              </w:rPr>
            </w:pPr>
            <w:r>
              <w:rPr>
                <w:rFonts w:ascii="Arial" w:hAnsi="Arial" w:cs="Arial"/>
                <w:color w:val="000000" w:themeColor="text1"/>
                <w:sz w:val="18"/>
                <w:szCs w:val="18"/>
              </w:rPr>
              <w:t>see (</w:t>
            </w:r>
            <w:r w:rsidR="00223423">
              <w:rPr>
                <w:rFonts w:ascii="Arial" w:hAnsi="Arial" w:cs="Arial"/>
                <w:color w:val="000000" w:themeColor="text1"/>
                <w:sz w:val="18"/>
                <w:szCs w:val="18"/>
              </w:rPr>
              <w:t>e</w:t>
            </w:r>
            <w:r>
              <w:rPr>
                <w:rFonts w:ascii="Arial" w:hAnsi="Arial" w:cs="Arial"/>
                <w:color w:val="000000" w:themeColor="text1"/>
                <w:sz w:val="18"/>
                <w:szCs w:val="18"/>
              </w:rPr>
              <w:t>) below</w:t>
            </w:r>
          </w:p>
        </w:tc>
      </w:tr>
      <w:tr w:rsidR="00F3128E" w:rsidRPr="009305B8" w14:paraId="6659870A" w14:textId="77777777" w:rsidTr="00FB1B31">
        <w:trPr>
          <w:cantSplit/>
        </w:trPr>
        <w:tc>
          <w:tcPr>
            <w:tcW w:w="1333" w:type="dxa"/>
          </w:tcPr>
          <w:p w14:paraId="11BD4246" w14:textId="5C3263FE" w:rsidR="00F3128E" w:rsidRDefault="00F3128E" w:rsidP="007323F7">
            <w:pPr>
              <w:rPr>
                <w:rFonts w:ascii="Arial" w:hAnsi="Arial" w:cs="Arial"/>
                <w:sz w:val="18"/>
                <w:szCs w:val="18"/>
              </w:rPr>
            </w:pPr>
            <w:r>
              <w:rPr>
                <w:rFonts w:ascii="Arial" w:hAnsi="Arial" w:cs="Arial"/>
                <w:sz w:val="18"/>
                <w:szCs w:val="18"/>
              </w:rPr>
              <w:t>AASB 2022-8</w:t>
            </w:r>
          </w:p>
        </w:tc>
        <w:tc>
          <w:tcPr>
            <w:tcW w:w="1276" w:type="dxa"/>
          </w:tcPr>
          <w:p w14:paraId="24A44522" w14:textId="2D42438F" w:rsidR="00F3128E" w:rsidRDefault="00F3128E" w:rsidP="007323F7">
            <w:pPr>
              <w:rPr>
                <w:rFonts w:ascii="Arial" w:hAnsi="Arial" w:cs="Arial"/>
                <w:sz w:val="18"/>
                <w:szCs w:val="18"/>
              </w:rPr>
            </w:pPr>
            <w:r>
              <w:rPr>
                <w:rFonts w:ascii="Arial" w:hAnsi="Arial" w:cs="Arial"/>
                <w:sz w:val="18"/>
                <w:szCs w:val="18"/>
              </w:rPr>
              <w:t>15 Dec 2022</w:t>
            </w:r>
          </w:p>
        </w:tc>
        <w:tc>
          <w:tcPr>
            <w:tcW w:w="1417" w:type="dxa"/>
          </w:tcPr>
          <w:p w14:paraId="4CFCEAB0" w14:textId="6ED9D352" w:rsidR="00F3128E" w:rsidRPr="00B82B1C" w:rsidRDefault="0032735F" w:rsidP="007323F7">
            <w:pPr>
              <w:rPr>
                <w:rFonts w:ascii="Arial" w:hAnsi="Arial" w:cs="Arial"/>
                <w:sz w:val="18"/>
                <w:szCs w:val="18"/>
              </w:rPr>
            </w:pPr>
            <w:r>
              <w:rPr>
                <w:rFonts w:ascii="Arial" w:hAnsi="Arial" w:cs="Arial"/>
                <w:sz w:val="18"/>
                <w:szCs w:val="18"/>
              </w:rPr>
              <w:t>F2023L00014</w:t>
            </w:r>
          </w:p>
        </w:tc>
        <w:tc>
          <w:tcPr>
            <w:tcW w:w="1276" w:type="dxa"/>
          </w:tcPr>
          <w:p w14:paraId="1DC44AC4" w14:textId="21A5EDCE" w:rsidR="00F3128E" w:rsidRDefault="0032735F" w:rsidP="007323F7">
            <w:pPr>
              <w:rPr>
                <w:rFonts w:ascii="Arial" w:hAnsi="Arial" w:cs="Arial"/>
                <w:sz w:val="18"/>
                <w:szCs w:val="18"/>
              </w:rPr>
            </w:pPr>
            <w:r>
              <w:rPr>
                <w:rFonts w:ascii="Arial" w:hAnsi="Arial" w:cs="Arial"/>
                <w:sz w:val="18"/>
                <w:szCs w:val="18"/>
              </w:rPr>
              <w:t>31 Dec 2022</w:t>
            </w:r>
          </w:p>
        </w:tc>
        <w:tc>
          <w:tcPr>
            <w:tcW w:w="2552" w:type="dxa"/>
          </w:tcPr>
          <w:p w14:paraId="0E74F91A" w14:textId="18D69848" w:rsidR="00F3128E" w:rsidRPr="00015164" w:rsidRDefault="0032735F" w:rsidP="007323F7">
            <w:pPr>
              <w:rPr>
                <w:rFonts w:ascii="Arial" w:hAnsi="Arial" w:cs="Arial"/>
                <w:i/>
                <w:color w:val="000000" w:themeColor="text1"/>
                <w:sz w:val="18"/>
                <w:szCs w:val="18"/>
              </w:rPr>
            </w:pPr>
            <w:r>
              <w:rPr>
                <w:rFonts w:ascii="Arial" w:hAnsi="Arial" w:cs="Arial"/>
                <w:i/>
                <w:sz w:val="18"/>
                <w:szCs w:val="18"/>
              </w:rPr>
              <w:t xml:space="preserve">(beginning) </w:t>
            </w:r>
            <w:r>
              <w:rPr>
                <w:rFonts w:ascii="Arial" w:hAnsi="Arial" w:cs="Arial"/>
                <w:sz w:val="18"/>
                <w:szCs w:val="18"/>
              </w:rPr>
              <w:t>1 Jan 2023</w:t>
            </w:r>
          </w:p>
        </w:tc>
        <w:tc>
          <w:tcPr>
            <w:tcW w:w="1275" w:type="dxa"/>
          </w:tcPr>
          <w:p w14:paraId="38852141" w14:textId="6A23DCE4" w:rsidR="00F3128E" w:rsidRDefault="00A366E4" w:rsidP="007323F7">
            <w:pPr>
              <w:rPr>
                <w:rFonts w:ascii="Arial" w:hAnsi="Arial" w:cs="Arial"/>
                <w:color w:val="000000" w:themeColor="text1"/>
                <w:sz w:val="18"/>
                <w:szCs w:val="18"/>
              </w:rPr>
            </w:pPr>
            <w:r>
              <w:rPr>
                <w:rFonts w:ascii="Arial" w:hAnsi="Arial" w:cs="Arial"/>
                <w:color w:val="000000" w:themeColor="text1"/>
                <w:sz w:val="18"/>
                <w:szCs w:val="18"/>
              </w:rPr>
              <w:t>s</w:t>
            </w:r>
            <w:r w:rsidR="0032735F">
              <w:rPr>
                <w:rFonts w:ascii="Arial" w:hAnsi="Arial" w:cs="Arial"/>
                <w:color w:val="000000" w:themeColor="text1"/>
                <w:sz w:val="18"/>
                <w:szCs w:val="18"/>
              </w:rPr>
              <w:t>ee (f) below</w:t>
            </w:r>
          </w:p>
        </w:tc>
      </w:tr>
      <w:tr w:rsidR="00763C72" w:rsidRPr="009305B8" w14:paraId="054F720F" w14:textId="77777777" w:rsidTr="00FB1B31">
        <w:trPr>
          <w:cantSplit/>
        </w:trPr>
        <w:tc>
          <w:tcPr>
            <w:tcW w:w="1333" w:type="dxa"/>
          </w:tcPr>
          <w:p w14:paraId="6EEDB00C" w14:textId="55EF856D" w:rsidR="00763C72" w:rsidRDefault="00763C72" w:rsidP="007323F7">
            <w:pPr>
              <w:rPr>
                <w:rFonts w:ascii="Arial" w:hAnsi="Arial" w:cs="Arial"/>
                <w:sz w:val="18"/>
                <w:szCs w:val="18"/>
              </w:rPr>
            </w:pPr>
            <w:r>
              <w:rPr>
                <w:rFonts w:ascii="Arial" w:hAnsi="Arial" w:cs="Arial"/>
                <w:sz w:val="18"/>
                <w:szCs w:val="18"/>
              </w:rPr>
              <w:t>AASB 2022-9</w:t>
            </w:r>
          </w:p>
        </w:tc>
        <w:tc>
          <w:tcPr>
            <w:tcW w:w="1276" w:type="dxa"/>
          </w:tcPr>
          <w:p w14:paraId="2F87A2CA" w14:textId="27C0B600" w:rsidR="00763C72" w:rsidRDefault="00763C72" w:rsidP="007323F7">
            <w:pPr>
              <w:rPr>
                <w:rFonts w:ascii="Arial" w:hAnsi="Arial" w:cs="Arial"/>
                <w:sz w:val="18"/>
                <w:szCs w:val="18"/>
              </w:rPr>
            </w:pPr>
            <w:r>
              <w:rPr>
                <w:rFonts w:ascii="Arial" w:hAnsi="Arial" w:cs="Arial"/>
                <w:sz w:val="18"/>
                <w:szCs w:val="18"/>
              </w:rPr>
              <w:t>15 Dec 2022</w:t>
            </w:r>
          </w:p>
        </w:tc>
        <w:tc>
          <w:tcPr>
            <w:tcW w:w="1417" w:type="dxa"/>
          </w:tcPr>
          <w:p w14:paraId="017CDE8D" w14:textId="0648BBF2" w:rsidR="00763C72" w:rsidRDefault="00763C72" w:rsidP="007323F7">
            <w:pPr>
              <w:rPr>
                <w:rFonts w:ascii="Arial" w:hAnsi="Arial" w:cs="Arial"/>
                <w:sz w:val="18"/>
                <w:szCs w:val="18"/>
              </w:rPr>
            </w:pPr>
            <w:r>
              <w:rPr>
                <w:rFonts w:ascii="Arial" w:hAnsi="Arial" w:cs="Arial"/>
                <w:sz w:val="18"/>
                <w:szCs w:val="18"/>
              </w:rPr>
              <w:t>F2023L0001</w:t>
            </w:r>
            <w:r w:rsidR="00A366E4">
              <w:rPr>
                <w:rFonts w:ascii="Arial" w:hAnsi="Arial" w:cs="Arial"/>
                <w:sz w:val="18"/>
                <w:szCs w:val="18"/>
              </w:rPr>
              <w:t>5</w:t>
            </w:r>
          </w:p>
        </w:tc>
        <w:tc>
          <w:tcPr>
            <w:tcW w:w="1276" w:type="dxa"/>
          </w:tcPr>
          <w:p w14:paraId="2E727F6C" w14:textId="74E0CC86" w:rsidR="00763C72" w:rsidRDefault="00A366E4" w:rsidP="007323F7">
            <w:pPr>
              <w:rPr>
                <w:rFonts w:ascii="Arial" w:hAnsi="Arial" w:cs="Arial"/>
                <w:sz w:val="18"/>
                <w:szCs w:val="18"/>
              </w:rPr>
            </w:pPr>
            <w:r>
              <w:rPr>
                <w:rFonts w:ascii="Arial" w:hAnsi="Arial" w:cs="Arial"/>
                <w:sz w:val="18"/>
                <w:szCs w:val="18"/>
              </w:rPr>
              <w:t>30 June 2026</w:t>
            </w:r>
          </w:p>
        </w:tc>
        <w:tc>
          <w:tcPr>
            <w:tcW w:w="2552" w:type="dxa"/>
          </w:tcPr>
          <w:p w14:paraId="798F0E8D" w14:textId="1958C006" w:rsidR="00763C72" w:rsidRDefault="00A366E4" w:rsidP="007323F7">
            <w:pPr>
              <w:rPr>
                <w:rFonts w:ascii="Arial" w:hAnsi="Arial" w:cs="Arial"/>
                <w:i/>
                <w:sz w:val="18"/>
                <w:szCs w:val="18"/>
              </w:rPr>
            </w:pPr>
            <w:r w:rsidRPr="00015164">
              <w:rPr>
                <w:rFonts w:ascii="Arial" w:hAnsi="Arial" w:cs="Arial"/>
                <w:i/>
                <w:color w:val="000000" w:themeColor="text1"/>
                <w:sz w:val="18"/>
                <w:szCs w:val="18"/>
              </w:rPr>
              <w:t>(beginning)</w:t>
            </w:r>
            <w:r w:rsidRPr="00015164">
              <w:rPr>
                <w:rFonts w:ascii="Arial" w:hAnsi="Arial" w:cs="Arial"/>
                <w:color w:val="000000" w:themeColor="text1"/>
                <w:sz w:val="18"/>
                <w:szCs w:val="18"/>
              </w:rPr>
              <w:t xml:space="preserve"> 1</w:t>
            </w:r>
            <w:r>
              <w:rPr>
                <w:rFonts w:ascii="Arial" w:hAnsi="Arial" w:cs="Arial"/>
                <w:color w:val="000000" w:themeColor="text1"/>
                <w:sz w:val="18"/>
                <w:szCs w:val="18"/>
              </w:rPr>
              <w:t xml:space="preserve"> Jul 2026</w:t>
            </w:r>
          </w:p>
        </w:tc>
        <w:tc>
          <w:tcPr>
            <w:tcW w:w="1275" w:type="dxa"/>
          </w:tcPr>
          <w:p w14:paraId="002E2509" w14:textId="51583238" w:rsidR="00763C72" w:rsidRDefault="00A366E4" w:rsidP="007323F7">
            <w:pPr>
              <w:rPr>
                <w:rFonts w:ascii="Arial" w:hAnsi="Arial" w:cs="Arial"/>
                <w:color w:val="000000" w:themeColor="text1"/>
                <w:sz w:val="18"/>
                <w:szCs w:val="18"/>
              </w:rPr>
            </w:pPr>
            <w:r>
              <w:rPr>
                <w:rFonts w:ascii="Arial" w:hAnsi="Arial" w:cs="Arial"/>
                <w:color w:val="000000" w:themeColor="text1"/>
                <w:sz w:val="18"/>
                <w:szCs w:val="18"/>
              </w:rPr>
              <w:t>not</w:t>
            </w:r>
            <w:r w:rsidR="00BA3322">
              <w:rPr>
                <w:rFonts w:ascii="Arial" w:hAnsi="Arial" w:cs="Arial"/>
                <w:color w:val="000000" w:themeColor="text1"/>
                <w:sz w:val="18"/>
                <w:szCs w:val="18"/>
              </w:rPr>
              <w:t xml:space="preserve"> compiled</w:t>
            </w:r>
            <w:r>
              <w:rPr>
                <w:rFonts w:ascii="Arial" w:hAnsi="Arial" w:cs="Arial"/>
                <w:color w:val="000000" w:themeColor="text1"/>
                <w:sz w:val="18"/>
                <w:szCs w:val="18"/>
              </w:rPr>
              <w:t>*</w:t>
            </w:r>
          </w:p>
        </w:tc>
      </w:tr>
    </w:tbl>
    <w:p w14:paraId="0BB2EA7D" w14:textId="1364A6AB" w:rsidR="00990B1F" w:rsidRPr="00475196" w:rsidRDefault="00990B1F" w:rsidP="00825C51">
      <w:pPr>
        <w:pStyle w:val="IASBNormalnpara"/>
        <w:spacing w:before="240"/>
        <w:ind w:left="510" w:hanging="510"/>
        <w:rPr>
          <w:sz w:val="16"/>
          <w:szCs w:val="16"/>
        </w:rPr>
      </w:pPr>
      <w:r w:rsidRPr="00475196">
        <w:rPr>
          <w:sz w:val="16"/>
          <w:szCs w:val="16"/>
        </w:rPr>
        <w:t>*</w:t>
      </w:r>
      <w:r w:rsidRPr="00475196">
        <w:rPr>
          <w:sz w:val="16"/>
          <w:szCs w:val="16"/>
        </w:rPr>
        <w:tab/>
      </w:r>
      <w:r w:rsidRPr="000F7488">
        <w:rPr>
          <w:sz w:val="16"/>
          <w:szCs w:val="16"/>
        </w:rPr>
        <w:t>The amendments made by this Standard are not included in this compilation, which presents the prin</w:t>
      </w:r>
      <w:r>
        <w:rPr>
          <w:sz w:val="16"/>
          <w:szCs w:val="16"/>
        </w:rPr>
        <w:t xml:space="preserve">cipal Standard as applicable to </w:t>
      </w:r>
      <w:r w:rsidRPr="000F7488">
        <w:rPr>
          <w:sz w:val="16"/>
          <w:szCs w:val="16"/>
        </w:rPr>
        <w:t xml:space="preserve">annual periods beginning on or after </w:t>
      </w:r>
      <w:r w:rsidR="00A366E4" w:rsidRPr="00387762">
        <w:rPr>
          <w:sz w:val="16"/>
          <w:szCs w:val="16"/>
        </w:rPr>
        <w:fldChar w:fldCharType="begin"/>
      </w:r>
      <w:r w:rsidR="00A366E4" w:rsidRPr="00387762">
        <w:rPr>
          <w:sz w:val="16"/>
          <w:szCs w:val="16"/>
        </w:rPr>
        <w:instrText xml:space="preserve"> REF \* charformat ApplyDateCompile  \* MERGEFORMAT </w:instrText>
      </w:r>
      <w:r w:rsidR="00A366E4" w:rsidRPr="00387762">
        <w:rPr>
          <w:sz w:val="16"/>
          <w:szCs w:val="16"/>
        </w:rPr>
        <w:fldChar w:fldCharType="separate"/>
      </w:r>
      <w:r w:rsidR="004E444B" w:rsidRPr="004E444B" w:rsidDel="001D073E">
        <w:rPr>
          <w:sz w:val="16"/>
          <w:szCs w:val="16"/>
        </w:rPr>
        <w:t xml:space="preserve">1 </w:t>
      </w:r>
      <w:r w:rsidR="004E444B" w:rsidRPr="004E444B">
        <w:rPr>
          <w:sz w:val="16"/>
          <w:szCs w:val="16"/>
        </w:rPr>
        <w:t>January 2023 but before 1 July 2026</w:t>
      </w:r>
      <w:r w:rsidR="00A366E4" w:rsidRPr="00387762">
        <w:rPr>
          <w:sz w:val="16"/>
          <w:szCs w:val="16"/>
        </w:rPr>
        <w:fldChar w:fldCharType="end"/>
      </w:r>
      <w:r w:rsidR="001261BF">
        <w:rPr>
          <w:sz w:val="16"/>
          <w:szCs w:val="16"/>
        </w:rPr>
        <w:t>.</w:t>
      </w:r>
    </w:p>
    <w:p w14:paraId="0BB2EA7E" w14:textId="77777777" w:rsidR="00047152" w:rsidRDefault="005D3E84" w:rsidP="00A61D7C">
      <w:pPr>
        <w:pStyle w:val="IASBNormalnpara"/>
        <w:numPr>
          <w:ilvl w:val="0"/>
          <w:numId w:val="2"/>
        </w:numPr>
        <w:spacing w:before="60"/>
        <w:ind w:left="510" w:hanging="510"/>
        <w:rPr>
          <w:sz w:val="16"/>
          <w:szCs w:val="16"/>
        </w:rPr>
      </w:pPr>
      <w:r>
        <w:rPr>
          <w:sz w:val="16"/>
          <w:szCs w:val="16"/>
        </w:rPr>
        <w:t>Entities may elect to apply this Standard to annual periods beginning after 24 July 2014 but before 1 January 2018.</w:t>
      </w:r>
    </w:p>
    <w:p w14:paraId="0BB2EA7F" w14:textId="77777777" w:rsidR="00047152" w:rsidRDefault="00047152" w:rsidP="00A61D7C">
      <w:pPr>
        <w:pStyle w:val="IASBNormalnpara"/>
        <w:numPr>
          <w:ilvl w:val="0"/>
          <w:numId w:val="2"/>
        </w:numPr>
        <w:spacing w:before="60"/>
        <w:ind w:left="510" w:hanging="510"/>
        <w:rPr>
          <w:sz w:val="16"/>
          <w:szCs w:val="16"/>
        </w:rPr>
      </w:pPr>
      <w:r>
        <w:rPr>
          <w:sz w:val="16"/>
          <w:szCs w:val="16"/>
        </w:rPr>
        <w:t>Entities may elect to apply this Standard to annual periods beginning before 1 January 2017.</w:t>
      </w:r>
    </w:p>
    <w:p w14:paraId="0BB2EA80" w14:textId="7483A942" w:rsidR="001954A0" w:rsidRDefault="001954A0" w:rsidP="00A61D7C">
      <w:pPr>
        <w:pStyle w:val="IASBNormalnpara"/>
        <w:numPr>
          <w:ilvl w:val="0"/>
          <w:numId w:val="2"/>
        </w:numPr>
        <w:spacing w:before="60"/>
        <w:ind w:left="510" w:hanging="510"/>
        <w:rPr>
          <w:sz w:val="16"/>
          <w:szCs w:val="16"/>
        </w:rPr>
      </w:pPr>
      <w:r w:rsidRPr="00991A25">
        <w:rPr>
          <w:sz w:val="16"/>
          <w:szCs w:val="16"/>
        </w:rPr>
        <w:t>AASB 2016-7 deferred the effective date of AASB 15 (and its consequential amendments in AASB 2014-5) for not-for-profit entities to annual reporting periods beginning on or after 1 January 2019, instead of 1 January 2018.  However, earlier application of A</w:t>
      </w:r>
      <w:r>
        <w:rPr>
          <w:sz w:val="16"/>
          <w:szCs w:val="16"/>
        </w:rPr>
        <w:t>ASB 136</w:t>
      </w:r>
      <w:r w:rsidRPr="00991A25">
        <w:rPr>
          <w:sz w:val="16"/>
          <w:szCs w:val="16"/>
        </w:rPr>
        <w:t xml:space="preserve"> (2015) incorporating the text that relates to AASB 15 is permitted, provided that AASB 15 is also applied</w:t>
      </w:r>
      <w:r w:rsidR="001261BF">
        <w:rPr>
          <w:sz w:val="16"/>
          <w:szCs w:val="16"/>
        </w:rPr>
        <w:t>.</w:t>
      </w:r>
    </w:p>
    <w:p w14:paraId="35C74531" w14:textId="5CC2FA83" w:rsidR="00223423" w:rsidRDefault="0045751D" w:rsidP="00A61D7C">
      <w:pPr>
        <w:pStyle w:val="IASBNormalnpara"/>
        <w:numPr>
          <w:ilvl w:val="0"/>
          <w:numId w:val="2"/>
        </w:numPr>
        <w:spacing w:before="60"/>
        <w:ind w:left="510" w:hanging="510"/>
        <w:rPr>
          <w:sz w:val="16"/>
          <w:szCs w:val="16"/>
        </w:rPr>
      </w:pPr>
      <w:r w:rsidRPr="0045751D">
        <w:rPr>
          <w:sz w:val="16"/>
          <w:szCs w:val="16"/>
        </w:rPr>
        <w:t xml:space="preserve">Entities may elect to apply this Standard to annual periods beginning before 1 January 2023, provided that AASB 9 </w:t>
      </w:r>
      <w:r w:rsidRPr="001C133E">
        <w:rPr>
          <w:i/>
          <w:iCs/>
          <w:sz w:val="16"/>
          <w:szCs w:val="16"/>
        </w:rPr>
        <w:t>Financial Instruments</w:t>
      </w:r>
      <w:r w:rsidRPr="0045751D">
        <w:rPr>
          <w:sz w:val="16"/>
          <w:szCs w:val="16"/>
        </w:rPr>
        <w:t xml:space="preserve"> is also applied on or before the date of initial application of AASB 17</w:t>
      </w:r>
      <w:r w:rsidR="00223423" w:rsidDel="00295813">
        <w:rPr>
          <w:sz w:val="16"/>
          <w:szCs w:val="16"/>
        </w:rPr>
        <w:t>.</w:t>
      </w:r>
      <w:r w:rsidR="0079193D">
        <w:rPr>
          <w:sz w:val="16"/>
          <w:szCs w:val="16"/>
        </w:rPr>
        <w:t xml:space="preserve"> (AASB 17 was amended prior to its mandatory application by various amending </w:t>
      </w:r>
      <w:r w:rsidR="0079193D" w:rsidRPr="00103B8E">
        <w:rPr>
          <w:sz w:val="16"/>
          <w:szCs w:val="16"/>
        </w:rPr>
        <w:t xml:space="preserve">Standards, including AASB 2022-8 </w:t>
      </w:r>
      <w:r w:rsidR="0079193D" w:rsidRPr="00103B8E">
        <w:rPr>
          <w:i/>
          <w:sz w:val="16"/>
          <w:szCs w:val="16"/>
        </w:rPr>
        <w:t>Amendments to Australian Accounting Standards – Insurance Contracts: Consequential Amendments</w:t>
      </w:r>
      <w:r w:rsidR="0079193D">
        <w:rPr>
          <w:iCs/>
          <w:sz w:val="16"/>
          <w:szCs w:val="16"/>
        </w:rPr>
        <w:t xml:space="preserve">, made by the </w:t>
      </w:r>
      <w:r w:rsidR="004E444B">
        <w:rPr>
          <w:iCs/>
          <w:sz w:val="16"/>
          <w:szCs w:val="16"/>
        </w:rPr>
        <w:t xml:space="preserve">AASB </w:t>
      </w:r>
      <w:r w:rsidR="0079193D">
        <w:rPr>
          <w:iCs/>
          <w:sz w:val="16"/>
          <w:szCs w:val="16"/>
        </w:rPr>
        <w:t>on 15 December 2022.)</w:t>
      </w:r>
    </w:p>
    <w:p w14:paraId="4BB2F838" w14:textId="6EE3D74B" w:rsidR="001261BF" w:rsidRDefault="001261BF" w:rsidP="00A61D7C">
      <w:pPr>
        <w:pStyle w:val="IASBNormalnpara"/>
        <w:numPr>
          <w:ilvl w:val="0"/>
          <w:numId w:val="2"/>
        </w:numPr>
        <w:spacing w:before="60"/>
        <w:ind w:left="510" w:hanging="510"/>
        <w:rPr>
          <w:sz w:val="16"/>
          <w:szCs w:val="16"/>
        </w:rPr>
      </w:pPr>
      <w:r>
        <w:rPr>
          <w:sz w:val="16"/>
          <w:szCs w:val="16"/>
        </w:rPr>
        <w:t>Entities may elect to apply this Standard to annual periods beginning before 1 July 2021.</w:t>
      </w:r>
    </w:p>
    <w:p w14:paraId="0C0EF10C" w14:textId="1624C304" w:rsidR="0032735F" w:rsidRDefault="0079193D" w:rsidP="00A61D7C">
      <w:pPr>
        <w:pStyle w:val="IASBNormalnpara"/>
        <w:numPr>
          <w:ilvl w:val="0"/>
          <w:numId w:val="2"/>
        </w:numPr>
        <w:spacing w:before="60"/>
        <w:ind w:left="510" w:hanging="510"/>
        <w:rPr>
          <w:sz w:val="16"/>
          <w:szCs w:val="16"/>
        </w:rPr>
      </w:pPr>
      <w:r>
        <w:rPr>
          <w:iCs/>
          <w:sz w:val="16"/>
          <w:szCs w:val="16"/>
        </w:rPr>
        <w:t>Entities</w:t>
      </w:r>
      <w:r w:rsidR="00202788">
        <w:rPr>
          <w:iCs/>
          <w:sz w:val="16"/>
          <w:szCs w:val="16"/>
        </w:rPr>
        <w:t xml:space="preserve"> may elect to apply this Standard to annual periods beginning before</w:t>
      </w:r>
      <w:r w:rsidR="00202788" w:rsidDel="002A13F3">
        <w:rPr>
          <w:iCs/>
          <w:sz w:val="16"/>
          <w:szCs w:val="16"/>
        </w:rPr>
        <w:t xml:space="preserve"> 1</w:t>
      </w:r>
      <w:r w:rsidR="004E444B">
        <w:rPr>
          <w:iCs/>
          <w:sz w:val="16"/>
          <w:szCs w:val="16"/>
        </w:rPr>
        <w:t xml:space="preserve"> </w:t>
      </w:r>
      <w:r w:rsidR="00202788">
        <w:rPr>
          <w:iCs/>
          <w:sz w:val="16"/>
          <w:szCs w:val="16"/>
        </w:rPr>
        <w:t>J</w:t>
      </w:r>
      <w:r w:rsidR="00ED2FF9">
        <w:rPr>
          <w:iCs/>
          <w:sz w:val="16"/>
          <w:szCs w:val="16"/>
        </w:rPr>
        <w:t>anuary</w:t>
      </w:r>
      <w:r w:rsidR="00202788">
        <w:rPr>
          <w:iCs/>
          <w:sz w:val="16"/>
          <w:szCs w:val="16"/>
        </w:rPr>
        <w:t xml:space="preserve"> 202</w:t>
      </w:r>
      <w:r w:rsidR="00ED2FF9">
        <w:rPr>
          <w:iCs/>
          <w:sz w:val="16"/>
          <w:szCs w:val="16"/>
        </w:rPr>
        <w:t>3</w:t>
      </w:r>
      <w:r w:rsidR="00202788">
        <w:rPr>
          <w:iCs/>
          <w:sz w:val="16"/>
          <w:szCs w:val="16"/>
        </w:rPr>
        <w:t xml:space="preserve">. </w:t>
      </w:r>
    </w:p>
    <w:p w14:paraId="0BB2EA81" w14:textId="77777777" w:rsidR="00047152" w:rsidRPr="000D35D8" w:rsidRDefault="00047152" w:rsidP="00047152">
      <w:pPr>
        <w:pStyle w:val="IASBSectionTitle2NonInd"/>
      </w:pPr>
      <w:r w:rsidRPr="00B663AC">
        <w:t>Table of amendments</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incorporated in the compiled Standard"/>
        <w:tblDescription w:val="Details of each amendment, that is, paragraph affected, how it has been affected (for example, added, amended or deleted), and the source Standard and paragraph or page number.&#10;"/>
      </w:tblPr>
      <w:tblGrid>
        <w:gridCol w:w="3005"/>
        <w:gridCol w:w="2835"/>
        <w:gridCol w:w="3288"/>
      </w:tblGrid>
      <w:tr w:rsidR="00047152" w:rsidRPr="004F447D" w14:paraId="0BB2EA85" w14:textId="77777777" w:rsidTr="006A3368">
        <w:trPr>
          <w:tblHeader/>
        </w:trPr>
        <w:tc>
          <w:tcPr>
            <w:tcW w:w="3005" w:type="dxa"/>
          </w:tcPr>
          <w:p w14:paraId="0BB2EA82" w14:textId="77777777" w:rsidR="00047152" w:rsidRPr="004F447D" w:rsidRDefault="00047152" w:rsidP="00FB1B31">
            <w:pPr>
              <w:pStyle w:val="NoNumBold1"/>
              <w:rPr>
                <w:rFonts w:ascii="Arial" w:hAnsi="Arial" w:cs="Arial"/>
                <w:sz w:val="18"/>
                <w:szCs w:val="18"/>
              </w:rPr>
            </w:pPr>
            <w:r w:rsidRPr="004F447D">
              <w:rPr>
                <w:rFonts w:ascii="Arial" w:hAnsi="Arial" w:cs="Arial"/>
                <w:sz w:val="18"/>
                <w:szCs w:val="18"/>
              </w:rPr>
              <w:t>Paragraph affected</w:t>
            </w:r>
          </w:p>
        </w:tc>
        <w:tc>
          <w:tcPr>
            <w:tcW w:w="2835" w:type="dxa"/>
          </w:tcPr>
          <w:p w14:paraId="0BB2EA83" w14:textId="77777777" w:rsidR="00047152" w:rsidRPr="004F447D" w:rsidRDefault="00047152" w:rsidP="00FB1B31">
            <w:pPr>
              <w:pStyle w:val="NoNumBold1"/>
              <w:rPr>
                <w:rFonts w:ascii="Arial" w:hAnsi="Arial" w:cs="Arial"/>
                <w:sz w:val="18"/>
                <w:szCs w:val="18"/>
              </w:rPr>
            </w:pPr>
            <w:r w:rsidRPr="004F447D">
              <w:rPr>
                <w:rFonts w:ascii="Arial" w:hAnsi="Arial" w:cs="Arial"/>
                <w:sz w:val="18"/>
                <w:szCs w:val="18"/>
              </w:rPr>
              <w:t>How affected</w:t>
            </w:r>
          </w:p>
        </w:tc>
        <w:tc>
          <w:tcPr>
            <w:tcW w:w="3288" w:type="dxa"/>
          </w:tcPr>
          <w:p w14:paraId="0BB2EA84" w14:textId="77777777" w:rsidR="00047152" w:rsidRPr="004F447D" w:rsidRDefault="00047152" w:rsidP="00FB1B31">
            <w:pPr>
              <w:pStyle w:val="NoNumBold1"/>
              <w:rPr>
                <w:rFonts w:ascii="Arial" w:hAnsi="Arial" w:cs="Arial"/>
                <w:sz w:val="18"/>
                <w:szCs w:val="18"/>
              </w:rPr>
            </w:pPr>
            <w:r w:rsidRPr="004F447D">
              <w:rPr>
                <w:rFonts w:ascii="Arial" w:hAnsi="Arial" w:cs="Arial"/>
                <w:sz w:val="18"/>
                <w:szCs w:val="18"/>
              </w:rPr>
              <w:t>By … [paragraph</w:t>
            </w:r>
            <w:r>
              <w:rPr>
                <w:rFonts w:ascii="Arial" w:hAnsi="Arial" w:cs="Arial"/>
                <w:sz w:val="18"/>
                <w:szCs w:val="18"/>
              </w:rPr>
              <w:t>/page</w:t>
            </w:r>
            <w:r w:rsidRPr="004F447D">
              <w:rPr>
                <w:rFonts w:ascii="Arial" w:hAnsi="Arial" w:cs="Arial"/>
                <w:sz w:val="18"/>
                <w:szCs w:val="18"/>
              </w:rPr>
              <w:t>]</w:t>
            </w:r>
          </w:p>
        </w:tc>
      </w:tr>
      <w:tr w:rsidR="00153E81" w:rsidRPr="004F447D" w14:paraId="66968B87" w14:textId="77777777" w:rsidTr="006A3368">
        <w:tc>
          <w:tcPr>
            <w:tcW w:w="3005" w:type="dxa"/>
          </w:tcPr>
          <w:p w14:paraId="2BD3CF24" w14:textId="77777777" w:rsidR="00153E81" w:rsidRDefault="00153E81" w:rsidP="003418AD">
            <w:pPr>
              <w:ind w:left="142" w:hanging="142"/>
              <w:rPr>
                <w:rFonts w:ascii="Arial" w:hAnsi="Arial" w:cs="Arial"/>
                <w:sz w:val="18"/>
                <w:szCs w:val="18"/>
              </w:rPr>
            </w:pPr>
            <w:r>
              <w:rPr>
                <w:rFonts w:ascii="Arial" w:hAnsi="Arial" w:cs="Arial"/>
                <w:sz w:val="18"/>
                <w:szCs w:val="18"/>
              </w:rPr>
              <w:t>2</w:t>
            </w:r>
          </w:p>
        </w:tc>
        <w:tc>
          <w:tcPr>
            <w:tcW w:w="2835" w:type="dxa"/>
          </w:tcPr>
          <w:p w14:paraId="77BE6853" w14:textId="77777777" w:rsidR="00153E81" w:rsidRDefault="00153E81" w:rsidP="003418AD">
            <w:pPr>
              <w:rPr>
                <w:rFonts w:ascii="Arial" w:hAnsi="Arial" w:cs="Arial"/>
                <w:sz w:val="18"/>
                <w:szCs w:val="18"/>
              </w:rPr>
            </w:pPr>
            <w:r>
              <w:rPr>
                <w:rFonts w:ascii="Arial" w:hAnsi="Arial" w:cs="Arial"/>
                <w:sz w:val="18"/>
                <w:szCs w:val="18"/>
              </w:rPr>
              <w:t>amended</w:t>
            </w:r>
          </w:p>
        </w:tc>
        <w:tc>
          <w:tcPr>
            <w:tcW w:w="3288" w:type="dxa"/>
          </w:tcPr>
          <w:p w14:paraId="5EB52698" w14:textId="6F30BD4B" w:rsidR="00153E81" w:rsidRDefault="00153E81" w:rsidP="003418AD">
            <w:pPr>
              <w:rPr>
                <w:rFonts w:ascii="Arial" w:hAnsi="Arial" w:cs="Arial"/>
                <w:sz w:val="18"/>
                <w:szCs w:val="18"/>
              </w:rPr>
            </w:pPr>
            <w:r>
              <w:rPr>
                <w:rFonts w:ascii="Arial" w:hAnsi="Arial" w:cs="Arial"/>
                <w:sz w:val="18"/>
                <w:szCs w:val="18"/>
              </w:rPr>
              <w:t xml:space="preserve">AASB 17 [page </w:t>
            </w:r>
            <w:r w:rsidR="004E444B">
              <w:rPr>
                <w:rFonts w:ascii="Arial" w:hAnsi="Arial" w:cs="Arial"/>
                <w:sz w:val="18"/>
                <w:szCs w:val="18"/>
              </w:rPr>
              <w:t>80</w:t>
            </w:r>
            <w:r>
              <w:rPr>
                <w:rFonts w:ascii="Arial" w:hAnsi="Arial" w:cs="Arial"/>
                <w:sz w:val="18"/>
                <w:szCs w:val="18"/>
              </w:rPr>
              <w:t>]</w:t>
            </w:r>
          </w:p>
        </w:tc>
      </w:tr>
      <w:tr w:rsidR="00FB7106" w:rsidRPr="004F447D" w14:paraId="414ED4BD" w14:textId="77777777" w:rsidTr="006A3368">
        <w:tc>
          <w:tcPr>
            <w:tcW w:w="3005" w:type="dxa"/>
          </w:tcPr>
          <w:p w14:paraId="52779845" w14:textId="77777777" w:rsidR="00FB7106" w:rsidRDefault="00FB7106" w:rsidP="003418AD">
            <w:pPr>
              <w:ind w:left="142" w:hanging="142"/>
              <w:rPr>
                <w:rFonts w:ascii="Arial" w:hAnsi="Arial" w:cs="Arial"/>
                <w:sz w:val="18"/>
                <w:szCs w:val="18"/>
              </w:rPr>
            </w:pPr>
            <w:r>
              <w:rPr>
                <w:rFonts w:ascii="Arial" w:hAnsi="Arial" w:cs="Arial"/>
                <w:sz w:val="18"/>
                <w:szCs w:val="18"/>
              </w:rPr>
              <w:t>Aus2.1</w:t>
            </w:r>
          </w:p>
        </w:tc>
        <w:tc>
          <w:tcPr>
            <w:tcW w:w="2835" w:type="dxa"/>
          </w:tcPr>
          <w:p w14:paraId="51197412" w14:textId="77777777" w:rsidR="00FB7106" w:rsidRDefault="00FB7106" w:rsidP="003418AD">
            <w:pPr>
              <w:rPr>
                <w:rFonts w:ascii="Arial" w:hAnsi="Arial" w:cs="Arial"/>
                <w:sz w:val="18"/>
                <w:szCs w:val="18"/>
              </w:rPr>
            </w:pPr>
            <w:r>
              <w:rPr>
                <w:rFonts w:ascii="Arial" w:hAnsi="Arial" w:cs="Arial"/>
                <w:sz w:val="18"/>
                <w:szCs w:val="18"/>
              </w:rPr>
              <w:t>added</w:t>
            </w:r>
          </w:p>
        </w:tc>
        <w:tc>
          <w:tcPr>
            <w:tcW w:w="3288" w:type="dxa"/>
          </w:tcPr>
          <w:p w14:paraId="5886AAAF" w14:textId="77777777" w:rsidR="00FB7106" w:rsidRDefault="00FB7106" w:rsidP="003418AD">
            <w:pPr>
              <w:rPr>
                <w:rFonts w:ascii="Arial" w:hAnsi="Arial" w:cs="Arial"/>
                <w:sz w:val="18"/>
                <w:szCs w:val="18"/>
              </w:rPr>
            </w:pPr>
            <w:r>
              <w:rPr>
                <w:rFonts w:ascii="Arial" w:hAnsi="Arial" w:cs="Arial"/>
                <w:sz w:val="18"/>
                <w:szCs w:val="18"/>
              </w:rPr>
              <w:t>AASB 2022-8 [page 12]</w:t>
            </w:r>
          </w:p>
        </w:tc>
      </w:tr>
      <w:tr w:rsidR="00047152" w:rsidRPr="004F447D" w14:paraId="0BB2EA89" w14:textId="77777777" w:rsidTr="006A3368">
        <w:tc>
          <w:tcPr>
            <w:tcW w:w="3005" w:type="dxa"/>
          </w:tcPr>
          <w:p w14:paraId="0BB2EA86" w14:textId="77777777" w:rsidR="00047152" w:rsidRPr="004F447D" w:rsidRDefault="007418E9" w:rsidP="00FB1B31">
            <w:pPr>
              <w:ind w:left="142" w:hanging="142"/>
              <w:rPr>
                <w:rFonts w:ascii="Arial" w:hAnsi="Arial" w:cs="Arial"/>
                <w:sz w:val="18"/>
                <w:szCs w:val="18"/>
              </w:rPr>
            </w:pPr>
            <w:r>
              <w:rPr>
                <w:rFonts w:ascii="Arial" w:hAnsi="Arial" w:cs="Arial"/>
                <w:sz w:val="18"/>
                <w:szCs w:val="18"/>
              </w:rPr>
              <w:t>Aus5.1</w:t>
            </w:r>
          </w:p>
        </w:tc>
        <w:tc>
          <w:tcPr>
            <w:tcW w:w="2835" w:type="dxa"/>
          </w:tcPr>
          <w:p w14:paraId="0BB2EA87" w14:textId="77777777" w:rsidR="00047152" w:rsidRPr="004F447D" w:rsidRDefault="007418E9" w:rsidP="00FB1B31">
            <w:pPr>
              <w:rPr>
                <w:rFonts w:ascii="Arial" w:hAnsi="Arial" w:cs="Arial"/>
                <w:sz w:val="18"/>
                <w:szCs w:val="18"/>
              </w:rPr>
            </w:pPr>
            <w:r>
              <w:rPr>
                <w:rFonts w:ascii="Arial" w:hAnsi="Arial" w:cs="Arial"/>
                <w:sz w:val="18"/>
                <w:szCs w:val="18"/>
              </w:rPr>
              <w:t>added</w:t>
            </w:r>
          </w:p>
        </w:tc>
        <w:tc>
          <w:tcPr>
            <w:tcW w:w="3288" w:type="dxa"/>
          </w:tcPr>
          <w:p w14:paraId="0BB2EA88" w14:textId="77777777" w:rsidR="00047152" w:rsidRPr="004F447D" w:rsidRDefault="00DE6CEE" w:rsidP="00FB1B31">
            <w:pPr>
              <w:rPr>
                <w:rFonts w:ascii="Arial" w:hAnsi="Arial" w:cs="Arial"/>
                <w:sz w:val="18"/>
                <w:szCs w:val="18"/>
              </w:rPr>
            </w:pPr>
            <w:r>
              <w:rPr>
                <w:rFonts w:ascii="Arial" w:hAnsi="Arial" w:cs="Arial"/>
                <w:sz w:val="18"/>
                <w:szCs w:val="18"/>
              </w:rPr>
              <w:t>AASB 2016-4 [7]</w:t>
            </w:r>
          </w:p>
        </w:tc>
      </w:tr>
      <w:tr w:rsidR="00047152" w:rsidRPr="004F447D" w14:paraId="0BB2EA8D" w14:textId="77777777" w:rsidTr="006A3368">
        <w:tc>
          <w:tcPr>
            <w:tcW w:w="3005" w:type="dxa"/>
          </w:tcPr>
          <w:p w14:paraId="0BB2EA8A" w14:textId="77777777" w:rsidR="00047152" w:rsidRDefault="00DE6CEE" w:rsidP="00FB1B31">
            <w:pPr>
              <w:ind w:left="142" w:hanging="142"/>
              <w:rPr>
                <w:rFonts w:ascii="Arial" w:hAnsi="Arial" w:cs="Arial"/>
                <w:sz w:val="18"/>
                <w:szCs w:val="18"/>
              </w:rPr>
            </w:pPr>
            <w:r>
              <w:rPr>
                <w:rFonts w:ascii="Arial" w:hAnsi="Arial" w:cs="Arial"/>
                <w:sz w:val="18"/>
                <w:szCs w:val="18"/>
              </w:rPr>
              <w:t>Aus6.1</w:t>
            </w:r>
          </w:p>
        </w:tc>
        <w:tc>
          <w:tcPr>
            <w:tcW w:w="2835" w:type="dxa"/>
          </w:tcPr>
          <w:p w14:paraId="0BB2EA8B" w14:textId="77777777" w:rsidR="00047152" w:rsidRDefault="00DE6CEE" w:rsidP="00FB1B31">
            <w:pPr>
              <w:rPr>
                <w:rFonts w:ascii="Arial" w:hAnsi="Arial" w:cs="Arial"/>
                <w:sz w:val="18"/>
                <w:szCs w:val="18"/>
              </w:rPr>
            </w:pPr>
            <w:r>
              <w:rPr>
                <w:rFonts w:ascii="Arial" w:hAnsi="Arial" w:cs="Arial"/>
                <w:sz w:val="18"/>
                <w:szCs w:val="18"/>
              </w:rPr>
              <w:t>deleted</w:t>
            </w:r>
          </w:p>
        </w:tc>
        <w:tc>
          <w:tcPr>
            <w:tcW w:w="3288" w:type="dxa"/>
          </w:tcPr>
          <w:p w14:paraId="0BB2EA8C" w14:textId="77777777" w:rsidR="00047152" w:rsidRPr="004F447D" w:rsidRDefault="00DE6CEE" w:rsidP="00DE6CEE">
            <w:pPr>
              <w:rPr>
                <w:rFonts w:ascii="Arial" w:hAnsi="Arial" w:cs="Arial"/>
                <w:sz w:val="18"/>
                <w:szCs w:val="18"/>
              </w:rPr>
            </w:pPr>
            <w:r>
              <w:rPr>
                <w:rFonts w:ascii="Arial" w:hAnsi="Arial" w:cs="Arial"/>
                <w:sz w:val="18"/>
                <w:szCs w:val="18"/>
              </w:rPr>
              <w:t>AASB 2016-4 [4]</w:t>
            </w:r>
          </w:p>
        </w:tc>
      </w:tr>
      <w:tr w:rsidR="00047152" w:rsidRPr="004F447D" w14:paraId="0BB2EA91" w14:textId="77777777" w:rsidTr="006A3368">
        <w:tc>
          <w:tcPr>
            <w:tcW w:w="3005" w:type="dxa"/>
          </w:tcPr>
          <w:p w14:paraId="0BB2EA8E" w14:textId="77777777" w:rsidR="00047152" w:rsidRDefault="00DE6CEE" w:rsidP="00FB1B31">
            <w:pPr>
              <w:ind w:left="142" w:hanging="142"/>
              <w:rPr>
                <w:rFonts w:ascii="Arial" w:hAnsi="Arial" w:cs="Arial"/>
                <w:sz w:val="18"/>
                <w:szCs w:val="18"/>
              </w:rPr>
            </w:pPr>
            <w:r>
              <w:rPr>
                <w:rFonts w:ascii="Arial" w:hAnsi="Arial" w:cs="Arial"/>
                <w:sz w:val="18"/>
                <w:szCs w:val="18"/>
              </w:rPr>
              <w:t>Aus6.2</w:t>
            </w:r>
          </w:p>
        </w:tc>
        <w:tc>
          <w:tcPr>
            <w:tcW w:w="2835" w:type="dxa"/>
          </w:tcPr>
          <w:p w14:paraId="0BB2EA8F" w14:textId="77777777" w:rsidR="00047152" w:rsidRDefault="00DE6CEE" w:rsidP="00FB1B31">
            <w:pPr>
              <w:rPr>
                <w:rFonts w:ascii="Arial" w:hAnsi="Arial" w:cs="Arial"/>
                <w:sz w:val="18"/>
                <w:szCs w:val="18"/>
              </w:rPr>
            </w:pPr>
            <w:r>
              <w:rPr>
                <w:rFonts w:ascii="Arial" w:hAnsi="Arial" w:cs="Arial"/>
                <w:sz w:val="18"/>
                <w:szCs w:val="18"/>
              </w:rPr>
              <w:t>amended</w:t>
            </w:r>
          </w:p>
        </w:tc>
        <w:tc>
          <w:tcPr>
            <w:tcW w:w="3288" w:type="dxa"/>
          </w:tcPr>
          <w:p w14:paraId="0BB2EA90" w14:textId="77777777" w:rsidR="00047152" w:rsidRPr="004F447D" w:rsidRDefault="00DE6CEE" w:rsidP="00FB1B31">
            <w:pPr>
              <w:rPr>
                <w:rFonts w:ascii="Arial" w:hAnsi="Arial" w:cs="Arial"/>
                <w:sz w:val="18"/>
                <w:szCs w:val="18"/>
              </w:rPr>
            </w:pPr>
            <w:r>
              <w:rPr>
                <w:rFonts w:ascii="Arial" w:hAnsi="Arial" w:cs="Arial"/>
                <w:sz w:val="18"/>
                <w:szCs w:val="18"/>
              </w:rPr>
              <w:t>AASB 2016-4 [5]</w:t>
            </w:r>
          </w:p>
        </w:tc>
      </w:tr>
      <w:tr w:rsidR="00047152" w:rsidRPr="004F447D" w14:paraId="0BB2EA95" w14:textId="77777777" w:rsidTr="006A3368">
        <w:tc>
          <w:tcPr>
            <w:tcW w:w="3005" w:type="dxa"/>
          </w:tcPr>
          <w:p w14:paraId="0BB2EA92" w14:textId="77777777" w:rsidR="00047152" w:rsidRDefault="00DE6CEE" w:rsidP="00FB1B31">
            <w:pPr>
              <w:ind w:left="142" w:hanging="142"/>
              <w:rPr>
                <w:rFonts w:ascii="Arial" w:hAnsi="Arial" w:cs="Arial"/>
                <w:sz w:val="18"/>
                <w:szCs w:val="18"/>
              </w:rPr>
            </w:pPr>
            <w:r>
              <w:rPr>
                <w:rFonts w:ascii="Arial" w:hAnsi="Arial" w:cs="Arial"/>
                <w:sz w:val="18"/>
                <w:szCs w:val="18"/>
              </w:rPr>
              <w:t>Aus32.1-Aus32.2</w:t>
            </w:r>
          </w:p>
        </w:tc>
        <w:tc>
          <w:tcPr>
            <w:tcW w:w="2835" w:type="dxa"/>
          </w:tcPr>
          <w:p w14:paraId="0BB2EA93" w14:textId="77777777" w:rsidR="00047152" w:rsidRDefault="00DE6CEE" w:rsidP="00FB1B31">
            <w:pPr>
              <w:rPr>
                <w:rFonts w:ascii="Arial" w:hAnsi="Arial" w:cs="Arial"/>
                <w:sz w:val="18"/>
                <w:szCs w:val="18"/>
              </w:rPr>
            </w:pPr>
            <w:r>
              <w:rPr>
                <w:rFonts w:ascii="Arial" w:hAnsi="Arial" w:cs="Arial"/>
                <w:sz w:val="18"/>
                <w:szCs w:val="18"/>
              </w:rPr>
              <w:t>deleted</w:t>
            </w:r>
          </w:p>
        </w:tc>
        <w:tc>
          <w:tcPr>
            <w:tcW w:w="3288" w:type="dxa"/>
          </w:tcPr>
          <w:p w14:paraId="0BB2EA94" w14:textId="77777777" w:rsidR="00047152" w:rsidRDefault="00DE6CEE" w:rsidP="00DE6CEE">
            <w:pPr>
              <w:rPr>
                <w:rFonts w:ascii="Arial" w:hAnsi="Arial" w:cs="Arial"/>
                <w:sz w:val="18"/>
                <w:szCs w:val="18"/>
              </w:rPr>
            </w:pPr>
            <w:r>
              <w:rPr>
                <w:rFonts w:ascii="Arial" w:hAnsi="Arial" w:cs="Arial"/>
                <w:sz w:val="18"/>
                <w:szCs w:val="18"/>
              </w:rPr>
              <w:t>AASB 2016-4 [6]</w:t>
            </w:r>
          </w:p>
        </w:tc>
      </w:tr>
      <w:tr w:rsidR="00153E81" w:rsidRPr="004F447D" w14:paraId="10E4456E" w14:textId="77777777" w:rsidTr="006A3368">
        <w:tc>
          <w:tcPr>
            <w:tcW w:w="3005" w:type="dxa"/>
          </w:tcPr>
          <w:p w14:paraId="68784332" w14:textId="77777777" w:rsidR="00153E81" w:rsidRDefault="00153E81" w:rsidP="003418AD">
            <w:pPr>
              <w:ind w:left="142" w:hanging="142"/>
              <w:rPr>
                <w:rFonts w:ascii="Arial" w:hAnsi="Arial" w:cs="Arial"/>
                <w:sz w:val="18"/>
                <w:szCs w:val="18"/>
              </w:rPr>
            </w:pPr>
            <w:r>
              <w:rPr>
                <w:rFonts w:ascii="Arial" w:hAnsi="Arial" w:cs="Arial"/>
                <w:sz w:val="18"/>
                <w:szCs w:val="18"/>
              </w:rPr>
              <w:t>140N</w:t>
            </w:r>
          </w:p>
        </w:tc>
        <w:tc>
          <w:tcPr>
            <w:tcW w:w="2835" w:type="dxa"/>
          </w:tcPr>
          <w:p w14:paraId="68B6B346" w14:textId="77777777" w:rsidR="00153E81" w:rsidRDefault="00153E81" w:rsidP="003418AD">
            <w:pPr>
              <w:rPr>
                <w:rFonts w:ascii="Arial" w:hAnsi="Arial" w:cs="Arial"/>
                <w:sz w:val="18"/>
                <w:szCs w:val="18"/>
              </w:rPr>
            </w:pPr>
            <w:r>
              <w:rPr>
                <w:rFonts w:ascii="Arial" w:hAnsi="Arial" w:cs="Arial"/>
                <w:sz w:val="18"/>
                <w:szCs w:val="18"/>
              </w:rPr>
              <w:t>added</w:t>
            </w:r>
          </w:p>
        </w:tc>
        <w:tc>
          <w:tcPr>
            <w:tcW w:w="3288" w:type="dxa"/>
          </w:tcPr>
          <w:p w14:paraId="440863AA" w14:textId="43270E64" w:rsidR="00153E81" w:rsidRDefault="00153E81" w:rsidP="003418AD">
            <w:pPr>
              <w:rPr>
                <w:rFonts w:ascii="Arial" w:hAnsi="Arial" w:cs="Arial"/>
                <w:sz w:val="18"/>
                <w:szCs w:val="18"/>
              </w:rPr>
            </w:pPr>
            <w:r>
              <w:rPr>
                <w:rFonts w:ascii="Arial" w:hAnsi="Arial" w:cs="Arial"/>
                <w:sz w:val="18"/>
                <w:szCs w:val="18"/>
              </w:rPr>
              <w:t xml:space="preserve">AASB 17 [page </w:t>
            </w:r>
            <w:r w:rsidR="004E444B">
              <w:rPr>
                <w:rFonts w:ascii="Arial" w:hAnsi="Arial" w:cs="Arial"/>
                <w:sz w:val="18"/>
                <w:szCs w:val="18"/>
              </w:rPr>
              <w:t>80</w:t>
            </w:r>
            <w:r>
              <w:rPr>
                <w:rFonts w:ascii="Arial" w:hAnsi="Arial" w:cs="Arial"/>
                <w:sz w:val="18"/>
                <w:szCs w:val="18"/>
              </w:rPr>
              <w:t>]</w:t>
            </w:r>
          </w:p>
        </w:tc>
      </w:tr>
      <w:tr w:rsidR="001F1785" w:rsidRPr="004F447D" w14:paraId="739A9BDD" w14:textId="77777777" w:rsidTr="006A3368">
        <w:tc>
          <w:tcPr>
            <w:tcW w:w="3005" w:type="dxa"/>
          </w:tcPr>
          <w:p w14:paraId="3309D259" w14:textId="4AED2632" w:rsidR="001F1785" w:rsidRDefault="001F1785" w:rsidP="001F1785">
            <w:pPr>
              <w:ind w:left="142" w:hanging="142"/>
              <w:rPr>
                <w:rFonts w:ascii="Arial" w:hAnsi="Arial" w:cs="Arial"/>
                <w:sz w:val="18"/>
                <w:szCs w:val="18"/>
              </w:rPr>
            </w:pPr>
            <w:r>
              <w:rPr>
                <w:rFonts w:ascii="Arial" w:hAnsi="Arial" w:cs="Arial"/>
                <w:sz w:val="18"/>
                <w:szCs w:val="18"/>
              </w:rPr>
              <w:t>Aus141.1</w:t>
            </w:r>
          </w:p>
        </w:tc>
        <w:tc>
          <w:tcPr>
            <w:tcW w:w="2835" w:type="dxa"/>
          </w:tcPr>
          <w:p w14:paraId="1AD76C29" w14:textId="7F42E46D" w:rsidR="001F1785" w:rsidRDefault="001F1785" w:rsidP="001F1785">
            <w:pPr>
              <w:rPr>
                <w:rFonts w:ascii="Arial" w:hAnsi="Arial" w:cs="Arial"/>
                <w:sz w:val="18"/>
                <w:szCs w:val="18"/>
              </w:rPr>
            </w:pPr>
            <w:r>
              <w:rPr>
                <w:rFonts w:ascii="Arial" w:hAnsi="Arial" w:cs="Arial"/>
                <w:sz w:val="18"/>
                <w:szCs w:val="18"/>
              </w:rPr>
              <w:t>repealed</w:t>
            </w:r>
          </w:p>
        </w:tc>
        <w:tc>
          <w:tcPr>
            <w:tcW w:w="3288" w:type="dxa"/>
          </w:tcPr>
          <w:p w14:paraId="555D33D7" w14:textId="34FCAABF" w:rsidR="001F1785" w:rsidRDefault="001F1785" w:rsidP="001F1785">
            <w:pPr>
              <w:rPr>
                <w:rFonts w:ascii="Arial" w:hAnsi="Arial" w:cs="Arial"/>
                <w:sz w:val="18"/>
                <w:szCs w:val="18"/>
              </w:rPr>
            </w:pPr>
            <w:r w:rsidRPr="00B228F0">
              <w:rPr>
                <w:rFonts w:ascii="Arial" w:hAnsi="Arial" w:cs="Arial"/>
                <w:i/>
                <w:iCs/>
                <w:sz w:val="18"/>
                <w:szCs w:val="18"/>
              </w:rPr>
              <w:t>Legislation Act 2003</w:t>
            </w:r>
            <w:r>
              <w:rPr>
                <w:rFonts w:ascii="Arial" w:hAnsi="Arial" w:cs="Arial"/>
                <w:sz w:val="18"/>
                <w:szCs w:val="18"/>
              </w:rPr>
              <w:t>, s. 48D</w:t>
            </w:r>
          </w:p>
        </w:tc>
      </w:tr>
      <w:tr w:rsidR="001F1785" w:rsidRPr="004F447D" w14:paraId="60E9DA44" w14:textId="77777777" w:rsidTr="006A3368">
        <w:tc>
          <w:tcPr>
            <w:tcW w:w="3005" w:type="dxa"/>
          </w:tcPr>
          <w:p w14:paraId="676368E2" w14:textId="41A674BC" w:rsidR="001F1785" w:rsidRDefault="001F1785" w:rsidP="001F1785">
            <w:pPr>
              <w:ind w:left="142" w:hanging="142"/>
              <w:rPr>
                <w:rFonts w:ascii="Arial" w:hAnsi="Arial" w:cs="Arial"/>
                <w:sz w:val="18"/>
                <w:szCs w:val="18"/>
              </w:rPr>
            </w:pPr>
            <w:r>
              <w:rPr>
                <w:rFonts w:ascii="Arial" w:hAnsi="Arial" w:cs="Arial"/>
                <w:sz w:val="18"/>
                <w:szCs w:val="18"/>
              </w:rPr>
              <w:t>Appendix</w:t>
            </w:r>
            <w:r w:rsidR="00331C1F">
              <w:rPr>
                <w:rFonts w:ascii="Arial" w:hAnsi="Arial" w:cs="Arial"/>
                <w:sz w:val="18"/>
                <w:szCs w:val="18"/>
              </w:rPr>
              <w:t xml:space="preserve"> E</w:t>
            </w:r>
          </w:p>
        </w:tc>
        <w:tc>
          <w:tcPr>
            <w:tcW w:w="2835" w:type="dxa"/>
          </w:tcPr>
          <w:p w14:paraId="6BBBA4E1" w14:textId="55576E20" w:rsidR="001F1785" w:rsidRDefault="00331C1F" w:rsidP="001F1785">
            <w:pPr>
              <w:rPr>
                <w:rFonts w:ascii="Arial" w:hAnsi="Arial" w:cs="Arial"/>
                <w:sz w:val="18"/>
                <w:szCs w:val="18"/>
              </w:rPr>
            </w:pPr>
            <w:r>
              <w:rPr>
                <w:rFonts w:ascii="Arial" w:hAnsi="Arial" w:cs="Arial"/>
                <w:sz w:val="18"/>
                <w:szCs w:val="18"/>
              </w:rPr>
              <w:t>replaced</w:t>
            </w:r>
          </w:p>
        </w:tc>
        <w:tc>
          <w:tcPr>
            <w:tcW w:w="3288" w:type="dxa"/>
          </w:tcPr>
          <w:p w14:paraId="18B13278" w14:textId="4225832C" w:rsidR="001F1785" w:rsidRDefault="00331C1F" w:rsidP="001F1785">
            <w:pPr>
              <w:rPr>
                <w:rFonts w:ascii="Arial" w:hAnsi="Arial" w:cs="Arial"/>
                <w:sz w:val="18"/>
                <w:szCs w:val="18"/>
              </w:rPr>
            </w:pPr>
            <w:r>
              <w:rPr>
                <w:rFonts w:ascii="Arial" w:hAnsi="Arial" w:cs="Arial"/>
                <w:sz w:val="18"/>
                <w:szCs w:val="18"/>
              </w:rPr>
              <w:t xml:space="preserve">AASB 1060 [page </w:t>
            </w:r>
            <w:r w:rsidR="00793C9A">
              <w:rPr>
                <w:rFonts w:ascii="Arial" w:hAnsi="Arial" w:cs="Arial"/>
                <w:sz w:val="18"/>
                <w:szCs w:val="18"/>
              </w:rPr>
              <w:t>65]</w:t>
            </w:r>
          </w:p>
        </w:tc>
      </w:tr>
    </w:tbl>
    <w:p w14:paraId="0BB2EA96" w14:textId="77777777" w:rsidR="006762CD" w:rsidRDefault="006762CD" w:rsidP="00D6620F">
      <w:pPr>
        <w:pStyle w:val="IASBNormalnpara"/>
      </w:pPr>
    </w:p>
    <w:p w14:paraId="0BB2EA97" w14:textId="77777777" w:rsidR="002D17D4" w:rsidRDefault="002D17D4" w:rsidP="00E344F1">
      <w:pPr>
        <w:spacing w:before="100"/>
        <w:sectPr w:rsidR="002D17D4" w:rsidSect="00BE4AE5">
          <w:footerReference w:type="default" r:id="rId42"/>
          <w:pgSz w:w="11907" w:h="16839"/>
          <w:pgMar w:top="1440" w:right="1440" w:bottom="1440" w:left="1440" w:header="720" w:footer="720" w:gutter="0"/>
          <w:cols w:space="708"/>
          <w:docGrid w:linePitch="360"/>
        </w:sectPr>
      </w:pPr>
    </w:p>
    <w:p w14:paraId="0BB2EA98" w14:textId="77777777" w:rsidR="002D17D4" w:rsidRDefault="002D17D4" w:rsidP="004D6E4E">
      <w:pPr>
        <w:pStyle w:val="ConvSectionTitle"/>
      </w:pPr>
      <w:r>
        <w:lastRenderedPageBreak/>
        <w:t xml:space="preserve">Deleted </w:t>
      </w:r>
      <w:r>
        <w:fldChar w:fldCharType="begin" w:fldLock="1"/>
      </w:r>
      <w:r>
        <w:instrText xml:space="preserve"> REF IntnlType \* charformat</w:instrText>
      </w:r>
      <w:r>
        <w:fldChar w:fldCharType="separate"/>
      </w:r>
      <w:r w:rsidR="007D3BF0">
        <w:t>IAS</w:t>
      </w:r>
      <w:r>
        <w:fldChar w:fldCharType="end"/>
      </w:r>
      <w:r>
        <w:t xml:space="preserve"> </w:t>
      </w:r>
      <w:r>
        <w:fldChar w:fldCharType="begin" w:fldLock="1"/>
      </w:r>
      <w:r>
        <w:instrText xml:space="preserve"> REF IntnlNo \* charformat</w:instrText>
      </w:r>
      <w:r>
        <w:fldChar w:fldCharType="separate"/>
      </w:r>
      <w:r w:rsidR="007D3BF0">
        <w:t>36</w:t>
      </w:r>
      <w:r>
        <w:fldChar w:fldCharType="end"/>
      </w:r>
      <w:r w:rsidR="00082E81">
        <w:t xml:space="preserve"> t</w:t>
      </w:r>
      <w:r>
        <w:t>ext</w:t>
      </w:r>
    </w:p>
    <w:p w14:paraId="0BB2EA99" w14:textId="77777777" w:rsidR="002D17D4" w:rsidRDefault="002D17D4" w:rsidP="004D6E4E">
      <w:pPr>
        <w:pStyle w:val="IASBNote"/>
      </w:pPr>
      <w:r>
        <w:t xml:space="preserve">Deleted </w:t>
      </w:r>
      <w:r>
        <w:fldChar w:fldCharType="begin" w:fldLock="1"/>
      </w:r>
      <w:r>
        <w:instrText xml:space="preserve"> REF IntnlType \* charformat</w:instrText>
      </w:r>
      <w:r>
        <w:fldChar w:fldCharType="separate"/>
      </w:r>
      <w:r w:rsidR="007D3BF0">
        <w:t>IAS</w:t>
      </w:r>
      <w:r>
        <w:fldChar w:fldCharType="end"/>
      </w:r>
      <w:r>
        <w:t xml:space="preserve"> </w:t>
      </w:r>
      <w:r>
        <w:fldChar w:fldCharType="begin" w:fldLock="1"/>
      </w:r>
      <w:r>
        <w:instrText xml:space="preserve"> REF IntnlNo \* charformat</w:instrText>
      </w:r>
      <w:r>
        <w:fldChar w:fldCharType="separate"/>
      </w:r>
      <w:r w:rsidR="007D3BF0">
        <w:t>36</w:t>
      </w:r>
      <w:r>
        <w:fldChar w:fldCharType="end"/>
      </w:r>
      <w:r>
        <w:t xml:space="preserve"> text is not part of </w:t>
      </w:r>
      <w:r>
        <w:fldChar w:fldCharType="begin" w:fldLock="1"/>
      </w:r>
      <w:r>
        <w:instrText xml:space="preserve"> REF DocTypeAbb \* charformat</w:instrText>
      </w:r>
      <w:r>
        <w:fldChar w:fldCharType="separate"/>
      </w:r>
      <w:r w:rsidR="007D3BF0">
        <w:t>AASB</w:t>
      </w:r>
      <w:r>
        <w:fldChar w:fldCharType="end"/>
      </w:r>
      <w:r>
        <w:t xml:space="preserve"> </w:t>
      </w:r>
      <w:r>
        <w:fldChar w:fldCharType="begin" w:fldLock="1"/>
      </w:r>
      <w:r>
        <w:instrText xml:space="preserve"> REF DocNo \* charformat</w:instrText>
      </w:r>
      <w:r>
        <w:fldChar w:fldCharType="separate"/>
      </w:r>
      <w:r w:rsidR="007D3BF0">
        <w:t>136</w:t>
      </w:r>
      <w:r>
        <w:fldChar w:fldCharType="end"/>
      </w:r>
      <w:r>
        <w:t>.</w:t>
      </w:r>
    </w:p>
    <w:p w14:paraId="0BB2EA9A" w14:textId="77777777" w:rsidR="004D6E4E" w:rsidRDefault="004D6E4E" w:rsidP="004D6E4E">
      <w:pPr>
        <w:pStyle w:val="IASBNormalnpara"/>
      </w:pPr>
      <w:r>
        <w:t>139</w:t>
      </w:r>
      <w:r>
        <w:tab/>
        <w:t xml:space="preserve">An entity shall apply this Standard: </w:t>
      </w:r>
    </w:p>
    <w:p w14:paraId="0BB2EA9B" w14:textId="77777777" w:rsidR="004D6E4E" w:rsidRDefault="004D6E4E" w:rsidP="004D6E4E">
      <w:pPr>
        <w:pStyle w:val="IASBNormalnparaL1"/>
      </w:pPr>
      <w:r>
        <w:t>(a)</w:t>
      </w:r>
      <w:r>
        <w:tab/>
        <w:t>to goodwill and intangible assets acquired in business combinations for which the agreement date is on or after 31 March 2004; and</w:t>
      </w:r>
    </w:p>
    <w:p w14:paraId="0BB2EA9C" w14:textId="77777777" w:rsidR="004D6E4E" w:rsidRDefault="004D6E4E" w:rsidP="004D6E4E">
      <w:pPr>
        <w:pStyle w:val="IASBNormalnparaL1"/>
      </w:pPr>
      <w:r>
        <w:t>(b)</w:t>
      </w:r>
      <w:r>
        <w:tab/>
        <w:t>to all other assets prospectively from the beginning of the first annual period beginning on or after 31 March 2004.</w:t>
      </w:r>
    </w:p>
    <w:p w14:paraId="0BB2EA9D" w14:textId="77777777" w:rsidR="004D6E4E" w:rsidRDefault="004D6E4E" w:rsidP="004D6E4E">
      <w:pPr>
        <w:pStyle w:val="IASBNormalnpara"/>
      </w:pPr>
      <w:r>
        <w:t>140</w:t>
      </w:r>
      <w:r>
        <w:tab/>
        <w:t>Entities to which paragraph 139 applies are encouraged to apply the requirements of this Standard before the effective dates specified in paragraph 139. However, if an entity applies this Standard before those effective dates, it also shall apply IFRS 3 and IAS 38 (as revised in 2004) at the same time.</w:t>
      </w:r>
    </w:p>
    <w:p w14:paraId="0BB2EA9E" w14:textId="77777777" w:rsidR="00AD5389" w:rsidDel="004D6859" w:rsidRDefault="00AD5389" w:rsidP="00AD5389">
      <w:pPr>
        <w:pStyle w:val="IASBNormalnpara"/>
      </w:pPr>
      <w:r w:rsidDel="004D6859">
        <w:t>140A</w:t>
      </w:r>
      <w:r w:rsidDel="004D6859">
        <w:tab/>
        <w:t xml:space="preserve">IAS 1 </w:t>
      </w:r>
      <w:r w:rsidDel="004D6859">
        <w:rPr>
          <w:i/>
        </w:rPr>
        <w:t>Presentation of Financial Statements</w:t>
      </w:r>
      <w:r w:rsidDel="004D6859">
        <w:t xml:space="preserve"> (as revised in 2007) amended the terminology used throughout IFRSs. In addition it amended paragraphs 61, 120, 126 and 129. An entity shall apply those amendments for annual periods beginning on or after 1 January 2009. If an entity applies IAS 1 (revised 2007) for an earlier period, the amendments shall be applied for that earlier period.</w:t>
      </w:r>
    </w:p>
    <w:p w14:paraId="0BB2EA9F" w14:textId="77777777" w:rsidR="00AD5389" w:rsidDel="004D6859" w:rsidRDefault="00AD5389" w:rsidP="00AD5389">
      <w:pPr>
        <w:pStyle w:val="IASBNormalnpara"/>
      </w:pPr>
      <w:r w:rsidDel="004D6859">
        <w:t>140B</w:t>
      </w:r>
      <w:r w:rsidDel="004D6859">
        <w:tab/>
        <w:t>IFRS 3 (as revised in 2008) amended paragraphs 65, 81, 85 and 139, deleted paragraphs 91–95 and 138 and added Appendix C. An entity shall apply those amendments for annual periods beginning on or after 1 July 2009. If an entity applies IFRS 3 (revised 2008) for an earlier period, the amendments shall also be applied for that earlier period.</w:t>
      </w:r>
    </w:p>
    <w:p w14:paraId="0BB2EAA0" w14:textId="77777777" w:rsidR="00AD5389" w:rsidDel="004D6859" w:rsidRDefault="00AD5389" w:rsidP="00AD5389">
      <w:pPr>
        <w:pStyle w:val="IASBNormalnpara"/>
      </w:pPr>
      <w:r w:rsidDel="004D6859">
        <w:t>140C</w:t>
      </w:r>
      <w:r w:rsidDel="004D6859">
        <w:tab/>
        <w:t xml:space="preserve">Paragraph 134(e) was amended by </w:t>
      </w:r>
      <w:r w:rsidDel="004D6859">
        <w:rPr>
          <w:i/>
        </w:rPr>
        <w:t>Improvements to IFRSs</w:t>
      </w:r>
      <w:r w:rsidDel="004D6859">
        <w:t xml:space="preserve"> issued in May 2008. An entity shall apply that amendment for annual periods beginning on or after 1 January 2009. Earlier application is permitted. If an entity applies the amendment for an earlier period it shall disclose that fact.</w:t>
      </w:r>
    </w:p>
    <w:p w14:paraId="0BB2EAA1" w14:textId="77777777" w:rsidR="003652D6" w:rsidDel="004D6859" w:rsidRDefault="003652D6" w:rsidP="003652D6">
      <w:pPr>
        <w:pStyle w:val="IASBNormalnpara"/>
      </w:pPr>
      <w:r w:rsidDel="004D6859">
        <w:t>140H</w:t>
      </w:r>
      <w:r w:rsidDel="004D6859">
        <w:tab/>
        <w:t>IFRS 10 and IFRS 11, issued in May 2011, amended paragraph 4, the heading above paragraph 12(h) and paragraph 12(h). An entity shall apply those amendments when it applies IFRS 10 and IFRS 11.</w:t>
      </w:r>
    </w:p>
    <w:p w14:paraId="0BB2EAA2" w14:textId="77777777" w:rsidR="003652D6" w:rsidDel="004D6859" w:rsidRDefault="003652D6" w:rsidP="003652D6">
      <w:pPr>
        <w:pStyle w:val="IASBNormalnpara"/>
      </w:pPr>
      <w:r w:rsidDel="004D6859">
        <w:t>140I</w:t>
      </w:r>
      <w:r w:rsidDel="004D6859">
        <w:tab/>
        <w:t>IFRS 13, issued in May 2011, amended paragraphs 5, 6, 12, 20, 22, 28, 78, 105, 111, 130 and 134, deleted paragraphs 25–27 and added paragraph 53A. An entity shall apply those amendments when it applies IFRS</w:t>
      </w:r>
      <w:r>
        <w:t> </w:t>
      </w:r>
      <w:r w:rsidDel="004D6859">
        <w:t>13.</w:t>
      </w:r>
    </w:p>
    <w:p w14:paraId="0BB2EAA3" w14:textId="77777777" w:rsidR="003652D6" w:rsidDel="004D6859" w:rsidRDefault="003652D6" w:rsidP="003652D6">
      <w:pPr>
        <w:pStyle w:val="IASBNormalnpara"/>
      </w:pPr>
      <w:r w:rsidDel="004D6859">
        <w:t>140J</w:t>
      </w:r>
      <w:r w:rsidDel="004D6859">
        <w:tab/>
        <w:t>In May 2013 paragraphs 130 and 134 and the heading above paragraph 138 were amended. An entity shall apply those amendments retrospectively for annual periods beginning on or after 1 January 2014. Earlier application is permitted. An entity shall not apply those amendments in periods (including comparative periods) in which it does not also apply IFRS 13.</w:t>
      </w:r>
    </w:p>
    <w:p w14:paraId="0BB2EAA4" w14:textId="3271E563" w:rsidR="005C41AA" w:rsidRDefault="005C41AA" w:rsidP="005C41AA">
      <w:pPr>
        <w:pStyle w:val="IASBNormalnpara"/>
      </w:pPr>
      <w:r w:rsidDel="00AD7570">
        <w:t>141</w:t>
      </w:r>
      <w:r w:rsidDel="00AD7570">
        <w:tab/>
        <w:t xml:space="preserve">This Standard supersedes IAS 36 </w:t>
      </w:r>
      <w:r w:rsidDel="00AD7570">
        <w:rPr>
          <w:i/>
        </w:rPr>
        <w:t>Impairment of Assets</w:t>
      </w:r>
      <w:r w:rsidDel="00AD7570">
        <w:t xml:space="preserve"> (issued in 1998).</w:t>
      </w:r>
    </w:p>
    <w:p w14:paraId="5679C9E0" w14:textId="77777777" w:rsidR="006310D1" w:rsidDel="00AD7570" w:rsidRDefault="006310D1" w:rsidP="005C41AA">
      <w:pPr>
        <w:pStyle w:val="IASBNormalnpara"/>
      </w:pPr>
    </w:p>
    <w:p w14:paraId="0BB2EAA5" w14:textId="77777777" w:rsidR="0053305F" w:rsidRDefault="0053305F" w:rsidP="006310D1">
      <w:pPr>
        <w:pStyle w:val="IASBNormal"/>
        <w:spacing w:after="0"/>
        <w:sectPr w:rsidR="0053305F" w:rsidSect="00143D3A">
          <w:footerReference w:type="default" r:id="rId43"/>
          <w:headerReference w:type="first" r:id="rId44"/>
          <w:footerReference w:type="first" r:id="rId45"/>
          <w:pgSz w:w="11907" w:h="16839" w:code="9"/>
          <w:pgMar w:top="1440" w:right="1440" w:bottom="1440" w:left="1440" w:header="720" w:footer="720" w:gutter="0"/>
          <w:cols w:space="708"/>
          <w:docGrid w:linePitch="360"/>
        </w:sectPr>
      </w:pPr>
    </w:p>
    <w:p w14:paraId="0BB2EAA6" w14:textId="77777777" w:rsidR="0053305F" w:rsidRPr="008C38D0" w:rsidRDefault="0053305F" w:rsidP="0053305F">
      <w:pPr>
        <w:pStyle w:val="ConvSectionTitle"/>
      </w:pPr>
      <w:r w:rsidRPr="008C38D0">
        <w:lastRenderedPageBreak/>
        <w:t>Basis for Conclusions on AASB 2016-4</w:t>
      </w:r>
    </w:p>
    <w:p w14:paraId="0BB2EAA7" w14:textId="77777777" w:rsidR="0053305F" w:rsidRPr="0053305F" w:rsidRDefault="0053305F" w:rsidP="00DE4EFA">
      <w:pPr>
        <w:pStyle w:val="NoNumPlain1"/>
        <w:jc w:val="both"/>
        <w:rPr>
          <w:sz w:val="19"/>
          <w:szCs w:val="19"/>
        </w:rPr>
      </w:pPr>
      <w:r w:rsidRPr="0053305F">
        <w:rPr>
          <w:i/>
          <w:sz w:val="19"/>
          <w:szCs w:val="19"/>
        </w:rPr>
        <w:t xml:space="preserve">This Basis for Conclusions accompanies, but is not part of, AASB 136.  The Basis for Conclusions was originally published with AASB 2016-4 </w:t>
      </w:r>
      <w:r w:rsidRPr="0053305F">
        <w:rPr>
          <w:sz w:val="19"/>
          <w:szCs w:val="19"/>
        </w:rPr>
        <w:t>Amendments to Australian Accounting Standards – Recoverable Amount of Non-Cash-Generating Specialised Assets of Not-for-Profit Entities.</w:t>
      </w:r>
    </w:p>
    <w:p w14:paraId="0BB2EAA8" w14:textId="54A963FB" w:rsidR="0053305F" w:rsidRPr="0053305F" w:rsidRDefault="0053305F" w:rsidP="0053305F">
      <w:pPr>
        <w:pStyle w:val="NumBC1"/>
        <w:spacing w:after="0"/>
        <w:rPr>
          <w:szCs w:val="19"/>
        </w:rPr>
      </w:pPr>
      <w:r w:rsidRPr="0053305F">
        <w:rPr>
          <w:szCs w:val="19"/>
        </w:rPr>
        <w:t xml:space="preserve">This </w:t>
      </w:r>
      <w:r w:rsidR="006310D1" w:rsidRPr="0053305F">
        <w:rPr>
          <w:szCs w:val="19"/>
        </w:rPr>
        <w:t xml:space="preserve">Basis </w:t>
      </w:r>
      <w:r w:rsidRPr="0053305F">
        <w:rPr>
          <w:szCs w:val="19"/>
        </w:rPr>
        <w:t>for Conclusions summarises the Australian Accounting Standards Board’s considerations in reaching the conclusions in Accounting Standard AASB 2016-4</w:t>
      </w:r>
      <w:r w:rsidRPr="0053305F">
        <w:rPr>
          <w:i/>
          <w:szCs w:val="19"/>
        </w:rPr>
        <w:t xml:space="preserve"> Amendments to Australian Accounting Standards – Recoverable Amount of Non-Cash-Generating Specialised Assets of Not-for-Profit Entities</w:t>
      </w:r>
      <w:r w:rsidRPr="0053305F">
        <w:rPr>
          <w:szCs w:val="19"/>
        </w:rPr>
        <w:t>. Individual AASB members gave greater weight to some factors than to others.</w:t>
      </w:r>
    </w:p>
    <w:p w14:paraId="0BB2EAA9" w14:textId="77777777" w:rsidR="0053305F" w:rsidRPr="008C38D0" w:rsidRDefault="0053305F" w:rsidP="00DE4EFA">
      <w:pPr>
        <w:pStyle w:val="Heading2"/>
        <w:pBdr>
          <w:bottom w:val="single" w:sz="4" w:space="1" w:color="auto"/>
        </w:pBdr>
        <w:spacing w:before="400" w:line="240" w:lineRule="auto"/>
      </w:pPr>
      <w:r w:rsidRPr="00DE4EFA">
        <w:rPr>
          <w:rFonts w:ascii="Arial" w:hAnsi="Arial"/>
          <w:sz w:val="26"/>
        </w:rPr>
        <w:t>Background</w:t>
      </w:r>
    </w:p>
    <w:p w14:paraId="0BB2EAAA" w14:textId="77777777" w:rsidR="0053305F" w:rsidRPr="00DE4EFA" w:rsidRDefault="0053305F" w:rsidP="00DE4EFA">
      <w:pPr>
        <w:pStyle w:val="NumBC1"/>
      </w:pPr>
      <w:r w:rsidRPr="008C38D0">
        <w:t xml:space="preserve">Under AASB 136 </w:t>
      </w:r>
      <w:r w:rsidRPr="008C38D0">
        <w:rPr>
          <w:i/>
        </w:rPr>
        <w:t>Impairment of Assets</w:t>
      </w:r>
      <w:r w:rsidRPr="008C38D0">
        <w:t xml:space="preserve"> (July 2004 and August 2015), an impairment loss is the amount by which the carrying amount of an asset or a cash-generating unit exceeds its recoverable amount. The recoverable amount o</w:t>
      </w:r>
      <w:r w:rsidRPr="00DE4EFA">
        <w:t>f an asset or a cash-generating unit is the higher of its fair value less costs of disposal (‘net fair value’) and its value in use.</w:t>
      </w:r>
    </w:p>
    <w:p w14:paraId="0BB2EAAB" w14:textId="77777777" w:rsidR="0053305F" w:rsidRPr="00DE4EFA" w:rsidRDefault="0053305F" w:rsidP="00DE4EFA">
      <w:pPr>
        <w:pStyle w:val="NumBC1"/>
      </w:pPr>
      <w:r w:rsidRPr="00DE4EFA">
        <w:t>Paragraph Aus32.1 to AASB 136, required not-for-profit (NFP) entities to determine the value in use of an asset as its depreciated replacement cost (DRC) when the future economic benefits of the asset are not primarily dependent on the asset’s ability to generate net cash inflows and where the entity would, if deprived of the asset, replace its remaining future economic benefits. Paragraph Aus6.2 to AASB 136 defined DRC as “the current replacement cost of an asset less, where applicable, accumulated depreciation calculated on the basis of such cost to reflect the already consumed or expired future economic benefits of the asset”. Paragraph Aus32.2 explained that “The current replacement cost of an asset is its cost measured by reference to the lowest cost at which the gross future economic benefits of that asset could currently be obtained in the normal course of business”.</w:t>
      </w:r>
    </w:p>
    <w:p w14:paraId="0BB2EAAC" w14:textId="77777777" w:rsidR="0053305F" w:rsidRPr="008C38D0" w:rsidRDefault="0053305F" w:rsidP="00DE4EFA">
      <w:pPr>
        <w:pStyle w:val="NumBC1"/>
      </w:pPr>
      <w:r w:rsidRPr="00DE4EFA">
        <w:t>The AASB previously concluded that the Aus paragraphs were needed in AASB 136 to help ensure impairments are not re</w:t>
      </w:r>
      <w:r w:rsidRPr="008C38D0">
        <w:t>cognised for non-cash-generating assets held by NFP entities when they still embody future economic benefits of a value equal to, or greater than, their carrying amounts. This was based on the view that entities might inappropriately recognise impairment due to the focus of IAS 36 </w:t>
      </w:r>
      <w:r w:rsidRPr="008C38D0">
        <w:rPr>
          <w:i/>
        </w:rPr>
        <w:t>Impairment of Assets</w:t>
      </w:r>
      <w:r w:rsidRPr="008C38D0">
        <w:t>, which is incorporated into AASB 136, on cash-generating assets. The value in use of a non-cash-generating asset based on cash flows would be zero or close to zero and the net fair value of the asset could be regarded as relating to a scrap value for a specialised asset.</w:t>
      </w:r>
    </w:p>
    <w:p w14:paraId="0BB2EAAD" w14:textId="77777777" w:rsidR="0053305F" w:rsidRPr="00DE4EFA" w:rsidRDefault="0053305F" w:rsidP="00DE4EFA">
      <w:pPr>
        <w:pStyle w:val="Heading2"/>
        <w:pBdr>
          <w:bottom w:val="single" w:sz="4" w:space="1" w:color="auto"/>
        </w:pBdr>
        <w:spacing w:before="400" w:line="240" w:lineRule="auto"/>
        <w:rPr>
          <w:rFonts w:ascii="Arial" w:hAnsi="Arial"/>
          <w:sz w:val="26"/>
          <w:szCs w:val="26"/>
        </w:rPr>
      </w:pPr>
      <w:r w:rsidRPr="00DE4EFA">
        <w:rPr>
          <w:rFonts w:ascii="Arial" w:hAnsi="Arial"/>
          <w:sz w:val="26"/>
          <w:szCs w:val="26"/>
        </w:rPr>
        <w:t>The need to issue AASB 2016-4</w:t>
      </w:r>
    </w:p>
    <w:p w14:paraId="0BB2EAAE" w14:textId="77777777" w:rsidR="0053305F" w:rsidRPr="006B1BC5" w:rsidRDefault="0053305F" w:rsidP="006B1BC5">
      <w:pPr>
        <w:pStyle w:val="NumBC1"/>
      </w:pPr>
      <w:r w:rsidRPr="008C38D0">
        <w:t xml:space="preserve">Clarifications were sought by some constituents about the interaction between the notion of DRC for determining the value in use of assets held by NFP entities in the circumstances described in paragraph BC3 and the notion of current replacement cost (CRC) as a measure of the fair value of an asset under the cost approach in AASB 13 </w:t>
      </w:r>
      <w:r w:rsidRPr="008C38D0">
        <w:rPr>
          <w:i/>
        </w:rPr>
        <w:t>Fair Value Measurement</w:t>
      </w:r>
      <w:r w:rsidRPr="008C38D0">
        <w:t>. AASB 13 (paragraphs B8 and B9) identifies the cost appr</w:t>
      </w:r>
      <w:r w:rsidRPr="006B1BC5">
        <w:t>oach as a valuation technique for measuring fair value. Under AASB 13, the cost approach reflects the amount that would be required currently to replace the service capacity of an asset.</w:t>
      </w:r>
    </w:p>
    <w:p w14:paraId="0BB2EAAF" w14:textId="77777777" w:rsidR="0053305F" w:rsidRPr="006B1BC5" w:rsidRDefault="0053305F" w:rsidP="006B1BC5">
      <w:pPr>
        <w:pStyle w:val="NumBC1"/>
      </w:pPr>
      <w:r w:rsidRPr="006B1BC5">
        <w:t xml:space="preserve">Some commentators argued that, consistent with the role of CRC as a measure of fair value under AASB 13 (reflecting the assumptions that market participants would use when pricing the asset), DRC should not be an entity-specific measure of recoverable amount under AASB 136. These commentators supported the objective of the existing requirements of AASB 136 of not basing the recoverable amount of primarily non-cash-generating assets held by NFP entities on discounted cash flows. They also noted that when DRC was included in AASB 116 </w:t>
      </w:r>
      <w:r w:rsidRPr="006B1BC5">
        <w:rPr>
          <w:i/>
        </w:rPr>
        <w:t>Property, Plant and Equipment</w:t>
      </w:r>
      <w:r w:rsidRPr="006B1BC5">
        <w:t xml:space="preserve"> (July 2004), there was ambiguity as to whether it was a measure of fair value or a measure of value in use and that with the publication of AASB 13 and its exposition of the cost approach, it became clear that DRC under the AASB 116 is a measure of fair value as is CRC under AASB 13. Accordingly, for such assets, they argued that DRC should be used to determine fair value as a measure of recoverable amount and noted that its designation as a measure of value in use under AASB 136 might be a source of confusion.</w:t>
      </w:r>
    </w:p>
    <w:p w14:paraId="0BB2EAB0" w14:textId="77777777" w:rsidR="0053305F" w:rsidRPr="008C38D0" w:rsidRDefault="0053305F" w:rsidP="006B1BC5">
      <w:pPr>
        <w:pStyle w:val="NumBC1"/>
      </w:pPr>
      <w:r w:rsidRPr="006B1BC5">
        <w:t xml:space="preserve">Other commentators argued that DRC is identified as a measure of fair value in paragraph 33 to AASB 116 (July 2004) , in </w:t>
      </w:r>
      <w:r w:rsidRPr="008C38D0">
        <w:t xml:space="preserve">cases where there is no market-based evidence of fair value because of the specialised nature of the asset and the item is rarely sold, except as part of a continuing business. They noted that, with the </w:t>
      </w:r>
      <w:r w:rsidRPr="008C38D0">
        <w:lastRenderedPageBreak/>
        <w:t>publication of AASB 13, the cost approach plays a similar role as a measure of fair value when the market and income approaches to valuation are not applicable due to the specialised nature of the asset.</w:t>
      </w:r>
    </w:p>
    <w:p w14:paraId="0BB2EAB1" w14:textId="77777777" w:rsidR="0053305F" w:rsidRPr="006B1BC5" w:rsidRDefault="0053305F" w:rsidP="006B1BC5">
      <w:pPr>
        <w:pStyle w:val="NumBC1"/>
      </w:pPr>
      <w:r w:rsidRPr="008C38D0">
        <w:t>Further comments on the interaction between DRC under AASB 136 and CRC under AASB 13 were sought in AASB outreach with key stakeholders, such as preparers and auditors, and valuers of NFP entities’ assets, particularl</w:t>
      </w:r>
      <w:r w:rsidRPr="006B1BC5">
        <w:t>y in regard to assets held by public sector entities.</w:t>
      </w:r>
    </w:p>
    <w:p w14:paraId="0BB2EAB2" w14:textId="77777777" w:rsidR="0053305F" w:rsidRPr="006B1BC5" w:rsidRDefault="0053305F" w:rsidP="006B1BC5">
      <w:pPr>
        <w:pStyle w:val="NumBC1"/>
      </w:pPr>
      <w:r w:rsidRPr="006B1BC5">
        <w:t xml:space="preserve">Comments from some preparers in the public sector who participated in the outreach indicated that separate evaluations of CRC as a measure of fair value under AASB 13 and DRC as a measure of value in use under AASB 136 are not usually performed. These commentators noted that, although CRC as a measure of fair value under AASB 13 and DRC as a measure of value in use under AASB 136 are different in concept, for specialised assets where the market is typically inactive, the highest and best use is generally their current use. Accordingly, in their view the CRC of such assets under AASB 13 and their DRC under AASB 136 are, in practice, interchangeable. Some noted one reason for this outcome is that highest and best use requires consideration of reasonably possible uses, not every possible use. </w:t>
      </w:r>
    </w:p>
    <w:p w14:paraId="0BB2EAB3" w14:textId="77777777" w:rsidR="0053305F" w:rsidRPr="008C38D0" w:rsidRDefault="0053305F" w:rsidP="006B1BC5">
      <w:pPr>
        <w:pStyle w:val="NumBC1"/>
      </w:pPr>
      <w:r w:rsidRPr="006B1BC5">
        <w:t xml:space="preserve">Some valuers participating </w:t>
      </w:r>
      <w:r w:rsidRPr="008C38D0">
        <w:t>in staff outreach noted:</w:t>
      </w:r>
    </w:p>
    <w:p w14:paraId="0BB2EAB4" w14:textId="77777777" w:rsidR="0053305F" w:rsidRPr="006B1BC5" w:rsidRDefault="0053305F" w:rsidP="006B1BC5">
      <w:pPr>
        <w:pStyle w:val="NumBC2"/>
      </w:pPr>
      <w:r w:rsidRPr="008C38D0">
        <w:t>in the case of a NFP entity where the fair value of a specialised asset is based on the cost approach, the e</w:t>
      </w:r>
      <w:r w:rsidRPr="006B1BC5">
        <w:t>ntity acts as the ‘buyer’ and is competing with other market participants in order to acquire the asset. They argue that this means CRC under AASB 13 should not be different from DRC under AASB 136;</w:t>
      </w:r>
    </w:p>
    <w:p w14:paraId="0BB2EAB5" w14:textId="77777777" w:rsidR="0053305F" w:rsidRPr="006B1BC5" w:rsidRDefault="0053305F" w:rsidP="006B1BC5">
      <w:pPr>
        <w:pStyle w:val="NumBC2"/>
      </w:pPr>
      <w:r w:rsidRPr="006B1BC5">
        <w:t>CRC under AASB 13 and DRC under AASB 136 are regarded as similar measures of fair value and the existing use or alternative uses are considered and assessed on a case-by-case basis; and</w:t>
      </w:r>
    </w:p>
    <w:p w14:paraId="0BB2EAB6" w14:textId="77777777" w:rsidR="0053305F" w:rsidRPr="008C38D0" w:rsidRDefault="0053305F" w:rsidP="006B1BC5">
      <w:pPr>
        <w:pStyle w:val="NumBC2"/>
      </w:pPr>
      <w:r w:rsidRPr="006B1BC5">
        <w:t xml:space="preserve">the highest and </w:t>
      </w:r>
      <w:r w:rsidRPr="008C38D0">
        <w:t>best use of an asset determines its fair value, but restrictions (such as legal restrictions) on the use of an asset often mean that the highest and best use of an asset is its current use.</w:t>
      </w:r>
    </w:p>
    <w:p w14:paraId="0BB2EAB7" w14:textId="77777777" w:rsidR="0053305F" w:rsidRPr="00DE4EFA" w:rsidRDefault="0053305F" w:rsidP="00DE4EFA">
      <w:pPr>
        <w:pStyle w:val="Heading2"/>
        <w:pBdr>
          <w:bottom w:val="single" w:sz="4" w:space="1" w:color="auto"/>
        </w:pBdr>
        <w:spacing w:before="400" w:line="240" w:lineRule="auto"/>
        <w:rPr>
          <w:rFonts w:ascii="Arial" w:hAnsi="Arial"/>
          <w:sz w:val="26"/>
          <w:szCs w:val="26"/>
        </w:rPr>
      </w:pPr>
      <w:r w:rsidRPr="00DE4EFA">
        <w:rPr>
          <w:rFonts w:ascii="Arial" w:hAnsi="Arial"/>
          <w:sz w:val="26"/>
          <w:szCs w:val="26"/>
        </w:rPr>
        <w:t>The AASB’s initial deliberations</w:t>
      </w:r>
    </w:p>
    <w:p w14:paraId="0BB2EAB8" w14:textId="77777777" w:rsidR="0053305F" w:rsidRPr="006B1BC5" w:rsidRDefault="0053305F" w:rsidP="006B1BC5">
      <w:pPr>
        <w:pStyle w:val="NumBC1"/>
      </w:pPr>
      <w:r w:rsidRPr="008C38D0">
        <w:t>The AASB noted that DRC is identified as a measure of fair value in paragraph 33 to AASB 116 (July 2004) in cases where there is no market-based evidence of fair value because of the specialised nature of the asset and the item is rarely sold, except as part of a continuing business. The AASB also noted that, with the publication of AASB</w:t>
      </w:r>
      <w:r w:rsidRPr="006B1BC5">
        <w:t xml:space="preserve"> 13, CRC plays a similar role for assets that are specialised in nature and are rarely sold, such as many assets held by public sector entities. The AASB further noted that the cost of disposal of such assets is not expected to be material.</w:t>
      </w:r>
    </w:p>
    <w:p w14:paraId="0BB2EAB9" w14:textId="77777777" w:rsidR="0053305F" w:rsidRPr="008C38D0" w:rsidRDefault="0053305F" w:rsidP="006B1BC5">
      <w:pPr>
        <w:pStyle w:val="NumBC1"/>
      </w:pPr>
      <w:r w:rsidRPr="006B1BC5">
        <w:t>The AASB noted that fair value under AASB 13 is defined as an exit price. Therefore, CRC under AASB 13 is conceptually differ</w:t>
      </w:r>
      <w:r w:rsidRPr="008C38D0">
        <w:t>ent from DRC as a measure of value in use under AASB 136, being an entry price. The AASB noted, however, that:</w:t>
      </w:r>
    </w:p>
    <w:p w14:paraId="0BB2EABA" w14:textId="77777777" w:rsidR="0053305F" w:rsidRPr="006B1BC5" w:rsidRDefault="0053305F" w:rsidP="006B1BC5">
      <w:pPr>
        <w:pStyle w:val="NumBC2"/>
      </w:pPr>
      <w:r w:rsidRPr="008C38D0">
        <w:t>the description of the cost app</w:t>
      </w:r>
      <w:r w:rsidRPr="006B1BC5">
        <w:t>roach in AASB 13 indicates that CRC incorporates obsolescence as does the definition of DRC under AASB 136, where accumulated depreciation encompasses obsolescence;</w:t>
      </w:r>
    </w:p>
    <w:p w14:paraId="0BB2EABB" w14:textId="77777777" w:rsidR="0053305F" w:rsidRPr="006B1BC5" w:rsidRDefault="0053305F" w:rsidP="006B1BC5">
      <w:pPr>
        <w:pStyle w:val="NumBC2"/>
      </w:pPr>
      <w:r w:rsidRPr="006B1BC5">
        <w:t>valuers use similar approaches in determining DRC and CRC. Factors such as physical obsolescence, functional obsolescence and economic obsolescence are all considered in determining each measure; and</w:t>
      </w:r>
    </w:p>
    <w:p w14:paraId="0BB2EABC" w14:textId="77777777" w:rsidR="0053305F" w:rsidRPr="008C38D0" w:rsidRDefault="0053305F" w:rsidP="006B1BC5">
      <w:pPr>
        <w:pStyle w:val="NumBC2"/>
      </w:pPr>
      <w:r w:rsidRPr="006B1BC5">
        <w:t>valuers’ practice involves con</w:t>
      </w:r>
      <w:r w:rsidRPr="008C38D0">
        <w:t>sidering as a starting point whether the valuation is of a specialised asset in its current use or an alternative use and whether there are any restrictions on the use of the asset.</w:t>
      </w:r>
    </w:p>
    <w:p w14:paraId="0BB2EABD" w14:textId="77777777" w:rsidR="0053305F" w:rsidRPr="008C38D0" w:rsidRDefault="0053305F" w:rsidP="006B1BC5">
      <w:pPr>
        <w:pStyle w:val="NumBC1"/>
        <w:spacing w:after="200"/>
      </w:pPr>
      <w:r w:rsidRPr="008C38D0">
        <w:t>The AASB concluded that DRC as a measure of value in use of specialised assets that are rarely sold is unlikely to be materially different from DRC (or CRC) as a measure of fair value of such assets. This is because, for non-cash-generating specialised assets, the market is typically inactive and their highest and best uses would usually be their current uses rather than their sale, resulting in CRC of such assets being not materially different from their DRC, as the following example shows:</w:t>
      </w:r>
    </w:p>
    <w:p w14:paraId="0BB2EABE" w14:textId="77777777" w:rsidR="0053305F" w:rsidRPr="008C38D0" w:rsidRDefault="0053305F" w:rsidP="0053305F">
      <w:pPr>
        <w:keepNext/>
        <w:spacing w:after="200"/>
        <w:ind w:left="624"/>
        <w:outlineLvl w:val="4"/>
        <w:rPr>
          <w:rFonts w:ascii="Arial" w:hAnsi="Arial" w:cs="Arial"/>
          <w:b/>
          <w:bCs/>
          <w:i/>
          <w:sz w:val="18"/>
          <w:szCs w:val="18"/>
        </w:rPr>
      </w:pPr>
      <w:r w:rsidRPr="008C38D0">
        <w:rPr>
          <w:rFonts w:ascii="Arial" w:hAnsi="Arial" w:cs="Arial"/>
          <w:b/>
          <w:bCs/>
          <w:i/>
          <w:sz w:val="18"/>
          <w:szCs w:val="18"/>
        </w:rPr>
        <w:t>Example</w:t>
      </w:r>
    </w:p>
    <w:p w14:paraId="0BB2EABF" w14:textId="77777777" w:rsidR="0053305F" w:rsidRPr="008C38D0" w:rsidRDefault="0053305F" w:rsidP="00C75268">
      <w:pPr>
        <w:spacing w:before="100" w:after="100"/>
        <w:ind w:left="624"/>
        <w:jc w:val="both"/>
        <w:rPr>
          <w:sz w:val="18"/>
          <w:szCs w:val="18"/>
        </w:rPr>
      </w:pPr>
      <w:r w:rsidRPr="008C38D0">
        <w:rPr>
          <w:sz w:val="18"/>
          <w:szCs w:val="18"/>
        </w:rPr>
        <w:t>An entity self-constructs a specialised facility. Because this is the entity’s specific practice in its industry, it can construct the facility for $8.5 million, whereas the cost of construction of the facility to any other market participant would be $10 million. As the construction of the facility has just been completed, there is no obsolescence or depreciation.</w:t>
      </w:r>
    </w:p>
    <w:p w14:paraId="0BB2EAC0" w14:textId="77777777" w:rsidR="0053305F" w:rsidRPr="008C38D0" w:rsidRDefault="0053305F" w:rsidP="00C75268">
      <w:pPr>
        <w:spacing w:before="100" w:after="200"/>
        <w:ind w:left="624"/>
        <w:jc w:val="both"/>
        <w:rPr>
          <w:sz w:val="18"/>
          <w:szCs w:val="18"/>
        </w:rPr>
      </w:pPr>
      <w:r w:rsidRPr="008C38D0">
        <w:rPr>
          <w:sz w:val="18"/>
          <w:szCs w:val="18"/>
        </w:rPr>
        <w:lastRenderedPageBreak/>
        <w:t>The issues are: (a) whether the CRC of the facility should be measured at $10 million or $8.5m under AASB 13; and (b) whether the DRC of the facility should be measured at $10m or $8.5m under AASB 136.</w:t>
      </w:r>
    </w:p>
    <w:p w14:paraId="0BB2EAC1" w14:textId="77777777" w:rsidR="0053305F" w:rsidRPr="008C38D0" w:rsidRDefault="0053305F" w:rsidP="0053305F">
      <w:pPr>
        <w:keepNext/>
        <w:spacing w:after="200"/>
        <w:ind w:left="624"/>
        <w:outlineLvl w:val="4"/>
        <w:rPr>
          <w:rFonts w:ascii="Arial" w:hAnsi="Arial" w:cs="Arial"/>
          <w:b/>
          <w:bCs/>
          <w:i/>
          <w:sz w:val="18"/>
          <w:szCs w:val="18"/>
        </w:rPr>
      </w:pPr>
      <w:r w:rsidRPr="008C38D0">
        <w:rPr>
          <w:rFonts w:ascii="Arial" w:hAnsi="Arial" w:cs="Arial"/>
          <w:b/>
          <w:bCs/>
          <w:i/>
          <w:sz w:val="18"/>
          <w:szCs w:val="18"/>
        </w:rPr>
        <w:t>Analysis</w:t>
      </w:r>
    </w:p>
    <w:p w14:paraId="0BB2EAC2" w14:textId="77777777" w:rsidR="0053305F" w:rsidRPr="008C38D0" w:rsidRDefault="0053305F" w:rsidP="00C75268">
      <w:pPr>
        <w:spacing w:after="200"/>
        <w:ind w:left="624"/>
        <w:jc w:val="both"/>
        <w:rPr>
          <w:color w:val="000000" w:themeColor="text1"/>
          <w:sz w:val="18"/>
          <w:szCs w:val="18"/>
        </w:rPr>
      </w:pPr>
      <w:r w:rsidRPr="008C38D0">
        <w:t>Paragraph</w:t>
      </w:r>
      <w:r w:rsidRPr="008C38D0">
        <w:rPr>
          <w:color w:val="000000" w:themeColor="text1"/>
          <w:sz w:val="18"/>
          <w:szCs w:val="18"/>
        </w:rPr>
        <w:t xml:space="preserve"> B9 to AASB 13 states that “a market participant buyer would not pay more for an asset than the amount for which it could replace the service capacity of that asset”. The implication of that statement depends on whether the market participant buyer includes, or has the attributes of, the vendor. Paragraph BC78 of the IASB’s Basis for Conclusions on IFRS 13 </w:t>
      </w:r>
      <w:r w:rsidRPr="008C38D0">
        <w:rPr>
          <w:i/>
          <w:color w:val="000000" w:themeColor="text1"/>
          <w:sz w:val="18"/>
          <w:szCs w:val="18"/>
        </w:rPr>
        <w:t xml:space="preserve">Fair Value Measurement </w:t>
      </w:r>
      <w:r w:rsidRPr="008C38D0">
        <w:rPr>
          <w:color w:val="000000" w:themeColor="text1"/>
          <w:sz w:val="18"/>
          <w:szCs w:val="18"/>
        </w:rPr>
        <w:t xml:space="preserve">states that, in relation to a specialised non-financial asset, “In effect, the market participant buyer </w:t>
      </w:r>
      <w:r w:rsidRPr="008C38D0">
        <w:rPr>
          <w:i/>
          <w:color w:val="000000" w:themeColor="text1"/>
          <w:sz w:val="18"/>
          <w:szCs w:val="18"/>
        </w:rPr>
        <w:t>steps into the shoes of the entity</w:t>
      </w:r>
      <w:r w:rsidRPr="008C38D0">
        <w:rPr>
          <w:color w:val="000000" w:themeColor="text1"/>
          <w:sz w:val="18"/>
          <w:szCs w:val="18"/>
        </w:rPr>
        <w:t xml:space="preserve"> that holds that specialised asset” (emphasis added). Based on that comment, it seems appropriate in the above example to regard the market participant buyer as being capable of self-constructing the asset for $8.5 million, in which case CRC should be measured at $8.5 million under AASB 13. Because value in use is an entity-specific measure, the DRC of the facility would also be measured at $8.5 million under AASB 136.</w:t>
      </w:r>
    </w:p>
    <w:p w14:paraId="0BB2EAC3" w14:textId="77777777" w:rsidR="0053305F" w:rsidRPr="006B1BC5" w:rsidRDefault="0053305F" w:rsidP="006B1BC5">
      <w:pPr>
        <w:pStyle w:val="NumBC1"/>
      </w:pPr>
      <w:r w:rsidRPr="008C38D0">
        <w:t>The AASB noted that, when the AASB 136 impairment model (as per IAS 36) is applied to non-cash-generating specialised assets that are rarely sold, the value in use of the asset is typically less than its net fair value because the asset is generally held for continuing use of its service capacity, not the generation of cash inflows. Fur</w:t>
      </w:r>
      <w:r w:rsidRPr="006B1BC5">
        <w:t>ther, because these assets are rarely sold, their cost of disposal is typically negligible. The AASB concluded that, in such circumstances, the recoverable amount of the asset would be materially the same as fair value determined under AASB 13.</w:t>
      </w:r>
    </w:p>
    <w:p w14:paraId="0BB2EAC4" w14:textId="77777777" w:rsidR="0053305F" w:rsidRPr="006B1BC5" w:rsidRDefault="0053305F" w:rsidP="006B1BC5">
      <w:pPr>
        <w:pStyle w:val="NumBC1"/>
      </w:pPr>
      <w:r w:rsidRPr="006B1BC5">
        <w:t>The AASB noted that AASB 13 has addressed the concerns identified in paragraph BC4 above that the net fair value of an asset could be regarded as relating to a scrap value for a specialised asset leading to an inappropriate recognition of impairment. Paragraph BC78 of the IASB’s Basis for Conclusions on IFRS 13 refers to the concerns that an exit price would be based on scrap value (particularly given the requirement to maximise the use of observable inputs, such as market prices) and not reflect the value that an entity expects to generate by using the asset in its operations. It notes that, in such circumstances, the scrap value for an individual asset would be irrelevant because an exit price reflects the sale of the asset to a market participant that has, or can obtain, the complementary assets and the associated liabilities needed to use the specialised asset in its own operations. In effect, the market participant buyer steps into the shoes of the entity that holds that specialised asset.</w:t>
      </w:r>
    </w:p>
    <w:p w14:paraId="0BB2EAC5" w14:textId="77777777" w:rsidR="0053305F" w:rsidRPr="008C38D0" w:rsidRDefault="0053305F" w:rsidP="006B1BC5">
      <w:pPr>
        <w:pStyle w:val="NumBC1"/>
      </w:pPr>
      <w:r w:rsidRPr="006B1BC5">
        <w:t>The AASB noted that, with the issuance of AASB 13, the fair value of non-financial assets is determined under that Standard. Acco</w:t>
      </w:r>
      <w:r w:rsidRPr="008C38D0">
        <w:t>rdingly, with the CRC measure being available under AASB 13, the notion of DRC included in AASB 116 (July 2004) would no longer be applicable in estimating the fair value of specialised non-financial assets.</w:t>
      </w:r>
    </w:p>
    <w:p w14:paraId="0BB2EAC6" w14:textId="77777777" w:rsidR="0053305F" w:rsidRPr="006B1BC5" w:rsidRDefault="0053305F" w:rsidP="0053305F">
      <w:pPr>
        <w:pStyle w:val="NumBold1"/>
        <w:spacing w:before="240"/>
        <w:ind w:left="624" w:firstLine="0"/>
        <w:rPr>
          <w:rFonts w:ascii="Arial" w:hAnsi="Arial" w:cs="Arial"/>
          <w:sz w:val="26"/>
          <w:szCs w:val="26"/>
        </w:rPr>
      </w:pPr>
      <w:r w:rsidRPr="006B1BC5">
        <w:rPr>
          <w:rFonts w:ascii="Arial" w:hAnsi="Arial" w:cs="Arial"/>
          <w:sz w:val="26"/>
          <w:szCs w:val="26"/>
        </w:rPr>
        <w:t>ED 269 proposals</w:t>
      </w:r>
    </w:p>
    <w:p w14:paraId="0BB2EAC7" w14:textId="77777777" w:rsidR="0053305F" w:rsidRPr="008C38D0" w:rsidRDefault="0053305F" w:rsidP="006B1BC5">
      <w:pPr>
        <w:pStyle w:val="NumBC1"/>
      </w:pPr>
      <w:r w:rsidRPr="008C38D0">
        <w:t xml:space="preserve">The AASB published ED 269 </w:t>
      </w:r>
      <w:r w:rsidRPr="006B1BC5">
        <w:rPr>
          <w:i/>
        </w:rPr>
        <w:t>Recoverable Amount of Non-cash-generating Specialised Assets of Not-for-Profit Entities</w:t>
      </w:r>
      <w:r w:rsidRPr="008C38D0">
        <w:t xml:space="preserve"> proposing that:</w:t>
      </w:r>
    </w:p>
    <w:p w14:paraId="0BB2EAC8" w14:textId="77777777" w:rsidR="0053305F" w:rsidRPr="006B1BC5" w:rsidRDefault="0053305F" w:rsidP="006B1BC5">
      <w:pPr>
        <w:pStyle w:val="NumBC2"/>
      </w:pPr>
      <w:r w:rsidRPr="008C38D0">
        <w:t xml:space="preserve">references to </w:t>
      </w:r>
      <w:r w:rsidRPr="006B1BC5">
        <w:t>DRC as a measure of value in use in AASB 136 be deleted from that Standard; and</w:t>
      </w:r>
    </w:p>
    <w:p w14:paraId="0BB2EAC9" w14:textId="77777777" w:rsidR="0053305F" w:rsidRPr="008C38D0" w:rsidRDefault="0053305F" w:rsidP="006B1BC5">
      <w:pPr>
        <w:pStyle w:val="NumBC2"/>
      </w:pPr>
      <w:r w:rsidRPr="006B1BC5">
        <w:t>paragraph Aus5.1 be included in AASB 136 to clarify that, because primarily non-cash-generating specialised assets held for continuing use of their service capacity are rarely sold, their cost of dis</w:t>
      </w:r>
      <w:r w:rsidRPr="008C38D0">
        <w:t>posal is typically negligible and, accordingly, the recoverable amount of such assets is expected to be materially the same as fair value, determined under AASB 13.</w:t>
      </w:r>
    </w:p>
    <w:p w14:paraId="0BB2EACA" w14:textId="77777777" w:rsidR="0053305F" w:rsidRPr="006B1BC5" w:rsidRDefault="0053305F" w:rsidP="006B1BC5">
      <w:pPr>
        <w:pStyle w:val="NumBC1"/>
      </w:pPr>
      <w:r w:rsidRPr="008C38D0">
        <w:t>The Board noted with the removal of DRC as a measure of value in use from AASB 136, the recoverable amount of a primarily non-cash-generating specialised asset held by an NFP entity for continuing use of its s</w:t>
      </w:r>
      <w:r w:rsidRPr="006B1BC5">
        <w:t>ervice capacity is determined as the higher of value in use and net fair value. The recoverable amount would be fair value since the value in use of a primarily non-cash-generating asset would be small or close to zero.</w:t>
      </w:r>
    </w:p>
    <w:p w14:paraId="0BB2EACB" w14:textId="77777777" w:rsidR="0053305F" w:rsidRPr="008C38D0" w:rsidRDefault="0053305F" w:rsidP="006B1BC5">
      <w:pPr>
        <w:pStyle w:val="NumBC1"/>
        <w:spacing w:after="200"/>
      </w:pPr>
      <w:r w:rsidRPr="006B1BC5">
        <w:t>The ED 269 proposals i</w:t>
      </w:r>
      <w:r w:rsidRPr="008C38D0">
        <w:t>dentified implications for assets held both under the revaluation model and under the cost model as outlined below:</w:t>
      </w:r>
    </w:p>
    <w:p w14:paraId="0BB2EACC" w14:textId="77777777" w:rsidR="0053305F" w:rsidRPr="008C38D0" w:rsidRDefault="0053305F" w:rsidP="0053305F">
      <w:pPr>
        <w:keepNext/>
        <w:spacing w:after="200"/>
        <w:ind w:left="624"/>
        <w:outlineLvl w:val="4"/>
        <w:rPr>
          <w:rFonts w:ascii="Arial" w:hAnsi="Arial" w:cs="Arial"/>
          <w:b/>
          <w:bCs/>
          <w:i/>
          <w:sz w:val="18"/>
          <w:szCs w:val="18"/>
        </w:rPr>
      </w:pPr>
      <w:r w:rsidRPr="008C38D0">
        <w:rPr>
          <w:rFonts w:ascii="Arial" w:hAnsi="Arial" w:cs="Arial"/>
          <w:b/>
          <w:bCs/>
          <w:i/>
          <w:sz w:val="18"/>
          <w:szCs w:val="18"/>
        </w:rPr>
        <w:t>Revaluation model</w:t>
      </w:r>
    </w:p>
    <w:p w14:paraId="0BB2EACD" w14:textId="77777777" w:rsidR="0053305F" w:rsidRPr="008C38D0" w:rsidRDefault="0053305F" w:rsidP="00C75268">
      <w:pPr>
        <w:spacing w:after="200"/>
        <w:ind w:left="624"/>
        <w:jc w:val="both"/>
        <w:rPr>
          <w:sz w:val="18"/>
          <w:szCs w:val="18"/>
        </w:rPr>
      </w:pPr>
      <w:r w:rsidRPr="008C38D0">
        <w:rPr>
          <w:sz w:val="18"/>
          <w:szCs w:val="18"/>
        </w:rPr>
        <w:t>NFP entities that regularly revalue their primarily non-cash-generating specialised assets to fair value would find the application of the impairment model under AASB 136 redundant.</w:t>
      </w:r>
    </w:p>
    <w:p w14:paraId="0BB2EACE" w14:textId="77777777" w:rsidR="0053305F" w:rsidRPr="008C38D0" w:rsidRDefault="0053305F" w:rsidP="0053305F">
      <w:pPr>
        <w:keepNext/>
        <w:spacing w:after="200"/>
        <w:ind w:left="624"/>
        <w:outlineLvl w:val="4"/>
        <w:rPr>
          <w:rFonts w:ascii="Arial" w:hAnsi="Arial" w:cs="Arial"/>
          <w:b/>
          <w:bCs/>
          <w:i/>
          <w:sz w:val="18"/>
          <w:szCs w:val="18"/>
        </w:rPr>
      </w:pPr>
      <w:r w:rsidRPr="008C38D0">
        <w:rPr>
          <w:rFonts w:ascii="Arial" w:hAnsi="Arial" w:cs="Arial"/>
          <w:b/>
          <w:bCs/>
          <w:i/>
          <w:sz w:val="18"/>
          <w:szCs w:val="18"/>
        </w:rPr>
        <w:t>Cost model</w:t>
      </w:r>
    </w:p>
    <w:p w14:paraId="0BB2EACF" w14:textId="77777777" w:rsidR="0053305F" w:rsidRPr="008C38D0" w:rsidRDefault="0053305F" w:rsidP="00C75268">
      <w:pPr>
        <w:spacing w:after="200"/>
        <w:ind w:left="624"/>
        <w:jc w:val="both"/>
        <w:rPr>
          <w:sz w:val="18"/>
          <w:szCs w:val="18"/>
        </w:rPr>
      </w:pPr>
      <w:r w:rsidRPr="008C38D0">
        <w:rPr>
          <w:sz w:val="18"/>
          <w:szCs w:val="18"/>
        </w:rPr>
        <w:t>If there are indicators of impairment, NFP entities applying the cost model to their primarily non-cash-generating specialised assets would need to determine their recoverable amounts at fair value to establish whether there is a need to recognise impairment.</w:t>
      </w:r>
    </w:p>
    <w:p w14:paraId="0BB2EAD0" w14:textId="77777777" w:rsidR="0053305F" w:rsidRPr="006B1BC5" w:rsidRDefault="0053305F" w:rsidP="006B1BC5">
      <w:pPr>
        <w:pStyle w:val="Heading2"/>
        <w:pBdr>
          <w:bottom w:val="single" w:sz="4" w:space="1" w:color="auto"/>
        </w:pBdr>
        <w:spacing w:before="400" w:line="240" w:lineRule="auto"/>
        <w:rPr>
          <w:rFonts w:ascii="Arial" w:hAnsi="Arial"/>
          <w:sz w:val="26"/>
          <w:szCs w:val="26"/>
        </w:rPr>
      </w:pPr>
      <w:r w:rsidRPr="006B1BC5">
        <w:rPr>
          <w:rFonts w:ascii="Arial" w:hAnsi="Arial"/>
          <w:sz w:val="26"/>
          <w:szCs w:val="26"/>
        </w:rPr>
        <w:lastRenderedPageBreak/>
        <w:t>Redeliberation of ED 269 proposals</w:t>
      </w:r>
    </w:p>
    <w:p w14:paraId="0BB2EAD1" w14:textId="77777777" w:rsidR="0053305F" w:rsidRPr="008C38D0" w:rsidRDefault="0053305F" w:rsidP="006B1BC5">
      <w:pPr>
        <w:pStyle w:val="NumBC1"/>
      </w:pPr>
      <w:r w:rsidRPr="008C38D0">
        <w:t>The AASB considered comments on the ED 269 proposals received via submissions and further AASB targeted outreach. The AASB noted that commentators were generally supportive of ED 269 proposals and discussed concerns raised about some aspects of the proposals.</w:t>
      </w:r>
    </w:p>
    <w:p w14:paraId="0BB2EAD2" w14:textId="77777777" w:rsidR="0053305F" w:rsidRPr="006B1BC5" w:rsidRDefault="0053305F" w:rsidP="0053305F">
      <w:pPr>
        <w:pStyle w:val="NumBold1"/>
        <w:spacing w:before="240"/>
        <w:ind w:left="624" w:firstLine="0"/>
        <w:rPr>
          <w:rFonts w:ascii="Arial" w:hAnsi="Arial" w:cs="Arial"/>
          <w:sz w:val="26"/>
          <w:szCs w:val="26"/>
        </w:rPr>
      </w:pPr>
      <w:r w:rsidRPr="006B1BC5">
        <w:rPr>
          <w:rFonts w:ascii="Arial" w:hAnsi="Arial" w:cs="Arial"/>
          <w:sz w:val="26"/>
          <w:szCs w:val="26"/>
        </w:rPr>
        <w:t>Clarifying CRC</w:t>
      </w:r>
    </w:p>
    <w:p w14:paraId="0BB2EAD3" w14:textId="77777777" w:rsidR="0053305F" w:rsidRPr="008C38D0" w:rsidRDefault="0053305F" w:rsidP="006B1BC5">
      <w:pPr>
        <w:pStyle w:val="NumBC1"/>
      </w:pPr>
      <w:r w:rsidRPr="008C38D0">
        <w:t>Some valuation industry participants consulted in AASB outreach were of the view that some constituents continue to see CRC under AASB 13 as the gross replacement cost of a new asset rather than the CRC of the remaining service capacity of the asset. The AASB observed that:</w:t>
      </w:r>
    </w:p>
    <w:p w14:paraId="0BB2EAD4" w14:textId="77777777" w:rsidR="0053305F" w:rsidRPr="006B1BC5" w:rsidRDefault="0053305F" w:rsidP="006B1BC5">
      <w:pPr>
        <w:pStyle w:val="NumBC2"/>
      </w:pPr>
      <w:r w:rsidRPr="008C38D0">
        <w:t>paragraph B8 to AASB 13 describes CRC as the amount that would be required currently to replace the ser</w:t>
      </w:r>
      <w:r w:rsidRPr="006B1BC5">
        <w:t>vice capacity of an asset. This is a reference to replacement cost of the service capacity of the asset and not a new asset; and</w:t>
      </w:r>
    </w:p>
    <w:p w14:paraId="0BB2EAD5" w14:textId="77777777" w:rsidR="0053305F" w:rsidRPr="008C38D0" w:rsidRDefault="0053305F" w:rsidP="006B1BC5">
      <w:pPr>
        <w:pStyle w:val="NumBC2"/>
      </w:pPr>
      <w:r w:rsidRPr="006B1BC5">
        <w:t>paragraph B9 t</w:t>
      </w:r>
      <w:r w:rsidRPr="008C38D0">
        <w:t>o AASB 13 further clarifies that the price that would be received for the asset is based on the cost to a market participant buyer to acquire or construct a substitute asset of comparable utility, adjusted for obsolescence and that obsolescence encompasses physical deterioration, functional (technological) obsolescence and economic (external) obsolescence.</w:t>
      </w:r>
    </w:p>
    <w:p w14:paraId="0BB2EAD6" w14:textId="77777777" w:rsidR="0053305F" w:rsidRPr="006B1BC5" w:rsidRDefault="0053305F" w:rsidP="006B1BC5">
      <w:pPr>
        <w:pStyle w:val="NumBC1"/>
      </w:pPr>
      <w:r w:rsidRPr="008C38D0">
        <w:t>The AASB concluded that the description of CRC in AASB 13 is clear that CRC is not a gross value reflecting the</w:t>
      </w:r>
      <w:r w:rsidRPr="006B1BC5">
        <w:t xml:space="preserve"> replacement cost of a new asset, rather it is replacement cost of the remaining service capacity of the asset.</w:t>
      </w:r>
    </w:p>
    <w:p w14:paraId="0BB2EAD7" w14:textId="77777777" w:rsidR="0053305F" w:rsidRPr="006B1BC5" w:rsidRDefault="0053305F" w:rsidP="006B1BC5">
      <w:pPr>
        <w:pStyle w:val="NumBC1"/>
      </w:pPr>
      <w:r w:rsidRPr="006B1BC5">
        <w:t>The AASB also confirmed its view that DRC under AASB 136 is equivalent to CRC under AASB 13. It was noted that the description of the cost approach in AASB 13 indicates that CRC incorporates obsolescence as did the definition of DRC under AASB 136, where accumulated depreciation encompasses obsolescence. It also noted that valuation industry participants in AASB outreach generally were of the view that the description of CRC in AASB 13 is consistent with their current valuation practice for determining DRC under a cost approach in that the replacement cost or reproduction cost of a new equivalent asset is adjusted for all relevant types of obsolescence and the issue of overcapacity is also considered in arriving at an optimised value.</w:t>
      </w:r>
    </w:p>
    <w:p w14:paraId="0BB2EAD8" w14:textId="77777777" w:rsidR="0053305F" w:rsidRPr="008C38D0" w:rsidRDefault="0053305F" w:rsidP="006B1BC5">
      <w:pPr>
        <w:pStyle w:val="NumBC1"/>
      </w:pPr>
      <w:r w:rsidRPr="006B1BC5">
        <w:t xml:space="preserve">Some commentators noted that the capitalisation of borrowing costs assumed in the example in paragraph BC14 </w:t>
      </w:r>
      <w:r w:rsidRPr="008C38D0">
        <w:t>to ED 269 was not common for NFP public sector entities because the ABS GFS Manual prohibits capitalisation of borrowing costs. The AASB noted that capitalisation of borrowing costs would need to be addressed as part of another project.</w:t>
      </w:r>
    </w:p>
    <w:p w14:paraId="0BB2EAD9" w14:textId="77777777" w:rsidR="0053305F" w:rsidRPr="006B1BC5" w:rsidRDefault="0053305F" w:rsidP="0053305F">
      <w:pPr>
        <w:pStyle w:val="NumBold1"/>
        <w:spacing w:before="240"/>
        <w:ind w:left="624" w:firstLine="0"/>
        <w:rPr>
          <w:rFonts w:ascii="Arial" w:hAnsi="Arial" w:cs="Arial"/>
          <w:sz w:val="26"/>
          <w:szCs w:val="26"/>
        </w:rPr>
      </w:pPr>
      <w:r w:rsidRPr="006B1BC5">
        <w:rPr>
          <w:rFonts w:ascii="Arial" w:hAnsi="Arial" w:cs="Arial"/>
          <w:sz w:val="26"/>
          <w:szCs w:val="26"/>
        </w:rPr>
        <w:t>Disposal costs associated with specialised assets</w:t>
      </w:r>
    </w:p>
    <w:p w14:paraId="0BB2EADA" w14:textId="77777777" w:rsidR="0053305F" w:rsidRPr="006B1BC5" w:rsidRDefault="0053305F" w:rsidP="006B1BC5">
      <w:pPr>
        <w:pStyle w:val="NumBC1"/>
      </w:pPr>
      <w:r w:rsidRPr="008C38D0">
        <w:t>Some participants in AASB outreach noted the costs of disposal might not be negligible in some cases where non-cash-generating specia</w:t>
      </w:r>
      <w:r w:rsidRPr="006B1BC5">
        <w:t>lised assets are involved. Some had in mind a range of costs they considered potentially material that could be associated with making an asset saleable. As an example, they noted those costs might include material costs of rezoning land.</w:t>
      </w:r>
    </w:p>
    <w:p w14:paraId="0BB2EADB" w14:textId="77777777" w:rsidR="0053305F" w:rsidRPr="006B1BC5" w:rsidRDefault="0053305F" w:rsidP="006B1BC5">
      <w:pPr>
        <w:pStyle w:val="NumBC1"/>
      </w:pPr>
      <w:r w:rsidRPr="006B1BC5">
        <w:t>The AASB noted that IFRS 13, Illustrative Example 8, clarifies the type of costs that would need to be considered in determining the fair value of assets. In illustrating the determination of highest and best use, the example contrasts the value of land currently developed for industrial use with the land as a vacant site for residential use. In identifying the fair value of the land as a vacant site for residential use it considers the costs of demolishing the factory and other costs necessary to convert the land to a vacant site.</w:t>
      </w:r>
    </w:p>
    <w:p w14:paraId="0BB2EADC" w14:textId="77777777" w:rsidR="0053305F" w:rsidRPr="006B1BC5" w:rsidRDefault="0053305F" w:rsidP="006B1BC5">
      <w:pPr>
        <w:pStyle w:val="NumBC1"/>
      </w:pPr>
      <w:r w:rsidRPr="006B1BC5">
        <w:t xml:space="preserve">The AASB noted that disposal costs are costs incurred to sell the asset in its existing state (target asset). The AASB confirmed that, consistent with the example noted in paragraph BC26, costs incurred to enhance the use of an asset, change its nature, or make it marketable would be considered in fair valuing the enhanced asset. Such costs would not be disposal costs of the target asset for the purpose of calculating net fair value. Accordingly, land rezoned for residential or commercial use is a different asset from land with zoning as public land and costs such as decommissioning costs or rezoning costs that change the nature of the asset are not classified as disposal costs of the land in its public use. </w:t>
      </w:r>
    </w:p>
    <w:p w14:paraId="0BB2EADD" w14:textId="77777777" w:rsidR="0053305F" w:rsidRPr="008C38D0" w:rsidRDefault="0053305F" w:rsidP="006B1BC5">
      <w:pPr>
        <w:pStyle w:val="NumBC1"/>
      </w:pPr>
      <w:r w:rsidRPr="006B1BC5">
        <w:t>The AASB also noted that disposal co</w:t>
      </w:r>
      <w:r w:rsidRPr="008C38D0">
        <w:t>sts are ‘normal’ incremental costs directly attributable to disposal of an asset and are not intended to include excessive costs arising from the processes to sell particular assets.</w:t>
      </w:r>
    </w:p>
    <w:p w14:paraId="0BB2EADE" w14:textId="77777777" w:rsidR="0053305F" w:rsidRPr="006762CD" w:rsidRDefault="0053305F" w:rsidP="0053305F">
      <w:pPr>
        <w:pStyle w:val="NumBold1"/>
        <w:spacing w:before="240"/>
        <w:ind w:left="624" w:firstLine="0"/>
        <w:rPr>
          <w:rFonts w:ascii="Arial" w:hAnsi="Arial" w:cs="Arial"/>
          <w:sz w:val="26"/>
          <w:szCs w:val="26"/>
        </w:rPr>
      </w:pPr>
      <w:r w:rsidRPr="006762CD">
        <w:rPr>
          <w:rFonts w:ascii="Arial" w:hAnsi="Arial" w:cs="Arial"/>
          <w:sz w:val="26"/>
          <w:szCs w:val="26"/>
        </w:rPr>
        <w:t>Impairment of revalued assets</w:t>
      </w:r>
    </w:p>
    <w:p w14:paraId="0BB2EADF" w14:textId="77777777" w:rsidR="0053305F" w:rsidRPr="008C38D0" w:rsidRDefault="0053305F" w:rsidP="006B1BC5">
      <w:pPr>
        <w:pStyle w:val="NumBC1"/>
      </w:pPr>
      <w:r w:rsidRPr="008C38D0">
        <w:t xml:space="preserve">Some commentators expressed the view that it was not sufficiently clear whether the proposed paragraph Aus5.1 would apply only to NFP entities as it does not explicitly preclude application by for-profit entities. The AASB confirmed that paragraph Aus5.1 would apply only to primarily non-cash-generating </w:t>
      </w:r>
      <w:r w:rsidRPr="008C38D0">
        <w:lastRenderedPageBreak/>
        <w:t>specialised assets of NFP entities held for their service capacity and would not apply to assets of for-profit entities whether or not held for their service capacity.</w:t>
      </w:r>
    </w:p>
    <w:p w14:paraId="0BB2EAE0" w14:textId="77777777" w:rsidR="0053305F" w:rsidRPr="006B1BC5" w:rsidRDefault="0053305F" w:rsidP="006B1BC5">
      <w:pPr>
        <w:pStyle w:val="NumBC1"/>
      </w:pPr>
      <w:r w:rsidRPr="008C38D0">
        <w:t>Some participants in AASB outreach commented that ED 269 is not clear as to whether it would mean that considerat</w:t>
      </w:r>
      <w:r w:rsidRPr="006B1BC5">
        <w:t>ion does not need to be had to whether revalued assets of NFP entities would still need to be tested for impairment if an impairment trigger were present.</w:t>
      </w:r>
    </w:p>
    <w:p w14:paraId="0BB2EAE1" w14:textId="77777777" w:rsidR="0053305F" w:rsidRPr="006B1BC5" w:rsidRDefault="0053305F" w:rsidP="006B1BC5">
      <w:pPr>
        <w:pStyle w:val="NumBC1"/>
      </w:pPr>
      <w:r w:rsidRPr="006B1BC5">
        <w:t xml:space="preserve">The AASB noted that the objective of removing references to DRC from AASB 136 and determining recoverable amount as fair value is to reduce financial reporting costs to NFP entities holding specialised assets that are held for continuing use of their service capacity. The AASB considered that this is consistent with its </w:t>
      </w:r>
      <w:r w:rsidRPr="006B1BC5">
        <w:rPr>
          <w:i/>
        </w:rPr>
        <w:t>Process for Modifying IFRSs for NFPs</w:t>
      </w:r>
      <w:r w:rsidRPr="006B1BC5">
        <w:t xml:space="preserve"> which notes that “In some cases, the context or increased or reduced prevalence of a transaction or event for PBE/NFP as compared with for-profit entities, may require modifications to the relevant IFRS to ensure that user needs are met while considering the balance between costs and benefits”. The AASB noted that revaluation of non-financial assets in the Australian NFP public sector is more prevalent than in the for-profit sector. The AASB concluded that when non-cash-generating specialised assets of NFP entities that are held for the continuing use of their service capacity are revalued regularly to fair value under the revaluation model in AASB 116 and AASB 138 </w:t>
      </w:r>
      <w:r w:rsidRPr="00C75268">
        <w:rPr>
          <w:i/>
        </w:rPr>
        <w:t>Intangible Assets</w:t>
      </w:r>
      <w:r w:rsidRPr="006B1BC5">
        <w:t>, the entity no longer applies AASB 136 to such assets. This is because regular revaluation ensures such assets are carried at an amount that is not materially different from fair value and any impairment would be taken into account as part of revaluation. For such assets, the issue of determining recoverable amount of the asset and magnitude of disposal costs would not be relevant.</w:t>
      </w:r>
    </w:p>
    <w:p w14:paraId="0BB2EAE2" w14:textId="77777777" w:rsidR="0053305F" w:rsidRPr="006B1BC5" w:rsidRDefault="0053305F" w:rsidP="006B1BC5">
      <w:pPr>
        <w:pStyle w:val="NumBC1"/>
      </w:pPr>
      <w:r w:rsidRPr="006B1BC5">
        <w:t xml:space="preserve">The AASB noted that an entity holding an asset with the intention of selling it would need to apply AASB 5 </w:t>
      </w:r>
      <w:r w:rsidRPr="006B1BC5">
        <w:rPr>
          <w:i/>
        </w:rPr>
        <w:t>Non-current Assets Held for Sale and Discontinued Operations</w:t>
      </w:r>
      <w:r w:rsidRPr="006B1BC5">
        <w:t xml:space="preserve"> and AASB 136 would not apply.</w:t>
      </w:r>
    </w:p>
    <w:p w14:paraId="0BB2EAE3" w14:textId="77777777" w:rsidR="0053305F" w:rsidRPr="006B1BC5" w:rsidRDefault="0053305F" w:rsidP="006B1BC5">
      <w:pPr>
        <w:pStyle w:val="NumBC1"/>
      </w:pPr>
      <w:r w:rsidRPr="006B1BC5">
        <w:t>The AASB decided to proceed with the ED 269 proposals with amendments based on the conclusion noted in paragraph BC31.</w:t>
      </w:r>
    </w:p>
    <w:p w14:paraId="0BB2EAE4" w14:textId="77777777" w:rsidR="0053305F" w:rsidRPr="008C38D0" w:rsidRDefault="0053305F" w:rsidP="006B1BC5">
      <w:pPr>
        <w:pStyle w:val="NumBC1"/>
      </w:pPr>
      <w:r w:rsidRPr="006B1BC5">
        <w:t>The AASB noted t</w:t>
      </w:r>
      <w:r w:rsidRPr="008C38D0">
        <w:t xml:space="preserve">hat AASB 101 </w:t>
      </w:r>
      <w:r w:rsidRPr="008C38D0">
        <w:rPr>
          <w:i/>
        </w:rPr>
        <w:t>Presentation of Financial Statements</w:t>
      </w:r>
      <w:r w:rsidRPr="008C38D0">
        <w:t xml:space="preserve"> and AASB 108 </w:t>
      </w:r>
      <w:r w:rsidRPr="008C38D0">
        <w:rPr>
          <w:i/>
        </w:rPr>
        <w:t>Accounting Policies, Changes in Accounting Estimates and Errors</w:t>
      </w:r>
      <w:r w:rsidRPr="008C38D0">
        <w:t xml:space="preserve"> would apply in implementing the amendments and in respect of comparative information. The AASB also noted that it would not expect the amendments to AASB 136 to change current practice materially.</w:t>
      </w:r>
    </w:p>
    <w:p w14:paraId="0BB2EAE5" w14:textId="77777777" w:rsidR="00361651" w:rsidRDefault="00361651" w:rsidP="004D6859">
      <w:pPr>
        <w:pStyle w:val="IASBNormal"/>
      </w:pPr>
    </w:p>
    <w:sectPr w:rsidR="00361651" w:rsidSect="00DE4EFA">
      <w:footerReference w:type="default" r:id="rId46"/>
      <w:footnotePr>
        <w:numRestart w:val="eachSect"/>
      </w:footnotePr>
      <w:pgSz w:w="11907" w:h="16840"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AE0C" w14:textId="77777777" w:rsidR="004974FB" w:rsidRDefault="004974FB">
      <w:r>
        <w:separator/>
      </w:r>
    </w:p>
  </w:endnote>
  <w:endnote w:type="continuationSeparator" w:id="0">
    <w:p w14:paraId="531DE8EC" w14:textId="77777777" w:rsidR="004974FB" w:rsidRDefault="004974FB">
      <w:r>
        <w:continuationSeparator/>
      </w:r>
    </w:p>
  </w:endnote>
  <w:endnote w:type="continuationNotice" w:id="1">
    <w:p w14:paraId="15E1160E" w14:textId="77777777" w:rsidR="004974FB" w:rsidRDefault="00497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Blk">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EF" w14:textId="77777777" w:rsidR="00990B1F" w:rsidRDefault="00990B1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D" w14:textId="77777777" w:rsidR="00990B1F" w:rsidRPr="002D17D4" w:rsidRDefault="00990B1F" w:rsidP="002D17D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E" w14:textId="77777777" w:rsidR="00990B1F" w:rsidRPr="002D17D4" w:rsidRDefault="00990B1F" w:rsidP="002D17D4">
    <w:pPr>
      <w:pStyle w:val="Footer"/>
      <w:rPr>
        <w:b/>
      </w:rPr>
    </w:pPr>
    <w:r>
      <w:rPr>
        <w:b/>
      </w:rPr>
      <w:fldChar w:fldCharType="begin" w:fldLock="1"/>
    </w:r>
    <w:r>
      <w:rPr>
        <w:b/>
      </w:rPr>
      <w:instrText xml:space="preserve"> REF DocTypeAbb \* charformat </w:instrText>
    </w:r>
    <w:r>
      <w:rPr>
        <w:b/>
      </w:rPr>
      <w:fldChar w:fldCharType="separate"/>
    </w:r>
    <w:r w:rsidRPr="007D3BF0">
      <w:rPr>
        <w:b/>
      </w:rPr>
      <w:t>AASB</w:t>
    </w:r>
    <w:r>
      <w:rPr>
        <w:b/>
      </w:rPr>
      <w:fldChar w:fldCharType="end"/>
    </w:r>
    <w:r w:rsidRPr="002D17D4">
      <w:rPr>
        <w:b/>
      </w:rPr>
      <w:t xml:space="preserve"> </w:t>
    </w:r>
    <w:r>
      <w:rPr>
        <w:b/>
      </w:rPr>
      <w:fldChar w:fldCharType="begin" w:fldLock="1"/>
    </w:r>
    <w:r>
      <w:rPr>
        <w:b/>
      </w:rPr>
      <w:instrText xml:space="preserve"> REF DocNo \* charformat </w:instrText>
    </w:r>
    <w:r>
      <w:rPr>
        <w:b/>
      </w:rPr>
      <w:fldChar w:fldCharType="separate"/>
    </w:r>
    <w:r w:rsidRPr="007D3BF0">
      <w:rPr>
        <w:b/>
      </w:rPr>
      <w:t>136</w:t>
    </w:r>
    <w:r>
      <w:rPr>
        <w:b/>
      </w:rPr>
      <w:fldChar w:fldCharType="end"/>
    </w:r>
    <w:r>
      <w:rPr>
        <w:b/>
      </w:rPr>
      <w:t>-compiled</w:t>
    </w:r>
    <w:r w:rsidRPr="002D17D4">
      <w:rPr>
        <w:b/>
      </w:rPr>
      <w:tab/>
    </w:r>
    <w:r>
      <w:fldChar w:fldCharType="begin"/>
    </w:r>
    <w:r>
      <w:instrText xml:space="preserve"> PAGE </w:instrText>
    </w:r>
    <w:r>
      <w:fldChar w:fldCharType="separate"/>
    </w:r>
    <w:r w:rsidR="00C84A70">
      <w:rPr>
        <w:noProof/>
      </w:rPr>
      <w:t>31</w:t>
    </w:r>
    <w:r>
      <w:fldChar w:fldCharType="end"/>
    </w:r>
    <w:r w:rsidRPr="002D17D4">
      <w:rPr>
        <w:b/>
      </w:rPr>
      <w:tab/>
    </w:r>
    <w:r>
      <w:rPr>
        <w:b/>
      </w:rPr>
      <w:t>APPENDIX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0" w14:textId="77777777" w:rsidR="00990B1F" w:rsidRPr="002D17D4" w:rsidRDefault="00990B1F" w:rsidP="002D17D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2" w14:textId="77777777" w:rsidR="00990B1F" w:rsidRPr="002D17D4" w:rsidRDefault="00990B1F" w:rsidP="002D17D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3" w14:textId="77777777" w:rsidR="00990B1F" w:rsidRPr="002D17D4" w:rsidRDefault="00990B1F" w:rsidP="002D17D4">
    <w:pPr>
      <w:pStyle w:val="Footer"/>
      <w:rPr>
        <w:b/>
      </w:rPr>
    </w:pPr>
    <w:r>
      <w:rPr>
        <w:b/>
      </w:rPr>
      <w:fldChar w:fldCharType="begin" w:fldLock="1"/>
    </w:r>
    <w:r>
      <w:rPr>
        <w:b/>
      </w:rPr>
      <w:instrText xml:space="preserve"> REF DocTypeAbb \* charformat </w:instrText>
    </w:r>
    <w:r>
      <w:rPr>
        <w:b/>
      </w:rPr>
      <w:fldChar w:fldCharType="separate"/>
    </w:r>
    <w:r w:rsidRPr="007D3BF0">
      <w:rPr>
        <w:b/>
      </w:rPr>
      <w:t>AASB</w:t>
    </w:r>
    <w:r>
      <w:rPr>
        <w:b/>
      </w:rPr>
      <w:fldChar w:fldCharType="end"/>
    </w:r>
    <w:r w:rsidRPr="002D17D4">
      <w:rPr>
        <w:b/>
      </w:rPr>
      <w:t xml:space="preserve"> </w:t>
    </w:r>
    <w:r>
      <w:rPr>
        <w:b/>
      </w:rPr>
      <w:fldChar w:fldCharType="begin" w:fldLock="1"/>
    </w:r>
    <w:r>
      <w:rPr>
        <w:b/>
      </w:rPr>
      <w:instrText xml:space="preserve"> REF DocNo \* charformat </w:instrText>
    </w:r>
    <w:r>
      <w:rPr>
        <w:b/>
      </w:rPr>
      <w:fldChar w:fldCharType="separate"/>
    </w:r>
    <w:r w:rsidRPr="007D3BF0">
      <w:rPr>
        <w:b/>
      </w:rPr>
      <w:t>136</w:t>
    </w:r>
    <w:r>
      <w:rPr>
        <w:b/>
      </w:rPr>
      <w:fldChar w:fldCharType="end"/>
    </w:r>
    <w:r>
      <w:rPr>
        <w:b/>
      </w:rPr>
      <w:t>-compiled</w:t>
    </w:r>
    <w:r w:rsidRPr="002D17D4">
      <w:rPr>
        <w:b/>
      </w:rPr>
      <w:tab/>
    </w:r>
    <w:r>
      <w:fldChar w:fldCharType="begin"/>
    </w:r>
    <w:r>
      <w:instrText xml:space="preserve"> PAGE </w:instrText>
    </w:r>
    <w:r>
      <w:fldChar w:fldCharType="separate"/>
    </w:r>
    <w:r w:rsidR="00C84A70">
      <w:rPr>
        <w:noProof/>
      </w:rPr>
      <w:t>33</w:t>
    </w:r>
    <w:r>
      <w:fldChar w:fldCharType="end"/>
    </w:r>
    <w:r w:rsidRPr="002D17D4">
      <w:rPr>
        <w:b/>
      </w:rPr>
      <w:tab/>
    </w:r>
    <w:r>
      <w:rPr>
        <w:b/>
      </w:rPr>
      <w:t>APPENDIX 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5" w14:textId="77777777" w:rsidR="00990B1F" w:rsidRPr="002D17D4" w:rsidRDefault="00990B1F" w:rsidP="002D17D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6" w14:textId="4A4A3F0E" w:rsidR="00990B1F" w:rsidRDefault="00990B1F" w:rsidP="00AE058A">
    <w:pPr>
      <w:pStyle w:val="Footer"/>
    </w:pPr>
    <w:r w:rsidRPr="00705552">
      <w:rPr>
        <w:b/>
      </w:rPr>
      <w:fldChar w:fldCharType="begin"/>
    </w:r>
    <w:r w:rsidRPr="00705552">
      <w:rPr>
        <w:b/>
      </w:rPr>
      <w:instrText xml:space="preserve"> REF DocTypeAbb\* charformat</w:instrText>
    </w:r>
    <w:r>
      <w:rPr>
        <w:b/>
      </w:rPr>
      <w:instrText xml:space="preserve"> </w:instrText>
    </w:r>
    <w:r w:rsidRPr="00705552">
      <w:rPr>
        <w:b/>
      </w:rPr>
      <w:fldChar w:fldCharType="separate"/>
    </w:r>
    <w:r w:rsidR="004E444B" w:rsidRPr="004E444B">
      <w:rPr>
        <w:b/>
      </w:rPr>
      <w:t>AASB</w:t>
    </w:r>
    <w:r w:rsidRPr="00705552">
      <w:rPr>
        <w:b/>
      </w:rPr>
      <w:fldChar w:fldCharType="end"/>
    </w:r>
    <w:r w:rsidRPr="00705552">
      <w:rPr>
        <w:b/>
      </w:rPr>
      <w:t xml:space="preserve"> </w:t>
    </w:r>
    <w:r>
      <w:rPr>
        <w:b/>
      </w:rPr>
      <w:fldChar w:fldCharType="begin" w:fldLock="1"/>
    </w:r>
    <w:r>
      <w:rPr>
        <w:b/>
      </w:rPr>
      <w:instrText xml:space="preserve"> REF DocNo \* charformat </w:instrText>
    </w:r>
    <w:r>
      <w:rPr>
        <w:b/>
      </w:rPr>
      <w:fldChar w:fldCharType="separate"/>
    </w:r>
    <w:r w:rsidRPr="007D3BF0">
      <w:rPr>
        <w:b/>
      </w:rPr>
      <w:t>136</w:t>
    </w:r>
    <w:r>
      <w:rPr>
        <w:b/>
      </w:rPr>
      <w:fldChar w:fldCharType="end"/>
    </w:r>
    <w:r>
      <w:rPr>
        <w:b/>
      </w:rPr>
      <w:t>-compiled</w:t>
    </w:r>
    <w:r>
      <w:tab/>
    </w:r>
    <w:r>
      <w:fldChar w:fldCharType="begin"/>
    </w:r>
    <w:r>
      <w:instrText xml:space="preserve"> page </w:instrText>
    </w:r>
    <w:r>
      <w:fldChar w:fldCharType="separate"/>
    </w:r>
    <w:r w:rsidR="00C84A70">
      <w:rPr>
        <w:noProof/>
      </w:rPr>
      <w:t>34</w:t>
    </w:r>
    <w:r>
      <w:fldChar w:fldCharType="end"/>
    </w:r>
    <w:r>
      <w:tab/>
    </w:r>
    <w:r w:rsidRPr="00814161">
      <w:rPr>
        <w:b/>
      </w:rPr>
      <w:t xml:space="preserve">APPENDIX </w:t>
    </w:r>
    <w:bookmarkStart w:id="23" w:name="AppendixNoFooter"/>
    <w:r>
      <w:rPr>
        <w:b/>
      </w:rPr>
      <w:t>D</w:t>
    </w:r>
    <w:bookmarkEnd w:id="23"/>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8" w14:textId="77777777" w:rsidR="00990B1F" w:rsidRPr="002D17D4" w:rsidRDefault="00990B1F" w:rsidP="002D17D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9" w14:textId="77777777" w:rsidR="00990B1F" w:rsidRPr="002D17D4" w:rsidRDefault="00990B1F" w:rsidP="002D17D4">
    <w:pPr>
      <w:pStyle w:val="Footer"/>
      <w:rPr>
        <w:b/>
      </w:rPr>
    </w:pPr>
    <w:r>
      <w:rPr>
        <w:b/>
      </w:rPr>
      <w:fldChar w:fldCharType="begin" w:fldLock="1"/>
    </w:r>
    <w:r>
      <w:rPr>
        <w:b/>
      </w:rPr>
      <w:instrText xml:space="preserve"> REF DocTypeAbb \* charformat </w:instrText>
    </w:r>
    <w:r>
      <w:rPr>
        <w:b/>
      </w:rPr>
      <w:fldChar w:fldCharType="separate"/>
    </w:r>
    <w:r w:rsidRPr="007D3BF0">
      <w:rPr>
        <w:b/>
      </w:rPr>
      <w:t>AASB</w:t>
    </w:r>
    <w:r>
      <w:rPr>
        <w:b/>
      </w:rPr>
      <w:fldChar w:fldCharType="end"/>
    </w:r>
    <w:r w:rsidRPr="002D17D4">
      <w:rPr>
        <w:b/>
      </w:rPr>
      <w:t xml:space="preserve"> </w:t>
    </w:r>
    <w:r>
      <w:rPr>
        <w:b/>
      </w:rPr>
      <w:fldChar w:fldCharType="begin" w:fldLock="1"/>
    </w:r>
    <w:r>
      <w:rPr>
        <w:b/>
      </w:rPr>
      <w:instrText xml:space="preserve"> REF DocNo \* charformat </w:instrText>
    </w:r>
    <w:r>
      <w:rPr>
        <w:b/>
      </w:rPr>
      <w:fldChar w:fldCharType="separate"/>
    </w:r>
    <w:r w:rsidRPr="007D3BF0">
      <w:rPr>
        <w:b/>
      </w:rPr>
      <w:t>136</w:t>
    </w:r>
    <w:r>
      <w:rPr>
        <w:b/>
      </w:rPr>
      <w:fldChar w:fldCharType="end"/>
    </w:r>
    <w:r>
      <w:rPr>
        <w:b/>
      </w:rPr>
      <w:t>-compiled</w:t>
    </w:r>
    <w:r w:rsidRPr="002D17D4">
      <w:rPr>
        <w:b/>
      </w:rPr>
      <w:tab/>
    </w:r>
    <w:r>
      <w:fldChar w:fldCharType="begin"/>
    </w:r>
    <w:r>
      <w:instrText xml:space="preserve"> PAGE </w:instrText>
    </w:r>
    <w:r>
      <w:fldChar w:fldCharType="separate"/>
    </w:r>
    <w:r w:rsidR="00C84A70">
      <w:rPr>
        <w:noProof/>
      </w:rPr>
      <w:t>35</w:t>
    </w:r>
    <w:r>
      <w:fldChar w:fldCharType="end"/>
    </w:r>
    <w:r w:rsidRPr="002D17D4">
      <w:rPr>
        <w:b/>
      </w:rPr>
      <w:tab/>
    </w:r>
    <w:r>
      <w:rPr>
        <w:b/>
      </w:rPr>
      <w:t>APPENDIX 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B" w14:textId="77777777" w:rsidR="00990B1F" w:rsidRPr="002D17D4" w:rsidRDefault="00990B1F" w:rsidP="002D1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0" w14:textId="77777777" w:rsidR="00990B1F" w:rsidRDefault="00990B1F">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7D3BF0">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7D3BF0">
      <w:rPr>
        <w:b/>
      </w:rPr>
      <w:t>136</w:t>
    </w:r>
    <w:r w:rsidRPr="00705552">
      <w:rPr>
        <w:b/>
      </w:rPr>
      <w:fldChar w:fldCharType="end"/>
    </w:r>
    <w:r>
      <w:rPr>
        <w:b/>
      </w:rPr>
      <w:t>-compiled</w:t>
    </w:r>
    <w:r>
      <w:tab/>
    </w:r>
    <w:r>
      <w:fldChar w:fldCharType="begin"/>
    </w:r>
    <w:r>
      <w:instrText xml:space="preserve"> page </w:instrText>
    </w:r>
    <w:r>
      <w:fldChar w:fldCharType="separate"/>
    </w:r>
    <w:r w:rsidR="00C84A70">
      <w:rPr>
        <w:noProof/>
      </w:rPr>
      <w:t>2</w:t>
    </w:r>
    <w:r>
      <w:fldChar w:fldCharType="end"/>
    </w:r>
    <w:r>
      <w:tab/>
    </w:r>
    <w:r w:rsidRPr="00705552">
      <w:rPr>
        <w:b/>
      </w:rPr>
      <w:t>COPYRIGHT</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C" w14:textId="77777777" w:rsidR="00990B1F" w:rsidRPr="002D17D4" w:rsidRDefault="00990B1F" w:rsidP="002D17D4">
    <w:pPr>
      <w:pStyle w:val="Footer"/>
      <w:rPr>
        <w:b/>
      </w:rPr>
    </w:pPr>
    <w:r>
      <w:rPr>
        <w:b/>
      </w:rPr>
      <w:fldChar w:fldCharType="begin" w:fldLock="1"/>
    </w:r>
    <w:r>
      <w:rPr>
        <w:b/>
      </w:rPr>
      <w:instrText xml:space="preserve"> REF DocTypeAbb \* charformat </w:instrText>
    </w:r>
    <w:r>
      <w:rPr>
        <w:b/>
      </w:rPr>
      <w:fldChar w:fldCharType="separate"/>
    </w:r>
    <w:r w:rsidRPr="007D3BF0">
      <w:rPr>
        <w:b/>
      </w:rPr>
      <w:t>AASB</w:t>
    </w:r>
    <w:r>
      <w:rPr>
        <w:b/>
      </w:rPr>
      <w:fldChar w:fldCharType="end"/>
    </w:r>
    <w:r w:rsidRPr="002D17D4">
      <w:rPr>
        <w:b/>
      </w:rPr>
      <w:t xml:space="preserve"> </w:t>
    </w:r>
    <w:r>
      <w:rPr>
        <w:b/>
      </w:rPr>
      <w:fldChar w:fldCharType="begin" w:fldLock="1"/>
    </w:r>
    <w:r>
      <w:rPr>
        <w:b/>
      </w:rPr>
      <w:instrText xml:space="preserve"> REF DocNo \* charformat </w:instrText>
    </w:r>
    <w:r>
      <w:rPr>
        <w:b/>
      </w:rPr>
      <w:fldChar w:fldCharType="separate"/>
    </w:r>
    <w:r w:rsidRPr="007D3BF0">
      <w:rPr>
        <w:b/>
      </w:rPr>
      <w:t>136</w:t>
    </w:r>
    <w:r>
      <w:rPr>
        <w:b/>
      </w:rPr>
      <w:fldChar w:fldCharType="end"/>
    </w:r>
    <w:r>
      <w:rPr>
        <w:b/>
      </w:rPr>
      <w:t>-compiled</w:t>
    </w:r>
    <w:r w:rsidRPr="002D17D4">
      <w:rPr>
        <w:b/>
      </w:rPr>
      <w:tab/>
    </w:r>
    <w:r>
      <w:fldChar w:fldCharType="begin"/>
    </w:r>
    <w:r>
      <w:instrText xml:space="preserve"> PAGE </w:instrText>
    </w:r>
    <w:r>
      <w:fldChar w:fldCharType="separate"/>
    </w:r>
    <w:r w:rsidR="00C84A70">
      <w:rPr>
        <w:noProof/>
      </w:rPr>
      <w:t>60</w:t>
    </w:r>
    <w:r>
      <w:fldChar w:fldCharType="end"/>
    </w:r>
    <w:r w:rsidRPr="002D17D4">
      <w:rPr>
        <w:b/>
      </w:rPr>
      <w:tab/>
    </w:r>
    <w:r>
      <w:rPr>
        <w:b/>
      </w:rPr>
      <w:t>EXAMPLES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D" w14:textId="77777777" w:rsidR="00990B1F" w:rsidRPr="002D17D4" w:rsidRDefault="00990B1F" w:rsidP="002D17D4">
    <w:pPr>
      <w:pStyle w:val="Footer"/>
      <w:rPr>
        <w:b/>
      </w:rPr>
    </w:pPr>
    <w:r>
      <w:rPr>
        <w:b/>
      </w:rPr>
      <w:fldChar w:fldCharType="begin" w:fldLock="1"/>
    </w:r>
    <w:r>
      <w:rPr>
        <w:b/>
      </w:rPr>
      <w:instrText xml:space="preserve"> REF DocTypeAbb \* charformat </w:instrText>
    </w:r>
    <w:r>
      <w:rPr>
        <w:b/>
      </w:rPr>
      <w:fldChar w:fldCharType="separate"/>
    </w:r>
    <w:r w:rsidRPr="007D3BF0">
      <w:rPr>
        <w:b/>
      </w:rPr>
      <w:t>AASB</w:t>
    </w:r>
    <w:r>
      <w:rPr>
        <w:b/>
      </w:rPr>
      <w:fldChar w:fldCharType="end"/>
    </w:r>
    <w:r w:rsidRPr="002D17D4">
      <w:rPr>
        <w:b/>
      </w:rPr>
      <w:t xml:space="preserve"> </w:t>
    </w:r>
    <w:r>
      <w:rPr>
        <w:b/>
      </w:rPr>
      <w:fldChar w:fldCharType="begin" w:fldLock="1"/>
    </w:r>
    <w:r>
      <w:rPr>
        <w:b/>
      </w:rPr>
      <w:instrText xml:space="preserve"> REF DocNo \* charformat </w:instrText>
    </w:r>
    <w:r>
      <w:rPr>
        <w:b/>
      </w:rPr>
      <w:fldChar w:fldCharType="separate"/>
    </w:r>
    <w:r w:rsidRPr="007D3BF0">
      <w:rPr>
        <w:b/>
      </w:rPr>
      <w:t>136</w:t>
    </w:r>
    <w:r>
      <w:rPr>
        <w:b/>
      </w:rPr>
      <w:fldChar w:fldCharType="end"/>
    </w:r>
    <w:r>
      <w:rPr>
        <w:b/>
      </w:rPr>
      <w:t>-compiled</w:t>
    </w:r>
    <w:r w:rsidRPr="002D17D4">
      <w:rPr>
        <w:b/>
      </w:rPr>
      <w:tab/>
    </w:r>
    <w:r>
      <w:fldChar w:fldCharType="begin"/>
    </w:r>
    <w:r>
      <w:instrText xml:space="preserve"> PAGE </w:instrText>
    </w:r>
    <w:r>
      <w:fldChar w:fldCharType="separate"/>
    </w:r>
    <w:r w:rsidR="00C84A70">
      <w:rPr>
        <w:noProof/>
      </w:rPr>
      <w:t>61</w:t>
    </w:r>
    <w:r>
      <w:fldChar w:fldCharType="end"/>
    </w:r>
    <w:r w:rsidRPr="002D17D4">
      <w:rPr>
        <w:b/>
      </w:rPr>
      <w:tab/>
    </w:r>
    <w:r>
      <w:rPr>
        <w:b/>
      </w:rPr>
      <w:t>COMPILATION DETAILS</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E" w14:textId="77777777" w:rsidR="00990B1F" w:rsidRDefault="00990B1F" w:rsidP="004D6E4E">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7D3BF0">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7D3BF0">
      <w:rPr>
        <w:b/>
      </w:rPr>
      <w:t>136</w:t>
    </w:r>
    <w:r w:rsidRPr="00705552">
      <w:rPr>
        <w:b/>
      </w:rPr>
      <w:fldChar w:fldCharType="end"/>
    </w:r>
    <w:r>
      <w:rPr>
        <w:b/>
      </w:rPr>
      <w:t>-compiled</w:t>
    </w:r>
    <w:r>
      <w:tab/>
    </w:r>
    <w:r>
      <w:fldChar w:fldCharType="begin"/>
    </w:r>
    <w:r>
      <w:instrText xml:space="preserve"> page </w:instrText>
    </w:r>
    <w:r>
      <w:fldChar w:fldCharType="separate"/>
    </w:r>
    <w:r w:rsidR="00C84A70">
      <w:rPr>
        <w:noProof/>
      </w:rPr>
      <w:t>62</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Pr="007D3BF0">
      <w:rPr>
        <w:b/>
      </w:rPr>
      <w:t>IAS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7D3BF0">
      <w:rPr>
        <w:b/>
      </w:rPr>
      <w:t>36</w:t>
    </w:r>
    <w:r>
      <w:rPr>
        <w:b/>
      </w:rPr>
      <w:fldChar w:fldCharType="end"/>
    </w:r>
    <w:r>
      <w:rPr>
        <w:b/>
      </w:rPr>
      <w:t xml:space="preserve"> TEXT</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10" w14:textId="77777777" w:rsidR="00990B1F" w:rsidRPr="002D17D4" w:rsidRDefault="00990B1F" w:rsidP="002D17D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11" w14:textId="03F81545" w:rsidR="00990B1F" w:rsidRDefault="00990B1F" w:rsidP="006762CD">
    <w:pPr>
      <w:pStyle w:val="Footer"/>
      <w:rPr>
        <w:b/>
      </w:rPr>
    </w:pPr>
    <w:r>
      <w:rPr>
        <w:b/>
      </w:rPr>
      <w:t xml:space="preserve">AASB </w:t>
    </w:r>
    <w:r>
      <w:rPr>
        <w:b/>
      </w:rPr>
      <w:fldChar w:fldCharType="begin"/>
    </w:r>
    <w:r>
      <w:rPr>
        <w:b/>
      </w:rPr>
      <w:instrText xml:space="preserve"> REF DocNo  \* charformat </w:instrText>
    </w:r>
    <w:r>
      <w:rPr>
        <w:b/>
      </w:rPr>
      <w:fldChar w:fldCharType="separate"/>
    </w:r>
    <w:r w:rsidR="004E444B" w:rsidRPr="004E444B">
      <w:rPr>
        <w:b/>
      </w:rPr>
      <w:t>136</w:t>
    </w:r>
    <w:r>
      <w:rPr>
        <w:b/>
      </w:rPr>
      <w:fldChar w:fldCharType="end"/>
    </w:r>
    <w:r>
      <w:rPr>
        <w:b/>
      </w:rPr>
      <w:t>-compiled</w:t>
    </w:r>
    <w:r>
      <w:rPr>
        <w:b/>
      </w:rPr>
      <w:tab/>
    </w:r>
    <w:r>
      <w:fldChar w:fldCharType="begin"/>
    </w:r>
    <w:r>
      <w:instrText>PAGE</w:instrText>
    </w:r>
    <w:r>
      <w:fldChar w:fldCharType="separate"/>
    </w:r>
    <w:r w:rsidR="00C84A70">
      <w:rPr>
        <w:noProof/>
      </w:rPr>
      <w:t>67</w:t>
    </w:r>
    <w:r>
      <w:fldChar w:fldCharType="end"/>
    </w:r>
    <w:r>
      <w:tab/>
    </w:r>
    <w:r>
      <w:rPr>
        <w:b/>
      </w:rPr>
      <w:t>BASIS FOR CONCLUSIONS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2" w14:textId="77777777" w:rsidR="00990B1F" w:rsidRDefault="00990B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3" w14:textId="77777777" w:rsidR="00990B1F" w:rsidRPr="00705552" w:rsidRDefault="00990B1F" w:rsidP="004D6E4E">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7D3BF0">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7D3BF0">
      <w:rPr>
        <w:b/>
      </w:rPr>
      <w:t>136</w:t>
    </w:r>
    <w:r w:rsidRPr="00705552">
      <w:rPr>
        <w:b/>
      </w:rPr>
      <w:fldChar w:fldCharType="end"/>
    </w:r>
    <w:r>
      <w:rPr>
        <w:b/>
      </w:rPr>
      <w:t>-compiled</w:t>
    </w:r>
    <w:r>
      <w:tab/>
    </w:r>
    <w:r>
      <w:fldChar w:fldCharType="begin"/>
    </w:r>
    <w:r>
      <w:instrText xml:space="preserve"> page </w:instrText>
    </w:r>
    <w:r>
      <w:fldChar w:fldCharType="separate"/>
    </w:r>
    <w:r w:rsidR="00C84A70">
      <w:rPr>
        <w:noProof/>
      </w:rPr>
      <w:t>4</w:t>
    </w:r>
    <w:r>
      <w:fldChar w:fldCharType="end"/>
    </w:r>
    <w:r>
      <w:tab/>
    </w:r>
    <w:r>
      <w:rPr>
        <w:b/>
      </w:rPr>
      <w:t>CONTENTS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5" w14:textId="77777777" w:rsidR="00990B1F" w:rsidRDefault="00990B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6" w14:textId="77777777" w:rsidR="00990B1F" w:rsidRDefault="00990B1F" w:rsidP="004D6E4E">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7D3BF0">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7D3BF0">
      <w:rPr>
        <w:b/>
      </w:rPr>
      <w:t>136</w:t>
    </w:r>
    <w:r w:rsidRPr="00705552">
      <w:rPr>
        <w:b/>
      </w:rPr>
      <w:fldChar w:fldCharType="end"/>
    </w:r>
    <w:r>
      <w:rPr>
        <w:b/>
      </w:rPr>
      <w:t>-compiled</w:t>
    </w:r>
    <w:r>
      <w:tab/>
    </w:r>
    <w:r>
      <w:fldChar w:fldCharType="begin"/>
    </w:r>
    <w:r>
      <w:instrText xml:space="preserve"> page </w:instrText>
    </w:r>
    <w:r>
      <w:fldChar w:fldCharType="separate"/>
    </w:r>
    <w:r w:rsidR="00C84A70">
      <w:rPr>
        <w:noProof/>
      </w:rPr>
      <w:t>5</w:t>
    </w:r>
    <w:r>
      <w:fldChar w:fldCharType="end"/>
    </w:r>
    <w:r>
      <w:tab/>
    </w:r>
    <w:r>
      <w:rPr>
        <w:b/>
      </w:rPr>
      <w:t>COMPARISON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8" w14:textId="77777777" w:rsidR="00990B1F" w:rsidRPr="002D17D4" w:rsidRDefault="00990B1F" w:rsidP="002D17D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9" w14:textId="77777777" w:rsidR="00990B1F" w:rsidRPr="002D17D4" w:rsidRDefault="00990B1F" w:rsidP="002D17D4">
    <w:pPr>
      <w:pStyle w:val="Footer"/>
      <w:rPr>
        <w:b/>
      </w:rPr>
    </w:pPr>
    <w:r>
      <w:rPr>
        <w:b/>
      </w:rPr>
      <w:fldChar w:fldCharType="begin" w:fldLock="1"/>
    </w:r>
    <w:r>
      <w:rPr>
        <w:b/>
      </w:rPr>
      <w:instrText xml:space="preserve"> REF DocTypeAbb \* charformat </w:instrText>
    </w:r>
    <w:r>
      <w:rPr>
        <w:b/>
      </w:rPr>
      <w:fldChar w:fldCharType="separate"/>
    </w:r>
    <w:r w:rsidRPr="007D3BF0">
      <w:rPr>
        <w:b/>
      </w:rPr>
      <w:t>AASB</w:t>
    </w:r>
    <w:r>
      <w:rPr>
        <w:b/>
      </w:rPr>
      <w:fldChar w:fldCharType="end"/>
    </w:r>
    <w:r w:rsidRPr="002D17D4">
      <w:rPr>
        <w:b/>
      </w:rPr>
      <w:t xml:space="preserve"> </w:t>
    </w:r>
    <w:r>
      <w:rPr>
        <w:b/>
      </w:rPr>
      <w:fldChar w:fldCharType="begin" w:fldLock="1"/>
    </w:r>
    <w:r>
      <w:rPr>
        <w:b/>
      </w:rPr>
      <w:instrText xml:space="preserve"> REF DocNo \* charformat </w:instrText>
    </w:r>
    <w:r>
      <w:rPr>
        <w:b/>
      </w:rPr>
      <w:fldChar w:fldCharType="separate"/>
    </w:r>
    <w:r w:rsidRPr="007D3BF0">
      <w:rPr>
        <w:b/>
      </w:rPr>
      <w:t>136</w:t>
    </w:r>
    <w:r>
      <w:rPr>
        <w:b/>
      </w:rPr>
      <w:fldChar w:fldCharType="end"/>
    </w:r>
    <w:r>
      <w:rPr>
        <w:b/>
      </w:rPr>
      <w:t>-compiled</w:t>
    </w:r>
    <w:r w:rsidRPr="002D17D4">
      <w:rPr>
        <w:b/>
      </w:rPr>
      <w:tab/>
    </w:r>
    <w:r>
      <w:fldChar w:fldCharType="begin"/>
    </w:r>
    <w:r>
      <w:instrText xml:space="preserve"> PAGE </w:instrText>
    </w:r>
    <w:r>
      <w:fldChar w:fldCharType="separate"/>
    </w:r>
    <w:r w:rsidR="00C84A70">
      <w:rPr>
        <w:noProof/>
      </w:rPr>
      <w:t>22</w:t>
    </w:r>
    <w:r>
      <w:fldChar w:fldCharType="end"/>
    </w:r>
    <w:r w:rsidRPr="002D17D4">
      <w:rPr>
        <w:b/>
      </w:rPr>
      <w:tab/>
    </w:r>
    <w:r>
      <w:rPr>
        <w:b/>
      </w:rPr>
      <w:fldChar w:fldCharType="begin" w:fldLock="1"/>
    </w:r>
    <w:r>
      <w:rPr>
        <w:b/>
      </w:rPr>
      <w:instrText xml:space="preserve"> REF DocType \* charformat \* upper </w:instrText>
    </w:r>
    <w:r>
      <w:rPr>
        <w:b/>
      </w:rPr>
      <w:fldChar w:fldCharType="separate"/>
    </w:r>
    <w:r w:rsidRPr="007D3BF0">
      <w:rPr>
        <w:b/>
      </w:rPr>
      <w:t>STANDARD</w:t>
    </w:r>
    <w:r>
      <w:rPr>
        <w: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B" w14:textId="77777777" w:rsidR="00990B1F" w:rsidRPr="002D17D4" w:rsidRDefault="00990B1F" w:rsidP="002D1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E509" w14:textId="77777777" w:rsidR="004974FB" w:rsidRDefault="004974FB">
      <w:r>
        <w:separator/>
      </w:r>
    </w:p>
  </w:footnote>
  <w:footnote w:type="continuationSeparator" w:id="0">
    <w:p w14:paraId="4731C5A0" w14:textId="77777777" w:rsidR="004974FB" w:rsidRDefault="004974FB">
      <w:r>
        <w:continuationSeparator/>
      </w:r>
    </w:p>
  </w:footnote>
  <w:footnote w:type="continuationNotice" w:id="1">
    <w:p w14:paraId="0E80285F" w14:textId="77777777" w:rsidR="004974FB" w:rsidRDefault="004974FB"/>
  </w:footnote>
  <w:footnote w:id="2">
    <w:p w14:paraId="0BB2EB12" w14:textId="77777777" w:rsidR="00990B1F" w:rsidRDefault="00990B1F" w:rsidP="00490BF7">
      <w:pPr>
        <w:shd w:val="clear" w:color="auto" w:fill="FFFFFF"/>
        <w:ind w:left="284" w:hanging="284"/>
        <w:jc w:val="both"/>
        <w:rPr>
          <w:rStyle w:val="FootnoteReference"/>
          <w:sz w:val="16"/>
          <w:szCs w:val="20"/>
          <w:vertAlign w:val="baseline"/>
          <w:lang w:val="en-US"/>
        </w:rPr>
      </w:pPr>
      <w:r w:rsidRPr="00C15484">
        <w:rPr>
          <w:rStyle w:val="FootnoteReference"/>
          <w:sz w:val="16"/>
          <w:szCs w:val="16"/>
          <w:vertAlign w:val="baseline"/>
        </w:rPr>
        <w:footnoteRef/>
      </w:r>
      <w:r>
        <w:tab/>
      </w:r>
      <w:r>
        <w:rPr>
          <w:rStyle w:val="FootnoteReference"/>
          <w:sz w:val="16"/>
          <w:szCs w:val="20"/>
          <w:vertAlign w:val="baseline"/>
        </w:rPr>
        <w:t>In the case of an intangible asset, the term ‘amortisation’ is generally used instead of ‘depreciation’. The two terms have the same meaning.</w:t>
      </w:r>
    </w:p>
  </w:footnote>
  <w:footnote w:id="3">
    <w:p w14:paraId="0BB2EB13" w14:textId="77777777" w:rsidR="00990B1F" w:rsidRDefault="00990B1F" w:rsidP="00490BF7">
      <w:pPr>
        <w:shd w:val="clear" w:color="auto" w:fill="FFFFFF"/>
        <w:ind w:left="284" w:hanging="284"/>
        <w:jc w:val="both"/>
        <w:rPr>
          <w:rStyle w:val="FootnoteReference"/>
          <w:sz w:val="16"/>
          <w:szCs w:val="20"/>
          <w:vertAlign w:val="baseline"/>
          <w:lang w:val="en-US"/>
        </w:rPr>
      </w:pPr>
      <w:r w:rsidRPr="00C15484">
        <w:rPr>
          <w:rStyle w:val="FootnoteReference"/>
          <w:sz w:val="16"/>
          <w:szCs w:val="16"/>
          <w:vertAlign w:val="baseline"/>
        </w:rPr>
        <w:footnoteRef/>
      </w:r>
      <w:r w:rsidRPr="00C15484">
        <w:rPr>
          <w:sz w:val="16"/>
          <w:szCs w:val="16"/>
        </w:rPr>
        <w:tab/>
      </w:r>
      <w:r>
        <w:rPr>
          <w:rStyle w:val="FootnoteReference"/>
          <w:sz w:val="16"/>
          <w:szCs w:val="20"/>
          <w:vertAlign w:val="baseline"/>
        </w:rPr>
        <w:t xml:space="preserve">Once an asset meets the criteria to be classified as held for sale (or is included in a disposal group that is classified as held for sale), it is excluded from the scope of this Standard and is accounted for in accordance with AASB 5 </w:t>
      </w:r>
      <w:r>
        <w:rPr>
          <w:rStyle w:val="FootnoteReference"/>
          <w:i/>
          <w:sz w:val="16"/>
          <w:szCs w:val="20"/>
          <w:vertAlign w:val="baseline"/>
        </w:rPr>
        <w:t>Non-current Assets Held for Sale and Discontinued Operations</w:t>
      </w:r>
      <w:r>
        <w:rPr>
          <w:rStyle w:val="FootnoteReference"/>
          <w:sz w:val="16"/>
          <w:szCs w:val="20"/>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EC" w14:textId="77777777" w:rsidR="00990B1F" w:rsidRDefault="00990B1F">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1" w14:textId="77777777" w:rsidR="00990B1F" w:rsidRPr="002D17D4" w:rsidRDefault="00990B1F" w:rsidP="002D17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4" w14:textId="77777777" w:rsidR="00990B1F" w:rsidRPr="002D17D4" w:rsidRDefault="00990B1F" w:rsidP="002D17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7" w14:textId="77777777" w:rsidR="00990B1F" w:rsidRPr="002D17D4" w:rsidRDefault="00990B1F" w:rsidP="002D17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A" w14:textId="77777777" w:rsidR="00990B1F" w:rsidRPr="002D17D4" w:rsidRDefault="00990B1F" w:rsidP="002D17D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B0F" w14:textId="77777777" w:rsidR="00990B1F" w:rsidRPr="002D17D4" w:rsidRDefault="00990B1F" w:rsidP="002D1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ED" w14:textId="77777777" w:rsidR="00990B1F" w:rsidRDefault="00990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EE" w14:textId="77777777" w:rsidR="00990B1F" w:rsidRDefault="00990B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1" w14:textId="77777777" w:rsidR="00990B1F" w:rsidRDefault="00990B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4" w14:textId="77777777" w:rsidR="00990B1F" w:rsidRDefault="00990B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7" w14:textId="77777777" w:rsidR="00990B1F" w:rsidRPr="002D17D4" w:rsidRDefault="00990B1F" w:rsidP="002D17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A" w14:textId="77777777" w:rsidR="00990B1F" w:rsidRPr="002D17D4" w:rsidRDefault="00990B1F" w:rsidP="002D17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C" w14:textId="77777777" w:rsidR="00990B1F" w:rsidRPr="002D17D4" w:rsidRDefault="00990B1F" w:rsidP="002D17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EAFF" w14:textId="77777777" w:rsidR="00990B1F" w:rsidRPr="002D17D4" w:rsidRDefault="00990B1F" w:rsidP="002D1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9E0940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1A0B61"/>
    <w:multiLevelType w:val="hybridMultilevel"/>
    <w:tmpl w:val="C116E374"/>
    <w:lvl w:ilvl="0" w:tplc="B748FCEE">
      <w:start w:val="1"/>
      <w:numFmt w:val="lowerLetter"/>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2576465B"/>
    <w:multiLevelType w:val="multilevel"/>
    <w:tmpl w:val="6602C52E"/>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AB2379F"/>
    <w:multiLevelType w:val="hybridMultilevel"/>
    <w:tmpl w:val="398AB95C"/>
    <w:lvl w:ilvl="0" w:tplc="7C843FCC">
      <w:start w:val="1"/>
      <w:numFmt w:val="lowerLetter"/>
      <w:lvlText w:val="(%1)"/>
      <w:lvlJc w:val="left"/>
      <w:pPr>
        <w:ind w:left="720" w:hanging="360"/>
      </w:pPr>
      <w:rPr>
        <w:rFonts w:cs="Times New Roman" w:hint="default"/>
        <w:sz w:val="19"/>
        <w:szCs w:val="19"/>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61542243"/>
    <w:multiLevelType w:val="multilevel"/>
    <w:tmpl w:val="E1A037D0"/>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num w:numId="1" w16cid:durableId="1695496928">
    <w:abstractNumId w:val="4"/>
  </w:num>
  <w:num w:numId="2" w16cid:durableId="1433472472">
    <w:abstractNumId w:val="1"/>
  </w:num>
  <w:num w:numId="3" w16cid:durableId="1010527853">
    <w:abstractNumId w:val="5"/>
  </w:num>
  <w:num w:numId="4" w16cid:durableId="1416977955">
    <w:abstractNumId w:val="3"/>
  </w:num>
  <w:num w:numId="5" w16cid:durableId="1510942604">
    <w:abstractNumId w:val="2"/>
  </w:num>
  <w:num w:numId="6" w16cid:durableId="142202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SortMethod w:val="000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MTC0NDMztDQ3NLZU0lEKTi0uzszPAykwNK4FAEevDOwtAAAA"/>
  </w:docVars>
  <w:rsids>
    <w:rsidRoot w:val="008A73CB"/>
    <w:rsid w:val="00002702"/>
    <w:rsid w:val="00015F61"/>
    <w:rsid w:val="00047152"/>
    <w:rsid w:val="000526FA"/>
    <w:rsid w:val="000576C5"/>
    <w:rsid w:val="00082E81"/>
    <w:rsid w:val="00095839"/>
    <w:rsid w:val="000A55C7"/>
    <w:rsid w:val="000B4EC8"/>
    <w:rsid w:val="000E1331"/>
    <w:rsid w:val="00113C68"/>
    <w:rsid w:val="00116510"/>
    <w:rsid w:val="00120ACC"/>
    <w:rsid w:val="001261BF"/>
    <w:rsid w:val="0012768D"/>
    <w:rsid w:val="00133302"/>
    <w:rsid w:val="00140E97"/>
    <w:rsid w:val="00143377"/>
    <w:rsid w:val="00143D3A"/>
    <w:rsid w:val="00153E81"/>
    <w:rsid w:val="00160235"/>
    <w:rsid w:val="001652F7"/>
    <w:rsid w:val="00170850"/>
    <w:rsid w:val="0017573B"/>
    <w:rsid w:val="00191D60"/>
    <w:rsid w:val="001954A0"/>
    <w:rsid w:val="001B2214"/>
    <w:rsid w:val="001B455B"/>
    <w:rsid w:val="001C133E"/>
    <w:rsid w:val="001C5020"/>
    <w:rsid w:val="001D073E"/>
    <w:rsid w:val="001E55CD"/>
    <w:rsid w:val="001F1785"/>
    <w:rsid w:val="00202788"/>
    <w:rsid w:val="00215EB4"/>
    <w:rsid w:val="00223423"/>
    <w:rsid w:val="002348A5"/>
    <w:rsid w:val="00235A13"/>
    <w:rsid w:val="0024253C"/>
    <w:rsid w:val="0024626D"/>
    <w:rsid w:val="002629F6"/>
    <w:rsid w:val="002637BA"/>
    <w:rsid w:val="00266001"/>
    <w:rsid w:val="00271326"/>
    <w:rsid w:val="00272B26"/>
    <w:rsid w:val="002759E7"/>
    <w:rsid w:val="00295813"/>
    <w:rsid w:val="002A13F3"/>
    <w:rsid w:val="002A3E03"/>
    <w:rsid w:val="002B1606"/>
    <w:rsid w:val="002C28C3"/>
    <w:rsid w:val="002D13BF"/>
    <w:rsid w:val="002D14D4"/>
    <w:rsid w:val="002D17D4"/>
    <w:rsid w:val="002D2359"/>
    <w:rsid w:val="002D27C9"/>
    <w:rsid w:val="002D54B2"/>
    <w:rsid w:val="002E1D9C"/>
    <w:rsid w:val="002E249C"/>
    <w:rsid w:val="002E3FD6"/>
    <w:rsid w:val="002F3B7E"/>
    <w:rsid w:val="0030034C"/>
    <w:rsid w:val="00313AE5"/>
    <w:rsid w:val="00322477"/>
    <w:rsid w:val="0032735F"/>
    <w:rsid w:val="00331C1F"/>
    <w:rsid w:val="00335A1A"/>
    <w:rsid w:val="00337460"/>
    <w:rsid w:val="00344FFD"/>
    <w:rsid w:val="00351E91"/>
    <w:rsid w:val="00356AB2"/>
    <w:rsid w:val="00356F3D"/>
    <w:rsid w:val="00361651"/>
    <w:rsid w:val="003652D6"/>
    <w:rsid w:val="003656D7"/>
    <w:rsid w:val="00373F92"/>
    <w:rsid w:val="00380F45"/>
    <w:rsid w:val="00387762"/>
    <w:rsid w:val="00391327"/>
    <w:rsid w:val="0039293D"/>
    <w:rsid w:val="003A31FE"/>
    <w:rsid w:val="003B47F5"/>
    <w:rsid w:val="003D7AA4"/>
    <w:rsid w:val="003E3FCC"/>
    <w:rsid w:val="003F3F7C"/>
    <w:rsid w:val="0040372D"/>
    <w:rsid w:val="00404A8A"/>
    <w:rsid w:val="00441F51"/>
    <w:rsid w:val="00445A85"/>
    <w:rsid w:val="00447449"/>
    <w:rsid w:val="00456F3A"/>
    <w:rsid w:val="0045751D"/>
    <w:rsid w:val="00471B34"/>
    <w:rsid w:val="00485C9E"/>
    <w:rsid w:val="0048773C"/>
    <w:rsid w:val="00490BF7"/>
    <w:rsid w:val="004974FB"/>
    <w:rsid w:val="0049768D"/>
    <w:rsid w:val="004A33B3"/>
    <w:rsid w:val="004A6B2B"/>
    <w:rsid w:val="004B39FF"/>
    <w:rsid w:val="004B49E9"/>
    <w:rsid w:val="004C3B7D"/>
    <w:rsid w:val="004D2966"/>
    <w:rsid w:val="004D3D5B"/>
    <w:rsid w:val="004D6859"/>
    <w:rsid w:val="004D6E4E"/>
    <w:rsid w:val="004E220D"/>
    <w:rsid w:val="004E444B"/>
    <w:rsid w:val="004F0246"/>
    <w:rsid w:val="004F6C84"/>
    <w:rsid w:val="0050664D"/>
    <w:rsid w:val="0051226D"/>
    <w:rsid w:val="00513E65"/>
    <w:rsid w:val="005253D4"/>
    <w:rsid w:val="0053305F"/>
    <w:rsid w:val="00541022"/>
    <w:rsid w:val="00550820"/>
    <w:rsid w:val="00556144"/>
    <w:rsid w:val="005570EE"/>
    <w:rsid w:val="00561600"/>
    <w:rsid w:val="00594D21"/>
    <w:rsid w:val="00596644"/>
    <w:rsid w:val="005B35A7"/>
    <w:rsid w:val="005C0771"/>
    <w:rsid w:val="005C41AA"/>
    <w:rsid w:val="005D3E84"/>
    <w:rsid w:val="005E4557"/>
    <w:rsid w:val="005E77AB"/>
    <w:rsid w:val="005F7281"/>
    <w:rsid w:val="005F788D"/>
    <w:rsid w:val="006067E8"/>
    <w:rsid w:val="00614325"/>
    <w:rsid w:val="006310D1"/>
    <w:rsid w:val="00634ECC"/>
    <w:rsid w:val="00655242"/>
    <w:rsid w:val="00665A74"/>
    <w:rsid w:val="006735CD"/>
    <w:rsid w:val="00673CDB"/>
    <w:rsid w:val="006762CD"/>
    <w:rsid w:val="00687A5B"/>
    <w:rsid w:val="006A2DAD"/>
    <w:rsid w:val="006A3368"/>
    <w:rsid w:val="006B1BC5"/>
    <w:rsid w:val="006B1E6A"/>
    <w:rsid w:val="006B37A3"/>
    <w:rsid w:val="006B51A4"/>
    <w:rsid w:val="006C1CE5"/>
    <w:rsid w:val="006D1BEE"/>
    <w:rsid w:val="006E1E57"/>
    <w:rsid w:val="006F5B9F"/>
    <w:rsid w:val="007103E2"/>
    <w:rsid w:val="0071722B"/>
    <w:rsid w:val="007323F7"/>
    <w:rsid w:val="00736422"/>
    <w:rsid w:val="007418E9"/>
    <w:rsid w:val="00763976"/>
    <w:rsid w:val="00763C72"/>
    <w:rsid w:val="00764882"/>
    <w:rsid w:val="0076544D"/>
    <w:rsid w:val="00775BE3"/>
    <w:rsid w:val="0079193D"/>
    <w:rsid w:val="00793C9A"/>
    <w:rsid w:val="00793F63"/>
    <w:rsid w:val="007A6299"/>
    <w:rsid w:val="007C3206"/>
    <w:rsid w:val="007D3BF0"/>
    <w:rsid w:val="007D6249"/>
    <w:rsid w:val="007E3DCB"/>
    <w:rsid w:val="007F493B"/>
    <w:rsid w:val="008042D8"/>
    <w:rsid w:val="00821800"/>
    <w:rsid w:val="00824E04"/>
    <w:rsid w:val="00825C51"/>
    <w:rsid w:val="008278EE"/>
    <w:rsid w:val="008423AC"/>
    <w:rsid w:val="0085339B"/>
    <w:rsid w:val="008636B7"/>
    <w:rsid w:val="00865D64"/>
    <w:rsid w:val="00867011"/>
    <w:rsid w:val="0087114D"/>
    <w:rsid w:val="00871CEE"/>
    <w:rsid w:val="0088677D"/>
    <w:rsid w:val="00886B65"/>
    <w:rsid w:val="008A2491"/>
    <w:rsid w:val="008A73CB"/>
    <w:rsid w:val="008B0F69"/>
    <w:rsid w:val="008D4921"/>
    <w:rsid w:val="008F10E5"/>
    <w:rsid w:val="008F259C"/>
    <w:rsid w:val="008F3988"/>
    <w:rsid w:val="0090521E"/>
    <w:rsid w:val="009135DD"/>
    <w:rsid w:val="00921E8C"/>
    <w:rsid w:val="00922143"/>
    <w:rsid w:val="0093095A"/>
    <w:rsid w:val="00936E62"/>
    <w:rsid w:val="009477C3"/>
    <w:rsid w:val="009564C9"/>
    <w:rsid w:val="009572B3"/>
    <w:rsid w:val="00957809"/>
    <w:rsid w:val="009709A2"/>
    <w:rsid w:val="00975700"/>
    <w:rsid w:val="00990B1F"/>
    <w:rsid w:val="009D5E84"/>
    <w:rsid w:val="009E3BAC"/>
    <w:rsid w:val="009E6077"/>
    <w:rsid w:val="009F0960"/>
    <w:rsid w:val="009F5130"/>
    <w:rsid w:val="009F7ABE"/>
    <w:rsid w:val="00A00EFB"/>
    <w:rsid w:val="00A16EAC"/>
    <w:rsid w:val="00A32D47"/>
    <w:rsid w:val="00A366E4"/>
    <w:rsid w:val="00A418E1"/>
    <w:rsid w:val="00A53697"/>
    <w:rsid w:val="00A61D7C"/>
    <w:rsid w:val="00A70D7B"/>
    <w:rsid w:val="00A724BD"/>
    <w:rsid w:val="00A77F1D"/>
    <w:rsid w:val="00AC3EA4"/>
    <w:rsid w:val="00AD5389"/>
    <w:rsid w:val="00AD7570"/>
    <w:rsid w:val="00AE058A"/>
    <w:rsid w:val="00AE4445"/>
    <w:rsid w:val="00AF3A41"/>
    <w:rsid w:val="00AF44E9"/>
    <w:rsid w:val="00AF49EE"/>
    <w:rsid w:val="00AF6F29"/>
    <w:rsid w:val="00B01598"/>
    <w:rsid w:val="00B01AC0"/>
    <w:rsid w:val="00B141F4"/>
    <w:rsid w:val="00B1586E"/>
    <w:rsid w:val="00B173C2"/>
    <w:rsid w:val="00B57BD2"/>
    <w:rsid w:val="00B669EA"/>
    <w:rsid w:val="00B715F5"/>
    <w:rsid w:val="00B72BDC"/>
    <w:rsid w:val="00B73B10"/>
    <w:rsid w:val="00B86EF3"/>
    <w:rsid w:val="00BA3322"/>
    <w:rsid w:val="00BB2221"/>
    <w:rsid w:val="00BC677E"/>
    <w:rsid w:val="00BC697C"/>
    <w:rsid w:val="00BE0789"/>
    <w:rsid w:val="00BE4AE5"/>
    <w:rsid w:val="00BF0E91"/>
    <w:rsid w:val="00BF4520"/>
    <w:rsid w:val="00BF4552"/>
    <w:rsid w:val="00C15484"/>
    <w:rsid w:val="00C25C0D"/>
    <w:rsid w:val="00C2799C"/>
    <w:rsid w:val="00C32E15"/>
    <w:rsid w:val="00C4308F"/>
    <w:rsid w:val="00C524B3"/>
    <w:rsid w:val="00C603D3"/>
    <w:rsid w:val="00C7355B"/>
    <w:rsid w:val="00C75268"/>
    <w:rsid w:val="00C84A70"/>
    <w:rsid w:val="00C93A1A"/>
    <w:rsid w:val="00CC5D6A"/>
    <w:rsid w:val="00CC7B5B"/>
    <w:rsid w:val="00CD1E49"/>
    <w:rsid w:val="00CE1CBA"/>
    <w:rsid w:val="00CF47DB"/>
    <w:rsid w:val="00CF6FD3"/>
    <w:rsid w:val="00D00827"/>
    <w:rsid w:val="00D2349D"/>
    <w:rsid w:val="00D35B4A"/>
    <w:rsid w:val="00D45844"/>
    <w:rsid w:val="00D56070"/>
    <w:rsid w:val="00D6620F"/>
    <w:rsid w:val="00D84354"/>
    <w:rsid w:val="00D92831"/>
    <w:rsid w:val="00DA7E00"/>
    <w:rsid w:val="00DD7E60"/>
    <w:rsid w:val="00DE4EFA"/>
    <w:rsid w:val="00DE6CEE"/>
    <w:rsid w:val="00DF5F8F"/>
    <w:rsid w:val="00E010B6"/>
    <w:rsid w:val="00E012BC"/>
    <w:rsid w:val="00E344F1"/>
    <w:rsid w:val="00E43A59"/>
    <w:rsid w:val="00E770EA"/>
    <w:rsid w:val="00E829EE"/>
    <w:rsid w:val="00E82E12"/>
    <w:rsid w:val="00E8630C"/>
    <w:rsid w:val="00EB33C1"/>
    <w:rsid w:val="00EC522E"/>
    <w:rsid w:val="00ED2FF9"/>
    <w:rsid w:val="00EE04B7"/>
    <w:rsid w:val="00F11097"/>
    <w:rsid w:val="00F17F49"/>
    <w:rsid w:val="00F21C6C"/>
    <w:rsid w:val="00F236C3"/>
    <w:rsid w:val="00F25ECA"/>
    <w:rsid w:val="00F3051F"/>
    <w:rsid w:val="00F3128E"/>
    <w:rsid w:val="00F328BA"/>
    <w:rsid w:val="00F32A3B"/>
    <w:rsid w:val="00F346A5"/>
    <w:rsid w:val="00F568CF"/>
    <w:rsid w:val="00F923A7"/>
    <w:rsid w:val="00F9710F"/>
    <w:rsid w:val="00FA68EB"/>
    <w:rsid w:val="00FB07E6"/>
    <w:rsid w:val="00FB1B31"/>
    <w:rsid w:val="00FB7106"/>
    <w:rsid w:val="00FC4CD4"/>
    <w:rsid w:val="00FD04F6"/>
    <w:rsid w:val="00FE76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B2DE94"/>
  <w14:defaultImageDpi w14:val="96"/>
  <w15:docId w15:val="{FCEDA706-BE26-4D64-AF9F-2544B2D0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51226D"/>
    <w:rPr>
      <w:sz w:val="19"/>
      <w:szCs w:val="24"/>
      <w:lang w:eastAsia="en-US"/>
    </w:rPr>
  </w:style>
  <w:style w:type="paragraph" w:styleId="Heading1">
    <w:name w:val="heading 1"/>
    <w:basedOn w:val="Normal"/>
    <w:next w:val="Normal"/>
    <w:link w:val="Heading1Char"/>
    <w:uiPriority w:val="9"/>
    <w:qFormat/>
    <w:rsid w:val="00456F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456F3A"/>
    <w:pPr>
      <w:keepLines w:val="0"/>
      <w:spacing w:before="0" w:after="200" w:line="280" w:lineRule="exact"/>
      <w:outlineLvl w:val="1"/>
    </w:pPr>
    <w:rPr>
      <w:rFonts w:ascii="Times New Roman" w:eastAsia="Times New Roman" w:hAnsi="Times New Roman" w:cs="Arial"/>
      <w:bCs w:val="0"/>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673CDB"/>
    <w:pPr>
      <w:tabs>
        <w:tab w:val="left" w:pos="4253"/>
      </w:tabs>
      <w:spacing w:before="100" w:after="100"/>
      <w:jc w:val="both"/>
    </w:pPr>
    <w:rPr>
      <w:sz w:val="19"/>
      <w:lang w:eastAsia="en-US"/>
    </w:rPr>
  </w:style>
  <w:style w:type="paragraph" w:customStyle="1" w:styleId="IASBNormalnpara">
    <w:name w:val="IASB Normal npara"/>
    <w:basedOn w:val="IASBNormal"/>
    <w:link w:val="IASBNormalnparaChar"/>
    <w:uiPriority w:val="8"/>
    <w:qFormat/>
    <w:rsid w:val="00673CDB"/>
    <w:pPr>
      <w:tabs>
        <w:tab w:val="clear" w:pos="4253"/>
      </w:tabs>
      <w:spacing w:after="0"/>
      <w:ind w:left="782" w:hanging="782"/>
    </w:pPr>
  </w:style>
  <w:style w:type="paragraph" w:customStyle="1" w:styleId="IASBSectionTitle1Ind">
    <w:name w:val="IASB Section Title 1 Ind"/>
    <w:basedOn w:val="Normal"/>
    <w:uiPriority w:val="8"/>
    <w:rsid w:val="00673CDB"/>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673CDB"/>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673CDB"/>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673CDB"/>
    <w:pPr>
      <w:spacing w:before="240"/>
      <w:ind w:left="782"/>
    </w:pPr>
  </w:style>
  <w:style w:type="paragraph" w:customStyle="1" w:styleId="IASBSectionTitle3NonInd">
    <w:name w:val="IASB Section Title 3 NonInd"/>
    <w:basedOn w:val="Normal"/>
    <w:uiPriority w:val="8"/>
    <w:rsid w:val="00673CDB"/>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673CDB"/>
    <w:pPr>
      <w:spacing w:before="240"/>
      <w:ind w:left="782"/>
    </w:pPr>
  </w:style>
  <w:style w:type="paragraph" w:customStyle="1" w:styleId="IASBSectionTitle4NonInd">
    <w:name w:val="IASB Section Title 4 NonInd"/>
    <w:basedOn w:val="Normal"/>
    <w:uiPriority w:val="8"/>
    <w:rsid w:val="00673CDB"/>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2D54B2"/>
    <w:pPr>
      <w:spacing w:before="240"/>
      <w:ind w:left="782"/>
    </w:pPr>
  </w:style>
  <w:style w:type="paragraph" w:customStyle="1" w:styleId="IASBSectionTitle5NonInd">
    <w:name w:val="IASB Section Title 5 NonInd"/>
    <w:basedOn w:val="Normal"/>
    <w:uiPriority w:val="8"/>
    <w:rsid w:val="00673CDB"/>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673CDB"/>
    <w:pPr>
      <w:ind w:left="782"/>
    </w:pPr>
  </w:style>
  <w:style w:type="paragraph" w:customStyle="1" w:styleId="IASBSectionTitle6NonInd">
    <w:name w:val="IASB Section Title 6 NonInd"/>
    <w:basedOn w:val="IASBSectionTitle5NonInd"/>
    <w:uiPriority w:val="8"/>
    <w:rsid w:val="00673CDB"/>
    <w:pPr>
      <w:outlineLvl w:val="5"/>
    </w:pPr>
    <w:rPr>
      <w:b w:val="0"/>
      <w:i/>
    </w:rPr>
  </w:style>
  <w:style w:type="paragraph" w:customStyle="1" w:styleId="IASBSectionTitle6Ind">
    <w:name w:val="IASB Section Title 6 Ind"/>
    <w:basedOn w:val="IASBSectionTitle6NonInd"/>
    <w:uiPriority w:val="8"/>
    <w:rsid w:val="00673CDB"/>
    <w:pPr>
      <w:ind w:left="782"/>
    </w:pPr>
  </w:style>
  <w:style w:type="paragraph" w:customStyle="1" w:styleId="IASBTitle">
    <w:name w:val="IASB Title"/>
    <w:uiPriority w:val="8"/>
    <w:rsid w:val="00673CDB"/>
    <w:pPr>
      <w:keepNext/>
      <w:keepLines/>
      <w:spacing w:before="300" w:after="400"/>
    </w:pPr>
    <w:rPr>
      <w:rFonts w:cs="Arial"/>
      <w:sz w:val="36"/>
      <w:lang w:eastAsia="en-US"/>
    </w:rPr>
  </w:style>
  <w:style w:type="paragraph" w:customStyle="1" w:styleId="IASBNormalnparaL1">
    <w:name w:val="IASB Normal nparaL1"/>
    <w:basedOn w:val="IASBNormalnpara"/>
    <w:uiPriority w:val="8"/>
    <w:rsid w:val="00673CDB"/>
    <w:pPr>
      <w:ind w:left="1564"/>
    </w:pPr>
  </w:style>
  <w:style w:type="paragraph" w:customStyle="1" w:styleId="IASBNormalnparaP">
    <w:name w:val="IASB Normal nparaP"/>
    <w:basedOn w:val="IASBNormal"/>
    <w:uiPriority w:val="8"/>
    <w:rsid w:val="00673CDB"/>
    <w:pPr>
      <w:ind w:left="782"/>
    </w:pPr>
  </w:style>
  <w:style w:type="paragraph" w:customStyle="1" w:styleId="IASBIdentifier">
    <w:name w:val="IASB Identifier"/>
    <w:basedOn w:val="IASBTitle"/>
    <w:uiPriority w:val="8"/>
    <w:rsid w:val="00673CDB"/>
    <w:pPr>
      <w:spacing w:after="200"/>
    </w:pPr>
    <w:rPr>
      <w:rFonts w:ascii="Arial" w:hAnsi="Arial"/>
      <w:b/>
      <w:sz w:val="23"/>
    </w:rPr>
  </w:style>
  <w:style w:type="paragraph" w:customStyle="1" w:styleId="IASBTOCPrimary">
    <w:name w:val="IASB TOC Primary"/>
    <w:basedOn w:val="Normal"/>
    <w:uiPriority w:val="8"/>
    <w:rsid w:val="00673CDB"/>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673CDB"/>
    <w:pPr>
      <w:spacing w:before="30" w:after="30"/>
    </w:pPr>
    <w:rPr>
      <w:rFonts w:ascii="Arial" w:hAnsi="Arial" w:cs="Arial"/>
      <w:i/>
      <w:sz w:val="18"/>
      <w:szCs w:val="20"/>
    </w:rPr>
  </w:style>
  <w:style w:type="paragraph" w:customStyle="1" w:styleId="IASBTOCSecondary">
    <w:name w:val="IASB TOC Secondary"/>
    <w:basedOn w:val="Normal"/>
    <w:uiPriority w:val="8"/>
    <w:rsid w:val="00673CDB"/>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673CDB"/>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673CDB"/>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673CDB"/>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673CDB"/>
    <w:rPr>
      <w:i/>
    </w:rPr>
  </w:style>
  <w:style w:type="paragraph" w:customStyle="1" w:styleId="IASBBlockquote">
    <w:name w:val="IASB Blockquote"/>
    <w:basedOn w:val="IASBNormal"/>
    <w:uiPriority w:val="8"/>
    <w:rsid w:val="00673CDB"/>
    <w:pPr>
      <w:ind w:left="1565"/>
    </w:pPr>
    <w:rPr>
      <w:sz w:val="16"/>
    </w:rPr>
  </w:style>
  <w:style w:type="character" w:customStyle="1" w:styleId="IASBEduinsert">
    <w:name w:val="IASB Edu insert"/>
    <w:uiPriority w:val="8"/>
    <w:qFormat/>
    <w:rsid w:val="00673CDB"/>
  </w:style>
  <w:style w:type="character" w:styleId="FootnoteReference">
    <w:name w:val="footnote reference"/>
    <w:uiPriority w:val="99"/>
    <w:semiHidden/>
    <w:unhideWhenUsed/>
    <w:rsid w:val="00673CDB"/>
    <w:rPr>
      <w:vertAlign w:val="superscript"/>
    </w:rPr>
  </w:style>
  <w:style w:type="paragraph" w:styleId="FootnoteText">
    <w:name w:val="footnote text"/>
    <w:basedOn w:val="IASBSectionTitle2Ind"/>
    <w:next w:val="IASBBlockquote"/>
    <w:link w:val="FootnoteTextChar"/>
    <w:uiPriority w:val="99"/>
    <w:semiHidden/>
    <w:rsid w:val="00673CDB"/>
    <w:pPr>
      <w:keepNext w:val="0"/>
      <w:keepLines w:val="0"/>
      <w:shd w:val="clear" w:color="auto" w:fill="99CCFF"/>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673CDB"/>
    <w:rPr>
      <w:sz w:val="16"/>
      <w:shd w:val="clear" w:color="auto" w:fill="99CCFF"/>
      <w:lang w:eastAsia="en-US"/>
    </w:rPr>
  </w:style>
  <w:style w:type="paragraph" w:customStyle="1" w:styleId="IASBNormalL1">
    <w:name w:val="IASB Normal L1"/>
    <w:basedOn w:val="IASBNormalnpara"/>
    <w:uiPriority w:val="8"/>
    <w:rsid w:val="00673CDB"/>
  </w:style>
  <w:style w:type="paragraph" w:styleId="Header">
    <w:name w:val="header"/>
    <w:basedOn w:val="Normal"/>
    <w:link w:val="HeaderChar"/>
    <w:uiPriority w:val="99"/>
    <w:rsid w:val="00673CDB"/>
    <w:pPr>
      <w:tabs>
        <w:tab w:val="center" w:pos="4536"/>
        <w:tab w:val="right" w:pos="9072"/>
      </w:tabs>
    </w:pPr>
    <w:rPr>
      <w:sz w:val="20"/>
    </w:rPr>
  </w:style>
  <w:style w:type="character" w:customStyle="1" w:styleId="HeaderChar">
    <w:name w:val="Header Char"/>
    <w:link w:val="Header"/>
    <w:uiPriority w:val="99"/>
    <w:rsid w:val="00673CDB"/>
    <w:rPr>
      <w:szCs w:val="24"/>
      <w:lang w:eastAsia="en-US"/>
    </w:rPr>
  </w:style>
  <w:style w:type="paragraph" w:styleId="Footer">
    <w:name w:val="footer"/>
    <w:basedOn w:val="Normal"/>
    <w:link w:val="FooterChar"/>
    <w:rsid w:val="00673CDB"/>
    <w:pPr>
      <w:tabs>
        <w:tab w:val="center" w:pos="4536"/>
        <w:tab w:val="right" w:pos="9072"/>
      </w:tabs>
    </w:pPr>
  </w:style>
  <w:style w:type="character" w:customStyle="1" w:styleId="FooterChar">
    <w:name w:val="Footer Char"/>
    <w:link w:val="Footer"/>
    <w:uiPriority w:val="99"/>
    <w:rsid w:val="00673CDB"/>
    <w:rPr>
      <w:sz w:val="19"/>
      <w:szCs w:val="24"/>
      <w:lang w:eastAsia="en-US"/>
    </w:rPr>
  </w:style>
  <w:style w:type="paragraph" w:customStyle="1" w:styleId="IASBRubricL1">
    <w:name w:val="IASB RubricL1"/>
    <w:basedOn w:val="IASBRubric"/>
    <w:uiPriority w:val="8"/>
    <w:rsid w:val="00673CDB"/>
    <w:pPr>
      <w:ind w:left="782" w:hanging="782"/>
      <w:jc w:val="left"/>
    </w:pPr>
    <w:rPr>
      <w:lang w:eastAsia="en-GB"/>
    </w:rPr>
  </w:style>
  <w:style w:type="paragraph" w:customStyle="1" w:styleId="IASBRubricL2">
    <w:name w:val="IASB RubricL2"/>
    <w:basedOn w:val="IASBRubricL1"/>
    <w:uiPriority w:val="8"/>
    <w:rsid w:val="00673CDB"/>
    <w:pPr>
      <w:tabs>
        <w:tab w:val="left" w:pos="782"/>
      </w:tabs>
      <w:ind w:left="1565" w:hanging="1565"/>
    </w:pPr>
  </w:style>
  <w:style w:type="paragraph" w:customStyle="1" w:styleId="IASBRubricL3">
    <w:name w:val="IASB RubricL3"/>
    <w:basedOn w:val="IASBRubricL2"/>
    <w:uiPriority w:val="8"/>
    <w:rsid w:val="00673CDB"/>
    <w:pPr>
      <w:tabs>
        <w:tab w:val="clear" w:pos="782"/>
        <w:tab w:val="left" w:pos="1565"/>
      </w:tabs>
      <w:ind w:left="2347" w:hanging="2347"/>
    </w:pPr>
  </w:style>
  <w:style w:type="paragraph" w:customStyle="1" w:styleId="IASBNormalnparaL2">
    <w:name w:val="IASB Normal nparaL2"/>
    <w:basedOn w:val="IASBNormalnparaL1"/>
    <w:uiPriority w:val="8"/>
    <w:rsid w:val="00673CDB"/>
    <w:pPr>
      <w:ind w:left="2347"/>
    </w:pPr>
  </w:style>
  <w:style w:type="paragraph" w:customStyle="1" w:styleId="IASBNormalnparaL3">
    <w:name w:val="IASB Normal nparaL3"/>
    <w:basedOn w:val="IASBNormalnparaL2"/>
    <w:uiPriority w:val="8"/>
    <w:rsid w:val="00673CDB"/>
    <w:pPr>
      <w:ind w:left="3129"/>
    </w:pPr>
  </w:style>
  <w:style w:type="paragraph" w:customStyle="1" w:styleId="IASBNormalnparaL4">
    <w:name w:val="IASB Normal nparaL4"/>
    <w:basedOn w:val="IASBNormalnparaL3"/>
    <w:uiPriority w:val="8"/>
    <w:rsid w:val="00673CDB"/>
    <w:pPr>
      <w:ind w:left="3912"/>
    </w:pPr>
  </w:style>
  <w:style w:type="paragraph" w:customStyle="1" w:styleId="IASBNormalnparaL5">
    <w:name w:val="IASB Normal nparaL5"/>
    <w:basedOn w:val="IASBNormalnparaL4"/>
    <w:uiPriority w:val="8"/>
    <w:rsid w:val="00673CDB"/>
    <w:pPr>
      <w:ind w:left="4694"/>
    </w:pPr>
  </w:style>
  <w:style w:type="paragraph" w:customStyle="1" w:styleId="IASBNormalnparaL1P">
    <w:name w:val="IASB Normal nparaL1P"/>
    <w:basedOn w:val="IASBNormalnparaL2"/>
    <w:uiPriority w:val="8"/>
    <w:rsid w:val="00673CDB"/>
    <w:pPr>
      <w:ind w:left="1565" w:firstLine="0"/>
    </w:pPr>
  </w:style>
  <w:style w:type="paragraph" w:customStyle="1" w:styleId="IASBNormalnparaL2P">
    <w:name w:val="IASB Normal nparaL2P"/>
    <w:basedOn w:val="IASBNormalnparaL1P"/>
    <w:uiPriority w:val="8"/>
    <w:rsid w:val="00673CDB"/>
    <w:pPr>
      <w:ind w:left="2347"/>
    </w:pPr>
  </w:style>
  <w:style w:type="paragraph" w:customStyle="1" w:styleId="IASBNormalnparaL3P">
    <w:name w:val="IASB Normal nparaL3P"/>
    <w:basedOn w:val="IASBNormalnparaL2P"/>
    <w:uiPriority w:val="8"/>
    <w:rsid w:val="00673CDB"/>
    <w:pPr>
      <w:ind w:left="3130"/>
    </w:pPr>
  </w:style>
  <w:style w:type="paragraph" w:customStyle="1" w:styleId="IASBNormalnparaL4P">
    <w:name w:val="IASB Normal nparaL4P"/>
    <w:basedOn w:val="IASBNormalnparaL3P"/>
    <w:uiPriority w:val="8"/>
    <w:rsid w:val="00673CDB"/>
    <w:pPr>
      <w:ind w:left="3912"/>
    </w:pPr>
  </w:style>
  <w:style w:type="paragraph" w:customStyle="1" w:styleId="IASBNormalnparaL5P">
    <w:name w:val="IASB Normal nparaL5P"/>
    <w:basedOn w:val="IASBNormalnparaL4P"/>
    <w:uiPriority w:val="8"/>
    <w:rsid w:val="00673CDB"/>
    <w:pPr>
      <w:ind w:left="4751"/>
    </w:pPr>
  </w:style>
  <w:style w:type="paragraph" w:customStyle="1" w:styleId="IASBBlockquoteL1">
    <w:name w:val="IASB BlockquoteL1"/>
    <w:basedOn w:val="IASBBlockquote"/>
    <w:uiPriority w:val="8"/>
    <w:rsid w:val="00673CDB"/>
    <w:pPr>
      <w:ind w:left="2347" w:hanging="782"/>
    </w:pPr>
  </w:style>
  <w:style w:type="paragraph" w:customStyle="1" w:styleId="IASBBlockquoteL2">
    <w:name w:val="IASB BlockquoteL2"/>
    <w:basedOn w:val="IASBBlockquoteL1"/>
    <w:uiPriority w:val="8"/>
    <w:rsid w:val="00673CDB"/>
    <w:pPr>
      <w:ind w:left="3129"/>
    </w:pPr>
  </w:style>
  <w:style w:type="paragraph" w:customStyle="1" w:styleId="IASBNormalL2">
    <w:name w:val="IASB Normal L2"/>
    <w:basedOn w:val="IASBNormalL1"/>
    <w:uiPriority w:val="8"/>
    <w:rsid w:val="00673CDB"/>
    <w:pPr>
      <w:ind w:left="1564"/>
    </w:pPr>
  </w:style>
  <w:style w:type="paragraph" w:customStyle="1" w:styleId="IASBTOCQuartery">
    <w:name w:val="IASB TOC Quartery"/>
    <w:basedOn w:val="IASBTOCTertiary"/>
    <w:uiPriority w:val="8"/>
    <w:rsid w:val="00673CDB"/>
    <w:pPr>
      <w:ind w:left="851"/>
    </w:pPr>
  </w:style>
  <w:style w:type="paragraph" w:customStyle="1" w:styleId="IASBNoteTitle">
    <w:name w:val="IASB Note Title"/>
    <w:basedOn w:val="IASBTOCPrimary"/>
    <w:uiPriority w:val="8"/>
    <w:rsid w:val="00673CDB"/>
    <w:pPr>
      <w:jc w:val="center"/>
    </w:pPr>
    <w:rPr>
      <w:b w:val="0"/>
      <w:caps w:val="0"/>
      <w:sz w:val="24"/>
    </w:rPr>
  </w:style>
  <w:style w:type="paragraph" w:customStyle="1" w:styleId="IASBNormalL1P">
    <w:name w:val="IASB Normal L1P"/>
    <w:basedOn w:val="IASBNormalL1"/>
    <w:uiPriority w:val="8"/>
    <w:qFormat/>
    <w:rsid w:val="00673CDB"/>
    <w:pPr>
      <w:ind w:firstLine="0"/>
    </w:pPr>
  </w:style>
  <w:style w:type="paragraph" w:customStyle="1" w:styleId="IASBNormalL2P">
    <w:name w:val="IASB Normal L2P"/>
    <w:basedOn w:val="IASBNormalL1P"/>
    <w:uiPriority w:val="8"/>
    <w:qFormat/>
    <w:rsid w:val="00673CDB"/>
    <w:pPr>
      <w:ind w:left="1565"/>
    </w:pPr>
  </w:style>
  <w:style w:type="paragraph" w:customStyle="1" w:styleId="IASBNormalnparaC">
    <w:name w:val="IASB Normal nparaC"/>
    <w:basedOn w:val="IASBNormalnpara"/>
    <w:uiPriority w:val="8"/>
    <w:qFormat/>
    <w:rsid w:val="00673CDB"/>
    <w:pPr>
      <w:spacing w:before="0"/>
    </w:pPr>
  </w:style>
  <w:style w:type="paragraph" w:customStyle="1" w:styleId="IASBEdupara">
    <w:name w:val="IASB Edu para"/>
    <w:basedOn w:val="IASBNormal"/>
    <w:uiPriority w:val="8"/>
    <w:qFormat/>
    <w:rsid w:val="00673CDB"/>
  </w:style>
  <w:style w:type="paragraph" w:customStyle="1" w:styleId="IASBTableBoldTNR">
    <w:name w:val="IASB Table Bold TNR"/>
    <w:basedOn w:val="Normal"/>
    <w:uiPriority w:val="8"/>
    <w:qFormat/>
    <w:rsid w:val="00673CDB"/>
    <w:pPr>
      <w:spacing w:before="120"/>
    </w:pPr>
    <w:rPr>
      <w:b/>
      <w:szCs w:val="20"/>
      <w:lang w:eastAsia="en-GB"/>
    </w:rPr>
  </w:style>
  <w:style w:type="paragraph" w:customStyle="1" w:styleId="IASBTableHeaderTNR">
    <w:name w:val="IASB Table Header TNR"/>
    <w:basedOn w:val="Normal"/>
    <w:uiPriority w:val="8"/>
    <w:qFormat/>
    <w:rsid w:val="00673CDB"/>
    <w:pPr>
      <w:keepNext/>
      <w:spacing w:before="120" w:after="200" w:line="276" w:lineRule="auto"/>
    </w:pPr>
    <w:rPr>
      <w:szCs w:val="20"/>
      <w:lang w:eastAsia="en-GB"/>
    </w:rPr>
  </w:style>
  <w:style w:type="paragraph" w:customStyle="1" w:styleId="IASBTableTNR">
    <w:name w:val="IASB Table TNR"/>
    <w:basedOn w:val="Normal"/>
    <w:uiPriority w:val="8"/>
    <w:qFormat/>
    <w:rsid w:val="00673CDB"/>
    <w:pPr>
      <w:spacing w:before="120"/>
    </w:pPr>
    <w:rPr>
      <w:szCs w:val="20"/>
      <w:lang w:eastAsia="en-GB"/>
    </w:rPr>
  </w:style>
  <w:style w:type="paragraph" w:customStyle="1" w:styleId="IASBTableArial">
    <w:name w:val="IASB Table Arial"/>
    <w:basedOn w:val="Normal"/>
    <w:uiPriority w:val="8"/>
    <w:rsid w:val="00673CDB"/>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673CDB"/>
    <w:rPr>
      <w:b/>
    </w:rPr>
  </w:style>
  <w:style w:type="paragraph" w:customStyle="1" w:styleId="IASBTableHeaderArial">
    <w:name w:val="IASB Table Header Arial"/>
    <w:basedOn w:val="IASBTableArial"/>
    <w:uiPriority w:val="8"/>
    <w:qFormat/>
    <w:rsid w:val="00673CDB"/>
    <w:pPr>
      <w:keepNext/>
      <w:spacing w:after="200" w:line="276" w:lineRule="auto"/>
    </w:pPr>
  </w:style>
  <w:style w:type="character" w:styleId="EndnoteReference">
    <w:name w:val="endnote reference"/>
    <w:uiPriority w:val="99"/>
    <w:semiHidden/>
    <w:unhideWhenUsed/>
    <w:rsid w:val="00673CDB"/>
    <w:rPr>
      <w:vertAlign w:val="superscript"/>
    </w:rPr>
  </w:style>
  <w:style w:type="paragraph" w:customStyle="1" w:styleId="ConvSectionTitle">
    <w:name w:val="Conv Section Title"/>
    <w:basedOn w:val="IASBSectionTitle1NonInd"/>
    <w:uiPriority w:val="9"/>
    <w:qFormat/>
    <w:rsid w:val="00673CDB"/>
    <w:pPr>
      <w:pBdr>
        <w:bottom w:val="none" w:sz="0" w:space="0" w:color="auto"/>
      </w:pBdr>
    </w:pPr>
  </w:style>
  <w:style w:type="paragraph" w:customStyle="1" w:styleId="ConvStandardTitle1">
    <w:name w:val="Conv Standard Title 1"/>
    <w:basedOn w:val="Normal"/>
    <w:next w:val="ConvStandardTitle2"/>
    <w:uiPriority w:val="9"/>
    <w:qFormat/>
    <w:rsid w:val="00673CDB"/>
    <w:pPr>
      <w:spacing w:before="300"/>
    </w:pPr>
    <w:rPr>
      <w:rFonts w:ascii="Arial" w:hAnsi="Arial"/>
      <w:b/>
      <w:sz w:val="26"/>
    </w:rPr>
  </w:style>
  <w:style w:type="paragraph" w:customStyle="1" w:styleId="ConvStandardTitle2">
    <w:name w:val="Conv Standard Title2"/>
    <w:basedOn w:val="ConvStandardTitle1"/>
    <w:uiPriority w:val="9"/>
    <w:qFormat/>
    <w:rsid w:val="00673CDB"/>
    <w:pPr>
      <w:spacing w:before="0" w:after="200"/>
    </w:pPr>
    <w:rPr>
      <w:i/>
    </w:rPr>
  </w:style>
  <w:style w:type="paragraph" w:customStyle="1" w:styleId="AASBBase">
    <w:name w:val="AASB Base"/>
    <w:qFormat/>
    <w:rsid w:val="00673CDB"/>
    <w:pPr>
      <w:jc w:val="both"/>
    </w:pPr>
    <w:rPr>
      <w:sz w:val="19"/>
      <w:lang w:eastAsia="en-US"/>
    </w:rPr>
  </w:style>
  <w:style w:type="paragraph" w:customStyle="1" w:styleId="AASBPara">
    <w:name w:val="AASB Para"/>
    <w:basedOn w:val="AASBBase"/>
    <w:qFormat/>
    <w:rsid w:val="00673CDB"/>
    <w:pPr>
      <w:spacing w:after="200"/>
    </w:pPr>
  </w:style>
  <w:style w:type="paragraph" w:customStyle="1" w:styleId="AASBStandardCover">
    <w:name w:val="AASB Standard Cover"/>
    <w:semiHidden/>
    <w:qFormat/>
    <w:rsid w:val="00673CDB"/>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673CDB"/>
    <w:pPr>
      <w:jc w:val="right"/>
    </w:pPr>
    <w:rPr>
      <w:b w:val="0"/>
      <w:sz w:val="24"/>
    </w:rPr>
  </w:style>
  <w:style w:type="paragraph" w:customStyle="1" w:styleId="AASBStandardNumber">
    <w:name w:val="AASB Standard Number"/>
    <w:basedOn w:val="AASBStandardCover"/>
    <w:semiHidden/>
    <w:qFormat/>
    <w:rsid w:val="00673CDB"/>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673CDB"/>
    <w:pPr>
      <w:spacing w:before="800"/>
    </w:pPr>
    <w:rPr>
      <w:b w:val="0"/>
      <w:sz w:val="50"/>
    </w:rPr>
  </w:style>
  <w:style w:type="paragraph" w:customStyle="1" w:styleId="AASBInterpretationCover">
    <w:name w:val="AASB Interpretation Cover"/>
    <w:basedOn w:val="AASBStandardCover"/>
    <w:semiHidden/>
    <w:qFormat/>
    <w:rsid w:val="00673CDB"/>
    <w:rPr>
      <w:color w:val="41AD49"/>
    </w:rPr>
  </w:style>
  <w:style w:type="paragraph" w:customStyle="1" w:styleId="AASBInterpretationDate">
    <w:name w:val="AASB Interpretation Date"/>
    <w:basedOn w:val="AASBStandardDate"/>
    <w:semiHidden/>
    <w:qFormat/>
    <w:rsid w:val="00673CDB"/>
    <w:rPr>
      <w:color w:val="41AD49"/>
    </w:rPr>
  </w:style>
  <w:style w:type="paragraph" w:customStyle="1" w:styleId="AASBInterpretationNumber">
    <w:name w:val="AASB Interpretation Number"/>
    <w:basedOn w:val="AASBStandardNumber"/>
    <w:semiHidden/>
    <w:qFormat/>
    <w:rsid w:val="00673CDB"/>
    <w:rPr>
      <w:color w:val="41AD49"/>
    </w:rPr>
  </w:style>
  <w:style w:type="paragraph" w:customStyle="1" w:styleId="AASBInterpretationTitle">
    <w:name w:val="AASB Interpretation Title"/>
    <w:basedOn w:val="AASBStandardTitle"/>
    <w:semiHidden/>
    <w:qFormat/>
    <w:rsid w:val="00673CDB"/>
    <w:rPr>
      <w:color w:val="41AD49"/>
    </w:rPr>
  </w:style>
  <w:style w:type="table" w:styleId="TableGrid">
    <w:name w:val="Table Grid"/>
    <w:basedOn w:val="TableNormal"/>
    <w:uiPriority w:val="59"/>
    <w:rsid w:val="00673CDB"/>
    <w:tblPr/>
  </w:style>
  <w:style w:type="paragraph" w:customStyle="1" w:styleId="ContentsHeading">
    <w:name w:val="Contents Heading"/>
    <w:basedOn w:val="AASBBase"/>
    <w:next w:val="ContentsLevel1"/>
    <w:qFormat/>
    <w:rsid w:val="00673CDB"/>
    <w:pPr>
      <w:spacing w:after="60"/>
      <w:jc w:val="right"/>
    </w:pPr>
    <w:rPr>
      <w:i/>
    </w:rPr>
  </w:style>
  <w:style w:type="paragraph" w:customStyle="1" w:styleId="ContentsLevel1">
    <w:name w:val="Contents Level1"/>
    <w:basedOn w:val="AASBBase"/>
    <w:qFormat/>
    <w:rsid w:val="00673CDB"/>
    <w:pPr>
      <w:tabs>
        <w:tab w:val="right" w:pos="9027"/>
      </w:tabs>
      <w:spacing w:after="60"/>
      <w:ind w:right="1134"/>
    </w:pPr>
    <w:rPr>
      <w:b/>
      <w:caps/>
    </w:rPr>
  </w:style>
  <w:style w:type="paragraph" w:customStyle="1" w:styleId="ContentsLevel2">
    <w:name w:val="Contents Level2"/>
    <w:basedOn w:val="ContentsLevel1"/>
    <w:uiPriority w:val="7"/>
    <w:qFormat/>
    <w:rsid w:val="00673CDB"/>
    <w:rPr>
      <w:caps w:val="0"/>
    </w:rPr>
  </w:style>
  <w:style w:type="paragraph" w:customStyle="1" w:styleId="ContentsLevel3">
    <w:name w:val="Contents Level3"/>
    <w:basedOn w:val="ContentsLevel2"/>
    <w:uiPriority w:val="7"/>
    <w:qFormat/>
    <w:rsid w:val="00673CDB"/>
    <w:pPr>
      <w:ind w:left="510"/>
    </w:pPr>
    <w:rPr>
      <w:b w:val="0"/>
    </w:rPr>
  </w:style>
  <w:style w:type="paragraph" w:customStyle="1" w:styleId="ContentsLevel4">
    <w:name w:val="Contents Level4"/>
    <w:basedOn w:val="ContentsLevel3"/>
    <w:uiPriority w:val="7"/>
    <w:qFormat/>
    <w:rsid w:val="00673CDB"/>
    <w:pPr>
      <w:ind w:left="850"/>
    </w:pPr>
  </w:style>
  <w:style w:type="paragraph" w:styleId="BalloonText">
    <w:name w:val="Balloon Text"/>
    <w:basedOn w:val="Normal"/>
    <w:link w:val="BalloonTextChar"/>
    <w:uiPriority w:val="99"/>
    <w:semiHidden/>
    <w:unhideWhenUsed/>
    <w:rsid w:val="00673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CDB"/>
    <w:rPr>
      <w:rFonts w:ascii="Segoe UI" w:hAnsi="Segoe UI" w:cs="Segoe UI"/>
      <w:sz w:val="18"/>
      <w:szCs w:val="18"/>
      <w:lang w:eastAsia="en-US"/>
    </w:rPr>
  </w:style>
  <w:style w:type="paragraph" w:customStyle="1" w:styleId="RDRM1">
    <w:name w:val="RDRM1"/>
    <w:basedOn w:val="IASBNormalnpara"/>
    <w:uiPriority w:val="5"/>
    <w:qFormat/>
    <w:rsid w:val="00673CDB"/>
    <w:pPr>
      <w:shd w:val="pct15" w:color="auto" w:fill="auto"/>
    </w:pPr>
  </w:style>
  <w:style w:type="paragraph" w:customStyle="1" w:styleId="RDRM2">
    <w:name w:val="RDRM2"/>
    <w:basedOn w:val="RDRM1"/>
    <w:uiPriority w:val="5"/>
    <w:qFormat/>
    <w:rsid w:val="00673CDB"/>
    <w:pPr>
      <w:tabs>
        <w:tab w:val="left" w:pos="782"/>
      </w:tabs>
      <w:ind w:left="1565" w:hanging="1565"/>
    </w:pPr>
  </w:style>
  <w:style w:type="paragraph" w:customStyle="1" w:styleId="RDRM3">
    <w:name w:val="RDRM3"/>
    <w:basedOn w:val="RDRM2"/>
    <w:uiPriority w:val="5"/>
    <w:qFormat/>
    <w:rsid w:val="00673CDB"/>
    <w:pPr>
      <w:tabs>
        <w:tab w:val="clear" w:pos="782"/>
        <w:tab w:val="left" w:pos="1565"/>
      </w:tabs>
      <w:ind w:left="2347" w:hanging="2347"/>
    </w:pPr>
  </w:style>
  <w:style w:type="paragraph" w:customStyle="1" w:styleId="RDRM4">
    <w:name w:val="RDRM4"/>
    <w:basedOn w:val="RDRM3"/>
    <w:uiPriority w:val="5"/>
    <w:qFormat/>
    <w:rsid w:val="00673CDB"/>
    <w:pPr>
      <w:tabs>
        <w:tab w:val="clear" w:pos="1565"/>
        <w:tab w:val="left" w:pos="2347"/>
      </w:tabs>
      <w:ind w:left="3130" w:hanging="3130"/>
    </w:pPr>
  </w:style>
  <w:style w:type="paragraph" w:customStyle="1" w:styleId="AusPlain">
    <w:name w:val="Aus Plain"/>
    <w:basedOn w:val="IASBNormalnpara"/>
    <w:uiPriority w:val="1"/>
    <w:qFormat/>
    <w:rsid w:val="00673CDB"/>
    <w:pPr>
      <w:ind w:left="1565" w:hanging="1565"/>
    </w:pPr>
  </w:style>
  <w:style w:type="paragraph" w:customStyle="1" w:styleId="AusBold">
    <w:name w:val="Aus Bold"/>
    <w:basedOn w:val="AusPlain"/>
    <w:uiPriority w:val="2"/>
    <w:qFormat/>
    <w:rsid w:val="00673CDB"/>
    <w:rPr>
      <w:b/>
    </w:rPr>
  </w:style>
  <w:style w:type="paragraph" w:customStyle="1" w:styleId="AusPlainRDR">
    <w:name w:val="Aus Plain RDR"/>
    <w:basedOn w:val="AusPlain"/>
    <w:uiPriority w:val="3"/>
    <w:qFormat/>
    <w:rsid w:val="00673CDB"/>
    <w:pPr>
      <w:shd w:val="pct15" w:color="auto" w:fill="auto"/>
    </w:pPr>
  </w:style>
  <w:style w:type="paragraph" w:customStyle="1" w:styleId="AusBoldRDR">
    <w:name w:val="Aus Bold RDR"/>
    <w:basedOn w:val="AusBold"/>
    <w:uiPriority w:val="4"/>
    <w:qFormat/>
    <w:rsid w:val="00673CDB"/>
    <w:pPr>
      <w:shd w:val="pct15" w:color="auto" w:fill="auto"/>
    </w:pPr>
  </w:style>
  <w:style w:type="paragraph" w:customStyle="1" w:styleId="RDR11">
    <w:name w:val="RDR11"/>
    <w:basedOn w:val="IASBNormalnparaL1"/>
    <w:uiPriority w:val="6"/>
    <w:qFormat/>
    <w:rsid w:val="00673CDB"/>
    <w:pPr>
      <w:shd w:val="pct15" w:color="auto" w:fill="auto"/>
    </w:pPr>
  </w:style>
  <w:style w:type="paragraph" w:customStyle="1" w:styleId="RDR12">
    <w:name w:val="RDR12"/>
    <w:basedOn w:val="RDR11"/>
    <w:uiPriority w:val="6"/>
    <w:qFormat/>
    <w:rsid w:val="00673CDB"/>
    <w:pPr>
      <w:tabs>
        <w:tab w:val="left" w:pos="1565"/>
      </w:tabs>
      <w:ind w:left="2347" w:hanging="1565"/>
    </w:pPr>
  </w:style>
  <w:style w:type="paragraph" w:customStyle="1" w:styleId="RDR13">
    <w:name w:val="RDR13"/>
    <w:basedOn w:val="RDR12"/>
    <w:uiPriority w:val="6"/>
    <w:qFormat/>
    <w:rsid w:val="00673CDB"/>
    <w:pPr>
      <w:tabs>
        <w:tab w:val="clear" w:pos="1565"/>
        <w:tab w:val="left" w:pos="2347"/>
      </w:tabs>
      <w:ind w:left="3129" w:hanging="2347"/>
    </w:pPr>
  </w:style>
  <w:style w:type="paragraph" w:customStyle="1" w:styleId="RDR21">
    <w:name w:val="RDR21"/>
    <w:basedOn w:val="IASBNormalnparaL2"/>
    <w:uiPriority w:val="6"/>
    <w:qFormat/>
    <w:rsid w:val="00673CDB"/>
    <w:pPr>
      <w:shd w:val="pct15" w:color="auto" w:fill="auto"/>
    </w:pPr>
  </w:style>
  <w:style w:type="paragraph" w:customStyle="1" w:styleId="RDR22">
    <w:name w:val="RDR22"/>
    <w:basedOn w:val="RDR21"/>
    <w:uiPriority w:val="6"/>
    <w:qFormat/>
    <w:rsid w:val="00673CDB"/>
    <w:pPr>
      <w:tabs>
        <w:tab w:val="left" w:pos="2347"/>
      </w:tabs>
      <w:ind w:left="3130" w:hanging="1565"/>
    </w:pPr>
  </w:style>
  <w:style w:type="table" w:styleId="TableGrid1">
    <w:name w:val="Table Grid 1"/>
    <w:basedOn w:val="TableNormal"/>
    <w:uiPriority w:val="99"/>
    <w:semiHidden/>
    <w:unhideWhenUsed/>
    <w:rsid w:val="00673CDB"/>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9135DD"/>
    <w:rPr>
      <w:sz w:val="16"/>
      <w:szCs w:val="16"/>
    </w:rPr>
  </w:style>
  <w:style w:type="paragraph" w:styleId="CommentText">
    <w:name w:val="annotation text"/>
    <w:basedOn w:val="Normal"/>
    <w:link w:val="CommentTextChar"/>
    <w:uiPriority w:val="99"/>
    <w:unhideWhenUsed/>
    <w:rsid w:val="009135DD"/>
    <w:rPr>
      <w:sz w:val="20"/>
      <w:szCs w:val="20"/>
    </w:rPr>
  </w:style>
  <w:style w:type="character" w:customStyle="1" w:styleId="CommentTextChar">
    <w:name w:val="Comment Text Char"/>
    <w:basedOn w:val="DefaultParagraphFont"/>
    <w:link w:val="CommentText"/>
    <w:uiPriority w:val="99"/>
    <w:rsid w:val="009135DD"/>
    <w:rPr>
      <w:lang w:eastAsia="en-US"/>
    </w:rPr>
  </w:style>
  <w:style w:type="paragraph" w:styleId="CommentSubject">
    <w:name w:val="annotation subject"/>
    <w:basedOn w:val="CommentText"/>
    <w:next w:val="CommentText"/>
    <w:link w:val="CommentSubjectChar"/>
    <w:uiPriority w:val="99"/>
    <w:semiHidden/>
    <w:unhideWhenUsed/>
    <w:rsid w:val="009135DD"/>
    <w:rPr>
      <w:b/>
      <w:bCs/>
    </w:rPr>
  </w:style>
  <w:style w:type="character" w:customStyle="1" w:styleId="CommentSubjectChar">
    <w:name w:val="Comment Subject Char"/>
    <w:basedOn w:val="CommentTextChar"/>
    <w:link w:val="CommentSubject"/>
    <w:uiPriority w:val="99"/>
    <w:semiHidden/>
    <w:rsid w:val="009135DD"/>
    <w:rPr>
      <w:b/>
      <w:bCs/>
      <w:lang w:eastAsia="en-US"/>
    </w:rPr>
  </w:style>
  <w:style w:type="paragraph" w:customStyle="1" w:styleId="AASBNormal">
    <w:name w:val="AASB Normal"/>
    <w:basedOn w:val="IASBNormal"/>
    <w:qFormat/>
    <w:rsid w:val="00456F3A"/>
    <w:pPr>
      <w:tabs>
        <w:tab w:val="clear" w:pos="4253"/>
        <w:tab w:val="left" w:pos="782"/>
      </w:tabs>
    </w:pPr>
  </w:style>
  <w:style w:type="character" w:customStyle="1" w:styleId="Heading2Char">
    <w:name w:val="Heading 2 Char"/>
    <w:basedOn w:val="DefaultParagraphFont"/>
    <w:link w:val="Heading2"/>
    <w:rsid w:val="00456F3A"/>
    <w:rPr>
      <w:rFonts w:cs="Arial"/>
      <w:b/>
      <w:iCs/>
      <w:sz w:val="28"/>
      <w:szCs w:val="28"/>
      <w:lang w:eastAsia="en-US"/>
    </w:rPr>
  </w:style>
  <w:style w:type="paragraph" w:customStyle="1" w:styleId="CoverContact">
    <w:name w:val="Cover Contact"/>
    <w:basedOn w:val="Normal"/>
    <w:next w:val="Normal"/>
    <w:rsid w:val="00456F3A"/>
    <w:pPr>
      <w:tabs>
        <w:tab w:val="left" w:pos="907"/>
      </w:tabs>
      <w:spacing w:line="200" w:lineRule="exact"/>
    </w:pPr>
    <w:rPr>
      <w:sz w:val="20"/>
      <w:szCs w:val="20"/>
    </w:rPr>
  </w:style>
  <w:style w:type="paragraph" w:customStyle="1" w:styleId="NoNumPlain1">
    <w:name w:val="NoNum Plain1"/>
    <w:basedOn w:val="Normal"/>
    <w:link w:val="NoNumPlain1Char"/>
    <w:rsid w:val="00456F3A"/>
    <w:pPr>
      <w:spacing w:after="200" w:line="200" w:lineRule="exact"/>
    </w:pPr>
    <w:rPr>
      <w:sz w:val="20"/>
      <w:szCs w:val="20"/>
    </w:rPr>
  </w:style>
  <w:style w:type="character" w:customStyle="1" w:styleId="Heading1Char">
    <w:name w:val="Heading 1 Char"/>
    <w:basedOn w:val="DefaultParagraphFont"/>
    <w:link w:val="Heading1"/>
    <w:uiPriority w:val="9"/>
    <w:rsid w:val="00456F3A"/>
    <w:rPr>
      <w:rFonts w:asciiTheme="majorHAnsi" w:eastAsiaTheme="majorEastAsia" w:hAnsiTheme="majorHAnsi" w:cstheme="majorBidi"/>
      <w:b/>
      <w:bCs/>
      <w:color w:val="365F91" w:themeColor="accent1" w:themeShade="BF"/>
      <w:sz w:val="28"/>
      <w:szCs w:val="28"/>
      <w:lang w:eastAsia="en-US"/>
    </w:rPr>
  </w:style>
  <w:style w:type="paragraph" w:customStyle="1" w:styleId="NoNumBold1">
    <w:name w:val="NoNum Bold1"/>
    <w:basedOn w:val="Normal"/>
    <w:rsid w:val="00047152"/>
    <w:pPr>
      <w:spacing w:after="200" w:line="200" w:lineRule="exact"/>
    </w:pPr>
    <w:rPr>
      <w:b/>
      <w:sz w:val="20"/>
      <w:szCs w:val="20"/>
    </w:rPr>
  </w:style>
  <w:style w:type="paragraph" w:customStyle="1" w:styleId="NumPlainA">
    <w:name w:val="Num PlainA"/>
    <w:basedOn w:val="Normal"/>
    <w:qFormat/>
    <w:rsid w:val="0051226D"/>
    <w:pPr>
      <w:numPr>
        <w:numId w:val="4"/>
      </w:numPr>
      <w:spacing w:before="100" w:after="100"/>
      <w:jc w:val="both"/>
    </w:pPr>
    <w:rPr>
      <w:szCs w:val="20"/>
    </w:rPr>
  </w:style>
  <w:style w:type="paragraph" w:customStyle="1" w:styleId="NumPlain1">
    <w:name w:val="Num Plain1"/>
    <w:basedOn w:val="Normal"/>
    <w:link w:val="NumPlain1Char"/>
    <w:uiPriority w:val="2"/>
    <w:qFormat/>
    <w:rsid w:val="0051226D"/>
    <w:pPr>
      <w:numPr>
        <w:numId w:val="3"/>
      </w:numPr>
      <w:spacing w:before="100" w:after="100"/>
      <w:jc w:val="both"/>
    </w:pPr>
    <w:rPr>
      <w:szCs w:val="20"/>
    </w:rPr>
  </w:style>
  <w:style w:type="paragraph" w:customStyle="1" w:styleId="NumPlain2">
    <w:name w:val="Num Plain2"/>
    <w:basedOn w:val="NumPlain1"/>
    <w:uiPriority w:val="2"/>
    <w:qFormat/>
    <w:rsid w:val="0051226D"/>
    <w:pPr>
      <w:numPr>
        <w:ilvl w:val="1"/>
      </w:numPr>
    </w:pPr>
  </w:style>
  <w:style w:type="paragraph" w:customStyle="1" w:styleId="NumPlain3">
    <w:name w:val="Num Plain3"/>
    <w:basedOn w:val="NumPlain2"/>
    <w:uiPriority w:val="2"/>
    <w:qFormat/>
    <w:rsid w:val="0051226D"/>
    <w:pPr>
      <w:numPr>
        <w:ilvl w:val="2"/>
      </w:numPr>
    </w:pPr>
  </w:style>
  <w:style w:type="paragraph" w:customStyle="1" w:styleId="NumPlain4">
    <w:name w:val="Num Plain4"/>
    <w:basedOn w:val="NumPlain3"/>
    <w:rsid w:val="0051226D"/>
    <w:pPr>
      <w:numPr>
        <w:ilvl w:val="3"/>
      </w:numPr>
    </w:pPr>
  </w:style>
  <w:style w:type="paragraph" w:customStyle="1" w:styleId="NumPlainA2">
    <w:name w:val="Num PlainA2"/>
    <w:basedOn w:val="NumPlainA"/>
    <w:rsid w:val="0051226D"/>
    <w:pPr>
      <w:numPr>
        <w:ilvl w:val="1"/>
      </w:numPr>
      <w:outlineLvl w:val="1"/>
    </w:pPr>
  </w:style>
  <w:style w:type="paragraph" w:customStyle="1" w:styleId="NumBold1">
    <w:name w:val="Num Bold1"/>
    <w:basedOn w:val="Normal"/>
    <w:qFormat/>
    <w:rsid w:val="0053305F"/>
    <w:pPr>
      <w:spacing w:after="200" w:line="200" w:lineRule="exact"/>
      <w:ind w:left="510" w:hanging="510"/>
    </w:pPr>
    <w:rPr>
      <w:b/>
      <w:sz w:val="20"/>
      <w:szCs w:val="20"/>
    </w:rPr>
  </w:style>
  <w:style w:type="character" w:customStyle="1" w:styleId="NumPlain1Char">
    <w:name w:val="Num Plain1 Char"/>
    <w:basedOn w:val="DefaultParagraphFont"/>
    <w:link w:val="NumPlain1"/>
    <w:uiPriority w:val="2"/>
    <w:rsid w:val="0053305F"/>
    <w:rPr>
      <w:sz w:val="19"/>
      <w:lang w:eastAsia="en-US"/>
    </w:rPr>
  </w:style>
  <w:style w:type="character" w:customStyle="1" w:styleId="NoNumPlain1Char">
    <w:name w:val="NoNum Plain1 Char"/>
    <w:link w:val="NoNumPlain1"/>
    <w:rsid w:val="0053305F"/>
    <w:rPr>
      <w:lang w:eastAsia="en-US"/>
    </w:rPr>
  </w:style>
  <w:style w:type="paragraph" w:customStyle="1" w:styleId="NumBC1">
    <w:name w:val="Num BC1"/>
    <w:basedOn w:val="Normal"/>
    <w:qFormat/>
    <w:rsid w:val="00DE4EFA"/>
    <w:pPr>
      <w:numPr>
        <w:numId w:val="5"/>
      </w:numPr>
      <w:spacing w:before="100" w:after="100"/>
      <w:jc w:val="both"/>
    </w:pPr>
    <w:rPr>
      <w:szCs w:val="20"/>
    </w:rPr>
  </w:style>
  <w:style w:type="paragraph" w:customStyle="1" w:styleId="NumBC2">
    <w:name w:val="Num BC2"/>
    <w:basedOn w:val="NumBC1"/>
    <w:rsid w:val="0053305F"/>
    <w:pPr>
      <w:numPr>
        <w:ilvl w:val="1"/>
      </w:numPr>
    </w:pPr>
  </w:style>
  <w:style w:type="paragraph" w:customStyle="1" w:styleId="NumBC3">
    <w:name w:val="Num BC3"/>
    <w:basedOn w:val="NumBC2"/>
    <w:rsid w:val="0053305F"/>
    <w:pPr>
      <w:numPr>
        <w:ilvl w:val="2"/>
      </w:numPr>
    </w:pPr>
  </w:style>
  <w:style w:type="paragraph" w:customStyle="1" w:styleId="NumBC4">
    <w:name w:val="Num BC4"/>
    <w:basedOn w:val="NumBC3"/>
    <w:rsid w:val="0053305F"/>
    <w:pPr>
      <w:numPr>
        <w:ilvl w:val="3"/>
      </w:numPr>
    </w:pPr>
  </w:style>
  <w:style w:type="character" w:customStyle="1" w:styleId="IASBNormalnparaChar">
    <w:name w:val="IASB Normal npara Char"/>
    <w:basedOn w:val="DefaultParagraphFont"/>
    <w:link w:val="IASBNormalnpara"/>
    <w:uiPriority w:val="8"/>
    <w:rsid w:val="00990B1F"/>
    <w:rPr>
      <w:sz w:val="19"/>
      <w:lang w:eastAsia="en-US"/>
    </w:rPr>
  </w:style>
  <w:style w:type="paragraph" w:styleId="Revision">
    <w:name w:val="Revision"/>
    <w:hidden/>
    <w:uiPriority w:val="99"/>
    <w:semiHidden/>
    <w:rsid w:val="004D2966"/>
    <w:rPr>
      <w:sz w:val="19"/>
      <w:szCs w:val="24"/>
      <w:lang w:eastAsia="en-US"/>
    </w:rPr>
  </w:style>
  <w:style w:type="character" w:styleId="PlaceholderText">
    <w:name w:val="Placeholder Text"/>
    <w:basedOn w:val="DefaultParagraphFont"/>
    <w:uiPriority w:val="99"/>
    <w:semiHidden/>
    <w:rsid w:val="00133302"/>
    <w:rPr>
      <w:color w:val="808080"/>
    </w:rPr>
  </w:style>
  <w:style w:type="character" w:styleId="UnresolvedMention">
    <w:name w:val="Unresolved Mention"/>
    <w:basedOn w:val="DefaultParagraphFont"/>
    <w:uiPriority w:val="99"/>
    <w:unhideWhenUsed/>
    <w:rsid w:val="00C524B3"/>
    <w:rPr>
      <w:color w:val="605E5C"/>
      <w:shd w:val="clear" w:color="auto" w:fill="E1DFDD"/>
    </w:rPr>
  </w:style>
  <w:style w:type="character" w:styleId="Mention">
    <w:name w:val="Mention"/>
    <w:basedOn w:val="DefaultParagraphFont"/>
    <w:uiPriority w:val="99"/>
    <w:unhideWhenUsed/>
    <w:rsid w:val="00C524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header" Target="header13.xml"/><Relationship Id="rId21" Type="http://schemas.openxmlformats.org/officeDocument/2006/relationships/footer" Target="footer7.xml"/><Relationship Id="rId34" Type="http://schemas.openxmlformats.org/officeDocument/2006/relationships/footer" Target="footer15.xml"/><Relationship Id="rId42" Type="http://schemas.openxmlformats.org/officeDocument/2006/relationships/footer" Target="footer2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footer" Target="footer19.xml"/><Relationship Id="rId45"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3.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footer" Target="footer16.xml"/><Relationship Id="rId43" Type="http://schemas.openxmlformats.org/officeDocument/2006/relationships/footer" Target="footer22.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18.xml"/><Relationship Id="rId46" Type="http://schemas.openxmlformats.org/officeDocument/2006/relationships/footer" Target="footer24.xml"/><Relationship Id="rId20" Type="http://schemas.openxmlformats.org/officeDocument/2006/relationships/header" Target="header6.xml"/><Relationship Id="rId41"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C96AF-381C-4B10-8637-A343859A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67</Pages>
  <Words>29879</Words>
  <Characters>170314</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Compiled AASB 136 (December 2022)</vt:lpstr>
    </vt:vector>
  </TitlesOfParts>
  <Company>IFRS</Company>
  <LinksUpToDate>false</LinksUpToDate>
  <CharactersWithSpaces>199794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AASB 136 (December 2022)</dc:title>
  <dc:creator>.</dc:creator>
  <cp:lastModifiedBy>Clark Anstis</cp:lastModifiedBy>
  <cp:revision>185</cp:revision>
  <dcterms:created xsi:type="dcterms:W3CDTF">2015-07-25T00:18:00Z</dcterms:created>
  <dcterms:modified xsi:type="dcterms:W3CDTF">2023-01-20T06:10:00Z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56c415d9c4646cc1c14c26f8c8b1a054757de41a00c40a75088f3831d5acfeb3</vt:lpwstr>
  </property>
</Properties>
</file>