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Standard"/>
        <w:tblDescription w:val="Identification that the pronouncement is an AASB Standard, the Standard number, month of issue and title of the AASB Standard"/>
      </w:tblPr>
      <w:tblGrid>
        <w:gridCol w:w="4508"/>
        <w:gridCol w:w="4508"/>
      </w:tblGrid>
      <w:tr w:rsidR="00090A6F" w:rsidTr="00E533E4">
        <w:trPr>
          <w:tblHeader/>
        </w:trPr>
        <w:tc>
          <w:tcPr>
            <w:tcW w:w="4508" w:type="dxa"/>
            <w:tcMar>
              <w:top w:w="0" w:type="dxa"/>
            </w:tcMar>
          </w:tcPr>
          <w:p w:rsidR="00090A6F" w:rsidRPr="00E533E4" w:rsidRDefault="00090A6F" w:rsidP="00E533E4">
            <w:pPr>
              <w:pStyle w:val="AASBStandardCover"/>
            </w:pPr>
            <w:bookmarkStart w:id="0" w:name="_GoBack"/>
            <w:bookmarkEnd w:id="0"/>
            <w:r w:rsidRPr="00E533E4">
              <w:t>A</w:t>
            </w:r>
            <w:r w:rsidR="009033ED" w:rsidRPr="00E533E4">
              <w:t>ASB</w:t>
            </w:r>
            <w:r w:rsidRPr="00E533E4">
              <w:t xml:space="preserve"> Standard</w:t>
            </w:r>
          </w:p>
        </w:tc>
        <w:tc>
          <w:tcPr>
            <w:tcW w:w="4508" w:type="dxa"/>
            <w:tcMar>
              <w:top w:w="0" w:type="dxa"/>
            </w:tcMar>
          </w:tcPr>
          <w:p w:rsidR="00090A6F" w:rsidRPr="00A551D5" w:rsidRDefault="00090A6F" w:rsidP="006E369B">
            <w:pPr>
              <w:pStyle w:val="CoverNumber"/>
              <w:rPr>
                <w:rFonts w:ascii="HelveticaNeueLT Std" w:hAnsi="HelveticaNeueLT Std"/>
                <w:sz w:val="24"/>
                <w:szCs w:val="24"/>
              </w:rPr>
            </w:pPr>
            <w:r w:rsidRPr="00A551D5">
              <w:rPr>
                <w:rFonts w:ascii="HelveticaNeueLT Std" w:hAnsi="HelveticaNeueLT Std"/>
                <w:caps w:val="0"/>
                <w:sz w:val="24"/>
                <w:szCs w:val="24"/>
              </w:rPr>
              <w:t xml:space="preserve">AASB </w:t>
            </w:r>
            <w:bookmarkStart w:id="1" w:name="DocNo"/>
            <w:bookmarkStart w:id="2" w:name="AASBNo"/>
            <w:r w:rsidR="001F3073" w:rsidRPr="00A551D5">
              <w:rPr>
                <w:rFonts w:ascii="HelveticaNeueLT Std" w:hAnsi="HelveticaNeueLT Std"/>
                <w:caps w:val="0"/>
                <w:sz w:val="24"/>
                <w:szCs w:val="24"/>
              </w:rPr>
              <w:t>105</w:t>
            </w:r>
            <w:r w:rsidR="00853413" w:rsidRPr="00A551D5">
              <w:rPr>
                <w:rFonts w:ascii="HelveticaNeueLT Std" w:hAnsi="HelveticaNeueLT Std"/>
                <w:caps w:val="0"/>
                <w:sz w:val="24"/>
                <w:szCs w:val="24"/>
              </w:rPr>
              <w:t>7</w:t>
            </w:r>
            <w:bookmarkEnd w:id="1"/>
            <w:bookmarkEnd w:id="2"/>
          </w:p>
          <w:p w:rsidR="00090A6F" w:rsidRPr="008B158A" w:rsidRDefault="00511236" w:rsidP="006E369B">
            <w:pPr>
              <w:pStyle w:val="CoverDate"/>
              <w:rPr>
                <w:rFonts w:ascii="HelveticaNeueLT Std Lt" w:hAnsi="HelveticaNeueLT Std Lt"/>
                <w:sz w:val="24"/>
                <w:szCs w:val="24"/>
              </w:rPr>
            </w:pPr>
            <w:bookmarkStart w:id="3" w:name="DocDate"/>
            <w:r w:rsidRPr="00E533E4">
              <w:rPr>
                <w:sz w:val="24"/>
                <w:szCs w:val="24"/>
              </w:rPr>
              <w:t>July 2015</w:t>
            </w:r>
            <w:bookmarkEnd w:id="3"/>
          </w:p>
        </w:tc>
      </w:tr>
    </w:tbl>
    <w:p w:rsidR="006E369B" w:rsidRPr="006E369B" w:rsidRDefault="006E369B" w:rsidP="009872DB">
      <w:pPr>
        <w:spacing w:before="800" w:line="240" w:lineRule="auto"/>
        <w:rPr>
          <w:rFonts w:ascii="HelveticaNeueLT Std" w:hAnsi="HelveticaNeueLT Std"/>
          <w:color w:val="25408F"/>
          <w:sz w:val="50"/>
          <w:szCs w:val="24"/>
        </w:rPr>
      </w:pPr>
      <w:bookmarkStart w:id="4" w:name="DocTitle"/>
      <w:r w:rsidRPr="006E369B">
        <w:rPr>
          <w:rFonts w:ascii="HelveticaNeueLT Std" w:hAnsi="HelveticaNeueLT Std"/>
          <w:color w:val="25408F"/>
          <w:sz w:val="50"/>
          <w:szCs w:val="24"/>
        </w:rPr>
        <w:t>Application of Australian Accounting</w:t>
      </w:r>
      <w:r w:rsidRPr="008B158A">
        <w:rPr>
          <w:rFonts w:ascii="HelveticaNeueLT Std Lt" w:hAnsi="HelveticaNeueLT Std Lt"/>
          <w:sz w:val="50"/>
          <w:szCs w:val="50"/>
        </w:rPr>
        <w:t xml:space="preserve"> </w:t>
      </w:r>
      <w:r w:rsidRPr="006E369B">
        <w:rPr>
          <w:rFonts w:ascii="HelveticaNeueLT Std" w:hAnsi="HelveticaNeueLT Std"/>
          <w:color w:val="25408F"/>
          <w:sz w:val="50"/>
          <w:szCs w:val="24"/>
        </w:rPr>
        <w:t>Standards</w:t>
      </w:r>
      <w:bookmarkEnd w:id="4"/>
      <w:r w:rsidRPr="006E369B">
        <w:rPr>
          <w:rFonts w:ascii="HelveticaNeueLT Std" w:hAnsi="HelveticaNeueLT Std"/>
          <w:color w:val="25408F"/>
          <w:sz w:val="50"/>
          <w:szCs w:val="24"/>
        </w:rPr>
        <w:t xml:space="preserve"> </w:t>
      </w:r>
    </w:p>
    <w:p w:rsidR="006E369B" w:rsidRDefault="003A0130" w:rsidP="00E533E4">
      <w:r w:rsidRPr="0024411C">
        <w:rPr>
          <w:noProof/>
          <w:lang w:eastAsia="en-AU"/>
        </w:rPr>
        <w:drawing>
          <wp:anchor distT="0" distB="0" distL="114300" distR="114300" simplePos="0" relativeHeight="251659264" behindDoc="0" locked="1" layoutInCell="1" allowOverlap="1" wp14:anchorId="073B528A" wp14:editId="09DA1AC1">
            <wp:simplePos x="0" y="0"/>
            <wp:positionH relativeFrom="margin">
              <wp:posOffset>0</wp:posOffset>
            </wp:positionH>
            <wp:positionV relativeFrom="page">
              <wp:posOffset>8893175</wp:posOffset>
            </wp:positionV>
            <wp:extent cx="1677600" cy="1332000"/>
            <wp:effectExtent l="0" t="0" r="0" b="1905"/>
            <wp:wrapNone/>
            <wp:docPr id="1" name="Picture 1"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369B" w:rsidRDefault="006E369B" w:rsidP="006E369B">
      <w:pPr>
        <w:pStyle w:val="AASBStandardTitle"/>
        <w:sectPr w:rsidR="006E369B" w:rsidSect="00537D6D">
          <w:headerReference w:type="default" r:id="rId10"/>
          <w:pgSz w:w="11907" w:h="16840" w:code="9"/>
          <w:pgMar w:top="1440" w:right="1440" w:bottom="1440" w:left="1440" w:header="709" w:footer="709" w:gutter="0"/>
          <w:cols w:space="720"/>
          <w:docGrid w:linePitch="272"/>
        </w:sectPr>
      </w:pPr>
    </w:p>
    <w:p w:rsidR="00090A6F" w:rsidRDefault="00090A6F" w:rsidP="006E369B">
      <w:pPr>
        <w:pStyle w:val="IASBSectionTitle2NonInd"/>
      </w:pPr>
      <w:r>
        <w:lastRenderedPageBreak/>
        <w:t xml:space="preserve">Obtaining a </w:t>
      </w:r>
      <w:r w:rsidR="00853413">
        <w:t xml:space="preserve">copy </w:t>
      </w:r>
      <w:r>
        <w:t>of this Accounting Standard</w:t>
      </w:r>
    </w:p>
    <w:p w:rsidR="00090A6F" w:rsidRPr="00061782" w:rsidRDefault="00090A6F" w:rsidP="008B158A">
      <w:pPr>
        <w:jc w:val="both"/>
        <w:rPr>
          <w:sz w:val="19"/>
          <w:szCs w:val="19"/>
        </w:rPr>
      </w:pPr>
      <w:r w:rsidRPr="00061782">
        <w:rPr>
          <w:sz w:val="19"/>
          <w:szCs w:val="19"/>
        </w:rPr>
        <w:t>This Standard is available o</w:t>
      </w:r>
      <w:r w:rsidR="00700CD1" w:rsidRPr="00061782">
        <w:rPr>
          <w:sz w:val="19"/>
          <w:szCs w:val="19"/>
        </w:rPr>
        <w:t>n the AASB website: www.aasb.gov</w:t>
      </w:r>
      <w:r w:rsidRPr="00061782">
        <w:rPr>
          <w:sz w:val="19"/>
          <w:szCs w:val="19"/>
        </w:rPr>
        <w:t>.au.</w:t>
      </w:r>
    </w:p>
    <w:tbl>
      <w:tblPr>
        <w:tblW w:w="0" w:type="auto"/>
        <w:tblLayout w:type="fixed"/>
        <w:tblLook w:val="0000" w:firstRow="0" w:lastRow="0" w:firstColumn="0" w:lastColumn="0" w:noHBand="0" w:noVBand="0"/>
        <w:tblCaption w:val="AASB address details"/>
        <w:tblDescription w:val="Street and postal addresses for the AASB"/>
      </w:tblPr>
      <w:tblGrid>
        <w:gridCol w:w="3856"/>
        <w:gridCol w:w="1928"/>
      </w:tblGrid>
      <w:tr w:rsidR="00090A6F" w:rsidRPr="00061782" w:rsidTr="00667C93">
        <w:tc>
          <w:tcPr>
            <w:tcW w:w="3856" w:type="dxa"/>
          </w:tcPr>
          <w:p w:rsidR="006E369B" w:rsidRPr="00061782" w:rsidRDefault="006E369B" w:rsidP="008B158A">
            <w:pPr>
              <w:jc w:val="both"/>
              <w:rPr>
                <w:sz w:val="19"/>
                <w:szCs w:val="19"/>
              </w:rPr>
            </w:pPr>
          </w:p>
          <w:p w:rsidR="00090A6F" w:rsidRPr="00061782" w:rsidRDefault="00090A6F" w:rsidP="008B158A">
            <w:pPr>
              <w:jc w:val="both"/>
              <w:rPr>
                <w:sz w:val="19"/>
                <w:szCs w:val="19"/>
              </w:rPr>
            </w:pPr>
            <w:r w:rsidRPr="00061782">
              <w:rPr>
                <w:sz w:val="19"/>
                <w:szCs w:val="19"/>
              </w:rPr>
              <w:t>Australian Accounting Standards Board</w:t>
            </w:r>
          </w:p>
          <w:p w:rsidR="00090A6F" w:rsidRPr="00061782" w:rsidRDefault="00786C08" w:rsidP="008B158A">
            <w:pPr>
              <w:jc w:val="both"/>
              <w:rPr>
                <w:sz w:val="19"/>
                <w:szCs w:val="19"/>
              </w:rPr>
            </w:pPr>
            <w:r w:rsidRPr="00061782">
              <w:rPr>
                <w:sz w:val="19"/>
                <w:szCs w:val="19"/>
              </w:rPr>
              <w:t>PO Box 204</w:t>
            </w:r>
          </w:p>
          <w:p w:rsidR="00090A6F" w:rsidRPr="00061782" w:rsidRDefault="00786C08" w:rsidP="008B158A">
            <w:pPr>
              <w:jc w:val="both"/>
              <w:rPr>
                <w:sz w:val="19"/>
                <w:szCs w:val="19"/>
              </w:rPr>
            </w:pPr>
            <w:r w:rsidRPr="00061782">
              <w:rPr>
                <w:sz w:val="19"/>
                <w:szCs w:val="19"/>
              </w:rPr>
              <w:t>Collins Street West</w:t>
            </w:r>
          </w:p>
          <w:p w:rsidR="00090A6F" w:rsidRPr="00061782" w:rsidRDefault="00086B81" w:rsidP="008B158A">
            <w:pPr>
              <w:jc w:val="both"/>
              <w:rPr>
                <w:sz w:val="19"/>
                <w:szCs w:val="19"/>
              </w:rPr>
            </w:pPr>
            <w:r w:rsidRPr="00061782">
              <w:rPr>
                <w:sz w:val="19"/>
                <w:szCs w:val="19"/>
              </w:rPr>
              <w:t>Victoria</w:t>
            </w:r>
            <w:r w:rsidR="00786C08" w:rsidRPr="00061782">
              <w:rPr>
                <w:sz w:val="19"/>
                <w:szCs w:val="19"/>
              </w:rPr>
              <w:t xml:space="preserve">   8007</w:t>
            </w:r>
          </w:p>
          <w:p w:rsidR="00090A6F" w:rsidRPr="00061782" w:rsidRDefault="00090A6F" w:rsidP="008B158A">
            <w:pPr>
              <w:spacing w:after="200"/>
              <w:jc w:val="both"/>
              <w:rPr>
                <w:sz w:val="19"/>
                <w:szCs w:val="19"/>
              </w:rPr>
            </w:pPr>
            <w:r w:rsidRPr="00061782">
              <w:rPr>
                <w:sz w:val="19"/>
                <w:szCs w:val="19"/>
              </w:rPr>
              <w:t>AUSTRALIA</w:t>
            </w:r>
          </w:p>
        </w:tc>
        <w:tc>
          <w:tcPr>
            <w:tcW w:w="1928" w:type="dxa"/>
          </w:tcPr>
          <w:p w:rsidR="00090A6F" w:rsidRPr="00061782" w:rsidRDefault="00090A6F" w:rsidP="008B158A">
            <w:pPr>
              <w:jc w:val="both"/>
              <w:rPr>
                <w:sz w:val="19"/>
                <w:szCs w:val="19"/>
                <w:lang w:val="fr-FR"/>
              </w:rPr>
            </w:pPr>
          </w:p>
        </w:tc>
      </w:tr>
    </w:tbl>
    <w:p w:rsidR="00090A6F" w:rsidRPr="00061782" w:rsidRDefault="00090A6F" w:rsidP="008B158A">
      <w:pPr>
        <w:pStyle w:val="CoverContact"/>
        <w:jc w:val="both"/>
        <w:rPr>
          <w:sz w:val="19"/>
          <w:szCs w:val="19"/>
        </w:rPr>
      </w:pPr>
      <w:r w:rsidRPr="00061782">
        <w:rPr>
          <w:sz w:val="19"/>
          <w:szCs w:val="19"/>
        </w:rPr>
        <w:t>Phone:</w:t>
      </w:r>
      <w:r w:rsidRPr="00061782">
        <w:rPr>
          <w:sz w:val="19"/>
          <w:szCs w:val="19"/>
        </w:rPr>
        <w:tab/>
        <w:t>(03) 9617 7637</w:t>
      </w:r>
    </w:p>
    <w:p w:rsidR="00090A6F" w:rsidRPr="00061782" w:rsidRDefault="00700CD1" w:rsidP="008B158A">
      <w:pPr>
        <w:pStyle w:val="CoverContact"/>
        <w:jc w:val="both"/>
        <w:rPr>
          <w:sz w:val="19"/>
          <w:szCs w:val="19"/>
        </w:rPr>
      </w:pPr>
      <w:r w:rsidRPr="00061782">
        <w:rPr>
          <w:sz w:val="19"/>
          <w:szCs w:val="19"/>
        </w:rPr>
        <w:t>E-mail:</w:t>
      </w:r>
      <w:r w:rsidRPr="00061782">
        <w:rPr>
          <w:sz w:val="19"/>
          <w:szCs w:val="19"/>
        </w:rPr>
        <w:tab/>
        <w:t>publications@aasb.gov</w:t>
      </w:r>
      <w:r w:rsidR="00090A6F" w:rsidRPr="00061782">
        <w:rPr>
          <w:sz w:val="19"/>
          <w:szCs w:val="19"/>
        </w:rPr>
        <w:t>.au</w:t>
      </w:r>
    </w:p>
    <w:p w:rsidR="00090A6F" w:rsidRPr="00061782" w:rsidRDefault="00090A6F" w:rsidP="008B158A">
      <w:pPr>
        <w:pStyle w:val="CoverContact"/>
        <w:spacing w:after="200"/>
        <w:jc w:val="both"/>
        <w:rPr>
          <w:sz w:val="19"/>
          <w:szCs w:val="19"/>
        </w:rPr>
      </w:pPr>
      <w:r w:rsidRPr="00061782">
        <w:rPr>
          <w:sz w:val="19"/>
          <w:szCs w:val="19"/>
        </w:rPr>
        <w:t>W</w:t>
      </w:r>
      <w:r w:rsidR="00700CD1" w:rsidRPr="00061782">
        <w:rPr>
          <w:sz w:val="19"/>
          <w:szCs w:val="19"/>
        </w:rPr>
        <w:t>ebsite:</w:t>
      </w:r>
      <w:r w:rsidR="00700CD1" w:rsidRPr="00061782">
        <w:rPr>
          <w:sz w:val="19"/>
          <w:szCs w:val="19"/>
        </w:rPr>
        <w:tab/>
        <w:t>www.aasb.gov</w:t>
      </w:r>
      <w:r w:rsidRPr="00061782">
        <w:rPr>
          <w:sz w:val="19"/>
          <w:szCs w:val="19"/>
        </w:rPr>
        <w:t>.au</w:t>
      </w:r>
    </w:p>
    <w:p w:rsidR="00090A6F" w:rsidRPr="00DE4E67" w:rsidRDefault="00090A6F" w:rsidP="006E369B">
      <w:pPr>
        <w:pStyle w:val="IASBSectionTitle2NonInd"/>
      </w:pPr>
      <w:r w:rsidRPr="006E369B">
        <w:rPr>
          <w:iCs/>
        </w:rPr>
        <w:t>Other</w:t>
      </w:r>
      <w:r w:rsidRPr="00DE4E67">
        <w:t xml:space="preserve"> </w:t>
      </w:r>
      <w:r w:rsidR="00853413">
        <w:t>enquiries</w:t>
      </w:r>
    </w:p>
    <w:p w:rsidR="00090A6F" w:rsidRPr="00061782" w:rsidRDefault="00090A6F" w:rsidP="008B158A">
      <w:pPr>
        <w:pStyle w:val="CoverContact"/>
        <w:jc w:val="both"/>
        <w:rPr>
          <w:sz w:val="19"/>
          <w:szCs w:val="19"/>
        </w:rPr>
      </w:pPr>
      <w:r w:rsidRPr="00061782">
        <w:rPr>
          <w:sz w:val="19"/>
          <w:szCs w:val="19"/>
        </w:rPr>
        <w:t>Phone:</w:t>
      </w:r>
      <w:r w:rsidRPr="00061782">
        <w:rPr>
          <w:sz w:val="19"/>
          <w:szCs w:val="19"/>
        </w:rPr>
        <w:tab/>
        <w:t>(03) 9617 7600</w:t>
      </w:r>
    </w:p>
    <w:p w:rsidR="00090A6F" w:rsidRPr="00061782" w:rsidRDefault="00700CD1" w:rsidP="008B158A">
      <w:pPr>
        <w:pStyle w:val="CoverContact"/>
        <w:spacing w:after="1080"/>
        <w:jc w:val="both"/>
        <w:rPr>
          <w:sz w:val="19"/>
          <w:szCs w:val="19"/>
        </w:rPr>
      </w:pPr>
      <w:r w:rsidRPr="00061782">
        <w:rPr>
          <w:sz w:val="19"/>
          <w:szCs w:val="19"/>
        </w:rPr>
        <w:t>E-mail:</w:t>
      </w:r>
      <w:r w:rsidRPr="00061782">
        <w:rPr>
          <w:sz w:val="19"/>
          <w:szCs w:val="19"/>
        </w:rPr>
        <w:tab/>
        <w:t>standard@aasb.gov</w:t>
      </w:r>
      <w:r w:rsidR="00090A6F" w:rsidRPr="00061782">
        <w:rPr>
          <w:sz w:val="19"/>
          <w:szCs w:val="19"/>
        </w:rPr>
        <w:t>.au</w:t>
      </w:r>
    </w:p>
    <w:p w:rsidR="00096F13" w:rsidRPr="00061782" w:rsidRDefault="00096F13" w:rsidP="00824902">
      <w:pPr>
        <w:pStyle w:val="Default"/>
        <w:spacing w:before="7600"/>
        <w:jc w:val="both"/>
        <w:rPr>
          <w:sz w:val="19"/>
          <w:szCs w:val="19"/>
        </w:rPr>
      </w:pPr>
      <w:r w:rsidRPr="00061782">
        <w:rPr>
          <w:sz w:val="19"/>
          <w:szCs w:val="19"/>
        </w:rPr>
        <w:t xml:space="preserve">COPYRIGHT </w:t>
      </w:r>
    </w:p>
    <w:p w:rsidR="007A57F3" w:rsidRDefault="007A57F3" w:rsidP="008B158A">
      <w:pPr>
        <w:pStyle w:val="Default"/>
        <w:jc w:val="both"/>
        <w:rPr>
          <w:sz w:val="20"/>
          <w:szCs w:val="20"/>
        </w:rPr>
      </w:pPr>
    </w:p>
    <w:p w:rsidR="00096F13" w:rsidRPr="00061782" w:rsidRDefault="00096F13" w:rsidP="008B158A">
      <w:pPr>
        <w:pStyle w:val="Default"/>
        <w:jc w:val="both"/>
        <w:rPr>
          <w:sz w:val="19"/>
          <w:szCs w:val="19"/>
        </w:rPr>
      </w:pPr>
      <w:r w:rsidRPr="00061782">
        <w:rPr>
          <w:sz w:val="19"/>
          <w:szCs w:val="19"/>
        </w:rPr>
        <w:t>© Commonwealth of Australia 201</w:t>
      </w:r>
      <w:r w:rsidR="007A57F3" w:rsidRPr="00061782">
        <w:rPr>
          <w:sz w:val="19"/>
          <w:szCs w:val="19"/>
        </w:rPr>
        <w:t>5</w:t>
      </w:r>
      <w:r w:rsidRPr="00061782">
        <w:rPr>
          <w:sz w:val="19"/>
          <w:szCs w:val="19"/>
        </w:rPr>
        <w:t xml:space="preserve"> </w:t>
      </w:r>
    </w:p>
    <w:p w:rsidR="00C62061" w:rsidRDefault="00C62061" w:rsidP="008B158A">
      <w:pPr>
        <w:pStyle w:val="Default"/>
        <w:jc w:val="both"/>
        <w:rPr>
          <w:sz w:val="20"/>
          <w:szCs w:val="20"/>
        </w:rPr>
      </w:pPr>
    </w:p>
    <w:p w:rsidR="007A57F3" w:rsidRPr="00061782" w:rsidRDefault="00096F13" w:rsidP="008B158A">
      <w:pPr>
        <w:jc w:val="both"/>
        <w:rPr>
          <w:sz w:val="19"/>
          <w:szCs w:val="19"/>
        </w:rPr>
      </w:pPr>
      <w:r w:rsidRPr="00061782">
        <w:rPr>
          <w:sz w:val="19"/>
          <w:szCs w:val="19"/>
        </w:rPr>
        <w:t>This work is copyright</w:t>
      </w:r>
      <w:r w:rsidR="005F28CF" w:rsidRPr="00061782">
        <w:rPr>
          <w:sz w:val="19"/>
          <w:szCs w:val="19"/>
        </w:rPr>
        <w:t xml:space="preserve">.  </w:t>
      </w:r>
      <w:r w:rsidRPr="00061782">
        <w:rPr>
          <w:sz w:val="19"/>
          <w:szCs w:val="19"/>
        </w:rPr>
        <w:t xml:space="preserve">Apart from any use as permitted under the </w:t>
      </w:r>
      <w:r w:rsidRPr="00061782">
        <w:rPr>
          <w:i/>
          <w:iCs/>
          <w:sz w:val="19"/>
          <w:szCs w:val="19"/>
        </w:rPr>
        <w:t>Copyright Act 1968</w:t>
      </w:r>
      <w:r w:rsidRPr="00061782">
        <w:rPr>
          <w:sz w:val="19"/>
          <w:szCs w:val="19"/>
        </w:rPr>
        <w:t>, no part may be reproduced by any process without prior written permission</w:t>
      </w:r>
      <w:r w:rsidR="005F28CF" w:rsidRPr="00061782">
        <w:rPr>
          <w:sz w:val="19"/>
          <w:szCs w:val="19"/>
        </w:rPr>
        <w:t xml:space="preserve">.  </w:t>
      </w:r>
      <w:r w:rsidRPr="00061782">
        <w:rPr>
          <w:sz w:val="19"/>
          <w:szCs w:val="19"/>
        </w:rPr>
        <w:t xml:space="preserve">Requests and enquiries concerning reproduction and rights should be addressed to The Director of Finance and Administration, Australian Accounting Standards Board, PO Box 204, Collins Street West, Victoria 8007. </w:t>
      </w:r>
    </w:p>
    <w:p w:rsidR="007A57F3" w:rsidRPr="00061782" w:rsidRDefault="007A57F3" w:rsidP="008B158A">
      <w:pPr>
        <w:jc w:val="both"/>
        <w:rPr>
          <w:sz w:val="19"/>
          <w:szCs w:val="19"/>
        </w:rPr>
      </w:pPr>
    </w:p>
    <w:p w:rsidR="00090A6F" w:rsidRPr="00061782" w:rsidRDefault="00090A6F" w:rsidP="008B158A">
      <w:pPr>
        <w:jc w:val="both"/>
        <w:rPr>
          <w:sz w:val="19"/>
          <w:szCs w:val="19"/>
        </w:rPr>
      </w:pPr>
      <w:r w:rsidRPr="00061782">
        <w:rPr>
          <w:sz w:val="19"/>
          <w:szCs w:val="19"/>
        </w:rPr>
        <w:t xml:space="preserve">ISSN </w:t>
      </w:r>
      <w:bookmarkStart w:id="5" w:name="ISSN"/>
      <w:r w:rsidR="001F3073" w:rsidRPr="00061782">
        <w:rPr>
          <w:sz w:val="19"/>
          <w:szCs w:val="19"/>
        </w:rPr>
        <w:t>1036-4803</w:t>
      </w:r>
      <w:bookmarkEnd w:id="5"/>
    </w:p>
    <w:p w:rsidR="00090A6F" w:rsidRPr="00061782" w:rsidRDefault="00090A6F" w:rsidP="008B158A">
      <w:pPr>
        <w:jc w:val="both"/>
        <w:rPr>
          <w:sz w:val="19"/>
          <w:szCs w:val="19"/>
        </w:rPr>
        <w:sectPr w:rsidR="00090A6F" w:rsidRPr="00061782" w:rsidSect="005D632B">
          <w:headerReference w:type="even" r:id="rId11"/>
          <w:headerReference w:type="default" r:id="rId12"/>
          <w:footerReference w:type="default" r:id="rId13"/>
          <w:headerReference w:type="first" r:id="rId14"/>
          <w:pgSz w:w="11907" w:h="16840"/>
          <w:pgMar w:top="1440" w:right="1440" w:bottom="1440" w:left="1440" w:header="709" w:footer="709" w:gutter="0"/>
          <w:cols w:space="720"/>
          <w:docGrid w:linePitch="272"/>
        </w:sectPr>
      </w:pPr>
    </w:p>
    <w:p w:rsidR="00090A6F" w:rsidRDefault="00090A6F" w:rsidP="0058360F">
      <w:pPr>
        <w:pStyle w:val="ConvSectionTitle"/>
      </w:pPr>
      <w:r>
        <w:lastRenderedPageBreak/>
        <w:t>C</w:t>
      </w:r>
      <w:r w:rsidR="0058360F">
        <w:t>ontents</w:t>
      </w:r>
    </w:p>
    <w:p w:rsidR="00090A6F" w:rsidRPr="0058360F" w:rsidRDefault="00090A6F" w:rsidP="0058360F">
      <w:pPr>
        <w:pStyle w:val="ContentsCapsPlain"/>
        <w:spacing w:before="400" w:line="240" w:lineRule="auto"/>
        <w:jc w:val="both"/>
        <w:rPr>
          <w:sz w:val="19"/>
          <w:szCs w:val="19"/>
        </w:rPr>
      </w:pPr>
      <w:r w:rsidRPr="0058360F">
        <w:rPr>
          <w:sz w:val="19"/>
          <w:szCs w:val="19"/>
        </w:rPr>
        <w:t>Preface</w:t>
      </w:r>
    </w:p>
    <w:p w:rsidR="00090A6F" w:rsidRPr="0058360F" w:rsidRDefault="00090A6F" w:rsidP="008B158A">
      <w:pPr>
        <w:pStyle w:val="ContentsCapsBold"/>
        <w:jc w:val="both"/>
        <w:rPr>
          <w:sz w:val="19"/>
          <w:szCs w:val="19"/>
        </w:rPr>
      </w:pPr>
      <w:r w:rsidRPr="0058360F">
        <w:rPr>
          <w:sz w:val="19"/>
          <w:szCs w:val="19"/>
        </w:rPr>
        <w:t>Accounting Standard</w:t>
      </w:r>
    </w:p>
    <w:p w:rsidR="00090A6F" w:rsidRPr="0058360F" w:rsidRDefault="00090A6F" w:rsidP="008B158A">
      <w:pPr>
        <w:pStyle w:val="ContentsCapsBold"/>
        <w:jc w:val="both"/>
        <w:rPr>
          <w:sz w:val="19"/>
          <w:szCs w:val="19"/>
        </w:rPr>
      </w:pPr>
      <w:r w:rsidRPr="0058360F">
        <w:rPr>
          <w:sz w:val="19"/>
          <w:szCs w:val="19"/>
        </w:rPr>
        <w:t xml:space="preserve">AASB </w:t>
      </w:r>
      <w:r w:rsidR="00612917">
        <w:rPr>
          <w:sz w:val="19"/>
          <w:szCs w:val="19"/>
        </w:rPr>
        <w:fldChar w:fldCharType="begin"/>
      </w:r>
      <w:r w:rsidR="00612917">
        <w:rPr>
          <w:sz w:val="19"/>
          <w:szCs w:val="19"/>
        </w:rPr>
        <w:instrText xml:space="preserve"> REF \* charformat DocNo  \* MERGEFORMAT </w:instrText>
      </w:r>
      <w:r w:rsidR="00612917">
        <w:rPr>
          <w:sz w:val="19"/>
          <w:szCs w:val="19"/>
        </w:rPr>
        <w:fldChar w:fldCharType="separate"/>
      </w:r>
      <w:r w:rsidR="00A551D5" w:rsidRPr="00A551D5">
        <w:rPr>
          <w:sz w:val="19"/>
          <w:szCs w:val="19"/>
        </w:rPr>
        <w:t>1057</w:t>
      </w:r>
      <w:r w:rsidR="00612917">
        <w:rPr>
          <w:sz w:val="19"/>
          <w:szCs w:val="19"/>
        </w:rPr>
        <w:fldChar w:fldCharType="end"/>
      </w:r>
      <w:r w:rsidRPr="0058360F">
        <w:rPr>
          <w:sz w:val="19"/>
          <w:szCs w:val="19"/>
        </w:rPr>
        <w:t xml:space="preserve"> </w:t>
      </w:r>
      <w:r w:rsidRPr="0058360F">
        <w:rPr>
          <w:i/>
          <w:iCs/>
          <w:sz w:val="19"/>
          <w:szCs w:val="19"/>
        </w:rPr>
        <w:fldChar w:fldCharType="begin" w:fldLock="1"/>
      </w:r>
      <w:r w:rsidRPr="0058360F">
        <w:rPr>
          <w:i/>
          <w:iCs/>
          <w:sz w:val="19"/>
          <w:szCs w:val="19"/>
        </w:rPr>
        <w:instrText xml:space="preserve"> REF DocTitle \* charformat </w:instrText>
      </w:r>
      <w:r w:rsidR="008B158A" w:rsidRPr="0058360F">
        <w:rPr>
          <w:i/>
          <w:iCs/>
          <w:sz w:val="19"/>
          <w:szCs w:val="19"/>
        </w:rPr>
        <w:instrText xml:space="preserve"> \* MERGEFORMAT </w:instrText>
      </w:r>
      <w:r w:rsidRPr="0058360F">
        <w:rPr>
          <w:i/>
          <w:iCs/>
          <w:sz w:val="19"/>
          <w:szCs w:val="19"/>
        </w:rPr>
        <w:fldChar w:fldCharType="separate"/>
      </w:r>
      <w:r w:rsidR="002663F0" w:rsidRPr="0058360F">
        <w:rPr>
          <w:i/>
          <w:iCs/>
          <w:sz w:val="19"/>
          <w:szCs w:val="19"/>
        </w:rPr>
        <w:t>Application of Australian Accounting Standards</w:t>
      </w:r>
      <w:r w:rsidRPr="0058360F">
        <w:rPr>
          <w:i/>
          <w:iCs/>
          <w:sz w:val="19"/>
          <w:szCs w:val="19"/>
        </w:rPr>
        <w:fldChar w:fldCharType="end"/>
      </w:r>
    </w:p>
    <w:p w:rsidR="006E369B" w:rsidRPr="0058360F" w:rsidRDefault="006E369B" w:rsidP="008B158A">
      <w:pPr>
        <w:pStyle w:val="ContentsParaHead"/>
        <w:jc w:val="both"/>
        <w:rPr>
          <w:sz w:val="19"/>
          <w:szCs w:val="19"/>
          <w:lang w:val="fr-FR"/>
        </w:rPr>
      </w:pPr>
    </w:p>
    <w:p w:rsidR="006E369B" w:rsidRPr="0058360F" w:rsidRDefault="006E369B" w:rsidP="006E369B">
      <w:pPr>
        <w:pStyle w:val="ContentsHeading"/>
        <w:rPr>
          <w:szCs w:val="19"/>
        </w:rPr>
      </w:pPr>
      <w:r w:rsidRPr="0058360F">
        <w:rPr>
          <w:szCs w:val="19"/>
        </w:rPr>
        <w:t>from paragraph</w:t>
      </w:r>
    </w:p>
    <w:p w:rsidR="00786069" w:rsidRPr="0058360F" w:rsidRDefault="00090A6F" w:rsidP="009872DB">
      <w:pPr>
        <w:pStyle w:val="ContentsLevel1"/>
        <w:tabs>
          <w:tab w:val="clear" w:pos="6237"/>
          <w:tab w:val="right" w:pos="9027"/>
        </w:tabs>
        <w:spacing w:line="240" w:lineRule="auto"/>
        <w:ind w:left="0" w:firstLine="0"/>
        <w:jc w:val="both"/>
        <w:rPr>
          <w:b/>
          <w:caps/>
          <w:sz w:val="19"/>
          <w:szCs w:val="19"/>
        </w:rPr>
      </w:pPr>
      <w:bookmarkStart w:id="6" w:name="TOCRange"/>
      <w:r w:rsidRPr="0058360F">
        <w:rPr>
          <w:b/>
          <w:caps/>
          <w:sz w:val="19"/>
          <w:szCs w:val="19"/>
        </w:rPr>
        <w:t>Objective</w:t>
      </w:r>
      <w:r w:rsidR="00786069" w:rsidRPr="0058360F">
        <w:rPr>
          <w:b/>
          <w:caps/>
          <w:sz w:val="19"/>
          <w:szCs w:val="19"/>
        </w:rPr>
        <w:tab/>
        <w:t>1</w:t>
      </w:r>
    </w:p>
    <w:p w:rsidR="00090A6F" w:rsidRPr="0058360F" w:rsidRDefault="00090A6F" w:rsidP="009872DB">
      <w:pPr>
        <w:pStyle w:val="ContentsLevel1"/>
        <w:tabs>
          <w:tab w:val="clear" w:pos="6237"/>
          <w:tab w:val="right" w:pos="9027"/>
        </w:tabs>
        <w:spacing w:line="240" w:lineRule="auto"/>
        <w:ind w:left="0" w:firstLine="0"/>
        <w:jc w:val="both"/>
        <w:rPr>
          <w:b/>
          <w:caps/>
          <w:sz w:val="19"/>
          <w:szCs w:val="19"/>
        </w:rPr>
      </w:pPr>
      <w:r w:rsidRPr="0058360F">
        <w:rPr>
          <w:b/>
          <w:caps/>
          <w:sz w:val="19"/>
          <w:szCs w:val="19"/>
        </w:rPr>
        <w:t>Application</w:t>
      </w:r>
      <w:r w:rsidR="00B05459">
        <w:rPr>
          <w:b/>
          <w:caps/>
          <w:sz w:val="19"/>
          <w:szCs w:val="19"/>
        </w:rPr>
        <w:t xml:space="preserve"> of this Standard</w:t>
      </w:r>
      <w:r w:rsidR="00786069" w:rsidRPr="0058360F">
        <w:rPr>
          <w:b/>
          <w:caps/>
          <w:sz w:val="19"/>
          <w:szCs w:val="19"/>
        </w:rPr>
        <w:tab/>
        <w:t>2</w:t>
      </w:r>
    </w:p>
    <w:p w:rsidR="00786069" w:rsidRPr="0058360F" w:rsidRDefault="00786069" w:rsidP="009872DB">
      <w:pPr>
        <w:pStyle w:val="ContentsLevel1"/>
        <w:tabs>
          <w:tab w:val="clear" w:pos="6237"/>
          <w:tab w:val="right" w:pos="9027"/>
        </w:tabs>
        <w:spacing w:line="240" w:lineRule="auto"/>
        <w:ind w:left="0" w:firstLine="0"/>
        <w:jc w:val="both"/>
        <w:rPr>
          <w:b/>
          <w:caps/>
          <w:sz w:val="19"/>
          <w:szCs w:val="19"/>
        </w:rPr>
      </w:pPr>
      <w:r w:rsidRPr="0058360F">
        <w:rPr>
          <w:b/>
          <w:caps/>
          <w:sz w:val="19"/>
          <w:szCs w:val="19"/>
        </w:rPr>
        <w:t>Application of Australian Accounting Standards</w:t>
      </w:r>
      <w:r w:rsidRPr="0058360F">
        <w:rPr>
          <w:b/>
          <w:caps/>
          <w:sz w:val="19"/>
          <w:szCs w:val="19"/>
        </w:rPr>
        <w:tab/>
      </w:r>
      <w:r w:rsidR="00F727BA">
        <w:rPr>
          <w:b/>
          <w:caps/>
          <w:sz w:val="19"/>
          <w:szCs w:val="19"/>
        </w:rPr>
        <w:t>5</w:t>
      </w:r>
    </w:p>
    <w:p w:rsidR="00786069" w:rsidRPr="0058360F" w:rsidRDefault="00786069" w:rsidP="009872DB">
      <w:pPr>
        <w:pStyle w:val="ContentsLevel1"/>
        <w:tabs>
          <w:tab w:val="clear" w:pos="6237"/>
          <w:tab w:val="right" w:pos="9027"/>
        </w:tabs>
        <w:spacing w:line="240" w:lineRule="auto"/>
        <w:ind w:left="0" w:firstLine="0"/>
        <w:jc w:val="both"/>
        <w:rPr>
          <w:b/>
          <w:caps/>
          <w:sz w:val="19"/>
          <w:szCs w:val="19"/>
        </w:rPr>
      </w:pPr>
      <w:r w:rsidRPr="0058360F">
        <w:rPr>
          <w:b/>
          <w:caps/>
          <w:sz w:val="19"/>
          <w:szCs w:val="19"/>
        </w:rPr>
        <w:t>Application of Australian Interpretations</w:t>
      </w:r>
      <w:r w:rsidRPr="0058360F">
        <w:rPr>
          <w:b/>
          <w:caps/>
          <w:sz w:val="19"/>
          <w:szCs w:val="19"/>
        </w:rPr>
        <w:tab/>
      </w:r>
      <w:r w:rsidR="00F727BA">
        <w:rPr>
          <w:b/>
          <w:caps/>
          <w:sz w:val="19"/>
          <w:szCs w:val="19"/>
        </w:rPr>
        <w:t>22</w:t>
      </w:r>
    </w:p>
    <w:p w:rsidR="00A00434" w:rsidRPr="0058360F" w:rsidRDefault="00A00434" w:rsidP="009872DB">
      <w:pPr>
        <w:pStyle w:val="ContentsLevel1"/>
        <w:tabs>
          <w:tab w:val="clear" w:pos="6237"/>
          <w:tab w:val="right" w:pos="9027"/>
        </w:tabs>
        <w:spacing w:line="240" w:lineRule="auto"/>
        <w:ind w:left="0" w:firstLine="0"/>
        <w:jc w:val="both"/>
        <w:rPr>
          <w:b/>
          <w:caps/>
          <w:sz w:val="19"/>
          <w:szCs w:val="19"/>
        </w:rPr>
      </w:pPr>
      <w:r w:rsidRPr="0058360F">
        <w:rPr>
          <w:b/>
          <w:caps/>
          <w:sz w:val="19"/>
          <w:szCs w:val="19"/>
        </w:rPr>
        <w:t>Commencement</w:t>
      </w:r>
      <w:r w:rsidR="0058360F">
        <w:rPr>
          <w:b/>
          <w:caps/>
          <w:sz w:val="19"/>
          <w:szCs w:val="19"/>
        </w:rPr>
        <w:t xml:space="preserve"> of the legislative instrument</w:t>
      </w:r>
      <w:r w:rsidR="00786069" w:rsidRPr="0058360F">
        <w:rPr>
          <w:b/>
          <w:caps/>
          <w:sz w:val="19"/>
          <w:szCs w:val="19"/>
        </w:rPr>
        <w:tab/>
      </w:r>
      <w:r w:rsidR="00F727BA">
        <w:rPr>
          <w:b/>
          <w:caps/>
          <w:sz w:val="19"/>
          <w:szCs w:val="19"/>
        </w:rPr>
        <w:t>27</w:t>
      </w:r>
    </w:p>
    <w:bookmarkEnd w:id="6"/>
    <w:p w:rsidR="00090A6F" w:rsidRPr="0058360F" w:rsidRDefault="00090A6F" w:rsidP="009872DB">
      <w:pPr>
        <w:pStyle w:val="ContentsLevel1"/>
        <w:tabs>
          <w:tab w:val="clear" w:pos="6237"/>
          <w:tab w:val="right" w:pos="9027"/>
        </w:tabs>
        <w:spacing w:line="240" w:lineRule="auto"/>
        <w:ind w:left="0" w:firstLine="0"/>
        <w:jc w:val="both"/>
        <w:rPr>
          <w:b/>
          <w:caps/>
          <w:sz w:val="19"/>
          <w:szCs w:val="19"/>
        </w:rPr>
      </w:pPr>
      <w:r w:rsidRPr="0058360F">
        <w:rPr>
          <w:b/>
          <w:caps/>
          <w:sz w:val="19"/>
          <w:szCs w:val="19"/>
        </w:rPr>
        <w:t>Appendi</w:t>
      </w:r>
      <w:r w:rsidR="00786069" w:rsidRPr="0058360F">
        <w:rPr>
          <w:b/>
          <w:caps/>
          <w:sz w:val="19"/>
          <w:szCs w:val="19"/>
        </w:rPr>
        <w:t>x</w:t>
      </w:r>
    </w:p>
    <w:p w:rsidR="00090A6F" w:rsidRPr="0058360F" w:rsidRDefault="00090A6F" w:rsidP="00B06DD9">
      <w:pPr>
        <w:pStyle w:val="ContentsLevel2"/>
        <w:tabs>
          <w:tab w:val="clear" w:pos="6237"/>
          <w:tab w:val="right" w:pos="9027"/>
        </w:tabs>
        <w:spacing w:line="240" w:lineRule="auto"/>
        <w:ind w:left="0" w:firstLine="0"/>
        <w:jc w:val="both"/>
        <w:rPr>
          <w:b/>
          <w:sz w:val="19"/>
          <w:szCs w:val="19"/>
        </w:rPr>
      </w:pPr>
      <w:r w:rsidRPr="0058360F">
        <w:rPr>
          <w:b/>
          <w:sz w:val="19"/>
          <w:szCs w:val="19"/>
        </w:rPr>
        <w:t xml:space="preserve">Defined </w:t>
      </w:r>
      <w:r w:rsidR="0058360F">
        <w:rPr>
          <w:b/>
          <w:sz w:val="19"/>
          <w:szCs w:val="19"/>
        </w:rPr>
        <w:t>t</w:t>
      </w:r>
      <w:r w:rsidRPr="0058360F">
        <w:rPr>
          <w:b/>
          <w:sz w:val="19"/>
          <w:szCs w:val="19"/>
        </w:rPr>
        <w:t>erms</w:t>
      </w:r>
    </w:p>
    <w:p w:rsidR="00090A6F" w:rsidRDefault="00090A6F" w:rsidP="008B158A">
      <w:pPr>
        <w:pStyle w:val="ContentsLevel1"/>
        <w:jc w:val="both"/>
      </w:pPr>
    </w:p>
    <w:p w:rsidR="001276B8" w:rsidRDefault="001276B8" w:rsidP="008B158A">
      <w:pPr>
        <w:pStyle w:val="ContentsLevel1NoIndent"/>
        <w:jc w:val="both"/>
      </w:pPr>
    </w:p>
    <w:p w:rsidR="00090A6F" w:rsidRPr="009872DB" w:rsidRDefault="00090A6F" w:rsidP="009872DB">
      <w:pPr>
        <w:pStyle w:val="ContentsLevel1"/>
        <w:tabs>
          <w:tab w:val="clear" w:pos="6237"/>
          <w:tab w:val="right" w:pos="9027"/>
        </w:tabs>
        <w:spacing w:line="240" w:lineRule="auto"/>
        <w:ind w:left="0" w:firstLine="0"/>
        <w:jc w:val="both"/>
        <w:rPr>
          <w:b/>
          <w:caps/>
          <w:sz w:val="19"/>
        </w:rPr>
      </w:pPr>
      <w:r w:rsidRPr="009872DB">
        <w:rPr>
          <w:b/>
          <w:caps/>
          <w:sz w:val="19"/>
        </w:rPr>
        <w:t>BASIS FOR CONCLUSIONS</w:t>
      </w:r>
      <w:bookmarkStart w:id="7" w:name="IntnlNo"/>
      <w:bookmarkEnd w:id="7"/>
    </w:p>
    <w:p w:rsidR="00090A6F" w:rsidRDefault="00090A6F" w:rsidP="009872DB">
      <w:pPr>
        <w:pStyle w:val="ContentsLevel1"/>
        <w:tabs>
          <w:tab w:val="clear" w:pos="6237"/>
          <w:tab w:val="right" w:pos="9027"/>
        </w:tabs>
        <w:spacing w:line="240" w:lineRule="auto"/>
        <w:ind w:left="0" w:firstLine="0"/>
        <w:jc w:val="both"/>
        <w:rPr>
          <w:b/>
          <w:caps/>
          <w:sz w:val="19"/>
        </w:rPr>
      </w:pPr>
    </w:p>
    <w:p w:rsidR="00E533E4" w:rsidRPr="009872DB" w:rsidRDefault="00E533E4" w:rsidP="009872DB">
      <w:pPr>
        <w:pStyle w:val="ContentsLevel1"/>
        <w:tabs>
          <w:tab w:val="clear" w:pos="6237"/>
          <w:tab w:val="right" w:pos="9027"/>
        </w:tabs>
        <w:spacing w:line="240" w:lineRule="auto"/>
        <w:ind w:left="0" w:firstLine="0"/>
        <w:jc w:val="both"/>
        <w:rPr>
          <w:b/>
          <w:caps/>
          <w:sz w:val="19"/>
        </w:rPr>
      </w:pPr>
    </w:p>
    <w:p w:rsidR="00090A6F" w:rsidRPr="009872DB" w:rsidRDefault="00090A6F" w:rsidP="008B158A">
      <w:pPr>
        <w:pStyle w:val="ContentsBox"/>
        <w:jc w:val="both"/>
        <w:rPr>
          <w:sz w:val="19"/>
          <w:szCs w:val="19"/>
        </w:rPr>
      </w:pPr>
      <w:r w:rsidRPr="009872DB">
        <w:rPr>
          <w:sz w:val="19"/>
          <w:szCs w:val="19"/>
        </w:rPr>
        <w:t xml:space="preserve">Australian Accounting Standard AASB </w:t>
      </w:r>
      <w:r w:rsidR="00612917">
        <w:rPr>
          <w:sz w:val="19"/>
          <w:szCs w:val="19"/>
        </w:rPr>
        <w:fldChar w:fldCharType="begin"/>
      </w:r>
      <w:r w:rsidR="00612917">
        <w:rPr>
          <w:sz w:val="19"/>
          <w:szCs w:val="19"/>
        </w:rPr>
        <w:instrText xml:space="preserve"> REF \* charformat DocNo  \* MERGEFORMAT </w:instrText>
      </w:r>
      <w:r w:rsidR="00612917">
        <w:rPr>
          <w:sz w:val="19"/>
          <w:szCs w:val="19"/>
        </w:rPr>
        <w:fldChar w:fldCharType="separate"/>
      </w:r>
      <w:r w:rsidR="00A551D5" w:rsidRPr="00A551D5">
        <w:rPr>
          <w:sz w:val="19"/>
          <w:szCs w:val="19"/>
        </w:rPr>
        <w:t>1057</w:t>
      </w:r>
      <w:r w:rsidR="00612917">
        <w:rPr>
          <w:sz w:val="19"/>
          <w:szCs w:val="19"/>
        </w:rPr>
        <w:fldChar w:fldCharType="end"/>
      </w:r>
      <w:r w:rsidRPr="009872DB">
        <w:rPr>
          <w:sz w:val="19"/>
          <w:szCs w:val="19"/>
        </w:rPr>
        <w:t xml:space="preserve"> </w:t>
      </w:r>
      <w:r w:rsidRPr="009872DB">
        <w:rPr>
          <w:i/>
          <w:iCs/>
          <w:sz w:val="19"/>
          <w:szCs w:val="19"/>
        </w:rPr>
        <w:fldChar w:fldCharType="begin" w:fldLock="1"/>
      </w:r>
      <w:r w:rsidRPr="009872DB">
        <w:rPr>
          <w:i/>
          <w:iCs/>
          <w:sz w:val="19"/>
          <w:szCs w:val="19"/>
        </w:rPr>
        <w:instrText xml:space="preserve"> REF DocTitle \* charformat </w:instrText>
      </w:r>
      <w:r w:rsidR="008B158A" w:rsidRPr="009872DB">
        <w:rPr>
          <w:i/>
          <w:iCs/>
          <w:sz w:val="19"/>
          <w:szCs w:val="19"/>
        </w:rPr>
        <w:instrText xml:space="preserve"> \* MERGEFORMAT </w:instrText>
      </w:r>
      <w:r w:rsidRPr="009872DB">
        <w:rPr>
          <w:i/>
          <w:iCs/>
          <w:sz w:val="19"/>
          <w:szCs w:val="19"/>
        </w:rPr>
        <w:fldChar w:fldCharType="separate"/>
      </w:r>
      <w:r w:rsidR="002663F0" w:rsidRPr="009872DB">
        <w:rPr>
          <w:i/>
          <w:iCs/>
          <w:sz w:val="19"/>
          <w:szCs w:val="19"/>
        </w:rPr>
        <w:t>Application of Australian Accounting Standards</w:t>
      </w:r>
      <w:r w:rsidRPr="009872DB">
        <w:rPr>
          <w:i/>
          <w:iCs/>
          <w:sz w:val="19"/>
          <w:szCs w:val="19"/>
        </w:rPr>
        <w:fldChar w:fldCharType="end"/>
      </w:r>
      <w:r w:rsidRPr="009872DB">
        <w:rPr>
          <w:i/>
          <w:iCs/>
          <w:sz w:val="19"/>
          <w:szCs w:val="19"/>
        </w:rPr>
        <w:t xml:space="preserve"> </w:t>
      </w:r>
      <w:r w:rsidRPr="009872DB">
        <w:rPr>
          <w:sz w:val="19"/>
          <w:szCs w:val="19"/>
        </w:rPr>
        <w:t xml:space="preserve">is set out in </w:t>
      </w:r>
      <w:r w:rsidR="00BA20C3" w:rsidRPr="009872DB">
        <w:rPr>
          <w:sz w:val="19"/>
          <w:szCs w:val="19"/>
        </w:rPr>
        <w:t xml:space="preserve">paragraphs </w:t>
      </w:r>
      <w:r w:rsidR="00AE745E" w:rsidRPr="009872DB">
        <w:rPr>
          <w:sz w:val="19"/>
          <w:szCs w:val="19"/>
        </w:rPr>
        <w:t>1 – 2</w:t>
      </w:r>
      <w:r w:rsidR="00C945A4">
        <w:rPr>
          <w:sz w:val="19"/>
          <w:szCs w:val="19"/>
        </w:rPr>
        <w:t>7</w:t>
      </w:r>
      <w:r w:rsidR="00BA20C3" w:rsidRPr="009872DB">
        <w:rPr>
          <w:sz w:val="19"/>
          <w:szCs w:val="19"/>
        </w:rPr>
        <w:t xml:space="preserve"> and</w:t>
      </w:r>
      <w:r w:rsidR="0058360F">
        <w:rPr>
          <w:sz w:val="19"/>
          <w:szCs w:val="19"/>
        </w:rPr>
        <w:t xml:space="preserve"> the</w:t>
      </w:r>
      <w:r w:rsidR="00BA20C3" w:rsidRPr="009872DB">
        <w:rPr>
          <w:sz w:val="19"/>
          <w:szCs w:val="19"/>
        </w:rPr>
        <w:t xml:space="preserve"> Append</w:t>
      </w:r>
      <w:r w:rsidR="00AE745E" w:rsidRPr="009872DB">
        <w:rPr>
          <w:sz w:val="19"/>
          <w:szCs w:val="19"/>
        </w:rPr>
        <w:t>ix</w:t>
      </w:r>
      <w:r w:rsidRPr="009872DB">
        <w:rPr>
          <w:sz w:val="19"/>
          <w:szCs w:val="19"/>
        </w:rPr>
        <w:t xml:space="preserve">. </w:t>
      </w:r>
      <w:r w:rsidR="00086B81" w:rsidRPr="009872DB">
        <w:rPr>
          <w:sz w:val="19"/>
          <w:szCs w:val="19"/>
        </w:rPr>
        <w:t xml:space="preserve"> </w:t>
      </w:r>
      <w:r w:rsidRPr="009872DB">
        <w:rPr>
          <w:sz w:val="19"/>
          <w:szCs w:val="19"/>
        </w:rPr>
        <w:t xml:space="preserve">All the paragraphs have equal authority.  Paragraphs in </w:t>
      </w:r>
      <w:r w:rsidRPr="009872DB">
        <w:rPr>
          <w:b/>
          <w:bCs/>
          <w:sz w:val="19"/>
          <w:szCs w:val="19"/>
        </w:rPr>
        <w:t xml:space="preserve">bold type </w:t>
      </w:r>
      <w:r w:rsidRPr="009872DB">
        <w:rPr>
          <w:sz w:val="19"/>
          <w:szCs w:val="19"/>
        </w:rPr>
        <w:t xml:space="preserve">state the main principles.  </w:t>
      </w:r>
      <w:r w:rsidR="00EB63D8" w:rsidRPr="009872DB">
        <w:rPr>
          <w:sz w:val="19"/>
          <w:szCs w:val="19"/>
        </w:rPr>
        <w:t xml:space="preserve">Terms defined in </w:t>
      </w:r>
      <w:r w:rsidR="0039144A">
        <w:rPr>
          <w:sz w:val="19"/>
          <w:szCs w:val="19"/>
        </w:rPr>
        <w:t xml:space="preserve">the </w:t>
      </w:r>
      <w:r w:rsidR="00EB63D8" w:rsidRPr="009872DB">
        <w:rPr>
          <w:sz w:val="19"/>
          <w:szCs w:val="19"/>
        </w:rPr>
        <w:t xml:space="preserve">Appendix are in </w:t>
      </w:r>
      <w:r w:rsidR="00EB63D8" w:rsidRPr="009872DB">
        <w:rPr>
          <w:i/>
          <w:sz w:val="19"/>
          <w:szCs w:val="19"/>
        </w:rPr>
        <w:t>italics</w:t>
      </w:r>
      <w:r w:rsidR="00EB63D8" w:rsidRPr="009872DB">
        <w:rPr>
          <w:sz w:val="19"/>
          <w:szCs w:val="19"/>
        </w:rPr>
        <w:t xml:space="preserve"> the first time they appear in the Standard.  </w:t>
      </w:r>
      <w:r w:rsidRPr="009872DB">
        <w:rPr>
          <w:sz w:val="19"/>
          <w:szCs w:val="19"/>
        </w:rPr>
        <w:t>AASB </w:t>
      </w:r>
      <w:r w:rsidR="00612917">
        <w:rPr>
          <w:sz w:val="19"/>
          <w:szCs w:val="19"/>
        </w:rPr>
        <w:fldChar w:fldCharType="begin"/>
      </w:r>
      <w:r w:rsidR="00612917">
        <w:rPr>
          <w:sz w:val="19"/>
          <w:szCs w:val="19"/>
        </w:rPr>
        <w:instrText xml:space="preserve"> REF \* charformat DocNo  \* MERGEFORMAT </w:instrText>
      </w:r>
      <w:r w:rsidR="00612917">
        <w:rPr>
          <w:sz w:val="19"/>
          <w:szCs w:val="19"/>
        </w:rPr>
        <w:fldChar w:fldCharType="separate"/>
      </w:r>
      <w:r w:rsidR="00A551D5" w:rsidRPr="00A551D5">
        <w:rPr>
          <w:sz w:val="19"/>
          <w:szCs w:val="19"/>
        </w:rPr>
        <w:t>1057</w:t>
      </w:r>
      <w:r w:rsidR="00612917">
        <w:rPr>
          <w:sz w:val="19"/>
          <w:szCs w:val="19"/>
        </w:rPr>
        <w:fldChar w:fldCharType="end"/>
      </w:r>
      <w:r w:rsidRPr="009872DB">
        <w:rPr>
          <w:sz w:val="19"/>
          <w:szCs w:val="19"/>
        </w:rPr>
        <w:t xml:space="preserve"> is to be read in the context of other Australian Accounting Standards, including AASB 1048 </w:t>
      </w:r>
      <w:r w:rsidRPr="009872DB">
        <w:rPr>
          <w:i/>
          <w:iCs/>
          <w:sz w:val="19"/>
          <w:szCs w:val="19"/>
        </w:rPr>
        <w:t>Interpretation of Standards</w:t>
      </w:r>
      <w:r w:rsidRPr="009872DB">
        <w:rPr>
          <w:sz w:val="19"/>
          <w:szCs w:val="19"/>
        </w:rPr>
        <w:t xml:space="preserve">, which identifies the </w:t>
      </w:r>
      <w:r w:rsidR="00086B81" w:rsidRPr="009872DB">
        <w:rPr>
          <w:sz w:val="19"/>
          <w:szCs w:val="19"/>
        </w:rPr>
        <w:t>Australian Accounting</w:t>
      </w:r>
      <w:r w:rsidRPr="009872DB">
        <w:rPr>
          <w:sz w:val="19"/>
          <w:szCs w:val="19"/>
        </w:rPr>
        <w:t xml:space="preserve"> Interpretations.  In the absence of explicit guidance, AASB 108 </w:t>
      </w:r>
      <w:r w:rsidRPr="009872DB">
        <w:rPr>
          <w:i/>
          <w:iCs/>
          <w:sz w:val="19"/>
          <w:szCs w:val="19"/>
        </w:rPr>
        <w:t xml:space="preserve">Accounting Policies, Changes in Accounting Estimates and Errors </w:t>
      </w:r>
      <w:r w:rsidRPr="009872DB">
        <w:rPr>
          <w:sz w:val="19"/>
          <w:szCs w:val="19"/>
        </w:rPr>
        <w:t>provides a basis for selecting and applying accounting policies.</w:t>
      </w:r>
    </w:p>
    <w:p w:rsidR="00090A6F" w:rsidRDefault="00090A6F" w:rsidP="008B158A">
      <w:pPr>
        <w:pStyle w:val="ContentsBox"/>
        <w:pBdr>
          <w:top w:val="none" w:sz="0" w:space="0" w:color="auto"/>
          <w:left w:val="none" w:sz="0" w:space="0" w:color="auto"/>
          <w:bottom w:val="none" w:sz="0" w:space="0" w:color="auto"/>
          <w:right w:val="none" w:sz="0" w:space="0" w:color="auto"/>
        </w:pBdr>
        <w:jc w:val="both"/>
      </w:pPr>
    </w:p>
    <w:p w:rsidR="00090A6F" w:rsidRDefault="00090A6F" w:rsidP="008B158A">
      <w:pPr>
        <w:jc w:val="both"/>
        <w:sectPr w:rsidR="00090A6F" w:rsidSect="005D632B">
          <w:headerReference w:type="even" r:id="rId15"/>
          <w:footerReference w:type="default" r:id="rId16"/>
          <w:headerReference w:type="first" r:id="rId17"/>
          <w:pgSz w:w="11907" w:h="16840"/>
          <w:pgMar w:top="1440" w:right="1440" w:bottom="1440" w:left="1440" w:header="709" w:footer="709" w:gutter="0"/>
          <w:cols w:space="720"/>
          <w:docGrid w:linePitch="272"/>
        </w:sectPr>
      </w:pPr>
    </w:p>
    <w:p w:rsidR="00090A6F" w:rsidRPr="00E533E4" w:rsidRDefault="00090A6F" w:rsidP="00231039">
      <w:pPr>
        <w:pStyle w:val="Heading1"/>
        <w:spacing w:before="400" w:line="240" w:lineRule="auto"/>
        <w:jc w:val="both"/>
        <w:rPr>
          <w:rFonts w:ascii="Arial" w:hAnsi="Arial"/>
          <w:bCs w:val="0"/>
          <w:caps w:val="0"/>
          <w:sz w:val="26"/>
          <w:szCs w:val="20"/>
        </w:rPr>
      </w:pPr>
      <w:r w:rsidRPr="00E533E4">
        <w:rPr>
          <w:rFonts w:ascii="Arial" w:hAnsi="Arial"/>
          <w:bCs w:val="0"/>
          <w:caps w:val="0"/>
          <w:sz w:val="26"/>
          <w:szCs w:val="20"/>
        </w:rPr>
        <w:lastRenderedPageBreak/>
        <w:t>Preface</w:t>
      </w:r>
    </w:p>
    <w:p w:rsidR="00A8582C" w:rsidRPr="005333A0" w:rsidRDefault="00A8582C" w:rsidP="00D56465">
      <w:pPr>
        <w:pStyle w:val="Heading2"/>
        <w:pBdr>
          <w:bottom w:val="single" w:sz="4" w:space="1" w:color="auto"/>
        </w:pBdr>
        <w:spacing w:before="300" w:after="0" w:line="240" w:lineRule="auto"/>
        <w:jc w:val="both"/>
        <w:rPr>
          <w:rFonts w:ascii="Arial" w:hAnsi="Arial"/>
          <w:sz w:val="26"/>
          <w:szCs w:val="26"/>
        </w:rPr>
      </w:pPr>
      <w:r w:rsidRPr="005333A0">
        <w:rPr>
          <w:rFonts w:ascii="Arial" w:hAnsi="Arial"/>
          <w:sz w:val="26"/>
          <w:szCs w:val="26"/>
        </w:rPr>
        <w:t>Introduction</w:t>
      </w:r>
    </w:p>
    <w:p w:rsidR="00E37829" w:rsidRPr="00231039" w:rsidRDefault="00824902" w:rsidP="00CB60D9">
      <w:pPr>
        <w:pStyle w:val="NoNumPlain1"/>
        <w:spacing w:before="100" w:after="100" w:line="240" w:lineRule="auto"/>
        <w:jc w:val="both"/>
        <w:rPr>
          <w:sz w:val="19"/>
          <w:szCs w:val="19"/>
        </w:rPr>
      </w:pPr>
      <w:r w:rsidRPr="00824902">
        <w:rPr>
          <w:sz w:val="19"/>
          <w:szCs w:val="19"/>
        </w:rPr>
        <w:t xml:space="preserve">The Australian Accounting Standards Board (AASB) is an Australian Government agency under the </w:t>
      </w:r>
      <w:r w:rsidRPr="00824902">
        <w:rPr>
          <w:i/>
          <w:sz w:val="19"/>
          <w:szCs w:val="19"/>
        </w:rPr>
        <w:t>Australian Securities and Investments Commission Act 2001</w:t>
      </w:r>
      <w:r w:rsidRPr="00824902">
        <w:rPr>
          <w:sz w:val="19"/>
          <w:szCs w:val="19"/>
        </w:rPr>
        <w:t>.</w:t>
      </w:r>
      <w:r>
        <w:rPr>
          <w:sz w:val="19"/>
          <w:szCs w:val="19"/>
        </w:rPr>
        <w:t xml:space="preserve">  </w:t>
      </w:r>
      <w:r w:rsidR="00E37829" w:rsidRPr="00824902">
        <w:rPr>
          <w:sz w:val="19"/>
          <w:szCs w:val="19"/>
        </w:rPr>
        <w:t xml:space="preserve">The </w:t>
      </w:r>
      <w:r w:rsidRPr="00824902">
        <w:rPr>
          <w:sz w:val="19"/>
          <w:szCs w:val="19"/>
        </w:rPr>
        <w:t xml:space="preserve">AASB develops, issues and maintains </w:t>
      </w:r>
      <w:r w:rsidR="00E37829" w:rsidRPr="00824902">
        <w:rPr>
          <w:sz w:val="19"/>
          <w:szCs w:val="19"/>
        </w:rPr>
        <w:t>Australian Accounting</w:t>
      </w:r>
      <w:r w:rsidR="00E37829" w:rsidRPr="00231039">
        <w:rPr>
          <w:sz w:val="19"/>
          <w:szCs w:val="19"/>
        </w:rPr>
        <w:t xml:space="preserve"> Standards, including Interpretations</w:t>
      </w:r>
      <w:r>
        <w:rPr>
          <w:sz w:val="19"/>
          <w:szCs w:val="19"/>
        </w:rPr>
        <w:t xml:space="preserve">. </w:t>
      </w:r>
      <w:r w:rsidR="00E37829" w:rsidRPr="00231039">
        <w:rPr>
          <w:sz w:val="19"/>
          <w:szCs w:val="19"/>
        </w:rPr>
        <w:t xml:space="preserve"> </w:t>
      </w:r>
      <w:r>
        <w:rPr>
          <w:sz w:val="19"/>
          <w:szCs w:val="19"/>
        </w:rPr>
        <w:t xml:space="preserve">These are to </w:t>
      </w:r>
      <w:r w:rsidR="00E37829" w:rsidRPr="00231039">
        <w:rPr>
          <w:sz w:val="19"/>
          <w:szCs w:val="19"/>
        </w:rPr>
        <w:t>be applied by:</w:t>
      </w:r>
    </w:p>
    <w:p w:rsidR="00E37829" w:rsidRPr="00231039" w:rsidRDefault="00E37829" w:rsidP="00CB60D9">
      <w:pPr>
        <w:pStyle w:val="NumPlainA"/>
        <w:spacing w:before="100" w:after="100" w:line="240" w:lineRule="auto"/>
        <w:jc w:val="both"/>
        <w:rPr>
          <w:sz w:val="19"/>
          <w:szCs w:val="19"/>
        </w:rPr>
      </w:pPr>
      <w:r w:rsidRPr="00231039">
        <w:rPr>
          <w:sz w:val="19"/>
          <w:szCs w:val="19"/>
        </w:rPr>
        <w:t xml:space="preserve">entities required by the </w:t>
      </w:r>
      <w:r w:rsidRPr="00231039">
        <w:rPr>
          <w:i/>
          <w:sz w:val="19"/>
          <w:szCs w:val="19"/>
        </w:rPr>
        <w:t>Corporations Act 2001</w:t>
      </w:r>
      <w:r w:rsidRPr="00231039">
        <w:rPr>
          <w:sz w:val="19"/>
          <w:szCs w:val="19"/>
        </w:rPr>
        <w:t xml:space="preserve"> to prepare financial reports; </w:t>
      </w:r>
    </w:p>
    <w:p w:rsidR="00E37829" w:rsidRPr="00231039" w:rsidRDefault="00E37829" w:rsidP="00CB60D9">
      <w:pPr>
        <w:pStyle w:val="NumPlainA"/>
        <w:spacing w:before="100" w:after="100" w:line="240" w:lineRule="auto"/>
        <w:jc w:val="both"/>
        <w:rPr>
          <w:sz w:val="19"/>
          <w:szCs w:val="19"/>
        </w:rPr>
      </w:pPr>
      <w:r w:rsidRPr="00231039">
        <w:rPr>
          <w:sz w:val="19"/>
          <w:szCs w:val="19"/>
        </w:rPr>
        <w:t>governments in preparing financial statements for the whole of government and the General Government Sector (GGS); and</w:t>
      </w:r>
      <w:r w:rsidR="00824902">
        <w:rPr>
          <w:sz w:val="19"/>
          <w:szCs w:val="19"/>
        </w:rPr>
        <w:t>/or</w:t>
      </w:r>
    </w:p>
    <w:p w:rsidR="00E37829" w:rsidRPr="00231039" w:rsidRDefault="00E37829" w:rsidP="00CB60D9">
      <w:pPr>
        <w:pStyle w:val="NumPlainA"/>
        <w:spacing w:before="100" w:after="100" w:line="240" w:lineRule="auto"/>
        <w:jc w:val="both"/>
        <w:rPr>
          <w:sz w:val="19"/>
          <w:szCs w:val="19"/>
        </w:rPr>
      </w:pPr>
      <w:r w:rsidRPr="00231039">
        <w:rPr>
          <w:sz w:val="19"/>
          <w:szCs w:val="19"/>
        </w:rPr>
        <w:t>entiti</w:t>
      </w:r>
      <w:r w:rsidR="00AB0C1C" w:rsidRPr="00231039">
        <w:rPr>
          <w:sz w:val="19"/>
          <w:szCs w:val="19"/>
        </w:rPr>
        <w:t>es in the private or public for-profit or not-for-</w:t>
      </w:r>
      <w:r w:rsidRPr="00231039">
        <w:rPr>
          <w:sz w:val="19"/>
          <w:szCs w:val="19"/>
        </w:rPr>
        <w:t>profit sectors that are reporting entities or that prepare general purpose financial statements.</w:t>
      </w:r>
    </w:p>
    <w:p w:rsidR="00791B49" w:rsidRPr="00231039" w:rsidRDefault="00791B49" w:rsidP="00CB60D9">
      <w:pPr>
        <w:pStyle w:val="NoNumPlain1"/>
        <w:spacing w:before="100" w:after="100" w:line="240" w:lineRule="auto"/>
        <w:jc w:val="both"/>
        <w:rPr>
          <w:sz w:val="19"/>
          <w:szCs w:val="19"/>
        </w:rPr>
      </w:pPr>
      <w:r w:rsidRPr="00231039">
        <w:rPr>
          <w:sz w:val="19"/>
          <w:szCs w:val="19"/>
        </w:rPr>
        <w:t xml:space="preserve">AASB 1053 </w:t>
      </w:r>
      <w:r w:rsidRPr="00231039">
        <w:rPr>
          <w:i/>
          <w:sz w:val="19"/>
          <w:szCs w:val="19"/>
        </w:rPr>
        <w:t>Application of Tiers of Australian Accounting Standards</w:t>
      </w:r>
      <w:r w:rsidRPr="00231039">
        <w:rPr>
          <w:sz w:val="19"/>
          <w:szCs w:val="19"/>
        </w:rPr>
        <w:t xml:space="preserve"> establishes a differential reporting framework consisting of two tiers of reporting requirements for preparing general purpose financial statements:</w:t>
      </w:r>
    </w:p>
    <w:p w:rsidR="00791B49" w:rsidRPr="00231039" w:rsidRDefault="00791B49" w:rsidP="00CB60D9">
      <w:pPr>
        <w:pStyle w:val="NumPlainA"/>
        <w:numPr>
          <w:ilvl w:val="0"/>
          <w:numId w:val="9"/>
        </w:numPr>
        <w:spacing w:before="100" w:after="100" w:line="240" w:lineRule="auto"/>
        <w:jc w:val="both"/>
        <w:rPr>
          <w:sz w:val="19"/>
          <w:szCs w:val="19"/>
        </w:rPr>
      </w:pPr>
      <w:r w:rsidRPr="00231039">
        <w:rPr>
          <w:sz w:val="19"/>
          <w:szCs w:val="19"/>
        </w:rPr>
        <w:t>Tier 1: Australian Accounting Standards; and</w:t>
      </w:r>
    </w:p>
    <w:p w:rsidR="00791B49" w:rsidRPr="00231039" w:rsidRDefault="00791B49" w:rsidP="00CB60D9">
      <w:pPr>
        <w:pStyle w:val="NumPlainA"/>
        <w:numPr>
          <w:ilvl w:val="0"/>
          <w:numId w:val="9"/>
        </w:numPr>
        <w:spacing w:before="100" w:after="100" w:line="240" w:lineRule="auto"/>
        <w:jc w:val="both"/>
        <w:rPr>
          <w:sz w:val="19"/>
          <w:szCs w:val="19"/>
        </w:rPr>
      </w:pPr>
      <w:r w:rsidRPr="00231039">
        <w:rPr>
          <w:sz w:val="19"/>
          <w:szCs w:val="19"/>
        </w:rPr>
        <w:t>Tier 2: Australian Accounting Standards – Reduced Disclosure Requirements.</w:t>
      </w:r>
    </w:p>
    <w:p w:rsidR="007866FA" w:rsidRPr="00D56465" w:rsidRDefault="007866FA" w:rsidP="007866FA">
      <w:pPr>
        <w:pStyle w:val="Heading2"/>
        <w:pBdr>
          <w:bottom w:val="single" w:sz="4" w:space="1" w:color="auto"/>
        </w:pBdr>
        <w:spacing w:before="300" w:after="0" w:line="240" w:lineRule="auto"/>
        <w:jc w:val="both"/>
        <w:rPr>
          <w:rFonts w:ascii="Arial" w:hAnsi="Arial"/>
          <w:sz w:val="26"/>
          <w:szCs w:val="26"/>
        </w:rPr>
      </w:pPr>
      <w:r>
        <w:rPr>
          <w:rFonts w:ascii="Arial" w:hAnsi="Arial"/>
          <w:sz w:val="26"/>
          <w:szCs w:val="26"/>
        </w:rPr>
        <w:t xml:space="preserve">What does </w:t>
      </w:r>
      <w:r w:rsidRPr="00D56465">
        <w:rPr>
          <w:rFonts w:ascii="Arial" w:hAnsi="Arial"/>
          <w:sz w:val="26"/>
          <w:szCs w:val="26"/>
        </w:rPr>
        <w:t>this Standard</w:t>
      </w:r>
      <w:r>
        <w:rPr>
          <w:rFonts w:ascii="Arial" w:hAnsi="Arial"/>
          <w:sz w:val="26"/>
          <w:szCs w:val="26"/>
        </w:rPr>
        <w:t xml:space="preserve"> require?</w:t>
      </w:r>
    </w:p>
    <w:p w:rsidR="007866FA" w:rsidRDefault="007866FA" w:rsidP="007866FA">
      <w:pPr>
        <w:pStyle w:val="NoNumPlain1"/>
        <w:spacing w:before="100" w:after="100" w:line="240" w:lineRule="auto"/>
        <w:jc w:val="both"/>
        <w:rPr>
          <w:sz w:val="19"/>
          <w:szCs w:val="19"/>
        </w:rPr>
      </w:pPr>
      <w:r>
        <w:rPr>
          <w:sz w:val="19"/>
          <w:szCs w:val="19"/>
        </w:rPr>
        <w:t>This Standard lists the application paragraphs for each other Standard (and Interpretation), grouped where they are the same.  Accordingly, paragraphs 5 and 22 respectively specify the application paragraphs for Standards and Interpretations in general.  Differing application paragraphs are set out for individual Standards and Interpretations or grouped where possible.</w:t>
      </w:r>
    </w:p>
    <w:p w:rsidR="007866FA" w:rsidRPr="00594071" w:rsidRDefault="007866FA" w:rsidP="007866FA">
      <w:pPr>
        <w:pStyle w:val="NoNumPlain1"/>
        <w:spacing w:before="100" w:after="100" w:line="240" w:lineRule="auto"/>
        <w:jc w:val="both"/>
        <w:rPr>
          <w:sz w:val="19"/>
          <w:szCs w:val="19"/>
        </w:rPr>
      </w:pPr>
      <w:r>
        <w:rPr>
          <w:sz w:val="19"/>
          <w:szCs w:val="19"/>
        </w:rPr>
        <w:t>The application paragraphs do not affect requirements in other Standards that specify that certain paragraphs apply only to certain types of entities.</w:t>
      </w:r>
    </w:p>
    <w:p w:rsidR="007866FA" w:rsidRDefault="007866FA" w:rsidP="007866FA">
      <w:pPr>
        <w:pStyle w:val="IASBSectionTitle2NonInd"/>
        <w:ind w:left="782"/>
      </w:pPr>
      <w:r>
        <w:t>When does it apply?</w:t>
      </w:r>
    </w:p>
    <w:p w:rsidR="007866FA" w:rsidRDefault="007866FA" w:rsidP="007866FA">
      <w:pPr>
        <w:pStyle w:val="NoNumPlain1"/>
        <w:spacing w:before="100" w:after="100" w:line="240" w:lineRule="auto"/>
        <w:jc w:val="both"/>
        <w:rPr>
          <w:sz w:val="19"/>
          <w:szCs w:val="19"/>
        </w:rPr>
      </w:pPr>
      <w:r w:rsidRPr="00594071">
        <w:rPr>
          <w:sz w:val="19"/>
          <w:szCs w:val="19"/>
        </w:rPr>
        <w:t>This</w:t>
      </w:r>
      <w:r>
        <w:rPr>
          <w:sz w:val="19"/>
          <w:szCs w:val="19"/>
        </w:rPr>
        <w:t xml:space="preserve"> Standard is applicable to annual periods beginning on or after 1 January 2016.  Earlier application is permitted.</w:t>
      </w:r>
    </w:p>
    <w:p w:rsidR="00090A6F" w:rsidRPr="00C945A4" w:rsidRDefault="007866FA" w:rsidP="00C945A4">
      <w:pPr>
        <w:pStyle w:val="Heading2"/>
        <w:pBdr>
          <w:bottom w:val="single" w:sz="4" w:space="1" w:color="auto"/>
        </w:pBdr>
        <w:spacing w:before="300" w:after="0" w:line="240" w:lineRule="auto"/>
        <w:jc w:val="both"/>
        <w:rPr>
          <w:rFonts w:ascii="Arial" w:hAnsi="Arial"/>
          <w:sz w:val="26"/>
          <w:szCs w:val="26"/>
        </w:rPr>
      </w:pPr>
      <w:r>
        <w:rPr>
          <w:rFonts w:ascii="Arial" w:hAnsi="Arial"/>
          <w:sz w:val="26"/>
          <w:szCs w:val="26"/>
        </w:rPr>
        <w:t>Why have we issued this Standard?</w:t>
      </w:r>
    </w:p>
    <w:p w:rsidR="00511DAA" w:rsidRDefault="0054195E" w:rsidP="00CB60D9">
      <w:pPr>
        <w:pStyle w:val="NoNumPlain1"/>
        <w:spacing w:before="100" w:after="100" w:line="240" w:lineRule="auto"/>
        <w:jc w:val="both"/>
        <w:rPr>
          <w:sz w:val="19"/>
          <w:szCs w:val="19"/>
        </w:rPr>
      </w:pPr>
      <w:r w:rsidRPr="00231039">
        <w:rPr>
          <w:sz w:val="19"/>
          <w:szCs w:val="19"/>
        </w:rPr>
        <w:t xml:space="preserve">The AASB </w:t>
      </w:r>
      <w:r w:rsidR="00511DAA" w:rsidRPr="00231039">
        <w:rPr>
          <w:sz w:val="19"/>
          <w:szCs w:val="19"/>
        </w:rPr>
        <w:t xml:space="preserve">decided </w:t>
      </w:r>
      <w:r w:rsidRPr="00231039">
        <w:rPr>
          <w:sz w:val="19"/>
          <w:szCs w:val="19"/>
        </w:rPr>
        <w:t xml:space="preserve">at </w:t>
      </w:r>
      <w:r>
        <w:rPr>
          <w:sz w:val="19"/>
          <w:szCs w:val="19"/>
        </w:rPr>
        <w:t>its</w:t>
      </w:r>
      <w:r w:rsidRPr="00231039">
        <w:rPr>
          <w:sz w:val="19"/>
          <w:szCs w:val="19"/>
        </w:rPr>
        <w:t xml:space="preserve"> May 2015 </w:t>
      </w:r>
      <w:r>
        <w:rPr>
          <w:sz w:val="19"/>
          <w:szCs w:val="19"/>
        </w:rPr>
        <w:t xml:space="preserve">meeting </w:t>
      </w:r>
      <w:r w:rsidR="00243362" w:rsidRPr="00231039">
        <w:rPr>
          <w:sz w:val="19"/>
          <w:szCs w:val="19"/>
        </w:rPr>
        <w:t>to revise</w:t>
      </w:r>
      <w:r w:rsidR="00511DAA" w:rsidRPr="00231039">
        <w:rPr>
          <w:sz w:val="19"/>
          <w:szCs w:val="19"/>
        </w:rPr>
        <w:t xml:space="preserve"> Australian Accounting Standards </w:t>
      </w:r>
      <w:r w:rsidR="008D2D78">
        <w:rPr>
          <w:sz w:val="19"/>
          <w:szCs w:val="19"/>
        </w:rPr>
        <w:t>that incorporate</w:t>
      </w:r>
      <w:r w:rsidR="00511DAA" w:rsidRPr="00231039">
        <w:rPr>
          <w:sz w:val="19"/>
          <w:szCs w:val="19"/>
        </w:rPr>
        <w:t xml:space="preserve"> </w:t>
      </w:r>
      <w:r>
        <w:rPr>
          <w:sz w:val="19"/>
          <w:szCs w:val="19"/>
        </w:rPr>
        <w:t>International Financial Reporting Standards (</w:t>
      </w:r>
      <w:r w:rsidR="00511DAA" w:rsidRPr="00231039">
        <w:rPr>
          <w:sz w:val="19"/>
          <w:szCs w:val="19"/>
        </w:rPr>
        <w:t>IFRSs</w:t>
      </w:r>
      <w:r>
        <w:rPr>
          <w:sz w:val="19"/>
          <w:szCs w:val="19"/>
        </w:rPr>
        <w:t>),</w:t>
      </w:r>
      <w:r w:rsidR="00511DAA" w:rsidRPr="00231039">
        <w:rPr>
          <w:sz w:val="19"/>
          <w:szCs w:val="19"/>
        </w:rPr>
        <w:t xml:space="preserve"> </w:t>
      </w:r>
      <w:r>
        <w:rPr>
          <w:sz w:val="19"/>
          <w:szCs w:val="19"/>
        </w:rPr>
        <w:t>which are issued by the International Accounting Standards Board, to minimise Australian-specific wording even further</w:t>
      </w:r>
      <w:r w:rsidR="00511DAA" w:rsidRPr="00231039">
        <w:rPr>
          <w:sz w:val="19"/>
          <w:szCs w:val="19"/>
        </w:rPr>
        <w:t xml:space="preserve">.  </w:t>
      </w:r>
      <w:r>
        <w:rPr>
          <w:sz w:val="19"/>
          <w:szCs w:val="19"/>
        </w:rPr>
        <w:t xml:space="preserve">The AASB noted that </w:t>
      </w:r>
      <w:r w:rsidR="00511DAA" w:rsidRPr="00231039">
        <w:rPr>
          <w:sz w:val="19"/>
          <w:szCs w:val="19"/>
        </w:rPr>
        <w:t xml:space="preserve">IFRSs do not </w:t>
      </w:r>
      <w:r w:rsidR="00A973C7" w:rsidRPr="00231039">
        <w:rPr>
          <w:sz w:val="19"/>
          <w:szCs w:val="19"/>
        </w:rPr>
        <w:t>contain application paragraphs</w:t>
      </w:r>
      <w:r>
        <w:rPr>
          <w:sz w:val="19"/>
          <w:szCs w:val="19"/>
        </w:rPr>
        <w:t xml:space="preserve"> that identify the entities and financial reports to which the Standards (and Interpretations) apply.  Therefore, the </w:t>
      </w:r>
      <w:r w:rsidR="00A973C7" w:rsidRPr="00231039">
        <w:rPr>
          <w:sz w:val="19"/>
          <w:szCs w:val="19"/>
        </w:rPr>
        <w:t xml:space="preserve">application </w:t>
      </w:r>
      <w:r w:rsidR="002254D5" w:rsidRPr="00231039">
        <w:rPr>
          <w:sz w:val="19"/>
          <w:szCs w:val="19"/>
        </w:rPr>
        <w:t xml:space="preserve">paragraphs </w:t>
      </w:r>
      <w:r w:rsidR="00A973C7" w:rsidRPr="00231039">
        <w:rPr>
          <w:sz w:val="19"/>
          <w:szCs w:val="19"/>
        </w:rPr>
        <w:t xml:space="preserve">previously in </w:t>
      </w:r>
      <w:r w:rsidR="00DD3FD6">
        <w:rPr>
          <w:sz w:val="19"/>
          <w:szCs w:val="19"/>
        </w:rPr>
        <w:t xml:space="preserve">each </w:t>
      </w:r>
      <w:r w:rsidR="00A973C7" w:rsidRPr="00231039">
        <w:rPr>
          <w:sz w:val="19"/>
          <w:szCs w:val="19"/>
        </w:rPr>
        <w:t>Australian Accounting Standard</w:t>
      </w:r>
      <w:r w:rsidR="008D2D78">
        <w:rPr>
          <w:sz w:val="19"/>
          <w:szCs w:val="19"/>
        </w:rPr>
        <w:t xml:space="preserve"> </w:t>
      </w:r>
      <w:r>
        <w:rPr>
          <w:sz w:val="19"/>
          <w:szCs w:val="19"/>
        </w:rPr>
        <w:t>(</w:t>
      </w:r>
      <w:r w:rsidR="00350CED">
        <w:rPr>
          <w:sz w:val="19"/>
          <w:szCs w:val="19"/>
        </w:rPr>
        <w:t>or</w:t>
      </w:r>
      <w:r>
        <w:rPr>
          <w:sz w:val="19"/>
          <w:szCs w:val="19"/>
        </w:rPr>
        <w:t xml:space="preserve"> Interpretation) </w:t>
      </w:r>
      <w:r w:rsidR="008D2D78">
        <w:rPr>
          <w:sz w:val="19"/>
          <w:szCs w:val="19"/>
        </w:rPr>
        <w:t>were moved to this Standard.  In doing so, the application requirements have not been amended.</w:t>
      </w:r>
    </w:p>
    <w:p w:rsidR="00D56465" w:rsidRDefault="00D56465" w:rsidP="00CB60D9">
      <w:pPr>
        <w:pStyle w:val="NoNumPlain1"/>
        <w:spacing w:before="100" w:after="100" w:line="240" w:lineRule="auto"/>
        <w:jc w:val="both"/>
        <w:rPr>
          <w:sz w:val="19"/>
          <w:szCs w:val="19"/>
        </w:rPr>
      </w:pPr>
      <w:r>
        <w:rPr>
          <w:sz w:val="19"/>
          <w:szCs w:val="19"/>
        </w:rPr>
        <w:t xml:space="preserve">For consistency, the application paragraphs of Australian-specific Standards </w:t>
      </w:r>
      <w:r w:rsidR="00350CED">
        <w:rPr>
          <w:sz w:val="19"/>
          <w:szCs w:val="19"/>
        </w:rPr>
        <w:t xml:space="preserve">(and Interpretations) </w:t>
      </w:r>
      <w:r>
        <w:rPr>
          <w:sz w:val="19"/>
          <w:szCs w:val="19"/>
        </w:rPr>
        <w:t xml:space="preserve">have also been included in this Standard, without amendment.  When those </w:t>
      </w:r>
      <w:r w:rsidR="00350CED">
        <w:rPr>
          <w:sz w:val="19"/>
          <w:szCs w:val="19"/>
        </w:rPr>
        <w:t>pronouncements</w:t>
      </w:r>
      <w:r>
        <w:rPr>
          <w:sz w:val="19"/>
          <w:szCs w:val="19"/>
        </w:rPr>
        <w:t xml:space="preserve"> are amended for other reasons, their application paragr</w:t>
      </w:r>
      <w:r w:rsidR="00350CED">
        <w:rPr>
          <w:sz w:val="19"/>
          <w:szCs w:val="19"/>
        </w:rPr>
        <w:t>aphs are expected to be removed</w:t>
      </w:r>
      <w:r>
        <w:rPr>
          <w:sz w:val="19"/>
          <w:szCs w:val="19"/>
        </w:rPr>
        <w:t>.</w:t>
      </w:r>
    </w:p>
    <w:p w:rsidR="00D56465" w:rsidRDefault="00D56465" w:rsidP="00D56465">
      <w:pPr>
        <w:rPr>
          <w:sz w:val="19"/>
          <w:szCs w:val="19"/>
        </w:rPr>
      </w:pPr>
    </w:p>
    <w:p w:rsidR="00594071" w:rsidRPr="00594071" w:rsidRDefault="00594071" w:rsidP="00D56465">
      <w:pPr>
        <w:rPr>
          <w:sz w:val="19"/>
          <w:szCs w:val="19"/>
        </w:rPr>
        <w:sectPr w:rsidR="00594071" w:rsidRPr="00594071" w:rsidSect="005D632B">
          <w:headerReference w:type="even" r:id="rId18"/>
          <w:footerReference w:type="default" r:id="rId19"/>
          <w:headerReference w:type="first" r:id="rId20"/>
          <w:pgSz w:w="11907" w:h="16840"/>
          <w:pgMar w:top="1440" w:right="1440" w:bottom="1440" w:left="1440" w:header="709" w:footer="709" w:gutter="0"/>
          <w:cols w:space="720"/>
          <w:docGrid w:linePitch="272"/>
        </w:sectPr>
      </w:pPr>
    </w:p>
    <w:p w:rsidR="00090A6F" w:rsidRPr="00AB3211" w:rsidRDefault="00B06DD9" w:rsidP="00B06DD9">
      <w:pPr>
        <w:pStyle w:val="ConvSectionTitle"/>
      </w:pPr>
      <w:r>
        <w:lastRenderedPageBreak/>
        <w:t xml:space="preserve">Accounting Standard </w:t>
      </w:r>
      <w:r w:rsidR="00090A6F" w:rsidRPr="00AB3211">
        <w:t xml:space="preserve">AASB </w:t>
      </w:r>
      <w:r w:rsidR="00A551D5">
        <w:fldChar w:fldCharType="begin"/>
      </w:r>
      <w:r w:rsidR="00A551D5">
        <w:instrText xml:space="preserve"> REF \* charformat DocNo  \* MERGEFORMAT </w:instrText>
      </w:r>
      <w:r w:rsidR="00A551D5">
        <w:fldChar w:fldCharType="separate"/>
      </w:r>
      <w:r w:rsidR="00A551D5" w:rsidRPr="00A551D5">
        <w:t>1057</w:t>
      </w:r>
      <w:r w:rsidR="00A551D5">
        <w:fldChar w:fldCharType="end"/>
      </w:r>
    </w:p>
    <w:p w:rsidR="00090A6F" w:rsidRPr="00030E92" w:rsidRDefault="00090A6F" w:rsidP="008B158A">
      <w:pPr>
        <w:jc w:val="both"/>
        <w:rPr>
          <w:sz w:val="19"/>
          <w:szCs w:val="19"/>
        </w:rPr>
      </w:pPr>
      <w:r w:rsidRPr="00030E92">
        <w:rPr>
          <w:sz w:val="19"/>
          <w:szCs w:val="19"/>
        </w:rPr>
        <w:t>The Australian Accounting Standards Board makes Accounting Standard AASB </w:t>
      </w:r>
      <w:r w:rsidR="00612917">
        <w:rPr>
          <w:sz w:val="19"/>
          <w:szCs w:val="19"/>
        </w:rPr>
        <w:fldChar w:fldCharType="begin"/>
      </w:r>
      <w:r w:rsidR="00612917">
        <w:rPr>
          <w:sz w:val="19"/>
          <w:szCs w:val="19"/>
        </w:rPr>
        <w:instrText xml:space="preserve"> REF \* charformat DocNo  \* MERGEFORMAT </w:instrText>
      </w:r>
      <w:r w:rsidR="00612917">
        <w:rPr>
          <w:sz w:val="19"/>
          <w:szCs w:val="19"/>
        </w:rPr>
        <w:fldChar w:fldCharType="separate"/>
      </w:r>
      <w:r w:rsidR="00A551D5" w:rsidRPr="00A551D5">
        <w:rPr>
          <w:sz w:val="19"/>
          <w:szCs w:val="19"/>
        </w:rPr>
        <w:t>1057</w:t>
      </w:r>
      <w:r w:rsidR="00612917">
        <w:rPr>
          <w:sz w:val="19"/>
          <w:szCs w:val="19"/>
        </w:rPr>
        <w:fldChar w:fldCharType="end"/>
      </w:r>
      <w:r w:rsidRPr="00030E92">
        <w:rPr>
          <w:sz w:val="19"/>
          <w:szCs w:val="19"/>
        </w:rPr>
        <w:t xml:space="preserve"> </w:t>
      </w:r>
      <w:r w:rsidRPr="00030E92">
        <w:rPr>
          <w:i/>
          <w:iCs/>
          <w:sz w:val="19"/>
          <w:szCs w:val="19"/>
        </w:rPr>
        <w:fldChar w:fldCharType="begin" w:fldLock="1"/>
      </w:r>
      <w:r w:rsidRPr="00030E92">
        <w:rPr>
          <w:i/>
          <w:iCs/>
          <w:sz w:val="19"/>
          <w:szCs w:val="19"/>
        </w:rPr>
        <w:instrText xml:space="preserve"> REF DocTitle  \* charformat </w:instrText>
      </w:r>
      <w:r w:rsidR="00030E92">
        <w:rPr>
          <w:i/>
          <w:iCs/>
          <w:sz w:val="19"/>
          <w:szCs w:val="19"/>
        </w:rPr>
        <w:instrText xml:space="preserve"> \* MERGEFORMAT </w:instrText>
      </w:r>
      <w:r w:rsidRPr="00030E92">
        <w:rPr>
          <w:i/>
          <w:iCs/>
          <w:sz w:val="19"/>
          <w:szCs w:val="19"/>
        </w:rPr>
        <w:fldChar w:fldCharType="separate"/>
      </w:r>
      <w:r w:rsidR="002663F0" w:rsidRPr="002663F0">
        <w:rPr>
          <w:i/>
          <w:iCs/>
          <w:sz w:val="19"/>
          <w:szCs w:val="19"/>
        </w:rPr>
        <w:t>Application of Australian Accounting Standards</w:t>
      </w:r>
      <w:r w:rsidRPr="00030E92">
        <w:rPr>
          <w:i/>
          <w:iCs/>
          <w:sz w:val="19"/>
          <w:szCs w:val="19"/>
        </w:rPr>
        <w:fldChar w:fldCharType="end"/>
      </w:r>
      <w:r w:rsidRPr="00030E92">
        <w:rPr>
          <w:sz w:val="19"/>
          <w:szCs w:val="19"/>
        </w:rPr>
        <w:t xml:space="preserve"> under section 334 of the </w:t>
      </w:r>
      <w:r w:rsidRPr="00030E92">
        <w:rPr>
          <w:i/>
          <w:iCs/>
          <w:sz w:val="19"/>
          <w:szCs w:val="19"/>
        </w:rPr>
        <w:t>Corporations Act 2001</w:t>
      </w:r>
      <w:r w:rsidRPr="00030E92">
        <w:rPr>
          <w:sz w:val="19"/>
          <w:szCs w:val="19"/>
        </w:rPr>
        <w:t>.</w:t>
      </w:r>
    </w:p>
    <w:p w:rsidR="00090A6F" w:rsidRPr="00030E92" w:rsidRDefault="00090A6F" w:rsidP="008B158A">
      <w:pPr>
        <w:jc w:val="both"/>
        <w:rPr>
          <w:sz w:val="19"/>
          <w:szCs w:val="19"/>
        </w:rPr>
      </w:pPr>
    </w:p>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508"/>
        <w:gridCol w:w="4508"/>
      </w:tblGrid>
      <w:tr w:rsidR="00090A6F" w:rsidRPr="00030E92" w:rsidTr="00EE4098">
        <w:tc>
          <w:tcPr>
            <w:tcW w:w="4508" w:type="dxa"/>
          </w:tcPr>
          <w:p w:rsidR="00090A6F" w:rsidRPr="00030E92" w:rsidRDefault="00090A6F" w:rsidP="008B158A">
            <w:pPr>
              <w:jc w:val="both"/>
              <w:rPr>
                <w:sz w:val="19"/>
                <w:szCs w:val="19"/>
              </w:rPr>
            </w:pPr>
          </w:p>
        </w:tc>
        <w:tc>
          <w:tcPr>
            <w:tcW w:w="4508" w:type="dxa"/>
          </w:tcPr>
          <w:p w:rsidR="00090A6F" w:rsidRPr="00030E92" w:rsidRDefault="00A00434" w:rsidP="00EE4098">
            <w:pPr>
              <w:jc w:val="right"/>
              <w:rPr>
                <w:sz w:val="19"/>
                <w:szCs w:val="19"/>
              </w:rPr>
            </w:pPr>
            <w:r w:rsidRPr="00030E92">
              <w:rPr>
                <w:sz w:val="19"/>
                <w:szCs w:val="19"/>
              </w:rPr>
              <w:t>Kris Peach</w:t>
            </w:r>
          </w:p>
        </w:tc>
      </w:tr>
      <w:tr w:rsidR="00090A6F" w:rsidRPr="00030E92" w:rsidTr="00EE4098">
        <w:tc>
          <w:tcPr>
            <w:tcW w:w="4508" w:type="dxa"/>
          </w:tcPr>
          <w:p w:rsidR="00090A6F" w:rsidRPr="00030E92" w:rsidRDefault="00090A6F" w:rsidP="008B158A">
            <w:pPr>
              <w:jc w:val="both"/>
              <w:rPr>
                <w:sz w:val="19"/>
                <w:szCs w:val="19"/>
              </w:rPr>
            </w:pPr>
            <w:r w:rsidRPr="00030E92">
              <w:rPr>
                <w:sz w:val="19"/>
                <w:szCs w:val="19"/>
              </w:rPr>
              <w:t xml:space="preserve">Dated </w:t>
            </w:r>
            <w:bookmarkStart w:id="8" w:name="DateSigned"/>
            <w:r w:rsidR="002663F0">
              <w:rPr>
                <w:sz w:val="19"/>
                <w:szCs w:val="19"/>
              </w:rPr>
              <w:t>24 July 2015</w:t>
            </w:r>
            <w:bookmarkEnd w:id="8"/>
          </w:p>
        </w:tc>
        <w:tc>
          <w:tcPr>
            <w:tcW w:w="4508" w:type="dxa"/>
          </w:tcPr>
          <w:p w:rsidR="00090A6F" w:rsidRPr="00030E92" w:rsidRDefault="00090A6F" w:rsidP="00EE4098">
            <w:pPr>
              <w:jc w:val="right"/>
              <w:rPr>
                <w:sz w:val="19"/>
                <w:szCs w:val="19"/>
              </w:rPr>
            </w:pPr>
            <w:r w:rsidRPr="00030E92">
              <w:rPr>
                <w:sz w:val="19"/>
                <w:szCs w:val="19"/>
              </w:rPr>
              <w:t xml:space="preserve">Chair </w:t>
            </w:r>
            <w:r w:rsidR="00903EE1" w:rsidRPr="00030E92">
              <w:rPr>
                <w:sz w:val="19"/>
                <w:szCs w:val="19"/>
              </w:rPr>
              <w:t>–</w:t>
            </w:r>
            <w:r w:rsidRPr="00030E92">
              <w:rPr>
                <w:sz w:val="19"/>
                <w:szCs w:val="19"/>
              </w:rPr>
              <w:t xml:space="preserve"> AASB</w:t>
            </w:r>
          </w:p>
        </w:tc>
      </w:tr>
    </w:tbl>
    <w:p w:rsidR="00090A6F" w:rsidRDefault="00090A6F" w:rsidP="008B158A">
      <w:pPr>
        <w:jc w:val="both"/>
      </w:pPr>
    </w:p>
    <w:p w:rsidR="00090A6F" w:rsidRDefault="00090A6F" w:rsidP="008B158A">
      <w:pPr>
        <w:jc w:val="both"/>
      </w:pPr>
    </w:p>
    <w:p w:rsidR="00090A6F" w:rsidRPr="00B06DD9" w:rsidRDefault="00AB3211" w:rsidP="00B06DD9">
      <w:pPr>
        <w:pStyle w:val="ConvStandardTitle1"/>
      </w:pPr>
      <w:r w:rsidRPr="00AB3211">
        <w:t>A</w:t>
      </w:r>
      <w:r w:rsidR="001962FA">
        <w:t xml:space="preserve">ccounting </w:t>
      </w:r>
      <w:r w:rsidR="00090A6F" w:rsidRPr="00AB3211">
        <w:t>S</w:t>
      </w:r>
      <w:r w:rsidR="001962FA">
        <w:t>tandard</w:t>
      </w:r>
      <w:r w:rsidR="00090A6F" w:rsidRPr="00AB3211">
        <w:t xml:space="preserve"> AASB </w:t>
      </w:r>
      <w:r w:rsidR="00A551D5">
        <w:fldChar w:fldCharType="begin"/>
      </w:r>
      <w:r w:rsidR="00A551D5">
        <w:instrText xml:space="preserve"> REF \* charformat DocNo  \* MERGEFORMAT </w:instrText>
      </w:r>
      <w:r w:rsidR="00A551D5">
        <w:fldChar w:fldCharType="separate"/>
      </w:r>
      <w:r w:rsidR="00A551D5" w:rsidRPr="00A551D5">
        <w:t>1057</w:t>
      </w:r>
      <w:r w:rsidR="00A551D5">
        <w:fldChar w:fldCharType="end"/>
      </w:r>
    </w:p>
    <w:p w:rsidR="00090A6F" w:rsidRPr="00AB3211" w:rsidRDefault="0098147F" w:rsidP="00B06DD9">
      <w:pPr>
        <w:pStyle w:val="ConvStandardTitle2"/>
      </w:pPr>
      <w:r w:rsidRPr="00B06DD9">
        <w:fldChar w:fldCharType="begin" w:fldLock="1"/>
      </w:r>
      <w:r w:rsidRPr="00AB3211">
        <w:instrText xml:space="preserve"> REF DocTitle  \* charformat </w:instrText>
      </w:r>
      <w:r w:rsidR="00AB3211" w:rsidRPr="00AB3211">
        <w:instrText xml:space="preserve"> \* MERGEFORMAT </w:instrText>
      </w:r>
      <w:r w:rsidRPr="00B06DD9">
        <w:fldChar w:fldCharType="separate"/>
      </w:r>
      <w:r w:rsidR="002663F0" w:rsidRPr="00B06DD9">
        <w:t>Application of Australian Accounting Standards</w:t>
      </w:r>
      <w:r w:rsidRPr="00B06DD9">
        <w:fldChar w:fldCharType="end"/>
      </w:r>
    </w:p>
    <w:p w:rsidR="00090A6F" w:rsidRPr="00B06DD9" w:rsidRDefault="00090A6F" w:rsidP="00140202">
      <w:pPr>
        <w:pStyle w:val="IASBSectionTitle1NonInd"/>
      </w:pPr>
      <w:bookmarkStart w:id="9" w:name="TOCStart"/>
      <w:bookmarkEnd w:id="9"/>
      <w:r w:rsidRPr="00B06DD9">
        <w:t>Objective</w:t>
      </w:r>
    </w:p>
    <w:p w:rsidR="00090A6F" w:rsidRPr="00B06DD9" w:rsidRDefault="00AD7314" w:rsidP="00140202">
      <w:pPr>
        <w:pStyle w:val="IASBNormalnpara"/>
        <w:numPr>
          <w:ilvl w:val="0"/>
          <w:numId w:val="7"/>
        </w:numPr>
        <w:tabs>
          <w:tab w:val="clear" w:pos="510"/>
        </w:tabs>
        <w:ind w:left="782" w:hanging="782"/>
      </w:pPr>
      <w:r w:rsidRPr="00B06DD9">
        <w:t xml:space="preserve">The objective of this Standard is to </w:t>
      </w:r>
      <w:r w:rsidR="003F7395" w:rsidRPr="00B06DD9">
        <w:t xml:space="preserve">specify </w:t>
      </w:r>
      <w:r w:rsidR="00F9122E">
        <w:t xml:space="preserve">the types of entities and </w:t>
      </w:r>
      <w:r w:rsidR="00150750">
        <w:t xml:space="preserve">financial statements to </w:t>
      </w:r>
      <w:r w:rsidR="003F7395" w:rsidRPr="00B06DD9">
        <w:t xml:space="preserve">which Australian Accounting Standards </w:t>
      </w:r>
      <w:r w:rsidR="00150750">
        <w:t xml:space="preserve">(including Interpretations) apply.  Each reference to an Interpretation refers to that Interpretation as identified in AASB 1048 </w:t>
      </w:r>
      <w:r w:rsidR="00150750">
        <w:rPr>
          <w:i/>
        </w:rPr>
        <w:t>Interpretation of Standards</w:t>
      </w:r>
      <w:r w:rsidR="00150750">
        <w:t xml:space="preserve">. </w:t>
      </w:r>
    </w:p>
    <w:p w:rsidR="00AB3211" w:rsidRPr="00B06DD9" w:rsidRDefault="00AB3211" w:rsidP="00B06DD9">
      <w:pPr>
        <w:pStyle w:val="IASBSectionTitle1NonInd"/>
      </w:pPr>
      <w:r w:rsidRPr="00B06DD9">
        <w:t>Application</w:t>
      </w:r>
      <w:r w:rsidR="00B05459">
        <w:t xml:space="preserve"> of this Standard</w:t>
      </w:r>
    </w:p>
    <w:p w:rsidR="00AB3211" w:rsidRPr="00B06DD9" w:rsidRDefault="00AB3211" w:rsidP="00EE4098">
      <w:pPr>
        <w:pStyle w:val="IASBNormalnpara"/>
        <w:numPr>
          <w:ilvl w:val="0"/>
          <w:numId w:val="7"/>
        </w:numPr>
        <w:tabs>
          <w:tab w:val="clear" w:pos="510"/>
        </w:tabs>
        <w:ind w:left="782" w:hanging="782"/>
        <w:rPr>
          <w:b/>
        </w:rPr>
      </w:pPr>
      <w:r w:rsidRPr="00B06DD9">
        <w:rPr>
          <w:b/>
        </w:rPr>
        <w:t>This Standard applies to:</w:t>
      </w:r>
    </w:p>
    <w:p w:rsidR="00AB3211" w:rsidRPr="00B06DD9" w:rsidRDefault="00AB3211" w:rsidP="00EE4098">
      <w:pPr>
        <w:pStyle w:val="IASBNormalnparaL1"/>
        <w:numPr>
          <w:ilvl w:val="1"/>
          <w:numId w:val="7"/>
        </w:numPr>
        <w:tabs>
          <w:tab w:val="clear" w:pos="1021"/>
        </w:tabs>
        <w:ind w:left="1564" w:hanging="782"/>
        <w:rPr>
          <w:b/>
        </w:rPr>
      </w:pPr>
      <w:r w:rsidRPr="00B06DD9">
        <w:rPr>
          <w:b/>
        </w:rPr>
        <w:t>each entity that is required to prepare financial reports in accordance with Part 2M.3 of the Corporations Act;</w:t>
      </w:r>
    </w:p>
    <w:p w:rsidR="00AB3211" w:rsidRPr="00B06DD9" w:rsidRDefault="00AB3211" w:rsidP="00EE4098">
      <w:pPr>
        <w:pStyle w:val="IASBNormalnparaL1"/>
        <w:numPr>
          <w:ilvl w:val="1"/>
          <w:numId w:val="7"/>
        </w:numPr>
        <w:tabs>
          <w:tab w:val="clear" w:pos="1021"/>
        </w:tabs>
        <w:ind w:left="1564" w:hanging="782"/>
        <w:rPr>
          <w:b/>
          <w:szCs w:val="19"/>
        </w:rPr>
      </w:pPr>
      <w:r w:rsidRPr="00B06DD9">
        <w:rPr>
          <w:b/>
          <w:i/>
          <w:szCs w:val="19"/>
        </w:rPr>
        <w:t>general purpose financial statements</w:t>
      </w:r>
      <w:r w:rsidRPr="00B06DD9">
        <w:rPr>
          <w:b/>
          <w:szCs w:val="19"/>
        </w:rPr>
        <w:t xml:space="preserve"> of each </w:t>
      </w:r>
      <w:r w:rsidRPr="00B06DD9">
        <w:rPr>
          <w:b/>
          <w:i/>
          <w:szCs w:val="19"/>
        </w:rPr>
        <w:t>reporting entity</w:t>
      </w:r>
      <w:r w:rsidRPr="00B06DD9">
        <w:rPr>
          <w:b/>
          <w:szCs w:val="19"/>
        </w:rPr>
        <w:t>;</w:t>
      </w:r>
    </w:p>
    <w:p w:rsidR="00AB3211" w:rsidRPr="00B06DD9" w:rsidRDefault="00AB3211" w:rsidP="00EE4098">
      <w:pPr>
        <w:pStyle w:val="IASBNormalnparaL1"/>
        <w:numPr>
          <w:ilvl w:val="1"/>
          <w:numId w:val="7"/>
        </w:numPr>
        <w:tabs>
          <w:tab w:val="clear" w:pos="1021"/>
        </w:tabs>
        <w:ind w:left="1564" w:hanging="782"/>
        <w:rPr>
          <w:b/>
          <w:szCs w:val="19"/>
        </w:rPr>
      </w:pPr>
      <w:r w:rsidRPr="00B06DD9">
        <w:rPr>
          <w:b/>
          <w:szCs w:val="19"/>
        </w:rPr>
        <w:t>financial statements that are, or are held out to be, general purpose financial statements; and</w:t>
      </w:r>
    </w:p>
    <w:p w:rsidR="00AB3211" w:rsidRPr="00B06DD9" w:rsidRDefault="00AB3211" w:rsidP="00EE4098">
      <w:pPr>
        <w:pStyle w:val="IASBNormalnparaL1"/>
        <w:numPr>
          <w:ilvl w:val="1"/>
          <w:numId w:val="7"/>
        </w:numPr>
        <w:tabs>
          <w:tab w:val="clear" w:pos="1021"/>
        </w:tabs>
        <w:ind w:left="1564" w:hanging="782"/>
        <w:rPr>
          <w:b/>
          <w:szCs w:val="19"/>
        </w:rPr>
      </w:pPr>
      <w:r w:rsidRPr="00B06DD9">
        <w:rPr>
          <w:b/>
          <w:szCs w:val="19"/>
        </w:rPr>
        <w:t xml:space="preserve">financial statements of </w:t>
      </w:r>
      <w:r w:rsidR="00950AD5" w:rsidRPr="00B06DD9">
        <w:rPr>
          <w:b/>
          <w:szCs w:val="19"/>
        </w:rPr>
        <w:t xml:space="preserve">General Government Sectors (GGSs) prepared in accordance with AASB 1049 </w:t>
      </w:r>
      <w:r w:rsidR="00950AD5" w:rsidRPr="00B06DD9">
        <w:rPr>
          <w:b/>
          <w:i/>
          <w:szCs w:val="19"/>
        </w:rPr>
        <w:t>Whole of Government and General Government Sector Financial Reporting.</w:t>
      </w:r>
    </w:p>
    <w:p w:rsidR="00AE745E" w:rsidRDefault="00AE745E" w:rsidP="00EE4098">
      <w:pPr>
        <w:pStyle w:val="IASBNormalnpara"/>
        <w:numPr>
          <w:ilvl w:val="0"/>
          <w:numId w:val="7"/>
        </w:numPr>
        <w:tabs>
          <w:tab w:val="clear" w:pos="510"/>
        </w:tabs>
        <w:ind w:left="782" w:hanging="782"/>
        <w:rPr>
          <w:b/>
        </w:rPr>
      </w:pPr>
      <w:r w:rsidRPr="00B06DD9">
        <w:rPr>
          <w:b/>
        </w:rPr>
        <w:t xml:space="preserve">This Standard applies to annual periods beginning on or after </w:t>
      </w:r>
      <w:r w:rsidR="002663F0" w:rsidRPr="00B06DD9">
        <w:rPr>
          <w:b/>
        </w:rPr>
        <w:t>1 January 201</w:t>
      </w:r>
      <w:r w:rsidR="00140202">
        <w:rPr>
          <w:b/>
        </w:rPr>
        <w:t>6</w:t>
      </w:r>
      <w:r w:rsidRPr="00B06DD9">
        <w:rPr>
          <w:b/>
        </w:rPr>
        <w:t>.</w:t>
      </w:r>
    </w:p>
    <w:p w:rsidR="00140202" w:rsidRPr="00B06DD9" w:rsidRDefault="00140202" w:rsidP="00EE4098">
      <w:pPr>
        <w:pStyle w:val="IASBNormalnpara"/>
        <w:numPr>
          <w:ilvl w:val="0"/>
          <w:numId w:val="7"/>
        </w:numPr>
        <w:tabs>
          <w:tab w:val="clear" w:pos="510"/>
        </w:tabs>
        <w:ind w:left="782" w:hanging="782"/>
        <w:rPr>
          <w:b/>
        </w:rPr>
      </w:pPr>
      <w:r>
        <w:rPr>
          <w:b/>
        </w:rPr>
        <w:t>This Standard may be applied to annual periods beginning before 1 January 2016.</w:t>
      </w:r>
    </w:p>
    <w:p w:rsidR="00090A6F" w:rsidRPr="00B06DD9" w:rsidRDefault="00090A6F" w:rsidP="00B06DD9">
      <w:pPr>
        <w:pStyle w:val="IASBSectionTitle1NonInd"/>
      </w:pPr>
      <w:r w:rsidRPr="00B06DD9">
        <w:t>Application</w:t>
      </w:r>
      <w:r w:rsidR="003F7395" w:rsidRPr="00B06DD9">
        <w:t xml:space="preserve"> of Australian Accounting Standards</w:t>
      </w:r>
    </w:p>
    <w:p w:rsidR="00090A6F" w:rsidRPr="00B06DD9" w:rsidRDefault="00AB30F0" w:rsidP="00EE4098">
      <w:pPr>
        <w:pStyle w:val="IASBNormalnpara"/>
        <w:numPr>
          <w:ilvl w:val="0"/>
          <w:numId w:val="7"/>
        </w:numPr>
        <w:tabs>
          <w:tab w:val="clear" w:pos="510"/>
        </w:tabs>
        <w:ind w:left="782" w:hanging="782"/>
        <w:rPr>
          <w:b/>
        </w:rPr>
      </w:pPr>
      <w:r w:rsidRPr="00B06DD9">
        <w:rPr>
          <w:b/>
        </w:rPr>
        <w:t xml:space="preserve">Unless specified otherwise in paragraphs </w:t>
      </w:r>
      <w:r w:rsidR="002663F0" w:rsidRPr="00B06DD9">
        <w:rPr>
          <w:b/>
        </w:rPr>
        <w:fldChar w:fldCharType="begin"/>
      </w:r>
      <w:r w:rsidR="002663F0" w:rsidRPr="00B06DD9">
        <w:rPr>
          <w:b/>
        </w:rPr>
        <w:instrText xml:space="preserve"> REF  _Ref421279872 \h \r </w:instrText>
      </w:r>
      <w:r w:rsidR="008B158A" w:rsidRPr="00B06DD9">
        <w:rPr>
          <w:b/>
        </w:rPr>
        <w:instrText xml:space="preserve"> \* MERGEFORMAT </w:instrText>
      </w:r>
      <w:r w:rsidR="002663F0" w:rsidRPr="00B06DD9">
        <w:rPr>
          <w:b/>
        </w:rPr>
      </w:r>
      <w:r w:rsidR="002663F0" w:rsidRPr="00B06DD9">
        <w:rPr>
          <w:b/>
        </w:rPr>
        <w:fldChar w:fldCharType="separate"/>
      </w:r>
      <w:r w:rsidR="00A551D5">
        <w:rPr>
          <w:b/>
        </w:rPr>
        <w:t>6</w:t>
      </w:r>
      <w:r w:rsidR="002663F0" w:rsidRPr="00B06DD9">
        <w:rPr>
          <w:b/>
        </w:rPr>
        <w:fldChar w:fldCharType="end"/>
      </w:r>
      <w:r w:rsidRPr="00B06DD9">
        <w:rPr>
          <w:b/>
        </w:rPr>
        <w:t>–</w:t>
      </w:r>
      <w:r w:rsidR="002663F0" w:rsidRPr="00B06DD9">
        <w:rPr>
          <w:b/>
        </w:rPr>
        <w:fldChar w:fldCharType="begin"/>
      </w:r>
      <w:r w:rsidR="002663F0" w:rsidRPr="00B06DD9">
        <w:rPr>
          <w:b/>
        </w:rPr>
        <w:instrText xml:space="preserve"> REF  _Ref421279886 \h \r </w:instrText>
      </w:r>
      <w:r w:rsidR="008B158A" w:rsidRPr="00B06DD9">
        <w:rPr>
          <w:b/>
        </w:rPr>
        <w:instrText xml:space="preserve"> \* MERGEFORMAT </w:instrText>
      </w:r>
      <w:r w:rsidR="002663F0" w:rsidRPr="00B06DD9">
        <w:rPr>
          <w:b/>
        </w:rPr>
      </w:r>
      <w:r w:rsidR="002663F0" w:rsidRPr="00B06DD9">
        <w:rPr>
          <w:b/>
        </w:rPr>
        <w:fldChar w:fldCharType="separate"/>
      </w:r>
      <w:r w:rsidR="00A551D5">
        <w:rPr>
          <w:b/>
        </w:rPr>
        <w:t>21</w:t>
      </w:r>
      <w:r w:rsidR="002663F0" w:rsidRPr="00B06DD9">
        <w:rPr>
          <w:b/>
        </w:rPr>
        <w:fldChar w:fldCharType="end"/>
      </w:r>
      <w:r w:rsidRPr="00B06DD9">
        <w:rPr>
          <w:b/>
        </w:rPr>
        <w:t xml:space="preserve">, Australian Accounting Standards </w:t>
      </w:r>
      <w:r w:rsidR="007A57F3" w:rsidRPr="00B06DD9">
        <w:rPr>
          <w:b/>
        </w:rPr>
        <w:t>apply</w:t>
      </w:r>
      <w:r w:rsidR="0029448E" w:rsidRPr="00B06DD9">
        <w:rPr>
          <w:b/>
        </w:rPr>
        <w:t xml:space="preserve"> to</w:t>
      </w:r>
      <w:r w:rsidR="00090A6F" w:rsidRPr="00B06DD9">
        <w:rPr>
          <w:b/>
        </w:rPr>
        <w:t>:</w:t>
      </w:r>
    </w:p>
    <w:p w:rsidR="00090A6F" w:rsidRPr="00B06DD9" w:rsidRDefault="00090A6F" w:rsidP="00EE4098">
      <w:pPr>
        <w:pStyle w:val="IASBNormalnparaL1"/>
        <w:numPr>
          <w:ilvl w:val="1"/>
          <w:numId w:val="7"/>
        </w:numPr>
        <w:tabs>
          <w:tab w:val="clear" w:pos="1021"/>
        </w:tabs>
        <w:ind w:left="1564" w:hanging="782"/>
        <w:rPr>
          <w:b/>
        </w:rPr>
      </w:pPr>
      <w:r w:rsidRPr="00B06DD9">
        <w:rPr>
          <w:b/>
        </w:rPr>
        <w:t>each entity that is required to prepare financial reports in accordance with Part 2M.3 of the Corporations Act and that is a reporting entity;</w:t>
      </w:r>
    </w:p>
    <w:p w:rsidR="00090A6F" w:rsidRPr="00B06DD9" w:rsidRDefault="00090A6F" w:rsidP="00EE4098">
      <w:pPr>
        <w:pStyle w:val="IASBNormalnparaL1"/>
        <w:numPr>
          <w:ilvl w:val="1"/>
          <w:numId w:val="7"/>
        </w:numPr>
        <w:tabs>
          <w:tab w:val="clear" w:pos="1021"/>
        </w:tabs>
        <w:ind w:left="1564" w:hanging="782"/>
        <w:rPr>
          <w:b/>
        </w:rPr>
      </w:pPr>
      <w:r w:rsidRPr="00B06DD9">
        <w:rPr>
          <w:b/>
        </w:rPr>
        <w:t xml:space="preserve">general purpose financial </w:t>
      </w:r>
      <w:r w:rsidR="00243EC8" w:rsidRPr="00B06DD9">
        <w:rPr>
          <w:b/>
        </w:rPr>
        <w:t>statements</w:t>
      </w:r>
      <w:r w:rsidRPr="00B06DD9">
        <w:rPr>
          <w:b/>
        </w:rPr>
        <w:t xml:space="preserve"> of each other reporting entity; and</w:t>
      </w:r>
    </w:p>
    <w:p w:rsidR="00090A6F" w:rsidRPr="00B06DD9" w:rsidRDefault="00090A6F" w:rsidP="00EE4098">
      <w:pPr>
        <w:pStyle w:val="IASBNormalnparaL1"/>
        <w:numPr>
          <w:ilvl w:val="1"/>
          <w:numId w:val="7"/>
        </w:numPr>
        <w:tabs>
          <w:tab w:val="clear" w:pos="1021"/>
        </w:tabs>
        <w:ind w:left="1564" w:hanging="782"/>
        <w:rPr>
          <w:b/>
        </w:rPr>
      </w:pPr>
      <w:r w:rsidRPr="00B06DD9">
        <w:rPr>
          <w:b/>
        </w:rPr>
        <w:t xml:space="preserve">financial </w:t>
      </w:r>
      <w:r w:rsidR="00243EC8" w:rsidRPr="00B06DD9">
        <w:rPr>
          <w:b/>
        </w:rPr>
        <w:t>statements</w:t>
      </w:r>
      <w:r w:rsidRPr="00B06DD9">
        <w:rPr>
          <w:b/>
        </w:rPr>
        <w:t xml:space="preserve"> that are, or are held out to be, general purpose financial </w:t>
      </w:r>
      <w:r w:rsidR="00243EC8" w:rsidRPr="00B06DD9">
        <w:rPr>
          <w:b/>
        </w:rPr>
        <w:t>statements</w:t>
      </w:r>
      <w:r w:rsidRPr="00B06DD9">
        <w:rPr>
          <w:b/>
        </w:rPr>
        <w:t>.</w:t>
      </w:r>
    </w:p>
    <w:p w:rsidR="0029448E" w:rsidRPr="00B06DD9" w:rsidRDefault="00FF5FE1" w:rsidP="00EE4098">
      <w:pPr>
        <w:pStyle w:val="IASBNormalnpara"/>
        <w:numPr>
          <w:ilvl w:val="0"/>
          <w:numId w:val="7"/>
        </w:numPr>
        <w:tabs>
          <w:tab w:val="clear" w:pos="510"/>
        </w:tabs>
        <w:ind w:left="782" w:hanging="782"/>
        <w:rPr>
          <w:b/>
        </w:rPr>
      </w:pPr>
      <w:bookmarkStart w:id="10" w:name="_Ref421279872"/>
      <w:r w:rsidRPr="00B06DD9">
        <w:rPr>
          <w:b/>
        </w:rPr>
        <w:t>AASB</w:t>
      </w:r>
      <w:r w:rsidR="0073741E" w:rsidRPr="00B06DD9">
        <w:rPr>
          <w:b/>
        </w:rPr>
        <w:t> </w:t>
      </w:r>
      <w:r w:rsidRPr="00B06DD9">
        <w:rPr>
          <w:b/>
        </w:rPr>
        <w:t>8</w:t>
      </w:r>
      <w:r w:rsidR="006A1358" w:rsidRPr="00B06DD9">
        <w:rPr>
          <w:b/>
        </w:rPr>
        <w:t xml:space="preserve"> </w:t>
      </w:r>
      <w:r w:rsidR="006A1358" w:rsidRPr="001A04C3">
        <w:rPr>
          <w:b/>
          <w:i/>
        </w:rPr>
        <w:t>Operating Segments</w:t>
      </w:r>
      <w:r w:rsidR="008839BD" w:rsidRPr="00B06DD9">
        <w:rPr>
          <w:b/>
        </w:rPr>
        <w:t xml:space="preserve"> </w:t>
      </w:r>
      <w:r w:rsidR="00F600C8" w:rsidRPr="00B06DD9">
        <w:rPr>
          <w:b/>
        </w:rPr>
        <w:t>applies</w:t>
      </w:r>
      <w:r w:rsidR="008839BD" w:rsidRPr="00B06DD9">
        <w:rPr>
          <w:b/>
        </w:rPr>
        <w:t xml:space="preserve"> to:</w:t>
      </w:r>
      <w:bookmarkEnd w:id="10"/>
    </w:p>
    <w:p w:rsidR="008839BD" w:rsidRPr="00B06DD9" w:rsidRDefault="0098147F" w:rsidP="00EE4098">
      <w:pPr>
        <w:pStyle w:val="IASBNormalnparaL1"/>
        <w:numPr>
          <w:ilvl w:val="1"/>
          <w:numId w:val="7"/>
        </w:numPr>
        <w:tabs>
          <w:tab w:val="clear" w:pos="1021"/>
        </w:tabs>
        <w:ind w:left="1564" w:hanging="782"/>
        <w:rPr>
          <w:b/>
        </w:rPr>
      </w:pPr>
      <w:r w:rsidRPr="00B06DD9">
        <w:rPr>
          <w:b/>
        </w:rPr>
        <w:t>e</w:t>
      </w:r>
      <w:r w:rsidR="008839BD" w:rsidRPr="00B06DD9">
        <w:rPr>
          <w:b/>
        </w:rPr>
        <w:t>ach for-profit entity that is required to prepare financial reports in accordance with Part 2M.3 of the Corporations Act and that is a reporting entity;</w:t>
      </w:r>
    </w:p>
    <w:p w:rsidR="008839BD" w:rsidRPr="00B06DD9" w:rsidRDefault="0098147F" w:rsidP="00EE4098">
      <w:pPr>
        <w:pStyle w:val="IASBNormalnparaL1"/>
        <w:numPr>
          <w:ilvl w:val="1"/>
          <w:numId w:val="7"/>
        </w:numPr>
        <w:tabs>
          <w:tab w:val="clear" w:pos="1021"/>
        </w:tabs>
        <w:ind w:left="1564" w:hanging="782"/>
        <w:rPr>
          <w:b/>
        </w:rPr>
      </w:pPr>
      <w:r w:rsidRPr="00B06DD9">
        <w:rPr>
          <w:b/>
        </w:rPr>
        <w:t>g</w:t>
      </w:r>
      <w:r w:rsidR="008839BD" w:rsidRPr="00B06DD9">
        <w:rPr>
          <w:b/>
        </w:rPr>
        <w:t>eneral purpose financial statements of each other for-profit reporting entity other than for-profit government departments; and</w:t>
      </w:r>
    </w:p>
    <w:p w:rsidR="008839BD" w:rsidRPr="00B06DD9" w:rsidRDefault="0098147F" w:rsidP="00EE4098">
      <w:pPr>
        <w:pStyle w:val="IASBNormalnparaL1"/>
        <w:numPr>
          <w:ilvl w:val="1"/>
          <w:numId w:val="7"/>
        </w:numPr>
        <w:tabs>
          <w:tab w:val="clear" w:pos="1021"/>
        </w:tabs>
        <w:ind w:left="1564" w:hanging="782"/>
        <w:rPr>
          <w:b/>
        </w:rPr>
      </w:pPr>
      <w:r w:rsidRPr="00B06DD9">
        <w:rPr>
          <w:b/>
        </w:rPr>
        <w:t>f</w:t>
      </w:r>
      <w:r w:rsidR="008839BD" w:rsidRPr="00B06DD9">
        <w:rPr>
          <w:b/>
        </w:rPr>
        <w:t>inancial statements of a for-profit entity other than for-profit government departments that are,  or are held out to be, general purpose financial statements;</w:t>
      </w:r>
    </w:p>
    <w:p w:rsidR="0098147F" w:rsidRPr="001962FA" w:rsidRDefault="0098147F" w:rsidP="00EE4098">
      <w:pPr>
        <w:pStyle w:val="NumBold2"/>
        <w:numPr>
          <w:ilvl w:val="0"/>
          <w:numId w:val="0"/>
        </w:numPr>
        <w:spacing w:before="100" w:after="0" w:line="240" w:lineRule="auto"/>
        <w:ind w:left="782"/>
        <w:jc w:val="both"/>
        <w:rPr>
          <w:sz w:val="19"/>
          <w:szCs w:val="19"/>
        </w:rPr>
      </w:pPr>
      <w:r w:rsidRPr="001962FA">
        <w:rPr>
          <w:sz w:val="19"/>
          <w:szCs w:val="19"/>
        </w:rPr>
        <w:t>in respect of:</w:t>
      </w:r>
    </w:p>
    <w:p w:rsidR="0098147F" w:rsidRPr="00B06DD9" w:rsidRDefault="0098147F" w:rsidP="00EE4098">
      <w:pPr>
        <w:pStyle w:val="IASBNormalnparaL1"/>
        <w:numPr>
          <w:ilvl w:val="1"/>
          <w:numId w:val="7"/>
        </w:numPr>
        <w:tabs>
          <w:tab w:val="clear" w:pos="1021"/>
        </w:tabs>
        <w:ind w:left="1564" w:hanging="782"/>
        <w:rPr>
          <w:b/>
        </w:rPr>
      </w:pPr>
      <w:r w:rsidRPr="00B06DD9">
        <w:rPr>
          <w:b/>
        </w:rPr>
        <w:t>the separate or individual financial statements of an entity:</w:t>
      </w:r>
    </w:p>
    <w:p w:rsidR="0098147F" w:rsidRPr="00040F9B" w:rsidRDefault="0098147F" w:rsidP="00EE4098">
      <w:pPr>
        <w:pStyle w:val="IASBNormalnparaL2"/>
        <w:numPr>
          <w:ilvl w:val="2"/>
          <w:numId w:val="7"/>
        </w:numPr>
        <w:tabs>
          <w:tab w:val="clear" w:pos="1531"/>
        </w:tabs>
        <w:ind w:left="2347" w:hanging="782"/>
        <w:rPr>
          <w:b/>
        </w:rPr>
      </w:pPr>
      <w:r w:rsidRPr="00040F9B">
        <w:rPr>
          <w:b/>
        </w:rPr>
        <w:lastRenderedPageBreak/>
        <w:t>whose debt or equity instruments are traded in a public market (a domestic or foreign stock exchange or an over-the-counter market, including local and regional markets); or</w:t>
      </w:r>
    </w:p>
    <w:p w:rsidR="0098147F" w:rsidRPr="00CA5429" w:rsidRDefault="0098147F" w:rsidP="00CA5429">
      <w:pPr>
        <w:pStyle w:val="IASBNormalnparaL2"/>
        <w:numPr>
          <w:ilvl w:val="2"/>
          <w:numId w:val="7"/>
        </w:numPr>
        <w:tabs>
          <w:tab w:val="clear" w:pos="1531"/>
        </w:tabs>
        <w:ind w:left="2347" w:hanging="782"/>
        <w:rPr>
          <w:b/>
          <w:szCs w:val="19"/>
        </w:rPr>
      </w:pPr>
      <w:r w:rsidRPr="00CA5429">
        <w:rPr>
          <w:b/>
          <w:szCs w:val="19"/>
        </w:rPr>
        <w:t>that files, or is in the process of filing, its financial statements with a securities commission or other regulatory organisation for the purpose of issuing any class of instruments in a public market; and</w:t>
      </w:r>
    </w:p>
    <w:p w:rsidR="0098147F" w:rsidRPr="00B06DD9" w:rsidRDefault="0098147F" w:rsidP="00EE4098">
      <w:pPr>
        <w:pStyle w:val="IASBNormalnparaL1"/>
        <w:numPr>
          <w:ilvl w:val="1"/>
          <w:numId w:val="7"/>
        </w:numPr>
        <w:tabs>
          <w:tab w:val="clear" w:pos="1021"/>
        </w:tabs>
        <w:ind w:left="1564" w:hanging="782"/>
        <w:rPr>
          <w:b/>
        </w:rPr>
      </w:pPr>
      <w:r w:rsidRPr="00B06DD9">
        <w:rPr>
          <w:b/>
        </w:rPr>
        <w:t>the consolidated financial statements of a group with a parent:</w:t>
      </w:r>
    </w:p>
    <w:p w:rsidR="0098147F" w:rsidRPr="00040F9B" w:rsidRDefault="0098147F" w:rsidP="00EE4098">
      <w:pPr>
        <w:pStyle w:val="IASBNormalnparaL2"/>
        <w:numPr>
          <w:ilvl w:val="2"/>
          <w:numId w:val="7"/>
        </w:numPr>
        <w:tabs>
          <w:tab w:val="clear" w:pos="1531"/>
        </w:tabs>
        <w:ind w:left="2347" w:hanging="782"/>
        <w:rPr>
          <w:b/>
        </w:rPr>
      </w:pPr>
      <w:r w:rsidRPr="00040F9B">
        <w:rPr>
          <w:b/>
        </w:rPr>
        <w:t>whose debt or equity instruments are traded in a public market (a domestic or foreign stock exchange or an over-the-counter market, including local and regional markets); or</w:t>
      </w:r>
    </w:p>
    <w:p w:rsidR="0098147F" w:rsidRPr="00040F9B" w:rsidRDefault="0098147F" w:rsidP="00EE4098">
      <w:pPr>
        <w:pStyle w:val="IASBNormalnparaL2"/>
        <w:numPr>
          <w:ilvl w:val="2"/>
          <w:numId w:val="7"/>
        </w:numPr>
        <w:tabs>
          <w:tab w:val="clear" w:pos="1531"/>
        </w:tabs>
        <w:ind w:left="2347" w:hanging="782"/>
        <w:rPr>
          <w:b/>
        </w:rPr>
      </w:pPr>
      <w:r w:rsidRPr="00040F9B">
        <w:rPr>
          <w:b/>
        </w:rPr>
        <w:t>that files, or is in the process of filing, the consolidated financial statements with a securities commission or other regulatory organisation for the purpose of issuing any class of instruments in a public market.</w:t>
      </w:r>
    </w:p>
    <w:p w:rsidR="008839BD" w:rsidRPr="00B06DD9" w:rsidRDefault="00261796" w:rsidP="00CA5429">
      <w:pPr>
        <w:pStyle w:val="IASBNormalnpara"/>
        <w:numPr>
          <w:ilvl w:val="0"/>
          <w:numId w:val="7"/>
        </w:numPr>
        <w:tabs>
          <w:tab w:val="clear" w:pos="510"/>
        </w:tabs>
        <w:ind w:left="782" w:hanging="782"/>
        <w:rPr>
          <w:b/>
        </w:rPr>
      </w:pPr>
      <w:r w:rsidRPr="00B06DD9">
        <w:rPr>
          <w:b/>
        </w:rPr>
        <w:t>AASB 101</w:t>
      </w:r>
      <w:r w:rsidR="006A1358" w:rsidRPr="00B06DD9">
        <w:rPr>
          <w:b/>
        </w:rPr>
        <w:t xml:space="preserve"> </w:t>
      </w:r>
      <w:r w:rsidR="006A1358" w:rsidRPr="001A04C3">
        <w:rPr>
          <w:b/>
          <w:i/>
        </w:rPr>
        <w:t>Presentation of Financial Statements</w:t>
      </w:r>
      <w:r w:rsidRPr="00B06DD9">
        <w:rPr>
          <w:b/>
        </w:rPr>
        <w:t>,</w:t>
      </w:r>
      <w:r w:rsidR="0073741E" w:rsidRPr="00B06DD9">
        <w:rPr>
          <w:b/>
        </w:rPr>
        <w:t xml:space="preserve"> AASB 107</w:t>
      </w:r>
      <w:r w:rsidR="006A1358" w:rsidRPr="00B06DD9">
        <w:rPr>
          <w:b/>
        </w:rPr>
        <w:t xml:space="preserve"> </w:t>
      </w:r>
      <w:r w:rsidR="006A1358" w:rsidRPr="001A04C3">
        <w:rPr>
          <w:b/>
          <w:i/>
        </w:rPr>
        <w:t>Statement of Cash Flows</w:t>
      </w:r>
      <w:r w:rsidR="0073741E" w:rsidRPr="00B06DD9">
        <w:rPr>
          <w:b/>
        </w:rPr>
        <w:t>, AASB 108</w:t>
      </w:r>
      <w:r w:rsidR="006A1358" w:rsidRPr="00B06DD9">
        <w:rPr>
          <w:b/>
        </w:rPr>
        <w:t xml:space="preserve"> </w:t>
      </w:r>
      <w:r w:rsidR="006A1358" w:rsidRPr="001A04C3">
        <w:rPr>
          <w:b/>
          <w:i/>
        </w:rPr>
        <w:t>Accounting Policies, Changes in Accounting Estimates and Errors</w:t>
      </w:r>
      <w:r w:rsidR="0073741E" w:rsidRPr="00B06DD9">
        <w:rPr>
          <w:b/>
        </w:rPr>
        <w:t xml:space="preserve">, AASB 1048 </w:t>
      </w:r>
      <w:r w:rsidR="006A1358" w:rsidRPr="001A04C3">
        <w:rPr>
          <w:b/>
          <w:i/>
        </w:rPr>
        <w:t>Interpretation of Standards</w:t>
      </w:r>
      <w:r w:rsidR="006A1358" w:rsidRPr="00B06DD9">
        <w:rPr>
          <w:b/>
        </w:rPr>
        <w:t xml:space="preserve"> </w:t>
      </w:r>
      <w:r w:rsidR="0073741E" w:rsidRPr="00B06DD9">
        <w:rPr>
          <w:b/>
        </w:rPr>
        <w:t>and AASB 1054</w:t>
      </w:r>
      <w:r w:rsidR="006A1358" w:rsidRPr="00B06DD9">
        <w:rPr>
          <w:b/>
        </w:rPr>
        <w:t xml:space="preserve"> </w:t>
      </w:r>
      <w:r w:rsidR="006A1358" w:rsidRPr="001A04C3">
        <w:rPr>
          <w:b/>
          <w:i/>
        </w:rPr>
        <w:t>Australian Additional Disclosures</w:t>
      </w:r>
      <w:r w:rsidR="0073741E" w:rsidRPr="00B06DD9">
        <w:rPr>
          <w:b/>
        </w:rPr>
        <w:t xml:space="preserve"> </w:t>
      </w:r>
      <w:r w:rsidR="00CA5429">
        <w:rPr>
          <w:b/>
        </w:rPr>
        <w:t>apply</w:t>
      </w:r>
      <w:r w:rsidRPr="00B06DD9">
        <w:rPr>
          <w:b/>
        </w:rPr>
        <w:t xml:space="preserve"> to:</w:t>
      </w:r>
    </w:p>
    <w:p w:rsidR="00261796" w:rsidRPr="00B06DD9" w:rsidRDefault="00261796" w:rsidP="00EE4098">
      <w:pPr>
        <w:pStyle w:val="IASBNormalnparaL1"/>
        <w:numPr>
          <w:ilvl w:val="1"/>
          <w:numId w:val="7"/>
        </w:numPr>
        <w:tabs>
          <w:tab w:val="clear" w:pos="1021"/>
        </w:tabs>
        <w:ind w:left="1564" w:hanging="782"/>
        <w:rPr>
          <w:b/>
        </w:rPr>
      </w:pPr>
      <w:r w:rsidRPr="00B06DD9">
        <w:rPr>
          <w:b/>
        </w:rPr>
        <w:t xml:space="preserve">each entity that is required to prepare financial </w:t>
      </w:r>
      <w:r w:rsidR="007A107A">
        <w:rPr>
          <w:b/>
        </w:rPr>
        <w:t>reports</w:t>
      </w:r>
      <w:r w:rsidR="007A107A" w:rsidRPr="00B06DD9">
        <w:rPr>
          <w:b/>
        </w:rPr>
        <w:t xml:space="preserve"> </w:t>
      </w:r>
      <w:r w:rsidRPr="00B06DD9">
        <w:rPr>
          <w:b/>
        </w:rPr>
        <w:t>in accordance with Part 2M.3 of the Corporations Act;</w:t>
      </w:r>
    </w:p>
    <w:p w:rsidR="00261796" w:rsidRPr="00B06DD9" w:rsidRDefault="00261796" w:rsidP="00EE4098">
      <w:pPr>
        <w:pStyle w:val="IASBNormalnparaL1"/>
        <w:numPr>
          <w:ilvl w:val="1"/>
          <w:numId w:val="7"/>
        </w:numPr>
        <w:tabs>
          <w:tab w:val="clear" w:pos="1021"/>
        </w:tabs>
        <w:ind w:left="1564" w:hanging="782"/>
        <w:rPr>
          <w:b/>
        </w:rPr>
      </w:pPr>
      <w:r w:rsidRPr="00B06DD9">
        <w:rPr>
          <w:b/>
        </w:rPr>
        <w:t>general purpose financial statements of each reporting entity; and</w:t>
      </w:r>
    </w:p>
    <w:p w:rsidR="00261796" w:rsidRPr="00B06DD9" w:rsidRDefault="00261796" w:rsidP="00EE4098">
      <w:pPr>
        <w:pStyle w:val="IASBNormalnparaL1"/>
        <w:numPr>
          <w:ilvl w:val="1"/>
          <w:numId w:val="7"/>
        </w:numPr>
        <w:tabs>
          <w:tab w:val="clear" w:pos="1021"/>
        </w:tabs>
        <w:ind w:left="1564" w:hanging="782"/>
        <w:rPr>
          <w:b/>
        </w:rPr>
      </w:pPr>
      <w:r w:rsidRPr="00B06DD9">
        <w:rPr>
          <w:b/>
        </w:rPr>
        <w:t>financial statements that are, or are held out to be, general purpose financial statements.</w:t>
      </w:r>
    </w:p>
    <w:p w:rsidR="0073741E" w:rsidRPr="00B06DD9" w:rsidRDefault="00F600C8" w:rsidP="00EE4098">
      <w:pPr>
        <w:pStyle w:val="IASBNormalnpara"/>
        <w:numPr>
          <w:ilvl w:val="0"/>
          <w:numId w:val="7"/>
        </w:numPr>
        <w:tabs>
          <w:tab w:val="clear" w:pos="510"/>
        </w:tabs>
        <w:ind w:left="782" w:hanging="782"/>
        <w:rPr>
          <w:b/>
        </w:rPr>
      </w:pPr>
      <w:r w:rsidRPr="00B06DD9">
        <w:rPr>
          <w:b/>
        </w:rPr>
        <w:t>AASB 120</w:t>
      </w:r>
      <w:r w:rsidR="00EC317B" w:rsidRPr="00B06DD9">
        <w:rPr>
          <w:b/>
        </w:rPr>
        <w:t xml:space="preserve"> </w:t>
      </w:r>
      <w:r w:rsidR="00EC317B" w:rsidRPr="001A04C3">
        <w:rPr>
          <w:b/>
          <w:i/>
        </w:rPr>
        <w:t>Accounting for Government Grants and Disclosure of Government Assistance</w:t>
      </w:r>
      <w:r w:rsidRPr="00B06DD9">
        <w:rPr>
          <w:b/>
        </w:rPr>
        <w:t xml:space="preserve"> applies</w:t>
      </w:r>
      <w:r w:rsidR="0073741E" w:rsidRPr="00B06DD9">
        <w:rPr>
          <w:b/>
        </w:rPr>
        <w:t xml:space="preserve"> to:</w:t>
      </w:r>
    </w:p>
    <w:p w:rsidR="0073741E" w:rsidRPr="00B06DD9" w:rsidRDefault="0073741E" w:rsidP="00EE4098">
      <w:pPr>
        <w:pStyle w:val="IASBNormalnparaL1"/>
        <w:numPr>
          <w:ilvl w:val="1"/>
          <w:numId w:val="7"/>
        </w:numPr>
        <w:tabs>
          <w:tab w:val="clear" w:pos="1021"/>
        </w:tabs>
        <w:ind w:left="1564" w:hanging="782"/>
        <w:rPr>
          <w:b/>
        </w:rPr>
      </w:pPr>
      <w:r w:rsidRPr="00B06DD9">
        <w:rPr>
          <w:b/>
        </w:rPr>
        <w:t>each for-profit entity that is required to prepare financial reports in accordance with Part 2M.3 of the Corporations Act and that is a reporting entity;</w:t>
      </w:r>
    </w:p>
    <w:p w:rsidR="0073741E" w:rsidRPr="00B06DD9" w:rsidRDefault="0073741E" w:rsidP="00EE4098">
      <w:pPr>
        <w:pStyle w:val="IASBNormalnparaL1"/>
        <w:numPr>
          <w:ilvl w:val="1"/>
          <w:numId w:val="7"/>
        </w:numPr>
        <w:tabs>
          <w:tab w:val="clear" w:pos="1021"/>
        </w:tabs>
        <w:ind w:left="1564" w:hanging="782"/>
        <w:rPr>
          <w:b/>
        </w:rPr>
      </w:pPr>
      <w:r w:rsidRPr="00B06DD9">
        <w:rPr>
          <w:b/>
        </w:rPr>
        <w:t>general purpose financial statements of each other for-profit reporting entity; and</w:t>
      </w:r>
    </w:p>
    <w:p w:rsidR="0073741E" w:rsidRPr="00B06DD9" w:rsidRDefault="0073741E" w:rsidP="00EE4098">
      <w:pPr>
        <w:pStyle w:val="IASBNormalnparaL1"/>
        <w:numPr>
          <w:ilvl w:val="1"/>
          <w:numId w:val="7"/>
        </w:numPr>
        <w:tabs>
          <w:tab w:val="clear" w:pos="1021"/>
        </w:tabs>
        <w:ind w:left="1564" w:hanging="782"/>
        <w:rPr>
          <w:b/>
        </w:rPr>
      </w:pPr>
      <w:r w:rsidRPr="00B06DD9">
        <w:rPr>
          <w:b/>
        </w:rPr>
        <w:t>financial statements of a for-profit entity that are, or are held out to be</w:t>
      </w:r>
      <w:r w:rsidR="00CA5429">
        <w:rPr>
          <w:b/>
        </w:rPr>
        <w:t>,</w:t>
      </w:r>
      <w:r w:rsidRPr="00B06DD9">
        <w:rPr>
          <w:b/>
        </w:rPr>
        <w:t xml:space="preserve"> general purpose financial statements.</w:t>
      </w:r>
    </w:p>
    <w:p w:rsidR="005D492B" w:rsidRPr="00B06DD9" w:rsidRDefault="005D492B" w:rsidP="00EE4098">
      <w:pPr>
        <w:pStyle w:val="IASBNormalnpara"/>
        <w:numPr>
          <w:ilvl w:val="0"/>
          <w:numId w:val="7"/>
        </w:numPr>
        <w:tabs>
          <w:tab w:val="clear" w:pos="510"/>
        </w:tabs>
        <w:ind w:left="782" w:hanging="782"/>
        <w:rPr>
          <w:b/>
        </w:rPr>
      </w:pPr>
      <w:r w:rsidRPr="00B06DD9">
        <w:rPr>
          <w:b/>
        </w:rPr>
        <w:t xml:space="preserve">AASB 133 </w:t>
      </w:r>
      <w:r w:rsidR="00EC317B" w:rsidRPr="001A04C3">
        <w:rPr>
          <w:b/>
          <w:i/>
        </w:rPr>
        <w:t>Earnings per Share</w:t>
      </w:r>
      <w:r w:rsidR="00EC317B" w:rsidRPr="00B06DD9">
        <w:rPr>
          <w:b/>
        </w:rPr>
        <w:t xml:space="preserve"> </w:t>
      </w:r>
      <w:r w:rsidR="00F600C8" w:rsidRPr="00B06DD9">
        <w:rPr>
          <w:b/>
        </w:rPr>
        <w:t>applies</w:t>
      </w:r>
      <w:r w:rsidRPr="00B06DD9">
        <w:rPr>
          <w:b/>
        </w:rPr>
        <w:t xml:space="preserve"> to each entity that is required to prepare financial reports in accordance with Part 2M.3 of the Corporations Act and that is:</w:t>
      </w:r>
    </w:p>
    <w:p w:rsidR="005D492B" w:rsidRPr="00B06DD9" w:rsidRDefault="005D492B" w:rsidP="00EE4098">
      <w:pPr>
        <w:pStyle w:val="IASBNormalnparaL1"/>
        <w:numPr>
          <w:ilvl w:val="1"/>
          <w:numId w:val="7"/>
        </w:numPr>
        <w:tabs>
          <w:tab w:val="clear" w:pos="1021"/>
        </w:tabs>
        <w:ind w:left="1564" w:hanging="782"/>
        <w:rPr>
          <w:b/>
        </w:rPr>
      </w:pPr>
      <w:r w:rsidRPr="00B06DD9">
        <w:rPr>
          <w:b/>
        </w:rPr>
        <w:t>a reporting entity whose ordinary shares or potential ordinary shares are publicly traded; or</w:t>
      </w:r>
    </w:p>
    <w:p w:rsidR="005D492B" w:rsidRPr="00B06DD9" w:rsidRDefault="005D492B" w:rsidP="00EE4098">
      <w:pPr>
        <w:pStyle w:val="IASBNormalnparaL1"/>
        <w:numPr>
          <w:ilvl w:val="1"/>
          <w:numId w:val="7"/>
        </w:numPr>
        <w:tabs>
          <w:tab w:val="clear" w:pos="1021"/>
        </w:tabs>
        <w:ind w:left="1564" w:hanging="782"/>
        <w:rPr>
          <w:b/>
        </w:rPr>
      </w:pPr>
      <w:r w:rsidRPr="00B06DD9">
        <w:rPr>
          <w:b/>
        </w:rPr>
        <w:t>a reporting entity that is in the process of issuing ordinary shares or potential ordinary shares in public markets; or</w:t>
      </w:r>
    </w:p>
    <w:p w:rsidR="005D492B" w:rsidRPr="00B06DD9" w:rsidRDefault="005D492B" w:rsidP="00EE4098">
      <w:pPr>
        <w:pStyle w:val="IASBNormalnparaL1"/>
        <w:numPr>
          <w:ilvl w:val="1"/>
          <w:numId w:val="7"/>
        </w:numPr>
        <w:tabs>
          <w:tab w:val="clear" w:pos="1021"/>
        </w:tabs>
        <w:ind w:left="1564" w:hanging="782"/>
        <w:rPr>
          <w:b/>
        </w:rPr>
      </w:pPr>
      <w:r w:rsidRPr="00B06DD9">
        <w:rPr>
          <w:b/>
        </w:rPr>
        <w:t>an entity that discloses earnings per share.</w:t>
      </w:r>
    </w:p>
    <w:p w:rsidR="00F01AF8" w:rsidRPr="00B06DD9" w:rsidRDefault="00F01AF8" w:rsidP="00EE4098">
      <w:pPr>
        <w:pStyle w:val="IASBNormalnpara"/>
        <w:numPr>
          <w:ilvl w:val="0"/>
          <w:numId w:val="7"/>
        </w:numPr>
        <w:tabs>
          <w:tab w:val="clear" w:pos="510"/>
        </w:tabs>
        <w:ind w:left="782" w:hanging="782"/>
        <w:rPr>
          <w:b/>
        </w:rPr>
      </w:pPr>
      <w:r w:rsidRPr="00B06DD9">
        <w:rPr>
          <w:b/>
        </w:rPr>
        <w:t xml:space="preserve">AASB 134 </w:t>
      </w:r>
      <w:r w:rsidR="00EC317B" w:rsidRPr="001A04C3">
        <w:rPr>
          <w:b/>
          <w:i/>
        </w:rPr>
        <w:t>Interim Financial Reporting</w:t>
      </w:r>
      <w:r w:rsidR="00EC317B" w:rsidRPr="00B06DD9">
        <w:rPr>
          <w:b/>
        </w:rPr>
        <w:t xml:space="preserve"> </w:t>
      </w:r>
      <w:r w:rsidR="00F600C8" w:rsidRPr="00B06DD9">
        <w:rPr>
          <w:b/>
        </w:rPr>
        <w:t>applies</w:t>
      </w:r>
      <w:r w:rsidRPr="00B06DD9">
        <w:rPr>
          <w:b/>
        </w:rPr>
        <w:t xml:space="preserve"> to:</w:t>
      </w:r>
    </w:p>
    <w:p w:rsidR="00F01AF8" w:rsidRPr="00B06DD9" w:rsidRDefault="00F01AF8" w:rsidP="00EE4098">
      <w:pPr>
        <w:pStyle w:val="IASBNormalnparaL1"/>
        <w:numPr>
          <w:ilvl w:val="1"/>
          <w:numId w:val="7"/>
        </w:numPr>
        <w:tabs>
          <w:tab w:val="clear" w:pos="1021"/>
        </w:tabs>
        <w:ind w:left="1564" w:hanging="782"/>
        <w:rPr>
          <w:b/>
        </w:rPr>
      </w:pPr>
      <w:r w:rsidRPr="00B06DD9">
        <w:rPr>
          <w:b/>
        </w:rPr>
        <w:t>each disclosing entity required to prepare half-year financial reports in accordance with Part 2M.3 of the Corporations Act;</w:t>
      </w:r>
    </w:p>
    <w:p w:rsidR="00F01AF8" w:rsidRPr="00B06DD9" w:rsidRDefault="00F01AF8" w:rsidP="00EE4098">
      <w:pPr>
        <w:pStyle w:val="IASBNormalnparaL1"/>
        <w:numPr>
          <w:ilvl w:val="1"/>
          <w:numId w:val="7"/>
        </w:numPr>
        <w:tabs>
          <w:tab w:val="clear" w:pos="1021"/>
        </w:tabs>
        <w:ind w:left="1564" w:hanging="782"/>
        <w:rPr>
          <w:b/>
        </w:rPr>
      </w:pPr>
      <w:r w:rsidRPr="00B06DD9">
        <w:rPr>
          <w:b/>
        </w:rPr>
        <w:t>interim financial reports that are general purpose financial statements of each other reporting entity; and</w:t>
      </w:r>
    </w:p>
    <w:p w:rsidR="00F01AF8" w:rsidRPr="00B06DD9" w:rsidRDefault="00F01AF8" w:rsidP="00EE4098">
      <w:pPr>
        <w:pStyle w:val="IASBNormalnparaL1"/>
        <w:numPr>
          <w:ilvl w:val="1"/>
          <w:numId w:val="7"/>
        </w:numPr>
        <w:tabs>
          <w:tab w:val="clear" w:pos="1021"/>
        </w:tabs>
        <w:ind w:left="1564" w:hanging="782"/>
        <w:rPr>
          <w:b/>
        </w:rPr>
      </w:pPr>
      <w:r w:rsidRPr="00B06DD9">
        <w:rPr>
          <w:b/>
        </w:rPr>
        <w:t>interim financial reports that are, or are held out to be, general purpose financial statements.</w:t>
      </w:r>
    </w:p>
    <w:p w:rsidR="00E11115" w:rsidRPr="00B06DD9" w:rsidRDefault="00E11115" w:rsidP="00EE4098">
      <w:pPr>
        <w:pStyle w:val="IASBNormalnpara"/>
        <w:numPr>
          <w:ilvl w:val="0"/>
          <w:numId w:val="7"/>
        </w:numPr>
        <w:tabs>
          <w:tab w:val="clear" w:pos="510"/>
        </w:tabs>
        <w:ind w:left="782" w:hanging="782"/>
        <w:rPr>
          <w:b/>
        </w:rPr>
      </w:pPr>
      <w:r w:rsidRPr="00B06DD9">
        <w:rPr>
          <w:b/>
        </w:rPr>
        <w:t xml:space="preserve">AASB 1004 </w:t>
      </w:r>
      <w:r w:rsidR="00EC317B" w:rsidRPr="001A04C3">
        <w:rPr>
          <w:b/>
          <w:i/>
        </w:rPr>
        <w:t>Contributions</w:t>
      </w:r>
      <w:r w:rsidR="00EC317B" w:rsidRPr="00B06DD9">
        <w:rPr>
          <w:b/>
        </w:rPr>
        <w:t xml:space="preserve"> </w:t>
      </w:r>
      <w:r w:rsidR="00F600C8" w:rsidRPr="00B06DD9">
        <w:rPr>
          <w:b/>
        </w:rPr>
        <w:t>applies</w:t>
      </w:r>
      <w:r w:rsidRPr="00B06DD9">
        <w:rPr>
          <w:b/>
        </w:rPr>
        <w:t xml:space="preserve"> to:</w:t>
      </w:r>
    </w:p>
    <w:p w:rsidR="00E11115" w:rsidRPr="00B06DD9" w:rsidRDefault="00E11115" w:rsidP="00EE4098">
      <w:pPr>
        <w:pStyle w:val="IASBNormalnparaL1"/>
        <w:numPr>
          <w:ilvl w:val="1"/>
          <w:numId w:val="7"/>
        </w:numPr>
        <w:tabs>
          <w:tab w:val="clear" w:pos="1021"/>
        </w:tabs>
        <w:ind w:left="1564" w:hanging="782"/>
        <w:rPr>
          <w:b/>
        </w:rPr>
      </w:pPr>
      <w:r w:rsidRPr="00B06DD9">
        <w:rPr>
          <w:b/>
        </w:rPr>
        <w:t>each not-for-profit entity that is required to prepare financial reports in accordance with Part 2M.3 of the Corporations Act and that is a reporting entity;</w:t>
      </w:r>
    </w:p>
    <w:p w:rsidR="00E11115" w:rsidRPr="00B06DD9" w:rsidRDefault="00E11115" w:rsidP="00EE4098">
      <w:pPr>
        <w:pStyle w:val="IASBNormalnparaL1"/>
        <w:numPr>
          <w:ilvl w:val="1"/>
          <w:numId w:val="7"/>
        </w:numPr>
        <w:tabs>
          <w:tab w:val="clear" w:pos="1021"/>
        </w:tabs>
        <w:ind w:left="1564" w:hanging="782"/>
        <w:rPr>
          <w:b/>
        </w:rPr>
      </w:pPr>
      <w:r w:rsidRPr="00B06DD9">
        <w:rPr>
          <w:b/>
        </w:rPr>
        <w:t>general purpose financial statements of each other not-for-profit entity that is a reporting entity;</w:t>
      </w:r>
    </w:p>
    <w:p w:rsidR="00E11115" w:rsidRPr="00B06DD9" w:rsidRDefault="00E11115" w:rsidP="00EE4098">
      <w:pPr>
        <w:pStyle w:val="IASBNormalnparaL1"/>
        <w:numPr>
          <w:ilvl w:val="1"/>
          <w:numId w:val="7"/>
        </w:numPr>
        <w:tabs>
          <w:tab w:val="clear" w:pos="1021"/>
        </w:tabs>
        <w:ind w:left="1564" w:hanging="782"/>
        <w:rPr>
          <w:b/>
        </w:rPr>
      </w:pPr>
      <w:r w:rsidRPr="00B06DD9">
        <w:rPr>
          <w:b/>
        </w:rPr>
        <w:t xml:space="preserve">financial statements of not-for-profit entities that are, or are held out </w:t>
      </w:r>
      <w:r w:rsidR="00913EA2" w:rsidRPr="00B06DD9">
        <w:rPr>
          <w:b/>
        </w:rPr>
        <w:t xml:space="preserve">to </w:t>
      </w:r>
      <w:r w:rsidRPr="00B06DD9">
        <w:rPr>
          <w:b/>
        </w:rPr>
        <w:t>be, general purpose financial statements; and</w:t>
      </w:r>
    </w:p>
    <w:p w:rsidR="00E11115" w:rsidRPr="00B06DD9" w:rsidRDefault="00E11115" w:rsidP="00EE4098">
      <w:pPr>
        <w:pStyle w:val="IASBNormalnparaL1"/>
        <w:numPr>
          <w:ilvl w:val="1"/>
          <w:numId w:val="7"/>
        </w:numPr>
        <w:tabs>
          <w:tab w:val="clear" w:pos="1021"/>
        </w:tabs>
        <w:ind w:left="1564" w:hanging="782"/>
        <w:rPr>
          <w:b/>
        </w:rPr>
      </w:pPr>
      <w:r w:rsidRPr="00B06DD9">
        <w:rPr>
          <w:b/>
        </w:rPr>
        <w:t>financial statements of GGSs prepared in accordance with AASB 1049.</w:t>
      </w:r>
    </w:p>
    <w:p w:rsidR="00913EA2" w:rsidRPr="00B06DD9" w:rsidRDefault="00913EA2" w:rsidP="00EE4098">
      <w:pPr>
        <w:pStyle w:val="IASBNormalnpara"/>
        <w:numPr>
          <w:ilvl w:val="0"/>
          <w:numId w:val="7"/>
        </w:numPr>
        <w:tabs>
          <w:tab w:val="clear" w:pos="510"/>
        </w:tabs>
        <w:ind w:left="782" w:hanging="782"/>
        <w:rPr>
          <w:b/>
        </w:rPr>
      </w:pPr>
      <w:r w:rsidRPr="00B06DD9">
        <w:rPr>
          <w:b/>
        </w:rPr>
        <w:t xml:space="preserve">AASB 1038 </w:t>
      </w:r>
      <w:r w:rsidR="00EC317B" w:rsidRPr="001A04C3">
        <w:rPr>
          <w:b/>
          <w:i/>
        </w:rPr>
        <w:t>Life Insurance Contracts</w:t>
      </w:r>
      <w:r w:rsidR="00EC317B" w:rsidRPr="00B06DD9">
        <w:rPr>
          <w:b/>
        </w:rPr>
        <w:t xml:space="preserve"> </w:t>
      </w:r>
      <w:r w:rsidRPr="00B06DD9">
        <w:rPr>
          <w:b/>
        </w:rPr>
        <w:t>applies to:</w:t>
      </w:r>
    </w:p>
    <w:p w:rsidR="00913EA2" w:rsidRPr="00B06DD9" w:rsidRDefault="00913EA2" w:rsidP="00EE4098">
      <w:pPr>
        <w:pStyle w:val="IASBNormalnparaL1"/>
        <w:numPr>
          <w:ilvl w:val="1"/>
          <w:numId w:val="7"/>
        </w:numPr>
        <w:tabs>
          <w:tab w:val="clear" w:pos="1021"/>
        </w:tabs>
        <w:ind w:left="1564" w:hanging="782"/>
        <w:rPr>
          <w:b/>
        </w:rPr>
      </w:pPr>
      <w:r w:rsidRPr="00B06DD9">
        <w:rPr>
          <w:b/>
        </w:rPr>
        <w:t>a life insurer; or</w:t>
      </w:r>
    </w:p>
    <w:p w:rsidR="00913EA2" w:rsidRPr="00B06DD9" w:rsidRDefault="00913EA2" w:rsidP="00EE4098">
      <w:pPr>
        <w:pStyle w:val="IASBNormalnparaL1"/>
        <w:numPr>
          <w:ilvl w:val="1"/>
          <w:numId w:val="7"/>
        </w:numPr>
        <w:tabs>
          <w:tab w:val="clear" w:pos="1021"/>
        </w:tabs>
        <w:ind w:left="1564" w:hanging="782"/>
        <w:rPr>
          <w:b/>
        </w:rPr>
      </w:pPr>
      <w:r w:rsidRPr="00B06DD9">
        <w:rPr>
          <w:b/>
        </w:rPr>
        <w:t>the parent in a group that includes a life insurer;</w:t>
      </w:r>
    </w:p>
    <w:p w:rsidR="00913EA2" w:rsidRPr="001962FA" w:rsidRDefault="00C66E1B" w:rsidP="00EE4098">
      <w:pPr>
        <w:pStyle w:val="NumBold2"/>
        <w:numPr>
          <w:ilvl w:val="0"/>
          <w:numId w:val="0"/>
        </w:numPr>
        <w:spacing w:before="100" w:after="0" w:line="240" w:lineRule="auto"/>
        <w:ind w:left="782"/>
        <w:jc w:val="both"/>
        <w:rPr>
          <w:sz w:val="19"/>
          <w:szCs w:val="19"/>
        </w:rPr>
      </w:pPr>
      <w:r w:rsidRPr="001962FA">
        <w:rPr>
          <w:sz w:val="19"/>
          <w:szCs w:val="19"/>
        </w:rPr>
        <w:lastRenderedPageBreak/>
        <w:t>when the entity</w:t>
      </w:r>
      <w:r w:rsidR="00CA5429">
        <w:rPr>
          <w:sz w:val="19"/>
          <w:szCs w:val="19"/>
        </w:rPr>
        <w:t>:</w:t>
      </w:r>
    </w:p>
    <w:p w:rsidR="00C66E1B" w:rsidRPr="00B06DD9" w:rsidRDefault="00C66E1B" w:rsidP="00EE4098">
      <w:pPr>
        <w:pStyle w:val="IASBNormalnparaL1"/>
        <w:numPr>
          <w:ilvl w:val="1"/>
          <w:numId w:val="7"/>
        </w:numPr>
        <w:tabs>
          <w:tab w:val="clear" w:pos="1021"/>
        </w:tabs>
        <w:ind w:left="1564" w:hanging="782"/>
        <w:rPr>
          <w:b/>
        </w:rPr>
      </w:pPr>
      <w:r w:rsidRPr="00B06DD9">
        <w:rPr>
          <w:b/>
        </w:rPr>
        <w:t>is a reporting entity that is required to prepare financial reports in accordance with Part 2M.3 of the Corporations Act;</w:t>
      </w:r>
    </w:p>
    <w:p w:rsidR="00C66E1B" w:rsidRPr="00B06DD9" w:rsidRDefault="00C66E1B" w:rsidP="00EE4098">
      <w:pPr>
        <w:pStyle w:val="IASBNormalnparaL1"/>
        <w:numPr>
          <w:ilvl w:val="1"/>
          <w:numId w:val="7"/>
        </w:numPr>
        <w:tabs>
          <w:tab w:val="clear" w:pos="1021"/>
        </w:tabs>
        <w:ind w:left="1564" w:hanging="782"/>
        <w:rPr>
          <w:b/>
        </w:rPr>
      </w:pPr>
      <w:r w:rsidRPr="00B06DD9">
        <w:rPr>
          <w:b/>
        </w:rPr>
        <w:t>is an other reporting entity and prepares general purpose financial statements; or</w:t>
      </w:r>
    </w:p>
    <w:p w:rsidR="00C66E1B" w:rsidRPr="00B06DD9" w:rsidRDefault="00C66E1B" w:rsidP="00EE4098">
      <w:pPr>
        <w:pStyle w:val="IASBNormalnparaL1"/>
        <w:numPr>
          <w:ilvl w:val="1"/>
          <w:numId w:val="7"/>
        </w:numPr>
        <w:tabs>
          <w:tab w:val="clear" w:pos="1021"/>
        </w:tabs>
        <w:ind w:left="1564" w:hanging="782"/>
        <w:rPr>
          <w:b/>
        </w:rPr>
      </w:pPr>
      <w:r w:rsidRPr="00B06DD9">
        <w:rPr>
          <w:b/>
        </w:rPr>
        <w:t>prepares financial statements that are, or are held out to be, general purpose financial statements.</w:t>
      </w:r>
    </w:p>
    <w:p w:rsidR="009541C2" w:rsidRPr="00B06DD9" w:rsidRDefault="009541C2" w:rsidP="00EE4098">
      <w:pPr>
        <w:pStyle w:val="IASBNormalnpara"/>
        <w:numPr>
          <w:ilvl w:val="0"/>
          <w:numId w:val="7"/>
        </w:numPr>
        <w:tabs>
          <w:tab w:val="clear" w:pos="510"/>
        </w:tabs>
        <w:ind w:left="782" w:hanging="782"/>
        <w:rPr>
          <w:b/>
        </w:rPr>
      </w:pPr>
      <w:r w:rsidRPr="00B06DD9">
        <w:rPr>
          <w:b/>
        </w:rPr>
        <w:t>AASB 1039</w:t>
      </w:r>
      <w:r w:rsidR="00EC317B" w:rsidRPr="00B06DD9">
        <w:rPr>
          <w:b/>
        </w:rPr>
        <w:t xml:space="preserve"> </w:t>
      </w:r>
      <w:r w:rsidR="00EC317B" w:rsidRPr="001A04C3">
        <w:rPr>
          <w:b/>
          <w:i/>
        </w:rPr>
        <w:t>Concise Financial Reports</w:t>
      </w:r>
      <w:r w:rsidRPr="00B06DD9">
        <w:rPr>
          <w:b/>
        </w:rPr>
        <w:t xml:space="preserve"> applies to a concise financial report prepared by an entity in accordance with paragraph 314(2)(a) in Part 2M.3 of the Corporations Act.</w:t>
      </w:r>
    </w:p>
    <w:p w:rsidR="00DA48C8" w:rsidRPr="00B06DD9" w:rsidRDefault="00EC317B" w:rsidP="00EE4098">
      <w:pPr>
        <w:pStyle w:val="IASBNormalnpara"/>
        <w:numPr>
          <w:ilvl w:val="0"/>
          <w:numId w:val="7"/>
        </w:numPr>
        <w:tabs>
          <w:tab w:val="clear" w:pos="510"/>
        </w:tabs>
        <w:ind w:left="782" w:hanging="782"/>
        <w:rPr>
          <w:b/>
        </w:rPr>
      </w:pPr>
      <w:r w:rsidRPr="00B06DD9">
        <w:rPr>
          <w:b/>
        </w:rPr>
        <w:t xml:space="preserve">AASB 1049 </w:t>
      </w:r>
      <w:r w:rsidR="00DA48C8" w:rsidRPr="00B06DD9">
        <w:rPr>
          <w:b/>
        </w:rPr>
        <w:t>applies to each government’s whole of government general purpose financial statements and GGS financial statements.</w:t>
      </w:r>
    </w:p>
    <w:p w:rsidR="00444926" w:rsidRPr="00B06DD9" w:rsidRDefault="00444926" w:rsidP="00EE4098">
      <w:pPr>
        <w:pStyle w:val="IASBNormalnpara"/>
        <w:numPr>
          <w:ilvl w:val="0"/>
          <w:numId w:val="7"/>
        </w:numPr>
        <w:tabs>
          <w:tab w:val="clear" w:pos="510"/>
        </w:tabs>
        <w:ind w:left="782" w:hanging="782"/>
        <w:rPr>
          <w:b/>
        </w:rPr>
      </w:pPr>
      <w:r w:rsidRPr="00B06DD9">
        <w:rPr>
          <w:b/>
        </w:rPr>
        <w:t>AASB 1050</w:t>
      </w:r>
      <w:r w:rsidR="00EC317B" w:rsidRPr="00B06DD9">
        <w:rPr>
          <w:b/>
        </w:rPr>
        <w:t xml:space="preserve"> </w:t>
      </w:r>
      <w:r w:rsidR="00EC317B" w:rsidRPr="001A04C3">
        <w:rPr>
          <w:b/>
          <w:i/>
        </w:rPr>
        <w:t>Administered Items</w:t>
      </w:r>
      <w:r w:rsidRPr="00B06DD9">
        <w:rPr>
          <w:b/>
        </w:rPr>
        <w:t xml:space="preserve"> applies to general purpose financial statements of government departments.</w:t>
      </w:r>
    </w:p>
    <w:p w:rsidR="00EF385E" w:rsidRPr="00B06DD9" w:rsidRDefault="00EF385E" w:rsidP="00EE4098">
      <w:pPr>
        <w:pStyle w:val="IASBNormalnpara"/>
        <w:numPr>
          <w:ilvl w:val="0"/>
          <w:numId w:val="7"/>
        </w:numPr>
        <w:tabs>
          <w:tab w:val="clear" w:pos="510"/>
        </w:tabs>
        <w:ind w:left="782" w:hanging="782"/>
        <w:rPr>
          <w:b/>
        </w:rPr>
      </w:pPr>
      <w:r w:rsidRPr="00B06DD9">
        <w:rPr>
          <w:b/>
        </w:rPr>
        <w:t xml:space="preserve">AASB 1051 </w:t>
      </w:r>
      <w:r w:rsidR="00EC317B" w:rsidRPr="001A04C3">
        <w:rPr>
          <w:b/>
          <w:i/>
        </w:rPr>
        <w:t>Land Under Roads</w:t>
      </w:r>
      <w:r w:rsidR="00EC317B" w:rsidRPr="00B06DD9">
        <w:rPr>
          <w:b/>
        </w:rPr>
        <w:t xml:space="preserve"> </w:t>
      </w:r>
      <w:r w:rsidRPr="00B06DD9">
        <w:rPr>
          <w:b/>
        </w:rPr>
        <w:t>applies to general purpose financial statements of local governments, government departments and whole of government</w:t>
      </w:r>
      <w:r w:rsidR="00580D5F">
        <w:rPr>
          <w:b/>
        </w:rPr>
        <w:t>s</w:t>
      </w:r>
      <w:r w:rsidRPr="00B06DD9">
        <w:rPr>
          <w:b/>
        </w:rPr>
        <w:t>, and financial statements of GGSs.</w:t>
      </w:r>
    </w:p>
    <w:p w:rsidR="009576DD" w:rsidRPr="00B06DD9" w:rsidRDefault="009576DD" w:rsidP="00EE4098">
      <w:pPr>
        <w:pStyle w:val="IASBNormalnpara"/>
        <w:numPr>
          <w:ilvl w:val="0"/>
          <w:numId w:val="7"/>
        </w:numPr>
        <w:tabs>
          <w:tab w:val="clear" w:pos="510"/>
        </w:tabs>
        <w:ind w:left="782" w:hanging="782"/>
        <w:rPr>
          <w:b/>
        </w:rPr>
      </w:pPr>
      <w:r w:rsidRPr="00B06DD9">
        <w:rPr>
          <w:b/>
        </w:rPr>
        <w:t xml:space="preserve">AASB 1052 </w:t>
      </w:r>
      <w:r w:rsidR="00EC317B" w:rsidRPr="001A04C3">
        <w:rPr>
          <w:b/>
          <w:i/>
        </w:rPr>
        <w:t>Disaggregated Disclosures</w:t>
      </w:r>
      <w:r w:rsidR="00EC317B" w:rsidRPr="00B06DD9">
        <w:rPr>
          <w:b/>
        </w:rPr>
        <w:t xml:space="preserve"> </w:t>
      </w:r>
      <w:r w:rsidRPr="00B06DD9">
        <w:rPr>
          <w:b/>
        </w:rPr>
        <w:t>applies to general purpose financial statements of local governments and government departments</w:t>
      </w:r>
      <w:r w:rsidR="00580D5F">
        <w:rPr>
          <w:b/>
        </w:rPr>
        <w:t>.</w:t>
      </w:r>
      <w:r w:rsidRPr="00B06DD9">
        <w:rPr>
          <w:b/>
        </w:rPr>
        <w:t xml:space="preserve"> </w:t>
      </w:r>
    </w:p>
    <w:p w:rsidR="00BE2972" w:rsidRPr="00B06DD9" w:rsidRDefault="00BE2972" w:rsidP="00EE4098">
      <w:pPr>
        <w:pStyle w:val="IASBNormalnpara"/>
        <w:numPr>
          <w:ilvl w:val="0"/>
          <w:numId w:val="7"/>
        </w:numPr>
        <w:tabs>
          <w:tab w:val="clear" w:pos="510"/>
        </w:tabs>
        <w:ind w:left="782" w:hanging="782"/>
        <w:rPr>
          <w:b/>
        </w:rPr>
      </w:pPr>
      <w:r w:rsidRPr="00B06DD9">
        <w:rPr>
          <w:b/>
        </w:rPr>
        <w:t xml:space="preserve">AASB 1053 </w:t>
      </w:r>
      <w:r w:rsidR="00EC317B" w:rsidRPr="001A04C3">
        <w:rPr>
          <w:b/>
          <w:i/>
        </w:rPr>
        <w:t>Application of Tiers of Australian Accounting Standards</w:t>
      </w:r>
      <w:r w:rsidR="00EC317B" w:rsidRPr="00B06DD9">
        <w:rPr>
          <w:b/>
        </w:rPr>
        <w:t xml:space="preserve"> </w:t>
      </w:r>
      <w:r w:rsidRPr="00B06DD9">
        <w:rPr>
          <w:b/>
        </w:rPr>
        <w:t>applies to:</w:t>
      </w:r>
    </w:p>
    <w:p w:rsidR="00BE2972" w:rsidRPr="00B06DD9" w:rsidRDefault="00BE2972" w:rsidP="00EE4098">
      <w:pPr>
        <w:pStyle w:val="IASBNormalnparaL1"/>
        <w:numPr>
          <w:ilvl w:val="1"/>
          <w:numId w:val="7"/>
        </w:numPr>
        <w:tabs>
          <w:tab w:val="clear" w:pos="1021"/>
        </w:tabs>
        <w:ind w:left="1564" w:hanging="782"/>
        <w:rPr>
          <w:b/>
        </w:rPr>
      </w:pPr>
      <w:r w:rsidRPr="00B06DD9">
        <w:rPr>
          <w:b/>
        </w:rPr>
        <w:t>each entity that is required to prepare financial reports in accordance with Part 2M.3 of the Corporations Act;</w:t>
      </w:r>
    </w:p>
    <w:p w:rsidR="00BE2972" w:rsidRPr="00B06DD9" w:rsidRDefault="00BE2972" w:rsidP="00EE4098">
      <w:pPr>
        <w:pStyle w:val="IASBNormalnparaL1"/>
        <w:numPr>
          <w:ilvl w:val="1"/>
          <w:numId w:val="7"/>
        </w:numPr>
        <w:tabs>
          <w:tab w:val="clear" w:pos="1021"/>
        </w:tabs>
        <w:ind w:left="1564" w:hanging="782"/>
        <w:rPr>
          <w:b/>
        </w:rPr>
      </w:pPr>
      <w:r w:rsidRPr="00B06DD9">
        <w:rPr>
          <w:b/>
        </w:rPr>
        <w:t>general purpose financial statements of each reporting entity;</w:t>
      </w:r>
    </w:p>
    <w:p w:rsidR="00BE2972" w:rsidRPr="00B06DD9" w:rsidRDefault="00BE2972" w:rsidP="00EE4098">
      <w:pPr>
        <w:pStyle w:val="IASBNormalnparaL1"/>
        <w:numPr>
          <w:ilvl w:val="1"/>
          <w:numId w:val="7"/>
        </w:numPr>
        <w:tabs>
          <w:tab w:val="clear" w:pos="1021"/>
        </w:tabs>
        <w:ind w:left="1564" w:hanging="782"/>
        <w:rPr>
          <w:b/>
        </w:rPr>
      </w:pPr>
      <w:r w:rsidRPr="00B06DD9">
        <w:rPr>
          <w:b/>
        </w:rPr>
        <w:t>financial statements that are, or are held out to be, general purpose financial statements; and</w:t>
      </w:r>
    </w:p>
    <w:p w:rsidR="00BE2972" w:rsidRPr="00B06DD9" w:rsidRDefault="00BE2972" w:rsidP="00EE4098">
      <w:pPr>
        <w:pStyle w:val="IASBNormalnparaL1"/>
        <w:numPr>
          <w:ilvl w:val="1"/>
          <w:numId w:val="7"/>
        </w:numPr>
        <w:tabs>
          <w:tab w:val="clear" w:pos="1021"/>
        </w:tabs>
        <w:ind w:left="1564" w:hanging="782"/>
        <w:rPr>
          <w:b/>
        </w:rPr>
      </w:pPr>
      <w:r w:rsidRPr="00B06DD9">
        <w:rPr>
          <w:b/>
        </w:rPr>
        <w:t>financial statements</w:t>
      </w:r>
      <w:r w:rsidR="0001629D" w:rsidRPr="00B06DD9">
        <w:rPr>
          <w:b/>
        </w:rPr>
        <w:t xml:space="preserve"> of GGSs prepared in accordance with AASB 1049.</w:t>
      </w:r>
    </w:p>
    <w:p w:rsidR="00C24BB6" w:rsidRPr="00B06DD9" w:rsidRDefault="00C24BB6" w:rsidP="00EE4098">
      <w:pPr>
        <w:pStyle w:val="IASBNormalnpara"/>
        <w:numPr>
          <w:ilvl w:val="0"/>
          <w:numId w:val="7"/>
        </w:numPr>
        <w:tabs>
          <w:tab w:val="clear" w:pos="510"/>
        </w:tabs>
        <w:ind w:left="782" w:hanging="782"/>
        <w:rPr>
          <w:b/>
        </w:rPr>
      </w:pPr>
      <w:r w:rsidRPr="00B06DD9">
        <w:rPr>
          <w:b/>
        </w:rPr>
        <w:t xml:space="preserve">AASB 1055 </w:t>
      </w:r>
      <w:r w:rsidR="00EC317B" w:rsidRPr="001A04C3">
        <w:rPr>
          <w:b/>
          <w:i/>
        </w:rPr>
        <w:t>Budgetary Reporting</w:t>
      </w:r>
      <w:r w:rsidR="00EC317B" w:rsidRPr="00B06DD9">
        <w:rPr>
          <w:b/>
        </w:rPr>
        <w:t xml:space="preserve"> </w:t>
      </w:r>
      <w:r w:rsidRPr="00B06DD9">
        <w:rPr>
          <w:b/>
        </w:rPr>
        <w:t>applies to:</w:t>
      </w:r>
    </w:p>
    <w:p w:rsidR="00C24BB6" w:rsidRPr="00B06DD9" w:rsidRDefault="00C24BB6" w:rsidP="00EE4098">
      <w:pPr>
        <w:pStyle w:val="IASBNormalnparaL1"/>
        <w:numPr>
          <w:ilvl w:val="1"/>
          <w:numId w:val="7"/>
        </w:numPr>
        <w:tabs>
          <w:tab w:val="clear" w:pos="1021"/>
        </w:tabs>
        <w:ind w:left="1564" w:hanging="782"/>
        <w:rPr>
          <w:b/>
        </w:rPr>
      </w:pPr>
      <w:r w:rsidRPr="00B06DD9">
        <w:rPr>
          <w:b/>
        </w:rPr>
        <w:t>whole of government general purpose financial statements of each government;</w:t>
      </w:r>
    </w:p>
    <w:p w:rsidR="00C24BB6" w:rsidRPr="00B06DD9" w:rsidRDefault="00C24BB6" w:rsidP="00EE4098">
      <w:pPr>
        <w:pStyle w:val="IASBNormalnparaL1"/>
        <w:numPr>
          <w:ilvl w:val="1"/>
          <w:numId w:val="7"/>
        </w:numPr>
        <w:tabs>
          <w:tab w:val="clear" w:pos="1021"/>
        </w:tabs>
        <w:ind w:left="1564" w:hanging="782"/>
        <w:rPr>
          <w:b/>
        </w:rPr>
      </w:pPr>
      <w:r w:rsidRPr="00B06DD9">
        <w:rPr>
          <w:b/>
        </w:rPr>
        <w:t>financial statements of each government’s GGS;</w:t>
      </w:r>
    </w:p>
    <w:p w:rsidR="00C24BB6" w:rsidRPr="00B06DD9" w:rsidRDefault="00C24BB6" w:rsidP="00EE4098">
      <w:pPr>
        <w:pStyle w:val="IASBNormalnparaL1"/>
        <w:numPr>
          <w:ilvl w:val="1"/>
          <w:numId w:val="7"/>
        </w:numPr>
        <w:tabs>
          <w:tab w:val="clear" w:pos="1021"/>
        </w:tabs>
        <w:ind w:left="1564" w:hanging="782"/>
        <w:rPr>
          <w:b/>
        </w:rPr>
      </w:pPr>
      <w:r w:rsidRPr="00B06DD9">
        <w:rPr>
          <w:b/>
        </w:rPr>
        <w:t>general purpose financial statements of each not-for-profit reporting entity within the GGS; and</w:t>
      </w:r>
    </w:p>
    <w:p w:rsidR="00C24BB6" w:rsidRPr="00B06DD9" w:rsidRDefault="00C24BB6" w:rsidP="00EE4098">
      <w:pPr>
        <w:pStyle w:val="IASBNormalnparaL1"/>
        <w:numPr>
          <w:ilvl w:val="1"/>
          <w:numId w:val="7"/>
        </w:numPr>
        <w:tabs>
          <w:tab w:val="clear" w:pos="1021"/>
        </w:tabs>
        <w:ind w:left="1564" w:hanging="782"/>
        <w:rPr>
          <w:b/>
        </w:rPr>
      </w:pPr>
      <w:r w:rsidRPr="00B06DD9">
        <w:rPr>
          <w:b/>
        </w:rPr>
        <w:t>financial statements of each not-for-profit entity within the GGS that are, or are held out to be, general purpose financial statements.</w:t>
      </w:r>
    </w:p>
    <w:p w:rsidR="00881AC3" w:rsidRPr="00B06DD9" w:rsidRDefault="00881AC3" w:rsidP="00EE4098">
      <w:pPr>
        <w:pStyle w:val="IASBNormalnpara"/>
        <w:numPr>
          <w:ilvl w:val="0"/>
          <w:numId w:val="7"/>
        </w:numPr>
        <w:tabs>
          <w:tab w:val="clear" w:pos="510"/>
        </w:tabs>
        <w:ind w:left="782" w:hanging="782"/>
        <w:rPr>
          <w:b/>
        </w:rPr>
      </w:pPr>
      <w:r w:rsidRPr="00B06DD9">
        <w:rPr>
          <w:b/>
        </w:rPr>
        <w:t xml:space="preserve">AASB 1056 </w:t>
      </w:r>
      <w:r w:rsidR="00EC317B" w:rsidRPr="001A04C3">
        <w:rPr>
          <w:b/>
          <w:i/>
        </w:rPr>
        <w:t>Superannuation Entities</w:t>
      </w:r>
      <w:r w:rsidR="00EC317B" w:rsidRPr="00B06DD9">
        <w:rPr>
          <w:b/>
        </w:rPr>
        <w:t xml:space="preserve"> </w:t>
      </w:r>
      <w:r w:rsidRPr="00B06DD9">
        <w:rPr>
          <w:b/>
        </w:rPr>
        <w:t>applies to:</w:t>
      </w:r>
    </w:p>
    <w:p w:rsidR="00881AC3" w:rsidRPr="00B06DD9" w:rsidRDefault="00267D74" w:rsidP="00EE4098">
      <w:pPr>
        <w:pStyle w:val="IASBNormalnparaL1"/>
        <w:numPr>
          <w:ilvl w:val="1"/>
          <w:numId w:val="7"/>
        </w:numPr>
        <w:tabs>
          <w:tab w:val="clear" w:pos="1021"/>
        </w:tabs>
        <w:ind w:left="1564" w:hanging="782"/>
        <w:rPr>
          <w:b/>
        </w:rPr>
      </w:pPr>
      <w:r w:rsidRPr="00B06DD9">
        <w:rPr>
          <w:b/>
        </w:rPr>
        <w:t>general purpose financial statements of each superannuation entity that is a reporting entity; and</w:t>
      </w:r>
    </w:p>
    <w:p w:rsidR="00267D74" w:rsidRPr="00B06DD9" w:rsidRDefault="00267D74" w:rsidP="00EE4098">
      <w:pPr>
        <w:pStyle w:val="IASBNormalnparaL1"/>
        <w:numPr>
          <w:ilvl w:val="1"/>
          <w:numId w:val="7"/>
        </w:numPr>
        <w:tabs>
          <w:tab w:val="clear" w:pos="1021"/>
        </w:tabs>
        <w:ind w:left="1564" w:hanging="782"/>
        <w:rPr>
          <w:b/>
        </w:rPr>
      </w:pPr>
      <w:r w:rsidRPr="00B06DD9">
        <w:rPr>
          <w:b/>
        </w:rPr>
        <w:t>financial statements of a superannuation entity that are held out to be general purpose financial statements.</w:t>
      </w:r>
    </w:p>
    <w:p w:rsidR="00CB6ACE" w:rsidRPr="00B06DD9" w:rsidRDefault="00CB6ACE" w:rsidP="00EE4098">
      <w:pPr>
        <w:pStyle w:val="IASBNormalnpara"/>
        <w:numPr>
          <w:ilvl w:val="0"/>
          <w:numId w:val="7"/>
        </w:numPr>
        <w:tabs>
          <w:tab w:val="clear" w:pos="510"/>
        </w:tabs>
        <w:ind w:left="782" w:hanging="782"/>
        <w:rPr>
          <w:b/>
        </w:rPr>
      </w:pPr>
      <w:bookmarkStart w:id="11" w:name="_Ref421279886"/>
      <w:r w:rsidRPr="00B06DD9">
        <w:rPr>
          <w:b/>
        </w:rPr>
        <w:t xml:space="preserve">AAS 25 </w:t>
      </w:r>
      <w:r w:rsidR="00EC317B" w:rsidRPr="001A04C3">
        <w:rPr>
          <w:b/>
          <w:i/>
        </w:rPr>
        <w:t>Financial Reporting by Superannuation Plans</w:t>
      </w:r>
      <w:r w:rsidR="00EC317B" w:rsidRPr="00B06DD9">
        <w:rPr>
          <w:b/>
        </w:rPr>
        <w:t xml:space="preserve"> </w:t>
      </w:r>
      <w:r w:rsidRPr="00B06DD9">
        <w:rPr>
          <w:b/>
        </w:rPr>
        <w:t>applies to general purpose financial reports of each superannuation plan in the private or public sector that is a reporting entity.</w:t>
      </w:r>
      <w:bookmarkEnd w:id="11"/>
    </w:p>
    <w:p w:rsidR="008A35B1" w:rsidRPr="00B06DD9" w:rsidRDefault="008A35B1" w:rsidP="00B06DD9">
      <w:pPr>
        <w:pStyle w:val="IASBSectionTitle1NonInd"/>
      </w:pPr>
      <w:r w:rsidRPr="00B06DD9">
        <w:t>Application of Australian Interpretations</w:t>
      </w:r>
    </w:p>
    <w:p w:rsidR="008A35B1" w:rsidRPr="00B06DD9" w:rsidRDefault="00B86550" w:rsidP="00EE4098">
      <w:pPr>
        <w:pStyle w:val="IASBNormalnpara"/>
        <w:numPr>
          <w:ilvl w:val="0"/>
          <w:numId w:val="7"/>
        </w:numPr>
        <w:tabs>
          <w:tab w:val="clear" w:pos="510"/>
        </w:tabs>
        <w:ind w:left="782" w:hanging="782"/>
        <w:rPr>
          <w:b/>
        </w:rPr>
      </w:pPr>
      <w:r w:rsidRPr="00B06DD9">
        <w:rPr>
          <w:b/>
        </w:rPr>
        <w:t xml:space="preserve">Unless specified otherwise in paragraphs </w:t>
      </w:r>
      <w:r w:rsidR="002663F0" w:rsidRPr="00B06DD9">
        <w:rPr>
          <w:b/>
        </w:rPr>
        <w:fldChar w:fldCharType="begin"/>
      </w:r>
      <w:r w:rsidR="002663F0" w:rsidRPr="00B06DD9">
        <w:rPr>
          <w:b/>
        </w:rPr>
        <w:instrText xml:space="preserve"> REF  _Ref423614500 \h \r </w:instrText>
      </w:r>
      <w:r w:rsidR="008B158A" w:rsidRPr="00B06DD9">
        <w:rPr>
          <w:b/>
        </w:rPr>
        <w:instrText xml:space="preserve"> \* MERGEFORMAT </w:instrText>
      </w:r>
      <w:r w:rsidR="002663F0" w:rsidRPr="00B06DD9">
        <w:rPr>
          <w:b/>
        </w:rPr>
      </w:r>
      <w:r w:rsidR="002663F0" w:rsidRPr="00B06DD9">
        <w:rPr>
          <w:b/>
        </w:rPr>
        <w:fldChar w:fldCharType="separate"/>
      </w:r>
      <w:r w:rsidR="00A551D5">
        <w:rPr>
          <w:b/>
        </w:rPr>
        <w:t>23</w:t>
      </w:r>
      <w:r w:rsidR="002663F0" w:rsidRPr="00B06DD9">
        <w:rPr>
          <w:b/>
        </w:rPr>
        <w:fldChar w:fldCharType="end"/>
      </w:r>
      <w:r w:rsidRPr="00B06DD9">
        <w:rPr>
          <w:b/>
        </w:rPr>
        <w:t>–</w:t>
      </w:r>
      <w:r w:rsidR="002663F0" w:rsidRPr="00B06DD9">
        <w:rPr>
          <w:b/>
        </w:rPr>
        <w:fldChar w:fldCharType="begin"/>
      </w:r>
      <w:r w:rsidR="002663F0" w:rsidRPr="00B06DD9">
        <w:rPr>
          <w:b/>
        </w:rPr>
        <w:instrText xml:space="preserve"> REF  _Ref423614513 \h \r </w:instrText>
      </w:r>
      <w:r w:rsidR="008B158A" w:rsidRPr="00B06DD9">
        <w:rPr>
          <w:b/>
        </w:rPr>
        <w:instrText xml:space="preserve"> \* MERGEFORMAT </w:instrText>
      </w:r>
      <w:r w:rsidR="002663F0" w:rsidRPr="00B06DD9">
        <w:rPr>
          <w:b/>
        </w:rPr>
      </w:r>
      <w:r w:rsidR="002663F0" w:rsidRPr="00B06DD9">
        <w:rPr>
          <w:b/>
        </w:rPr>
        <w:fldChar w:fldCharType="separate"/>
      </w:r>
      <w:r w:rsidR="00A551D5">
        <w:rPr>
          <w:b/>
        </w:rPr>
        <w:t>26</w:t>
      </w:r>
      <w:r w:rsidR="002663F0" w:rsidRPr="00B06DD9">
        <w:rPr>
          <w:b/>
        </w:rPr>
        <w:fldChar w:fldCharType="end"/>
      </w:r>
      <w:r w:rsidR="004E74A8">
        <w:rPr>
          <w:b/>
        </w:rPr>
        <w:t>,</w:t>
      </w:r>
      <w:r w:rsidR="00511236" w:rsidRPr="00B06DD9">
        <w:rPr>
          <w:b/>
        </w:rPr>
        <w:t xml:space="preserve"> </w:t>
      </w:r>
      <w:r w:rsidRPr="00B06DD9">
        <w:rPr>
          <w:b/>
        </w:rPr>
        <w:t xml:space="preserve">Interpretations </w:t>
      </w:r>
      <w:r w:rsidR="007A57F3" w:rsidRPr="00B06DD9">
        <w:rPr>
          <w:b/>
        </w:rPr>
        <w:t>apply</w:t>
      </w:r>
      <w:r w:rsidRPr="00B06DD9">
        <w:rPr>
          <w:b/>
        </w:rPr>
        <w:t xml:space="preserve"> to:</w:t>
      </w:r>
    </w:p>
    <w:p w:rsidR="00B86550" w:rsidRPr="00B06DD9" w:rsidRDefault="00B86550" w:rsidP="00EE4098">
      <w:pPr>
        <w:pStyle w:val="IASBNormalnparaL1"/>
        <w:numPr>
          <w:ilvl w:val="1"/>
          <w:numId w:val="7"/>
        </w:numPr>
        <w:tabs>
          <w:tab w:val="clear" w:pos="1021"/>
        </w:tabs>
        <w:ind w:left="1564" w:hanging="782"/>
        <w:rPr>
          <w:b/>
        </w:rPr>
      </w:pPr>
      <w:r w:rsidRPr="00B06DD9">
        <w:rPr>
          <w:b/>
        </w:rPr>
        <w:t>each entity that is required to prepare financial reports in accordance with Part 2M.3 of the Corporations Act and that is a reporting entity;</w:t>
      </w:r>
    </w:p>
    <w:p w:rsidR="00B86550" w:rsidRPr="00B06DD9" w:rsidRDefault="00B86550" w:rsidP="00EE4098">
      <w:pPr>
        <w:pStyle w:val="IASBNormalnparaL1"/>
        <w:numPr>
          <w:ilvl w:val="1"/>
          <w:numId w:val="7"/>
        </w:numPr>
        <w:tabs>
          <w:tab w:val="clear" w:pos="1021"/>
        </w:tabs>
        <w:ind w:left="1564" w:hanging="782"/>
        <w:rPr>
          <w:b/>
        </w:rPr>
      </w:pPr>
      <w:r w:rsidRPr="00B06DD9">
        <w:rPr>
          <w:b/>
        </w:rPr>
        <w:t>general purpose financial statements of each other reporting entity; and</w:t>
      </w:r>
    </w:p>
    <w:p w:rsidR="00B86550" w:rsidRPr="00B06DD9" w:rsidRDefault="00B86550" w:rsidP="00EE4098">
      <w:pPr>
        <w:pStyle w:val="IASBNormalnparaL1"/>
        <w:numPr>
          <w:ilvl w:val="1"/>
          <w:numId w:val="7"/>
        </w:numPr>
        <w:tabs>
          <w:tab w:val="clear" w:pos="1021"/>
        </w:tabs>
        <w:ind w:left="1564" w:hanging="782"/>
        <w:rPr>
          <w:b/>
        </w:rPr>
      </w:pPr>
      <w:r w:rsidRPr="00B06DD9">
        <w:rPr>
          <w:b/>
        </w:rPr>
        <w:t>financial statements that are, or are held out to be, general purpose financial statements.</w:t>
      </w:r>
    </w:p>
    <w:p w:rsidR="00B86550" w:rsidRPr="00B06DD9" w:rsidRDefault="00B86550" w:rsidP="004E74A8">
      <w:pPr>
        <w:pStyle w:val="IASBNormalnpara"/>
        <w:numPr>
          <w:ilvl w:val="0"/>
          <w:numId w:val="7"/>
        </w:numPr>
        <w:tabs>
          <w:tab w:val="clear" w:pos="510"/>
        </w:tabs>
        <w:ind w:left="782" w:hanging="782"/>
        <w:rPr>
          <w:b/>
        </w:rPr>
      </w:pPr>
      <w:bookmarkStart w:id="12" w:name="_Ref423614500"/>
      <w:r w:rsidRPr="00B06DD9">
        <w:rPr>
          <w:b/>
        </w:rPr>
        <w:t xml:space="preserve">Interpretation 110 </w:t>
      </w:r>
      <w:r w:rsidRPr="001A04C3">
        <w:rPr>
          <w:b/>
          <w:i/>
        </w:rPr>
        <w:t>Government Assistance – No Specific Relation to Operating Activities</w:t>
      </w:r>
      <w:r w:rsidRPr="00B06DD9">
        <w:rPr>
          <w:b/>
        </w:rPr>
        <w:t xml:space="preserve"> applies to:</w:t>
      </w:r>
      <w:bookmarkEnd w:id="12"/>
    </w:p>
    <w:p w:rsidR="00B86550" w:rsidRPr="00B06DD9" w:rsidRDefault="00B86550" w:rsidP="00EE4098">
      <w:pPr>
        <w:pStyle w:val="IASBNormalnparaL1"/>
        <w:numPr>
          <w:ilvl w:val="1"/>
          <w:numId w:val="7"/>
        </w:numPr>
        <w:tabs>
          <w:tab w:val="clear" w:pos="1021"/>
        </w:tabs>
        <w:ind w:left="1564" w:hanging="782"/>
        <w:rPr>
          <w:b/>
        </w:rPr>
      </w:pPr>
      <w:r w:rsidRPr="00B06DD9">
        <w:rPr>
          <w:b/>
        </w:rPr>
        <w:t>each for-profit entity that is required to prepare financial reports in accordance with Part 2M.3 of the Corporations Act and that is a reporting entity;</w:t>
      </w:r>
    </w:p>
    <w:p w:rsidR="00B86550" w:rsidRPr="00B06DD9" w:rsidRDefault="00B86550" w:rsidP="00EE4098">
      <w:pPr>
        <w:pStyle w:val="IASBNormalnparaL1"/>
        <w:numPr>
          <w:ilvl w:val="1"/>
          <w:numId w:val="7"/>
        </w:numPr>
        <w:tabs>
          <w:tab w:val="clear" w:pos="1021"/>
        </w:tabs>
        <w:ind w:left="1564" w:hanging="782"/>
        <w:rPr>
          <w:b/>
        </w:rPr>
      </w:pPr>
      <w:r w:rsidRPr="00B06DD9">
        <w:rPr>
          <w:b/>
        </w:rPr>
        <w:t>general purpose financial statements of each other for-profit reporting entity; and</w:t>
      </w:r>
    </w:p>
    <w:p w:rsidR="00B86550" w:rsidRPr="00B06DD9" w:rsidRDefault="00B86550" w:rsidP="004E74A8">
      <w:pPr>
        <w:pStyle w:val="IASBNormalnparaL1"/>
        <w:numPr>
          <w:ilvl w:val="1"/>
          <w:numId w:val="7"/>
        </w:numPr>
        <w:tabs>
          <w:tab w:val="clear" w:pos="1021"/>
        </w:tabs>
        <w:ind w:left="1564" w:hanging="782"/>
        <w:rPr>
          <w:b/>
        </w:rPr>
      </w:pPr>
      <w:r w:rsidRPr="00B06DD9">
        <w:rPr>
          <w:b/>
        </w:rPr>
        <w:lastRenderedPageBreak/>
        <w:t>financial statements of a for-profit entity that are, or are held out to be</w:t>
      </w:r>
      <w:r w:rsidR="004E74A8">
        <w:rPr>
          <w:b/>
        </w:rPr>
        <w:t>,</w:t>
      </w:r>
      <w:r w:rsidRPr="00B06DD9">
        <w:rPr>
          <w:b/>
        </w:rPr>
        <w:t xml:space="preserve"> general purpose financial statements.</w:t>
      </w:r>
    </w:p>
    <w:p w:rsidR="004E74A8" w:rsidRDefault="00A3760C" w:rsidP="00EE4098">
      <w:pPr>
        <w:pStyle w:val="IASBNormalnpara"/>
        <w:numPr>
          <w:ilvl w:val="0"/>
          <w:numId w:val="7"/>
        </w:numPr>
        <w:tabs>
          <w:tab w:val="clear" w:pos="510"/>
        </w:tabs>
        <w:ind w:left="782" w:hanging="782"/>
        <w:rPr>
          <w:b/>
        </w:rPr>
      </w:pPr>
      <w:r w:rsidRPr="00B06DD9">
        <w:rPr>
          <w:b/>
        </w:rPr>
        <w:t>Interpretation 1019</w:t>
      </w:r>
      <w:r w:rsidR="001A04C3">
        <w:rPr>
          <w:b/>
        </w:rPr>
        <w:t xml:space="preserve"> </w:t>
      </w:r>
      <w:r w:rsidR="001A04C3">
        <w:rPr>
          <w:b/>
          <w:i/>
        </w:rPr>
        <w:t>The Superannuation Contributions Surcharge</w:t>
      </w:r>
      <w:r w:rsidRPr="00B06DD9">
        <w:rPr>
          <w:b/>
        </w:rPr>
        <w:t xml:space="preserve"> applies to</w:t>
      </w:r>
      <w:r w:rsidR="004E74A8">
        <w:rPr>
          <w:b/>
        </w:rPr>
        <w:t>:</w:t>
      </w:r>
    </w:p>
    <w:p w:rsidR="00A3760C" w:rsidRDefault="004E74A8" w:rsidP="004E74A8">
      <w:pPr>
        <w:pStyle w:val="IASBNormalnparaL1"/>
        <w:numPr>
          <w:ilvl w:val="1"/>
          <w:numId w:val="7"/>
        </w:numPr>
        <w:tabs>
          <w:tab w:val="clear" w:pos="1021"/>
        </w:tabs>
        <w:ind w:left="1564" w:hanging="782"/>
        <w:rPr>
          <w:b/>
        </w:rPr>
      </w:pPr>
      <w:r>
        <w:rPr>
          <w:b/>
        </w:rPr>
        <w:t xml:space="preserve">each superannuation plan that is required to prepare financial reports in accordance with Part 2M.3 of the </w:t>
      </w:r>
      <w:r w:rsidRPr="004E74A8">
        <w:rPr>
          <w:b/>
        </w:rPr>
        <w:t>Corporations Act</w:t>
      </w:r>
      <w:r>
        <w:rPr>
          <w:b/>
          <w:i/>
        </w:rPr>
        <w:t xml:space="preserve"> </w:t>
      </w:r>
      <w:r>
        <w:rPr>
          <w:b/>
        </w:rPr>
        <w:t>and that is a reporting entity;</w:t>
      </w:r>
    </w:p>
    <w:p w:rsidR="004E74A8" w:rsidRDefault="004E74A8" w:rsidP="004E74A8">
      <w:pPr>
        <w:pStyle w:val="IASBNormalnparaL1"/>
        <w:numPr>
          <w:ilvl w:val="1"/>
          <w:numId w:val="7"/>
        </w:numPr>
        <w:tabs>
          <w:tab w:val="clear" w:pos="1021"/>
        </w:tabs>
        <w:ind w:left="1564" w:hanging="782"/>
        <w:rPr>
          <w:b/>
        </w:rPr>
      </w:pPr>
      <w:r>
        <w:rPr>
          <w:b/>
        </w:rPr>
        <w:t xml:space="preserve">general purpose financial statements of each other </w:t>
      </w:r>
      <w:r w:rsidR="00591C47">
        <w:rPr>
          <w:b/>
        </w:rPr>
        <w:t xml:space="preserve">superannuation plan that is a </w:t>
      </w:r>
      <w:r>
        <w:rPr>
          <w:b/>
        </w:rPr>
        <w:t>reporting entity; and</w:t>
      </w:r>
    </w:p>
    <w:p w:rsidR="004E74A8" w:rsidRPr="00B06DD9" w:rsidRDefault="004E74A8" w:rsidP="004E74A8">
      <w:pPr>
        <w:pStyle w:val="IASBNormalnparaL1"/>
        <w:numPr>
          <w:ilvl w:val="1"/>
          <w:numId w:val="7"/>
        </w:numPr>
        <w:tabs>
          <w:tab w:val="clear" w:pos="1021"/>
        </w:tabs>
        <w:ind w:left="1564" w:hanging="782"/>
        <w:rPr>
          <w:b/>
        </w:rPr>
      </w:pPr>
      <w:r>
        <w:rPr>
          <w:b/>
        </w:rPr>
        <w:t xml:space="preserve">financial statements </w:t>
      </w:r>
      <w:r w:rsidR="00591C47">
        <w:rPr>
          <w:b/>
        </w:rPr>
        <w:t xml:space="preserve">of a superannuation plan </w:t>
      </w:r>
      <w:r>
        <w:rPr>
          <w:b/>
        </w:rPr>
        <w:t>that are, or are held out to be, general purpose financial statements.</w:t>
      </w:r>
    </w:p>
    <w:p w:rsidR="00B86550" w:rsidRPr="00B06DD9" w:rsidRDefault="00B86550" w:rsidP="00EE4098">
      <w:pPr>
        <w:pStyle w:val="IASBNormalnpara"/>
        <w:numPr>
          <w:ilvl w:val="0"/>
          <w:numId w:val="7"/>
        </w:numPr>
        <w:tabs>
          <w:tab w:val="clear" w:pos="510"/>
        </w:tabs>
        <w:ind w:left="782" w:hanging="782"/>
        <w:rPr>
          <w:b/>
        </w:rPr>
      </w:pPr>
      <w:r w:rsidRPr="00B06DD9">
        <w:rPr>
          <w:b/>
        </w:rPr>
        <w:t xml:space="preserve">Interpretation 1038 </w:t>
      </w:r>
      <w:r w:rsidR="001A04C3">
        <w:rPr>
          <w:b/>
          <w:i/>
        </w:rPr>
        <w:t xml:space="preserve">Contributions by Owners Made to Wholly-Owned Public Sector Entities </w:t>
      </w:r>
      <w:r w:rsidRPr="00B06DD9">
        <w:rPr>
          <w:b/>
        </w:rPr>
        <w:t>applies to public sector entities as follows:</w:t>
      </w:r>
    </w:p>
    <w:p w:rsidR="00B86550" w:rsidRPr="00B06DD9" w:rsidRDefault="00B86550" w:rsidP="00EE4098">
      <w:pPr>
        <w:pStyle w:val="IASBNormalnparaL1"/>
        <w:numPr>
          <w:ilvl w:val="1"/>
          <w:numId w:val="7"/>
        </w:numPr>
        <w:tabs>
          <w:tab w:val="clear" w:pos="1021"/>
        </w:tabs>
        <w:ind w:left="1564" w:hanging="782"/>
        <w:rPr>
          <w:b/>
        </w:rPr>
      </w:pPr>
      <w:r w:rsidRPr="00B06DD9">
        <w:rPr>
          <w:b/>
        </w:rPr>
        <w:t>each entity</w:t>
      </w:r>
      <w:r w:rsidR="00AE7FB1" w:rsidRPr="00B06DD9">
        <w:rPr>
          <w:b/>
        </w:rPr>
        <w:t xml:space="preserve"> that is required to prepare financial reports in accordance with Part 2M.3 of the Corporations Act and that is a reporting entity;</w:t>
      </w:r>
    </w:p>
    <w:p w:rsidR="00AE7FB1" w:rsidRPr="00B06DD9" w:rsidRDefault="00AE7FB1" w:rsidP="00EE4098">
      <w:pPr>
        <w:pStyle w:val="IASBNormalnparaL1"/>
        <w:numPr>
          <w:ilvl w:val="1"/>
          <w:numId w:val="7"/>
        </w:numPr>
        <w:tabs>
          <w:tab w:val="clear" w:pos="1021"/>
        </w:tabs>
        <w:ind w:left="1564" w:hanging="782"/>
        <w:rPr>
          <w:b/>
        </w:rPr>
      </w:pPr>
      <w:r w:rsidRPr="00B06DD9">
        <w:rPr>
          <w:b/>
        </w:rPr>
        <w:t>general purpose financial statements of each other reporting entity; and</w:t>
      </w:r>
    </w:p>
    <w:p w:rsidR="00AE7FB1" w:rsidRPr="00B06DD9" w:rsidRDefault="00AE7FB1" w:rsidP="00EE4098">
      <w:pPr>
        <w:pStyle w:val="IASBNormalnparaL1"/>
        <w:numPr>
          <w:ilvl w:val="1"/>
          <w:numId w:val="7"/>
        </w:numPr>
        <w:tabs>
          <w:tab w:val="clear" w:pos="1021"/>
        </w:tabs>
        <w:ind w:left="1564" w:hanging="782"/>
        <w:rPr>
          <w:b/>
        </w:rPr>
      </w:pPr>
      <w:r w:rsidRPr="00B06DD9">
        <w:rPr>
          <w:b/>
        </w:rPr>
        <w:t>financial statements that are, or are held out to be, general purpose financial statement</w:t>
      </w:r>
      <w:r w:rsidR="004E74A8">
        <w:rPr>
          <w:b/>
        </w:rPr>
        <w:t>s</w:t>
      </w:r>
      <w:r w:rsidRPr="00B06DD9">
        <w:rPr>
          <w:b/>
        </w:rPr>
        <w:t>.</w:t>
      </w:r>
    </w:p>
    <w:p w:rsidR="009A156E" w:rsidRPr="00B06DD9" w:rsidRDefault="009A156E" w:rsidP="00EE4098">
      <w:pPr>
        <w:pStyle w:val="IASBNormalnpara"/>
        <w:numPr>
          <w:ilvl w:val="0"/>
          <w:numId w:val="7"/>
        </w:numPr>
        <w:tabs>
          <w:tab w:val="clear" w:pos="510"/>
        </w:tabs>
        <w:ind w:left="782" w:hanging="782"/>
        <w:rPr>
          <w:b/>
        </w:rPr>
      </w:pPr>
      <w:bookmarkStart w:id="13" w:name="_Ref423614513"/>
      <w:r w:rsidRPr="00B06DD9">
        <w:rPr>
          <w:b/>
        </w:rPr>
        <w:t xml:space="preserve">Interpretation 1047 </w:t>
      </w:r>
      <w:r w:rsidRPr="001A04C3">
        <w:rPr>
          <w:b/>
          <w:i/>
        </w:rPr>
        <w:t xml:space="preserve">Professional Indemnity Claims Liabilities in Medical Defence Organisations </w:t>
      </w:r>
      <w:r w:rsidRPr="00B06DD9">
        <w:rPr>
          <w:b/>
        </w:rPr>
        <w:t>applies to entities that are or include medical defence organisations as follows:</w:t>
      </w:r>
      <w:bookmarkEnd w:id="13"/>
    </w:p>
    <w:p w:rsidR="009A156E" w:rsidRPr="00B06DD9" w:rsidRDefault="00702353" w:rsidP="00EE4098">
      <w:pPr>
        <w:pStyle w:val="IASBNormalnparaL1"/>
        <w:numPr>
          <w:ilvl w:val="1"/>
          <w:numId w:val="7"/>
        </w:numPr>
        <w:tabs>
          <w:tab w:val="clear" w:pos="1021"/>
        </w:tabs>
        <w:ind w:left="1564" w:hanging="782"/>
        <w:rPr>
          <w:b/>
        </w:rPr>
      </w:pPr>
      <w:r w:rsidRPr="00B06DD9">
        <w:rPr>
          <w:b/>
        </w:rPr>
        <w:t>each entity that is required to prepare financial reports in accordance with Part 2M.3 of the Corporations Act and that is a reporting entity;</w:t>
      </w:r>
    </w:p>
    <w:p w:rsidR="00702353" w:rsidRPr="00B06DD9" w:rsidRDefault="00702353" w:rsidP="00EE4098">
      <w:pPr>
        <w:pStyle w:val="IASBNormalnparaL1"/>
        <w:numPr>
          <w:ilvl w:val="1"/>
          <w:numId w:val="7"/>
        </w:numPr>
        <w:tabs>
          <w:tab w:val="clear" w:pos="1021"/>
        </w:tabs>
        <w:ind w:left="1564" w:hanging="782"/>
        <w:rPr>
          <w:b/>
        </w:rPr>
      </w:pPr>
      <w:r w:rsidRPr="00B06DD9">
        <w:rPr>
          <w:b/>
        </w:rPr>
        <w:t>general purpose financial statements of each other reporting entity; and</w:t>
      </w:r>
    </w:p>
    <w:p w:rsidR="00702353" w:rsidRPr="00B06DD9" w:rsidRDefault="00702353" w:rsidP="00EE4098">
      <w:pPr>
        <w:pStyle w:val="IASBNormalnparaL1"/>
        <w:numPr>
          <w:ilvl w:val="1"/>
          <w:numId w:val="7"/>
        </w:numPr>
        <w:tabs>
          <w:tab w:val="clear" w:pos="1021"/>
        </w:tabs>
        <w:ind w:left="1564" w:hanging="782"/>
        <w:rPr>
          <w:b/>
        </w:rPr>
      </w:pPr>
      <w:r w:rsidRPr="00B06DD9">
        <w:rPr>
          <w:b/>
        </w:rPr>
        <w:t>financial statements that are, or are held out to be, general purpose financial statements.</w:t>
      </w:r>
    </w:p>
    <w:p w:rsidR="00A00434" w:rsidRPr="00B06DD9" w:rsidRDefault="00A00434" w:rsidP="00B06DD9">
      <w:pPr>
        <w:pStyle w:val="IASBSectionTitle1NonInd"/>
      </w:pPr>
      <w:r w:rsidRPr="00B06DD9">
        <w:t>Commencement</w:t>
      </w:r>
      <w:r w:rsidR="00AB30F0" w:rsidRPr="00B06DD9">
        <w:t xml:space="preserve"> of the </w:t>
      </w:r>
      <w:r w:rsidR="004E74A8">
        <w:t>l</w:t>
      </w:r>
      <w:r w:rsidR="00AB30F0" w:rsidRPr="00B06DD9">
        <w:t xml:space="preserve">egislative </w:t>
      </w:r>
      <w:r w:rsidR="004E74A8">
        <w:t>i</w:t>
      </w:r>
      <w:r w:rsidR="00AB30F0" w:rsidRPr="00B06DD9">
        <w:t>nstrument</w:t>
      </w:r>
    </w:p>
    <w:p w:rsidR="00A00434" w:rsidRPr="00B06DD9" w:rsidRDefault="00AB30F0" w:rsidP="00EE4098">
      <w:pPr>
        <w:pStyle w:val="IASBNormalnpara"/>
        <w:numPr>
          <w:ilvl w:val="0"/>
          <w:numId w:val="7"/>
        </w:numPr>
        <w:tabs>
          <w:tab w:val="clear" w:pos="510"/>
        </w:tabs>
        <w:ind w:left="782" w:hanging="782"/>
      </w:pPr>
      <w:r w:rsidRPr="00B06DD9">
        <w:t xml:space="preserve">For </w:t>
      </w:r>
      <w:r w:rsidR="004E74A8">
        <w:t>l</w:t>
      </w:r>
      <w:r w:rsidRPr="00B06DD9">
        <w:t>egal purpose</w:t>
      </w:r>
      <w:r w:rsidR="004E74A8">
        <w:t>s</w:t>
      </w:r>
      <w:r w:rsidRPr="00B06DD9">
        <w:t xml:space="preserve">, this legislative instrument commences on </w:t>
      </w:r>
      <w:r w:rsidR="002663F0" w:rsidRPr="00B06DD9">
        <w:t>31</w:t>
      </w:r>
      <w:r w:rsidRPr="00B06DD9">
        <w:t xml:space="preserve"> </w:t>
      </w:r>
      <w:r w:rsidR="002663F0" w:rsidRPr="00B06DD9">
        <w:t>December</w:t>
      </w:r>
      <w:r w:rsidRPr="00B06DD9">
        <w:t xml:space="preserve"> 2015</w:t>
      </w:r>
      <w:r w:rsidR="00A00434" w:rsidRPr="00B06DD9">
        <w:t>.</w:t>
      </w:r>
    </w:p>
    <w:p w:rsidR="00090A6F" w:rsidRDefault="00090A6F" w:rsidP="008B158A">
      <w:pPr>
        <w:jc w:val="both"/>
      </w:pPr>
    </w:p>
    <w:p w:rsidR="00090A6F" w:rsidRDefault="00090A6F" w:rsidP="008B158A">
      <w:pPr>
        <w:jc w:val="both"/>
        <w:sectPr w:rsidR="00090A6F" w:rsidSect="005D632B">
          <w:headerReference w:type="even" r:id="rId21"/>
          <w:footerReference w:type="default" r:id="rId22"/>
          <w:headerReference w:type="first" r:id="rId23"/>
          <w:pgSz w:w="11907" w:h="16840" w:code="9"/>
          <w:pgMar w:top="1440" w:right="1440" w:bottom="1440" w:left="1440" w:header="709" w:footer="709" w:gutter="0"/>
          <w:cols w:space="720"/>
          <w:docGrid w:linePitch="272"/>
        </w:sectPr>
      </w:pPr>
    </w:p>
    <w:p w:rsidR="00090A6F" w:rsidRPr="00BE10C2" w:rsidRDefault="00090A6F" w:rsidP="00BE10C2">
      <w:pPr>
        <w:pStyle w:val="ConvSectionTitle"/>
      </w:pPr>
      <w:bookmarkStart w:id="14" w:name="TOCEnd"/>
      <w:bookmarkEnd w:id="14"/>
      <w:r w:rsidRPr="00BE10C2">
        <w:lastRenderedPageBreak/>
        <w:t>A</w:t>
      </w:r>
      <w:r w:rsidR="00950AD5" w:rsidRPr="00BE10C2">
        <w:t>ppendix</w:t>
      </w:r>
      <w:r w:rsidR="00BE10C2">
        <w:br/>
      </w:r>
      <w:r w:rsidR="00950AD5" w:rsidRPr="00BE10C2">
        <w:t xml:space="preserve">Defined </w:t>
      </w:r>
      <w:r w:rsidR="007B2B7E">
        <w:t>t</w:t>
      </w:r>
      <w:r w:rsidR="00950AD5" w:rsidRPr="00BE10C2">
        <w:t>erms</w:t>
      </w:r>
    </w:p>
    <w:p w:rsidR="00090A6F" w:rsidRDefault="00090A6F" w:rsidP="008B158A">
      <w:pPr>
        <w:pStyle w:val="NoNumPlain1"/>
        <w:jc w:val="both"/>
        <w:rPr>
          <w:i/>
          <w:iCs/>
          <w:sz w:val="19"/>
          <w:szCs w:val="19"/>
        </w:rPr>
      </w:pPr>
      <w:r w:rsidRPr="00950AD5">
        <w:rPr>
          <w:i/>
          <w:iCs/>
          <w:sz w:val="19"/>
          <w:szCs w:val="19"/>
        </w:rPr>
        <w:t xml:space="preserve">This appendix is an integral part of AASB </w:t>
      </w:r>
      <w:r w:rsidR="00612917">
        <w:rPr>
          <w:i/>
          <w:iCs/>
          <w:sz w:val="19"/>
          <w:szCs w:val="19"/>
        </w:rPr>
        <w:fldChar w:fldCharType="begin"/>
      </w:r>
      <w:r w:rsidR="00612917">
        <w:rPr>
          <w:i/>
          <w:iCs/>
          <w:sz w:val="19"/>
          <w:szCs w:val="19"/>
        </w:rPr>
        <w:instrText xml:space="preserve"> REF \* charformat DocNo  \* MERGEFORMAT </w:instrText>
      </w:r>
      <w:r w:rsidR="00612917">
        <w:rPr>
          <w:i/>
          <w:iCs/>
          <w:sz w:val="19"/>
          <w:szCs w:val="19"/>
        </w:rPr>
        <w:fldChar w:fldCharType="separate"/>
      </w:r>
      <w:r w:rsidR="00A551D5" w:rsidRPr="00A551D5">
        <w:rPr>
          <w:i/>
          <w:iCs/>
          <w:sz w:val="19"/>
          <w:szCs w:val="19"/>
        </w:rPr>
        <w:t>1057</w:t>
      </w:r>
      <w:r w:rsidR="00612917">
        <w:rPr>
          <w:i/>
          <w:iCs/>
          <w:sz w:val="19"/>
          <w:szCs w:val="19"/>
        </w:rPr>
        <w:fldChar w:fldCharType="end"/>
      </w:r>
      <w:r w:rsidRPr="00950AD5">
        <w:rPr>
          <w:i/>
          <w:iCs/>
          <w:sz w:val="19"/>
          <w:szCs w:val="19"/>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f defined terms and their definitions"/>
        <w:tblDescription w:val="List of defined terms, usually in alphabetical order, with their definitions.  Columns for the terms and the definitions do not have a heading row."/>
      </w:tblPr>
      <w:tblGrid>
        <w:gridCol w:w="2268"/>
        <w:gridCol w:w="6912"/>
      </w:tblGrid>
      <w:tr w:rsidR="00836800" w:rsidRPr="00836800" w:rsidTr="00EE4098">
        <w:trPr>
          <w:tblHeader/>
        </w:trPr>
        <w:tc>
          <w:tcPr>
            <w:tcW w:w="2268" w:type="dxa"/>
          </w:tcPr>
          <w:p w:rsidR="00836800" w:rsidRPr="00836800" w:rsidRDefault="00BE10C2" w:rsidP="00EE4098">
            <w:pPr>
              <w:spacing w:before="100" w:line="240" w:lineRule="auto"/>
              <w:rPr>
                <w:b/>
                <w:sz w:val="19"/>
                <w:szCs w:val="19"/>
                <w:lang w:val="en-NZ"/>
              </w:rPr>
            </w:pPr>
            <w:r>
              <w:rPr>
                <w:b/>
                <w:sz w:val="19"/>
                <w:szCs w:val="19"/>
                <w:lang w:val="en-NZ"/>
              </w:rPr>
              <w:t>g</w:t>
            </w:r>
            <w:r w:rsidR="00836800" w:rsidRPr="00836800">
              <w:rPr>
                <w:b/>
                <w:sz w:val="19"/>
                <w:szCs w:val="19"/>
                <w:lang w:val="en-NZ"/>
              </w:rPr>
              <w:t>eneral</w:t>
            </w:r>
            <w:r>
              <w:rPr>
                <w:b/>
                <w:sz w:val="19"/>
                <w:szCs w:val="19"/>
                <w:lang w:val="en-NZ"/>
              </w:rPr>
              <w:t xml:space="preserve"> </w:t>
            </w:r>
            <w:r w:rsidR="00836800" w:rsidRPr="00836800">
              <w:rPr>
                <w:b/>
                <w:sz w:val="19"/>
                <w:szCs w:val="19"/>
                <w:lang w:val="en-NZ"/>
              </w:rPr>
              <w:t>purpose financial statements</w:t>
            </w:r>
          </w:p>
          <w:p w:rsidR="00836800" w:rsidRPr="00836800" w:rsidRDefault="00836800" w:rsidP="00EE4098">
            <w:pPr>
              <w:spacing w:before="100" w:line="240" w:lineRule="auto"/>
              <w:jc w:val="both"/>
              <w:rPr>
                <w:b/>
                <w:sz w:val="19"/>
                <w:szCs w:val="19"/>
              </w:rPr>
            </w:pPr>
          </w:p>
        </w:tc>
        <w:tc>
          <w:tcPr>
            <w:tcW w:w="6912" w:type="dxa"/>
          </w:tcPr>
          <w:p w:rsidR="00836800" w:rsidRPr="00836800" w:rsidRDefault="00836800" w:rsidP="00EE4098">
            <w:pPr>
              <w:spacing w:before="100" w:line="240" w:lineRule="auto"/>
              <w:jc w:val="both"/>
              <w:rPr>
                <w:sz w:val="19"/>
                <w:szCs w:val="19"/>
              </w:rPr>
            </w:pPr>
            <w:r w:rsidRPr="00836800">
              <w:rPr>
                <w:sz w:val="19"/>
                <w:szCs w:val="19"/>
                <w:lang w:val="en-NZ"/>
              </w:rPr>
              <w:t>Financial statements that are intended to meet the needs of users who are not in a position to require an entity to prepare reports tailored to their particular information needs.</w:t>
            </w:r>
          </w:p>
        </w:tc>
      </w:tr>
      <w:tr w:rsidR="00836800" w:rsidRPr="00836800" w:rsidTr="00EE4098">
        <w:tc>
          <w:tcPr>
            <w:tcW w:w="2268" w:type="dxa"/>
          </w:tcPr>
          <w:p w:rsidR="00836800" w:rsidRPr="00836800" w:rsidRDefault="00836800" w:rsidP="00EE4098">
            <w:pPr>
              <w:spacing w:before="100" w:line="240" w:lineRule="auto"/>
              <w:jc w:val="both"/>
              <w:rPr>
                <w:b/>
                <w:sz w:val="19"/>
                <w:szCs w:val="19"/>
                <w:lang w:val="en-NZ"/>
              </w:rPr>
            </w:pPr>
            <w:r w:rsidRPr="00836800">
              <w:rPr>
                <w:b/>
                <w:sz w:val="19"/>
                <w:szCs w:val="19"/>
                <w:lang w:val="en-NZ"/>
              </w:rPr>
              <w:t>reporting entity</w:t>
            </w:r>
          </w:p>
          <w:p w:rsidR="00836800" w:rsidRPr="00836800" w:rsidRDefault="00836800" w:rsidP="00EE4098">
            <w:pPr>
              <w:pStyle w:val="NumPlain2"/>
              <w:numPr>
                <w:ilvl w:val="0"/>
                <w:numId w:val="0"/>
              </w:numPr>
              <w:spacing w:before="100" w:after="0" w:line="240" w:lineRule="auto"/>
              <w:ind w:left="510"/>
              <w:jc w:val="both"/>
              <w:rPr>
                <w:b/>
                <w:sz w:val="19"/>
                <w:szCs w:val="19"/>
                <w:lang w:val="en-NZ"/>
              </w:rPr>
            </w:pPr>
          </w:p>
          <w:p w:rsidR="00836800" w:rsidRPr="00836800" w:rsidRDefault="00836800" w:rsidP="00EE4098">
            <w:pPr>
              <w:spacing w:before="100" w:line="240" w:lineRule="auto"/>
              <w:jc w:val="both"/>
              <w:rPr>
                <w:b/>
                <w:sz w:val="19"/>
                <w:szCs w:val="19"/>
              </w:rPr>
            </w:pPr>
          </w:p>
        </w:tc>
        <w:tc>
          <w:tcPr>
            <w:tcW w:w="6912" w:type="dxa"/>
          </w:tcPr>
          <w:p w:rsidR="00836800" w:rsidRPr="00836800" w:rsidRDefault="00836800" w:rsidP="00CB60D9">
            <w:pPr>
              <w:spacing w:before="100" w:line="240" w:lineRule="auto"/>
              <w:jc w:val="both"/>
              <w:rPr>
                <w:sz w:val="19"/>
                <w:szCs w:val="19"/>
              </w:rPr>
            </w:pPr>
            <w:r w:rsidRPr="00836800">
              <w:rPr>
                <w:sz w:val="19"/>
                <w:szCs w:val="19"/>
              </w:rPr>
              <w:t>An entity in respect of which it is reasonable to expect the existence of users who rely on the entity’s general purpose financial statements for information that will be useful to them for making and evaluating decisions about the allocation of resources.  A reporting entity can be a single entity or a group comprising a parent and all of its subsidiaries.</w:t>
            </w:r>
          </w:p>
        </w:tc>
      </w:tr>
    </w:tbl>
    <w:p w:rsidR="00DD1F72" w:rsidRPr="0000292B" w:rsidRDefault="00DD1F72" w:rsidP="008B158A">
      <w:pPr>
        <w:pStyle w:val="AppendixText"/>
        <w:jc w:val="both"/>
      </w:pPr>
    </w:p>
    <w:p w:rsidR="00090A6F" w:rsidRDefault="00090A6F" w:rsidP="008B158A">
      <w:pPr>
        <w:pStyle w:val="NoNumPlain1"/>
        <w:jc w:val="both"/>
      </w:pPr>
    </w:p>
    <w:p w:rsidR="00090A6F" w:rsidRDefault="00090A6F" w:rsidP="008B158A">
      <w:pPr>
        <w:jc w:val="both"/>
        <w:sectPr w:rsidR="00090A6F" w:rsidSect="005D632B">
          <w:headerReference w:type="even" r:id="rId24"/>
          <w:footerReference w:type="default" r:id="rId25"/>
          <w:headerReference w:type="first" r:id="rId26"/>
          <w:pgSz w:w="11907" w:h="16840" w:code="9"/>
          <w:pgMar w:top="1440" w:right="1440" w:bottom="1440" w:left="1440" w:header="709" w:footer="709" w:gutter="0"/>
          <w:cols w:space="720"/>
          <w:docGrid w:linePitch="272"/>
        </w:sectPr>
      </w:pPr>
    </w:p>
    <w:p w:rsidR="00090A6F" w:rsidRPr="00AB3211" w:rsidRDefault="00AB3211" w:rsidP="00BE10C2">
      <w:pPr>
        <w:pStyle w:val="Heading1"/>
        <w:spacing w:before="400" w:line="240" w:lineRule="auto"/>
        <w:jc w:val="both"/>
        <w:rPr>
          <w:rFonts w:ascii="Arial" w:hAnsi="Arial"/>
          <w:caps w:val="0"/>
        </w:rPr>
      </w:pPr>
      <w:r>
        <w:rPr>
          <w:rFonts w:ascii="Arial" w:hAnsi="Arial"/>
          <w:caps w:val="0"/>
        </w:rPr>
        <w:lastRenderedPageBreak/>
        <w:t>B</w:t>
      </w:r>
      <w:r w:rsidR="00027853" w:rsidRPr="00AB3211">
        <w:rPr>
          <w:rFonts w:ascii="Arial" w:hAnsi="Arial"/>
          <w:caps w:val="0"/>
        </w:rPr>
        <w:t xml:space="preserve">asis for </w:t>
      </w:r>
      <w:r>
        <w:rPr>
          <w:rFonts w:ascii="Arial" w:hAnsi="Arial"/>
          <w:caps w:val="0"/>
        </w:rPr>
        <w:t>C</w:t>
      </w:r>
      <w:r w:rsidR="00027853" w:rsidRPr="00AB3211">
        <w:rPr>
          <w:rFonts w:ascii="Arial" w:hAnsi="Arial"/>
          <w:caps w:val="0"/>
        </w:rPr>
        <w:t>onclusions</w:t>
      </w:r>
    </w:p>
    <w:p w:rsidR="00090A6F" w:rsidRPr="00AB3211" w:rsidRDefault="00027853" w:rsidP="008B158A">
      <w:pPr>
        <w:pStyle w:val="NoNumPlain1"/>
        <w:jc w:val="both"/>
        <w:rPr>
          <w:sz w:val="19"/>
          <w:szCs w:val="19"/>
        </w:rPr>
      </w:pPr>
      <w:r w:rsidRPr="00AB3211">
        <w:rPr>
          <w:i/>
          <w:iCs/>
          <w:sz w:val="19"/>
          <w:szCs w:val="19"/>
        </w:rPr>
        <w:t>This Basis for Conclusions accompanies, but is not part of, AASB</w:t>
      </w:r>
      <w:r w:rsidRPr="00AB3211">
        <w:rPr>
          <w:sz w:val="19"/>
          <w:szCs w:val="19"/>
        </w:rPr>
        <w:t> </w:t>
      </w:r>
      <w:r w:rsidRPr="00AB3211">
        <w:rPr>
          <w:i/>
          <w:sz w:val="19"/>
          <w:szCs w:val="19"/>
        </w:rPr>
        <w:t>105</w:t>
      </w:r>
      <w:r w:rsidR="00612917">
        <w:rPr>
          <w:i/>
          <w:sz w:val="19"/>
          <w:szCs w:val="19"/>
        </w:rPr>
        <w:t>7</w:t>
      </w:r>
      <w:r w:rsidRPr="00AB3211">
        <w:rPr>
          <w:sz w:val="19"/>
          <w:szCs w:val="19"/>
        </w:rPr>
        <w:t>.</w:t>
      </w:r>
    </w:p>
    <w:p w:rsidR="006B0E92" w:rsidRPr="00AB3211" w:rsidRDefault="006B0E92" w:rsidP="00CB60D9">
      <w:pPr>
        <w:pStyle w:val="NumBC1"/>
        <w:spacing w:before="100" w:after="100" w:line="240" w:lineRule="auto"/>
        <w:jc w:val="both"/>
        <w:rPr>
          <w:sz w:val="19"/>
          <w:szCs w:val="19"/>
        </w:rPr>
      </w:pPr>
      <w:r w:rsidRPr="00AB3211">
        <w:rPr>
          <w:sz w:val="19"/>
          <w:szCs w:val="19"/>
        </w:rPr>
        <w:t>This Basis for Conclusions summarises the Australian Accounting Standards Board’s considerations in reaching the conclusions in AASB 105</w:t>
      </w:r>
      <w:r w:rsidR="00612917">
        <w:rPr>
          <w:sz w:val="19"/>
          <w:szCs w:val="19"/>
        </w:rPr>
        <w:t>7</w:t>
      </w:r>
      <w:r w:rsidRPr="00AB3211">
        <w:rPr>
          <w:sz w:val="19"/>
          <w:szCs w:val="19"/>
        </w:rPr>
        <w:t xml:space="preserve"> </w:t>
      </w:r>
      <w:r w:rsidRPr="00AB3211">
        <w:rPr>
          <w:i/>
          <w:sz w:val="19"/>
          <w:szCs w:val="19"/>
        </w:rPr>
        <w:t>Application of Australian Accounting Standards</w:t>
      </w:r>
      <w:r w:rsidRPr="00AB3211">
        <w:rPr>
          <w:sz w:val="19"/>
          <w:szCs w:val="19"/>
        </w:rPr>
        <w:t>.  Individual Board members gave greater weight to some factors than to others.</w:t>
      </w:r>
    </w:p>
    <w:p w:rsidR="00CB60D9" w:rsidRPr="00CB60D9" w:rsidRDefault="00CB60D9" w:rsidP="00CB60D9">
      <w:pPr>
        <w:pStyle w:val="NumBC1"/>
        <w:spacing w:before="100" w:after="100" w:line="240" w:lineRule="auto"/>
        <w:jc w:val="both"/>
        <w:rPr>
          <w:sz w:val="19"/>
          <w:szCs w:val="19"/>
        </w:rPr>
      </w:pPr>
      <w:r w:rsidRPr="00CB60D9">
        <w:rPr>
          <w:sz w:val="19"/>
          <w:szCs w:val="19"/>
        </w:rPr>
        <w:t>In 2005 when Australia transitioned to adopting International Financial Reporting Standard</w:t>
      </w:r>
      <w:r w:rsidR="00350CED">
        <w:rPr>
          <w:sz w:val="19"/>
          <w:szCs w:val="19"/>
        </w:rPr>
        <w:t>s</w:t>
      </w:r>
      <w:r w:rsidRPr="00CB60D9">
        <w:rPr>
          <w:sz w:val="19"/>
          <w:szCs w:val="19"/>
        </w:rPr>
        <w:t xml:space="preserve"> (IFRSs), Australian Accounting Standards (including Interpretations) were issued using IFRSs as a base</w:t>
      </w:r>
      <w:r w:rsidR="00591C47">
        <w:rPr>
          <w:sz w:val="19"/>
          <w:szCs w:val="19"/>
        </w:rPr>
        <w:t xml:space="preserve">. </w:t>
      </w:r>
      <w:r w:rsidRPr="00CB60D9">
        <w:rPr>
          <w:sz w:val="19"/>
          <w:szCs w:val="19"/>
        </w:rPr>
        <w:t xml:space="preserve"> Australian-specific paragraphs (labelled as </w:t>
      </w:r>
      <w:r w:rsidR="00634326">
        <w:rPr>
          <w:sz w:val="19"/>
          <w:szCs w:val="19"/>
        </w:rPr>
        <w:t>‘</w:t>
      </w:r>
      <w:r w:rsidRPr="00CB60D9">
        <w:rPr>
          <w:sz w:val="19"/>
          <w:szCs w:val="19"/>
        </w:rPr>
        <w:t>Aus</w:t>
      </w:r>
      <w:r w:rsidR="00634326">
        <w:rPr>
          <w:sz w:val="19"/>
          <w:szCs w:val="19"/>
        </w:rPr>
        <w:t>’</w:t>
      </w:r>
      <w:r w:rsidRPr="00CB60D9">
        <w:rPr>
          <w:sz w:val="19"/>
          <w:szCs w:val="19"/>
        </w:rPr>
        <w:t xml:space="preserve"> paragraphs), including application paragraphs, were added to the IFRS text.  These application paragraphs identified</w:t>
      </w:r>
      <w:r w:rsidR="007A107A">
        <w:rPr>
          <w:sz w:val="19"/>
          <w:szCs w:val="19"/>
        </w:rPr>
        <w:t>,</w:t>
      </w:r>
      <w:r w:rsidRPr="00CB60D9">
        <w:rPr>
          <w:sz w:val="19"/>
          <w:szCs w:val="19"/>
        </w:rPr>
        <w:t xml:space="preserve"> in each Standard</w:t>
      </w:r>
      <w:r w:rsidR="007A107A">
        <w:rPr>
          <w:sz w:val="19"/>
          <w:szCs w:val="19"/>
        </w:rPr>
        <w:t>,</w:t>
      </w:r>
      <w:r w:rsidRPr="00CB60D9">
        <w:rPr>
          <w:sz w:val="19"/>
          <w:szCs w:val="19"/>
        </w:rPr>
        <w:t xml:space="preserve"> the entities and financial reports to which the Standard applied</w:t>
      </w:r>
      <w:r w:rsidR="007A107A">
        <w:rPr>
          <w:sz w:val="19"/>
          <w:szCs w:val="19"/>
        </w:rPr>
        <w:t>.</w:t>
      </w:r>
      <w:r w:rsidRPr="00CB60D9">
        <w:rPr>
          <w:sz w:val="19"/>
          <w:szCs w:val="19"/>
        </w:rPr>
        <w:t xml:space="preserve"> </w:t>
      </w:r>
      <w:r w:rsidR="007A107A">
        <w:rPr>
          <w:sz w:val="19"/>
          <w:szCs w:val="19"/>
        </w:rPr>
        <w:t xml:space="preserve">For example, most Standards apply explicitly to </w:t>
      </w:r>
      <w:r w:rsidRPr="00CB60D9">
        <w:rPr>
          <w:sz w:val="19"/>
          <w:szCs w:val="19"/>
        </w:rPr>
        <w:t xml:space="preserve">reporting entities and </w:t>
      </w:r>
      <w:r w:rsidR="007A107A">
        <w:rPr>
          <w:sz w:val="19"/>
          <w:szCs w:val="19"/>
        </w:rPr>
        <w:t xml:space="preserve">to </w:t>
      </w:r>
      <w:r w:rsidRPr="00CB60D9">
        <w:rPr>
          <w:sz w:val="19"/>
          <w:szCs w:val="19"/>
        </w:rPr>
        <w:t xml:space="preserve">general purpose financial statements.  Other minor amendments were </w:t>
      </w:r>
      <w:r w:rsidR="00931D0C">
        <w:rPr>
          <w:sz w:val="19"/>
          <w:szCs w:val="19"/>
        </w:rPr>
        <w:t xml:space="preserve">also </w:t>
      </w:r>
      <w:r w:rsidRPr="00CB60D9">
        <w:rPr>
          <w:sz w:val="19"/>
          <w:szCs w:val="19"/>
        </w:rPr>
        <w:t>made to the IFRS text (eg Australian terminology and punctuation).</w:t>
      </w:r>
    </w:p>
    <w:p w:rsidR="00CB60D9" w:rsidRPr="00CB60D9" w:rsidRDefault="00CB60D9" w:rsidP="00CB60D9">
      <w:pPr>
        <w:pStyle w:val="NumBC1"/>
        <w:spacing w:before="100" w:after="100" w:line="240" w:lineRule="auto"/>
        <w:jc w:val="both"/>
        <w:rPr>
          <w:sz w:val="19"/>
          <w:szCs w:val="19"/>
        </w:rPr>
      </w:pPr>
      <w:r w:rsidRPr="00CB60D9">
        <w:rPr>
          <w:sz w:val="19"/>
          <w:szCs w:val="19"/>
        </w:rPr>
        <w:t xml:space="preserve">At </w:t>
      </w:r>
      <w:r w:rsidR="007A107A">
        <w:rPr>
          <w:sz w:val="19"/>
          <w:szCs w:val="19"/>
        </w:rPr>
        <w:t>its</w:t>
      </w:r>
      <w:r w:rsidRPr="00CB60D9">
        <w:rPr>
          <w:sz w:val="19"/>
          <w:szCs w:val="19"/>
        </w:rPr>
        <w:t xml:space="preserve"> May 2015 meeting, the Board decided to revise Australian Accounting Standards that incorporate IFRSs to </w:t>
      </w:r>
      <w:r w:rsidR="00350CED">
        <w:rPr>
          <w:sz w:val="19"/>
          <w:szCs w:val="19"/>
        </w:rPr>
        <w:t>minimise Australian-specific wording even further</w:t>
      </w:r>
      <w:r w:rsidRPr="00CB60D9">
        <w:rPr>
          <w:sz w:val="19"/>
          <w:szCs w:val="19"/>
        </w:rPr>
        <w:t xml:space="preserve">.  Therefore, because IFRSs do not contain such application paragraphs, the application </w:t>
      </w:r>
      <w:r w:rsidR="007A107A">
        <w:rPr>
          <w:sz w:val="19"/>
          <w:szCs w:val="19"/>
        </w:rPr>
        <w:t>paragraphs</w:t>
      </w:r>
      <w:r w:rsidRPr="00CB60D9">
        <w:rPr>
          <w:sz w:val="19"/>
          <w:szCs w:val="19"/>
        </w:rPr>
        <w:t xml:space="preserve"> that were previously in each Australian Accounting Standard were moved to this Standard.  In doing so, the application requirements have not been amended.</w:t>
      </w:r>
      <w:r w:rsidR="00634326">
        <w:rPr>
          <w:sz w:val="19"/>
          <w:szCs w:val="19"/>
        </w:rPr>
        <w:t xml:space="preserve">  These application paragraphs also do not affect requirements in other Standards that specify that certain paragraphs apply only to certain types of entities.</w:t>
      </w:r>
    </w:p>
    <w:p w:rsidR="00CB60D9" w:rsidRPr="00CB60D9" w:rsidRDefault="00CB60D9" w:rsidP="00CB60D9">
      <w:pPr>
        <w:pStyle w:val="NumBC1"/>
        <w:spacing w:before="100" w:after="100" w:line="240" w:lineRule="auto"/>
        <w:jc w:val="both"/>
        <w:rPr>
          <w:sz w:val="19"/>
          <w:szCs w:val="19"/>
        </w:rPr>
      </w:pPr>
      <w:r w:rsidRPr="00CB60D9">
        <w:rPr>
          <w:sz w:val="19"/>
          <w:szCs w:val="19"/>
        </w:rPr>
        <w:t>For consistency, the application paragraphs of Australian-specific Standards have also been included in this Standard, without amendment.  When those Standards are amended for other reasons, their application paragr</w:t>
      </w:r>
      <w:r w:rsidR="00931D0C">
        <w:rPr>
          <w:sz w:val="19"/>
          <w:szCs w:val="19"/>
        </w:rPr>
        <w:t>aphs are expected to be removed</w:t>
      </w:r>
      <w:r w:rsidRPr="00CB60D9">
        <w:rPr>
          <w:sz w:val="19"/>
          <w:szCs w:val="19"/>
        </w:rPr>
        <w:t>.</w:t>
      </w:r>
    </w:p>
    <w:p w:rsidR="00A15BB7" w:rsidRDefault="00C2256D" w:rsidP="00CB60D9">
      <w:pPr>
        <w:pStyle w:val="NumBC1"/>
        <w:numPr>
          <w:ilvl w:val="0"/>
          <w:numId w:val="0"/>
        </w:numPr>
        <w:spacing w:before="100" w:afterLines="100" w:after="240" w:line="240" w:lineRule="auto"/>
        <w:jc w:val="both"/>
      </w:pPr>
      <w:r w:rsidRPr="00AB3211">
        <w:rPr>
          <w:sz w:val="19"/>
          <w:szCs w:val="19"/>
        </w:rPr>
        <w:t xml:space="preserve"> </w:t>
      </w:r>
    </w:p>
    <w:sectPr w:rsidR="00A15BB7" w:rsidSect="005D632B">
      <w:headerReference w:type="even" r:id="rId27"/>
      <w:footerReference w:type="default" r:id="rId28"/>
      <w:headerReference w:type="first" r:id="rId29"/>
      <w:footerReference w:type="first" r:id="rId30"/>
      <w:pgSz w:w="11907" w:h="16840" w:code="9"/>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073" w:rsidRDefault="001F3073">
      <w:r>
        <w:separator/>
      </w:r>
    </w:p>
  </w:endnote>
  <w:endnote w:type="continuationSeparator" w:id="0">
    <w:p w:rsidR="001F3073" w:rsidRDefault="001F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8" w:rsidRPr="00537D6D" w:rsidRDefault="00EB63D8" w:rsidP="001078BD">
    <w:pPr>
      <w:pStyle w:val="Footer"/>
      <w:tabs>
        <w:tab w:val="clear" w:pos="3119"/>
        <w:tab w:val="clear" w:pos="6237"/>
        <w:tab w:val="center" w:pos="4536"/>
        <w:tab w:val="right" w:pos="9072"/>
      </w:tabs>
      <w:spacing w:line="240" w:lineRule="auto"/>
      <w:rPr>
        <w:b/>
        <w:sz w:val="19"/>
        <w:szCs w:val="19"/>
      </w:rPr>
    </w:pPr>
    <w:r w:rsidRPr="00537D6D">
      <w:rPr>
        <w:b/>
        <w:sz w:val="19"/>
        <w:szCs w:val="19"/>
      </w:rPr>
      <w:t xml:space="preserve">AASB </w:t>
    </w:r>
    <w:r w:rsidR="00612917">
      <w:rPr>
        <w:b/>
        <w:sz w:val="19"/>
        <w:szCs w:val="19"/>
      </w:rPr>
      <w:fldChar w:fldCharType="begin"/>
    </w:r>
    <w:r w:rsidR="00612917">
      <w:rPr>
        <w:b/>
        <w:sz w:val="19"/>
        <w:szCs w:val="19"/>
      </w:rPr>
      <w:instrText xml:space="preserve"> REF \* charformat DocNo  \* MERGEFORMAT </w:instrText>
    </w:r>
    <w:r w:rsidR="00612917">
      <w:rPr>
        <w:b/>
        <w:sz w:val="19"/>
        <w:szCs w:val="19"/>
      </w:rPr>
      <w:fldChar w:fldCharType="separate"/>
    </w:r>
    <w:r w:rsidR="00A551D5" w:rsidRPr="00A551D5">
      <w:rPr>
        <w:b/>
        <w:sz w:val="19"/>
        <w:szCs w:val="19"/>
      </w:rPr>
      <w:t>1057</w:t>
    </w:r>
    <w:r w:rsidR="00612917">
      <w:rPr>
        <w:b/>
        <w:sz w:val="19"/>
        <w:szCs w:val="19"/>
      </w:rPr>
      <w:fldChar w:fldCharType="end"/>
    </w:r>
    <w:r w:rsidRPr="00537D6D">
      <w:rPr>
        <w:b/>
        <w:sz w:val="19"/>
        <w:szCs w:val="19"/>
      </w:rPr>
      <w:tab/>
    </w:r>
    <w:r w:rsidRPr="00537D6D">
      <w:rPr>
        <w:sz w:val="19"/>
        <w:szCs w:val="19"/>
      </w:rPr>
      <w:fldChar w:fldCharType="begin"/>
    </w:r>
    <w:r w:rsidRPr="00537D6D">
      <w:rPr>
        <w:sz w:val="19"/>
        <w:szCs w:val="19"/>
      </w:rPr>
      <w:instrText>PAGE</w:instrText>
    </w:r>
    <w:r w:rsidRPr="00537D6D">
      <w:rPr>
        <w:sz w:val="19"/>
        <w:szCs w:val="19"/>
      </w:rPr>
      <w:fldChar w:fldCharType="separate"/>
    </w:r>
    <w:r w:rsidR="00A551D5">
      <w:rPr>
        <w:noProof/>
        <w:sz w:val="19"/>
        <w:szCs w:val="19"/>
      </w:rPr>
      <w:t>2</w:t>
    </w:r>
    <w:r w:rsidRPr="00537D6D">
      <w:rPr>
        <w:sz w:val="19"/>
        <w:szCs w:val="19"/>
      </w:rPr>
      <w:fldChar w:fldCharType="end"/>
    </w:r>
    <w:r w:rsidRPr="00537D6D">
      <w:rPr>
        <w:b/>
        <w:sz w:val="19"/>
        <w:szCs w:val="19"/>
      </w:rPr>
      <w:tab/>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8" w:rsidRPr="00537D6D" w:rsidRDefault="00EB63D8" w:rsidP="001078BD">
    <w:pPr>
      <w:pStyle w:val="Footer"/>
      <w:tabs>
        <w:tab w:val="clear" w:pos="3119"/>
        <w:tab w:val="clear" w:pos="6237"/>
        <w:tab w:val="center" w:pos="4536"/>
        <w:tab w:val="right" w:pos="9072"/>
      </w:tabs>
      <w:rPr>
        <w:b/>
        <w:sz w:val="19"/>
        <w:szCs w:val="19"/>
      </w:rPr>
    </w:pPr>
    <w:r w:rsidRPr="00537D6D">
      <w:rPr>
        <w:b/>
        <w:sz w:val="19"/>
        <w:szCs w:val="19"/>
      </w:rPr>
      <w:t xml:space="preserve">AASB </w:t>
    </w:r>
    <w:r w:rsidR="00612917">
      <w:rPr>
        <w:b/>
        <w:sz w:val="19"/>
        <w:szCs w:val="19"/>
      </w:rPr>
      <w:fldChar w:fldCharType="begin"/>
    </w:r>
    <w:r w:rsidR="00612917">
      <w:rPr>
        <w:b/>
        <w:sz w:val="19"/>
        <w:szCs w:val="19"/>
      </w:rPr>
      <w:instrText xml:space="preserve"> REF \* charformat DocNo  \* MERGEFORMAT </w:instrText>
    </w:r>
    <w:r w:rsidR="00612917">
      <w:rPr>
        <w:b/>
        <w:sz w:val="19"/>
        <w:szCs w:val="19"/>
      </w:rPr>
      <w:fldChar w:fldCharType="separate"/>
    </w:r>
    <w:r w:rsidR="00A551D5" w:rsidRPr="00A551D5">
      <w:rPr>
        <w:b/>
        <w:sz w:val="19"/>
        <w:szCs w:val="19"/>
      </w:rPr>
      <w:t>1057</w:t>
    </w:r>
    <w:r w:rsidR="00612917">
      <w:rPr>
        <w:b/>
        <w:sz w:val="19"/>
        <w:szCs w:val="19"/>
      </w:rPr>
      <w:fldChar w:fldCharType="end"/>
    </w:r>
    <w:r w:rsidRPr="00537D6D">
      <w:rPr>
        <w:b/>
        <w:sz w:val="19"/>
        <w:szCs w:val="19"/>
      </w:rPr>
      <w:tab/>
    </w:r>
    <w:r w:rsidRPr="00537D6D">
      <w:rPr>
        <w:sz w:val="19"/>
        <w:szCs w:val="19"/>
      </w:rPr>
      <w:fldChar w:fldCharType="begin"/>
    </w:r>
    <w:r w:rsidRPr="00537D6D">
      <w:rPr>
        <w:sz w:val="19"/>
        <w:szCs w:val="19"/>
      </w:rPr>
      <w:instrText>PAGE</w:instrText>
    </w:r>
    <w:r w:rsidRPr="00537D6D">
      <w:rPr>
        <w:sz w:val="19"/>
        <w:szCs w:val="19"/>
      </w:rPr>
      <w:fldChar w:fldCharType="separate"/>
    </w:r>
    <w:r w:rsidR="00A551D5">
      <w:rPr>
        <w:noProof/>
        <w:sz w:val="19"/>
        <w:szCs w:val="19"/>
      </w:rPr>
      <w:t>3</w:t>
    </w:r>
    <w:r w:rsidRPr="00537D6D">
      <w:rPr>
        <w:sz w:val="19"/>
        <w:szCs w:val="19"/>
      </w:rPr>
      <w:fldChar w:fldCharType="end"/>
    </w:r>
    <w:r w:rsidRPr="00537D6D">
      <w:rPr>
        <w:sz w:val="19"/>
        <w:szCs w:val="19"/>
      </w:rPr>
      <w:tab/>
    </w:r>
    <w:r w:rsidRPr="00537D6D">
      <w:rPr>
        <w:b/>
        <w:bCs/>
        <w:sz w:val="19"/>
        <w:szCs w:val="19"/>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8" w:rsidRPr="00537D6D" w:rsidRDefault="00EB63D8" w:rsidP="009872DB">
    <w:pPr>
      <w:pStyle w:val="Footer"/>
      <w:tabs>
        <w:tab w:val="clear" w:pos="3119"/>
        <w:tab w:val="clear" w:pos="6237"/>
        <w:tab w:val="center" w:pos="4536"/>
        <w:tab w:val="right" w:pos="9072"/>
      </w:tabs>
      <w:rPr>
        <w:b/>
        <w:sz w:val="19"/>
        <w:szCs w:val="19"/>
      </w:rPr>
    </w:pPr>
    <w:r w:rsidRPr="00537D6D">
      <w:rPr>
        <w:b/>
        <w:sz w:val="19"/>
        <w:szCs w:val="19"/>
      </w:rPr>
      <w:t xml:space="preserve">AASB </w:t>
    </w:r>
    <w:r w:rsidR="00612917">
      <w:rPr>
        <w:b/>
        <w:sz w:val="19"/>
        <w:szCs w:val="19"/>
      </w:rPr>
      <w:fldChar w:fldCharType="begin"/>
    </w:r>
    <w:r w:rsidR="00612917">
      <w:rPr>
        <w:b/>
        <w:sz w:val="19"/>
        <w:szCs w:val="19"/>
      </w:rPr>
      <w:instrText xml:space="preserve"> REF \* charformat DocNo  \* MERGEFORMAT </w:instrText>
    </w:r>
    <w:r w:rsidR="00612917">
      <w:rPr>
        <w:b/>
        <w:sz w:val="19"/>
        <w:szCs w:val="19"/>
      </w:rPr>
      <w:fldChar w:fldCharType="separate"/>
    </w:r>
    <w:r w:rsidR="00A551D5" w:rsidRPr="00A551D5">
      <w:rPr>
        <w:b/>
        <w:sz w:val="19"/>
        <w:szCs w:val="19"/>
      </w:rPr>
      <w:t>1057</w:t>
    </w:r>
    <w:r w:rsidR="00612917">
      <w:rPr>
        <w:b/>
        <w:sz w:val="19"/>
        <w:szCs w:val="19"/>
      </w:rPr>
      <w:fldChar w:fldCharType="end"/>
    </w:r>
    <w:r w:rsidRPr="00537D6D">
      <w:rPr>
        <w:b/>
        <w:sz w:val="19"/>
        <w:szCs w:val="19"/>
      </w:rPr>
      <w:tab/>
    </w:r>
    <w:r w:rsidRPr="00537D6D">
      <w:rPr>
        <w:sz w:val="19"/>
        <w:szCs w:val="19"/>
      </w:rPr>
      <w:fldChar w:fldCharType="begin"/>
    </w:r>
    <w:r w:rsidRPr="00537D6D">
      <w:rPr>
        <w:sz w:val="19"/>
        <w:szCs w:val="19"/>
      </w:rPr>
      <w:instrText>PAGE</w:instrText>
    </w:r>
    <w:r w:rsidRPr="00537D6D">
      <w:rPr>
        <w:sz w:val="19"/>
        <w:szCs w:val="19"/>
      </w:rPr>
      <w:fldChar w:fldCharType="separate"/>
    </w:r>
    <w:r w:rsidR="00A551D5">
      <w:rPr>
        <w:noProof/>
        <w:sz w:val="19"/>
        <w:szCs w:val="19"/>
      </w:rPr>
      <w:t>4</w:t>
    </w:r>
    <w:r w:rsidRPr="00537D6D">
      <w:rPr>
        <w:sz w:val="19"/>
        <w:szCs w:val="19"/>
      </w:rPr>
      <w:fldChar w:fldCharType="end"/>
    </w:r>
    <w:r w:rsidRPr="00537D6D">
      <w:rPr>
        <w:sz w:val="19"/>
        <w:szCs w:val="19"/>
      </w:rPr>
      <w:tab/>
    </w:r>
    <w:r w:rsidRPr="00537D6D">
      <w:rPr>
        <w:b/>
        <w:bCs/>
        <w:sz w:val="19"/>
        <w:szCs w:val="19"/>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8" w:rsidRPr="00537D6D" w:rsidRDefault="00EB63D8" w:rsidP="005D632B">
    <w:pPr>
      <w:pStyle w:val="Footer"/>
      <w:tabs>
        <w:tab w:val="clear" w:pos="3119"/>
        <w:tab w:val="clear" w:pos="6237"/>
        <w:tab w:val="center" w:pos="4536"/>
        <w:tab w:val="right" w:pos="9072"/>
      </w:tabs>
      <w:rPr>
        <w:b/>
        <w:sz w:val="19"/>
        <w:szCs w:val="19"/>
      </w:rPr>
    </w:pPr>
    <w:r w:rsidRPr="00537D6D">
      <w:rPr>
        <w:b/>
        <w:sz w:val="19"/>
        <w:szCs w:val="19"/>
      </w:rPr>
      <w:t xml:space="preserve">AASB </w:t>
    </w:r>
    <w:r w:rsidR="00612917">
      <w:rPr>
        <w:b/>
        <w:sz w:val="19"/>
        <w:szCs w:val="19"/>
      </w:rPr>
      <w:fldChar w:fldCharType="begin"/>
    </w:r>
    <w:r w:rsidR="00612917">
      <w:rPr>
        <w:b/>
        <w:sz w:val="19"/>
        <w:szCs w:val="19"/>
      </w:rPr>
      <w:instrText xml:space="preserve"> REF \* charformat DocNo  \* MERGEFORMAT </w:instrText>
    </w:r>
    <w:r w:rsidR="00612917">
      <w:rPr>
        <w:b/>
        <w:sz w:val="19"/>
        <w:szCs w:val="19"/>
      </w:rPr>
      <w:fldChar w:fldCharType="separate"/>
    </w:r>
    <w:r w:rsidR="00A551D5" w:rsidRPr="00A551D5">
      <w:rPr>
        <w:b/>
        <w:sz w:val="19"/>
        <w:szCs w:val="19"/>
      </w:rPr>
      <w:t>1057</w:t>
    </w:r>
    <w:r w:rsidR="00612917">
      <w:rPr>
        <w:b/>
        <w:sz w:val="19"/>
        <w:szCs w:val="19"/>
      </w:rPr>
      <w:fldChar w:fldCharType="end"/>
    </w:r>
    <w:r w:rsidRPr="00537D6D">
      <w:rPr>
        <w:b/>
        <w:sz w:val="19"/>
        <w:szCs w:val="19"/>
      </w:rPr>
      <w:tab/>
    </w:r>
    <w:r w:rsidRPr="00537D6D">
      <w:rPr>
        <w:sz w:val="19"/>
        <w:szCs w:val="19"/>
      </w:rPr>
      <w:fldChar w:fldCharType="begin"/>
    </w:r>
    <w:r w:rsidRPr="00537D6D">
      <w:rPr>
        <w:sz w:val="19"/>
        <w:szCs w:val="19"/>
      </w:rPr>
      <w:instrText>PAGE</w:instrText>
    </w:r>
    <w:r w:rsidRPr="00537D6D">
      <w:rPr>
        <w:sz w:val="19"/>
        <w:szCs w:val="19"/>
      </w:rPr>
      <w:fldChar w:fldCharType="separate"/>
    </w:r>
    <w:r w:rsidR="00A551D5">
      <w:rPr>
        <w:noProof/>
        <w:sz w:val="19"/>
        <w:szCs w:val="19"/>
      </w:rPr>
      <w:t>8</w:t>
    </w:r>
    <w:r w:rsidRPr="00537D6D">
      <w:rPr>
        <w:sz w:val="19"/>
        <w:szCs w:val="19"/>
      </w:rPr>
      <w:fldChar w:fldCharType="end"/>
    </w:r>
    <w:r w:rsidRPr="00537D6D">
      <w:rPr>
        <w:sz w:val="19"/>
        <w:szCs w:val="19"/>
      </w:rPr>
      <w:tab/>
    </w:r>
    <w:r w:rsidRPr="00537D6D">
      <w:rPr>
        <w:b/>
        <w:bCs/>
        <w:sz w:val="19"/>
        <w:szCs w:val="19"/>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8" w:rsidRPr="00537D6D" w:rsidRDefault="00EB63D8" w:rsidP="005D632B">
    <w:pPr>
      <w:pStyle w:val="Footer"/>
      <w:tabs>
        <w:tab w:val="clear" w:pos="3119"/>
        <w:tab w:val="clear" w:pos="6237"/>
        <w:tab w:val="center" w:pos="4536"/>
        <w:tab w:val="right" w:pos="9072"/>
      </w:tabs>
      <w:rPr>
        <w:b/>
        <w:sz w:val="19"/>
        <w:szCs w:val="19"/>
      </w:rPr>
    </w:pPr>
    <w:r w:rsidRPr="00537D6D">
      <w:rPr>
        <w:b/>
        <w:sz w:val="19"/>
        <w:szCs w:val="19"/>
      </w:rPr>
      <w:t xml:space="preserve">AASB </w:t>
    </w:r>
    <w:r w:rsidR="00612917">
      <w:rPr>
        <w:b/>
        <w:sz w:val="19"/>
        <w:szCs w:val="19"/>
      </w:rPr>
      <w:fldChar w:fldCharType="begin"/>
    </w:r>
    <w:r w:rsidR="00612917">
      <w:rPr>
        <w:b/>
        <w:sz w:val="19"/>
        <w:szCs w:val="19"/>
      </w:rPr>
      <w:instrText xml:space="preserve"> REF \* charformat DocNo  \* MERGEFORMAT </w:instrText>
    </w:r>
    <w:r w:rsidR="00612917">
      <w:rPr>
        <w:b/>
        <w:sz w:val="19"/>
        <w:szCs w:val="19"/>
      </w:rPr>
      <w:fldChar w:fldCharType="separate"/>
    </w:r>
    <w:r w:rsidR="00A551D5" w:rsidRPr="00A551D5">
      <w:rPr>
        <w:b/>
        <w:sz w:val="19"/>
        <w:szCs w:val="19"/>
      </w:rPr>
      <w:t>1057</w:t>
    </w:r>
    <w:r w:rsidR="00612917">
      <w:rPr>
        <w:b/>
        <w:sz w:val="19"/>
        <w:szCs w:val="19"/>
      </w:rPr>
      <w:fldChar w:fldCharType="end"/>
    </w:r>
    <w:r w:rsidRPr="00537D6D">
      <w:rPr>
        <w:b/>
        <w:sz w:val="19"/>
        <w:szCs w:val="19"/>
      </w:rPr>
      <w:tab/>
    </w:r>
    <w:r w:rsidRPr="00537D6D">
      <w:rPr>
        <w:sz w:val="19"/>
        <w:szCs w:val="19"/>
      </w:rPr>
      <w:fldChar w:fldCharType="begin"/>
    </w:r>
    <w:r w:rsidRPr="00537D6D">
      <w:rPr>
        <w:sz w:val="19"/>
        <w:szCs w:val="19"/>
      </w:rPr>
      <w:instrText>PAGE</w:instrText>
    </w:r>
    <w:r w:rsidRPr="00537D6D">
      <w:rPr>
        <w:sz w:val="19"/>
        <w:szCs w:val="19"/>
      </w:rPr>
      <w:fldChar w:fldCharType="separate"/>
    </w:r>
    <w:r w:rsidR="00A551D5">
      <w:rPr>
        <w:noProof/>
        <w:sz w:val="19"/>
        <w:szCs w:val="19"/>
      </w:rPr>
      <w:t>9</w:t>
    </w:r>
    <w:r w:rsidRPr="00537D6D">
      <w:rPr>
        <w:sz w:val="19"/>
        <w:szCs w:val="19"/>
      </w:rPr>
      <w:fldChar w:fldCharType="end"/>
    </w:r>
    <w:r w:rsidRPr="00537D6D">
      <w:rPr>
        <w:sz w:val="19"/>
        <w:szCs w:val="19"/>
      </w:rPr>
      <w:tab/>
    </w:r>
    <w:r w:rsidRPr="00537D6D">
      <w:rPr>
        <w:b/>
        <w:bCs/>
        <w:sz w:val="19"/>
        <w:szCs w:val="19"/>
      </w:rPr>
      <w:t xml:space="preserve">APPENDIX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8" w:rsidRPr="00537D6D" w:rsidRDefault="00EB63D8" w:rsidP="005D632B">
    <w:pPr>
      <w:pStyle w:val="Footer"/>
      <w:tabs>
        <w:tab w:val="clear" w:pos="3119"/>
        <w:tab w:val="clear" w:pos="6237"/>
        <w:tab w:val="center" w:pos="4536"/>
        <w:tab w:val="right" w:pos="9072"/>
      </w:tabs>
      <w:rPr>
        <w:b/>
        <w:sz w:val="19"/>
        <w:szCs w:val="19"/>
      </w:rPr>
    </w:pPr>
    <w:r w:rsidRPr="00537D6D">
      <w:rPr>
        <w:b/>
        <w:sz w:val="19"/>
        <w:szCs w:val="19"/>
      </w:rPr>
      <w:t xml:space="preserve">AASB </w:t>
    </w:r>
    <w:r w:rsidR="00612917">
      <w:rPr>
        <w:b/>
        <w:sz w:val="19"/>
        <w:szCs w:val="19"/>
      </w:rPr>
      <w:fldChar w:fldCharType="begin"/>
    </w:r>
    <w:r w:rsidR="00612917">
      <w:rPr>
        <w:b/>
        <w:sz w:val="19"/>
        <w:szCs w:val="19"/>
      </w:rPr>
      <w:instrText xml:space="preserve"> REF \* charformat DocNo  \* MERGEFORMAT </w:instrText>
    </w:r>
    <w:r w:rsidR="00612917">
      <w:rPr>
        <w:b/>
        <w:sz w:val="19"/>
        <w:szCs w:val="19"/>
      </w:rPr>
      <w:fldChar w:fldCharType="separate"/>
    </w:r>
    <w:r w:rsidR="00A551D5" w:rsidRPr="00A551D5">
      <w:rPr>
        <w:b/>
        <w:sz w:val="19"/>
        <w:szCs w:val="19"/>
      </w:rPr>
      <w:t>1057</w:t>
    </w:r>
    <w:r w:rsidR="00612917">
      <w:rPr>
        <w:b/>
        <w:sz w:val="19"/>
        <w:szCs w:val="19"/>
      </w:rPr>
      <w:fldChar w:fldCharType="end"/>
    </w:r>
    <w:r w:rsidRPr="00537D6D">
      <w:rPr>
        <w:b/>
        <w:sz w:val="19"/>
        <w:szCs w:val="19"/>
      </w:rPr>
      <w:tab/>
    </w:r>
    <w:r w:rsidRPr="00537D6D">
      <w:rPr>
        <w:sz w:val="19"/>
        <w:szCs w:val="19"/>
      </w:rPr>
      <w:fldChar w:fldCharType="begin"/>
    </w:r>
    <w:r w:rsidRPr="00537D6D">
      <w:rPr>
        <w:sz w:val="19"/>
        <w:szCs w:val="19"/>
      </w:rPr>
      <w:instrText>PAGE</w:instrText>
    </w:r>
    <w:r w:rsidRPr="00537D6D">
      <w:rPr>
        <w:sz w:val="19"/>
        <w:szCs w:val="19"/>
      </w:rPr>
      <w:fldChar w:fldCharType="separate"/>
    </w:r>
    <w:r w:rsidR="00A551D5">
      <w:rPr>
        <w:noProof/>
        <w:sz w:val="19"/>
        <w:szCs w:val="19"/>
      </w:rPr>
      <w:t>10</w:t>
    </w:r>
    <w:r w:rsidRPr="00537D6D">
      <w:rPr>
        <w:sz w:val="19"/>
        <w:szCs w:val="19"/>
      </w:rPr>
      <w:fldChar w:fldCharType="end"/>
    </w:r>
    <w:r w:rsidRPr="00537D6D">
      <w:rPr>
        <w:sz w:val="19"/>
        <w:szCs w:val="19"/>
      </w:rPr>
      <w:tab/>
    </w:r>
    <w:r w:rsidR="003C137A" w:rsidRPr="00537D6D">
      <w:rPr>
        <w:b/>
        <w:bCs/>
        <w:sz w:val="19"/>
        <w:szCs w:val="19"/>
      </w:rPr>
      <w:t>BASIS FOR CONCLUSIONS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8" w:rsidRDefault="00EB6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073" w:rsidRDefault="001F3073">
      <w:r>
        <w:separator/>
      </w:r>
    </w:p>
  </w:footnote>
  <w:footnote w:type="continuationSeparator" w:id="0">
    <w:p w:rsidR="001F3073" w:rsidRDefault="001F3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1D5" w:rsidRDefault="00A551D5">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2"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D8" w:rsidRDefault="00EB6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E4" w:rsidRPr="000625BC" w:rsidRDefault="00E533E4" w:rsidP="000625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7A" w:rsidRDefault="003C1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714A75C"/>
    <w:lvl w:ilvl="0">
      <w:start w:val="1"/>
      <w:numFmt w:val="decimal"/>
      <w:lvlText w:val="%1."/>
      <w:lvlJc w:val="left"/>
      <w:pPr>
        <w:tabs>
          <w:tab w:val="num" w:pos="926"/>
        </w:tabs>
        <w:ind w:left="926" w:hanging="360"/>
      </w:pPr>
    </w:lvl>
  </w:abstractNum>
  <w:abstractNum w:abstractNumId="1">
    <w:nsid w:val="13E035C2"/>
    <w:multiLevelType w:val="multilevel"/>
    <w:tmpl w:val="23223254"/>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2">
    <w:nsid w:val="211B3D0F"/>
    <w:multiLevelType w:val="multilevel"/>
    <w:tmpl w:val="8084D1EC"/>
    <w:lvl w:ilvl="0">
      <w:start w:val="1"/>
      <w:numFmt w:val="lowerLetter"/>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A91AD6"/>
    <w:multiLevelType w:val="multilevel"/>
    <w:tmpl w:val="3E2EB5CC"/>
    <w:lvl w:ilvl="0">
      <w:start w:val="1"/>
      <w:numFmt w:val="none"/>
      <w:pStyle w:val="AusPlain1"/>
      <w:suff w:val="nothing"/>
      <w:lvlText w:val=""/>
      <w:lvlJc w:val="left"/>
      <w:pPr>
        <w:ind w:left="1022" w:hanging="1022"/>
      </w:pPr>
      <w:rPr>
        <w:rFonts w:hint="default"/>
      </w:rPr>
    </w:lvl>
    <w:lvl w:ilvl="1">
      <w:start w:val="1"/>
      <w:numFmt w:val="lowerLetter"/>
      <w:pStyle w:val="AusPlain2"/>
      <w:lvlText w:val="(%2)"/>
      <w:lvlJc w:val="left"/>
      <w:pPr>
        <w:tabs>
          <w:tab w:val="num" w:pos="1526"/>
        </w:tabs>
        <w:ind w:left="1526" w:hanging="504"/>
      </w:pPr>
      <w:rPr>
        <w:rFonts w:hint="default"/>
      </w:rPr>
    </w:lvl>
    <w:lvl w:ilvl="2">
      <w:start w:val="1"/>
      <w:numFmt w:val="lowerRoman"/>
      <w:pStyle w:val="AusPlain3"/>
      <w:lvlText w:val="(%3)"/>
      <w:lvlJc w:val="left"/>
      <w:pPr>
        <w:tabs>
          <w:tab w:val="num" w:pos="2045"/>
        </w:tabs>
        <w:ind w:left="2045" w:hanging="519"/>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abstractNum w:abstractNumId="4">
    <w:nsid w:val="24E64954"/>
    <w:multiLevelType w:val="multilevel"/>
    <w:tmpl w:val="AC6E7A16"/>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542243"/>
    <w:multiLevelType w:val="multilevel"/>
    <w:tmpl w:val="CC5A4C42"/>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EF6C54"/>
    <w:multiLevelType w:val="multilevel"/>
    <w:tmpl w:val="47CCE600"/>
    <w:lvl w:ilvl="0">
      <w:start w:val="1"/>
      <w:numFmt w:val="none"/>
      <w:suff w:val="nothing"/>
      <w:lvlText w:val=""/>
      <w:lvlJc w:val="left"/>
      <w:pPr>
        <w:ind w:left="1022" w:hanging="1022"/>
      </w:pPr>
      <w:rPr>
        <w:rFonts w:hint="default"/>
      </w:rPr>
    </w:lvl>
    <w:lvl w:ilvl="1">
      <w:start w:val="1"/>
      <w:numFmt w:val="lowerLetter"/>
      <w:lvlText w:val="(%2)"/>
      <w:lvlJc w:val="left"/>
      <w:pPr>
        <w:tabs>
          <w:tab w:val="num" w:pos="1526"/>
        </w:tabs>
        <w:ind w:left="1526" w:hanging="504"/>
      </w:pPr>
      <w:rPr>
        <w:rFonts w:hint="default"/>
      </w:rPr>
    </w:lvl>
    <w:lvl w:ilvl="2">
      <w:start w:val="1"/>
      <w:numFmt w:val="lowerRoman"/>
      <w:lvlText w:val="(%3)"/>
      <w:lvlJc w:val="left"/>
      <w:pPr>
        <w:tabs>
          <w:tab w:val="num" w:pos="2045"/>
        </w:tabs>
        <w:ind w:left="2045" w:hanging="519"/>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num w:numId="1">
    <w:abstractNumId w:val="7"/>
  </w:num>
  <w:num w:numId="2">
    <w:abstractNumId w:val="10"/>
  </w:num>
  <w:num w:numId="3">
    <w:abstractNumId w:val="8"/>
  </w:num>
  <w:num w:numId="4">
    <w:abstractNumId w:val="6"/>
  </w:num>
  <w:num w:numId="5">
    <w:abstractNumId w:val="11"/>
  </w:num>
  <w:num w:numId="6">
    <w:abstractNumId w:val="5"/>
  </w:num>
  <w:num w:numId="7">
    <w:abstractNumId w:val="9"/>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2"/>
  </w:num>
  <w:num w:numId="13">
    <w:abstractNumId w:val="9"/>
  </w:num>
  <w:num w:numId="14">
    <w:abstractNumId w:val="9"/>
  </w:num>
  <w:num w:numId="15">
    <w:abstractNumId w:val="9"/>
  </w:num>
  <w:num w:numId="16">
    <w:abstractNumId w:val="9"/>
  </w:num>
  <w:num w:numId="17">
    <w:abstractNumId w:val="4"/>
  </w:num>
  <w:num w:numId="18">
    <w:abstractNumId w:val="9"/>
  </w:num>
  <w:num w:numId="19">
    <w:abstractNumId w:val="0"/>
  </w:num>
  <w:num w:numId="20">
    <w:abstractNumId w:val="1"/>
  </w:num>
  <w:num w:numId="2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NZ"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8673">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73"/>
    <w:rsid w:val="00001593"/>
    <w:rsid w:val="0001629D"/>
    <w:rsid w:val="00027853"/>
    <w:rsid w:val="00030E92"/>
    <w:rsid w:val="00040F9B"/>
    <w:rsid w:val="00043248"/>
    <w:rsid w:val="00044C5E"/>
    <w:rsid w:val="00061782"/>
    <w:rsid w:val="000625BC"/>
    <w:rsid w:val="000730FC"/>
    <w:rsid w:val="00081F5D"/>
    <w:rsid w:val="00086B81"/>
    <w:rsid w:val="00090A6F"/>
    <w:rsid w:val="00095162"/>
    <w:rsid w:val="00096F13"/>
    <w:rsid w:val="000C39E5"/>
    <w:rsid w:val="000D5C47"/>
    <w:rsid w:val="000E6FB7"/>
    <w:rsid w:val="001078BD"/>
    <w:rsid w:val="00112667"/>
    <w:rsid w:val="00115847"/>
    <w:rsid w:val="001177F8"/>
    <w:rsid w:val="001276B8"/>
    <w:rsid w:val="00134E73"/>
    <w:rsid w:val="00140202"/>
    <w:rsid w:val="00150750"/>
    <w:rsid w:val="00175B08"/>
    <w:rsid w:val="001771F9"/>
    <w:rsid w:val="001813B5"/>
    <w:rsid w:val="00186FC0"/>
    <w:rsid w:val="001962FA"/>
    <w:rsid w:val="001A04C3"/>
    <w:rsid w:val="001C5822"/>
    <w:rsid w:val="001C6252"/>
    <w:rsid w:val="001E2D09"/>
    <w:rsid w:val="001F3073"/>
    <w:rsid w:val="001F5DE2"/>
    <w:rsid w:val="002254D5"/>
    <w:rsid w:val="00231039"/>
    <w:rsid w:val="00243362"/>
    <w:rsid w:val="00243EC8"/>
    <w:rsid w:val="002564BC"/>
    <w:rsid w:val="00261796"/>
    <w:rsid w:val="002663F0"/>
    <w:rsid w:val="00267D74"/>
    <w:rsid w:val="00272179"/>
    <w:rsid w:val="00272AE5"/>
    <w:rsid w:val="0029448E"/>
    <w:rsid w:val="002B229A"/>
    <w:rsid w:val="002B5811"/>
    <w:rsid w:val="002B7432"/>
    <w:rsid w:val="002C27AB"/>
    <w:rsid w:val="002D04F4"/>
    <w:rsid w:val="00302427"/>
    <w:rsid w:val="00322633"/>
    <w:rsid w:val="00324F0F"/>
    <w:rsid w:val="003334A7"/>
    <w:rsid w:val="00350CED"/>
    <w:rsid w:val="003744DF"/>
    <w:rsid w:val="0037777F"/>
    <w:rsid w:val="0039144A"/>
    <w:rsid w:val="003936CF"/>
    <w:rsid w:val="003A0130"/>
    <w:rsid w:val="003B44FF"/>
    <w:rsid w:val="003C137A"/>
    <w:rsid w:val="003C4A17"/>
    <w:rsid w:val="003C77F5"/>
    <w:rsid w:val="003D4591"/>
    <w:rsid w:val="003F089D"/>
    <w:rsid w:val="003F7395"/>
    <w:rsid w:val="00401B5F"/>
    <w:rsid w:val="00437F51"/>
    <w:rsid w:val="00444926"/>
    <w:rsid w:val="004510EF"/>
    <w:rsid w:val="00462F7D"/>
    <w:rsid w:val="004872A7"/>
    <w:rsid w:val="004A116B"/>
    <w:rsid w:val="004A43DA"/>
    <w:rsid w:val="004A7929"/>
    <w:rsid w:val="004C5228"/>
    <w:rsid w:val="004D2060"/>
    <w:rsid w:val="004E6394"/>
    <w:rsid w:val="004E74A8"/>
    <w:rsid w:val="004F6E42"/>
    <w:rsid w:val="00501543"/>
    <w:rsid w:val="00511236"/>
    <w:rsid w:val="00511DAA"/>
    <w:rsid w:val="00520E2B"/>
    <w:rsid w:val="005333A0"/>
    <w:rsid w:val="00537D6D"/>
    <w:rsid w:val="00541866"/>
    <w:rsid w:val="0054195E"/>
    <w:rsid w:val="00547D85"/>
    <w:rsid w:val="00561688"/>
    <w:rsid w:val="00580D5F"/>
    <w:rsid w:val="0058360F"/>
    <w:rsid w:val="00591C47"/>
    <w:rsid w:val="00592FEB"/>
    <w:rsid w:val="00594071"/>
    <w:rsid w:val="005A01A2"/>
    <w:rsid w:val="005D492B"/>
    <w:rsid w:val="005D632B"/>
    <w:rsid w:val="005F28CF"/>
    <w:rsid w:val="00612917"/>
    <w:rsid w:val="0061599A"/>
    <w:rsid w:val="00622089"/>
    <w:rsid w:val="00625873"/>
    <w:rsid w:val="00634326"/>
    <w:rsid w:val="00664DF3"/>
    <w:rsid w:val="00667C93"/>
    <w:rsid w:val="0067132D"/>
    <w:rsid w:val="00672C61"/>
    <w:rsid w:val="00672D5D"/>
    <w:rsid w:val="006949F5"/>
    <w:rsid w:val="00696FF7"/>
    <w:rsid w:val="006A1358"/>
    <w:rsid w:val="006B0E92"/>
    <w:rsid w:val="006E369B"/>
    <w:rsid w:val="006E5B75"/>
    <w:rsid w:val="00700CD1"/>
    <w:rsid w:val="00702353"/>
    <w:rsid w:val="007135F2"/>
    <w:rsid w:val="0073741E"/>
    <w:rsid w:val="00751F70"/>
    <w:rsid w:val="00752C9E"/>
    <w:rsid w:val="00761E04"/>
    <w:rsid w:val="00767225"/>
    <w:rsid w:val="0077251B"/>
    <w:rsid w:val="00774B5E"/>
    <w:rsid w:val="00776382"/>
    <w:rsid w:val="0077669C"/>
    <w:rsid w:val="00780CDC"/>
    <w:rsid w:val="0078218E"/>
    <w:rsid w:val="00786069"/>
    <w:rsid w:val="007866FA"/>
    <w:rsid w:val="00786C08"/>
    <w:rsid w:val="00791B49"/>
    <w:rsid w:val="007978DC"/>
    <w:rsid w:val="007A107A"/>
    <w:rsid w:val="007A1626"/>
    <w:rsid w:val="007A57F3"/>
    <w:rsid w:val="007B2B7E"/>
    <w:rsid w:val="007B6135"/>
    <w:rsid w:val="007E20D2"/>
    <w:rsid w:val="007F67DE"/>
    <w:rsid w:val="008052F2"/>
    <w:rsid w:val="0082094A"/>
    <w:rsid w:val="00824902"/>
    <w:rsid w:val="00824A72"/>
    <w:rsid w:val="00827021"/>
    <w:rsid w:val="00836800"/>
    <w:rsid w:val="00850EEF"/>
    <w:rsid w:val="00853413"/>
    <w:rsid w:val="00864988"/>
    <w:rsid w:val="008726A0"/>
    <w:rsid w:val="00874D90"/>
    <w:rsid w:val="00881AC3"/>
    <w:rsid w:val="008839BD"/>
    <w:rsid w:val="008912E7"/>
    <w:rsid w:val="00896EDF"/>
    <w:rsid w:val="008A35B1"/>
    <w:rsid w:val="008B158A"/>
    <w:rsid w:val="008B23F7"/>
    <w:rsid w:val="008D2D78"/>
    <w:rsid w:val="008F60DD"/>
    <w:rsid w:val="009020A0"/>
    <w:rsid w:val="009033ED"/>
    <w:rsid w:val="009037DF"/>
    <w:rsid w:val="00903EE1"/>
    <w:rsid w:val="00913611"/>
    <w:rsid w:val="00913EA2"/>
    <w:rsid w:val="00921099"/>
    <w:rsid w:val="00923FFE"/>
    <w:rsid w:val="009246C2"/>
    <w:rsid w:val="00931D0C"/>
    <w:rsid w:val="00950AD5"/>
    <w:rsid w:val="009541C2"/>
    <w:rsid w:val="009576DD"/>
    <w:rsid w:val="0098147F"/>
    <w:rsid w:val="00983299"/>
    <w:rsid w:val="00986997"/>
    <w:rsid w:val="009872DB"/>
    <w:rsid w:val="009A0EDF"/>
    <w:rsid w:val="009A156E"/>
    <w:rsid w:val="009D1EA0"/>
    <w:rsid w:val="00A00434"/>
    <w:rsid w:val="00A04937"/>
    <w:rsid w:val="00A05EF5"/>
    <w:rsid w:val="00A15BB7"/>
    <w:rsid w:val="00A17D4D"/>
    <w:rsid w:val="00A23920"/>
    <w:rsid w:val="00A312BB"/>
    <w:rsid w:val="00A3760C"/>
    <w:rsid w:val="00A551D5"/>
    <w:rsid w:val="00A80929"/>
    <w:rsid w:val="00A8582C"/>
    <w:rsid w:val="00A87F76"/>
    <w:rsid w:val="00A973C7"/>
    <w:rsid w:val="00AA2735"/>
    <w:rsid w:val="00AB0555"/>
    <w:rsid w:val="00AB0C1C"/>
    <w:rsid w:val="00AB30F0"/>
    <w:rsid w:val="00AB3211"/>
    <w:rsid w:val="00AC2C6B"/>
    <w:rsid w:val="00AC6B13"/>
    <w:rsid w:val="00AD7314"/>
    <w:rsid w:val="00AE0D92"/>
    <w:rsid w:val="00AE745E"/>
    <w:rsid w:val="00AE7FB1"/>
    <w:rsid w:val="00B0352E"/>
    <w:rsid w:val="00B05459"/>
    <w:rsid w:val="00B05F03"/>
    <w:rsid w:val="00B06DD9"/>
    <w:rsid w:val="00B43E50"/>
    <w:rsid w:val="00B67E49"/>
    <w:rsid w:val="00B71817"/>
    <w:rsid w:val="00B73EA2"/>
    <w:rsid w:val="00B82B5D"/>
    <w:rsid w:val="00B86550"/>
    <w:rsid w:val="00B92FFC"/>
    <w:rsid w:val="00BA20C3"/>
    <w:rsid w:val="00BB4A92"/>
    <w:rsid w:val="00BD58A8"/>
    <w:rsid w:val="00BE10C2"/>
    <w:rsid w:val="00BE2972"/>
    <w:rsid w:val="00BE2F68"/>
    <w:rsid w:val="00BF30C9"/>
    <w:rsid w:val="00C014D7"/>
    <w:rsid w:val="00C2256D"/>
    <w:rsid w:val="00C24BB6"/>
    <w:rsid w:val="00C30C58"/>
    <w:rsid w:val="00C43457"/>
    <w:rsid w:val="00C47DA0"/>
    <w:rsid w:val="00C57B6A"/>
    <w:rsid w:val="00C62061"/>
    <w:rsid w:val="00C66E1B"/>
    <w:rsid w:val="00C945A4"/>
    <w:rsid w:val="00CA5298"/>
    <w:rsid w:val="00CA5429"/>
    <w:rsid w:val="00CB60D9"/>
    <w:rsid w:val="00CB6ACE"/>
    <w:rsid w:val="00CC6937"/>
    <w:rsid w:val="00CD5D39"/>
    <w:rsid w:val="00CF7B43"/>
    <w:rsid w:val="00D1365A"/>
    <w:rsid w:val="00D14175"/>
    <w:rsid w:val="00D257A0"/>
    <w:rsid w:val="00D54123"/>
    <w:rsid w:val="00D56465"/>
    <w:rsid w:val="00D705A4"/>
    <w:rsid w:val="00D741DA"/>
    <w:rsid w:val="00D75EBB"/>
    <w:rsid w:val="00D87D18"/>
    <w:rsid w:val="00D97587"/>
    <w:rsid w:val="00DA48C8"/>
    <w:rsid w:val="00DD1396"/>
    <w:rsid w:val="00DD1F72"/>
    <w:rsid w:val="00DD3FD6"/>
    <w:rsid w:val="00DE246F"/>
    <w:rsid w:val="00DE4E67"/>
    <w:rsid w:val="00E11115"/>
    <w:rsid w:val="00E2109E"/>
    <w:rsid w:val="00E37829"/>
    <w:rsid w:val="00E533E4"/>
    <w:rsid w:val="00E56C2C"/>
    <w:rsid w:val="00E66B35"/>
    <w:rsid w:val="00E82617"/>
    <w:rsid w:val="00EA0775"/>
    <w:rsid w:val="00EA3319"/>
    <w:rsid w:val="00EA7A3D"/>
    <w:rsid w:val="00EB63D8"/>
    <w:rsid w:val="00EC1454"/>
    <w:rsid w:val="00EC317B"/>
    <w:rsid w:val="00EE0FE6"/>
    <w:rsid w:val="00EE4098"/>
    <w:rsid w:val="00EF385E"/>
    <w:rsid w:val="00EF4DB0"/>
    <w:rsid w:val="00F01AF8"/>
    <w:rsid w:val="00F2168A"/>
    <w:rsid w:val="00F260B3"/>
    <w:rsid w:val="00F56527"/>
    <w:rsid w:val="00F600C8"/>
    <w:rsid w:val="00F727BA"/>
    <w:rsid w:val="00F80EAE"/>
    <w:rsid w:val="00F85527"/>
    <w:rsid w:val="00F9122E"/>
    <w:rsid w:val="00FA3D8E"/>
    <w:rsid w:val="00FD6FB7"/>
    <w:rsid w:val="00FF5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020A0"/>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pPr>
      <w:tabs>
        <w:tab w:val="center" w:pos="3119"/>
        <w:tab w:val="right" w:pos="6237"/>
      </w:tabs>
    </w:pPr>
  </w:style>
  <w:style w:type="paragraph" w:styleId="Footer">
    <w:name w:val="footer"/>
    <w:basedOn w:val="Normal"/>
    <w:link w:val="FooterChar"/>
    <w:uiPriority w:val="99"/>
    <w:pPr>
      <w:tabs>
        <w:tab w:val="center" w:pos="3119"/>
        <w:tab w:val="right" w:pos="6237"/>
      </w:tabs>
    </w:pPr>
  </w:style>
  <w:style w:type="paragraph" w:customStyle="1" w:styleId="CoverStandard">
    <w:name w:val="Cover Standard"/>
    <w:basedOn w:val="Normal"/>
    <w:next w:val="Normal"/>
    <w:rsid w:val="007A1626"/>
    <w:pPr>
      <w:spacing w:line="240" w:lineRule="auto"/>
    </w:pPr>
    <w:rPr>
      <w:rFonts w:ascii="HelveticaNeueLT Std" w:hAnsi="HelveticaNeueLT Std"/>
      <w:b/>
      <w:color w:val="25408F"/>
      <w:sz w:val="24"/>
    </w:rPr>
  </w:style>
  <w:style w:type="paragraph" w:customStyle="1" w:styleId="CoverNumber">
    <w:name w:val="Cover Number"/>
    <w:basedOn w:val="Normal"/>
    <w:next w:val="Normal"/>
    <w:rsid w:val="007A1626"/>
    <w:pPr>
      <w:spacing w:line="240" w:lineRule="auto"/>
      <w:ind w:right="57"/>
      <w:jc w:val="right"/>
    </w:pPr>
    <w:rPr>
      <w:rFonts w:ascii="HelveticaNeueLT Std Blk" w:hAnsi="HelveticaNeueLT Std Blk"/>
      <w:b/>
      <w:caps/>
      <w:color w:val="25408F"/>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rsid w:val="0061599A"/>
    <w:pPr>
      <w:spacing w:line="240" w:lineRule="auto"/>
      <w:ind w:right="57"/>
      <w:jc w:val="right"/>
    </w:pPr>
    <w:rPr>
      <w:rFonts w:ascii="HelveticaNeueLT Std" w:hAnsi="HelveticaNeueLT Std"/>
      <w:color w:val="25408F"/>
    </w:rPr>
  </w:style>
  <w:style w:type="paragraph" w:customStyle="1" w:styleId="CoverTitle">
    <w:name w:val="Cover Title"/>
    <w:basedOn w:val="Normal"/>
    <w:rsid w:val="00CC6937"/>
    <w:pPr>
      <w:spacing w:line="440" w:lineRule="exact"/>
    </w:pPr>
    <w:rPr>
      <w:rFonts w:ascii="HelveticaNeueLT Std" w:hAnsi="HelveticaNeueLT Std"/>
      <w:color w:val="25408F"/>
      <w:sz w:val="38"/>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qFormat/>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uiPriority w:val="7"/>
    <w:qFormat/>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AusPlain1">
    <w:name w:val="Aus Plain1"/>
    <w:basedOn w:val="Normal"/>
    <w:rsid w:val="00D741DA"/>
    <w:pPr>
      <w:numPr>
        <w:numId w:val="10"/>
      </w:numPr>
      <w:spacing w:after="200"/>
      <w:outlineLvl w:val="0"/>
    </w:pPr>
  </w:style>
  <w:style w:type="paragraph" w:customStyle="1" w:styleId="AusBold1">
    <w:name w:val="Aus Bold1"/>
    <w:basedOn w:val="AusPlain1"/>
    <w:rsid w:val="00F56527"/>
    <w:rPr>
      <w:b/>
    </w:r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qFormat/>
    <w:rsid w:val="004A43DA"/>
    <w:pPr>
      <w:numPr>
        <w:numId w:val="7"/>
      </w:numPr>
      <w:spacing w:after="200"/>
    </w:pPr>
  </w:style>
  <w:style w:type="paragraph" w:customStyle="1" w:styleId="NumPlain2">
    <w:name w:val="Num Plain2"/>
    <w:basedOn w:val="NumPlain1"/>
    <w:qFormat/>
    <w:rsid w:val="004A43DA"/>
    <w:pPr>
      <w:numPr>
        <w:ilvl w:val="1"/>
      </w:numPr>
    </w:pPr>
  </w:style>
  <w:style w:type="paragraph" w:customStyle="1" w:styleId="NumPlain3">
    <w:name w:val="Num Plain3"/>
    <w:basedOn w:val="NumPlain2"/>
    <w:qFormat/>
    <w:rsid w:val="004A43DA"/>
    <w:pPr>
      <w:numPr>
        <w:ilvl w:val="2"/>
      </w:numPr>
    </w:pPr>
  </w:style>
  <w:style w:type="paragraph" w:customStyle="1" w:styleId="NumPlain4">
    <w:name w:val="Num Plain4"/>
    <w:basedOn w:val="NumPlain3"/>
    <w:rsid w:val="004A43DA"/>
    <w:pPr>
      <w:numPr>
        <w:ilvl w:val="3"/>
      </w:numPr>
    </w:pPr>
  </w:style>
  <w:style w:type="paragraph" w:customStyle="1" w:styleId="NumBold1">
    <w:name w:val="Num Bold1"/>
    <w:basedOn w:val="NumPlain1"/>
    <w:qFormat/>
    <w:rsid w:val="00401B5F"/>
    <w:rPr>
      <w:b/>
    </w:rPr>
  </w:style>
  <w:style w:type="paragraph" w:customStyle="1" w:styleId="NumBold2">
    <w:name w:val="Num Bold2"/>
    <w:basedOn w:val="NumPlain2"/>
    <w:rsid w:val="00401B5F"/>
    <w:rPr>
      <w:b/>
    </w:rPr>
  </w:style>
  <w:style w:type="paragraph" w:customStyle="1" w:styleId="NumBold3">
    <w:name w:val="Num Bold3"/>
    <w:basedOn w:val="NumPlain3"/>
    <w:rsid w:val="00401B5F"/>
    <w:rPr>
      <w:b/>
    </w:rPr>
  </w:style>
  <w:style w:type="paragraph" w:customStyle="1" w:styleId="NumBold4">
    <w:name w:val="Num Bold4"/>
    <w:basedOn w:val="NumPlain4"/>
    <w:rsid w:val="00401B5F"/>
    <w:rPr>
      <w:b/>
    </w:rPr>
  </w:style>
  <w:style w:type="paragraph" w:customStyle="1" w:styleId="Bullet1">
    <w:name w:val="Bullet1"/>
    <w:basedOn w:val="Normal"/>
    <w:qFormat/>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4"/>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BCHanging0">
    <w:name w:val="BC Hanging0"/>
    <w:basedOn w:val="NoNumPlain1"/>
    <w:qFormat/>
    <w:rsid w:val="00B71817"/>
    <w:pPr>
      <w:ind w:left="624" w:hanging="624"/>
    </w:pPr>
  </w:style>
  <w:style w:type="paragraph" w:customStyle="1" w:styleId="NoNumBC2">
    <w:name w:val="NoNum BC2"/>
    <w:basedOn w:val="NoNumPlain1"/>
    <w:rsid w:val="00B71817"/>
    <w:pPr>
      <w:ind w:left="624"/>
    </w:pPr>
  </w:style>
  <w:style w:type="paragraph" w:customStyle="1" w:styleId="BCHanging1">
    <w:name w:val="BC Hanging1"/>
    <w:basedOn w:val="NoNumBC2"/>
    <w:rsid w:val="00B71817"/>
    <w:pPr>
      <w:ind w:left="1248" w:hanging="624"/>
    </w:pPr>
  </w:style>
  <w:style w:type="paragraph" w:customStyle="1" w:styleId="BCHanging2">
    <w:name w:val="BC Hanging2"/>
    <w:basedOn w:val="BCHanging1"/>
    <w:rsid w:val="00B71817"/>
    <w:pPr>
      <w:ind w:left="1871"/>
    </w:pPr>
  </w:style>
  <w:style w:type="paragraph" w:customStyle="1" w:styleId="ContentsLevel1NoIndent">
    <w:name w:val="Contents Level1 NoIndent"/>
    <w:basedOn w:val="ContentsLevel1"/>
    <w:pPr>
      <w:ind w:left="0" w:firstLine="0"/>
    </w:pPr>
  </w:style>
  <w:style w:type="paragraph" w:customStyle="1" w:styleId="PlainHanging1">
    <w:name w:val="Plain Hanging1"/>
    <w:basedOn w:val="NoNumPlain2"/>
    <w:rsid w:val="00462F7D"/>
    <w:pPr>
      <w:ind w:left="1020" w:hanging="510"/>
    </w:pPr>
  </w:style>
  <w:style w:type="paragraph" w:customStyle="1" w:styleId="PlainHanging2">
    <w:name w:val="Plain Hanging2"/>
    <w:basedOn w:val="PlainHanging1"/>
    <w:rsid w:val="00462F7D"/>
    <w:pPr>
      <w:ind w:left="1531"/>
    </w:pPr>
  </w:style>
  <w:style w:type="paragraph" w:customStyle="1" w:styleId="PlainHanging3">
    <w:name w:val="Plain Hanging3"/>
    <w:basedOn w:val="PlainHanging1"/>
    <w:rsid w:val="00462F7D"/>
    <w:pPr>
      <w:ind w:left="2041"/>
    </w:pPr>
  </w:style>
  <w:style w:type="paragraph" w:customStyle="1" w:styleId="PlainHanging4">
    <w:name w:val="Plain Hanging4"/>
    <w:basedOn w:val="PlainHanging1"/>
    <w:rsid w:val="00462F7D"/>
    <w:pPr>
      <w:ind w:left="2551"/>
    </w:pPr>
  </w:style>
  <w:style w:type="paragraph" w:customStyle="1" w:styleId="BoldHanging1">
    <w:name w:val="Bold Hanging1"/>
    <w:basedOn w:val="PlainHanging1"/>
    <w:rsid w:val="00462F7D"/>
    <w:rPr>
      <w:b/>
    </w:rPr>
  </w:style>
  <w:style w:type="paragraph" w:customStyle="1" w:styleId="BoldHanging2">
    <w:name w:val="Bold Hanging2"/>
    <w:basedOn w:val="PlainHanging2"/>
    <w:rsid w:val="00462F7D"/>
    <w:rPr>
      <w:b/>
    </w:rPr>
  </w:style>
  <w:style w:type="paragraph" w:customStyle="1" w:styleId="BoldHanging3">
    <w:name w:val="Bold Hanging3"/>
    <w:basedOn w:val="PlainHanging3"/>
    <w:rsid w:val="00462F7D"/>
    <w:rPr>
      <w:b/>
    </w:rPr>
  </w:style>
  <w:style w:type="paragraph" w:customStyle="1" w:styleId="BoldHanging4">
    <w:name w:val="Bold Hanging4"/>
    <w:basedOn w:val="PlainHanging4"/>
    <w:rsid w:val="00462F7D"/>
    <w:rPr>
      <w:b/>
    </w:rPr>
  </w:style>
  <w:style w:type="paragraph" w:customStyle="1" w:styleId="NumberedList">
    <w:name w:val="NumberedList"/>
    <w:basedOn w:val="Normal"/>
    <w:qFormat/>
    <w:rsid w:val="00462F7D"/>
    <w:pPr>
      <w:numPr>
        <w:numId w:val="5"/>
      </w:numPr>
      <w:spacing w:after="200"/>
    </w:pPr>
  </w:style>
  <w:style w:type="paragraph" w:customStyle="1" w:styleId="NumPlainA">
    <w:name w:val="Num PlainA"/>
    <w:basedOn w:val="Normal"/>
    <w:qFormat/>
    <w:rsid w:val="00462F7D"/>
    <w:pPr>
      <w:numPr>
        <w:numId w:val="6"/>
      </w:numPr>
      <w:spacing w:after="200"/>
      <w:outlineLvl w:val="0"/>
    </w:pPr>
  </w:style>
  <w:style w:type="paragraph" w:customStyle="1" w:styleId="NumPlainA2">
    <w:name w:val="Num PlainA2"/>
    <w:basedOn w:val="NumPlainA"/>
    <w:rsid w:val="00462F7D"/>
    <w:pPr>
      <w:numPr>
        <w:ilvl w:val="1"/>
      </w:numPr>
      <w:outlineLvl w:val="1"/>
    </w:pPr>
  </w:style>
  <w:style w:type="paragraph" w:customStyle="1" w:styleId="PlainHanging0">
    <w:name w:val="Plain Hanging0"/>
    <w:basedOn w:val="NoNumPlain1"/>
    <w:qFormat/>
    <w:rsid w:val="008912E7"/>
    <w:pPr>
      <w:ind w:left="510" w:hanging="510"/>
    </w:pPr>
  </w:style>
  <w:style w:type="paragraph" w:customStyle="1" w:styleId="BoldHanging0">
    <w:name w:val="Bold Hanging0"/>
    <w:basedOn w:val="PlainHanging0"/>
    <w:qFormat/>
    <w:rsid w:val="008912E7"/>
    <w:rPr>
      <w:b/>
    </w:rPr>
  </w:style>
  <w:style w:type="paragraph" w:customStyle="1" w:styleId="BCHanging3">
    <w:name w:val="BC Hanging3"/>
    <w:basedOn w:val="BCHanging1"/>
    <w:rsid w:val="00B71817"/>
    <w:pPr>
      <w:ind w:left="2495"/>
    </w:pPr>
  </w:style>
  <w:style w:type="paragraph" w:customStyle="1" w:styleId="BCHanging4">
    <w:name w:val="BC Hanging4"/>
    <w:basedOn w:val="BCHanging1"/>
    <w:rsid w:val="00B71817"/>
    <w:pPr>
      <w:ind w:left="3119"/>
    </w:pPr>
  </w:style>
  <w:style w:type="paragraph" w:customStyle="1" w:styleId="NoNumBC3">
    <w:name w:val="NoNum BC3"/>
    <w:basedOn w:val="NoNumBC2"/>
    <w:rsid w:val="00B71817"/>
    <w:pPr>
      <w:ind w:left="1247"/>
    </w:pPr>
  </w:style>
  <w:style w:type="paragraph" w:customStyle="1" w:styleId="NoNumBC4">
    <w:name w:val="NoNum BC4"/>
    <w:basedOn w:val="NoNumBC3"/>
    <w:rsid w:val="00B71817"/>
    <w:pPr>
      <w:ind w:left="1871"/>
    </w:pPr>
  </w:style>
  <w:style w:type="paragraph" w:customStyle="1" w:styleId="NumBC1">
    <w:name w:val="Num BC1"/>
    <w:basedOn w:val="Normal"/>
    <w:qFormat/>
    <w:rsid w:val="004A43DA"/>
    <w:pPr>
      <w:numPr>
        <w:numId w:val="8"/>
      </w:numPr>
      <w:spacing w:after="200"/>
    </w:pPr>
  </w:style>
  <w:style w:type="paragraph" w:customStyle="1" w:styleId="NumBC2">
    <w:name w:val="Num BC2"/>
    <w:basedOn w:val="NumBC1"/>
    <w:rsid w:val="004A43DA"/>
    <w:pPr>
      <w:numPr>
        <w:ilvl w:val="1"/>
      </w:numPr>
    </w:pPr>
  </w:style>
  <w:style w:type="paragraph" w:customStyle="1" w:styleId="NumBC3">
    <w:name w:val="Num BC3"/>
    <w:basedOn w:val="NumBC2"/>
    <w:rsid w:val="004A43DA"/>
    <w:pPr>
      <w:numPr>
        <w:ilvl w:val="2"/>
      </w:numPr>
    </w:pPr>
  </w:style>
  <w:style w:type="paragraph" w:customStyle="1" w:styleId="NumBC4">
    <w:name w:val="Num BC4"/>
    <w:basedOn w:val="NumBC3"/>
    <w:rsid w:val="004A43DA"/>
    <w:pPr>
      <w:numPr>
        <w:ilvl w:val="3"/>
      </w:numPr>
    </w:pPr>
  </w:style>
  <w:style w:type="paragraph" w:customStyle="1" w:styleId="AusPlain2">
    <w:name w:val="Aus Plain2"/>
    <w:basedOn w:val="PlainHanging2"/>
    <w:rsid w:val="00D741DA"/>
    <w:pPr>
      <w:numPr>
        <w:ilvl w:val="1"/>
        <w:numId w:val="10"/>
      </w:numPr>
      <w:outlineLvl w:val="1"/>
    </w:pPr>
  </w:style>
  <w:style w:type="paragraph" w:customStyle="1" w:styleId="AusBold2">
    <w:name w:val="Aus Bold2"/>
    <w:basedOn w:val="AusPlain2"/>
    <w:rsid w:val="00F56527"/>
    <w:rPr>
      <w:b/>
    </w:rPr>
  </w:style>
  <w:style w:type="paragraph" w:customStyle="1" w:styleId="AusPlain3">
    <w:name w:val="Aus Plain3"/>
    <w:basedOn w:val="PlainHanging3"/>
    <w:rsid w:val="00D741DA"/>
    <w:pPr>
      <w:numPr>
        <w:ilvl w:val="2"/>
        <w:numId w:val="10"/>
      </w:numPr>
      <w:outlineLvl w:val="2"/>
    </w:pPr>
  </w:style>
  <w:style w:type="paragraph" w:customStyle="1" w:styleId="AusBold3">
    <w:name w:val="Aus Bold3"/>
    <w:basedOn w:val="AusPlain3"/>
    <w:rsid w:val="00F56527"/>
    <w:rPr>
      <w:b/>
    </w:rPr>
  </w:style>
  <w:style w:type="paragraph" w:customStyle="1" w:styleId="RDRPlain1">
    <w:name w:val="RDR Plain1"/>
    <w:basedOn w:val="AusPlain1"/>
    <w:rsid w:val="002B229A"/>
  </w:style>
  <w:style w:type="paragraph" w:customStyle="1" w:styleId="RDRPlain2">
    <w:name w:val="RDR Plain2"/>
    <w:basedOn w:val="AusPlain2"/>
    <w:rsid w:val="002B229A"/>
  </w:style>
  <w:style w:type="paragraph" w:customStyle="1" w:styleId="RDRPlain3">
    <w:name w:val="RDR Plain3"/>
    <w:basedOn w:val="AusPlain3"/>
    <w:rsid w:val="002B229A"/>
  </w:style>
  <w:style w:type="paragraph" w:customStyle="1" w:styleId="RDRBold1">
    <w:name w:val="RDR Bold1"/>
    <w:basedOn w:val="RDRPlain1"/>
    <w:rsid w:val="002B229A"/>
    <w:rPr>
      <w:b/>
    </w:rPr>
  </w:style>
  <w:style w:type="paragraph" w:customStyle="1" w:styleId="RDRBold2">
    <w:name w:val="RDR Bold2"/>
    <w:basedOn w:val="RDRPlain2"/>
    <w:rsid w:val="002B229A"/>
    <w:rPr>
      <w:b/>
    </w:rPr>
  </w:style>
  <w:style w:type="paragraph" w:customStyle="1" w:styleId="RDRBold3">
    <w:name w:val="RDR Bold3"/>
    <w:basedOn w:val="RDRPlain3"/>
    <w:rsid w:val="002B229A"/>
    <w:rPr>
      <w:b/>
    </w:rPr>
  </w:style>
  <w:style w:type="paragraph" w:customStyle="1" w:styleId="AppendixText">
    <w:name w:val="AppendixText"/>
    <w:basedOn w:val="Normal"/>
    <w:rsid w:val="00DD1F72"/>
    <w:pPr>
      <w:spacing w:after="200"/>
    </w:pPr>
  </w:style>
  <w:style w:type="table" w:styleId="TableGrid">
    <w:name w:val="Table Grid"/>
    <w:basedOn w:val="TableNormal"/>
    <w:rsid w:val="00DD1F72"/>
    <w:pPr>
      <w:spacing w:line="2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F13"/>
    <w:pPr>
      <w:autoSpaceDE w:val="0"/>
      <w:autoSpaceDN w:val="0"/>
      <w:adjustRightInd w:val="0"/>
    </w:pPr>
    <w:rPr>
      <w:color w:val="000000"/>
      <w:sz w:val="24"/>
      <w:szCs w:val="24"/>
    </w:rPr>
  </w:style>
  <w:style w:type="character" w:styleId="CommentReference">
    <w:name w:val="annotation reference"/>
    <w:basedOn w:val="DefaultParagraphFont"/>
    <w:rsid w:val="00D75EBB"/>
    <w:rPr>
      <w:sz w:val="16"/>
      <w:szCs w:val="16"/>
    </w:rPr>
  </w:style>
  <w:style w:type="paragraph" w:styleId="CommentText">
    <w:name w:val="annotation text"/>
    <w:basedOn w:val="Normal"/>
    <w:link w:val="CommentTextChar"/>
    <w:rsid w:val="00D75EBB"/>
    <w:pPr>
      <w:spacing w:line="240" w:lineRule="auto"/>
    </w:pPr>
  </w:style>
  <w:style w:type="character" w:customStyle="1" w:styleId="CommentTextChar">
    <w:name w:val="Comment Text Char"/>
    <w:basedOn w:val="DefaultParagraphFont"/>
    <w:link w:val="CommentText"/>
    <w:rsid w:val="00D75EBB"/>
    <w:rPr>
      <w:lang w:eastAsia="en-US"/>
    </w:rPr>
  </w:style>
  <w:style w:type="paragraph" w:styleId="CommentSubject">
    <w:name w:val="annotation subject"/>
    <w:basedOn w:val="CommentText"/>
    <w:next w:val="CommentText"/>
    <w:link w:val="CommentSubjectChar"/>
    <w:rsid w:val="00D75EBB"/>
    <w:rPr>
      <w:b/>
      <w:bCs/>
    </w:rPr>
  </w:style>
  <w:style w:type="character" w:customStyle="1" w:styleId="CommentSubjectChar">
    <w:name w:val="Comment Subject Char"/>
    <w:basedOn w:val="CommentTextChar"/>
    <w:link w:val="CommentSubject"/>
    <w:rsid w:val="00D75EBB"/>
    <w:rPr>
      <w:b/>
      <w:bCs/>
      <w:lang w:eastAsia="en-US"/>
    </w:rPr>
  </w:style>
  <w:style w:type="paragraph" w:styleId="BalloonText">
    <w:name w:val="Balloon Text"/>
    <w:basedOn w:val="Normal"/>
    <w:link w:val="BalloonTextChar"/>
    <w:rsid w:val="00D75EB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75EBB"/>
    <w:rPr>
      <w:rFonts w:ascii="Tahoma" w:hAnsi="Tahoma" w:cs="Tahoma"/>
      <w:sz w:val="16"/>
      <w:szCs w:val="16"/>
      <w:lang w:eastAsia="en-US"/>
    </w:rPr>
  </w:style>
  <w:style w:type="paragraph" w:customStyle="1" w:styleId="AASBStandardTitle">
    <w:name w:val="AASB Standard Title"/>
    <w:basedOn w:val="Normal"/>
    <w:semiHidden/>
    <w:qFormat/>
    <w:rsid w:val="006E369B"/>
    <w:pPr>
      <w:spacing w:before="800" w:line="240" w:lineRule="auto"/>
    </w:pPr>
    <w:rPr>
      <w:rFonts w:ascii="HelveticaNeueLT Std" w:hAnsi="HelveticaNeueLT Std"/>
      <w:color w:val="25408F"/>
      <w:sz w:val="50"/>
      <w:szCs w:val="24"/>
    </w:rPr>
  </w:style>
  <w:style w:type="paragraph" w:customStyle="1" w:styleId="IASBSectionTitle2NonInd">
    <w:name w:val="IASB Section Title 2 NonInd"/>
    <w:basedOn w:val="Normal"/>
    <w:uiPriority w:val="8"/>
    <w:rsid w:val="006E369B"/>
    <w:pPr>
      <w:keepNext/>
      <w:keepLines/>
      <w:spacing w:before="300" w:after="200" w:line="240" w:lineRule="auto"/>
      <w:outlineLvl w:val="1"/>
    </w:pPr>
    <w:rPr>
      <w:rFonts w:ascii="Arial" w:hAnsi="Arial" w:cs="Arial"/>
      <w:b/>
      <w:sz w:val="26"/>
    </w:rPr>
  </w:style>
  <w:style w:type="paragraph" w:customStyle="1" w:styleId="ContentsHeading">
    <w:name w:val="Contents Heading"/>
    <w:basedOn w:val="Normal"/>
    <w:next w:val="ContentsLevel1"/>
    <w:qFormat/>
    <w:rsid w:val="006E369B"/>
    <w:pPr>
      <w:spacing w:after="60" w:line="240" w:lineRule="auto"/>
      <w:jc w:val="right"/>
    </w:pPr>
    <w:rPr>
      <w:i/>
      <w:sz w:val="19"/>
    </w:rPr>
  </w:style>
  <w:style w:type="paragraph" w:customStyle="1" w:styleId="ConvSectionTitle">
    <w:name w:val="Conv Section Title"/>
    <w:basedOn w:val="Normal"/>
    <w:uiPriority w:val="9"/>
    <w:qFormat/>
    <w:rsid w:val="00B06DD9"/>
    <w:pPr>
      <w:keepNext/>
      <w:keepLines/>
      <w:spacing w:before="400" w:after="200" w:line="240" w:lineRule="auto"/>
      <w:outlineLvl w:val="0"/>
    </w:pPr>
    <w:rPr>
      <w:rFonts w:ascii="Arial" w:hAnsi="Arial" w:cs="Arial"/>
      <w:b/>
      <w:sz w:val="26"/>
    </w:rPr>
  </w:style>
  <w:style w:type="paragraph" w:customStyle="1" w:styleId="ConvStandardTitle1">
    <w:name w:val="Conv Standard Title 1"/>
    <w:basedOn w:val="Normal"/>
    <w:next w:val="Normal"/>
    <w:uiPriority w:val="9"/>
    <w:qFormat/>
    <w:rsid w:val="00B06DD9"/>
    <w:pPr>
      <w:spacing w:before="300" w:line="240" w:lineRule="auto"/>
    </w:pPr>
    <w:rPr>
      <w:rFonts w:ascii="Arial" w:hAnsi="Arial"/>
      <w:b/>
      <w:sz w:val="26"/>
      <w:szCs w:val="24"/>
    </w:rPr>
  </w:style>
  <w:style w:type="paragraph" w:customStyle="1" w:styleId="ConvStandardTitle2">
    <w:name w:val="Conv Standard Title2"/>
    <w:basedOn w:val="ConvStandardTitle1"/>
    <w:uiPriority w:val="9"/>
    <w:qFormat/>
    <w:rsid w:val="00B06DD9"/>
    <w:pPr>
      <w:spacing w:before="0" w:after="200"/>
    </w:pPr>
    <w:rPr>
      <w:i/>
    </w:rPr>
  </w:style>
  <w:style w:type="paragraph" w:customStyle="1" w:styleId="IASBSectionTitle1NonInd">
    <w:name w:val="IASB Section Title 1 NonInd"/>
    <w:basedOn w:val="Normal"/>
    <w:uiPriority w:val="8"/>
    <w:rsid w:val="00B06DD9"/>
    <w:pPr>
      <w:keepNext/>
      <w:keepLines/>
      <w:pBdr>
        <w:bottom w:val="single" w:sz="4" w:space="0" w:color="auto"/>
      </w:pBdr>
      <w:spacing w:before="400" w:after="200" w:line="240" w:lineRule="auto"/>
      <w:outlineLvl w:val="0"/>
    </w:pPr>
    <w:rPr>
      <w:rFonts w:ascii="Arial" w:hAnsi="Arial" w:cs="Arial"/>
      <w:b/>
      <w:sz w:val="26"/>
    </w:rPr>
  </w:style>
  <w:style w:type="paragraph" w:customStyle="1" w:styleId="IASBNormalnpara">
    <w:name w:val="IASB Normal npara"/>
    <w:basedOn w:val="Normal"/>
    <w:uiPriority w:val="8"/>
    <w:rsid w:val="00B06DD9"/>
    <w:pPr>
      <w:spacing w:before="100" w:line="240" w:lineRule="auto"/>
      <w:ind w:left="782" w:hanging="782"/>
      <w:jc w:val="both"/>
    </w:pPr>
    <w:rPr>
      <w:sz w:val="19"/>
    </w:rPr>
  </w:style>
  <w:style w:type="paragraph" w:customStyle="1" w:styleId="IASBNormalnparaL1">
    <w:name w:val="IASB Normal nparaL1"/>
    <w:basedOn w:val="IASBNormalnpara"/>
    <w:uiPriority w:val="8"/>
    <w:rsid w:val="00B06DD9"/>
    <w:pPr>
      <w:ind w:left="1564"/>
    </w:pPr>
  </w:style>
  <w:style w:type="paragraph" w:customStyle="1" w:styleId="IASBNormalnparaL2">
    <w:name w:val="IASB Normal nparaL2"/>
    <w:basedOn w:val="IASBNormalnparaL1"/>
    <w:uiPriority w:val="8"/>
    <w:rsid w:val="00040F9B"/>
    <w:pPr>
      <w:ind w:left="2347"/>
    </w:pPr>
  </w:style>
  <w:style w:type="character" w:customStyle="1" w:styleId="HeaderChar">
    <w:name w:val="Header Char"/>
    <w:link w:val="Header"/>
    <w:uiPriority w:val="99"/>
    <w:rsid w:val="00BD58A8"/>
    <w:rPr>
      <w:lang w:eastAsia="en-US"/>
    </w:rPr>
  </w:style>
  <w:style w:type="character" w:customStyle="1" w:styleId="FooterChar">
    <w:name w:val="Footer Char"/>
    <w:link w:val="Footer"/>
    <w:uiPriority w:val="99"/>
    <w:rsid w:val="001078BD"/>
    <w:rPr>
      <w:lang w:eastAsia="en-US"/>
    </w:rPr>
  </w:style>
  <w:style w:type="paragraph" w:customStyle="1" w:styleId="AASBStandardCover">
    <w:name w:val="AASB Standard Cover"/>
    <w:semiHidden/>
    <w:qFormat/>
    <w:rsid w:val="00E533E4"/>
    <w:rPr>
      <w:rFonts w:ascii="HelveticaNeueLT Std" w:hAnsi="HelveticaNeueLT Std"/>
      <w:b/>
      <w:color w:val="25408F"/>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020A0"/>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pPr>
      <w:tabs>
        <w:tab w:val="center" w:pos="3119"/>
        <w:tab w:val="right" w:pos="6237"/>
      </w:tabs>
    </w:pPr>
  </w:style>
  <w:style w:type="paragraph" w:styleId="Footer">
    <w:name w:val="footer"/>
    <w:basedOn w:val="Normal"/>
    <w:link w:val="FooterChar"/>
    <w:uiPriority w:val="99"/>
    <w:pPr>
      <w:tabs>
        <w:tab w:val="center" w:pos="3119"/>
        <w:tab w:val="right" w:pos="6237"/>
      </w:tabs>
    </w:pPr>
  </w:style>
  <w:style w:type="paragraph" w:customStyle="1" w:styleId="CoverStandard">
    <w:name w:val="Cover Standard"/>
    <w:basedOn w:val="Normal"/>
    <w:next w:val="Normal"/>
    <w:rsid w:val="007A1626"/>
    <w:pPr>
      <w:spacing w:line="240" w:lineRule="auto"/>
    </w:pPr>
    <w:rPr>
      <w:rFonts w:ascii="HelveticaNeueLT Std" w:hAnsi="HelveticaNeueLT Std"/>
      <w:b/>
      <w:color w:val="25408F"/>
      <w:sz w:val="24"/>
    </w:rPr>
  </w:style>
  <w:style w:type="paragraph" w:customStyle="1" w:styleId="CoverNumber">
    <w:name w:val="Cover Number"/>
    <w:basedOn w:val="Normal"/>
    <w:next w:val="Normal"/>
    <w:rsid w:val="007A1626"/>
    <w:pPr>
      <w:spacing w:line="240" w:lineRule="auto"/>
      <w:ind w:right="57"/>
      <w:jc w:val="right"/>
    </w:pPr>
    <w:rPr>
      <w:rFonts w:ascii="HelveticaNeueLT Std Blk" w:hAnsi="HelveticaNeueLT Std Blk"/>
      <w:b/>
      <w:caps/>
      <w:color w:val="25408F"/>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rsid w:val="0061599A"/>
    <w:pPr>
      <w:spacing w:line="240" w:lineRule="auto"/>
      <w:ind w:right="57"/>
      <w:jc w:val="right"/>
    </w:pPr>
    <w:rPr>
      <w:rFonts w:ascii="HelveticaNeueLT Std" w:hAnsi="HelveticaNeueLT Std"/>
      <w:color w:val="25408F"/>
    </w:rPr>
  </w:style>
  <w:style w:type="paragraph" w:customStyle="1" w:styleId="CoverTitle">
    <w:name w:val="Cover Title"/>
    <w:basedOn w:val="Normal"/>
    <w:rsid w:val="00CC6937"/>
    <w:pPr>
      <w:spacing w:line="440" w:lineRule="exact"/>
    </w:pPr>
    <w:rPr>
      <w:rFonts w:ascii="HelveticaNeueLT Std" w:hAnsi="HelveticaNeueLT Std"/>
      <w:color w:val="25408F"/>
      <w:sz w:val="38"/>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qFormat/>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uiPriority w:val="7"/>
    <w:qFormat/>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AusPlain1">
    <w:name w:val="Aus Plain1"/>
    <w:basedOn w:val="Normal"/>
    <w:rsid w:val="00D741DA"/>
    <w:pPr>
      <w:numPr>
        <w:numId w:val="10"/>
      </w:numPr>
      <w:spacing w:after="200"/>
      <w:outlineLvl w:val="0"/>
    </w:pPr>
  </w:style>
  <w:style w:type="paragraph" w:customStyle="1" w:styleId="AusBold1">
    <w:name w:val="Aus Bold1"/>
    <w:basedOn w:val="AusPlain1"/>
    <w:rsid w:val="00F56527"/>
    <w:rPr>
      <w:b/>
    </w:r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qFormat/>
    <w:rsid w:val="004A43DA"/>
    <w:pPr>
      <w:numPr>
        <w:numId w:val="7"/>
      </w:numPr>
      <w:spacing w:after="200"/>
    </w:pPr>
  </w:style>
  <w:style w:type="paragraph" w:customStyle="1" w:styleId="NumPlain2">
    <w:name w:val="Num Plain2"/>
    <w:basedOn w:val="NumPlain1"/>
    <w:qFormat/>
    <w:rsid w:val="004A43DA"/>
    <w:pPr>
      <w:numPr>
        <w:ilvl w:val="1"/>
      </w:numPr>
    </w:pPr>
  </w:style>
  <w:style w:type="paragraph" w:customStyle="1" w:styleId="NumPlain3">
    <w:name w:val="Num Plain3"/>
    <w:basedOn w:val="NumPlain2"/>
    <w:qFormat/>
    <w:rsid w:val="004A43DA"/>
    <w:pPr>
      <w:numPr>
        <w:ilvl w:val="2"/>
      </w:numPr>
    </w:pPr>
  </w:style>
  <w:style w:type="paragraph" w:customStyle="1" w:styleId="NumPlain4">
    <w:name w:val="Num Plain4"/>
    <w:basedOn w:val="NumPlain3"/>
    <w:rsid w:val="004A43DA"/>
    <w:pPr>
      <w:numPr>
        <w:ilvl w:val="3"/>
      </w:numPr>
    </w:pPr>
  </w:style>
  <w:style w:type="paragraph" w:customStyle="1" w:styleId="NumBold1">
    <w:name w:val="Num Bold1"/>
    <w:basedOn w:val="NumPlain1"/>
    <w:qFormat/>
    <w:rsid w:val="00401B5F"/>
    <w:rPr>
      <w:b/>
    </w:rPr>
  </w:style>
  <w:style w:type="paragraph" w:customStyle="1" w:styleId="NumBold2">
    <w:name w:val="Num Bold2"/>
    <w:basedOn w:val="NumPlain2"/>
    <w:rsid w:val="00401B5F"/>
    <w:rPr>
      <w:b/>
    </w:rPr>
  </w:style>
  <w:style w:type="paragraph" w:customStyle="1" w:styleId="NumBold3">
    <w:name w:val="Num Bold3"/>
    <w:basedOn w:val="NumPlain3"/>
    <w:rsid w:val="00401B5F"/>
    <w:rPr>
      <w:b/>
    </w:rPr>
  </w:style>
  <w:style w:type="paragraph" w:customStyle="1" w:styleId="NumBold4">
    <w:name w:val="Num Bold4"/>
    <w:basedOn w:val="NumPlain4"/>
    <w:rsid w:val="00401B5F"/>
    <w:rPr>
      <w:b/>
    </w:rPr>
  </w:style>
  <w:style w:type="paragraph" w:customStyle="1" w:styleId="Bullet1">
    <w:name w:val="Bullet1"/>
    <w:basedOn w:val="Normal"/>
    <w:qFormat/>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4"/>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BCHanging0">
    <w:name w:val="BC Hanging0"/>
    <w:basedOn w:val="NoNumPlain1"/>
    <w:qFormat/>
    <w:rsid w:val="00B71817"/>
    <w:pPr>
      <w:ind w:left="624" w:hanging="624"/>
    </w:pPr>
  </w:style>
  <w:style w:type="paragraph" w:customStyle="1" w:styleId="NoNumBC2">
    <w:name w:val="NoNum BC2"/>
    <w:basedOn w:val="NoNumPlain1"/>
    <w:rsid w:val="00B71817"/>
    <w:pPr>
      <w:ind w:left="624"/>
    </w:pPr>
  </w:style>
  <w:style w:type="paragraph" w:customStyle="1" w:styleId="BCHanging1">
    <w:name w:val="BC Hanging1"/>
    <w:basedOn w:val="NoNumBC2"/>
    <w:rsid w:val="00B71817"/>
    <w:pPr>
      <w:ind w:left="1248" w:hanging="624"/>
    </w:pPr>
  </w:style>
  <w:style w:type="paragraph" w:customStyle="1" w:styleId="BCHanging2">
    <w:name w:val="BC Hanging2"/>
    <w:basedOn w:val="BCHanging1"/>
    <w:rsid w:val="00B71817"/>
    <w:pPr>
      <w:ind w:left="1871"/>
    </w:pPr>
  </w:style>
  <w:style w:type="paragraph" w:customStyle="1" w:styleId="ContentsLevel1NoIndent">
    <w:name w:val="Contents Level1 NoIndent"/>
    <w:basedOn w:val="ContentsLevel1"/>
    <w:pPr>
      <w:ind w:left="0" w:firstLine="0"/>
    </w:pPr>
  </w:style>
  <w:style w:type="paragraph" w:customStyle="1" w:styleId="PlainHanging1">
    <w:name w:val="Plain Hanging1"/>
    <w:basedOn w:val="NoNumPlain2"/>
    <w:rsid w:val="00462F7D"/>
    <w:pPr>
      <w:ind w:left="1020" w:hanging="510"/>
    </w:pPr>
  </w:style>
  <w:style w:type="paragraph" w:customStyle="1" w:styleId="PlainHanging2">
    <w:name w:val="Plain Hanging2"/>
    <w:basedOn w:val="PlainHanging1"/>
    <w:rsid w:val="00462F7D"/>
    <w:pPr>
      <w:ind w:left="1531"/>
    </w:pPr>
  </w:style>
  <w:style w:type="paragraph" w:customStyle="1" w:styleId="PlainHanging3">
    <w:name w:val="Plain Hanging3"/>
    <w:basedOn w:val="PlainHanging1"/>
    <w:rsid w:val="00462F7D"/>
    <w:pPr>
      <w:ind w:left="2041"/>
    </w:pPr>
  </w:style>
  <w:style w:type="paragraph" w:customStyle="1" w:styleId="PlainHanging4">
    <w:name w:val="Plain Hanging4"/>
    <w:basedOn w:val="PlainHanging1"/>
    <w:rsid w:val="00462F7D"/>
    <w:pPr>
      <w:ind w:left="2551"/>
    </w:pPr>
  </w:style>
  <w:style w:type="paragraph" w:customStyle="1" w:styleId="BoldHanging1">
    <w:name w:val="Bold Hanging1"/>
    <w:basedOn w:val="PlainHanging1"/>
    <w:rsid w:val="00462F7D"/>
    <w:rPr>
      <w:b/>
    </w:rPr>
  </w:style>
  <w:style w:type="paragraph" w:customStyle="1" w:styleId="BoldHanging2">
    <w:name w:val="Bold Hanging2"/>
    <w:basedOn w:val="PlainHanging2"/>
    <w:rsid w:val="00462F7D"/>
    <w:rPr>
      <w:b/>
    </w:rPr>
  </w:style>
  <w:style w:type="paragraph" w:customStyle="1" w:styleId="BoldHanging3">
    <w:name w:val="Bold Hanging3"/>
    <w:basedOn w:val="PlainHanging3"/>
    <w:rsid w:val="00462F7D"/>
    <w:rPr>
      <w:b/>
    </w:rPr>
  </w:style>
  <w:style w:type="paragraph" w:customStyle="1" w:styleId="BoldHanging4">
    <w:name w:val="Bold Hanging4"/>
    <w:basedOn w:val="PlainHanging4"/>
    <w:rsid w:val="00462F7D"/>
    <w:rPr>
      <w:b/>
    </w:rPr>
  </w:style>
  <w:style w:type="paragraph" w:customStyle="1" w:styleId="NumberedList">
    <w:name w:val="NumberedList"/>
    <w:basedOn w:val="Normal"/>
    <w:qFormat/>
    <w:rsid w:val="00462F7D"/>
    <w:pPr>
      <w:numPr>
        <w:numId w:val="5"/>
      </w:numPr>
      <w:spacing w:after="200"/>
    </w:pPr>
  </w:style>
  <w:style w:type="paragraph" w:customStyle="1" w:styleId="NumPlainA">
    <w:name w:val="Num PlainA"/>
    <w:basedOn w:val="Normal"/>
    <w:qFormat/>
    <w:rsid w:val="00462F7D"/>
    <w:pPr>
      <w:numPr>
        <w:numId w:val="6"/>
      </w:numPr>
      <w:spacing w:after="200"/>
      <w:outlineLvl w:val="0"/>
    </w:pPr>
  </w:style>
  <w:style w:type="paragraph" w:customStyle="1" w:styleId="NumPlainA2">
    <w:name w:val="Num PlainA2"/>
    <w:basedOn w:val="NumPlainA"/>
    <w:rsid w:val="00462F7D"/>
    <w:pPr>
      <w:numPr>
        <w:ilvl w:val="1"/>
      </w:numPr>
      <w:outlineLvl w:val="1"/>
    </w:pPr>
  </w:style>
  <w:style w:type="paragraph" w:customStyle="1" w:styleId="PlainHanging0">
    <w:name w:val="Plain Hanging0"/>
    <w:basedOn w:val="NoNumPlain1"/>
    <w:qFormat/>
    <w:rsid w:val="008912E7"/>
    <w:pPr>
      <w:ind w:left="510" w:hanging="510"/>
    </w:pPr>
  </w:style>
  <w:style w:type="paragraph" w:customStyle="1" w:styleId="BoldHanging0">
    <w:name w:val="Bold Hanging0"/>
    <w:basedOn w:val="PlainHanging0"/>
    <w:qFormat/>
    <w:rsid w:val="008912E7"/>
    <w:rPr>
      <w:b/>
    </w:rPr>
  </w:style>
  <w:style w:type="paragraph" w:customStyle="1" w:styleId="BCHanging3">
    <w:name w:val="BC Hanging3"/>
    <w:basedOn w:val="BCHanging1"/>
    <w:rsid w:val="00B71817"/>
    <w:pPr>
      <w:ind w:left="2495"/>
    </w:pPr>
  </w:style>
  <w:style w:type="paragraph" w:customStyle="1" w:styleId="BCHanging4">
    <w:name w:val="BC Hanging4"/>
    <w:basedOn w:val="BCHanging1"/>
    <w:rsid w:val="00B71817"/>
    <w:pPr>
      <w:ind w:left="3119"/>
    </w:pPr>
  </w:style>
  <w:style w:type="paragraph" w:customStyle="1" w:styleId="NoNumBC3">
    <w:name w:val="NoNum BC3"/>
    <w:basedOn w:val="NoNumBC2"/>
    <w:rsid w:val="00B71817"/>
    <w:pPr>
      <w:ind w:left="1247"/>
    </w:pPr>
  </w:style>
  <w:style w:type="paragraph" w:customStyle="1" w:styleId="NoNumBC4">
    <w:name w:val="NoNum BC4"/>
    <w:basedOn w:val="NoNumBC3"/>
    <w:rsid w:val="00B71817"/>
    <w:pPr>
      <w:ind w:left="1871"/>
    </w:pPr>
  </w:style>
  <w:style w:type="paragraph" w:customStyle="1" w:styleId="NumBC1">
    <w:name w:val="Num BC1"/>
    <w:basedOn w:val="Normal"/>
    <w:qFormat/>
    <w:rsid w:val="004A43DA"/>
    <w:pPr>
      <w:numPr>
        <w:numId w:val="8"/>
      </w:numPr>
      <w:spacing w:after="200"/>
    </w:pPr>
  </w:style>
  <w:style w:type="paragraph" w:customStyle="1" w:styleId="NumBC2">
    <w:name w:val="Num BC2"/>
    <w:basedOn w:val="NumBC1"/>
    <w:rsid w:val="004A43DA"/>
    <w:pPr>
      <w:numPr>
        <w:ilvl w:val="1"/>
      </w:numPr>
    </w:pPr>
  </w:style>
  <w:style w:type="paragraph" w:customStyle="1" w:styleId="NumBC3">
    <w:name w:val="Num BC3"/>
    <w:basedOn w:val="NumBC2"/>
    <w:rsid w:val="004A43DA"/>
    <w:pPr>
      <w:numPr>
        <w:ilvl w:val="2"/>
      </w:numPr>
    </w:pPr>
  </w:style>
  <w:style w:type="paragraph" w:customStyle="1" w:styleId="NumBC4">
    <w:name w:val="Num BC4"/>
    <w:basedOn w:val="NumBC3"/>
    <w:rsid w:val="004A43DA"/>
    <w:pPr>
      <w:numPr>
        <w:ilvl w:val="3"/>
      </w:numPr>
    </w:pPr>
  </w:style>
  <w:style w:type="paragraph" w:customStyle="1" w:styleId="AusPlain2">
    <w:name w:val="Aus Plain2"/>
    <w:basedOn w:val="PlainHanging2"/>
    <w:rsid w:val="00D741DA"/>
    <w:pPr>
      <w:numPr>
        <w:ilvl w:val="1"/>
        <w:numId w:val="10"/>
      </w:numPr>
      <w:outlineLvl w:val="1"/>
    </w:pPr>
  </w:style>
  <w:style w:type="paragraph" w:customStyle="1" w:styleId="AusBold2">
    <w:name w:val="Aus Bold2"/>
    <w:basedOn w:val="AusPlain2"/>
    <w:rsid w:val="00F56527"/>
    <w:rPr>
      <w:b/>
    </w:rPr>
  </w:style>
  <w:style w:type="paragraph" w:customStyle="1" w:styleId="AusPlain3">
    <w:name w:val="Aus Plain3"/>
    <w:basedOn w:val="PlainHanging3"/>
    <w:rsid w:val="00D741DA"/>
    <w:pPr>
      <w:numPr>
        <w:ilvl w:val="2"/>
        <w:numId w:val="10"/>
      </w:numPr>
      <w:outlineLvl w:val="2"/>
    </w:pPr>
  </w:style>
  <w:style w:type="paragraph" w:customStyle="1" w:styleId="AusBold3">
    <w:name w:val="Aus Bold3"/>
    <w:basedOn w:val="AusPlain3"/>
    <w:rsid w:val="00F56527"/>
    <w:rPr>
      <w:b/>
    </w:rPr>
  </w:style>
  <w:style w:type="paragraph" w:customStyle="1" w:styleId="RDRPlain1">
    <w:name w:val="RDR Plain1"/>
    <w:basedOn w:val="AusPlain1"/>
    <w:rsid w:val="002B229A"/>
  </w:style>
  <w:style w:type="paragraph" w:customStyle="1" w:styleId="RDRPlain2">
    <w:name w:val="RDR Plain2"/>
    <w:basedOn w:val="AusPlain2"/>
    <w:rsid w:val="002B229A"/>
  </w:style>
  <w:style w:type="paragraph" w:customStyle="1" w:styleId="RDRPlain3">
    <w:name w:val="RDR Plain3"/>
    <w:basedOn w:val="AusPlain3"/>
    <w:rsid w:val="002B229A"/>
  </w:style>
  <w:style w:type="paragraph" w:customStyle="1" w:styleId="RDRBold1">
    <w:name w:val="RDR Bold1"/>
    <w:basedOn w:val="RDRPlain1"/>
    <w:rsid w:val="002B229A"/>
    <w:rPr>
      <w:b/>
    </w:rPr>
  </w:style>
  <w:style w:type="paragraph" w:customStyle="1" w:styleId="RDRBold2">
    <w:name w:val="RDR Bold2"/>
    <w:basedOn w:val="RDRPlain2"/>
    <w:rsid w:val="002B229A"/>
    <w:rPr>
      <w:b/>
    </w:rPr>
  </w:style>
  <w:style w:type="paragraph" w:customStyle="1" w:styleId="RDRBold3">
    <w:name w:val="RDR Bold3"/>
    <w:basedOn w:val="RDRPlain3"/>
    <w:rsid w:val="002B229A"/>
    <w:rPr>
      <w:b/>
    </w:rPr>
  </w:style>
  <w:style w:type="paragraph" w:customStyle="1" w:styleId="AppendixText">
    <w:name w:val="AppendixText"/>
    <w:basedOn w:val="Normal"/>
    <w:rsid w:val="00DD1F72"/>
    <w:pPr>
      <w:spacing w:after="200"/>
    </w:pPr>
  </w:style>
  <w:style w:type="table" w:styleId="TableGrid">
    <w:name w:val="Table Grid"/>
    <w:basedOn w:val="TableNormal"/>
    <w:rsid w:val="00DD1F72"/>
    <w:pPr>
      <w:spacing w:line="2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F13"/>
    <w:pPr>
      <w:autoSpaceDE w:val="0"/>
      <w:autoSpaceDN w:val="0"/>
      <w:adjustRightInd w:val="0"/>
    </w:pPr>
    <w:rPr>
      <w:color w:val="000000"/>
      <w:sz w:val="24"/>
      <w:szCs w:val="24"/>
    </w:rPr>
  </w:style>
  <w:style w:type="character" w:styleId="CommentReference">
    <w:name w:val="annotation reference"/>
    <w:basedOn w:val="DefaultParagraphFont"/>
    <w:rsid w:val="00D75EBB"/>
    <w:rPr>
      <w:sz w:val="16"/>
      <w:szCs w:val="16"/>
    </w:rPr>
  </w:style>
  <w:style w:type="paragraph" w:styleId="CommentText">
    <w:name w:val="annotation text"/>
    <w:basedOn w:val="Normal"/>
    <w:link w:val="CommentTextChar"/>
    <w:rsid w:val="00D75EBB"/>
    <w:pPr>
      <w:spacing w:line="240" w:lineRule="auto"/>
    </w:pPr>
  </w:style>
  <w:style w:type="character" w:customStyle="1" w:styleId="CommentTextChar">
    <w:name w:val="Comment Text Char"/>
    <w:basedOn w:val="DefaultParagraphFont"/>
    <w:link w:val="CommentText"/>
    <w:rsid w:val="00D75EBB"/>
    <w:rPr>
      <w:lang w:eastAsia="en-US"/>
    </w:rPr>
  </w:style>
  <w:style w:type="paragraph" w:styleId="CommentSubject">
    <w:name w:val="annotation subject"/>
    <w:basedOn w:val="CommentText"/>
    <w:next w:val="CommentText"/>
    <w:link w:val="CommentSubjectChar"/>
    <w:rsid w:val="00D75EBB"/>
    <w:rPr>
      <w:b/>
      <w:bCs/>
    </w:rPr>
  </w:style>
  <w:style w:type="character" w:customStyle="1" w:styleId="CommentSubjectChar">
    <w:name w:val="Comment Subject Char"/>
    <w:basedOn w:val="CommentTextChar"/>
    <w:link w:val="CommentSubject"/>
    <w:rsid w:val="00D75EBB"/>
    <w:rPr>
      <w:b/>
      <w:bCs/>
      <w:lang w:eastAsia="en-US"/>
    </w:rPr>
  </w:style>
  <w:style w:type="paragraph" w:styleId="BalloonText">
    <w:name w:val="Balloon Text"/>
    <w:basedOn w:val="Normal"/>
    <w:link w:val="BalloonTextChar"/>
    <w:rsid w:val="00D75EB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75EBB"/>
    <w:rPr>
      <w:rFonts w:ascii="Tahoma" w:hAnsi="Tahoma" w:cs="Tahoma"/>
      <w:sz w:val="16"/>
      <w:szCs w:val="16"/>
      <w:lang w:eastAsia="en-US"/>
    </w:rPr>
  </w:style>
  <w:style w:type="paragraph" w:customStyle="1" w:styleId="AASBStandardTitle">
    <w:name w:val="AASB Standard Title"/>
    <w:basedOn w:val="Normal"/>
    <w:semiHidden/>
    <w:qFormat/>
    <w:rsid w:val="006E369B"/>
    <w:pPr>
      <w:spacing w:before="800" w:line="240" w:lineRule="auto"/>
    </w:pPr>
    <w:rPr>
      <w:rFonts w:ascii="HelveticaNeueLT Std" w:hAnsi="HelveticaNeueLT Std"/>
      <w:color w:val="25408F"/>
      <w:sz w:val="50"/>
      <w:szCs w:val="24"/>
    </w:rPr>
  </w:style>
  <w:style w:type="paragraph" w:customStyle="1" w:styleId="IASBSectionTitle2NonInd">
    <w:name w:val="IASB Section Title 2 NonInd"/>
    <w:basedOn w:val="Normal"/>
    <w:uiPriority w:val="8"/>
    <w:rsid w:val="006E369B"/>
    <w:pPr>
      <w:keepNext/>
      <w:keepLines/>
      <w:spacing w:before="300" w:after="200" w:line="240" w:lineRule="auto"/>
      <w:outlineLvl w:val="1"/>
    </w:pPr>
    <w:rPr>
      <w:rFonts w:ascii="Arial" w:hAnsi="Arial" w:cs="Arial"/>
      <w:b/>
      <w:sz w:val="26"/>
    </w:rPr>
  </w:style>
  <w:style w:type="paragraph" w:customStyle="1" w:styleId="ContentsHeading">
    <w:name w:val="Contents Heading"/>
    <w:basedOn w:val="Normal"/>
    <w:next w:val="ContentsLevel1"/>
    <w:qFormat/>
    <w:rsid w:val="006E369B"/>
    <w:pPr>
      <w:spacing w:after="60" w:line="240" w:lineRule="auto"/>
      <w:jc w:val="right"/>
    </w:pPr>
    <w:rPr>
      <w:i/>
      <w:sz w:val="19"/>
    </w:rPr>
  </w:style>
  <w:style w:type="paragraph" w:customStyle="1" w:styleId="ConvSectionTitle">
    <w:name w:val="Conv Section Title"/>
    <w:basedOn w:val="Normal"/>
    <w:uiPriority w:val="9"/>
    <w:qFormat/>
    <w:rsid w:val="00B06DD9"/>
    <w:pPr>
      <w:keepNext/>
      <w:keepLines/>
      <w:spacing w:before="400" w:after="200" w:line="240" w:lineRule="auto"/>
      <w:outlineLvl w:val="0"/>
    </w:pPr>
    <w:rPr>
      <w:rFonts w:ascii="Arial" w:hAnsi="Arial" w:cs="Arial"/>
      <w:b/>
      <w:sz w:val="26"/>
    </w:rPr>
  </w:style>
  <w:style w:type="paragraph" w:customStyle="1" w:styleId="ConvStandardTitle1">
    <w:name w:val="Conv Standard Title 1"/>
    <w:basedOn w:val="Normal"/>
    <w:next w:val="Normal"/>
    <w:uiPriority w:val="9"/>
    <w:qFormat/>
    <w:rsid w:val="00B06DD9"/>
    <w:pPr>
      <w:spacing w:before="300" w:line="240" w:lineRule="auto"/>
    </w:pPr>
    <w:rPr>
      <w:rFonts w:ascii="Arial" w:hAnsi="Arial"/>
      <w:b/>
      <w:sz w:val="26"/>
      <w:szCs w:val="24"/>
    </w:rPr>
  </w:style>
  <w:style w:type="paragraph" w:customStyle="1" w:styleId="ConvStandardTitle2">
    <w:name w:val="Conv Standard Title2"/>
    <w:basedOn w:val="ConvStandardTitle1"/>
    <w:uiPriority w:val="9"/>
    <w:qFormat/>
    <w:rsid w:val="00B06DD9"/>
    <w:pPr>
      <w:spacing w:before="0" w:after="200"/>
    </w:pPr>
    <w:rPr>
      <w:i/>
    </w:rPr>
  </w:style>
  <w:style w:type="paragraph" w:customStyle="1" w:styleId="IASBSectionTitle1NonInd">
    <w:name w:val="IASB Section Title 1 NonInd"/>
    <w:basedOn w:val="Normal"/>
    <w:uiPriority w:val="8"/>
    <w:rsid w:val="00B06DD9"/>
    <w:pPr>
      <w:keepNext/>
      <w:keepLines/>
      <w:pBdr>
        <w:bottom w:val="single" w:sz="4" w:space="0" w:color="auto"/>
      </w:pBdr>
      <w:spacing w:before="400" w:after="200" w:line="240" w:lineRule="auto"/>
      <w:outlineLvl w:val="0"/>
    </w:pPr>
    <w:rPr>
      <w:rFonts w:ascii="Arial" w:hAnsi="Arial" w:cs="Arial"/>
      <w:b/>
      <w:sz w:val="26"/>
    </w:rPr>
  </w:style>
  <w:style w:type="paragraph" w:customStyle="1" w:styleId="IASBNormalnpara">
    <w:name w:val="IASB Normal npara"/>
    <w:basedOn w:val="Normal"/>
    <w:uiPriority w:val="8"/>
    <w:rsid w:val="00B06DD9"/>
    <w:pPr>
      <w:spacing w:before="100" w:line="240" w:lineRule="auto"/>
      <w:ind w:left="782" w:hanging="782"/>
      <w:jc w:val="both"/>
    </w:pPr>
    <w:rPr>
      <w:sz w:val="19"/>
    </w:rPr>
  </w:style>
  <w:style w:type="paragraph" w:customStyle="1" w:styleId="IASBNormalnparaL1">
    <w:name w:val="IASB Normal nparaL1"/>
    <w:basedOn w:val="IASBNormalnpara"/>
    <w:uiPriority w:val="8"/>
    <w:rsid w:val="00B06DD9"/>
    <w:pPr>
      <w:ind w:left="1564"/>
    </w:pPr>
  </w:style>
  <w:style w:type="paragraph" w:customStyle="1" w:styleId="IASBNormalnparaL2">
    <w:name w:val="IASB Normal nparaL2"/>
    <w:basedOn w:val="IASBNormalnparaL1"/>
    <w:uiPriority w:val="8"/>
    <w:rsid w:val="00040F9B"/>
    <w:pPr>
      <w:ind w:left="2347"/>
    </w:pPr>
  </w:style>
  <w:style w:type="character" w:customStyle="1" w:styleId="HeaderChar">
    <w:name w:val="Header Char"/>
    <w:link w:val="Header"/>
    <w:uiPriority w:val="99"/>
    <w:rsid w:val="00BD58A8"/>
    <w:rPr>
      <w:lang w:eastAsia="en-US"/>
    </w:rPr>
  </w:style>
  <w:style w:type="character" w:customStyle="1" w:styleId="FooterChar">
    <w:name w:val="Footer Char"/>
    <w:link w:val="Footer"/>
    <w:uiPriority w:val="99"/>
    <w:rsid w:val="001078BD"/>
    <w:rPr>
      <w:lang w:eastAsia="en-US"/>
    </w:rPr>
  </w:style>
  <w:style w:type="paragraph" w:customStyle="1" w:styleId="AASBStandardCover">
    <w:name w:val="AASB Standard Cover"/>
    <w:semiHidden/>
    <w:qFormat/>
    <w:rsid w:val="00E533E4"/>
    <w:rPr>
      <w:rFonts w:ascii="HelveticaNeueLT Std" w:hAnsi="HelveticaNeueLT Std"/>
      <w:b/>
      <w:color w:val="25408F"/>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3.xml"/><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DD39-3F32-4C3A-AB04-7C1FF899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5</TotalTime>
  <Pages>10</Pages>
  <Words>2571</Words>
  <Characters>15350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Accounting Standards Board</Company>
  <LinksUpToDate>false</LinksUpToDate>
  <CharactersWithSpaces>17886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Clark M. Anstis</cp:lastModifiedBy>
  <cp:revision>4</cp:revision>
  <cp:lastPrinted>2015-07-06T07:45:00Z</cp:lastPrinted>
  <dcterms:created xsi:type="dcterms:W3CDTF">2015-08-12T05:26:00Z</dcterms:created>
  <dcterms:modified xsi:type="dcterms:W3CDTF">2015-08-14T11:30:00Z</dcterms:modified>
</cp:coreProperties>
</file>