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BC3" w:rsidRDefault="00414BC3">
      <w:pPr>
        <w:pStyle w:val="CoverTitle"/>
        <w:jc w:val="center"/>
      </w:pPr>
      <w:r>
        <w:t>Explanatory Statement</w:t>
      </w:r>
    </w:p>
    <w:p w:rsidR="00414BC3" w:rsidRDefault="00414BC3">
      <w:pPr>
        <w:pStyle w:val="CoverTitle"/>
        <w:jc w:val="center"/>
      </w:pPr>
    </w:p>
    <w:p w:rsidR="00414BC3" w:rsidRDefault="00414BC3">
      <w:pPr>
        <w:pStyle w:val="CoverTitle"/>
        <w:jc w:val="center"/>
      </w:pPr>
    </w:p>
    <w:p w:rsidR="00414BC3" w:rsidRDefault="00AA69D3" w:rsidP="000D428B">
      <w:pPr>
        <w:pStyle w:val="CoverTitle"/>
        <w:spacing w:after="3000"/>
        <w:jc w:val="center"/>
      </w:pPr>
      <w:r>
        <w:rPr>
          <w:sz w:val="36"/>
          <w:szCs w:val="36"/>
        </w:rPr>
        <w:t xml:space="preserve">Reissuance of Australian </w:t>
      </w:r>
      <w:r w:rsidR="00396BCD" w:rsidRPr="00347521">
        <w:rPr>
          <w:sz w:val="36"/>
          <w:szCs w:val="36"/>
        </w:rPr>
        <w:t>Accounting Standard</w:t>
      </w:r>
      <w:r>
        <w:rPr>
          <w:sz w:val="36"/>
          <w:szCs w:val="36"/>
        </w:rPr>
        <w:t>s that incorporate International Financial Reporting Standards</w:t>
      </w:r>
    </w:p>
    <w:p w:rsidR="00414BC3" w:rsidRPr="00396BCD" w:rsidRDefault="00AA69D3" w:rsidP="000D428B">
      <w:pPr>
        <w:pStyle w:val="CoverDate"/>
        <w:tabs>
          <w:tab w:val="left" w:pos="3794"/>
          <w:tab w:val="left" w:pos="6232"/>
        </w:tabs>
        <w:spacing w:before="840"/>
        <w:rPr>
          <w:b/>
          <w:sz w:val="28"/>
          <w:szCs w:val="28"/>
        </w:rPr>
      </w:pPr>
      <w:r>
        <w:rPr>
          <w:b/>
          <w:sz w:val="28"/>
          <w:szCs w:val="28"/>
        </w:rPr>
        <w:t>August</w:t>
      </w:r>
      <w:r w:rsidR="00C61FC9">
        <w:rPr>
          <w:b/>
          <w:sz w:val="28"/>
          <w:szCs w:val="28"/>
        </w:rPr>
        <w:t xml:space="preserve"> </w:t>
      </w:r>
      <w:r w:rsidR="00225101">
        <w:rPr>
          <w:b/>
          <w:sz w:val="28"/>
          <w:szCs w:val="28"/>
        </w:rPr>
        <w:t>20</w:t>
      </w:r>
      <w:r w:rsidR="00391DC5">
        <w:rPr>
          <w:b/>
          <w:sz w:val="28"/>
          <w:szCs w:val="28"/>
        </w:rPr>
        <w:t>1</w:t>
      </w:r>
      <w:r>
        <w:rPr>
          <w:b/>
          <w:sz w:val="28"/>
          <w:szCs w:val="28"/>
        </w:rPr>
        <w:t>5</w:t>
      </w:r>
    </w:p>
    <w:p w:rsidR="00414BC3" w:rsidRDefault="00414BC3"/>
    <w:p w:rsidR="00414BC3" w:rsidRDefault="00414BC3"/>
    <w:p w:rsidR="00414BC3" w:rsidRDefault="008D2250">
      <w:pPr>
        <w:sectPr w:rsidR="00414BC3" w:rsidSect="00055028">
          <w:pgSz w:w="11907" w:h="16840" w:code="9"/>
          <w:pgMar w:top="1134" w:right="1134" w:bottom="1134" w:left="1134" w:header="720" w:footer="720" w:gutter="0"/>
          <w:cols w:space="720"/>
          <w:docGrid w:linePitch="272"/>
        </w:sectP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Australian Government - Australian Accounting Standards Board" style="position:absolute;margin-left:0;margin-top:700.25pt;width:123.05pt;height:95.75pt;z-index:251657728;visibility:visible;mso-wrap-edited:f;mso-position-horizontal:absolute;mso-position-horizontal-relative:margin;mso-position-vertical:absolute;mso-position-vertical-relative:page">
            <v:imagedata r:id="rId9" o:title=""/>
            <w10:wrap anchorx="margin" anchory="page"/>
            <w10:anchorlock/>
          </v:shape>
          <o:OLEObject Type="Embed" ProgID="Word.Picture.8" ShapeID="_x0000_s1026" DrawAspect="Content" ObjectID="_1502214384" r:id="rId10"/>
        </w:pict>
      </w:r>
    </w:p>
    <w:p w:rsidR="00414BC3" w:rsidRDefault="00414BC3">
      <w:pPr>
        <w:pStyle w:val="Heading1"/>
      </w:pPr>
      <w:r>
        <w:lastRenderedPageBreak/>
        <w:t>EXPLANATORY STATEMENT</w:t>
      </w:r>
    </w:p>
    <w:p w:rsidR="007034D5" w:rsidRDefault="00A03FBE" w:rsidP="007034D5">
      <w:pPr>
        <w:pStyle w:val="Heading2"/>
      </w:pPr>
      <w:r>
        <w:t>Re</w:t>
      </w:r>
      <w:r w:rsidR="006B1469">
        <w:t>issu</w:t>
      </w:r>
      <w:r>
        <w:t>a</w:t>
      </w:r>
      <w:r w:rsidR="006B1469">
        <w:t>n</w:t>
      </w:r>
      <w:r>
        <w:t>ce of</w:t>
      </w:r>
      <w:r w:rsidR="006B1469">
        <w:t xml:space="preserve"> </w:t>
      </w:r>
      <w:r w:rsidR="00AA69D3">
        <w:t>Australian Accounting Standards that incorporate International Financial Reporting Standards</w:t>
      </w:r>
    </w:p>
    <w:p w:rsidR="007034D5" w:rsidRDefault="007034D5" w:rsidP="007034D5">
      <w:pPr>
        <w:pStyle w:val="NoNumPlain1"/>
      </w:pPr>
      <w:r w:rsidRPr="006C6A8D">
        <w:rPr>
          <w:lang w:val="en-GB"/>
        </w:rPr>
        <w:t>Australian Accounting Standards that apply to annual periods beginning on or after 1 January 2005</w:t>
      </w:r>
      <w:r w:rsidR="00B43A34">
        <w:rPr>
          <w:lang w:val="en-GB"/>
        </w:rPr>
        <w:t xml:space="preserve"> incorporate International Financial Reporting Standards (IFRSs)</w:t>
      </w:r>
      <w:r>
        <w:rPr>
          <w:lang w:val="en-GB"/>
        </w:rPr>
        <w:t>, which</w:t>
      </w:r>
      <w:r w:rsidRPr="006C6A8D">
        <w:rPr>
          <w:lang w:val="en-GB"/>
        </w:rPr>
        <w:t xml:space="preserve"> comprise </w:t>
      </w:r>
      <w:r w:rsidR="009D1348">
        <w:rPr>
          <w:lang w:val="en-GB"/>
        </w:rPr>
        <w:t xml:space="preserve">both </w:t>
      </w:r>
      <w:r w:rsidRPr="006C6A8D">
        <w:rPr>
          <w:lang w:val="en-GB"/>
        </w:rPr>
        <w:t>Accounting Standards and Interpretations</w:t>
      </w:r>
      <w:r w:rsidR="00B43A34">
        <w:rPr>
          <w:lang w:val="en-GB"/>
        </w:rPr>
        <w:t xml:space="preserve"> issued by the International Accounting Standards Board</w:t>
      </w:r>
      <w:r w:rsidR="00AC5268">
        <w:rPr>
          <w:lang w:val="en-GB"/>
        </w:rPr>
        <w:t xml:space="preserve"> (IASB)</w:t>
      </w:r>
      <w:r w:rsidRPr="006C6A8D">
        <w:rPr>
          <w:lang w:val="en-GB"/>
        </w:rPr>
        <w:t>.</w:t>
      </w:r>
      <w:r>
        <w:rPr>
          <w:lang w:val="en-GB"/>
        </w:rPr>
        <w:t xml:space="preserve">  The adoption of IFRSs </w:t>
      </w:r>
      <w:r w:rsidRPr="006C6A8D">
        <w:rPr>
          <w:lang w:val="en-GB"/>
        </w:rPr>
        <w:t>in Australia is in accordance with a strategic directi</w:t>
      </w:r>
      <w:r>
        <w:rPr>
          <w:lang w:val="en-GB"/>
        </w:rPr>
        <w:t>on</w:t>
      </w:r>
      <w:r w:rsidRPr="006C6A8D">
        <w:rPr>
          <w:lang w:val="en-GB"/>
        </w:rPr>
        <w:t xml:space="preserve"> made by the Financial Reporting Council</w:t>
      </w:r>
      <w:r>
        <w:rPr>
          <w:lang w:val="en-GB"/>
        </w:rPr>
        <w:t xml:space="preserve"> (FRC)</w:t>
      </w:r>
      <w:r w:rsidRPr="006C6A8D">
        <w:rPr>
          <w:lang w:val="en-GB"/>
        </w:rPr>
        <w:t>.</w:t>
      </w:r>
    </w:p>
    <w:p w:rsidR="007B1F48" w:rsidRDefault="008D2250" w:rsidP="007034D5">
      <w:pPr>
        <w:pStyle w:val="NoNumPlain1"/>
      </w:pPr>
      <w:r>
        <w:t xml:space="preserve">Most of the </w:t>
      </w:r>
      <w:r w:rsidR="007B1F48">
        <w:t xml:space="preserve">Australian Accounting Standards that </w:t>
      </w:r>
      <w:r w:rsidR="00BB1C7A">
        <w:t xml:space="preserve">incorporate IFRSs </w:t>
      </w:r>
      <w:r w:rsidR="0088579E">
        <w:t>have been</w:t>
      </w:r>
      <w:r w:rsidR="007B1F48">
        <w:t xml:space="preserve"> reissued by the Australian Accounting Standards Board (AASB) </w:t>
      </w:r>
      <w:r w:rsidR="00BB1C7A">
        <w:t xml:space="preserve">as new principal versions.  The Standards </w:t>
      </w:r>
      <w:r>
        <w:t xml:space="preserve">reissued </w:t>
      </w:r>
      <w:r w:rsidR="007B1F48">
        <w:t>are listed in the Appendix.</w:t>
      </w:r>
      <w:r w:rsidR="00027E5C">
        <w:t xml:space="preserve">  All of these Standards replace previous versions of the Standards and are the same in substance as those previous versions.</w:t>
      </w:r>
    </w:p>
    <w:p w:rsidR="004310A2" w:rsidRDefault="006716AB" w:rsidP="007034D5">
      <w:pPr>
        <w:pStyle w:val="NoNumPlain1"/>
      </w:pPr>
      <w:r>
        <w:t xml:space="preserve">All of these Standards </w:t>
      </w:r>
      <w:r w:rsidR="0088579E">
        <w:t>have been</w:t>
      </w:r>
      <w:r>
        <w:t xml:space="preserve"> reissued to incorporate editorial corrections and minor clarifications.</w:t>
      </w:r>
      <w:r w:rsidR="006B3BD7">
        <w:t xml:space="preserve">  </w:t>
      </w:r>
      <w:r w:rsidR="004310A2" w:rsidRPr="004310A2">
        <w:t xml:space="preserve">The editorial corrections </w:t>
      </w:r>
      <w:r>
        <w:t xml:space="preserve">and clarifications </w:t>
      </w:r>
      <w:r w:rsidR="004310A2" w:rsidRPr="004310A2">
        <w:t xml:space="preserve">remove unnecessary punctuation and other editorial differences in comparison with the text of IFRSs, so that the </w:t>
      </w:r>
      <w:r w:rsidR="00084860">
        <w:t>incorporation</w:t>
      </w:r>
      <w:r w:rsidR="004310A2" w:rsidRPr="004310A2">
        <w:t xml:space="preserve"> of future IASB amendments </w:t>
      </w:r>
      <w:r w:rsidR="00084860">
        <w:t>into</w:t>
      </w:r>
      <w:r w:rsidR="004310A2" w:rsidRPr="004310A2">
        <w:t xml:space="preserve"> Australian Accounting Standards </w:t>
      </w:r>
      <w:r w:rsidR="00084860">
        <w:t xml:space="preserve">by the AASB </w:t>
      </w:r>
      <w:r w:rsidR="004310A2" w:rsidRPr="004310A2">
        <w:t xml:space="preserve">(subject to </w:t>
      </w:r>
      <w:r w:rsidR="006B3BD7">
        <w:t>the AASB’s</w:t>
      </w:r>
      <w:r w:rsidR="004310A2" w:rsidRPr="004310A2">
        <w:t xml:space="preserve"> usual extensive due process) will be a much easi</w:t>
      </w:r>
      <w:r w:rsidR="006B3BD7">
        <w:t>er process in editorial terms.</w:t>
      </w:r>
    </w:p>
    <w:p w:rsidR="00BB1C7A" w:rsidRDefault="00084860" w:rsidP="007034D5">
      <w:pPr>
        <w:pStyle w:val="NoNumPlain1"/>
      </w:pPr>
      <w:r>
        <w:t xml:space="preserve">The reissued Standards have a range of application </w:t>
      </w:r>
      <w:r w:rsidR="00BB1C7A">
        <w:t xml:space="preserve">(effective) </w:t>
      </w:r>
      <w:r>
        <w:t xml:space="preserve">dates, from </w:t>
      </w:r>
      <w:r w:rsidRPr="009D1348">
        <w:t>annual periods beginning on or after 1</w:t>
      </w:r>
      <w:r w:rsidR="00BB1C7A">
        <w:t> </w:t>
      </w:r>
      <w:r w:rsidRPr="009D1348">
        <w:t>January 2016</w:t>
      </w:r>
      <w:r>
        <w:t xml:space="preserve"> to annual periods beginning on or after 1 January 2018</w:t>
      </w:r>
      <w:r w:rsidRPr="009D1348">
        <w:t xml:space="preserve">.  </w:t>
      </w:r>
      <w:r>
        <w:t xml:space="preserve">The application date is specified in each Standard.  </w:t>
      </w:r>
      <w:r w:rsidR="00BB1C7A">
        <w:t>The application date for each Standard reflects the application date of the latest-applying amendments made to the previous version of the Standard.</w:t>
      </w:r>
    </w:p>
    <w:p w:rsidR="006B3BD7" w:rsidRDefault="00084860" w:rsidP="007034D5">
      <w:pPr>
        <w:pStyle w:val="NoNumPlain1"/>
      </w:pPr>
      <w:r w:rsidRPr="009D1348">
        <w:t xml:space="preserve">Earlier application </w:t>
      </w:r>
      <w:r>
        <w:t xml:space="preserve">of any Standard </w:t>
      </w:r>
      <w:r w:rsidRPr="009D1348">
        <w:t>is permitted</w:t>
      </w:r>
      <w:r w:rsidR="00F46883">
        <w:t xml:space="preserve"> for certain limited periods, as set out in </w:t>
      </w:r>
      <w:r w:rsidR="0088579E">
        <w:t>each</w:t>
      </w:r>
      <w:r w:rsidR="00F46883">
        <w:t xml:space="preserve"> Standard</w:t>
      </w:r>
      <w:r>
        <w:t>, subject to any early application requirements specified in the Standard</w:t>
      </w:r>
      <w:r w:rsidRPr="009D1348">
        <w:t>.</w:t>
      </w:r>
    </w:p>
    <w:p w:rsidR="004310A2" w:rsidRDefault="004310A2" w:rsidP="004310A2">
      <w:pPr>
        <w:pStyle w:val="Heading2"/>
      </w:pPr>
      <w:r>
        <w:t>AASB 1057</w:t>
      </w:r>
    </w:p>
    <w:p w:rsidR="009D1348" w:rsidRDefault="00027E5C" w:rsidP="009D1348">
      <w:pPr>
        <w:pStyle w:val="NoNumPlain1"/>
      </w:pPr>
      <w:r>
        <w:t xml:space="preserve">In conjunction with the reissuance of those Standards, the AASB has also issued a new Standard, AASB 1057 </w:t>
      </w:r>
      <w:r w:rsidRPr="009D1348">
        <w:rPr>
          <w:i/>
        </w:rPr>
        <w:t>Application of Australian Accounting Standards</w:t>
      </w:r>
      <w:r>
        <w:t>.</w:t>
      </w:r>
      <w:r w:rsidR="009D1348">
        <w:t xml:space="preserve">  Australian Accounting Standards (and Interpretations) are to be applied by:</w:t>
      </w:r>
    </w:p>
    <w:p w:rsidR="009D1348" w:rsidRDefault="009D1348" w:rsidP="009D1348">
      <w:pPr>
        <w:pStyle w:val="NumPlain1"/>
      </w:pPr>
      <w:r>
        <w:t>(a)</w:t>
      </w:r>
      <w:r>
        <w:tab/>
        <w:t xml:space="preserve">entities required by the </w:t>
      </w:r>
      <w:r w:rsidRPr="004310A2">
        <w:rPr>
          <w:i/>
        </w:rPr>
        <w:t>Corporations Act 2001</w:t>
      </w:r>
      <w:r w:rsidR="006B3BD7">
        <w:t xml:space="preserve"> to prepare financial reports;</w:t>
      </w:r>
    </w:p>
    <w:p w:rsidR="009D1348" w:rsidRDefault="009D1348" w:rsidP="009D1348">
      <w:pPr>
        <w:pStyle w:val="NumPlain1"/>
      </w:pPr>
      <w:r>
        <w:t>(b)</w:t>
      </w:r>
      <w:r>
        <w:tab/>
        <w:t>governments in preparing financial statements for the whole of government and the General Government Sector (GGS); and/or</w:t>
      </w:r>
    </w:p>
    <w:p w:rsidR="006B1469" w:rsidRDefault="009D1348" w:rsidP="009D1348">
      <w:pPr>
        <w:pStyle w:val="NumPlain1"/>
      </w:pPr>
      <w:r>
        <w:t>(c)</w:t>
      </w:r>
      <w:r>
        <w:tab/>
        <w:t>entities in the private or public for-profit or not-for-profit sectors that are reporting entities or that prepare general purpose financial statements.</w:t>
      </w:r>
    </w:p>
    <w:p w:rsidR="006B1469" w:rsidRDefault="009D1348" w:rsidP="009D1348">
      <w:pPr>
        <w:pStyle w:val="NoNumPlain1"/>
      </w:pPr>
      <w:r>
        <w:t xml:space="preserve">AASB 1057 lists </w:t>
      </w:r>
      <w:r w:rsidR="006716AB">
        <w:t xml:space="preserve">(without change) </w:t>
      </w:r>
      <w:r>
        <w:t>the application paragraphs for each other Standard and Interpretation, grouped where they are the same.  Accordingly, paragraphs 5 and 22 of AASB 1057 respectively specify the application paragraphs for Standards and Interpretations in general.  Differing application paragraphs are set out for individual Standards and Interpretat</w:t>
      </w:r>
      <w:r w:rsidR="006B3BD7">
        <w:t xml:space="preserve">ions or grouped where possible.  </w:t>
      </w:r>
      <w:r>
        <w:t>The application paragraphs do not affect requirements in other Standards that specify that certain paragraphs apply only to certain types of entities.</w:t>
      </w:r>
    </w:p>
    <w:p w:rsidR="006B3BD7" w:rsidRDefault="006B3BD7" w:rsidP="004310A2">
      <w:pPr>
        <w:pStyle w:val="NoNumPlain1"/>
      </w:pPr>
      <w:r>
        <w:t xml:space="preserve">At the same time, those application paragraphs have been removed from the Standards reissued by the AASB.  </w:t>
      </w:r>
      <w:r w:rsidRPr="006B3BD7">
        <w:t xml:space="preserve">This </w:t>
      </w:r>
      <w:r>
        <w:t>approach</w:t>
      </w:r>
      <w:r w:rsidRPr="006B3BD7">
        <w:t xml:space="preserve"> will facilitate any changes to the applica</w:t>
      </w:r>
      <w:r w:rsidR="00084860">
        <w:t>tion</w:t>
      </w:r>
      <w:r w:rsidRPr="006B3BD7">
        <w:t xml:space="preserve"> of Standards to entities and</w:t>
      </w:r>
      <w:r w:rsidR="00084860">
        <w:t xml:space="preserve"> to</w:t>
      </w:r>
      <w:r w:rsidRPr="006B3BD7">
        <w:t xml:space="preserve"> general purpose financial statements that the AASB might make in the future</w:t>
      </w:r>
      <w:r>
        <w:t>, as such changes would then require amendments to AASB 1057 rathe</w:t>
      </w:r>
      <w:r w:rsidR="00DF7461">
        <w:t>r than the individual Standards</w:t>
      </w:r>
      <w:r>
        <w:t>.</w:t>
      </w:r>
    </w:p>
    <w:p w:rsidR="004310A2" w:rsidRDefault="004310A2" w:rsidP="004310A2">
      <w:pPr>
        <w:pStyle w:val="NoNumPlain1"/>
      </w:pPr>
      <w:r>
        <w:t>AASB 1057</w:t>
      </w:r>
      <w:r w:rsidRPr="009D1348">
        <w:t xml:space="preserve"> appli</w:t>
      </w:r>
      <w:r w:rsidR="00BB1C7A">
        <w:t>es</w:t>
      </w:r>
      <w:r w:rsidRPr="009D1348">
        <w:t xml:space="preserve"> to annual periods beginning on or after 1 January 2016.  Earlier application is permitted.</w:t>
      </w:r>
    </w:p>
    <w:p w:rsidR="00EA0A87" w:rsidRPr="001D1FFA" w:rsidRDefault="00EA0A87" w:rsidP="00EA0A87">
      <w:pPr>
        <w:pStyle w:val="Heading2"/>
      </w:pPr>
      <w:r w:rsidRPr="001D1FFA">
        <w:t>Consultation</w:t>
      </w:r>
    </w:p>
    <w:p w:rsidR="00A0482F" w:rsidRDefault="00C151A2" w:rsidP="00334921">
      <w:pPr>
        <w:pStyle w:val="NoNumPlain1"/>
        <w:spacing w:after="100"/>
      </w:pPr>
      <w:r>
        <w:t>Public consultation was carried out in developing</w:t>
      </w:r>
      <w:r w:rsidR="00027E5C">
        <w:t xml:space="preserve"> the previous versions of the Standards, including amendments to them through amending Standards.  Since all of the reissued Standards and AASB 1057 are the same in substance as the previous versions of the Standards, no specific consultation has been required in relation to the reissuance of the Standards</w:t>
      </w:r>
      <w:r w:rsidR="004310A2">
        <w:t xml:space="preserve"> and the issuance of AASB 1057</w:t>
      </w:r>
      <w:r w:rsidR="00027E5C">
        <w:t>.</w:t>
      </w:r>
    </w:p>
    <w:p w:rsidR="00AD44F9" w:rsidRPr="00EE3350" w:rsidRDefault="007034D5" w:rsidP="00EA56FD">
      <w:pPr>
        <w:pStyle w:val="NoNumPlain1"/>
      </w:pPr>
      <w:r>
        <w:t xml:space="preserve">A </w:t>
      </w:r>
      <w:r w:rsidR="00B43A34">
        <w:t xml:space="preserve">Regulation </w:t>
      </w:r>
      <w:r>
        <w:t>Impact Statement has not been prepared in connection with the issu</w:t>
      </w:r>
      <w:r w:rsidR="004310A2">
        <w:t>anc</w:t>
      </w:r>
      <w:r>
        <w:t xml:space="preserve">e of </w:t>
      </w:r>
      <w:r w:rsidR="004310A2">
        <w:t>these</w:t>
      </w:r>
      <w:r w:rsidR="00AA69D3">
        <w:t xml:space="preserve"> Standards </w:t>
      </w:r>
      <w:r>
        <w:t>as the amendments made are of a minor or machinery nature</w:t>
      </w:r>
      <w:r w:rsidR="00EE3350">
        <w:t>.</w:t>
      </w:r>
    </w:p>
    <w:p w:rsidR="000C34F1" w:rsidRPr="004A505B" w:rsidRDefault="000C34F1" w:rsidP="004A505B">
      <w:pPr>
        <w:pStyle w:val="Heading2"/>
        <w:spacing w:before="600"/>
        <w:jc w:val="center"/>
      </w:pPr>
      <w:r w:rsidRPr="004A505B">
        <w:lastRenderedPageBreak/>
        <w:t>Statement of Compatibility with Human Rights</w:t>
      </w:r>
    </w:p>
    <w:p w:rsidR="005B5D05" w:rsidRPr="00B32492" w:rsidRDefault="005B5D05" w:rsidP="00F46883">
      <w:pPr>
        <w:keepNext/>
        <w:spacing w:after="200"/>
        <w:jc w:val="center"/>
      </w:pPr>
      <w:r w:rsidRPr="00B32492">
        <w:t xml:space="preserve">Prepared in accordance with Part 3 of the </w:t>
      </w:r>
      <w:r w:rsidRPr="00B32492">
        <w:br/>
      </w:r>
      <w:r w:rsidRPr="00B32492">
        <w:rPr>
          <w:i/>
        </w:rPr>
        <w:t>Human Rights (Parliamentary Scrutiny) Act 2011</w:t>
      </w:r>
    </w:p>
    <w:p w:rsidR="005B5D05" w:rsidRPr="00764B56" w:rsidRDefault="00764B56" w:rsidP="005B5D05">
      <w:pPr>
        <w:keepNext/>
        <w:spacing w:after="360" w:line="240" w:lineRule="exact"/>
        <w:jc w:val="center"/>
        <w:outlineLvl w:val="2"/>
        <w:rPr>
          <w:rFonts w:cs="Arial"/>
          <w:b/>
          <w:bCs/>
          <w:iCs/>
          <w:sz w:val="24"/>
          <w:szCs w:val="24"/>
        </w:rPr>
      </w:pPr>
      <w:r w:rsidRPr="00764B56">
        <w:rPr>
          <w:b/>
          <w:sz w:val="24"/>
          <w:szCs w:val="24"/>
        </w:rPr>
        <w:t xml:space="preserve">Reissuance of </w:t>
      </w:r>
      <w:bookmarkStart w:id="0" w:name="_GoBack"/>
      <w:bookmarkEnd w:id="0"/>
      <w:r w:rsidRPr="00764B56">
        <w:rPr>
          <w:b/>
          <w:sz w:val="24"/>
          <w:szCs w:val="24"/>
        </w:rPr>
        <w:t xml:space="preserve">Australian Accounting Standards </w:t>
      </w:r>
      <w:r w:rsidRPr="00764B56">
        <w:rPr>
          <w:b/>
          <w:sz w:val="24"/>
          <w:szCs w:val="24"/>
        </w:rPr>
        <w:br/>
        <w:t>that incorporate International Financial Reporting Standards</w:t>
      </w:r>
    </w:p>
    <w:p w:rsidR="009C1383" w:rsidRPr="00B32492" w:rsidRDefault="009C1383" w:rsidP="009C1383">
      <w:pPr>
        <w:keepNext/>
        <w:spacing w:after="200" w:line="240" w:lineRule="exact"/>
        <w:outlineLvl w:val="2"/>
        <w:rPr>
          <w:rFonts w:cs="Arial"/>
          <w:b/>
          <w:bCs/>
          <w:iCs/>
          <w:sz w:val="24"/>
          <w:szCs w:val="26"/>
        </w:rPr>
      </w:pPr>
      <w:r w:rsidRPr="00B32492">
        <w:rPr>
          <w:rFonts w:cs="Arial"/>
          <w:b/>
          <w:bCs/>
          <w:iCs/>
          <w:sz w:val="24"/>
          <w:szCs w:val="26"/>
        </w:rPr>
        <w:t>Overview of the Accounting Standard</w:t>
      </w:r>
      <w:r w:rsidR="00AA69D3">
        <w:rPr>
          <w:rFonts w:cs="Arial"/>
          <w:b/>
          <w:bCs/>
          <w:iCs/>
          <w:sz w:val="24"/>
          <w:szCs w:val="26"/>
        </w:rPr>
        <w:t>s</w:t>
      </w:r>
    </w:p>
    <w:p w:rsidR="009C1383" w:rsidRDefault="00AA69D3" w:rsidP="009C1383">
      <w:pPr>
        <w:pStyle w:val="NoNumPlain1"/>
      </w:pPr>
      <w:r>
        <w:t xml:space="preserve">The reissued Accounting Standards </w:t>
      </w:r>
      <w:r w:rsidR="00764B56">
        <w:t>replace previous versions of the Standards and are the same in substance as those previous versions</w:t>
      </w:r>
      <w:r w:rsidR="009C1383">
        <w:t>.</w:t>
      </w:r>
      <w:r w:rsidR="006716AB">
        <w:t xml:space="preserve">  The </w:t>
      </w:r>
      <w:r w:rsidR="0088579E" w:rsidRPr="004310A2">
        <w:t xml:space="preserve">reissued </w:t>
      </w:r>
      <w:r w:rsidR="006716AB" w:rsidRPr="004310A2">
        <w:t xml:space="preserve">Standards are all Standards that incorporate the requirements of </w:t>
      </w:r>
      <w:r w:rsidR="006716AB">
        <w:rPr>
          <w:lang w:val="en-GB"/>
        </w:rPr>
        <w:t>International Financial Reporting Standards (</w:t>
      </w:r>
      <w:r w:rsidR="006716AB" w:rsidRPr="004310A2">
        <w:t>IFRSs</w:t>
      </w:r>
      <w:r w:rsidR="006716AB">
        <w:t>)</w:t>
      </w:r>
      <w:r w:rsidR="006716AB" w:rsidRPr="004310A2">
        <w:t xml:space="preserve">.  The </w:t>
      </w:r>
      <w:r w:rsidR="00003ABA">
        <w:t xml:space="preserve">Standards </w:t>
      </w:r>
      <w:r w:rsidR="0088579E">
        <w:t>have been</w:t>
      </w:r>
      <w:r w:rsidR="00003ABA">
        <w:t xml:space="preserve"> reissued to incorporate </w:t>
      </w:r>
      <w:r w:rsidR="006716AB" w:rsidRPr="004310A2">
        <w:t xml:space="preserve">editorial corrections </w:t>
      </w:r>
      <w:r w:rsidR="00003ABA">
        <w:t xml:space="preserve">and clarifications to </w:t>
      </w:r>
      <w:r w:rsidR="006716AB" w:rsidRPr="004310A2">
        <w:t xml:space="preserve">remove unnecessary punctuation and other editorial differences in comparison with the text of IFRSs, so that the </w:t>
      </w:r>
      <w:r w:rsidR="006716AB">
        <w:t>incorporation</w:t>
      </w:r>
      <w:r w:rsidR="006716AB" w:rsidRPr="004310A2">
        <w:t xml:space="preserve"> of future IASB amendments </w:t>
      </w:r>
      <w:r w:rsidR="006716AB">
        <w:t>into</w:t>
      </w:r>
      <w:r w:rsidR="006716AB" w:rsidRPr="004310A2">
        <w:t xml:space="preserve"> Australian Accounting Standards </w:t>
      </w:r>
      <w:r w:rsidR="006716AB">
        <w:t xml:space="preserve">by the AASB </w:t>
      </w:r>
      <w:r w:rsidR="006716AB" w:rsidRPr="004310A2">
        <w:t xml:space="preserve">(subject to </w:t>
      </w:r>
      <w:r w:rsidR="006716AB">
        <w:t>the AASB’s</w:t>
      </w:r>
      <w:r w:rsidR="006716AB" w:rsidRPr="004310A2">
        <w:t xml:space="preserve"> usual extensive due process) will be a much easi</w:t>
      </w:r>
      <w:r w:rsidR="006716AB">
        <w:t>er process in editorial terms.</w:t>
      </w:r>
    </w:p>
    <w:p w:rsidR="00764B56" w:rsidRPr="00423FCD" w:rsidRDefault="00764B56" w:rsidP="009C1383">
      <w:pPr>
        <w:pStyle w:val="NoNumPlain1"/>
      </w:pPr>
      <w:r>
        <w:t xml:space="preserve">The one new Standard, AASB 1057 </w:t>
      </w:r>
      <w:r w:rsidRPr="00764B56">
        <w:rPr>
          <w:i/>
        </w:rPr>
        <w:t>Application of Australian Accounting Standards</w:t>
      </w:r>
      <w:r>
        <w:t xml:space="preserve">, </w:t>
      </w:r>
      <w:r w:rsidR="004310A2">
        <w:t>lists the application paragraphs for each other Australian Accounting Standard (and Interpretation), grouped where they are the same, without changing the applica</w:t>
      </w:r>
      <w:r w:rsidR="00F46883">
        <w:t>tion</w:t>
      </w:r>
      <w:r w:rsidR="004310A2">
        <w:t xml:space="preserve"> of those pronouncements to entities or </w:t>
      </w:r>
      <w:r w:rsidR="00F46883">
        <w:t xml:space="preserve">to </w:t>
      </w:r>
      <w:r w:rsidR="004310A2">
        <w:t>general purpose financial statements.</w:t>
      </w:r>
      <w:r w:rsidR="00003ABA">
        <w:t xml:space="preserve">  At the same time, those application paragraphs have been removed from the Standards reissued by the AASB.  </w:t>
      </w:r>
      <w:r w:rsidR="00003ABA" w:rsidRPr="006B3BD7">
        <w:t xml:space="preserve">This </w:t>
      </w:r>
      <w:r w:rsidR="00003ABA">
        <w:t>approach</w:t>
      </w:r>
      <w:r w:rsidR="00003ABA" w:rsidRPr="006B3BD7">
        <w:t xml:space="preserve"> will facilitate any changes to the applica</w:t>
      </w:r>
      <w:r w:rsidR="00003ABA">
        <w:t>tion</w:t>
      </w:r>
      <w:r w:rsidR="00003ABA" w:rsidRPr="006B3BD7">
        <w:t xml:space="preserve"> of Standards to entities and</w:t>
      </w:r>
      <w:r w:rsidR="00003ABA">
        <w:t xml:space="preserve"> to</w:t>
      </w:r>
      <w:r w:rsidR="00003ABA" w:rsidRPr="006B3BD7">
        <w:t xml:space="preserve"> general purpose financial statements that the AASB might make in the future</w:t>
      </w:r>
      <w:r w:rsidR="00003ABA">
        <w:t>, as such changes would then require amendments to AASB 1057 rathe</w:t>
      </w:r>
      <w:r w:rsidR="00DF7461">
        <w:t>r than the individual Standards</w:t>
      </w:r>
      <w:r w:rsidR="00003ABA">
        <w:t>.</w:t>
      </w:r>
    </w:p>
    <w:p w:rsidR="009C1383" w:rsidRPr="00B32492" w:rsidRDefault="009C1383" w:rsidP="009C1383">
      <w:pPr>
        <w:keepNext/>
        <w:spacing w:after="200" w:line="240" w:lineRule="exact"/>
        <w:outlineLvl w:val="2"/>
        <w:rPr>
          <w:rFonts w:cs="Arial"/>
          <w:b/>
          <w:bCs/>
          <w:iCs/>
          <w:sz w:val="24"/>
          <w:szCs w:val="26"/>
        </w:rPr>
      </w:pPr>
      <w:r w:rsidRPr="00B32492">
        <w:rPr>
          <w:rFonts w:cs="Arial"/>
          <w:b/>
          <w:bCs/>
          <w:iCs/>
          <w:sz w:val="24"/>
          <w:szCs w:val="26"/>
        </w:rPr>
        <w:t xml:space="preserve">Human </w:t>
      </w:r>
      <w:r w:rsidR="0088579E" w:rsidRPr="00B32492">
        <w:rPr>
          <w:rFonts w:cs="Arial"/>
          <w:b/>
          <w:bCs/>
          <w:iCs/>
          <w:sz w:val="24"/>
          <w:szCs w:val="26"/>
        </w:rPr>
        <w:t>rights implicatio</w:t>
      </w:r>
      <w:r w:rsidRPr="00B32492">
        <w:rPr>
          <w:rFonts w:cs="Arial"/>
          <w:b/>
          <w:bCs/>
          <w:iCs/>
          <w:sz w:val="24"/>
          <w:szCs w:val="26"/>
        </w:rPr>
        <w:t>ns</w:t>
      </w:r>
    </w:p>
    <w:p w:rsidR="009C1383" w:rsidRPr="00B32492" w:rsidRDefault="00AA69D3" w:rsidP="009C1383">
      <w:pPr>
        <w:spacing w:after="200"/>
      </w:pPr>
      <w:r>
        <w:t>The</w:t>
      </w:r>
      <w:r w:rsidR="009C1383" w:rsidRPr="00B32492">
        <w:t xml:space="preserve"> Standard</w:t>
      </w:r>
      <w:r>
        <w:t>s</w:t>
      </w:r>
      <w:r w:rsidR="009C1383" w:rsidRPr="00B32492">
        <w:t xml:space="preserve"> </w:t>
      </w:r>
      <w:r>
        <w:t xml:space="preserve">are </w:t>
      </w:r>
      <w:r w:rsidR="009C1383" w:rsidRPr="00B32492">
        <w:t xml:space="preserve">issued by the AASB in furtherance of the objective of facilitating the Australian economy.  </w:t>
      </w:r>
      <w:r>
        <w:t xml:space="preserve">They do </w:t>
      </w:r>
      <w:r w:rsidR="009C1383" w:rsidRPr="00B32492">
        <w:t xml:space="preserve">not diminish or limit any of the applicable human </w:t>
      </w:r>
      <w:r>
        <w:t>rights or freedoms, and thus do</w:t>
      </w:r>
      <w:r w:rsidR="009C1383" w:rsidRPr="00B32492">
        <w:t xml:space="preserve"> not raise any human rights issues.</w:t>
      </w:r>
    </w:p>
    <w:p w:rsidR="009C1383" w:rsidRPr="00B32492" w:rsidRDefault="009C1383" w:rsidP="009C1383">
      <w:pPr>
        <w:keepNext/>
        <w:spacing w:after="200" w:line="240" w:lineRule="exact"/>
        <w:outlineLvl w:val="2"/>
        <w:rPr>
          <w:rFonts w:cs="Arial"/>
          <w:b/>
          <w:bCs/>
          <w:iCs/>
          <w:sz w:val="24"/>
          <w:szCs w:val="26"/>
        </w:rPr>
      </w:pPr>
      <w:r w:rsidRPr="00B32492">
        <w:rPr>
          <w:rFonts w:cs="Arial"/>
          <w:b/>
          <w:bCs/>
          <w:iCs/>
          <w:sz w:val="24"/>
          <w:szCs w:val="26"/>
        </w:rPr>
        <w:t>Conclusion</w:t>
      </w:r>
    </w:p>
    <w:p w:rsidR="009C1383" w:rsidRDefault="00AA69D3" w:rsidP="009C1383">
      <w:pPr>
        <w:spacing w:after="200"/>
      </w:pPr>
      <w:r>
        <w:t>The</w:t>
      </w:r>
      <w:r w:rsidR="009C1383" w:rsidRPr="00B32492">
        <w:t xml:space="preserve"> Standard</w:t>
      </w:r>
      <w:r>
        <w:t>s</w:t>
      </w:r>
      <w:r w:rsidR="009C1383" w:rsidRPr="00B32492">
        <w:t xml:space="preserve"> </w:t>
      </w:r>
      <w:r>
        <w:t xml:space="preserve">are </w:t>
      </w:r>
      <w:r w:rsidR="009C1383" w:rsidRPr="00B32492">
        <w:t>compatible with the human rights and freedoms recognised or declared in the international instruments listed in section</w:t>
      </w:r>
      <w:r w:rsidR="009C1383">
        <w:t> 3</w:t>
      </w:r>
      <w:r w:rsidR="009C1383" w:rsidRPr="00B32492">
        <w:t xml:space="preserve"> of the </w:t>
      </w:r>
      <w:r w:rsidR="009C1383" w:rsidRPr="00B32492">
        <w:rPr>
          <w:i/>
        </w:rPr>
        <w:t>Human Rights (Parliamentary Scrutiny) Act 2011</w:t>
      </w:r>
      <w:r w:rsidR="009C1383" w:rsidRPr="00B32492">
        <w:t>.</w:t>
      </w:r>
    </w:p>
    <w:p w:rsidR="000C34F1" w:rsidRDefault="000C34F1" w:rsidP="009C1383">
      <w:pPr>
        <w:pStyle w:val="NoNumPlain1"/>
      </w:pPr>
    </w:p>
    <w:p w:rsidR="00544ACE" w:rsidRDefault="00544ACE" w:rsidP="00003ABA">
      <w:pPr>
        <w:pStyle w:val="Heading2"/>
        <w:spacing w:before="1200"/>
        <w:jc w:val="center"/>
      </w:pPr>
      <w:r>
        <w:t>Appendix</w:t>
      </w:r>
    </w:p>
    <w:p w:rsidR="00544ACE" w:rsidRDefault="00544ACE" w:rsidP="00003ABA">
      <w:pPr>
        <w:pStyle w:val="Heading3"/>
        <w:jc w:val="center"/>
      </w:pPr>
      <w:r>
        <w:t>Reissued Australian Accounting Standards that incorporate IFRSs</w:t>
      </w:r>
    </w:p>
    <w:p w:rsidR="00544ACE" w:rsidRDefault="00544ACE" w:rsidP="00544ACE">
      <w:pPr>
        <w:pStyle w:val="AppendixText"/>
      </w:pPr>
      <w:r>
        <w:t xml:space="preserve">AASB 1 </w:t>
      </w:r>
      <w:r w:rsidRPr="00544ACE">
        <w:rPr>
          <w:i/>
        </w:rPr>
        <w:t>First-time Adoption of Australian Accounting Standards</w:t>
      </w:r>
    </w:p>
    <w:p w:rsidR="00544ACE" w:rsidRPr="009146A9" w:rsidRDefault="00544ACE" w:rsidP="00544ACE">
      <w:pPr>
        <w:pStyle w:val="AppendixText"/>
      </w:pPr>
      <w:r>
        <w:t xml:space="preserve">AASB 2 </w:t>
      </w:r>
      <w:r>
        <w:rPr>
          <w:i/>
        </w:rPr>
        <w:t>Share-based Payment</w:t>
      </w:r>
    </w:p>
    <w:p w:rsidR="00544ACE" w:rsidRDefault="00544ACE" w:rsidP="00544ACE">
      <w:pPr>
        <w:pStyle w:val="AppendixText"/>
      </w:pPr>
      <w:r>
        <w:t xml:space="preserve">AASB 3 </w:t>
      </w:r>
      <w:r w:rsidRPr="00544ACE">
        <w:rPr>
          <w:i/>
        </w:rPr>
        <w:t>Business Combinations</w:t>
      </w:r>
    </w:p>
    <w:p w:rsidR="00544ACE" w:rsidRDefault="00544ACE" w:rsidP="00544ACE">
      <w:pPr>
        <w:pStyle w:val="AppendixText"/>
      </w:pPr>
      <w:r>
        <w:t xml:space="preserve">AASB 4 </w:t>
      </w:r>
      <w:r w:rsidRPr="00544ACE">
        <w:rPr>
          <w:i/>
        </w:rPr>
        <w:t>Insurance Contracts</w:t>
      </w:r>
    </w:p>
    <w:p w:rsidR="00544ACE" w:rsidRPr="00E357F3" w:rsidRDefault="00544ACE" w:rsidP="00544ACE">
      <w:pPr>
        <w:pStyle w:val="AppendixText"/>
      </w:pPr>
      <w:r>
        <w:t xml:space="preserve">AASB 5 </w:t>
      </w:r>
      <w:r w:rsidRPr="00544ACE">
        <w:rPr>
          <w:i/>
        </w:rPr>
        <w:t>Non-current Assets Held for Sale and Discontinued Operations</w:t>
      </w:r>
    </w:p>
    <w:p w:rsidR="00BE1234" w:rsidRDefault="00BE1234" w:rsidP="00544ACE">
      <w:pPr>
        <w:pStyle w:val="AppendixText"/>
      </w:pPr>
      <w:r>
        <w:t xml:space="preserve">AASB 6 </w:t>
      </w:r>
      <w:r w:rsidRPr="00BE1234">
        <w:rPr>
          <w:i/>
        </w:rPr>
        <w:t>Exploration for and Evaluation of Mineral Resources</w:t>
      </w:r>
    </w:p>
    <w:p w:rsidR="00544ACE" w:rsidRDefault="00544ACE" w:rsidP="00544ACE">
      <w:pPr>
        <w:pStyle w:val="AppendixText"/>
      </w:pPr>
      <w:r>
        <w:t xml:space="preserve">AASB 7 </w:t>
      </w:r>
      <w:r w:rsidRPr="00544ACE">
        <w:rPr>
          <w:i/>
        </w:rPr>
        <w:t>Financial Instruments: Disclosures</w:t>
      </w:r>
    </w:p>
    <w:p w:rsidR="00BE1234" w:rsidRDefault="00BE1234" w:rsidP="00544ACE">
      <w:pPr>
        <w:pStyle w:val="AppendixText"/>
        <w:rPr>
          <w:lang w:eastAsia="en-AU"/>
        </w:rPr>
      </w:pPr>
      <w:r>
        <w:t xml:space="preserve">AASB 8 </w:t>
      </w:r>
      <w:r>
        <w:rPr>
          <w:i/>
        </w:rPr>
        <w:t>Operating Segments</w:t>
      </w:r>
    </w:p>
    <w:p w:rsidR="00BE1234" w:rsidRDefault="00BE1234" w:rsidP="00544ACE">
      <w:pPr>
        <w:pStyle w:val="AppendixText"/>
        <w:rPr>
          <w:lang w:eastAsia="en-AU"/>
        </w:rPr>
      </w:pPr>
      <w:r>
        <w:rPr>
          <w:lang w:eastAsia="en-AU"/>
        </w:rPr>
        <w:t xml:space="preserve">AASB 10 </w:t>
      </w:r>
      <w:r w:rsidRPr="00BE1234">
        <w:rPr>
          <w:i/>
          <w:lang w:eastAsia="en-AU"/>
        </w:rPr>
        <w:t>Consolidated Financial Statements</w:t>
      </w:r>
    </w:p>
    <w:p w:rsidR="00BE1234" w:rsidRDefault="00BE1234" w:rsidP="00544ACE">
      <w:pPr>
        <w:pStyle w:val="AppendixText"/>
        <w:rPr>
          <w:lang w:eastAsia="en-AU"/>
        </w:rPr>
      </w:pPr>
      <w:r>
        <w:rPr>
          <w:lang w:eastAsia="en-AU"/>
        </w:rPr>
        <w:t xml:space="preserve">AASB 11 </w:t>
      </w:r>
      <w:r w:rsidRPr="00BE1234">
        <w:rPr>
          <w:i/>
          <w:lang w:eastAsia="en-AU"/>
        </w:rPr>
        <w:t>Joint Arrangements</w:t>
      </w:r>
    </w:p>
    <w:p w:rsidR="00BE1234" w:rsidRDefault="00BE1234" w:rsidP="00544ACE">
      <w:pPr>
        <w:pStyle w:val="AppendixText"/>
        <w:rPr>
          <w:lang w:eastAsia="en-AU"/>
        </w:rPr>
      </w:pPr>
      <w:r>
        <w:rPr>
          <w:lang w:eastAsia="en-AU"/>
        </w:rPr>
        <w:t xml:space="preserve">AASB 12 </w:t>
      </w:r>
      <w:r w:rsidRPr="00BE1234">
        <w:rPr>
          <w:i/>
          <w:lang w:eastAsia="en-AU"/>
        </w:rPr>
        <w:t>Disclosure of Interests in Other Entities</w:t>
      </w:r>
    </w:p>
    <w:p w:rsidR="00BE1234" w:rsidRDefault="00BE1234" w:rsidP="00544ACE">
      <w:pPr>
        <w:pStyle w:val="AppendixText"/>
        <w:rPr>
          <w:lang w:eastAsia="en-AU"/>
        </w:rPr>
      </w:pPr>
      <w:r>
        <w:t xml:space="preserve">AASB 13 </w:t>
      </w:r>
      <w:r>
        <w:rPr>
          <w:i/>
        </w:rPr>
        <w:t>Fair Value Measurement</w:t>
      </w:r>
    </w:p>
    <w:p w:rsidR="00544ACE" w:rsidRPr="008943C4" w:rsidRDefault="00544ACE" w:rsidP="00544ACE">
      <w:pPr>
        <w:pStyle w:val="AppendixText"/>
        <w:rPr>
          <w:lang w:eastAsia="en-AU"/>
        </w:rPr>
      </w:pPr>
      <w:r w:rsidRPr="00D90BB0">
        <w:rPr>
          <w:lang w:eastAsia="en-AU"/>
        </w:rPr>
        <w:lastRenderedPageBreak/>
        <w:t xml:space="preserve">AASB 101 </w:t>
      </w:r>
      <w:r w:rsidRPr="00544ACE">
        <w:rPr>
          <w:i/>
          <w:lang w:eastAsia="en-AU"/>
        </w:rPr>
        <w:t>Presentation of Financial Statements</w:t>
      </w:r>
    </w:p>
    <w:p w:rsidR="00544ACE" w:rsidRPr="00133A2A" w:rsidRDefault="00544ACE" w:rsidP="00544ACE">
      <w:pPr>
        <w:pStyle w:val="AppendixText"/>
      </w:pPr>
      <w:r w:rsidRPr="00D90BB0">
        <w:rPr>
          <w:lang w:eastAsia="en-AU"/>
        </w:rPr>
        <w:t xml:space="preserve">AASB 102 </w:t>
      </w:r>
      <w:r w:rsidRPr="00544ACE">
        <w:rPr>
          <w:i/>
          <w:lang w:eastAsia="en-AU"/>
        </w:rPr>
        <w:t>Inventories</w:t>
      </w:r>
    </w:p>
    <w:p w:rsidR="00BE1234" w:rsidRDefault="00BE1234" w:rsidP="00544ACE">
      <w:pPr>
        <w:pStyle w:val="AppendixText"/>
        <w:rPr>
          <w:lang w:eastAsia="en-AU"/>
        </w:rPr>
      </w:pPr>
      <w:r>
        <w:rPr>
          <w:lang w:eastAsia="en-AU"/>
        </w:rPr>
        <w:t xml:space="preserve">AASB 107 </w:t>
      </w:r>
      <w:r w:rsidRPr="00BE1234">
        <w:rPr>
          <w:i/>
          <w:lang w:eastAsia="en-AU"/>
        </w:rPr>
        <w:t>Statement of Cash Flows</w:t>
      </w:r>
    </w:p>
    <w:p w:rsidR="00544ACE" w:rsidRPr="00133A2A" w:rsidRDefault="00544ACE" w:rsidP="00544ACE">
      <w:pPr>
        <w:pStyle w:val="AppendixText"/>
        <w:rPr>
          <w:lang w:eastAsia="en-AU"/>
        </w:rPr>
      </w:pPr>
      <w:r w:rsidRPr="00D90BB0">
        <w:rPr>
          <w:lang w:eastAsia="en-AU"/>
        </w:rPr>
        <w:t xml:space="preserve">AASB 108 </w:t>
      </w:r>
      <w:r w:rsidRPr="00544ACE">
        <w:rPr>
          <w:i/>
          <w:lang w:eastAsia="en-AU"/>
        </w:rPr>
        <w:t>Accounting Policies, Changes in Accounting Estimates and Errors</w:t>
      </w:r>
    </w:p>
    <w:p w:rsidR="00BE1234" w:rsidRDefault="00BE1234" w:rsidP="00544ACE">
      <w:pPr>
        <w:pStyle w:val="AppendixText"/>
        <w:rPr>
          <w:lang w:eastAsia="en-AU"/>
        </w:rPr>
      </w:pPr>
      <w:r>
        <w:rPr>
          <w:lang w:eastAsia="en-AU"/>
        </w:rPr>
        <w:t xml:space="preserve">AASB 110 </w:t>
      </w:r>
      <w:r w:rsidRPr="00BE1234">
        <w:rPr>
          <w:i/>
          <w:lang w:eastAsia="en-AU"/>
        </w:rPr>
        <w:t>Events after the Reporting Period</w:t>
      </w:r>
    </w:p>
    <w:p w:rsidR="00544ACE" w:rsidRPr="00133A2A" w:rsidRDefault="00544ACE" w:rsidP="00544ACE">
      <w:pPr>
        <w:pStyle w:val="AppendixText"/>
        <w:rPr>
          <w:lang w:eastAsia="en-AU"/>
        </w:rPr>
      </w:pPr>
      <w:r w:rsidRPr="00D90BB0">
        <w:rPr>
          <w:lang w:eastAsia="en-AU"/>
        </w:rPr>
        <w:t xml:space="preserve">AASB 112 </w:t>
      </w:r>
      <w:r w:rsidRPr="00544ACE">
        <w:rPr>
          <w:i/>
          <w:lang w:eastAsia="en-AU"/>
        </w:rPr>
        <w:t>Income Taxes</w:t>
      </w:r>
    </w:p>
    <w:p w:rsidR="00BE1234" w:rsidRDefault="00BE1234" w:rsidP="00544ACE">
      <w:pPr>
        <w:pStyle w:val="AppendixText"/>
        <w:rPr>
          <w:lang w:eastAsia="en-AU"/>
        </w:rPr>
      </w:pPr>
      <w:r>
        <w:t xml:space="preserve">AASB 116 </w:t>
      </w:r>
      <w:r>
        <w:rPr>
          <w:i/>
        </w:rPr>
        <w:t>Property, Plant and Equipment</w:t>
      </w:r>
    </w:p>
    <w:p w:rsidR="00BE1234" w:rsidRDefault="00BE1234" w:rsidP="00544ACE">
      <w:pPr>
        <w:pStyle w:val="AppendixText"/>
        <w:rPr>
          <w:lang w:eastAsia="en-AU"/>
        </w:rPr>
      </w:pPr>
      <w:r>
        <w:rPr>
          <w:lang w:eastAsia="en-AU"/>
        </w:rPr>
        <w:t xml:space="preserve">AASB 117 </w:t>
      </w:r>
      <w:r w:rsidRPr="00BE1234">
        <w:rPr>
          <w:i/>
          <w:lang w:eastAsia="en-AU"/>
        </w:rPr>
        <w:t>Leases</w:t>
      </w:r>
    </w:p>
    <w:p w:rsidR="00764B56" w:rsidRDefault="00764B56" w:rsidP="00544ACE">
      <w:pPr>
        <w:pStyle w:val="AppendixText"/>
        <w:rPr>
          <w:lang w:eastAsia="en-AU"/>
        </w:rPr>
      </w:pPr>
      <w:r>
        <w:rPr>
          <w:lang w:eastAsia="en-AU"/>
        </w:rPr>
        <w:t xml:space="preserve">AASB 119 </w:t>
      </w:r>
      <w:r w:rsidRPr="00764B56">
        <w:rPr>
          <w:i/>
          <w:lang w:eastAsia="en-AU"/>
        </w:rPr>
        <w:t>Employee Benefits</w:t>
      </w:r>
    </w:p>
    <w:p w:rsidR="00544ACE" w:rsidRPr="00133A2A" w:rsidRDefault="00544ACE" w:rsidP="00544ACE">
      <w:pPr>
        <w:pStyle w:val="AppendixText"/>
        <w:rPr>
          <w:lang w:eastAsia="en-AU"/>
        </w:rPr>
      </w:pPr>
      <w:r w:rsidRPr="00D90BB0">
        <w:rPr>
          <w:lang w:eastAsia="en-AU"/>
        </w:rPr>
        <w:t xml:space="preserve">AASB 120 </w:t>
      </w:r>
      <w:r w:rsidRPr="00544ACE">
        <w:rPr>
          <w:i/>
          <w:lang w:eastAsia="en-AU"/>
        </w:rPr>
        <w:t>Accounting for Government Grants and Disclosure of Government Assistance</w:t>
      </w:r>
    </w:p>
    <w:p w:rsidR="00544ACE" w:rsidRPr="00133A2A" w:rsidRDefault="00544ACE" w:rsidP="00544ACE">
      <w:pPr>
        <w:pStyle w:val="AppendixText"/>
        <w:rPr>
          <w:lang w:eastAsia="en-AU"/>
        </w:rPr>
      </w:pPr>
      <w:r w:rsidRPr="00D90BB0">
        <w:rPr>
          <w:lang w:eastAsia="en-AU"/>
        </w:rPr>
        <w:t xml:space="preserve">AASB 121 </w:t>
      </w:r>
      <w:r w:rsidRPr="00544ACE">
        <w:rPr>
          <w:i/>
          <w:lang w:eastAsia="en-AU"/>
        </w:rPr>
        <w:t>The Effects of Changes in Foreign Exchange Rates</w:t>
      </w:r>
    </w:p>
    <w:p w:rsidR="00BE1234" w:rsidRDefault="00BE1234" w:rsidP="00544ACE">
      <w:pPr>
        <w:pStyle w:val="AppendixText"/>
        <w:rPr>
          <w:lang w:eastAsia="en-AU"/>
        </w:rPr>
      </w:pPr>
      <w:r>
        <w:rPr>
          <w:lang w:eastAsia="en-AU"/>
        </w:rPr>
        <w:t xml:space="preserve">AASB 123 </w:t>
      </w:r>
      <w:r w:rsidRPr="00BE1234">
        <w:rPr>
          <w:i/>
          <w:lang w:eastAsia="en-AU"/>
        </w:rPr>
        <w:t>Borrowing Costs</w:t>
      </w:r>
    </w:p>
    <w:p w:rsidR="00BE1234" w:rsidRDefault="00BE1234" w:rsidP="00544ACE">
      <w:pPr>
        <w:pStyle w:val="AppendixText"/>
        <w:rPr>
          <w:lang w:eastAsia="en-AU"/>
        </w:rPr>
      </w:pPr>
      <w:r>
        <w:t xml:space="preserve">AASB 124 </w:t>
      </w:r>
      <w:r>
        <w:rPr>
          <w:i/>
        </w:rPr>
        <w:t>Related Party Disclosures</w:t>
      </w:r>
    </w:p>
    <w:p w:rsidR="00BE1234" w:rsidRDefault="00BE1234" w:rsidP="00544ACE">
      <w:pPr>
        <w:pStyle w:val="AppendixText"/>
        <w:rPr>
          <w:lang w:eastAsia="en-AU"/>
        </w:rPr>
      </w:pPr>
      <w:r>
        <w:rPr>
          <w:lang w:eastAsia="en-AU"/>
        </w:rPr>
        <w:t xml:space="preserve">AASB 127 </w:t>
      </w:r>
      <w:r w:rsidRPr="00BE1234">
        <w:rPr>
          <w:i/>
          <w:lang w:eastAsia="en-AU"/>
        </w:rPr>
        <w:t>Separate Financial Statements</w:t>
      </w:r>
    </w:p>
    <w:p w:rsidR="00BE1234" w:rsidRDefault="00BE1234" w:rsidP="00544ACE">
      <w:pPr>
        <w:pStyle w:val="AppendixText"/>
        <w:rPr>
          <w:lang w:eastAsia="en-AU"/>
        </w:rPr>
      </w:pPr>
      <w:r>
        <w:rPr>
          <w:lang w:eastAsia="en-AU"/>
        </w:rPr>
        <w:t xml:space="preserve">AASB 128 </w:t>
      </w:r>
      <w:r w:rsidRPr="00BE1234">
        <w:rPr>
          <w:i/>
          <w:lang w:eastAsia="en-AU"/>
        </w:rPr>
        <w:t>Investments in Associates and Joint Ventures</w:t>
      </w:r>
    </w:p>
    <w:p w:rsidR="00BE1234" w:rsidRDefault="00BE1234" w:rsidP="00544ACE">
      <w:pPr>
        <w:pStyle w:val="AppendixText"/>
        <w:rPr>
          <w:lang w:eastAsia="en-AU"/>
        </w:rPr>
      </w:pPr>
      <w:r>
        <w:rPr>
          <w:lang w:eastAsia="en-AU"/>
        </w:rPr>
        <w:t xml:space="preserve">AASB 129 </w:t>
      </w:r>
      <w:r w:rsidRPr="00BE1234">
        <w:rPr>
          <w:i/>
          <w:lang w:eastAsia="en-AU"/>
        </w:rPr>
        <w:t>Financial Reporting in Hyperinflationary Economies</w:t>
      </w:r>
    </w:p>
    <w:p w:rsidR="00544ACE" w:rsidRPr="00133A2A" w:rsidRDefault="00544ACE" w:rsidP="00544ACE">
      <w:pPr>
        <w:pStyle w:val="AppendixText"/>
        <w:rPr>
          <w:lang w:eastAsia="en-AU"/>
        </w:rPr>
      </w:pPr>
      <w:r w:rsidRPr="00D90BB0">
        <w:rPr>
          <w:lang w:eastAsia="en-AU"/>
        </w:rPr>
        <w:t xml:space="preserve">AASB 132 </w:t>
      </w:r>
      <w:r w:rsidRPr="00544ACE">
        <w:rPr>
          <w:i/>
          <w:lang w:eastAsia="en-AU"/>
        </w:rPr>
        <w:t>Financial Instruments: Presentation</w:t>
      </w:r>
    </w:p>
    <w:p w:rsidR="00BE1234" w:rsidRDefault="00BE1234" w:rsidP="00544ACE">
      <w:pPr>
        <w:pStyle w:val="AppendixText"/>
        <w:rPr>
          <w:lang w:eastAsia="en-AU"/>
        </w:rPr>
      </w:pPr>
      <w:r>
        <w:rPr>
          <w:lang w:eastAsia="en-AU"/>
        </w:rPr>
        <w:t xml:space="preserve">AASB 133 </w:t>
      </w:r>
      <w:r w:rsidRPr="00BE1234">
        <w:rPr>
          <w:i/>
          <w:lang w:eastAsia="en-AU"/>
        </w:rPr>
        <w:t>Earnings per Share</w:t>
      </w:r>
    </w:p>
    <w:p w:rsidR="00544ACE" w:rsidRPr="00133A2A" w:rsidRDefault="00544ACE" w:rsidP="00544ACE">
      <w:pPr>
        <w:pStyle w:val="AppendixText"/>
        <w:rPr>
          <w:lang w:eastAsia="en-AU"/>
        </w:rPr>
      </w:pPr>
      <w:r w:rsidRPr="00D90BB0">
        <w:rPr>
          <w:lang w:eastAsia="en-AU"/>
        </w:rPr>
        <w:t xml:space="preserve">AASB 134 </w:t>
      </w:r>
      <w:r w:rsidRPr="00544ACE">
        <w:rPr>
          <w:i/>
          <w:lang w:eastAsia="en-AU"/>
        </w:rPr>
        <w:t>Interim Financial Reportin</w:t>
      </w:r>
      <w:r w:rsidR="00BE1234">
        <w:rPr>
          <w:i/>
          <w:lang w:eastAsia="en-AU"/>
        </w:rPr>
        <w:t>g</w:t>
      </w:r>
    </w:p>
    <w:p w:rsidR="00544ACE" w:rsidRPr="00133A2A" w:rsidRDefault="00544ACE" w:rsidP="00544ACE">
      <w:pPr>
        <w:pStyle w:val="AppendixText"/>
        <w:rPr>
          <w:lang w:eastAsia="en-AU"/>
        </w:rPr>
      </w:pPr>
      <w:r w:rsidRPr="00D90BB0">
        <w:rPr>
          <w:lang w:eastAsia="en-AU"/>
        </w:rPr>
        <w:t xml:space="preserve">AASB 136 </w:t>
      </w:r>
      <w:r w:rsidRPr="00544ACE">
        <w:rPr>
          <w:i/>
          <w:lang w:eastAsia="en-AU"/>
        </w:rPr>
        <w:t>Impairment of Assets</w:t>
      </w:r>
    </w:p>
    <w:p w:rsidR="00544ACE" w:rsidRPr="00133A2A" w:rsidRDefault="00544ACE" w:rsidP="00544ACE">
      <w:pPr>
        <w:pStyle w:val="AppendixText"/>
        <w:rPr>
          <w:lang w:eastAsia="en-AU"/>
        </w:rPr>
      </w:pPr>
      <w:r w:rsidRPr="00D90BB0">
        <w:rPr>
          <w:lang w:eastAsia="en-AU"/>
        </w:rPr>
        <w:t xml:space="preserve">AASB 137 </w:t>
      </w:r>
      <w:r w:rsidRPr="00544ACE">
        <w:rPr>
          <w:i/>
          <w:lang w:eastAsia="en-AU"/>
        </w:rPr>
        <w:t>Provisions, Contingent Liabilities and Contingent Assets</w:t>
      </w:r>
    </w:p>
    <w:p w:rsidR="00BE1234" w:rsidRDefault="00BE1234" w:rsidP="00544ACE">
      <w:pPr>
        <w:pStyle w:val="AppendixText"/>
        <w:rPr>
          <w:lang w:eastAsia="en-AU"/>
        </w:rPr>
      </w:pPr>
      <w:r>
        <w:rPr>
          <w:lang w:eastAsia="en-AU"/>
        </w:rPr>
        <w:t xml:space="preserve">AASB 138 </w:t>
      </w:r>
      <w:r w:rsidRPr="00BE1234">
        <w:rPr>
          <w:i/>
          <w:lang w:eastAsia="en-AU"/>
        </w:rPr>
        <w:t>Intangible Assets</w:t>
      </w:r>
    </w:p>
    <w:p w:rsidR="00544ACE" w:rsidRDefault="00544ACE" w:rsidP="00544ACE">
      <w:pPr>
        <w:pStyle w:val="AppendixText"/>
        <w:rPr>
          <w:i/>
          <w:lang w:eastAsia="en-AU"/>
        </w:rPr>
      </w:pPr>
      <w:r w:rsidRPr="00D90BB0">
        <w:rPr>
          <w:lang w:eastAsia="en-AU"/>
        </w:rPr>
        <w:t xml:space="preserve">AASB 139 </w:t>
      </w:r>
      <w:r w:rsidRPr="00544ACE">
        <w:rPr>
          <w:i/>
          <w:lang w:eastAsia="en-AU"/>
        </w:rPr>
        <w:t>Financial Instruments: Recognition and Measurement</w:t>
      </w:r>
    </w:p>
    <w:p w:rsidR="00BE1234" w:rsidRPr="00BE1234" w:rsidRDefault="00BE1234" w:rsidP="00544ACE">
      <w:pPr>
        <w:pStyle w:val="AppendixText"/>
        <w:rPr>
          <w:lang w:eastAsia="en-AU"/>
        </w:rPr>
      </w:pPr>
      <w:r>
        <w:rPr>
          <w:lang w:eastAsia="en-AU"/>
        </w:rPr>
        <w:t xml:space="preserve">AASB 140 </w:t>
      </w:r>
      <w:r w:rsidRPr="00BE1234">
        <w:rPr>
          <w:i/>
          <w:lang w:eastAsia="en-AU"/>
        </w:rPr>
        <w:t>Investment Property</w:t>
      </w:r>
    </w:p>
    <w:p w:rsidR="00BE1234" w:rsidRPr="00BE1234" w:rsidRDefault="00BE1234" w:rsidP="00544ACE">
      <w:pPr>
        <w:pStyle w:val="AppendixText"/>
        <w:rPr>
          <w:lang w:eastAsia="en-AU"/>
        </w:rPr>
      </w:pPr>
      <w:r>
        <w:rPr>
          <w:lang w:eastAsia="en-AU"/>
        </w:rPr>
        <w:t xml:space="preserve">AASB 141 </w:t>
      </w:r>
      <w:r w:rsidRPr="00BE1234">
        <w:rPr>
          <w:i/>
          <w:lang w:eastAsia="en-AU"/>
        </w:rPr>
        <w:t>Agriculture</w:t>
      </w:r>
    </w:p>
    <w:p w:rsidR="00544ACE" w:rsidRDefault="00544ACE" w:rsidP="009C1383">
      <w:pPr>
        <w:pStyle w:val="NoNumPlain1"/>
      </w:pPr>
    </w:p>
    <w:p w:rsidR="00013C9B" w:rsidRDefault="00013C9B" w:rsidP="00013C9B">
      <w:pPr>
        <w:pStyle w:val="Heading3"/>
      </w:pPr>
      <w:r>
        <w:t xml:space="preserve">Other Australian Accounting Standard </w:t>
      </w:r>
      <w:r w:rsidR="006B1469">
        <w:t>issued</w:t>
      </w:r>
    </w:p>
    <w:p w:rsidR="00013C9B" w:rsidRDefault="00013C9B" w:rsidP="009C1383">
      <w:pPr>
        <w:pStyle w:val="NoNumPlain1"/>
      </w:pPr>
      <w:r>
        <w:t xml:space="preserve">AASB 1057 </w:t>
      </w:r>
      <w:r w:rsidRPr="00013C9B">
        <w:rPr>
          <w:i/>
        </w:rPr>
        <w:t>Application of Australian Accounting Standards</w:t>
      </w:r>
    </w:p>
    <w:p w:rsidR="00013C9B" w:rsidRDefault="00013C9B" w:rsidP="009C1383">
      <w:pPr>
        <w:pStyle w:val="NoNumPlain1"/>
      </w:pPr>
    </w:p>
    <w:sectPr w:rsidR="00013C9B" w:rsidSect="00334921">
      <w:headerReference w:type="even" r:id="rId11"/>
      <w:footerReference w:type="default" r:id="rId12"/>
      <w:pgSz w:w="11907" w:h="16840" w:code="9"/>
      <w:pgMar w:top="1134" w:right="1134" w:bottom="1134" w:left="1134" w:header="709"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302" w:rsidRDefault="00383302">
      <w:r>
        <w:separator/>
      </w:r>
    </w:p>
  </w:endnote>
  <w:endnote w:type="continuationSeparator" w:id="0">
    <w:p w:rsidR="00383302" w:rsidRDefault="00383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0CA" w:rsidRDefault="00AA69D3" w:rsidP="00334921">
    <w:pPr>
      <w:pStyle w:val="Footer"/>
      <w:tabs>
        <w:tab w:val="clear" w:pos="3119"/>
        <w:tab w:val="clear" w:pos="6237"/>
        <w:tab w:val="center" w:pos="4820"/>
        <w:tab w:val="right" w:pos="9639"/>
      </w:tabs>
      <w:rPr>
        <w:b/>
      </w:rPr>
    </w:pPr>
    <w:r>
      <w:rPr>
        <w:b/>
      </w:rPr>
      <w:t>Reissued Standards</w:t>
    </w:r>
    <w:r w:rsidR="007E10CA">
      <w:rPr>
        <w:b/>
      </w:rPr>
      <w:tab/>
    </w:r>
    <w:r w:rsidR="007E10CA">
      <w:fldChar w:fldCharType="begin"/>
    </w:r>
    <w:r w:rsidR="007E10CA">
      <w:instrText>PAGE</w:instrText>
    </w:r>
    <w:r w:rsidR="007E10CA">
      <w:fldChar w:fldCharType="separate"/>
    </w:r>
    <w:r w:rsidR="008D2250">
      <w:rPr>
        <w:noProof/>
      </w:rPr>
      <w:t>2</w:t>
    </w:r>
    <w:r w:rsidR="007E10CA">
      <w:fldChar w:fldCharType="end"/>
    </w:r>
    <w:r w:rsidR="00334921">
      <w:tab/>
    </w:r>
    <w:r w:rsidR="007E10CA">
      <w:rPr>
        <w:b/>
        <w:bCs/>
      </w:rPr>
      <w:t>EXPLANATORY STATEMENT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302" w:rsidRDefault="00383302">
      <w:r>
        <w:separator/>
      </w:r>
    </w:p>
  </w:footnote>
  <w:footnote w:type="continuationSeparator" w:id="0">
    <w:p w:rsidR="00383302" w:rsidRDefault="003833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0CA" w:rsidRDefault="007E10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B2EEF"/>
    <w:multiLevelType w:val="hybridMultilevel"/>
    <w:tmpl w:val="370A08EA"/>
    <w:lvl w:ilvl="0" w:tplc="7250F28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645920"/>
    <w:multiLevelType w:val="hybridMultilevel"/>
    <w:tmpl w:val="C74C3FFA"/>
    <w:lvl w:ilvl="0" w:tplc="71624B0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4B4718C"/>
    <w:multiLevelType w:val="hybridMultilevel"/>
    <w:tmpl w:val="F9B682B6"/>
    <w:lvl w:ilvl="0" w:tplc="8D86E79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2576465B"/>
    <w:multiLevelType w:val="multilevel"/>
    <w:tmpl w:val="D9F888A8"/>
    <w:lvl w:ilvl="0">
      <w:start w:val="1"/>
      <w:numFmt w:val="lowerLetter"/>
      <w:pStyle w:val="NumPlainA"/>
      <w:lvlText w:val="(%1)"/>
      <w:lvlJc w:val="left"/>
      <w:pPr>
        <w:tabs>
          <w:tab w:val="num" w:pos="652"/>
        </w:tabs>
        <w:ind w:left="652" w:hanging="510"/>
      </w:pPr>
      <w:rPr>
        <w:rFonts w:hint="default"/>
      </w:rPr>
    </w:lvl>
    <w:lvl w:ilvl="1">
      <w:start w:val="1"/>
      <w:numFmt w:val="lowerRoman"/>
      <w:pStyle w:val="NumPlainA2"/>
      <w:lvlText w:val="(%2)"/>
      <w:lvlJc w:val="left"/>
      <w:pPr>
        <w:tabs>
          <w:tab w:val="num" w:pos="1163"/>
        </w:tabs>
        <w:ind w:left="1163" w:hanging="511"/>
      </w:pPr>
      <w:rPr>
        <w:rFonts w:hint="default"/>
      </w:rPr>
    </w:lvl>
    <w:lvl w:ilvl="2">
      <w:start w:val="1"/>
      <w:numFmt w:val="lowerRoman"/>
      <w:lvlText w:val="%3."/>
      <w:lvlJc w:val="right"/>
      <w:pPr>
        <w:tabs>
          <w:tab w:val="num" w:pos="2302"/>
        </w:tabs>
        <w:ind w:left="2302" w:hanging="180"/>
      </w:pPr>
      <w:rPr>
        <w:rFonts w:hint="default"/>
      </w:rPr>
    </w:lvl>
    <w:lvl w:ilvl="3">
      <w:start w:val="1"/>
      <w:numFmt w:val="decimal"/>
      <w:lvlText w:val="%4."/>
      <w:lvlJc w:val="left"/>
      <w:pPr>
        <w:tabs>
          <w:tab w:val="num" w:pos="3022"/>
        </w:tabs>
        <w:ind w:left="3022" w:hanging="360"/>
      </w:pPr>
      <w:rPr>
        <w:rFonts w:hint="default"/>
      </w:rPr>
    </w:lvl>
    <w:lvl w:ilvl="4">
      <w:start w:val="1"/>
      <w:numFmt w:val="lowerLetter"/>
      <w:lvlText w:val="%5."/>
      <w:lvlJc w:val="left"/>
      <w:pPr>
        <w:tabs>
          <w:tab w:val="num" w:pos="3742"/>
        </w:tabs>
        <w:ind w:left="3742" w:hanging="360"/>
      </w:pPr>
      <w:rPr>
        <w:rFonts w:hint="default"/>
      </w:rPr>
    </w:lvl>
    <w:lvl w:ilvl="5">
      <w:start w:val="1"/>
      <w:numFmt w:val="lowerRoman"/>
      <w:lvlText w:val="%6."/>
      <w:lvlJc w:val="right"/>
      <w:pPr>
        <w:tabs>
          <w:tab w:val="num" w:pos="4462"/>
        </w:tabs>
        <w:ind w:left="4462" w:hanging="180"/>
      </w:pPr>
      <w:rPr>
        <w:rFonts w:hint="default"/>
      </w:rPr>
    </w:lvl>
    <w:lvl w:ilvl="6">
      <w:start w:val="1"/>
      <w:numFmt w:val="decimal"/>
      <w:lvlText w:val="%7."/>
      <w:lvlJc w:val="left"/>
      <w:pPr>
        <w:tabs>
          <w:tab w:val="num" w:pos="5182"/>
        </w:tabs>
        <w:ind w:left="5182" w:hanging="360"/>
      </w:pPr>
      <w:rPr>
        <w:rFonts w:hint="default"/>
      </w:rPr>
    </w:lvl>
    <w:lvl w:ilvl="7">
      <w:start w:val="1"/>
      <w:numFmt w:val="lowerLetter"/>
      <w:lvlText w:val="%8."/>
      <w:lvlJc w:val="left"/>
      <w:pPr>
        <w:tabs>
          <w:tab w:val="num" w:pos="5902"/>
        </w:tabs>
        <w:ind w:left="5902" w:hanging="360"/>
      </w:pPr>
      <w:rPr>
        <w:rFonts w:hint="default"/>
      </w:rPr>
    </w:lvl>
    <w:lvl w:ilvl="8">
      <w:start w:val="1"/>
      <w:numFmt w:val="lowerRoman"/>
      <w:lvlText w:val="%9."/>
      <w:lvlJc w:val="right"/>
      <w:pPr>
        <w:tabs>
          <w:tab w:val="num" w:pos="6622"/>
        </w:tabs>
        <w:ind w:left="6622" w:hanging="180"/>
      </w:pPr>
      <w:rPr>
        <w:rFonts w:hint="default"/>
      </w:rPr>
    </w:lvl>
  </w:abstractNum>
  <w:abstractNum w:abstractNumId="4">
    <w:nsid w:val="27F821CB"/>
    <w:multiLevelType w:val="hybridMultilevel"/>
    <w:tmpl w:val="1CDC9BEA"/>
    <w:lvl w:ilvl="0" w:tplc="8A94C782">
      <w:start w:val="1"/>
      <w:numFmt w:val="bullet"/>
      <w:pStyle w:val="Bullet4"/>
      <w:lvlText w:val=""/>
      <w:lvlJc w:val="left"/>
      <w:pPr>
        <w:tabs>
          <w:tab w:val="num" w:pos="2041"/>
        </w:tabs>
        <w:ind w:left="204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B6C7D63"/>
    <w:multiLevelType w:val="hybridMultilevel"/>
    <w:tmpl w:val="0B8C6388"/>
    <w:lvl w:ilvl="0" w:tplc="1CD8E62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9A23BD9"/>
    <w:multiLevelType w:val="hybridMultilevel"/>
    <w:tmpl w:val="809074BC"/>
    <w:lvl w:ilvl="0" w:tplc="AAC84BFE">
      <w:start w:val="1"/>
      <w:numFmt w:val="bullet"/>
      <w:pStyle w:val="Bullet2"/>
      <w:lvlText w:val=""/>
      <w:lvlJc w:val="left"/>
      <w:pPr>
        <w:tabs>
          <w:tab w:val="num" w:pos="1021"/>
        </w:tabs>
        <w:ind w:left="1021" w:hanging="51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70D7B29"/>
    <w:multiLevelType w:val="hybridMultilevel"/>
    <w:tmpl w:val="E8FCB0B6"/>
    <w:lvl w:ilvl="0" w:tplc="EECA7B38">
      <w:start w:val="1"/>
      <w:numFmt w:val="bullet"/>
      <w:pStyle w:val="Bullets"/>
      <w:lvlText w:val=""/>
      <w:lvlJc w:val="left"/>
      <w:pPr>
        <w:tabs>
          <w:tab w:val="num" w:pos="473"/>
        </w:tabs>
        <w:ind w:left="227" w:hanging="114"/>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B52504F"/>
    <w:multiLevelType w:val="hybridMultilevel"/>
    <w:tmpl w:val="FCC49D66"/>
    <w:lvl w:ilvl="0" w:tplc="DFF2F438">
      <w:start w:val="1"/>
      <w:numFmt w:val="bullet"/>
      <w:pStyle w:val="Bullet3"/>
      <w:lvlText w:val=""/>
      <w:lvlJc w:val="left"/>
      <w:pPr>
        <w:tabs>
          <w:tab w:val="num" w:pos="1531"/>
        </w:tabs>
        <w:ind w:left="153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1542243"/>
    <w:multiLevelType w:val="multilevel"/>
    <w:tmpl w:val="4ADC5D6A"/>
    <w:lvl w:ilvl="0">
      <w:start w:val="1"/>
      <w:numFmt w:val="decimal"/>
      <w:lvlText w:val="%1"/>
      <w:lvlJc w:val="left"/>
      <w:pPr>
        <w:tabs>
          <w:tab w:val="num" w:pos="510"/>
        </w:tabs>
        <w:ind w:left="510" w:hanging="510"/>
      </w:pPr>
      <w:rPr>
        <w:rFonts w:hint="default"/>
      </w:rPr>
    </w:lvl>
    <w:lvl w:ilvl="1">
      <w:start w:val="1"/>
      <w:numFmt w:val="lowerLetter"/>
      <w:lvlText w:val="(%2)"/>
      <w:lvlJc w:val="left"/>
      <w:pPr>
        <w:tabs>
          <w:tab w:val="num" w:pos="1021"/>
        </w:tabs>
        <w:ind w:left="1021" w:hanging="511"/>
      </w:pPr>
      <w:rPr>
        <w:rFonts w:hint="default"/>
        <w:b/>
      </w:rPr>
    </w:lvl>
    <w:lvl w:ilvl="2">
      <w:start w:val="1"/>
      <w:numFmt w:val="lowerRoman"/>
      <w:lvlText w:val="(%3)"/>
      <w:lvlJc w:val="left"/>
      <w:pPr>
        <w:tabs>
          <w:tab w:val="num" w:pos="1531"/>
        </w:tabs>
        <w:ind w:left="1531" w:hanging="510"/>
      </w:pPr>
      <w:rPr>
        <w:rFonts w:hint="default"/>
      </w:rPr>
    </w:lvl>
    <w:lvl w:ilvl="3">
      <w:start w:val="1"/>
      <w:numFmt w:val="upperLetter"/>
      <w:lvlText w:val="(%4)"/>
      <w:lvlJc w:val="left"/>
      <w:pPr>
        <w:tabs>
          <w:tab w:val="num" w:pos="2041"/>
        </w:tabs>
        <w:ind w:left="2041" w:hanging="510"/>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10">
    <w:nsid w:val="69C02929"/>
    <w:multiLevelType w:val="hybridMultilevel"/>
    <w:tmpl w:val="7F847CDE"/>
    <w:lvl w:ilvl="0" w:tplc="4860E214">
      <w:start w:val="1"/>
      <w:numFmt w:val="bullet"/>
      <w:pStyle w:val="Bullet1"/>
      <w:lvlText w:val=""/>
      <w:lvlJc w:val="left"/>
      <w:pPr>
        <w:tabs>
          <w:tab w:val="num" w:pos="510"/>
        </w:tabs>
        <w:ind w:left="510"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0"/>
  </w:num>
  <w:num w:numId="3">
    <w:abstractNumId w:val="8"/>
  </w:num>
  <w:num w:numId="4">
    <w:abstractNumId w:val="0"/>
  </w:num>
  <w:num w:numId="5">
    <w:abstractNumId w:val="5"/>
  </w:num>
  <w:num w:numId="6">
    <w:abstractNumId w:val="4"/>
  </w:num>
  <w:num w:numId="7">
    <w:abstractNumId w:val="7"/>
  </w:num>
  <w:num w:numId="8">
    <w:abstractNumId w:val="3"/>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GrammaticalErrors/>
  <w:activeWritingStyle w:appName="MSWord" w:lang="en-AU" w:vendorID="64" w:dllVersion="131077" w:nlCheck="1" w:checkStyle="1"/>
  <w:activeWritingStyle w:appName="MSWord" w:lang="en-GB" w:vendorID="64" w:dllVersion="131077" w:nlCheck="1" w:checkStyle="1"/>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36865" fillcolor="white">
      <v:fill color="white"/>
      <o:colormru v:ext="edit" colors="#ddd,silver,#eaea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9C8"/>
    <w:rsid w:val="0000008F"/>
    <w:rsid w:val="000018C8"/>
    <w:rsid w:val="00003ABA"/>
    <w:rsid w:val="00013C9B"/>
    <w:rsid w:val="00027E5C"/>
    <w:rsid w:val="0004439B"/>
    <w:rsid w:val="00055028"/>
    <w:rsid w:val="00055755"/>
    <w:rsid w:val="000623C8"/>
    <w:rsid w:val="00075626"/>
    <w:rsid w:val="00080331"/>
    <w:rsid w:val="0008234F"/>
    <w:rsid w:val="0008242C"/>
    <w:rsid w:val="00084860"/>
    <w:rsid w:val="00085B62"/>
    <w:rsid w:val="00090D77"/>
    <w:rsid w:val="000936C7"/>
    <w:rsid w:val="000A2A30"/>
    <w:rsid w:val="000A47B3"/>
    <w:rsid w:val="000C34F1"/>
    <w:rsid w:val="000D41A4"/>
    <w:rsid w:val="000D428B"/>
    <w:rsid w:val="000E6E09"/>
    <w:rsid w:val="000E7F81"/>
    <w:rsid w:val="000F2911"/>
    <w:rsid w:val="000F4C2A"/>
    <w:rsid w:val="0010510A"/>
    <w:rsid w:val="00111680"/>
    <w:rsid w:val="001218DE"/>
    <w:rsid w:val="00121C54"/>
    <w:rsid w:val="0012730F"/>
    <w:rsid w:val="00131465"/>
    <w:rsid w:val="00144CC0"/>
    <w:rsid w:val="00145389"/>
    <w:rsid w:val="0015670A"/>
    <w:rsid w:val="001639EB"/>
    <w:rsid w:val="001A3A3D"/>
    <w:rsid w:val="001D1FFA"/>
    <w:rsid w:val="001D7DA0"/>
    <w:rsid w:val="001E0872"/>
    <w:rsid w:val="001E0EA2"/>
    <w:rsid w:val="001E4107"/>
    <w:rsid w:val="001F3ED4"/>
    <w:rsid w:val="00200047"/>
    <w:rsid w:val="0020218F"/>
    <w:rsid w:val="0020261B"/>
    <w:rsid w:val="00206A47"/>
    <w:rsid w:val="00225101"/>
    <w:rsid w:val="00230E6D"/>
    <w:rsid w:val="0023104C"/>
    <w:rsid w:val="00243728"/>
    <w:rsid w:val="00267D86"/>
    <w:rsid w:val="00270E02"/>
    <w:rsid w:val="00284D8D"/>
    <w:rsid w:val="0029669F"/>
    <w:rsid w:val="002A41CB"/>
    <w:rsid w:val="002B4D43"/>
    <w:rsid w:val="002D6D7A"/>
    <w:rsid w:val="002F5B27"/>
    <w:rsid w:val="002F724F"/>
    <w:rsid w:val="00304B18"/>
    <w:rsid w:val="00322EEB"/>
    <w:rsid w:val="0032467B"/>
    <w:rsid w:val="003329B8"/>
    <w:rsid w:val="00334921"/>
    <w:rsid w:val="0034420F"/>
    <w:rsid w:val="00347521"/>
    <w:rsid w:val="0036450D"/>
    <w:rsid w:val="00383302"/>
    <w:rsid w:val="0038343F"/>
    <w:rsid w:val="00384832"/>
    <w:rsid w:val="00385E62"/>
    <w:rsid w:val="0039164A"/>
    <w:rsid w:val="00391DC5"/>
    <w:rsid w:val="00396BCD"/>
    <w:rsid w:val="003A5EC1"/>
    <w:rsid w:val="00404247"/>
    <w:rsid w:val="00414BC3"/>
    <w:rsid w:val="00416FE6"/>
    <w:rsid w:val="004179BF"/>
    <w:rsid w:val="004209B2"/>
    <w:rsid w:val="004310A2"/>
    <w:rsid w:val="004314B5"/>
    <w:rsid w:val="004372FE"/>
    <w:rsid w:val="00442527"/>
    <w:rsid w:val="00457DCC"/>
    <w:rsid w:val="0047035C"/>
    <w:rsid w:val="004749F8"/>
    <w:rsid w:val="004933DE"/>
    <w:rsid w:val="00493DD4"/>
    <w:rsid w:val="004A505B"/>
    <w:rsid w:val="004C1746"/>
    <w:rsid w:val="004C62D2"/>
    <w:rsid w:val="004D2B9B"/>
    <w:rsid w:val="004D2BDB"/>
    <w:rsid w:val="00507FCB"/>
    <w:rsid w:val="00512F90"/>
    <w:rsid w:val="00526DA0"/>
    <w:rsid w:val="00540E70"/>
    <w:rsid w:val="00544ACE"/>
    <w:rsid w:val="00565477"/>
    <w:rsid w:val="005B238F"/>
    <w:rsid w:val="005B5D05"/>
    <w:rsid w:val="005B7BB7"/>
    <w:rsid w:val="005E2BBE"/>
    <w:rsid w:val="005F0581"/>
    <w:rsid w:val="005F1173"/>
    <w:rsid w:val="005F3AA4"/>
    <w:rsid w:val="005F4451"/>
    <w:rsid w:val="006104FA"/>
    <w:rsid w:val="00616A14"/>
    <w:rsid w:val="00616B47"/>
    <w:rsid w:val="00626AC2"/>
    <w:rsid w:val="00635FA2"/>
    <w:rsid w:val="0064374B"/>
    <w:rsid w:val="00646119"/>
    <w:rsid w:val="00646502"/>
    <w:rsid w:val="00666164"/>
    <w:rsid w:val="006716AB"/>
    <w:rsid w:val="0067195B"/>
    <w:rsid w:val="00672100"/>
    <w:rsid w:val="00677D26"/>
    <w:rsid w:val="00684668"/>
    <w:rsid w:val="006A01D2"/>
    <w:rsid w:val="006A0C7C"/>
    <w:rsid w:val="006A2A04"/>
    <w:rsid w:val="006A56D8"/>
    <w:rsid w:val="006B1469"/>
    <w:rsid w:val="006B3BD7"/>
    <w:rsid w:val="006B3F5B"/>
    <w:rsid w:val="006C2648"/>
    <w:rsid w:val="006C34F1"/>
    <w:rsid w:val="006C39D1"/>
    <w:rsid w:val="006C5EB8"/>
    <w:rsid w:val="006D5858"/>
    <w:rsid w:val="006D6B35"/>
    <w:rsid w:val="006F217C"/>
    <w:rsid w:val="006F46DE"/>
    <w:rsid w:val="007034D5"/>
    <w:rsid w:val="00703F7E"/>
    <w:rsid w:val="00711664"/>
    <w:rsid w:val="00717627"/>
    <w:rsid w:val="007231BD"/>
    <w:rsid w:val="007261ED"/>
    <w:rsid w:val="007322D6"/>
    <w:rsid w:val="007328C0"/>
    <w:rsid w:val="00741AD2"/>
    <w:rsid w:val="00755B4C"/>
    <w:rsid w:val="00755D8C"/>
    <w:rsid w:val="00764B56"/>
    <w:rsid w:val="00781C08"/>
    <w:rsid w:val="00782E7C"/>
    <w:rsid w:val="00783BEC"/>
    <w:rsid w:val="00787825"/>
    <w:rsid w:val="00791279"/>
    <w:rsid w:val="007B1F48"/>
    <w:rsid w:val="007B3132"/>
    <w:rsid w:val="007B323F"/>
    <w:rsid w:val="007B4CC0"/>
    <w:rsid w:val="007B539D"/>
    <w:rsid w:val="007C13D0"/>
    <w:rsid w:val="007C1E39"/>
    <w:rsid w:val="007C2A76"/>
    <w:rsid w:val="007C2B04"/>
    <w:rsid w:val="007E10CA"/>
    <w:rsid w:val="007E548A"/>
    <w:rsid w:val="007F4E20"/>
    <w:rsid w:val="00802C2B"/>
    <w:rsid w:val="00820B42"/>
    <w:rsid w:val="00822659"/>
    <w:rsid w:val="0082482F"/>
    <w:rsid w:val="0082668C"/>
    <w:rsid w:val="00826FE1"/>
    <w:rsid w:val="008377FF"/>
    <w:rsid w:val="00843BF6"/>
    <w:rsid w:val="00854BCD"/>
    <w:rsid w:val="00861618"/>
    <w:rsid w:val="0087534F"/>
    <w:rsid w:val="0088579E"/>
    <w:rsid w:val="00885B11"/>
    <w:rsid w:val="00896AE0"/>
    <w:rsid w:val="008B285B"/>
    <w:rsid w:val="008B63BA"/>
    <w:rsid w:val="008B66C2"/>
    <w:rsid w:val="008C5B82"/>
    <w:rsid w:val="008D101A"/>
    <w:rsid w:val="008D2250"/>
    <w:rsid w:val="008D3E1A"/>
    <w:rsid w:val="008E4294"/>
    <w:rsid w:val="008F344A"/>
    <w:rsid w:val="00903E37"/>
    <w:rsid w:val="0090623E"/>
    <w:rsid w:val="00916B64"/>
    <w:rsid w:val="00930915"/>
    <w:rsid w:val="00936AD7"/>
    <w:rsid w:val="009839D3"/>
    <w:rsid w:val="00984995"/>
    <w:rsid w:val="00990039"/>
    <w:rsid w:val="009B4E12"/>
    <w:rsid w:val="009C1383"/>
    <w:rsid w:val="009C5C89"/>
    <w:rsid w:val="009D1348"/>
    <w:rsid w:val="009D6119"/>
    <w:rsid w:val="009E3269"/>
    <w:rsid w:val="00A03FBE"/>
    <w:rsid w:val="00A0482F"/>
    <w:rsid w:val="00A068F6"/>
    <w:rsid w:val="00A07B58"/>
    <w:rsid w:val="00A14C37"/>
    <w:rsid w:val="00A33757"/>
    <w:rsid w:val="00A41EF3"/>
    <w:rsid w:val="00A46379"/>
    <w:rsid w:val="00A61CB2"/>
    <w:rsid w:val="00A66166"/>
    <w:rsid w:val="00A8344C"/>
    <w:rsid w:val="00A86C2A"/>
    <w:rsid w:val="00A90590"/>
    <w:rsid w:val="00A9284E"/>
    <w:rsid w:val="00A92FFA"/>
    <w:rsid w:val="00A9484D"/>
    <w:rsid w:val="00A97B77"/>
    <w:rsid w:val="00AA69D3"/>
    <w:rsid w:val="00AB071B"/>
    <w:rsid w:val="00AB61AB"/>
    <w:rsid w:val="00AC2063"/>
    <w:rsid w:val="00AC2CA9"/>
    <w:rsid w:val="00AC5268"/>
    <w:rsid w:val="00AD44F9"/>
    <w:rsid w:val="00AE1F8A"/>
    <w:rsid w:val="00B00C1B"/>
    <w:rsid w:val="00B10AB1"/>
    <w:rsid w:val="00B127B5"/>
    <w:rsid w:val="00B259A2"/>
    <w:rsid w:val="00B43A34"/>
    <w:rsid w:val="00B44C7C"/>
    <w:rsid w:val="00B44EFA"/>
    <w:rsid w:val="00B50A3C"/>
    <w:rsid w:val="00B5196B"/>
    <w:rsid w:val="00B52547"/>
    <w:rsid w:val="00B67434"/>
    <w:rsid w:val="00B81972"/>
    <w:rsid w:val="00B85DBC"/>
    <w:rsid w:val="00BB1C7A"/>
    <w:rsid w:val="00BB2459"/>
    <w:rsid w:val="00BD0B5B"/>
    <w:rsid w:val="00BE1234"/>
    <w:rsid w:val="00BE66D4"/>
    <w:rsid w:val="00C119CC"/>
    <w:rsid w:val="00C14CCB"/>
    <w:rsid w:val="00C151A2"/>
    <w:rsid w:val="00C21F45"/>
    <w:rsid w:val="00C35A20"/>
    <w:rsid w:val="00C470A1"/>
    <w:rsid w:val="00C546C0"/>
    <w:rsid w:val="00C61FC9"/>
    <w:rsid w:val="00C634BB"/>
    <w:rsid w:val="00C661A8"/>
    <w:rsid w:val="00C80CE0"/>
    <w:rsid w:val="00C82A8C"/>
    <w:rsid w:val="00CA20FA"/>
    <w:rsid w:val="00CA518E"/>
    <w:rsid w:val="00CA6CEE"/>
    <w:rsid w:val="00CB74B0"/>
    <w:rsid w:val="00CC546B"/>
    <w:rsid w:val="00CD3FAF"/>
    <w:rsid w:val="00CD50A4"/>
    <w:rsid w:val="00CF4D2F"/>
    <w:rsid w:val="00CF72F6"/>
    <w:rsid w:val="00D03547"/>
    <w:rsid w:val="00D17C25"/>
    <w:rsid w:val="00D24634"/>
    <w:rsid w:val="00D27E14"/>
    <w:rsid w:val="00D40502"/>
    <w:rsid w:val="00D429C8"/>
    <w:rsid w:val="00D5323B"/>
    <w:rsid w:val="00D55C15"/>
    <w:rsid w:val="00D67C43"/>
    <w:rsid w:val="00D71916"/>
    <w:rsid w:val="00D71B35"/>
    <w:rsid w:val="00D850DE"/>
    <w:rsid w:val="00D869E4"/>
    <w:rsid w:val="00D94561"/>
    <w:rsid w:val="00DA2E07"/>
    <w:rsid w:val="00DB5798"/>
    <w:rsid w:val="00DD1167"/>
    <w:rsid w:val="00DE2BF2"/>
    <w:rsid w:val="00DF7461"/>
    <w:rsid w:val="00E00D64"/>
    <w:rsid w:val="00E079C1"/>
    <w:rsid w:val="00E11F07"/>
    <w:rsid w:val="00E1639E"/>
    <w:rsid w:val="00E1658F"/>
    <w:rsid w:val="00E168A1"/>
    <w:rsid w:val="00E34411"/>
    <w:rsid w:val="00E41E4F"/>
    <w:rsid w:val="00E4487C"/>
    <w:rsid w:val="00E7777B"/>
    <w:rsid w:val="00EA0A87"/>
    <w:rsid w:val="00EA56FD"/>
    <w:rsid w:val="00EE19F4"/>
    <w:rsid w:val="00EE3350"/>
    <w:rsid w:val="00F041AA"/>
    <w:rsid w:val="00F04EBC"/>
    <w:rsid w:val="00F12DF8"/>
    <w:rsid w:val="00F23FEF"/>
    <w:rsid w:val="00F32757"/>
    <w:rsid w:val="00F46883"/>
    <w:rsid w:val="00F51717"/>
    <w:rsid w:val="00F63F3B"/>
    <w:rsid w:val="00F67C24"/>
    <w:rsid w:val="00F71510"/>
    <w:rsid w:val="00F818F3"/>
    <w:rsid w:val="00F81F26"/>
    <w:rsid w:val="00FA30CB"/>
    <w:rsid w:val="00FA3BF2"/>
    <w:rsid w:val="00FA7C5C"/>
    <w:rsid w:val="00FB0CFC"/>
    <w:rsid w:val="00FC6232"/>
    <w:rsid w:val="00FD4C0C"/>
    <w:rsid w:val="00FF048C"/>
    <w:rsid w:val="00FF354C"/>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fillcolor="white">
      <v:fill color="white"/>
      <o:colormru v:ext="edit" colors="#ddd,silver,#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4ACE"/>
    <w:pPr>
      <w:spacing w:line="200" w:lineRule="exact"/>
    </w:pPr>
    <w:rPr>
      <w:lang w:eastAsia="en-US"/>
    </w:rPr>
  </w:style>
  <w:style w:type="paragraph" w:styleId="Heading1">
    <w:name w:val="heading 1"/>
    <w:basedOn w:val="Normal"/>
    <w:next w:val="Normal"/>
    <w:qFormat/>
    <w:pPr>
      <w:keepNext/>
      <w:spacing w:after="200" w:line="280" w:lineRule="exact"/>
      <w:jc w:val="center"/>
      <w:outlineLvl w:val="0"/>
    </w:pPr>
    <w:rPr>
      <w:rFonts w:cs="Arial"/>
      <w:b/>
      <w:bCs/>
      <w:caps/>
      <w:sz w:val="28"/>
      <w:szCs w:val="32"/>
    </w:rPr>
  </w:style>
  <w:style w:type="paragraph" w:styleId="Heading2">
    <w:name w:val="heading 2"/>
    <w:basedOn w:val="Heading1"/>
    <w:next w:val="Normal"/>
    <w:qFormat/>
    <w:pPr>
      <w:jc w:val="left"/>
      <w:outlineLvl w:val="1"/>
    </w:pPr>
    <w:rPr>
      <w:bCs w:val="0"/>
      <w:iCs/>
      <w:caps w:val="0"/>
      <w:szCs w:val="28"/>
    </w:rPr>
  </w:style>
  <w:style w:type="paragraph" w:styleId="Heading3">
    <w:name w:val="heading 3"/>
    <w:basedOn w:val="Heading2"/>
    <w:next w:val="Normal"/>
    <w:qFormat/>
    <w:pPr>
      <w:spacing w:line="240" w:lineRule="exact"/>
      <w:outlineLvl w:val="2"/>
    </w:pPr>
    <w:rPr>
      <w:bCs/>
      <w:sz w:val="24"/>
      <w:szCs w:val="26"/>
    </w:rPr>
  </w:style>
  <w:style w:type="paragraph" w:styleId="Heading4">
    <w:name w:val="heading 4"/>
    <w:basedOn w:val="Heading3"/>
    <w:next w:val="Normal"/>
    <w:qFormat/>
    <w:pPr>
      <w:spacing w:line="200" w:lineRule="exact"/>
      <w:outlineLvl w:val="3"/>
    </w:pPr>
    <w:rPr>
      <w:bCs w:val="0"/>
      <w:sz w:val="20"/>
      <w:szCs w:val="28"/>
    </w:rPr>
  </w:style>
  <w:style w:type="paragraph" w:styleId="Heading5">
    <w:name w:val="heading 5"/>
    <w:basedOn w:val="Heading4"/>
    <w:next w:val="Normal"/>
    <w:qFormat/>
    <w:pPr>
      <w:outlineLvl w:val="4"/>
    </w:pPr>
    <w:rPr>
      <w:bCs/>
      <w:i/>
      <w:iCs w:val="0"/>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line="160" w:lineRule="exact"/>
      <w:ind w:left="340" w:hanging="340"/>
    </w:pPr>
    <w:rPr>
      <w:sz w:val="16"/>
    </w:rPr>
  </w:style>
  <w:style w:type="paragraph" w:customStyle="1" w:styleId="Heading1Italic">
    <w:name w:val="Heading 1 Italic"/>
    <w:basedOn w:val="Heading1"/>
    <w:next w:val="Normal"/>
    <w:rPr>
      <w:i/>
    </w:rPr>
  </w:style>
  <w:style w:type="paragraph" w:customStyle="1" w:styleId="Heading2Indent1">
    <w:name w:val="Heading 2 Indent1"/>
    <w:basedOn w:val="Heading2"/>
    <w:next w:val="Normal"/>
    <w:pPr>
      <w:ind w:left="510"/>
    </w:pPr>
  </w:style>
  <w:style w:type="paragraph" w:customStyle="1" w:styleId="Heading2Indent2">
    <w:name w:val="Heading 2 Indent2"/>
    <w:basedOn w:val="Heading2"/>
    <w:next w:val="Normal"/>
    <w:pPr>
      <w:ind w:left="1021"/>
    </w:pPr>
  </w:style>
  <w:style w:type="paragraph" w:customStyle="1" w:styleId="Heading2Indent3">
    <w:name w:val="Heading 2 Indent3"/>
    <w:basedOn w:val="Heading2"/>
    <w:next w:val="Normal"/>
    <w:pPr>
      <w:ind w:left="1531"/>
    </w:pPr>
  </w:style>
  <w:style w:type="paragraph" w:customStyle="1" w:styleId="Heading3Indent1">
    <w:name w:val="Heading 3 Indent1"/>
    <w:basedOn w:val="Heading3"/>
    <w:next w:val="Normal"/>
    <w:pPr>
      <w:ind w:left="510"/>
    </w:pPr>
  </w:style>
  <w:style w:type="paragraph" w:customStyle="1" w:styleId="Heading3Indent2">
    <w:name w:val="Heading 3 Indent2"/>
    <w:basedOn w:val="Heading3"/>
    <w:next w:val="Normal"/>
    <w:pPr>
      <w:ind w:left="1021"/>
    </w:pPr>
  </w:style>
  <w:style w:type="paragraph" w:customStyle="1" w:styleId="Heading3Indent3">
    <w:name w:val="Heading 3 Indent3"/>
    <w:basedOn w:val="Heading3"/>
    <w:next w:val="Normal"/>
    <w:pPr>
      <w:ind w:left="1531"/>
    </w:pPr>
  </w:style>
  <w:style w:type="paragraph" w:customStyle="1" w:styleId="Heading4Indent1">
    <w:name w:val="Heading 4 Indent1"/>
    <w:basedOn w:val="Heading4"/>
    <w:next w:val="Normal"/>
    <w:pPr>
      <w:ind w:left="510"/>
    </w:pPr>
  </w:style>
  <w:style w:type="paragraph" w:customStyle="1" w:styleId="Heading4Indent2">
    <w:name w:val="Heading 4 Indent2"/>
    <w:basedOn w:val="Heading4"/>
    <w:next w:val="Normal"/>
    <w:pPr>
      <w:ind w:left="1021"/>
    </w:pPr>
  </w:style>
  <w:style w:type="paragraph" w:customStyle="1" w:styleId="Heading4Indent3">
    <w:name w:val="Heading 4 Indent3"/>
    <w:basedOn w:val="Heading4"/>
    <w:next w:val="Normal"/>
    <w:pPr>
      <w:ind w:left="1531"/>
    </w:pPr>
  </w:style>
  <w:style w:type="paragraph" w:customStyle="1" w:styleId="Heading5Indent1">
    <w:name w:val="Heading 5 Indent1"/>
    <w:basedOn w:val="Heading5"/>
    <w:next w:val="Normal"/>
    <w:pPr>
      <w:ind w:left="510"/>
    </w:pPr>
  </w:style>
  <w:style w:type="paragraph" w:customStyle="1" w:styleId="Heading5Indent2">
    <w:name w:val="Heading 5 Indent2"/>
    <w:basedOn w:val="Heading5"/>
    <w:next w:val="Normal"/>
    <w:pPr>
      <w:ind w:left="1021"/>
    </w:pPr>
  </w:style>
  <w:style w:type="paragraph" w:customStyle="1" w:styleId="Heading5Indent3">
    <w:name w:val="Heading 5 Indent3"/>
    <w:basedOn w:val="Heading5"/>
    <w:next w:val="Normal"/>
    <w:pPr>
      <w:ind w:left="1531"/>
    </w:pPr>
  </w:style>
  <w:style w:type="paragraph" w:customStyle="1" w:styleId="Heading6Indent1">
    <w:name w:val="Heading 6 Indent1"/>
    <w:basedOn w:val="Heading6"/>
    <w:next w:val="Normal"/>
    <w:pPr>
      <w:ind w:left="510"/>
    </w:pPr>
  </w:style>
  <w:style w:type="paragraph" w:customStyle="1" w:styleId="Heading6Indent2">
    <w:name w:val="Heading 6 Indent2"/>
    <w:basedOn w:val="Heading6"/>
    <w:next w:val="Normal"/>
    <w:pPr>
      <w:ind w:left="1021"/>
    </w:pPr>
  </w:style>
  <w:style w:type="paragraph" w:customStyle="1" w:styleId="Heading6Indent3">
    <w:name w:val="Heading 6 Indent3"/>
    <w:basedOn w:val="Heading6"/>
    <w:next w:val="Normal"/>
    <w:pPr>
      <w:ind w:left="1531"/>
    </w:pPr>
  </w:style>
  <w:style w:type="paragraph" w:styleId="Caption">
    <w:name w:val="caption"/>
    <w:basedOn w:val="Normal"/>
    <w:next w:val="Normal"/>
    <w:qFormat/>
    <w:pPr>
      <w:spacing w:before="120" w:after="120"/>
    </w:pPr>
    <w:rPr>
      <w:b/>
      <w:bCs/>
    </w:rPr>
  </w:style>
  <w:style w:type="paragraph" w:styleId="Header">
    <w:name w:val="header"/>
    <w:basedOn w:val="Normal"/>
    <w:pPr>
      <w:tabs>
        <w:tab w:val="center" w:pos="3119"/>
        <w:tab w:val="right" w:pos="6237"/>
      </w:tabs>
    </w:pPr>
  </w:style>
  <w:style w:type="paragraph" w:styleId="Footer">
    <w:name w:val="footer"/>
    <w:basedOn w:val="Normal"/>
    <w:pPr>
      <w:tabs>
        <w:tab w:val="center" w:pos="3119"/>
        <w:tab w:val="right" w:pos="6237"/>
      </w:tabs>
    </w:pPr>
  </w:style>
  <w:style w:type="paragraph" w:customStyle="1" w:styleId="CoverStandard">
    <w:name w:val="Cover Standard"/>
    <w:basedOn w:val="Normal"/>
    <w:next w:val="Normal"/>
    <w:pPr>
      <w:spacing w:line="280" w:lineRule="exact"/>
    </w:pPr>
    <w:rPr>
      <w:b/>
      <w:caps/>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pPr>
      <w:spacing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pPr>
      <w:tabs>
        <w:tab w:val="left" w:pos="907"/>
      </w:tabs>
    </w:pPr>
  </w:style>
  <w:style w:type="paragraph" w:customStyle="1" w:styleId="CoverLeadPara">
    <w:name w:val="Cover LeadPara"/>
    <w:basedOn w:val="Normal"/>
    <w:next w:val="Normal"/>
    <w:pPr>
      <w:spacing w:after="100"/>
    </w:pPr>
  </w:style>
  <w:style w:type="paragraph" w:customStyle="1" w:styleId="ContentsCapsPlainPg">
    <w:name w:val="Contents CapsPlainPg"/>
    <w:basedOn w:val="Normal"/>
    <w:next w:val="ContentsLevel1"/>
    <w:pPr>
      <w:tabs>
        <w:tab w:val="right" w:pos="5954"/>
      </w:tabs>
      <w:spacing w:after="60"/>
      <w:ind w:left="170" w:right="1134" w:hanging="170"/>
    </w:pPr>
    <w:rPr>
      <w:caps/>
    </w:rPr>
  </w:style>
  <w:style w:type="paragraph" w:customStyle="1" w:styleId="ContentsCapsBoldPg">
    <w:name w:val="Contents CapsBoldPg"/>
    <w:basedOn w:val="ContentsCapsPlainPg"/>
    <w:next w:val="ContentsLevel1"/>
    <w:rPr>
      <w:b/>
    </w:rPr>
  </w:style>
  <w:style w:type="paragraph" w:customStyle="1" w:styleId="ContentsLevel1">
    <w:name w:val="Contents Level1"/>
    <w:basedOn w:val="Normal"/>
    <w:pPr>
      <w:tabs>
        <w:tab w:val="right" w:pos="5954"/>
      </w:tabs>
      <w:spacing w:after="60"/>
      <w:ind w:left="170" w:right="1134" w:hanging="170"/>
    </w:pPr>
  </w:style>
  <w:style w:type="paragraph" w:customStyle="1" w:styleId="ContentsLevel2">
    <w:name w:val="Contents Level2"/>
    <w:basedOn w:val="ContentsLevel1"/>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pPr>
      <w:pBdr>
        <w:top w:val="single" w:sz="4" w:space="1" w:color="auto"/>
        <w:left w:val="single" w:sz="4" w:space="4" w:color="auto"/>
        <w:bottom w:val="single" w:sz="4" w:space="1" w:color="auto"/>
        <w:right w:val="single" w:sz="4" w:space="4" w:color="auto"/>
      </w:pBdr>
      <w:spacing w:after="100"/>
    </w:pPr>
  </w:style>
  <w:style w:type="paragraph" w:customStyle="1" w:styleId="Heading2IndentAus1">
    <w:name w:val="Heading 2 IndentAus1"/>
    <w:basedOn w:val="Heading2"/>
    <w:next w:val="Normal"/>
    <w:pPr>
      <w:ind w:left="1077"/>
    </w:pPr>
  </w:style>
  <w:style w:type="paragraph" w:customStyle="1" w:styleId="Heading2IndentAus2">
    <w:name w:val="Heading 2 IndentAus2"/>
    <w:basedOn w:val="Heading2"/>
    <w:next w:val="Normal"/>
    <w:pPr>
      <w:ind w:left="1588"/>
    </w:pPr>
  </w:style>
  <w:style w:type="paragraph" w:customStyle="1" w:styleId="Heading3IndentAus1">
    <w:name w:val="Heading 3 IndentAus1"/>
    <w:basedOn w:val="Heading3"/>
    <w:next w:val="Normal"/>
    <w:pPr>
      <w:ind w:left="1077"/>
    </w:pPr>
  </w:style>
  <w:style w:type="paragraph" w:customStyle="1" w:styleId="Heading3IndentAus2">
    <w:name w:val="Heading 3 IndentAus2"/>
    <w:basedOn w:val="Heading3"/>
    <w:next w:val="Normal"/>
    <w:pPr>
      <w:ind w:left="1588"/>
    </w:pPr>
  </w:style>
  <w:style w:type="paragraph" w:customStyle="1" w:styleId="Heading4IndentAus1">
    <w:name w:val="Heading 4 IndentAus1"/>
    <w:basedOn w:val="Heading4"/>
    <w:next w:val="Normal"/>
    <w:pPr>
      <w:ind w:left="1077"/>
    </w:pPr>
  </w:style>
  <w:style w:type="paragraph" w:customStyle="1" w:styleId="Heading4IndentAus2">
    <w:name w:val="Heading 4 IndentAus2"/>
    <w:basedOn w:val="Heading4"/>
    <w:next w:val="Normal"/>
    <w:pPr>
      <w:ind w:left="1588"/>
    </w:pPr>
  </w:style>
  <w:style w:type="paragraph" w:customStyle="1" w:styleId="Heading5IndentAus1">
    <w:name w:val="Heading 5 IndentAus1"/>
    <w:basedOn w:val="Heading5"/>
    <w:next w:val="Normal"/>
    <w:pPr>
      <w:ind w:left="1077"/>
    </w:pPr>
  </w:style>
  <w:style w:type="paragraph" w:customStyle="1" w:styleId="Heading5IndentAus2">
    <w:name w:val="Heading 5 IndentAus2"/>
    <w:basedOn w:val="Heading5"/>
    <w:next w:val="Normal"/>
    <w:pPr>
      <w:ind w:left="1588"/>
    </w:pPr>
  </w:style>
  <w:style w:type="paragraph" w:customStyle="1" w:styleId="Heading6IndentAus1">
    <w:name w:val="Heading 6 IndentAus1"/>
    <w:basedOn w:val="Heading6"/>
    <w:next w:val="Normal"/>
    <w:pPr>
      <w:ind w:left="1077"/>
    </w:pPr>
  </w:style>
  <w:style w:type="paragraph" w:customStyle="1" w:styleId="Heading6IndentAus2">
    <w:name w:val="Heading 6 IndentAus2"/>
    <w:basedOn w:val="Heading6"/>
    <w:next w:val="Normal"/>
    <w:pPr>
      <w:ind w:left="1588"/>
    </w:pPr>
  </w:style>
  <w:style w:type="paragraph" w:customStyle="1" w:styleId="AusPlain1">
    <w:name w:val="Aus Plain1"/>
    <w:basedOn w:val="Normal"/>
    <w:pPr>
      <w:spacing w:after="200"/>
      <w:ind w:left="1077" w:hanging="1077"/>
    </w:pPr>
  </w:style>
  <w:style w:type="paragraph" w:customStyle="1" w:styleId="AusPlain2">
    <w:name w:val="Aus Plain2"/>
    <w:basedOn w:val="AusPlain1"/>
    <w:pPr>
      <w:ind w:left="1587" w:hanging="510"/>
    </w:pPr>
  </w:style>
  <w:style w:type="paragraph" w:customStyle="1" w:styleId="AusBold1">
    <w:name w:val="Aus Bold1"/>
    <w:basedOn w:val="Normal"/>
    <w:pPr>
      <w:spacing w:after="200"/>
      <w:ind w:left="1077" w:hanging="1077"/>
    </w:pPr>
    <w:rPr>
      <w:b/>
    </w:rPr>
  </w:style>
  <w:style w:type="paragraph" w:customStyle="1" w:styleId="AusBold2">
    <w:name w:val="Aus Bold2"/>
    <w:basedOn w:val="AusBold1"/>
    <w:pPr>
      <w:ind w:left="1587" w:hanging="510"/>
    </w:pPr>
  </w:style>
  <w:style w:type="paragraph" w:customStyle="1" w:styleId="AusPlainIndent1">
    <w:name w:val="Aus PlainIndent1"/>
    <w:basedOn w:val="Normal"/>
    <w:pPr>
      <w:spacing w:after="200"/>
      <w:ind w:left="1077"/>
    </w:pPr>
  </w:style>
  <w:style w:type="paragraph" w:customStyle="1" w:styleId="AusPlainIndent2">
    <w:name w:val="Aus PlainIndent2"/>
    <w:basedOn w:val="AusPlainIndent1"/>
    <w:pPr>
      <w:ind w:left="1588"/>
    </w:pPr>
  </w:style>
  <w:style w:type="paragraph" w:customStyle="1" w:styleId="NoNumPlain1">
    <w:name w:val="NoNum Plain1"/>
    <w:basedOn w:val="Normal"/>
    <w:link w:val="NoNumPlain1Char"/>
    <w:uiPriority w:val="2"/>
    <w:qFormat/>
    <w:pPr>
      <w:spacing w:after="2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pPr>
      <w:spacing w:after="2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qFormat/>
    <w:pPr>
      <w:spacing w:after="200"/>
      <w:ind w:left="510" w:hanging="510"/>
    </w:pPr>
  </w:style>
  <w:style w:type="paragraph" w:customStyle="1" w:styleId="NumPlain2">
    <w:name w:val="Num Plain2"/>
    <w:basedOn w:val="NumPlain1"/>
    <w:qFormat/>
    <w:pPr>
      <w:ind w:left="1020"/>
    </w:pPr>
  </w:style>
  <w:style w:type="paragraph" w:customStyle="1" w:styleId="NumPlain3">
    <w:name w:val="Num Plain3"/>
    <w:basedOn w:val="NumPlain2"/>
    <w:qFormat/>
    <w:pPr>
      <w:ind w:left="1531"/>
    </w:pPr>
  </w:style>
  <w:style w:type="paragraph" w:customStyle="1" w:styleId="NumPlain4">
    <w:name w:val="Num Plain4"/>
    <w:basedOn w:val="NumPlain3"/>
    <w:pPr>
      <w:ind w:left="2041"/>
    </w:pPr>
  </w:style>
  <w:style w:type="paragraph" w:customStyle="1" w:styleId="NumBold1">
    <w:name w:val="Num Bold1"/>
    <w:basedOn w:val="Normal"/>
    <w:pPr>
      <w:spacing w:after="200"/>
      <w:ind w:left="510" w:hanging="510"/>
    </w:pPr>
    <w:rPr>
      <w:b/>
    </w:rPr>
  </w:style>
  <w:style w:type="paragraph" w:customStyle="1" w:styleId="NumBold2">
    <w:name w:val="Num Bold2"/>
    <w:basedOn w:val="NumBold1"/>
    <w:pPr>
      <w:ind w:left="1020"/>
    </w:pPr>
  </w:style>
  <w:style w:type="paragraph" w:customStyle="1" w:styleId="NumBold3">
    <w:name w:val="Num Bold3"/>
    <w:basedOn w:val="NumBold2"/>
    <w:pPr>
      <w:ind w:left="1531"/>
    </w:pPr>
  </w:style>
  <w:style w:type="paragraph" w:customStyle="1" w:styleId="NumBold4">
    <w:name w:val="Num Bold4"/>
    <w:basedOn w:val="NumBold3"/>
    <w:pPr>
      <w:ind w:left="2041"/>
    </w:pPr>
  </w:style>
  <w:style w:type="paragraph" w:customStyle="1" w:styleId="Bullet1">
    <w:name w:val="Bullet1"/>
    <w:basedOn w:val="Normal"/>
    <w:pPr>
      <w:numPr>
        <w:numId w:val="2"/>
      </w:numPr>
      <w:spacing w:after="200"/>
    </w:pPr>
  </w:style>
  <w:style w:type="paragraph" w:customStyle="1" w:styleId="Bullet2">
    <w:name w:val="Bullet2"/>
    <w:basedOn w:val="Normal"/>
    <w:pPr>
      <w:numPr>
        <w:numId w:val="1"/>
      </w:numPr>
      <w:spacing w:after="200"/>
      <w:ind w:left="1020" w:hanging="510"/>
    </w:pPr>
  </w:style>
  <w:style w:type="paragraph" w:customStyle="1" w:styleId="Bullet3">
    <w:name w:val="Bullet3"/>
    <w:basedOn w:val="Normal"/>
    <w:pPr>
      <w:numPr>
        <w:numId w:val="3"/>
      </w:numPr>
      <w:spacing w:after="200"/>
    </w:pPr>
  </w:style>
  <w:style w:type="paragraph" w:customStyle="1" w:styleId="CommentsPage">
    <w:name w:val="CommentsPage"/>
    <w:basedOn w:val="Normal"/>
    <w:next w:val="Normal"/>
  </w:style>
  <w:style w:type="paragraph" w:customStyle="1" w:styleId="Bullet4">
    <w:name w:val="Bullet4"/>
    <w:basedOn w:val="Normal"/>
    <w:pPr>
      <w:numPr>
        <w:numId w:val="6"/>
      </w:numPr>
      <w:spacing w:after="200"/>
    </w:pPr>
  </w:style>
  <w:style w:type="paragraph" w:customStyle="1" w:styleId="Heading2IndentAG1">
    <w:name w:val="Heading 2 IndentAG1"/>
    <w:basedOn w:val="Heading2"/>
    <w:next w:val="Normal"/>
    <w:pPr>
      <w:ind w:left="737"/>
    </w:pPr>
  </w:style>
  <w:style w:type="paragraph" w:customStyle="1" w:styleId="Heading2IndentAG2">
    <w:name w:val="Heading 2 IndentAG2"/>
    <w:basedOn w:val="Heading2"/>
    <w:next w:val="Normal"/>
    <w:pPr>
      <w:ind w:left="1247"/>
    </w:pPr>
  </w:style>
  <w:style w:type="paragraph" w:customStyle="1" w:styleId="Heading3IndentAG1">
    <w:name w:val="Heading 3 IndentAG1"/>
    <w:basedOn w:val="Heading3"/>
    <w:next w:val="Normal"/>
    <w:pPr>
      <w:ind w:left="737"/>
    </w:pPr>
  </w:style>
  <w:style w:type="paragraph" w:customStyle="1" w:styleId="Heading3IndentAG2">
    <w:name w:val="Heading 3 IndentAG2"/>
    <w:basedOn w:val="Heading3"/>
    <w:next w:val="Normal"/>
    <w:pPr>
      <w:ind w:left="1247"/>
    </w:pPr>
  </w:style>
  <w:style w:type="paragraph" w:customStyle="1" w:styleId="Heading4IndentAG1">
    <w:name w:val="Heading 4 IndentAG1"/>
    <w:basedOn w:val="Heading4"/>
    <w:next w:val="Normal"/>
    <w:pPr>
      <w:ind w:left="737"/>
    </w:pPr>
  </w:style>
  <w:style w:type="paragraph" w:customStyle="1" w:styleId="Heading4IndentAG2">
    <w:name w:val="Heading 4 IndentAG2"/>
    <w:basedOn w:val="Heading4"/>
    <w:next w:val="Normal"/>
    <w:pPr>
      <w:ind w:left="1247"/>
    </w:pPr>
  </w:style>
  <w:style w:type="paragraph" w:customStyle="1" w:styleId="Heading5IndentAG1">
    <w:name w:val="Heading 5 IndentAG1"/>
    <w:basedOn w:val="Heading5"/>
    <w:next w:val="Normal"/>
    <w:pPr>
      <w:ind w:left="737"/>
    </w:pPr>
  </w:style>
  <w:style w:type="paragraph" w:customStyle="1" w:styleId="Heading5IndentAG2">
    <w:name w:val="Heading 5 IndentAG2"/>
    <w:basedOn w:val="Heading5"/>
    <w:next w:val="Normal"/>
    <w:pPr>
      <w:ind w:left="1247"/>
    </w:pPr>
  </w:style>
  <w:style w:type="paragraph" w:customStyle="1" w:styleId="Heading6IndentAG1">
    <w:name w:val="Heading 6 IndentAG1"/>
    <w:basedOn w:val="Heading6"/>
    <w:next w:val="Normal"/>
    <w:pPr>
      <w:ind w:left="737"/>
    </w:pPr>
  </w:style>
  <w:style w:type="paragraph" w:customStyle="1" w:styleId="Heading6IndentAG2">
    <w:name w:val="Heading 6 IndentAG2"/>
    <w:basedOn w:val="Heading6"/>
    <w:next w:val="Normal"/>
    <w:pPr>
      <w:ind w:left="1247"/>
    </w:pPr>
  </w:style>
  <w:style w:type="paragraph" w:customStyle="1" w:styleId="AGPlain1">
    <w:name w:val="AG Plain1"/>
    <w:basedOn w:val="Normal"/>
    <w:pPr>
      <w:spacing w:after="200"/>
      <w:ind w:left="737" w:hanging="737"/>
    </w:pPr>
  </w:style>
  <w:style w:type="paragraph" w:customStyle="1" w:styleId="AGPlain2">
    <w:name w:val="AG Plain2"/>
    <w:basedOn w:val="AGPlain1"/>
    <w:pPr>
      <w:ind w:left="1247" w:hanging="510"/>
    </w:pPr>
  </w:style>
  <w:style w:type="paragraph" w:customStyle="1" w:styleId="AGBold1">
    <w:name w:val="AG Bold1"/>
    <w:basedOn w:val="Normal"/>
    <w:pPr>
      <w:spacing w:after="200"/>
      <w:ind w:left="737" w:hanging="737"/>
    </w:pPr>
    <w:rPr>
      <w:b/>
    </w:rPr>
  </w:style>
  <w:style w:type="paragraph" w:customStyle="1" w:styleId="AGBold2">
    <w:name w:val="AG Bold2"/>
    <w:basedOn w:val="AGBold1"/>
    <w:pPr>
      <w:ind w:left="1247" w:hanging="510"/>
    </w:pPr>
  </w:style>
  <w:style w:type="paragraph" w:customStyle="1" w:styleId="AGPlainIndent1">
    <w:name w:val="AG PlainIndent1"/>
    <w:basedOn w:val="Normal"/>
    <w:pPr>
      <w:spacing w:after="200"/>
      <w:ind w:left="737"/>
    </w:pPr>
  </w:style>
  <w:style w:type="paragraph" w:customStyle="1" w:styleId="AGPlainIndent2">
    <w:name w:val="AG PlainIndent2"/>
    <w:basedOn w:val="AGPlainIndent1"/>
    <w:pPr>
      <w:ind w:left="1247"/>
    </w:pPr>
  </w:style>
  <w:style w:type="paragraph" w:customStyle="1" w:styleId="ContentsCapsPlain">
    <w:name w:val="Contents CapsPlain"/>
    <w:basedOn w:val="Normal"/>
    <w:next w:val="ContentsLevel1"/>
    <w:pPr>
      <w:spacing w:after="200"/>
    </w:pPr>
    <w:rPr>
      <w:caps/>
    </w:rPr>
  </w:style>
  <w:style w:type="paragraph" w:customStyle="1" w:styleId="ContentsCapsBold">
    <w:name w:val="Contents CapsBold"/>
    <w:basedOn w:val="ContentsCapsPlain"/>
    <w:next w:val="ContentsLevel1"/>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DefinePara">
    <w:name w:val="Define Para"/>
    <w:basedOn w:val="Normal"/>
    <w:pPr>
      <w:spacing w:after="200"/>
    </w:pPr>
    <w:rPr>
      <w:b/>
    </w:rPr>
  </w:style>
  <w:style w:type="paragraph" w:customStyle="1" w:styleId="DefnPara">
    <w:name w:val="Defn Para"/>
    <w:basedOn w:val="Normal"/>
    <w:pPr>
      <w:spacing w:after="200"/>
      <w:ind w:left="1077" w:hanging="340"/>
    </w:pPr>
    <w:rPr>
      <w:b/>
    </w:rPr>
  </w:style>
  <w:style w:type="paragraph" w:customStyle="1" w:styleId="DefnSubpoint1">
    <w:name w:val="Defn Subpoint1"/>
    <w:basedOn w:val="DefnPara"/>
    <w:pPr>
      <w:ind w:left="1587" w:hanging="510"/>
    </w:pPr>
  </w:style>
  <w:style w:type="paragraph" w:customStyle="1" w:styleId="DefnSubpoint2">
    <w:name w:val="Defn Subpoint2"/>
    <w:basedOn w:val="DefnSubpoint1"/>
    <w:pPr>
      <w:ind w:left="2098"/>
    </w:pPr>
  </w:style>
  <w:style w:type="paragraph" w:customStyle="1" w:styleId="DefnSubpoint3">
    <w:name w:val="Defn Subpoint3"/>
    <w:basedOn w:val="DefnSubpoint2"/>
    <w:pPr>
      <w:ind w:left="2608"/>
    </w:pPr>
  </w:style>
  <w:style w:type="paragraph" w:customStyle="1" w:styleId="TextPara">
    <w:name w:val="Text Para"/>
    <w:basedOn w:val="Normal"/>
  </w:style>
  <w:style w:type="paragraph" w:customStyle="1" w:styleId="TextPoint">
    <w:name w:val="Text Point"/>
    <w:basedOn w:val="TextPara"/>
    <w:pPr>
      <w:spacing w:after="60"/>
      <w:ind w:left="318" w:hanging="318"/>
    </w:pPr>
  </w:style>
  <w:style w:type="paragraph" w:customStyle="1" w:styleId="RunOrder2">
    <w:name w:val="Run Order 2"/>
    <w:basedOn w:val="Normal"/>
    <w:pPr>
      <w:tabs>
        <w:tab w:val="left" w:pos="3600"/>
      </w:tabs>
      <w:spacing w:line="240" w:lineRule="auto"/>
      <w:ind w:left="4176" w:hanging="288"/>
    </w:pPr>
    <w:rPr>
      <w:sz w:val="24"/>
    </w:rPr>
  </w:style>
  <w:style w:type="paragraph" w:customStyle="1" w:styleId="ContentsPlain">
    <w:name w:val="Contents Plain"/>
    <w:basedOn w:val="Normal"/>
    <w:pPr>
      <w:tabs>
        <w:tab w:val="left" w:pos="284"/>
        <w:tab w:val="right" w:pos="5954"/>
      </w:tabs>
      <w:spacing w:before="60" w:after="60"/>
      <w:ind w:left="284" w:right="284" w:hanging="284"/>
    </w:pPr>
  </w:style>
  <w:style w:type="paragraph" w:customStyle="1" w:styleId="ParaHeading4">
    <w:name w:val="Para Heading 4"/>
    <w:basedOn w:val="Normal"/>
    <w:next w:val="Normal"/>
    <w:pPr>
      <w:keepNext/>
      <w:keepLines/>
      <w:spacing w:before="120" w:line="240" w:lineRule="exact"/>
      <w:ind w:left="567"/>
    </w:pPr>
    <w:rPr>
      <w:b/>
      <w:sz w:val="24"/>
    </w:rPr>
  </w:style>
  <w:style w:type="character" w:customStyle="1" w:styleId="Part">
    <w:name w:val="Part"/>
    <w:basedOn w:val="DefaultParagraphFont"/>
  </w:style>
  <w:style w:type="character" w:styleId="Hyperlink">
    <w:name w:val="Hyperlink"/>
    <w:rPr>
      <w:color w:val="0000FF"/>
      <w:u w:val="single"/>
    </w:rPr>
  </w:style>
  <w:style w:type="character" w:customStyle="1" w:styleId="NumPlain1Char">
    <w:name w:val="Num Plain1 Char"/>
    <w:link w:val="NumPlain1"/>
    <w:rsid w:val="00B85DBC"/>
    <w:rPr>
      <w:lang w:val="en-AU" w:eastAsia="en-US" w:bidi="ar-SA"/>
    </w:rPr>
  </w:style>
  <w:style w:type="paragraph" w:customStyle="1" w:styleId="Bullets">
    <w:name w:val="Bullets"/>
    <w:basedOn w:val="Normal"/>
    <w:rsid w:val="006D5858"/>
    <w:pPr>
      <w:numPr>
        <w:numId w:val="7"/>
      </w:numPr>
      <w:spacing w:line="240" w:lineRule="auto"/>
    </w:pPr>
    <w:rPr>
      <w:sz w:val="24"/>
    </w:rPr>
  </w:style>
  <w:style w:type="paragraph" w:customStyle="1" w:styleId="MemoSectionHead">
    <w:name w:val="MemoSectionHead"/>
    <w:basedOn w:val="Heading1"/>
    <w:rsid w:val="004209B2"/>
    <w:pPr>
      <w:spacing w:before="240" w:after="240" w:line="240" w:lineRule="auto"/>
      <w:jc w:val="left"/>
    </w:pPr>
    <w:rPr>
      <w:rFonts w:cs="Times New Roman"/>
      <w:bCs w:val="0"/>
      <w:caps w:val="0"/>
      <w:sz w:val="24"/>
      <w:szCs w:val="20"/>
      <w:u w:val="single"/>
    </w:rPr>
  </w:style>
  <w:style w:type="paragraph" w:customStyle="1" w:styleId="PlainHanging1">
    <w:name w:val="Plain Hanging1"/>
    <w:basedOn w:val="NoNumPlain2"/>
    <w:rsid w:val="00FD4C0C"/>
    <w:pPr>
      <w:ind w:left="1020" w:hanging="510"/>
    </w:pPr>
  </w:style>
  <w:style w:type="paragraph" w:customStyle="1" w:styleId="NumPlainA">
    <w:name w:val="Num PlainA"/>
    <w:basedOn w:val="Normal"/>
    <w:rsid w:val="00FD4C0C"/>
    <w:pPr>
      <w:numPr>
        <w:numId w:val="8"/>
      </w:numPr>
      <w:spacing w:after="200"/>
      <w:outlineLvl w:val="0"/>
    </w:pPr>
  </w:style>
  <w:style w:type="paragraph" w:customStyle="1" w:styleId="NumPlainA2">
    <w:name w:val="Num PlainA2"/>
    <w:basedOn w:val="NumPlainA"/>
    <w:rsid w:val="00FD4C0C"/>
    <w:pPr>
      <w:numPr>
        <w:ilvl w:val="1"/>
      </w:numPr>
      <w:outlineLvl w:val="1"/>
    </w:pPr>
  </w:style>
  <w:style w:type="character" w:customStyle="1" w:styleId="NoNumPlain1Char">
    <w:name w:val="NoNum Plain1 Char"/>
    <w:link w:val="NoNumPlain1"/>
    <w:rsid w:val="00FD4C0C"/>
    <w:rPr>
      <w:lang w:val="en-AU" w:eastAsia="en-US" w:bidi="ar-SA"/>
    </w:rPr>
  </w:style>
  <w:style w:type="character" w:styleId="FootnoteReference">
    <w:name w:val="footnote reference"/>
    <w:semiHidden/>
    <w:rsid w:val="00A92FFA"/>
    <w:rPr>
      <w:vertAlign w:val="superscript"/>
    </w:rPr>
  </w:style>
  <w:style w:type="paragraph" w:styleId="BalloonText">
    <w:name w:val="Balloon Text"/>
    <w:basedOn w:val="Normal"/>
    <w:semiHidden/>
    <w:rsid w:val="001E0872"/>
    <w:rPr>
      <w:rFonts w:ascii="Tahoma" w:hAnsi="Tahoma" w:cs="Tahoma"/>
      <w:sz w:val="16"/>
      <w:szCs w:val="16"/>
    </w:rPr>
  </w:style>
  <w:style w:type="paragraph" w:customStyle="1" w:styleId="BodyText">
    <w:name w:val="BodyText"/>
    <w:basedOn w:val="Normal"/>
    <w:rsid w:val="00131465"/>
    <w:pPr>
      <w:spacing w:line="360" w:lineRule="auto"/>
      <w:ind w:left="142"/>
    </w:pPr>
    <w:rPr>
      <w:rFonts w:ascii="Arial" w:hAnsi="Arial"/>
      <w:szCs w:val="24"/>
      <w:lang w:eastAsia="en-AU"/>
    </w:rPr>
  </w:style>
  <w:style w:type="paragraph" w:customStyle="1" w:styleId="AppendixNote">
    <w:name w:val="AppendixNote"/>
    <w:basedOn w:val="Normal"/>
    <w:next w:val="Normal"/>
    <w:rsid w:val="00270E02"/>
    <w:pPr>
      <w:spacing w:after="200"/>
    </w:pPr>
    <w:rPr>
      <w:i/>
      <w:iCs/>
    </w:rPr>
  </w:style>
  <w:style w:type="paragraph" w:customStyle="1" w:styleId="Default">
    <w:name w:val="Default"/>
    <w:rsid w:val="00270E02"/>
    <w:pPr>
      <w:autoSpaceDE w:val="0"/>
      <w:autoSpaceDN w:val="0"/>
      <w:adjustRightInd w:val="0"/>
    </w:pPr>
    <w:rPr>
      <w:color w:val="000000"/>
      <w:sz w:val="24"/>
      <w:szCs w:val="24"/>
    </w:rPr>
  </w:style>
  <w:style w:type="character" w:styleId="CommentReference">
    <w:name w:val="annotation reference"/>
    <w:basedOn w:val="DefaultParagraphFont"/>
    <w:rsid w:val="00A66166"/>
    <w:rPr>
      <w:sz w:val="16"/>
      <w:szCs w:val="16"/>
    </w:rPr>
  </w:style>
  <w:style w:type="paragraph" w:styleId="CommentText">
    <w:name w:val="annotation text"/>
    <w:basedOn w:val="Normal"/>
    <w:link w:val="CommentTextChar"/>
    <w:rsid w:val="00A66166"/>
    <w:pPr>
      <w:spacing w:line="240" w:lineRule="auto"/>
    </w:pPr>
  </w:style>
  <w:style w:type="character" w:customStyle="1" w:styleId="CommentTextChar">
    <w:name w:val="Comment Text Char"/>
    <w:basedOn w:val="DefaultParagraphFont"/>
    <w:link w:val="CommentText"/>
    <w:rsid w:val="00A66166"/>
    <w:rPr>
      <w:lang w:eastAsia="en-US"/>
    </w:rPr>
  </w:style>
  <w:style w:type="paragraph" w:styleId="CommentSubject">
    <w:name w:val="annotation subject"/>
    <w:basedOn w:val="CommentText"/>
    <w:next w:val="CommentText"/>
    <w:link w:val="CommentSubjectChar"/>
    <w:rsid w:val="00A66166"/>
    <w:rPr>
      <w:b/>
      <w:bCs/>
    </w:rPr>
  </w:style>
  <w:style w:type="character" w:customStyle="1" w:styleId="CommentSubjectChar">
    <w:name w:val="Comment Subject Char"/>
    <w:basedOn w:val="CommentTextChar"/>
    <w:link w:val="CommentSubject"/>
    <w:rsid w:val="00A66166"/>
    <w:rPr>
      <w:b/>
      <w:bCs/>
      <w:lang w:eastAsia="en-US"/>
    </w:rPr>
  </w:style>
  <w:style w:type="paragraph" w:styleId="Revision">
    <w:name w:val="Revision"/>
    <w:hidden/>
    <w:uiPriority w:val="99"/>
    <w:semiHidden/>
    <w:rsid w:val="00A66166"/>
    <w:rPr>
      <w:lang w:eastAsia="en-US"/>
    </w:rPr>
  </w:style>
  <w:style w:type="paragraph" w:customStyle="1" w:styleId="AppendixText">
    <w:name w:val="AppendixText"/>
    <w:basedOn w:val="Normal"/>
    <w:rsid w:val="00544ACE"/>
    <w:pPr>
      <w:spacing w:after="2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4ACE"/>
    <w:pPr>
      <w:spacing w:line="200" w:lineRule="exact"/>
    </w:pPr>
    <w:rPr>
      <w:lang w:eastAsia="en-US"/>
    </w:rPr>
  </w:style>
  <w:style w:type="paragraph" w:styleId="Heading1">
    <w:name w:val="heading 1"/>
    <w:basedOn w:val="Normal"/>
    <w:next w:val="Normal"/>
    <w:qFormat/>
    <w:pPr>
      <w:keepNext/>
      <w:spacing w:after="200" w:line="280" w:lineRule="exact"/>
      <w:jc w:val="center"/>
      <w:outlineLvl w:val="0"/>
    </w:pPr>
    <w:rPr>
      <w:rFonts w:cs="Arial"/>
      <w:b/>
      <w:bCs/>
      <w:caps/>
      <w:sz w:val="28"/>
      <w:szCs w:val="32"/>
    </w:rPr>
  </w:style>
  <w:style w:type="paragraph" w:styleId="Heading2">
    <w:name w:val="heading 2"/>
    <w:basedOn w:val="Heading1"/>
    <w:next w:val="Normal"/>
    <w:qFormat/>
    <w:pPr>
      <w:jc w:val="left"/>
      <w:outlineLvl w:val="1"/>
    </w:pPr>
    <w:rPr>
      <w:bCs w:val="0"/>
      <w:iCs/>
      <w:caps w:val="0"/>
      <w:szCs w:val="28"/>
    </w:rPr>
  </w:style>
  <w:style w:type="paragraph" w:styleId="Heading3">
    <w:name w:val="heading 3"/>
    <w:basedOn w:val="Heading2"/>
    <w:next w:val="Normal"/>
    <w:qFormat/>
    <w:pPr>
      <w:spacing w:line="240" w:lineRule="exact"/>
      <w:outlineLvl w:val="2"/>
    </w:pPr>
    <w:rPr>
      <w:bCs/>
      <w:sz w:val="24"/>
      <w:szCs w:val="26"/>
    </w:rPr>
  </w:style>
  <w:style w:type="paragraph" w:styleId="Heading4">
    <w:name w:val="heading 4"/>
    <w:basedOn w:val="Heading3"/>
    <w:next w:val="Normal"/>
    <w:qFormat/>
    <w:pPr>
      <w:spacing w:line="200" w:lineRule="exact"/>
      <w:outlineLvl w:val="3"/>
    </w:pPr>
    <w:rPr>
      <w:bCs w:val="0"/>
      <w:sz w:val="20"/>
      <w:szCs w:val="28"/>
    </w:rPr>
  </w:style>
  <w:style w:type="paragraph" w:styleId="Heading5">
    <w:name w:val="heading 5"/>
    <w:basedOn w:val="Heading4"/>
    <w:next w:val="Normal"/>
    <w:qFormat/>
    <w:pPr>
      <w:outlineLvl w:val="4"/>
    </w:pPr>
    <w:rPr>
      <w:bCs/>
      <w:i/>
      <w:iCs w:val="0"/>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line="160" w:lineRule="exact"/>
      <w:ind w:left="340" w:hanging="340"/>
    </w:pPr>
    <w:rPr>
      <w:sz w:val="16"/>
    </w:rPr>
  </w:style>
  <w:style w:type="paragraph" w:customStyle="1" w:styleId="Heading1Italic">
    <w:name w:val="Heading 1 Italic"/>
    <w:basedOn w:val="Heading1"/>
    <w:next w:val="Normal"/>
    <w:rPr>
      <w:i/>
    </w:rPr>
  </w:style>
  <w:style w:type="paragraph" w:customStyle="1" w:styleId="Heading2Indent1">
    <w:name w:val="Heading 2 Indent1"/>
    <w:basedOn w:val="Heading2"/>
    <w:next w:val="Normal"/>
    <w:pPr>
      <w:ind w:left="510"/>
    </w:pPr>
  </w:style>
  <w:style w:type="paragraph" w:customStyle="1" w:styleId="Heading2Indent2">
    <w:name w:val="Heading 2 Indent2"/>
    <w:basedOn w:val="Heading2"/>
    <w:next w:val="Normal"/>
    <w:pPr>
      <w:ind w:left="1021"/>
    </w:pPr>
  </w:style>
  <w:style w:type="paragraph" w:customStyle="1" w:styleId="Heading2Indent3">
    <w:name w:val="Heading 2 Indent3"/>
    <w:basedOn w:val="Heading2"/>
    <w:next w:val="Normal"/>
    <w:pPr>
      <w:ind w:left="1531"/>
    </w:pPr>
  </w:style>
  <w:style w:type="paragraph" w:customStyle="1" w:styleId="Heading3Indent1">
    <w:name w:val="Heading 3 Indent1"/>
    <w:basedOn w:val="Heading3"/>
    <w:next w:val="Normal"/>
    <w:pPr>
      <w:ind w:left="510"/>
    </w:pPr>
  </w:style>
  <w:style w:type="paragraph" w:customStyle="1" w:styleId="Heading3Indent2">
    <w:name w:val="Heading 3 Indent2"/>
    <w:basedOn w:val="Heading3"/>
    <w:next w:val="Normal"/>
    <w:pPr>
      <w:ind w:left="1021"/>
    </w:pPr>
  </w:style>
  <w:style w:type="paragraph" w:customStyle="1" w:styleId="Heading3Indent3">
    <w:name w:val="Heading 3 Indent3"/>
    <w:basedOn w:val="Heading3"/>
    <w:next w:val="Normal"/>
    <w:pPr>
      <w:ind w:left="1531"/>
    </w:pPr>
  </w:style>
  <w:style w:type="paragraph" w:customStyle="1" w:styleId="Heading4Indent1">
    <w:name w:val="Heading 4 Indent1"/>
    <w:basedOn w:val="Heading4"/>
    <w:next w:val="Normal"/>
    <w:pPr>
      <w:ind w:left="510"/>
    </w:pPr>
  </w:style>
  <w:style w:type="paragraph" w:customStyle="1" w:styleId="Heading4Indent2">
    <w:name w:val="Heading 4 Indent2"/>
    <w:basedOn w:val="Heading4"/>
    <w:next w:val="Normal"/>
    <w:pPr>
      <w:ind w:left="1021"/>
    </w:pPr>
  </w:style>
  <w:style w:type="paragraph" w:customStyle="1" w:styleId="Heading4Indent3">
    <w:name w:val="Heading 4 Indent3"/>
    <w:basedOn w:val="Heading4"/>
    <w:next w:val="Normal"/>
    <w:pPr>
      <w:ind w:left="1531"/>
    </w:pPr>
  </w:style>
  <w:style w:type="paragraph" w:customStyle="1" w:styleId="Heading5Indent1">
    <w:name w:val="Heading 5 Indent1"/>
    <w:basedOn w:val="Heading5"/>
    <w:next w:val="Normal"/>
    <w:pPr>
      <w:ind w:left="510"/>
    </w:pPr>
  </w:style>
  <w:style w:type="paragraph" w:customStyle="1" w:styleId="Heading5Indent2">
    <w:name w:val="Heading 5 Indent2"/>
    <w:basedOn w:val="Heading5"/>
    <w:next w:val="Normal"/>
    <w:pPr>
      <w:ind w:left="1021"/>
    </w:pPr>
  </w:style>
  <w:style w:type="paragraph" w:customStyle="1" w:styleId="Heading5Indent3">
    <w:name w:val="Heading 5 Indent3"/>
    <w:basedOn w:val="Heading5"/>
    <w:next w:val="Normal"/>
    <w:pPr>
      <w:ind w:left="1531"/>
    </w:pPr>
  </w:style>
  <w:style w:type="paragraph" w:customStyle="1" w:styleId="Heading6Indent1">
    <w:name w:val="Heading 6 Indent1"/>
    <w:basedOn w:val="Heading6"/>
    <w:next w:val="Normal"/>
    <w:pPr>
      <w:ind w:left="510"/>
    </w:pPr>
  </w:style>
  <w:style w:type="paragraph" w:customStyle="1" w:styleId="Heading6Indent2">
    <w:name w:val="Heading 6 Indent2"/>
    <w:basedOn w:val="Heading6"/>
    <w:next w:val="Normal"/>
    <w:pPr>
      <w:ind w:left="1021"/>
    </w:pPr>
  </w:style>
  <w:style w:type="paragraph" w:customStyle="1" w:styleId="Heading6Indent3">
    <w:name w:val="Heading 6 Indent3"/>
    <w:basedOn w:val="Heading6"/>
    <w:next w:val="Normal"/>
    <w:pPr>
      <w:ind w:left="1531"/>
    </w:pPr>
  </w:style>
  <w:style w:type="paragraph" w:styleId="Caption">
    <w:name w:val="caption"/>
    <w:basedOn w:val="Normal"/>
    <w:next w:val="Normal"/>
    <w:qFormat/>
    <w:pPr>
      <w:spacing w:before="120" w:after="120"/>
    </w:pPr>
    <w:rPr>
      <w:b/>
      <w:bCs/>
    </w:rPr>
  </w:style>
  <w:style w:type="paragraph" w:styleId="Header">
    <w:name w:val="header"/>
    <w:basedOn w:val="Normal"/>
    <w:pPr>
      <w:tabs>
        <w:tab w:val="center" w:pos="3119"/>
        <w:tab w:val="right" w:pos="6237"/>
      </w:tabs>
    </w:pPr>
  </w:style>
  <w:style w:type="paragraph" w:styleId="Footer">
    <w:name w:val="footer"/>
    <w:basedOn w:val="Normal"/>
    <w:pPr>
      <w:tabs>
        <w:tab w:val="center" w:pos="3119"/>
        <w:tab w:val="right" w:pos="6237"/>
      </w:tabs>
    </w:pPr>
  </w:style>
  <w:style w:type="paragraph" w:customStyle="1" w:styleId="CoverStandard">
    <w:name w:val="Cover Standard"/>
    <w:basedOn w:val="Normal"/>
    <w:next w:val="Normal"/>
    <w:pPr>
      <w:spacing w:line="280" w:lineRule="exact"/>
    </w:pPr>
    <w:rPr>
      <w:b/>
      <w:caps/>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pPr>
      <w:spacing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pPr>
      <w:tabs>
        <w:tab w:val="left" w:pos="907"/>
      </w:tabs>
    </w:pPr>
  </w:style>
  <w:style w:type="paragraph" w:customStyle="1" w:styleId="CoverLeadPara">
    <w:name w:val="Cover LeadPara"/>
    <w:basedOn w:val="Normal"/>
    <w:next w:val="Normal"/>
    <w:pPr>
      <w:spacing w:after="100"/>
    </w:pPr>
  </w:style>
  <w:style w:type="paragraph" w:customStyle="1" w:styleId="ContentsCapsPlainPg">
    <w:name w:val="Contents CapsPlainPg"/>
    <w:basedOn w:val="Normal"/>
    <w:next w:val="ContentsLevel1"/>
    <w:pPr>
      <w:tabs>
        <w:tab w:val="right" w:pos="5954"/>
      </w:tabs>
      <w:spacing w:after="60"/>
      <w:ind w:left="170" w:right="1134" w:hanging="170"/>
    </w:pPr>
    <w:rPr>
      <w:caps/>
    </w:rPr>
  </w:style>
  <w:style w:type="paragraph" w:customStyle="1" w:styleId="ContentsCapsBoldPg">
    <w:name w:val="Contents CapsBoldPg"/>
    <w:basedOn w:val="ContentsCapsPlainPg"/>
    <w:next w:val="ContentsLevel1"/>
    <w:rPr>
      <w:b/>
    </w:rPr>
  </w:style>
  <w:style w:type="paragraph" w:customStyle="1" w:styleId="ContentsLevel1">
    <w:name w:val="Contents Level1"/>
    <w:basedOn w:val="Normal"/>
    <w:pPr>
      <w:tabs>
        <w:tab w:val="right" w:pos="5954"/>
      </w:tabs>
      <w:spacing w:after="60"/>
      <w:ind w:left="170" w:right="1134" w:hanging="170"/>
    </w:pPr>
  </w:style>
  <w:style w:type="paragraph" w:customStyle="1" w:styleId="ContentsLevel2">
    <w:name w:val="Contents Level2"/>
    <w:basedOn w:val="ContentsLevel1"/>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pPr>
      <w:pBdr>
        <w:top w:val="single" w:sz="4" w:space="1" w:color="auto"/>
        <w:left w:val="single" w:sz="4" w:space="4" w:color="auto"/>
        <w:bottom w:val="single" w:sz="4" w:space="1" w:color="auto"/>
        <w:right w:val="single" w:sz="4" w:space="4" w:color="auto"/>
      </w:pBdr>
      <w:spacing w:after="100"/>
    </w:pPr>
  </w:style>
  <w:style w:type="paragraph" w:customStyle="1" w:styleId="Heading2IndentAus1">
    <w:name w:val="Heading 2 IndentAus1"/>
    <w:basedOn w:val="Heading2"/>
    <w:next w:val="Normal"/>
    <w:pPr>
      <w:ind w:left="1077"/>
    </w:pPr>
  </w:style>
  <w:style w:type="paragraph" w:customStyle="1" w:styleId="Heading2IndentAus2">
    <w:name w:val="Heading 2 IndentAus2"/>
    <w:basedOn w:val="Heading2"/>
    <w:next w:val="Normal"/>
    <w:pPr>
      <w:ind w:left="1588"/>
    </w:pPr>
  </w:style>
  <w:style w:type="paragraph" w:customStyle="1" w:styleId="Heading3IndentAus1">
    <w:name w:val="Heading 3 IndentAus1"/>
    <w:basedOn w:val="Heading3"/>
    <w:next w:val="Normal"/>
    <w:pPr>
      <w:ind w:left="1077"/>
    </w:pPr>
  </w:style>
  <w:style w:type="paragraph" w:customStyle="1" w:styleId="Heading3IndentAus2">
    <w:name w:val="Heading 3 IndentAus2"/>
    <w:basedOn w:val="Heading3"/>
    <w:next w:val="Normal"/>
    <w:pPr>
      <w:ind w:left="1588"/>
    </w:pPr>
  </w:style>
  <w:style w:type="paragraph" w:customStyle="1" w:styleId="Heading4IndentAus1">
    <w:name w:val="Heading 4 IndentAus1"/>
    <w:basedOn w:val="Heading4"/>
    <w:next w:val="Normal"/>
    <w:pPr>
      <w:ind w:left="1077"/>
    </w:pPr>
  </w:style>
  <w:style w:type="paragraph" w:customStyle="1" w:styleId="Heading4IndentAus2">
    <w:name w:val="Heading 4 IndentAus2"/>
    <w:basedOn w:val="Heading4"/>
    <w:next w:val="Normal"/>
    <w:pPr>
      <w:ind w:left="1588"/>
    </w:pPr>
  </w:style>
  <w:style w:type="paragraph" w:customStyle="1" w:styleId="Heading5IndentAus1">
    <w:name w:val="Heading 5 IndentAus1"/>
    <w:basedOn w:val="Heading5"/>
    <w:next w:val="Normal"/>
    <w:pPr>
      <w:ind w:left="1077"/>
    </w:pPr>
  </w:style>
  <w:style w:type="paragraph" w:customStyle="1" w:styleId="Heading5IndentAus2">
    <w:name w:val="Heading 5 IndentAus2"/>
    <w:basedOn w:val="Heading5"/>
    <w:next w:val="Normal"/>
    <w:pPr>
      <w:ind w:left="1588"/>
    </w:pPr>
  </w:style>
  <w:style w:type="paragraph" w:customStyle="1" w:styleId="Heading6IndentAus1">
    <w:name w:val="Heading 6 IndentAus1"/>
    <w:basedOn w:val="Heading6"/>
    <w:next w:val="Normal"/>
    <w:pPr>
      <w:ind w:left="1077"/>
    </w:pPr>
  </w:style>
  <w:style w:type="paragraph" w:customStyle="1" w:styleId="Heading6IndentAus2">
    <w:name w:val="Heading 6 IndentAus2"/>
    <w:basedOn w:val="Heading6"/>
    <w:next w:val="Normal"/>
    <w:pPr>
      <w:ind w:left="1588"/>
    </w:pPr>
  </w:style>
  <w:style w:type="paragraph" w:customStyle="1" w:styleId="AusPlain1">
    <w:name w:val="Aus Plain1"/>
    <w:basedOn w:val="Normal"/>
    <w:pPr>
      <w:spacing w:after="200"/>
      <w:ind w:left="1077" w:hanging="1077"/>
    </w:pPr>
  </w:style>
  <w:style w:type="paragraph" w:customStyle="1" w:styleId="AusPlain2">
    <w:name w:val="Aus Plain2"/>
    <w:basedOn w:val="AusPlain1"/>
    <w:pPr>
      <w:ind w:left="1587" w:hanging="510"/>
    </w:pPr>
  </w:style>
  <w:style w:type="paragraph" w:customStyle="1" w:styleId="AusBold1">
    <w:name w:val="Aus Bold1"/>
    <w:basedOn w:val="Normal"/>
    <w:pPr>
      <w:spacing w:after="200"/>
      <w:ind w:left="1077" w:hanging="1077"/>
    </w:pPr>
    <w:rPr>
      <w:b/>
    </w:rPr>
  </w:style>
  <w:style w:type="paragraph" w:customStyle="1" w:styleId="AusBold2">
    <w:name w:val="Aus Bold2"/>
    <w:basedOn w:val="AusBold1"/>
    <w:pPr>
      <w:ind w:left="1587" w:hanging="510"/>
    </w:pPr>
  </w:style>
  <w:style w:type="paragraph" w:customStyle="1" w:styleId="AusPlainIndent1">
    <w:name w:val="Aus PlainIndent1"/>
    <w:basedOn w:val="Normal"/>
    <w:pPr>
      <w:spacing w:after="200"/>
      <w:ind w:left="1077"/>
    </w:pPr>
  </w:style>
  <w:style w:type="paragraph" w:customStyle="1" w:styleId="AusPlainIndent2">
    <w:name w:val="Aus PlainIndent2"/>
    <w:basedOn w:val="AusPlainIndent1"/>
    <w:pPr>
      <w:ind w:left="1588"/>
    </w:pPr>
  </w:style>
  <w:style w:type="paragraph" w:customStyle="1" w:styleId="NoNumPlain1">
    <w:name w:val="NoNum Plain1"/>
    <w:basedOn w:val="Normal"/>
    <w:link w:val="NoNumPlain1Char"/>
    <w:uiPriority w:val="2"/>
    <w:qFormat/>
    <w:pPr>
      <w:spacing w:after="2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pPr>
      <w:spacing w:after="2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qFormat/>
    <w:pPr>
      <w:spacing w:after="200"/>
      <w:ind w:left="510" w:hanging="510"/>
    </w:pPr>
  </w:style>
  <w:style w:type="paragraph" w:customStyle="1" w:styleId="NumPlain2">
    <w:name w:val="Num Plain2"/>
    <w:basedOn w:val="NumPlain1"/>
    <w:qFormat/>
    <w:pPr>
      <w:ind w:left="1020"/>
    </w:pPr>
  </w:style>
  <w:style w:type="paragraph" w:customStyle="1" w:styleId="NumPlain3">
    <w:name w:val="Num Plain3"/>
    <w:basedOn w:val="NumPlain2"/>
    <w:qFormat/>
    <w:pPr>
      <w:ind w:left="1531"/>
    </w:pPr>
  </w:style>
  <w:style w:type="paragraph" w:customStyle="1" w:styleId="NumPlain4">
    <w:name w:val="Num Plain4"/>
    <w:basedOn w:val="NumPlain3"/>
    <w:pPr>
      <w:ind w:left="2041"/>
    </w:pPr>
  </w:style>
  <w:style w:type="paragraph" w:customStyle="1" w:styleId="NumBold1">
    <w:name w:val="Num Bold1"/>
    <w:basedOn w:val="Normal"/>
    <w:pPr>
      <w:spacing w:after="200"/>
      <w:ind w:left="510" w:hanging="510"/>
    </w:pPr>
    <w:rPr>
      <w:b/>
    </w:rPr>
  </w:style>
  <w:style w:type="paragraph" w:customStyle="1" w:styleId="NumBold2">
    <w:name w:val="Num Bold2"/>
    <w:basedOn w:val="NumBold1"/>
    <w:pPr>
      <w:ind w:left="1020"/>
    </w:pPr>
  </w:style>
  <w:style w:type="paragraph" w:customStyle="1" w:styleId="NumBold3">
    <w:name w:val="Num Bold3"/>
    <w:basedOn w:val="NumBold2"/>
    <w:pPr>
      <w:ind w:left="1531"/>
    </w:pPr>
  </w:style>
  <w:style w:type="paragraph" w:customStyle="1" w:styleId="NumBold4">
    <w:name w:val="Num Bold4"/>
    <w:basedOn w:val="NumBold3"/>
    <w:pPr>
      <w:ind w:left="2041"/>
    </w:pPr>
  </w:style>
  <w:style w:type="paragraph" w:customStyle="1" w:styleId="Bullet1">
    <w:name w:val="Bullet1"/>
    <w:basedOn w:val="Normal"/>
    <w:pPr>
      <w:numPr>
        <w:numId w:val="2"/>
      </w:numPr>
      <w:spacing w:after="200"/>
    </w:pPr>
  </w:style>
  <w:style w:type="paragraph" w:customStyle="1" w:styleId="Bullet2">
    <w:name w:val="Bullet2"/>
    <w:basedOn w:val="Normal"/>
    <w:pPr>
      <w:numPr>
        <w:numId w:val="1"/>
      </w:numPr>
      <w:spacing w:after="200"/>
      <w:ind w:left="1020" w:hanging="510"/>
    </w:pPr>
  </w:style>
  <w:style w:type="paragraph" w:customStyle="1" w:styleId="Bullet3">
    <w:name w:val="Bullet3"/>
    <w:basedOn w:val="Normal"/>
    <w:pPr>
      <w:numPr>
        <w:numId w:val="3"/>
      </w:numPr>
      <w:spacing w:after="200"/>
    </w:pPr>
  </w:style>
  <w:style w:type="paragraph" w:customStyle="1" w:styleId="CommentsPage">
    <w:name w:val="CommentsPage"/>
    <w:basedOn w:val="Normal"/>
    <w:next w:val="Normal"/>
  </w:style>
  <w:style w:type="paragraph" w:customStyle="1" w:styleId="Bullet4">
    <w:name w:val="Bullet4"/>
    <w:basedOn w:val="Normal"/>
    <w:pPr>
      <w:numPr>
        <w:numId w:val="6"/>
      </w:numPr>
      <w:spacing w:after="200"/>
    </w:pPr>
  </w:style>
  <w:style w:type="paragraph" w:customStyle="1" w:styleId="Heading2IndentAG1">
    <w:name w:val="Heading 2 IndentAG1"/>
    <w:basedOn w:val="Heading2"/>
    <w:next w:val="Normal"/>
    <w:pPr>
      <w:ind w:left="737"/>
    </w:pPr>
  </w:style>
  <w:style w:type="paragraph" w:customStyle="1" w:styleId="Heading2IndentAG2">
    <w:name w:val="Heading 2 IndentAG2"/>
    <w:basedOn w:val="Heading2"/>
    <w:next w:val="Normal"/>
    <w:pPr>
      <w:ind w:left="1247"/>
    </w:pPr>
  </w:style>
  <w:style w:type="paragraph" w:customStyle="1" w:styleId="Heading3IndentAG1">
    <w:name w:val="Heading 3 IndentAG1"/>
    <w:basedOn w:val="Heading3"/>
    <w:next w:val="Normal"/>
    <w:pPr>
      <w:ind w:left="737"/>
    </w:pPr>
  </w:style>
  <w:style w:type="paragraph" w:customStyle="1" w:styleId="Heading3IndentAG2">
    <w:name w:val="Heading 3 IndentAG2"/>
    <w:basedOn w:val="Heading3"/>
    <w:next w:val="Normal"/>
    <w:pPr>
      <w:ind w:left="1247"/>
    </w:pPr>
  </w:style>
  <w:style w:type="paragraph" w:customStyle="1" w:styleId="Heading4IndentAG1">
    <w:name w:val="Heading 4 IndentAG1"/>
    <w:basedOn w:val="Heading4"/>
    <w:next w:val="Normal"/>
    <w:pPr>
      <w:ind w:left="737"/>
    </w:pPr>
  </w:style>
  <w:style w:type="paragraph" w:customStyle="1" w:styleId="Heading4IndentAG2">
    <w:name w:val="Heading 4 IndentAG2"/>
    <w:basedOn w:val="Heading4"/>
    <w:next w:val="Normal"/>
    <w:pPr>
      <w:ind w:left="1247"/>
    </w:pPr>
  </w:style>
  <w:style w:type="paragraph" w:customStyle="1" w:styleId="Heading5IndentAG1">
    <w:name w:val="Heading 5 IndentAG1"/>
    <w:basedOn w:val="Heading5"/>
    <w:next w:val="Normal"/>
    <w:pPr>
      <w:ind w:left="737"/>
    </w:pPr>
  </w:style>
  <w:style w:type="paragraph" w:customStyle="1" w:styleId="Heading5IndentAG2">
    <w:name w:val="Heading 5 IndentAG2"/>
    <w:basedOn w:val="Heading5"/>
    <w:next w:val="Normal"/>
    <w:pPr>
      <w:ind w:left="1247"/>
    </w:pPr>
  </w:style>
  <w:style w:type="paragraph" w:customStyle="1" w:styleId="Heading6IndentAG1">
    <w:name w:val="Heading 6 IndentAG1"/>
    <w:basedOn w:val="Heading6"/>
    <w:next w:val="Normal"/>
    <w:pPr>
      <w:ind w:left="737"/>
    </w:pPr>
  </w:style>
  <w:style w:type="paragraph" w:customStyle="1" w:styleId="Heading6IndentAG2">
    <w:name w:val="Heading 6 IndentAG2"/>
    <w:basedOn w:val="Heading6"/>
    <w:next w:val="Normal"/>
    <w:pPr>
      <w:ind w:left="1247"/>
    </w:pPr>
  </w:style>
  <w:style w:type="paragraph" w:customStyle="1" w:styleId="AGPlain1">
    <w:name w:val="AG Plain1"/>
    <w:basedOn w:val="Normal"/>
    <w:pPr>
      <w:spacing w:after="200"/>
      <w:ind w:left="737" w:hanging="737"/>
    </w:pPr>
  </w:style>
  <w:style w:type="paragraph" w:customStyle="1" w:styleId="AGPlain2">
    <w:name w:val="AG Plain2"/>
    <w:basedOn w:val="AGPlain1"/>
    <w:pPr>
      <w:ind w:left="1247" w:hanging="510"/>
    </w:pPr>
  </w:style>
  <w:style w:type="paragraph" w:customStyle="1" w:styleId="AGBold1">
    <w:name w:val="AG Bold1"/>
    <w:basedOn w:val="Normal"/>
    <w:pPr>
      <w:spacing w:after="200"/>
      <w:ind w:left="737" w:hanging="737"/>
    </w:pPr>
    <w:rPr>
      <w:b/>
    </w:rPr>
  </w:style>
  <w:style w:type="paragraph" w:customStyle="1" w:styleId="AGBold2">
    <w:name w:val="AG Bold2"/>
    <w:basedOn w:val="AGBold1"/>
    <w:pPr>
      <w:ind w:left="1247" w:hanging="510"/>
    </w:pPr>
  </w:style>
  <w:style w:type="paragraph" w:customStyle="1" w:styleId="AGPlainIndent1">
    <w:name w:val="AG PlainIndent1"/>
    <w:basedOn w:val="Normal"/>
    <w:pPr>
      <w:spacing w:after="200"/>
      <w:ind w:left="737"/>
    </w:pPr>
  </w:style>
  <w:style w:type="paragraph" w:customStyle="1" w:styleId="AGPlainIndent2">
    <w:name w:val="AG PlainIndent2"/>
    <w:basedOn w:val="AGPlainIndent1"/>
    <w:pPr>
      <w:ind w:left="1247"/>
    </w:pPr>
  </w:style>
  <w:style w:type="paragraph" w:customStyle="1" w:styleId="ContentsCapsPlain">
    <w:name w:val="Contents CapsPlain"/>
    <w:basedOn w:val="Normal"/>
    <w:next w:val="ContentsLevel1"/>
    <w:pPr>
      <w:spacing w:after="200"/>
    </w:pPr>
    <w:rPr>
      <w:caps/>
    </w:rPr>
  </w:style>
  <w:style w:type="paragraph" w:customStyle="1" w:styleId="ContentsCapsBold">
    <w:name w:val="Contents CapsBold"/>
    <w:basedOn w:val="ContentsCapsPlain"/>
    <w:next w:val="ContentsLevel1"/>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DefinePara">
    <w:name w:val="Define Para"/>
    <w:basedOn w:val="Normal"/>
    <w:pPr>
      <w:spacing w:after="200"/>
    </w:pPr>
    <w:rPr>
      <w:b/>
    </w:rPr>
  </w:style>
  <w:style w:type="paragraph" w:customStyle="1" w:styleId="DefnPara">
    <w:name w:val="Defn Para"/>
    <w:basedOn w:val="Normal"/>
    <w:pPr>
      <w:spacing w:after="200"/>
      <w:ind w:left="1077" w:hanging="340"/>
    </w:pPr>
    <w:rPr>
      <w:b/>
    </w:rPr>
  </w:style>
  <w:style w:type="paragraph" w:customStyle="1" w:styleId="DefnSubpoint1">
    <w:name w:val="Defn Subpoint1"/>
    <w:basedOn w:val="DefnPara"/>
    <w:pPr>
      <w:ind w:left="1587" w:hanging="510"/>
    </w:pPr>
  </w:style>
  <w:style w:type="paragraph" w:customStyle="1" w:styleId="DefnSubpoint2">
    <w:name w:val="Defn Subpoint2"/>
    <w:basedOn w:val="DefnSubpoint1"/>
    <w:pPr>
      <w:ind w:left="2098"/>
    </w:pPr>
  </w:style>
  <w:style w:type="paragraph" w:customStyle="1" w:styleId="DefnSubpoint3">
    <w:name w:val="Defn Subpoint3"/>
    <w:basedOn w:val="DefnSubpoint2"/>
    <w:pPr>
      <w:ind w:left="2608"/>
    </w:pPr>
  </w:style>
  <w:style w:type="paragraph" w:customStyle="1" w:styleId="TextPara">
    <w:name w:val="Text Para"/>
    <w:basedOn w:val="Normal"/>
  </w:style>
  <w:style w:type="paragraph" w:customStyle="1" w:styleId="TextPoint">
    <w:name w:val="Text Point"/>
    <w:basedOn w:val="TextPara"/>
    <w:pPr>
      <w:spacing w:after="60"/>
      <w:ind w:left="318" w:hanging="318"/>
    </w:pPr>
  </w:style>
  <w:style w:type="paragraph" w:customStyle="1" w:styleId="RunOrder2">
    <w:name w:val="Run Order 2"/>
    <w:basedOn w:val="Normal"/>
    <w:pPr>
      <w:tabs>
        <w:tab w:val="left" w:pos="3600"/>
      </w:tabs>
      <w:spacing w:line="240" w:lineRule="auto"/>
      <w:ind w:left="4176" w:hanging="288"/>
    </w:pPr>
    <w:rPr>
      <w:sz w:val="24"/>
    </w:rPr>
  </w:style>
  <w:style w:type="paragraph" w:customStyle="1" w:styleId="ContentsPlain">
    <w:name w:val="Contents Plain"/>
    <w:basedOn w:val="Normal"/>
    <w:pPr>
      <w:tabs>
        <w:tab w:val="left" w:pos="284"/>
        <w:tab w:val="right" w:pos="5954"/>
      </w:tabs>
      <w:spacing w:before="60" w:after="60"/>
      <w:ind w:left="284" w:right="284" w:hanging="284"/>
    </w:pPr>
  </w:style>
  <w:style w:type="paragraph" w:customStyle="1" w:styleId="ParaHeading4">
    <w:name w:val="Para Heading 4"/>
    <w:basedOn w:val="Normal"/>
    <w:next w:val="Normal"/>
    <w:pPr>
      <w:keepNext/>
      <w:keepLines/>
      <w:spacing w:before="120" w:line="240" w:lineRule="exact"/>
      <w:ind w:left="567"/>
    </w:pPr>
    <w:rPr>
      <w:b/>
      <w:sz w:val="24"/>
    </w:rPr>
  </w:style>
  <w:style w:type="character" w:customStyle="1" w:styleId="Part">
    <w:name w:val="Part"/>
    <w:basedOn w:val="DefaultParagraphFont"/>
  </w:style>
  <w:style w:type="character" w:styleId="Hyperlink">
    <w:name w:val="Hyperlink"/>
    <w:rPr>
      <w:color w:val="0000FF"/>
      <w:u w:val="single"/>
    </w:rPr>
  </w:style>
  <w:style w:type="character" w:customStyle="1" w:styleId="NumPlain1Char">
    <w:name w:val="Num Plain1 Char"/>
    <w:link w:val="NumPlain1"/>
    <w:rsid w:val="00B85DBC"/>
    <w:rPr>
      <w:lang w:val="en-AU" w:eastAsia="en-US" w:bidi="ar-SA"/>
    </w:rPr>
  </w:style>
  <w:style w:type="paragraph" w:customStyle="1" w:styleId="Bullets">
    <w:name w:val="Bullets"/>
    <w:basedOn w:val="Normal"/>
    <w:rsid w:val="006D5858"/>
    <w:pPr>
      <w:numPr>
        <w:numId w:val="7"/>
      </w:numPr>
      <w:spacing w:line="240" w:lineRule="auto"/>
    </w:pPr>
    <w:rPr>
      <w:sz w:val="24"/>
    </w:rPr>
  </w:style>
  <w:style w:type="paragraph" w:customStyle="1" w:styleId="MemoSectionHead">
    <w:name w:val="MemoSectionHead"/>
    <w:basedOn w:val="Heading1"/>
    <w:rsid w:val="004209B2"/>
    <w:pPr>
      <w:spacing w:before="240" w:after="240" w:line="240" w:lineRule="auto"/>
      <w:jc w:val="left"/>
    </w:pPr>
    <w:rPr>
      <w:rFonts w:cs="Times New Roman"/>
      <w:bCs w:val="0"/>
      <w:caps w:val="0"/>
      <w:sz w:val="24"/>
      <w:szCs w:val="20"/>
      <w:u w:val="single"/>
    </w:rPr>
  </w:style>
  <w:style w:type="paragraph" w:customStyle="1" w:styleId="PlainHanging1">
    <w:name w:val="Plain Hanging1"/>
    <w:basedOn w:val="NoNumPlain2"/>
    <w:rsid w:val="00FD4C0C"/>
    <w:pPr>
      <w:ind w:left="1020" w:hanging="510"/>
    </w:pPr>
  </w:style>
  <w:style w:type="paragraph" w:customStyle="1" w:styleId="NumPlainA">
    <w:name w:val="Num PlainA"/>
    <w:basedOn w:val="Normal"/>
    <w:rsid w:val="00FD4C0C"/>
    <w:pPr>
      <w:numPr>
        <w:numId w:val="8"/>
      </w:numPr>
      <w:spacing w:after="200"/>
      <w:outlineLvl w:val="0"/>
    </w:pPr>
  </w:style>
  <w:style w:type="paragraph" w:customStyle="1" w:styleId="NumPlainA2">
    <w:name w:val="Num PlainA2"/>
    <w:basedOn w:val="NumPlainA"/>
    <w:rsid w:val="00FD4C0C"/>
    <w:pPr>
      <w:numPr>
        <w:ilvl w:val="1"/>
      </w:numPr>
      <w:outlineLvl w:val="1"/>
    </w:pPr>
  </w:style>
  <w:style w:type="character" w:customStyle="1" w:styleId="NoNumPlain1Char">
    <w:name w:val="NoNum Plain1 Char"/>
    <w:link w:val="NoNumPlain1"/>
    <w:rsid w:val="00FD4C0C"/>
    <w:rPr>
      <w:lang w:val="en-AU" w:eastAsia="en-US" w:bidi="ar-SA"/>
    </w:rPr>
  </w:style>
  <w:style w:type="character" w:styleId="FootnoteReference">
    <w:name w:val="footnote reference"/>
    <w:semiHidden/>
    <w:rsid w:val="00A92FFA"/>
    <w:rPr>
      <w:vertAlign w:val="superscript"/>
    </w:rPr>
  </w:style>
  <w:style w:type="paragraph" w:styleId="BalloonText">
    <w:name w:val="Balloon Text"/>
    <w:basedOn w:val="Normal"/>
    <w:semiHidden/>
    <w:rsid w:val="001E0872"/>
    <w:rPr>
      <w:rFonts w:ascii="Tahoma" w:hAnsi="Tahoma" w:cs="Tahoma"/>
      <w:sz w:val="16"/>
      <w:szCs w:val="16"/>
    </w:rPr>
  </w:style>
  <w:style w:type="paragraph" w:customStyle="1" w:styleId="BodyText">
    <w:name w:val="BodyText"/>
    <w:basedOn w:val="Normal"/>
    <w:rsid w:val="00131465"/>
    <w:pPr>
      <w:spacing w:line="360" w:lineRule="auto"/>
      <w:ind w:left="142"/>
    </w:pPr>
    <w:rPr>
      <w:rFonts w:ascii="Arial" w:hAnsi="Arial"/>
      <w:szCs w:val="24"/>
      <w:lang w:eastAsia="en-AU"/>
    </w:rPr>
  </w:style>
  <w:style w:type="paragraph" w:customStyle="1" w:styleId="AppendixNote">
    <w:name w:val="AppendixNote"/>
    <w:basedOn w:val="Normal"/>
    <w:next w:val="Normal"/>
    <w:rsid w:val="00270E02"/>
    <w:pPr>
      <w:spacing w:after="200"/>
    </w:pPr>
    <w:rPr>
      <w:i/>
      <w:iCs/>
    </w:rPr>
  </w:style>
  <w:style w:type="paragraph" w:customStyle="1" w:styleId="Default">
    <w:name w:val="Default"/>
    <w:rsid w:val="00270E02"/>
    <w:pPr>
      <w:autoSpaceDE w:val="0"/>
      <w:autoSpaceDN w:val="0"/>
      <w:adjustRightInd w:val="0"/>
    </w:pPr>
    <w:rPr>
      <w:color w:val="000000"/>
      <w:sz w:val="24"/>
      <w:szCs w:val="24"/>
    </w:rPr>
  </w:style>
  <w:style w:type="character" w:styleId="CommentReference">
    <w:name w:val="annotation reference"/>
    <w:basedOn w:val="DefaultParagraphFont"/>
    <w:rsid w:val="00A66166"/>
    <w:rPr>
      <w:sz w:val="16"/>
      <w:szCs w:val="16"/>
    </w:rPr>
  </w:style>
  <w:style w:type="paragraph" w:styleId="CommentText">
    <w:name w:val="annotation text"/>
    <w:basedOn w:val="Normal"/>
    <w:link w:val="CommentTextChar"/>
    <w:rsid w:val="00A66166"/>
    <w:pPr>
      <w:spacing w:line="240" w:lineRule="auto"/>
    </w:pPr>
  </w:style>
  <w:style w:type="character" w:customStyle="1" w:styleId="CommentTextChar">
    <w:name w:val="Comment Text Char"/>
    <w:basedOn w:val="DefaultParagraphFont"/>
    <w:link w:val="CommentText"/>
    <w:rsid w:val="00A66166"/>
    <w:rPr>
      <w:lang w:eastAsia="en-US"/>
    </w:rPr>
  </w:style>
  <w:style w:type="paragraph" w:styleId="CommentSubject">
    <w:name w:val="annotation subject"/>
    <w:basedOn w:val="CommentText"/>
    <w:next w:val="CommentText"/>
    <w:link w:val="CommentSubjectChar"/>
    <w:rsid w:val="00A66166"/>
    <w:rPr>
      <w:b/>
      <w:bCs/>
    </w:rPr>
  </w:style>
  <w:style w:type="character" w:customStyle="1" w:styleId="CommentSubjectChar">
    <w:name w:val="Comment Subject Char"/>
    <w:basedOn w:val="CommentTextChar"/>
    <w:link w:val="CommentSubject"/>
    <w:rsid w:val="00A66166"/>
    <w:rPr>
      <w:b/>
      <w:bCs/>
      <w:lang w:eastAsia="en-US"/>
    </w:rPr>
  </w:style>
  <w:style w:type="paragraph" w:styleId="Revision">
    <w:name w:val="Revision"/>
    <w:hidden/>
    <w:uiPriority w:val="99"/>
    <w:semiHidden/>
    <w:rsid w:val="00A66166"/>
    <w:rPr>
      <w:lang w:eastAsia="en-US"/>
    </w:rPr>
  </w:style>
  <w:style w:type="paragraph" w:customStyle="1" w:styleId="AppendixText">
    <w:name w:val="AppendixText"/>
    <w:basedOn w:val="Normal"/>
    <w:rsid w:val="00544ACE"/>
    <w:pPr>
      <w:spacing w:after="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173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F0AC8-89A0-4B93-B5AF-421065721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4</Pages>
  <Words>1156</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AASB</Company>
  <LinksUpToDate>false</LinksUpToDate>
  <CharactersWithSpaces>8032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dc:creator>
  <cp:lastModifiedBy>Clark M. Anstis</cp:lastModifiedBy>
  <cp:revision>18</cp:revision>
  <cp:lastPrinted>2014-01-28T01:52:00Z</cp:lastPrinted>
  <dcterms:created xsi:type="dcterms:W3CDTF">2014-01-12T22:49:00Z</dcterms:created>
  <dcterms:modified xsi:type="dcterms:W3CDTF">2015-08-27T11:00:00Z</dcterms:modified>
</cp:coreProperties>
</file>