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9.xml" ContentType="application/vnd.openxmlformats-officedocument.wordprocessingml.header+xml"/>
  <Override PartName="/word/footer12.xml" ContentType="application/vnd.openxmlformats-officedocument.wordprocessingml.footer+xml"/>
  <Override PartName="/word/header10.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1.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2.xml" ContentType="application/vnd.openxmlformats-officedocument.wordprocessingml.header+xml"/>
  <Override PartName="/word/footer17.xml" ContentType="application/vnd.openxmlformats-officedocument.wordprocessingml.footer+xml"/>
  <Override PartName="/word/header13.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4.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15.xml" ContentType="application/vnd.openxmlformats-officedocument.wordprocessingml.header+xml"/>
  <Override PartName="/word/footer2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Caption w:val="Cover page header for AASB Standard / Interpretations"/>
        <w:tblDescription w:val="Identification that the pronouncement is an AASB Standard or Interpretation, the pronouncement number, month of issue and title"/>
      </w:tblPr>
      <w:tblGrid>
        <w:gridCol w:w="4508"/>
        <w:gridCol w:w="4509"/>
      </w:tblGrid>
      <w:tr w:rsidR="00725E14" w:rsidTr="00C43B01">
        <w:trPr>
          <w:tblHeader/>
        </w:trPr>
        <w:tc>
          <w:tcPr>
            <w:tcW w:w="4508" w:type="dxa"/>
          </w:tcPr>
          <w:p w:rsidR="00725E14" w:rsidRDefault="00725E14" w:rsidP="00F25671">
            <w:pPr>
              <w:pStyle w:val="AASBStandardCover"/>
            </w:pPr>
            <w:bookmarkStart w:id="0" w:name="_GoBack"/>
            <w:bookmarkEnd w:id="0"/>
            <w:r>
              <w:t xml:space="preserve">AASB </w:t>
            </w:r>
            <w:bookmarkStart w:id="1" w:name="DocType"/>
            <w:r w:rsidRPr="00CB4C3F">
              <w:t>Standard</w:t>
            </w:r>
            <w:bookmarkEnd w:id="1"/>
          </w:p>
        </w:tc>
        <w:tc>
          <w:tcPr>
            <w:tcW w:w="4509" w:type="dxa"/>
          </w:tcPr>
          <w:p w:rsidR="00725E14" w:rsidRPr="004067D6" w:rsidRDefault="00725E14" w:rsidP="00F25671">
            <w:pPr>
              <w:pStyle w:val="AASBStandardNumber"/>
              <w:rPr>
                <w:rFonts w:ascii="HelveticaNeueLT Std" w:hAnsi="HelveticaNeueLT Std"/>
                <w:b/>
              </w:rPr>
            </w:pPr>
            <w:bookmarkStart w:id="2" w:name="DocTypeAbb"/>
            <w:r w:rsidRPr="004067D6">
              <w:rPr>
                <w:rFonts w:ascii="HelveticaNeueLT Std" w:hAnsi="HelveticaNeueLT Std"/>
                <w:b/>
              </w:rPr>
              <w:t>AASB</w:t>
            </w:r>
            <w:bookmarkEnd w:id="2"/>
            <w:r w:rsidRPr="004067D6">
              <w:rPr>
                <w:rFonts w:ascii="HelveticaNeueLT Std" w:hAnsi="HelveticaNeueLT Std"/>
                <w:b/>
              </w:rPr>
              <w:t xml:space="preserve"> </w:t>
            </w:r>
            <w:bookmarkStart w:id="3" w:name="DocNo"/>
            <w:r w:rsidRPr="004067D6">
              <w:rPr>
                <w:rFonts w:ascii="HelveticaNeueLT Std" w:hAnsi="HelveticaNeueLT Std"/>
                <w:b/>
              </w:rPr>
              <w:t>133</w:t>
            </w:r>
            <w:bookmarkEnd w:id="3"/>
          </w:p>
          <w:p w:rsidR="00725E14" w:rsidRDefault="005A0A16" w:rsidP="00F25671">
            <w:pPr>
              <w:pStyle w:val="AASBStandardDate"/>
            </w:pPr>
            <w:bookmarkStart w:id="4" w:name="DocDate"/>
            <w:r>
              <w:t>August</w:t>
            </w:r>
            <w:r w:rsidR="00725E14">
              <w:t xml:space="preserve"> 2015</w:t>
            </w:r>
            <w:bookmarkEnd w:id="4"/>
          </w:p>
        </w:tc>
      </w:tr>
    </w:tbl>
    <w:p w:rsidR="00725E14" w:rsidRDefault="00725E14" w:rsidP="00F25671">
      <w:pPr>
        <w:pStyle w:val="AASBStandardTitle"/>
      </w:pPr>
      <w:bookmarkStart w:id="5" w:name="DocTitle"/>
      <w:r>
        <w:t>Earnings per Share</w:t>
      </w:r>
      <w:bookmarkEnd w:id="5"/>
    </w:p>
    <w:p w:rsidR="00725E14" w:rsidRDefault="00725E14" w:rsidP="00F25671">
      <w:pPr>
        <w:pStyle w:val="AASBBase"/>
      </w:pPr>
      <w:r w:rsidRPr="0024411C">
        <w:rPr>
          <w:noProof/>
          <w:lang w:eastAsia="en-AU"/>
        </w:rPr>
        <w:drawing>
          <wp:anchor distT="0" distB="0" distL="114300" distR="114300" simplePos="0" relativeHeight="251659264" behindDoc="0" locked="1" layoutInCell="1" allowOverlap="1" wp14:anchorId="624E1C31" wp14:editId="699C6940">
            <wp:simplePos x="0" y="0"/>
            <wp:positionH relativeFrom="margin">
              <wp:posOffset>0</wp:posOffset>
            </wp:positionH>
            <wp:positionV relativeFrom="page">
              <wp:posOffset>8893175</wp:posOffset>
            </wp:positionV>
            <wp:extent cx="1677600" cy="1332000"/>
            <wp:effectExtent l="0" t="0" r="0" b="1905"/>
            <wp:wrapNone/>
            <wp:docPr id="5" name="Picture 5" descr="AASB logo with Australian crest and text identifying the Australian Government and the Australian Accounting Standards Board." title="AAS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ASB_stack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77600" cy="1332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25E14" w:rsidRDefault="00725E14" w:rsidP="00F25671">
      <w:pPr>
        <w:pStyle w:val="AASBBase"/>
        <w:sectPr w:rsidR="00725E14" w:rsidSect="00F25671">
          <w:headerReference w:type="even" r:id="rId10"/>
          <w:headerReference w:type="default" r:id="rId11"/>
          <w:footerReference w:type="even" r:id="rId12"/>
          <w:footerReference w:type="default" r:id="rId13"/>
          <w:headerReference w:type="first" r:id="rId14"/>
          <w:footerReference w:type="first" r:id="rId15"/>
          <w:pgSz w:w="11907" w:h="16839" w:code="9"/>
          <w:pgMar w:top="1440" w:right="1440" w:bottom="1440" w:left="1440" w:header="709" w:footer="709" w:gutter="0"/>
          <w:cols w:space="708"/>
          <w:docGrid w:linePitch="360"/>
        </w:sectPr>
      </w:pPr>
    </w:p>
    <w:p w:rsidR="00725E14" w:rsidRDefault="00725E14" w:rsidP="00F25671">
      <w:pPr>
        <w:pStyle w:val="IASBSectionTitle2NonInd"/>
      </w:pPr>
      <w:r>
        <w:lastRenderedPageBreak/>
        <w:t xml:space="preserve">Obtaining a </w:t>
      </w:r>
      <w:r w:rsidR="00710DE0">
        <w:t>c</w:t>
      </w:r>
      <w:r>
        <w:t xml:space="preserve">opy of this Accounting </w:t>
      </w:r>
      <w:fldSimple w:instr=" REF DocType " w:fldLock="1">
        <w:r w:rsidRPr="00CB4C3F">
          <w:t>Standard</w:t>
        </w:r>
      </w:fldSimple>
    </w:p>
    <w:p w:rsidR="00725E14" w:rsidRDefault="00725E14" w:rsidP="00F25671">
      <w:pPr>
        <w:pStyle w:val="AASBBase"/>
      </w:pPr>
      <w:r>
        <w:t xml:space="preserve">This </w:t>
      </w:r>
      <w:fldSimple w:instr=" REF DocType " w:fldLock="1">
        <w:r w:rsidRPr="00CB4C3F">
          <w:t>Standard</w:t>
        </w:r>
      </w:fldSimple>
      <w:r>
        <w:t xml:space="preserve"> is available on the AASB website: www.aasb.gov.au.</w:t>
      </w:r>
    </w:p>
    <w:p w:rsidR="00F25671" w:rsidRDefault="00F25671" w:rsidP="00F25671">
      <w:pPr>
        <w:pStyle w:val="AASBBase"/>
      </w:pPr>
    </w:p>
    <w:p w:rsidR="00725E14" w:rsidRDefault="00725E14" w:rsidP="00F25671">
      <w:pPr>
        <w:pStyle w:val="AASBBase"/>
      </w:pPr>
      <w:r>
        <w:t>Australian Accounting Standards Board</w:t>
      </w:r>
    </w:p>
    <w:p w:rsidR="00725E14" w:rsidRDefault="00725E14" w:rsidP="00F25671">
      <w:pPr>
        <w:pStyle w:val="AASBBase"/>
      </w:pPr>
      <w:r>
        <w:t>PO Box 204</w:t>
      </w:r>
    </w:p>
    <w:p w:rsidR="00725E14" w:rsidRDefault="00725E14" w:rsidP="00F25671">
      <w:pPr>
        <w:pStyle w:val="AASBBase"/>
      </w:pPr>
      <w:r>
        <w:t>Collins Street West</w:t>
      </w:r>
    </w:p>
    <w:p w:rsidR="00725E14" w:rsidRDefault="00725E14" w:rsidP="00F25671">
      <w:pPr>
        <w:pStyle w:val="AASBBase"/>
      </w:pPr>
      <w:r>
        <w:t>Victoria   8007</w:t>
      </w:r>
    </w:p>
    <w:p w:rsidR="00725E14" w:rsidRDefault="00725E14" w:rsidP="00F25671">
      <w:pPr>
        <w:pStyle w:val="AASBPara"/>
      </w:pPr>
      <w:r>
        <w:t>AUSTRALIA</w:t>
      </w:r>
    </w:p>
    <w:p w:rsidR="00725E14" w:rsidRDefault="00725E14" w:rsidP="0097447E">
      <w:pPr>
        <w:pStyle w:val="AASBBase"/>
        <w:tabs>
          <w:tab w:val="left" w:pos="907"/>
        </w:tabs>
      </w:pPr>
      <w:r>
        <w:t>Phone:</w:t>
      </w:r>
      <w:r>
        <w:tab/>
        <w:t>(03) 9617 7637</w:t>
      </w:r>
    </w:p>
    <w:p w:rsidR="00725E14" w:rsidRDefault="00725E14" w:rsidP="0097447E">
      <w:pPr>
        <w:pStyle w:val="AASBBase"/>
        <w:tabs>
          <w:tab w:val="left" w:pos="907"/>
        </w:tabs>
      </w:pPr>
      <w:r>
        <w:t>E-mail:</w:t>
      </w:r>
      <w:r>
        <w:tab/>
        <w:t>publications@aasb.gov.au</w:t>
      </w:r>
    </w:p>
    <w:p w:rsidR="00725E14" w:rsidRDefault="00725E14" w:rsidP="0097447E">
      <w:pPr>
        <w:pStyle w:val="AASBPara"/>
        <w:tabs>
          <w:tab w:val="left" w:pos="907"/>
        </w:tabs>
      </w:pPr>
      <w:r>
        <w:t>Website:</w:t>
      </w:r>
      <w:r>
        <w:tab/>
        <w:t>www.aasb.gov.au</w:t>
      </w:r>
    </w:p>
    <w:p w:rsidR="00725E14" w:rsidRDefault="00725E14" w:rsidP="00F25671">
      <w:pPr>
        <w:pStyle w:val="IASBSectionTitle2NonInd"/>
      </w:pPr>
      <w:r>
        <w:t xml:space="preserve">Other </w:t>
      </w:r>
      <w:r w:rsidR="00710DE0">
        <w:t>e</w:t>
      </w:r>
      <w:r>
        <w:t>nquiries</w:t>
      </w:r>
    </w:p>
    <w:p w:rsidR="00725E14" w:rsidRDefault="00725E14" w:rsidP="0097447E">
      <w:pPr>
        <w:pStyle w:val="AASBBase"/>
        <w:tabs>
          <w:tab w:val="left" w:pos="907"/>
        </w:tabs>
      </w:pPr>
      <w:r>
        <w:t>Phone:</w:t>
      </w:r>
      <w:r>
        <w:tab/>
        <w:t>(03) 9617 7600</w:t>
      </w:r>
    </w:p>
    <w:p w:rsidR="00725E14" w:rsidRDefault="00725E14" w:rsidP="0097447E">
      <w:pPr>
        <w:pStyle w:val="AASBBase"/>
        <w:tabs>
          <w:tab w:val="left" w:pos="907"/>
        </w:tabs>
      </w:pPr>
      <w:r>
        <w:t>E-mail:</w:t>
      </w:r>
      <w:r>
        <w:tab/>
        <w:t>standard@aasb.gov.au</w:t>
      </w:r>
    </w:p>
    <w:p w:rsidR="00725E14" w:rsidRDefault="00725E14" w:rsidP="00F25671">
      <w:pPr>
        <w:pStyle w:val="AASBPara"/>
        <w:spacing w:before="5520"/>
      </w:pPr>
      <w:r>
        <w:t>COPYRIGHT</w:t>
      </w:r>
    </w:p>
    <w:p w:rsidR="00725E14" w:rsidRDefault="00725E14" w:rsidP="00F25671">
      <w:pPr>
        <w:pStyle w:val="AASBPara"/>
      </w:pPr>
      <w:r>
        <w:t xml:space="preserve">© Commonwealth of Australia </w:t>
      </w:r>
      <w:bookmarkStart w:id="6" w:name="Year"/>
      <w:r>
        <w:t>2015</w:t>
      </w:r>
      <w:bookmarkEnd w:id="6"/>
    </w:p>
    <w:p w:rsidR="00725E14" w:rsidRDefault="00725E14" w:rsidP="00F25671">
      <w:pPr>
        <w:pStyle w:val="AASBPara"/>
      </w:pPr>
      <w:r>
        <w:t xml:space="preserve">This AASB </w:t>
      </w:r>
      <w:fldSimple w:instr=" REF DocType " w:fldLock="1">
        <w:r w:rsidRPr="00CB4C3F">
          <w:t>Standard</w:t>
        </w:r>
      </w:fldSimple>
      <w:r>
        <w:t xml:space="preserve"> contains IFRS Foundation copyright material.  Reproduction within Australia in unaltered form (retaining this notice) is permitted for personal and non-commercial use subject to the inclusion of an acknowledgment of the source.  Requests and enquiries concerning reproduction and rights for commercial purposes within Australia should be addressed to The Director of Finance and Administration, Australian Accounting Standards Board, PO Box 204, Collins Street West, Victoria 8007.</w:t>
      </w:r>
    </w:p>
    <w:p w:rsidR="00725E14" w:rsidRDefault="00725E14" w:rsidP="00F25671">
      <w:pPr>
        <w:pStyle w:val="AASBBase"/>
        <w:spacing w:after="200"/>
      </w:pPr>
      <w:r>
        <w:t>All existing rights in this material are reserved outside Australia.  Reproduction outside Australia in unaltered form (retaining this notice) is permitted for personal and non-commercial use only.  Further information and requests for authorisation to reproduce for commercial purposes outside Australia should be addressed to the IFRS Foundation at www.ifrs.org.</w:t>
      </w:r>
    </w:p>
    <w:p w:rsidR="00725E14" w:rsidRDefault="00725E14" w:rsidP="00F25671">
      <w:pPr>
        <w:pStyle w:val="AASBBase"/>
      </w:pPr>
      <w:r>
        <w:t xml:space="preserve">ISSN </w:t>
      </w:r>
      <w:bookmarkStart w:id="7" w:name="ISSN"/>
      <w:r>
        <w:t>1036-4803</w:t>
      </w:r>
      <w:bookmarkEnd w:id="7"/>
    </w:p>
    <w:p w:rsidR="00725E14" w:rsidRDefault="00725E14" w:rsidP="00F25671">
      <w:pPr>
        <w:pStyle w:val="AASBBase"/>
        <w:sectPr w:rsidR="00725E14" w:rsidSect="001402D5">
          <w:headerReference w:type="even" r:id="rId16"/>
          <w:headerReference w:type="default" r:id="rId17"/>
          <w:footerReference w:type="even" r:id="rId18"/>
          <w:footerReference w:type="default" r:id="rId19"/>
          <w:pgSz w:w="11907" w:h="16839" w:code="9"/>
          <w:pgMar w:top="1440" w:right="1440" w:bottom="1440" w:left="1440" w:header="709" w:footer="709" w:gutter="0"/>
          <w:pgNumType w:start="2"/>
          <w:cols w:space="708"/>
          <w:docGrid w:linePitch="360"/>
        </w:sectPr>
      </w:pPr>
    </w:p>
    <w:p w:rsidR="00725E14" w:rsidRDefault="00725E14" w:rsidP="00F25671">
      <w:pPr>
        <w:pStyle w:val="ConvSectionTitle"/>
      </w:pPr>
      <w:r>
        <w:lastRenderedPageBreak/>
        <w:t>Contents</w:t>
      </w:r>
    </w:p>
    <w:p w:rsidR="00725E14" w:rsidRDefault="00725E14" w:rsidP="0097447E">
      <w:pPr>
        <w:pStyle w:val="AASBPara"/>
        <w:spacing w:before="400"/>
      </w:pPr>
      <w:r>
        <w:t xml:space="preserve">COMPARISON WITH </w:t>
      </w:r>
      <w:bookmarkStart w:id="8" w:name="IntnlType"/>
      <w:r>
        <w:t>IAS</w:t>
      </w:r>
      <w:bookmarkEnd w:id="8"/>
      <w:r>
        <w:t xml:space="preserve"> </w:t>
      </w:r>
      <w:bookmarkStart w:id="9" w:name="IntnlNo"/>
      <w:r>
        <w:t>33</w:t>
      </w:r>
      <w:bookmarkEnd w:id="9"/>
    </w:p>
    <w:p w:rsidR="00725E14" w:rsidRPr="000C31B3" w:rsidRDefault="00725E14" w:rsidP="00F25671">
      <w:pPr>
        <w:pStyle w:val="AASBBase"/>
        <w:rPr>
          <w:b/>
        </w:rPr>
      </w:pPr>
      <w:bookmarkStart w:id="10" w:name="TOCTopStandard"/>
      <w:r w:rsidRPr="000C31B3">
        <w:rPr>
          <w:b/>
        </w:rPr>
        <w:t>ACCOUNTING STANDARD</w:t>
      </w:r>
    </w:p>
    <w:p w:rsidR="00725E14" w:rsidRPr="000C31B3" w:rsidRDefault="00725E14" w:rsidP="00F25671">
      <w:pPr>
        <w:pStyle w:val="AASBPara"/>
        <w:rPr>
          <w:b/>
        </w:rPr>
      </w:pPr>
      <w:r w:rsidRPr="000C31B3">
        <w:rPr>
          <w:b/>
        </w:rPr>
        <w:t xml:space="preserve">AASB </w:t>
      </w:r>
      <w:r w:rsidRPr="000C31B3">
        <w:rPr>
          <w:b/>
        </w:rPr>
        <w:fldChar w:fldCharType="begin" w:fldLock="1"/>
      </w:r>
      <w:r w:rsidRPr="000C31B3">
        <w:rPr>
          <w:b/>
        </w:rPr>
        <w:instrText xml:space="preserve"> REF DocNo \* charformat</w:instrText>
      </w:r>
      <w:r w:rsidRPr="000C31B3">
        <w:rPr>
          <w:b/>
        </w:rPr>
        <w:fldChar w:fldCharType="separate"/>
      </w:r>
      <w:r w:rsidRPr="00725E14">
        <w:rPr>
          <w:b/>
        </w:rPr>
        <w:t>133</w:t>
      </w:r>
      <w:r w:rsidRPr="000C31B3">
        <w:rPr>
          <w:b/>
        </w:rPr>
        <w:fldChar w:fldCharType="end"/>
      </w:r>
      <w:r w:rsidRPr="000C31B3">
        <w:rPr>
          <w:b/>
        </w:rPr>
        <w:t xml:space="preserve"> </w:t>
      </w:r>
      <w:r w:rsidRPr="000C31B3">
        <w:rPr>
          <w:b/>
          <w:i/>
        </w:rPr>
        <w:fldChar w:fldCharType="begin" w:fldLock="1"/>
      </w:r>
      <w:r w:rsidRPr="000C31B3">
        <w:rPr>
          <w:b/>
          <w:i/>
        </w:rPr>
        <w:instrText xml:space="preserve"> REF DocTitle \* upper \* </w:instrText>
      </w:r>
      <w:r>
        <w:rPr>
          <w:b/>
          <w:i/>
        </w:rPr>
        <w:instrText>char</w:instrText>
      </w:r>
      <w:r w:rsidRPr="000C31B3">
        <w:rPr>
          <w:b/>
          <w:i/>
        </w:rPr>
        <w:instrText>format</w:instrText>
      </w:r>
      <w:r w:rsidRPr="000C31B3">
        <w:rPr>
          <w:b/>
          <w:i/>
        </w:rPr>
        <w:fldChar w:fldCharType="separate"/>
      </w:r>
      <w:r w:rsidRPr="00725E14">
        <w:rPr>
          <w:b/>
          <w:i/>
        </w:rPr>
        <w:t>EARNINGS PER SHARE</w:t>
      </w:r>
      <w:r w:rsidRPr="000C31B3">
        <w:rPr>
          <w:b/>
          <w:i/>
        </w:rPr>
        <w:fldChar w:fldCharType="end"/>
      </w:r>
    </w:p>
    <w:bookmarkEnd w:id="10"/>
    <w:p w:rsidR="00725E14" w:rsidRDefault="00725E14" w:rsidP="00F25671">
      <w:pPr>
        <w:pStyle w:val="ContentsHeading"/>
      </w:pPr>
      <w:proofErr w:type="gramStart"/>
      <w:r>
        <w:t>from</w:t>
      </w:r>
      <w:proofErr w:type="gramEnd"/>
      <w:r>
        <w:t xml:space="preserve"> paragraph</w:t>
      </w:r>
    </w:p>
    <w:p w:rsidR="001402D5" w:rsidRDefault="001402D5" w:rsidP="001402D5">
      <w:pPr>
        <w:pStyle w:val="ContentsLevel1"/>
      </w:pPr>
      <w:bookmarkStart w:id="11" w:name="TOCRange"/>
      <w:bookmarkStart w:id="12" w:name="TOCBottomStandard"/>
      <w:r>
        <w:t>Objective</w:t>
      </w:r>
      <w:r>
        <w:tab/>
        <w:t>1</w:t>
      </w:r>
    </w:p>
    <w:p w:rsidR="001402D5" w:rsidRDefault="001402D5" w:rsidP="001402D5">
      <w:pPr>
        <w:pStyle w:val="ContentsLevel1"/>
      </w:pPr>
      <w:r>
        <w:t>Scope</w:t>
      </w:r>
      <w:r>
        <w:tab/>
        <w:t>2</w:t>
      </w:r>
    </w:p>
    <w:p w:rsidR="001402D5" w:rsidRDefault="001402D5" w:rsidP="001402D5">
      <w:pPr>
        <w:pStyle w:val="ContentsLevel1"/>
      </w:pPr>
      <w:r>
        <w:t>Definitions</w:t>
      </w:r>
      <w:r>
        <w:tab/>
        <w:t>5</w:t>
      </w:r>
    </w:p>
    <w:p w:rsidR="001402D5" w:rsidRDefault="001402D5" w:rsidP="001402D5">
      <w:pPr>
        <w:pStyle w:val="ContentsLevel1"/>
      </w:pPr>
      <w:r>
        <w:t>Measurement</w:t>
      </w:r>
    </w:p>
    <w:p w:rsidR="001402D5" w:rsidRDefault="001402D5" w:rsidP="001402D5">
      <w:pPr>
        <w:pStyle w:val="ContentsLevel2"/>
      </w:pPr>
      <w:r>
        <w:t>Basic earnings per share</w:t>
      </w:r>
      <w:r>
        <w:tab/>
        <w:t>9</w:t>
      </w:r>
    </w:p>
    <w:p w:rsidR="001402D5" w:rsidRDefault="001402D5" w:rsidP="001402D5">
      <w:pPr>
        <w:pStyle w:val="ContentsLevel3"/>
      </w:pPr>
      <w:r>
        <w:t>Earnings</w:t>
      </w:r>
      <w:r>
        <w:tab/>
        <w:t>12</w:t>
      </w:r>
    </w:p>
    <w:p w:rsidR="001402D5" w:rsidRDefault="001402D5" w:rsidP="001402D5">
      <w:pPr>
        <w:pStyle w:val="ContentsLevel3"/>
      </w:pPr>
      <w:r>
        <w:t>Shares</w:t>
      </w:r>
      <w:r>
        <w:tab/>
        <w:t>19</w:t>
      </w:r>
    </w:p>
    <w:p w:rsidR="001402D5" w:rsidRDefault="001402D5" w:rsidP="001402D5">
      <w:pPr>
        <w:pStyle w:val="ContentsLevel2"/>
      </w:pPr>
      <w:r>
        <w:t>Diluted earnings per share</w:t>
      </w:r>
      <w:r>
        <w:tab/>
        <w:t>30</w:t>
      </w:r>
    </w:p>
    <w:p w:rsidR="001402D5" w:rsidRDefault="001402D5" w:rsidP="001402D5">
      <w:pPr>
        <w:pStyle w:val="ContentsLevel3"/>
      </w:pPr>
      <w:r>
        <w:t>Earnings</w:t>
      </w:r>
      <w:r>
        <w:tab/>
        <w:t>33</w:t>
      </w:r>
    </w:p>
    <w:p w:rsidR="001402D5" w:rsidRDefault="001402D5" w:rsidP="001402D5">
      <w:pPr>
        <w:pStyle w:val="ContentsLevel3"/>
      </w:pPr>
      <w:r>
        <w:t>Shares</w:t>
      </w:r>
      <w:r>
        <w:tab/>
        <w:t>36</w:t>
      </w:r>
    </w:p>
    <w:p w:rsidR="001402D5" w:rsidRDefault="001402D5" w:rsidP="001402D5">
      <w:pPr>
        <w:pStyle w:val="ContentsLevel3"/>
      </w:pPr>
      <w:r>
        <w:t>Dilutive potential ordinary shares</w:t>
      </w:r>
      <w:r>
        <w:tab/>
        <w:t>41</w:t>
      </w:r>
    </w:p>
    <w:p w:rsidR="001402D5" w:rsidRDefault="001402D5" w:rsidP="001402D5">
      <w:pPr>
        <w:pStyle w:val="ContentsLevel4"/>
      </w:pPr>
      <w:r>
        <w:t>Options, warrants and their equivalents</w:t>
      </w:r>
      <w:r>
        <w:tab/>
        <w:t>45</w:t>
      </w:r>
    </w:p>
    <w:p w:rsidR="001402D5" w:rsidRDefault="001402D5" w:rsidP="001402D5">
      <w:pPr>
        <w:pStyle w:val="ContentsLevel4"/>
      </w:pPr>
      <w:r>
        <w:t>Convertible instruments</w:t>
      </w:r>
      <w:r>
        <w:tab/>
        <w:t>49</w:t>
      </w:r>
    </w:p>
    <w:p w:rsidR="001402D5" w:rsidRDefault="001402D5" w:rsidP="001402D5">
      <w:pPr>
        <w:pStyle w:val="ContentsLevel4"/>
      </w:pPr>
      <w:r>
        <w:t>Contingently issuable shares</w:t>
      </w:r>
      <w:r>
        <w:tab/>
        <w:t>52</w:t>
      </w:r>
    </w:p>
    <w:p w:rsidR="001402D5" w:rsidRDefault="001402D5" w:rsidP="001402D5">
      <w:pPr>
        <w:pStyle w:val="ContentsLevel4"/>
      </w:pPr>
      <w:r>
        <w:t>Contracts that may be settled in ordinary shares or cash</w:t>
      </w:r>
      <w:r>
        <w:tab/>
        <w:t>58</w:t>
      </w:r>
    </w:p>
    <w:p w:rsidR="001402D5" w:rsidRDefault="001402D5" w:rsidP="001402D5">
      <w:pPr>
        <w:pStyle w:val="ContentsLevel4"/>
      </w:pPr>
      <w:r>
        <w:t>Purchased options</w:t>
      </w:r>
      <w:r>
        <w:tab/>
        <w:t>62</w:t>
      </w:r>
    </w:p>
    <w:p w:rsidR="001402D5" w:rsidRDefault="001402D5" w:rsidP="001402D5">
      <w:pPr>
        <w:pStyle w:val="ContentsLevel4"/>
      </w:pPr>
      <w:r>
        <w:t>Written put options</w:t>
      </w:r>
      <w:r>
        <w:tab/>
        <w:t>63</w:t>
      </w:r>
    </w:p>
    <w:p w:rsidR="001402D5" w:rsidRDefault="001402D5" w:rsidP="001402D5">
      <w:pPr>
        <w:pStyle w:val="ContentsLevel1"/>
      </w:pPr>
      <w:r>
        <w:t>Retrospective adjustments</w:t>
      </w:r>
      <w:r>
        <w:tab/>
        <w:t>64</w:t>
      </w:r>
    </w:p>
    <w:p w:rsidR="001402D5" w:rsidRDefault="001402D5" w:rsidP="001402D5">
      <w:pPr>
        <w:pStyle w:val="ContentsLevel1"/>
      </w:pPr>
      <w:r>
        <w:t>Presentation</w:t>
      </w:r>
      <w:r>
        <w:tab/>
        <w:t>66</w:t>
      </w:r>
    </w:p>
    <w:p w:rsidR="001402D5" w:rsidRDefault="001402D5" w:rsidP="001402D5">
      <w:pPr>
        <w:pStyle w:val="ContentsLevel1"/>
      </w:pPr>
      <w:r>
        <w:t>Disclosure</w:t>
      </w:r>
      <w:r>
        <w:tab/>
        <w:t>70</w:t>
      </w:r>
    </w:p>
    <w:p w:rsidR="001402D5" w:rsidRDefault="001402D5" w:rsidP="001402D5">
      <w:pPr>
        <w:pStyle w:val="ContentsLevel1"/>
      </w:pPr>
      <w:r>
        <w:t>Effective date</w:t>
      </w:r>
      <w:r>
        <w:tab/>
        <w:t>74</w:t>
      </w:r>
    </w:p>
    <w:p w:rsidR="001402D5" w:rsidRDefault="001402D5" w:rsidP="001402D5">
      <w:pPr>
        <w:pStyle w:val="ContentsLevel1"/>
      </w:pPr>
      <w:r>
        <w:t>Withdrawa</w:t>
      </w:r>
      <w:r w:rsidR="006A78AF">
        <w:t>l of other pronouncements</w:t>
      </w:r>
      <w:r w:rsidR="006A78AF">
        <w:tab/>
        <w:t>75</w:t>
      </w:r>
    </w:p>
    <w:p w:rsidR="001402D5" w:rsidRDefault="001402D5" w:rsidP="001402D5">
      <w:pPr>
        <w:pStyle w:val="ContentsLevel1"/>
      </w:pPr>
      <w:r>
        <w:t>Commencement of the legislative instrument</w:t>
      </w:r>
      <w:r>
        <w:tab/>
      </w:r>
      <w:r w:rsidRPr="001402D5">
        <w:rPr>
          <w:caps w:val="0"/>
        </w:rPr>
        <w:t>Aus</w:t>
      </w:r>
      <w:r>
        <w:t>76.1</w:t>
      </w:r>
    </w:p>
    <w:p w:rsidR="001402D5" w:rsidRDefault="001402D5" w:rsidP="001402D5">
      <w:pPr>
        <w:pStyle w:val="ContentsLevel1"/>
      </w:pPr>
      <w:r>
        <w:t>Withdrawal of AASB pronouncements</w:t>
      </w:r>
      <w:r>
        <w:tab/>
      </w:r>
      <w:r w:rsidRPr="001402D5">
        <w:rPr>
          <w:caps w:val="0"/>
        </w:rPr>
        <w:t>Aus</w:t>
      </w:r>
      <w:r>
        <w:t>76.2</w:t>
      </w:r>
    </w:p>
    <w:p w:rsidR="001402D5" w:rsidRDefault="001402D5" w:rsidP="001402D5">
      <w:pPr>
        <w:pStyle w:val="ContentsLevel1"/>
      </w:pPr>
      <w:r>
        <w:t>Appendices</w:t>
      </w:r>
    </w:p>
    <w:p w:rsidR="001402D5" w:rsidRPr="001402D5" w:rsidRDefault="002B2EFA" w:rsidP="001402D5">
      <w:pPr>
        <w:pStyle w:val="ContentsLevel1"/>
        <w:rPr>
          <w:caps w:val="0"/>
        </w:rPr>
      </w:pPr>
      <w:proofErr w:type="gramStart"/>
      <w:r>
        <w:rPr>
          <w:caps w:val="0"/>
        </w:rPr>
        <w:t>A</w:t>
      </w:r>
      <w:proofErr w:type="gramEnd"/>
      <w:r>
        <w:rPr>
          <w:caps w:val="0"/>
        </w:rPr>
        <w:t xml:space="preserve"> Application g</w:t>
      </w:r>
      <w:r w:rsidR="001402D5" w:rsidRPr="001402D5">
        <w:rPr>
          <w:caps w:val="0"/>
        </w:rPr>
        <w:t>uidance</w:t>
      </w:r>
    </w:p>
    <w:p w:rsidR="001402D5" w:rsidRDefault="0041571A" w:rsidP="001402D5">
      <w:pPr>
        <w:pStyle w:val="ContentsLevel2"/>
      </w:pPr>
      <w:r>
        <w:t>C</w:t>
      </w:r>
      <w:r w:rsidR="001402D5">
        <w:t xml:space="preserve"> Australian reduced disclosure requirements</w:t>
      </w:r>
    </w:p>
    <w:p w:rsidR="003F2029" w:rsidRDefault="003F2029" w:rsidP="001402D5">
      <w:pPr>
        <w:pStyle w:val="ContentsLevel1"/>
      </w:pPr>
      <w:r>
        <w:t>ILLUSTRATIVE EXAMPLES</w:t>
      </w:r>
    </w:p>
    <w:p w:rsidR="001402D5" w:rsidRDefault="001402D5" w:rsidP="001402D5">
      <w:pPr>
        <w:pStyle w:val="ContentsLevel1"/>
      </w:pPr>
      <w:r>
        <w:t xml:space="preserve">Deleted IAS 33 </w:t>
      </w:r>
      <w:proofErr w:type="gramStart"/>
      <w:r>
        <w:t>text</w:t>
      </w:r>
      <w:proofErr w:type="gramEnd"/>
    </w:p>
    <w:bookmarkEnd w:id="11"/>
    <w:p w:rsidR="00725E14" w:rsidRDefault="00725E14" w:rsidP="00F25671">
      <w:pPr>
        <w:pStyle w:val="ContentsLevel1"/>
      </w:pPr>
    </w:p>
    <w:p w:rsidR="00725E14" w:rsidRDefault="00725E14" w:rsidP="00F25671">
      <w:pPr>
        <w:pStyle w:val="ContentsLevel1"/>
      </w:pPr>
    </w:p>
    <w:p w:rsidR="001402D5" w:rsidRDefault="001402D5" w:rsidP="001402D5">
      <w:pPr>
        <w:pStyle w:val="ContentsLevel1"/>
      </w:pPr>
      <w:r>
        <w:t>available on the AASB website</w:t>
      </w:r>
    </w:p>
    <w:p w:rsidR="001402D5" w:rsidRDefault="002B2EFA" w:rsidP="001402D5">
      <w:pPr>
        <w:pStyle w:val="ContentsLevel1"/>
      </w:pPr>
      <w:r>
        <w:rPr>
          <w:caps w:val="0"/>
        </w:rPr>
        <w:t>Basis for c</w:t>
      </w:r>
      <w:r w:rsidR="001402D5">
        <w:rPr>
          <w:caps w:val="0"/>
        </w:rPr>
        <w:t>onclusions on</w:t>
      </w:r>
      <w:r w:rsidR="001402D5">
        <w:t xml:space="preserve"> IAS 33</w:t>
      </w:r>
    </w:p>
    <w:p w:rsidR="001402D5" w:rsidRDefault="001402D5" w:rsidP="00F25671">
      <w:pPr>
        <w:pStyle w:val="ContentsLevel1"/>
      </w:pPr>
    </w:p>
    <w:p w:rsidR="0097447E" w:rsidRDefault="0097447E" w:rsidP="00F25671">
      <w:pPr>
        <w:pStyle w:val="ContentsLevel1"/>
      </w:pPr>
    </w:p>
    <w:p w:rsidR="00725E14" w:rsidRDefault="00725E14" w:rsidP="00F25671">
      <w:pPr>
        <w:pStyle w:val="AASBBase"/>
        <w:pBdr>
          <w:top w:val="single" w:sz="4" w:space="1" w:color="auto"/>
          <w:left w:val="single" w:sz="4" w:space="4" w:color="auto"/>
          <w:bottom w:val="single" w:sz="4" w:space="1" w:color="auto"/>
          <w:right w:val="single" w:sz="4" w:space="4" w:color="auto"/>
        </w:pBdr>
      </w:pPr>
      <w:r>
        <w:t xml:space="preserve">Australian Accounting Standard AASB </w:t>
      </w:r>
      <w:r>
        <w:fldChar w:fldCharType="begin" w:fldLock="1"/>
      </w:r>
      <w:r>
        <w:instrText xml:space="preserve"> REF DocNo \* charformat</w:instrText>
      </w:r>
      <w:r>
        <w:fldChar w:fldCharType="separate"/>
      </w:r>
      <w:r>
        <w:t>133</w:t>
      </w:r>
      <w:r>
        <w:fldChar w:fldCharType="end"/>
      </w:r>
      <w:r>
        <w:t xml:space="preserve"> </w:t>
      </w:r>
      <w:r w:rsidRPr="00103CE9">
        <w:rPr>
          <w:i/>
        </w:rPr>
        <w:fldChar w:fldCharType="begin" w:fldLock="1"/>
      </w:r>
      <w:r w:rsidRPr="00103CE9">
        <w:rPr>
          <w:i/>
        </w:rPr>
        <w:instrText xml:space="preserve"> REF DocTitle</w:instrText>
      </w:r>
      <w:r>
        <w:rPr>
          <w:i/>
        </w:rPr>
        <w:instrText xml:space="preserve"> \*</w:instrText>
      </w:r>
      <w:r w:rsidRPr="00103CE9">
        <w:rPr>
          <w:i/>
        </w:rPr>
        <w:instrText xml:space="preserve"> </w:instrText>
      </w:r>
      <w:r>
        <w:rPr>
          <w:i/>
        </w:rPr>
        <w:instrText>charformat</w:instrText>
      </w:r>
      <w:r w:rsidRPr="00103CE9">
        <w:rPr>
          <w:i/>
        </w:rPr>
        <w:fldChar w:fldCharType="separate"/>
      </w:r>
      <w:r w:rsidRPr="00725E14">
        <w:rPr>
          <w:i/>
        </w:rPr>
        <w:t>Earnings per Share</w:t>
      </w:r>
      <w:r w:rsidRPr="00103CE9">
        <w:rPr>
          <w:i/>
        </w:rPr>
        <w:fldChar w:fldCharType="end"/>
      </w:r>
      <w:r>
        <w:t xml:space="preserve"> is set out in paragraphs </w:t>
      </w:r>
      <w:r w:rsidR="00F25671">
        <w:t>1 – Aus76.2</w:t>
      </w:r>
      <w:r>
        <w:t xml:space="preserve"> and </w:t>
      </w:r>
      <w:r w:rsidR="0041571A">
        <w:t>Appendices A and C</w:t>
      </w:r>
      <w:r>
        <w:t xml:space="preserve">.  All the paragraphs have equal authority.  Paragraphs in </w:t>
      </w:r>
      <w:r w:rsidRPr="00103CE9">
        <w:rPr>
          <w:b/>
        </w:rPr>
        <w:t>bold type</w:t>
      </w:r>
      <w:r>
        <w:t xml:space="preserve"> state the main principles</w:t>
      </w:r>
      <w:r w:rsidRPr="00640786">
        <w:t xml:space="preserve">.  </w:t>
      </w:r>
      <w:r>
        <w:t>AASB </w:t>
      </w:r>
      <w:r>
        <w:fldChar w:fldCharType="begin" w:fldLock="1"/>
      </w:r>
      <w:r>
        <w:instrText xml:space="preserve"> REF DocNo \* charformat</w:instrText>
      </w:r>
      <w:r>
        <w:fldChar w:fldCharType="separate"/>
      </w:r>
      <w:r>
        <w:t>133</w:t>
      </w:r>
      <w:r>
        <w:fldChar w:fldCharType="end"/>
      </w:r>
      <w:r>
        <w:t xml:space="preserve"> </w:t>
      </w:r>
      <w:r w:rsidRPr="00103CE9">
        <w:t>is to be read in the context of other Australian Accou</w:t>
      </w:r>
      <w:r>
        <w:t>nting Standards, including AASB </w:t>
      </w:r>
      <w:r w:rsidRPr="00103CE9">
        <w:t xml:space="preserve">1048 </w:t>
      </w:r>
      <w:r w:rsidRPr="00103CE9">
        <w:rPr>
          <w:i/>
        </w:rPr>
        <w:t>Interpretation of Standards</w:t>
      </w:r>
      <w:r w:rsidRPr="00103CE9">
        <w:t>, which identifies the Australian Accounting Interpretations</w:t>
      </w:r>
      <w:r w:rsidR="00BB7E91">
        <w:t xml:space="preserve">, and AASB 1057 </w:t>
      </w:r>
      <w:r w:rsidR="00BB7E91">
        <w:rPr>
          <w:i/>
        </w:rPr>
        <w:t>Application of Australian Accounting Standards</w:t>
      </w:r>
      <w:r w:rsidRPr="00103CE9">
        <w:t>.  In the abs</w:t>
      </w:r>
      <w:r>
        <w:t>ence of explicit guidance, AASB </w:t>
      </w:r>
      <w:r w:rsidRPr="00103CE9">
        <w:t xml:space="preserve">108 </w:t>
      </w:r>
      <w:r w:rsidRPr="00103CE9">
        <w:rPr>
          <w:i/>
        </w:rPr>
        <w:t>Accounting Policies, Changes in Accounting Estimates and Errors</w:t>
      </w:r>
      <w:r w:rsidRPr="00103CE9">
        <w:t xml:space="preserve"> provides a basis for selecting and applying accounting policies</w:t>
      </w:r>
      <w:r>
        <w:t>.</w:t>
      </w:r>
    </w:p>
    <w:bookmarkEnd w:id="12"/>
    <w:p w:rsidR="00725E14" w:rsidRDefault="00725E14" w:rsidP="00F25671">
      <w:pPr>
        <w:pStyle w:val="AASBBase"/>
      </w:pPr>
    </w:p>
    <w:p w:rsidR="00725E14" w:rsidRDefault="00725E14" w:rsidP="00F25671">
      <w:pPr>
        <w:pStyle w:val="AASBBase"/>
        <w:sectPr w:rsidR="00725E14" w:rsidSect="00F25671">
          <w:headerReference w:type="even" r:id="rId20"/>
          <w:footerReference w:type="even" r:id="rId21"/>
          <w:footerReference w:type="default" r:id="rId22"/>
          <w:pgSz w:w="11907" w:h="16839" w:code="9"/>
          <w:pgMar w:top="1440" w:right="1440" w:bottom="1440" w:left="1440" w:header="709" w:footer="709" w:gutter="0"/>
          <w:cols w:space="708"/>
          <w:docGrid w:linePitch="360"/>
        </w:sectPr>
      </w:pPr>
    </w:p>
    <w:p w:rsidR="00725E14" w:rsidRDefault="00725E14" w:rsidP="00F25671">
      <w:pPr>
        <w:pStyle w:val="ConvSectionTitle"/>
      </w:pPr>
      <w:r>
        <w:lastRenderedPageBreak/>
        <w:t xml:space="preserve">Comparison with </w:t>
      </w:r>
      <w:r>
        <w:fldChar w:fldCharType="begin" w:fldLock="1"/>
      </w:r>
      <w:r>
        <w:instrText xml:space="preserve"> REF IntnlType \* charformat</w:instrText>
      </w:r>
      <w:r>
        <w:fldChar w:fldCharType="separate"/>
      </w:r>
      <w:r>
        <w:t>IAS</w:t>
      </w:r>
      <w:r>
        <w:fldChar w:fldCharType="end"/>
      </w:r>
      <w:r>
        <w:t xml:space="preserve"> </w:t>
      </w:r>
      <w:r>
        <w:fldChar w:fldCharType="begin" w:fldLock="1"/>
      </w:r>
      <w:r>
        <w:instrText xml:space="preserve"> REF IntnlNo \* charformat</w:instrText>
      </w:r>
      <w:r>
        <w:fldChar w:fldCharType="separate"/>
      </w:r>
      <w:r>
        <w:t>33</w:t>
      </w:r>
      <w:r>
        <w:fldChar w:fldCharType="end"/>
      </w:r>
    </w:p>
    <w:p w:rsidR="00725E14" w:rsidRDefault="00725E14" w:rsidP="00F25671">
      <w:pPr>
        <w:pStyle w:val="IASBNormal"/>
      </w:pPr>
      <w:r>
        <w:t xml:space="preserve">AASB </w:t>
      </w:r>
      <w:r>
        <w:fldChar w:fldCharType="begin" w:fldLock="1"/>
      </w:r>
      <w:r>
        <w:instrText xml:space="preserve"> REF DocNo \* charformat</w:instrText>
      </w:r>
      <w:r>
        <w:fldChar w:fldCharType="separate"/>
      </w:r>
      <w:r>
        <w:t>133</w:t>
      </w:r>
      <w:r>
        <w:fldChar w:fldCharType="end"/>
      </w:r>
      <w:r>
        <w:t xml:space="preserve"> </w:t>
      </w:r>
      <w:r w:rsidRPr="00137A58">
        <w:rPr>
          <w:i/>
        </w:rPr>
        <w:fldChar w:fldCharType="begin" w:fldLock="1"/>
      </w:r>
      <w:r w:rsidRPr="00137A58">
        <w:rPr>
          <w:i/>
        </w:rPr>
        <w:instrText xml:space="preserve"> REF DocTitle </w:instrText>
      </w:r>
      <w:r>
        <w:rPr>
          <w:i/>
        </w:rPr>
        <w:instrText>\* charformat</w:instrText>
      </w:r>
      <w:r w:rsidRPr="00137A58">
        <w:rPr>
          <w:i/>
        </w:rPr>
        <w:fldChar w:fldCharType="separate"/>
      </w:r>
      <w:r w:rsidRPr="00725E14">
        <w:rPr>
          <w:i/>
        </w:rPr>
        <w:t>Earnings per Share</w:t>
      </w:r>
      <w:r w:rsidRPr="00137A58">
        <w:rPr>
          <w:i/>
        </w:rPr>
        <w:fldChar w:fldCharType="end"/>
      </w:r>
      <w:r>
        <w:t xml:space="preserve"> incorporates </w:t>
      </w:r>
      <w:r>
        <w:fldChar w:fldCharType="begin" w:fldLock="1"/>
      </w:r>
      <w:r>
        <w:instrText xml:space="preserve"> REF IntnlType \* charformat</w:instrText>
      </w:r>
      <w:r>
        <w:fldChar w:fldCharType="separate"/>
      </w:r>
      <w:r>
        <w:t>IAS</w:t>
      </w:r>
      <w:r>
        <w:fldChar w:fldCharType="end"/>
      </w:r>
      <w:r>
        <w:t> </w:t>
      </w:r>
      <w:r>
        <w:fldChar w:fldCharType="begin" w:fldLock="1"/>
      </w:r>
      <w:r>
        <w:instrText xml:space="preserve"> REF IntnlNo \* charformat</w:instrText>
      </w:r>
      <w:r>
        <w:fldChar w:fldCharType="separate"/>
      </w:r>
      <w:r>
        <w:t>33</w:t>
      </w:r>
      <w:r>
        <w:fldChar w:fldCharType="end"/>
      </w:r>
      <w:r>
        <w:t xml:space="preserve"> </w:t>
      </w:r>
      <w:bookmarkStart w:id="13" w:name="IntnlTitle"/>
      <w:r w:rsidRPr="00725E14">
        <w:rPr>
          <w:i/>
        </w:rPr>
        <w:t>Earnings per Share</w:t>
      </w:r>
      <w:bookmarkEnd w:id="13"/>
      <w:r>
        <w:t xml:space="preserve"> issued by the International Accounting Standards Board (IASB).  Australian</w:t>
      </w:r>
      <w:r>
        <w:noBreakHyphen/>
        <w:t xml:space="preserve">specific paragraphs (which are not included in </w:t>
      </w:r>
      <w:r>
        <w:fldChar w:fldCharType="begin" w:fldLock="1"/>
      </w:r>
      <w:r>
        <w:instrText xml:space="preserve"> REF IntnlType \* charformat</w:instrText>
      </w:r>
      <w:r>
        <w:fldChar w:fldCharType="separate"/>
      </w:r>
      <w:r>
        <w:t>IAS</w:t>
      </w:r>
      <w:r>
        <w:fldChar w:fldCharType="end"/>
      </w:r>
      <w:r>
        <w:t> </w:t>
      </w:r>
      <w:r>
        <w:fldChar w:fldCharType="begin" w:fldLock="1"/>
      </w:r>
      <w:r>
        <w:instrText xml:space="preserve"> REF IntnlNo \* charformat</w:instrText>
      </w:r>
      <w:r>
        <w:fldChar w:fldCharType="separate"/>
      </w:r>
      <w:r>
        <w:t>33</w:t>
      </w:r>
      <w:r>
        <w:fldChar w:fldCharType="end"/>
      </w:r>
      <w:r>
        <w:t>) are identified with the prefix “Aus”.  Paragraphs that apply only to not-for-profit entities begin by identifying their limited applicability.</w:t>
      </w:r>
    </w:p>
    <w:p w:rsidR="00725E14" w:rsidRPr="00640786" w:rsidRDefault="00725E14" w:rsidP="00F25671">
      <w:pPr>
        <w:pStyle w:val="ConvStandardTitle1"/>
      </w:pPr>
      <w:r w:rsidRPr="00640786">
        <w:t>Tier 1</w:t>
      </w:r>
    </w:p>
    <w:p w:rsidR="00725E14" w:rsidRPr="00640786" w:rsidRDefault="00725E14" w:rsidP="00F25671">
      <w:pPr>
        <w:pStyle w:val="IASBNormal"/>
      </w:pPr>
      <w:r w:rsidRPr="00640786">
        <w:t xml:space="preserve">For-profit entities complying with AASB </w:t>
      </w:r>
      <w:r w:rsidRPr="00640786">
        <w:fldChar w:fldCharType="begin" w:fldLock="1"/>
      </w:r>
      <w:r w:rsidRPr="00640786">
        <w:instrText xml:space="preserve"> REF DocNo \* charformat</w:instrText>
      </w:r>
      <w:r w:rsidR="00640786">
        <w:instrText xml:space="preserve"> \* MERGEFORMAT </w:instrText>
      </w:r>
      <w:r w:rsidRPr="00640786">
        <w:fldChar w:fldCharType="separate"/>
      </w:r>
      <w:r w:rsidRPr="00640786">
        <w:t>133</w:t>
      </w:r>
      <w:r w:rsidRPr="00640786">
        <w:fldChar w:fldCharType="end"/>
      </w:r>
      <w:r w:rsidRPr="00640786">
        <w:t xml:space="preserve"> also comply with </w:t>
      </w:r>
      <w:r w:rsidRPr="00640786">
        <w:fldChar w:fldCharType="begin" w:fldLock="1"/>
      </w:r>
      <w:r w:rsidRPr="00640786">
        <w:instrText xml:space="preserve"> REF IntnlType \* charformat</w:instrText>
      </w:r>
      <w:r w:rsidR="00640786">
        <w:instrText xml:space="preserve"> \* MERGEFORMAT </w:instrText>
      </w:r>
      <w:r w:rsidRPr="00640786">
        <w:fldChar w:fldCharType="separate"/>
      </w:r>
      <w:r w:rsidRPr="00640786">
        <w:t>IAS</w:t>
      </w:r>
      <w:r w:rsidRPr="00640786">
        <w:fldChar w:fldCharType="end"/>
      </w:r>
      <w:r w:rsidRPr="00640786">
        <w:t xml:space="preserve"> </w:t>
      </w:r>
      <w:r w:rsidRPr="00640786">
        <w:fldChar w:fldCharType="begin" w:fldLock="1"/>
      </w:r>
      <w:r w:rsidRPr="00640786">
        <w:instrText xml:space="preserve"> REF IntnlNo \* charformat</w:instrText>
      </w:r>
      <w:r w:rsidR="00640786">
        <w:instrText xml:space="preserve"> \* MERGEFORMAT </w:instrText>
      </w:r>
      <w:r w:rsidRPr="00640786">
        <w:fldChar w:fldCharType="separate"/>
      </w:r>
      <w:r w:rsidRPr="00640786">
        <w:t>33</w:t>
      </w:r>
      <w:r w:rsidRPr="00640786">
        <w:fldChar w:fldCharType="end"/>
      </w:r>
      <w:r w:rsidRPr="00640786">
        <w:t>.</w:t>
      </w:r>
    </w:p>
    <w:p w:rsidR="00725E14" w:rsidRPr="00640786" w:rsidRDefault="00725E14" w:rsidP="00F25671">
      <w:pPr>
        <w:pStyle w:val="IASBNormal"/>
      </w:pPr>
      <w:r w:rsidRPr="00640786">
        <w:t xml:space="preserve">Not-for-profit entities’ compliance with </w:t>
      </w:r>
      <w:r w:rsidRPr="00640786">
        <w:fldChar w:fldCharType="begin" w:fldLock="1"/>
      </w:r>
      <w:r w:rsidRPr="00640786">
        <w:instrText xml:space="preserve"> REF IntnlType \* charformat</w:instrText>
      </w:r>
      <w:r w:rsidR="00640786">
        <w:instrText xml:space="preserve"> \* MERGEFORMAT </w:instrText>
      </w:r>
      <w:r w:rsidRPr="00640786">
        <w:fldChar w:fldCharType="separate"/>
      </w:r>
      <w:r w:rsidRPr="00640786">
        <w:t>IAS</w:t>
      </w:r>
      <w:r w:rsidRPr="00640786">
        <w:fldChar w:fldCharType="end"/>
      </w:r>
      <w:r w:rsidRPr="00640786">
        <w:t xml:space="preserve"> </w:t>
      </w:r>
      <w:r w:rsidRPr="00640786">
        <w:fldChar w:fldCharType="begin" w:fldLock="1"/>
      </w:r>
      <w:r w:rsidRPr="00640786">
        <w:instrText xml:space="preserve"> REF IntnlNo \* charformat</w:instrText>
      </w:r>
      <w:r w:rsidR="00640786">
        <w:instrText xml:space="preserve"> \* MERGEFORMAT </w:instrText>
      </w:r>
      <w:r w:rsidRPr="00640786">
        <w:fldChar w:fldCharType="separate"/>
      </w:r>
      <w:r w:rsidRPr="00640786">
        <w:t>33</w:t>
      </w:r>
      <w:r w:rsidRPr="00640786">
        <w:fldChar w:fldCharType="end"/>
      </w:r>
      <w:r w:rsidRPr="00640786">
        <w:t xml:space="preserve"> will depend on whether any “Aus” paragraphs that specifically apply to not-for-profit entities provide additional guidance or contain applicable requirements that are inconsistent with </w:t>
      </w:r>
      <w:r w:rsidRPr="00640786">
        <w:fldChar w:fldCharType="begin" w:fldLock="1"/>
      </w:r>
      <w:r w:rsidRPr="00640786">
        <w:instrText xml:space="preserve"> REF IntnlType \* charformat</w:instrText>
      </w:r>
      <w:r w:rsidR="00640786">
        <w:instrText xml:space="preserve"> \* MERGEFORMAT </w:instrText>
      </w:r>
      <w:r w:rsidRPr="00640786">
        <w:fldChar w:fldCharType="separate"/>
      </w:r>
      <w:r w:rsidRPr="00640786">
        <w:t>IAS</w:t>
      </w:r>
      <w:r w:rsidRPr="00640786">
        <w:fldChar w:fldCharType="end"/>
      </w:r>
      <w:r w:rsidRPr="00640786">
        <w:t> </w:t>
      </w:r>
      <w:r w:rsidRPr="00640786">
        <w:fldChar w:fldCharType="begin" w:fldLock="1"/>
      </w:r>
      <w:r w:rsidRPr="00640786">
        <w:instrText xml:space="preserve"> REF IntnlNo \* charformat</w:instrText>
      </w:r>
      <w:r w:rsidR="00640786">
        <w:instrText xml:space="preserve"> \* MERGEFORMAT </w:instrText>
      </w:r>
      <w:r w:rsidRPr="00640786">
        <w:fldChar w:fldCharType="separate"/>
      </w:r>
      <w:r w:rsidRPr="00640786">
        <w:t>33</w:t>
      </w:r>
      <w:r w:rsidRPr="00640786">
        <w:fldChar w:fldCharType="end"/>
      </w:r>
      <w:r w:rsidRPr="00640786">
        <w:t>.</w:t>
      </w:r>
    </w:p>
    <w:p w:rsidR="00725E14" w:rsidRPr="00640786" w:rsidRDefault="00725E14" w:rsidP="00F25671">
      <w:pPr>
        <w:pStyle w:val="ConvStandardTitle1"/>
      </w:pPr>
      <w:r w:rsidRPr="00640786">
        <w:t>Tier 2</w:t>
      </w:r>
    </w:p>
    <w:p w:rsidR="00725E14" w:rsidRPr="00640786" w:rsidRDefault="00725E14" w:rsidP="00F25671">
      <w:pPr>
        <w:pStyle w:val="IASBNormal"/>
      </w:pPr>
      <w:r w:rsidRPr="00640786">
        <w:t>Entities preparing general purpose financial statements under Australian Accounting Standards – Reduced Disclosure Requirements (Tier 2) will not be in compliance with IFRSs.</w:t>
      </w:r>
    </w:p>
    <w:p w:rsidR="00725E14" w:rsidRPr="00F83914" w:rsidRDefault="00725E14" w:rsidP="00F25671">
      <w:pPr>
        <w:pStyle w:val="IASBNormal"/>
      </w:pPr>
      <w:r w:rsidRPr="00640786">
        <w:t xml:space="preserve">AASB 1053 </w:t>
      </w:r>
      <w:r w:rsidRPr="00640786">
        <w:rPr>
          <w:i/>
        </w:rPr>
        <w:t>Application of Tiers of Australian Accounting Standards</w:t>
      </w:r>
      <w:r w:rsidRPr="00640786">
        <w:t xml:space="preserve"> explains the two tiers of reporting requirements.</w:t>
      </w:r>
    </w:p>
    <w:p w:rsidR="00725E14" w:rsidRDefault="00725E14" w:rsidP="00F25671">
      <w:pPr>
        <w:pStyle w:val="AASBBase"/>
      </w:pPr>
    </w:p>
    <w:p w:rsidR="00725E14" w:rsidRDefault="00725E14" w:rsidP="00F25671">
      <w:pPr>
        <w:pStyle w:val="AASBBase"/>
        <w:sectPr w:rsidR="00725E14" w:rsidSect="00F25671">
          <w:headerReference w:type="even" r:id="rId23"/>
          <w:footerReference w:type="even" r:id="rId24"/>
          <w:footerReference w:type="default" r:id="rId25"/>
          <w:pgSz w:w="11907" w:h="16839" w:code="9"/>
          <w:pgMar w:top="1440" w:right="1440" w:bottom="1440" w:left="1440" w:header="709" w:footer="709" w:gutter="0"/>
          <w:cols w:space="708"/>
          <w:docGrid w:linePitch="360"/>
        </w:sectPr>
      </w:pPr>
    </w:p>
    <w:p w:rsidR="00725E14" w:rsidRDefault="00725E14" w:rsidP="00F25671">
      <w:pPr>
        <w:pStyle w:val="ConvSectionTitle"/>
      </w:pPr>
      <w:r>
        <w:t xml:space="preserve">Accounting Standard AASB </w:t>
      </w:r>
      <w:r>
        <w:fldChar w:fldCharType="begin" w:fldLock="1"/>
      </w:r>
      <w:r>
        <w:instrText xml:space="preserve"> REF DocNo \* charformat</w:instrText>
      </w:r>
      <w:r>
        <w:fldChar w:fldCharType="separate"/>
      </w:r>
      <w:r>
        <w:t>133</w:t>
      </w:r>
      <w:r>
        <w:fldChar w:fldCharType="end"/>
      </w:r>
    </w:p>
    <w:p w:rsidR="00725E14" w:rsidRDefault="00725E14" w:rsidP="00F25671">
      <w:pPr>
        <w:pStyle w:val="IASBNormal"/>
      </w:pPr>
      <w:r>
        <w:t xml:space="preserve">The Australian Accounting Standards Board makes Accounting Standard AASB </w:t>
      </w:r>
      <w:r>
        <w:fldChar w:fldCharType="begin" w:fldLock="1"/>
      </w:r>
      <w:r>
        <w:instrText xml:space="preserve"> REF DocNo \* charformat</w:instrText>
      </w:r>
      <w:r>
        <w:fldChar w:fldCharType="separate"/>
      </w:r>
      <w:r>
        <w:t>133</w:t>
      </w:r>
      <w:r>
        <w:fldChar w:fldCharType="end"/>
      </w:r>
      <w:r>
        <w:t xml:space="preserve"> </w:t>
      </w:r>
      <w:r w:rsidRPr="00844AB3">
        <w:rPr>
          <w:i/>
        </w:rPr>
        <w:fldChar w:fldCharType="begin" w:fldLock="1"/>
      </w:r>
      <w:r w:rsidRPr="00844AB3">
        <w:rPr>
          <w:i/>
        </w:rPr>
        <w:instrText xml:space="preserve"> REF DocTitle \* charformat</w:instrText>
      </w:r>
      <w:r w:rsidRPr="00844AB3">
        <w:rPr>
          <w:i/>
        </w:rPr>
        <w:fldChar w:fldCharType="separate"/>
      </w:r>
      <w:r w:rsidRPr="00725E14">
        <w:rPr>
          <w:i/>
        </w:rPr>
        <w:t>Earnings per Share</w:t>
      </w:r>
      <w:r w:rsidRPr="00844AB3">
        <w:rPr>
          <w:i/>
        </w:rPr>
        <w:fldChar w:fldCharType="end"/>
      </w:r>
      <w:r>
        <w:t xml:space="preserve"> under section 334 of the </w:t>
      </w:r>
      <w:r w:rsidRPr="00D51AA9">
        <w:rPr>
          <w:i/>
        </w:rPr>
        <w:t>Corporations Act 2001</w:t>
      </w:r>
      <w:r>
        <w:t>.</w:t>
      </w:r>
    </w:p>
    <w:tbl>
      <w:tblPr>
        <w:tblStyle w:val="TableGrid"/>
        <w:tblW w:w="0" w:type="auto"/>
        <w:tblLook w:val="04A0" w:firstRow="1" w:lastRow="0" w:firstColumn="1" w:lastColumn="0" w:noHBand="0" w:noVBand="1"/>
        <w:tblCaption w:val="Authorisation of the statement that the AASB has made the Standard"/>
        <w:tblDescription w:val="Date when the Standard was made by the AASB, the name of the AASB Chair, and the statement of that position"/>
      </w:tblPr>
      <w:tblGrid>
        <w:gridCol w:w="4508"/>
        <w:gridCol w:w="4509"/>
      </w:tblGrid>
      <w:tr w:rsidR="00725E14" w:rsidTr="00C43B01">
        <w:trPr>
          <w:tblHeader/>
        </w:trPr>
        <w:tc>
          <w:tcPr>
            <w:tcW w:w="4508" w:type="dxa"/>
          </w:tcPr>
          <w:p w:rsidR="00725E14" w:rsidRDefault="00725E14" w:rsidP="00F25671">
            <w:pPr>
              <w:pStyle w:val="AASBBase"/>
            </w:pPr>
          </w:p>
        </w:tc>
        <w:tc>
          <w:tcPr>
            <w:tcW w:w="4509" w:type="dxa"/>
          </w:tcPr>
          <w:p w:rsidR="00725E14" w:rsidRDefault="00725E14" w:rsidP="00F25671">
            <w:pPr>
              <w:pStyle w:val="AASBBase"/>
              <w:jc w:val="right"/>
            </w:pPr>
            <w:r>
              <w:t>Kris Peach</w:t>
            </w:r>
          </w:p>
        </w:tc>
      </w:tr>
      <w:tr w:rsidR="00725E14" w:rsidTr="00F25671">
        <w:tc>
          <w:tcPr>
            <w:tcW w:w="4508" w:type="dxa"/>
          </w:tcPr>
          <w:p w:rsidR="00725E14" w:rsidRDefault="00725E14" w:rsidP="005A0A16">
            <w:pPr>
              <w:pStyle w:val="AASBBase"/>
            </w:pPr>
            <w:r>
              <w:t xml:space="preserve">Dated </w:t>
            </w:r>
            <w:bookmarkStart w:id="14" w:name="MakeDate"/>
            <w:r w:rsidR="005A0A16">
              <w:t>7</w:t>
            </w:r>
            <w:r w:rsidR="00F25671">
              <w:t xml:space="preserve"> </w:t>
            </w:r>
            <w:r w:rsidR="005A0A16">
              <w:t>August</w:t>
            </w:r>
            <w:r>
              <w:t xml:space="preserve"> 2015</w:t>
            </w:r>
            <w:bookmarkEnd w:id="14"/>
          </w:p>
        </w:tc>
        <w:tc>
          <w:tcPr>
            <w:tcW w:w="4509" w:type="dxa"/>
          </w:tcPr>
          <w:p w:rsidR="00725E14" w:rsidRDefault="00725E14" w:rsidP="00F25671">
            <w:pPr>
              <w:pStyle w:val="AASBBase"/>
              <w:jc w:val="right"/>
            </w:pPr>
            <w:r>
              <w:t>Chair – AASB</w:t>
            </w:r>
          </w:p>
        </w:tc>
      </w:tr>
    </w:tbl>
    <w:p w:rsidR="00725E14" w:rsidRDefault="00725E14" w:rsidP="00F25671">
      <w:pPr>
        <w:pStyle w:val="ConvStandardTitle1"/>
      </w:pPr>
      <w:r>
        <w:t xml:space="preserve">Accounting Standard AASB </w:t>
      </w:r>
      <w:r>
        <w:fldChar w:fldCharType="begin" w:fldLock="1"/>
      </w:r>
      <w:r>
        <w:instrText xml:space="preserve"> REF DocNo \* charformat</w:instrText>
      </w:r>
      <w:r>
        <w:fldChar w:fldCharType="separate"/>
      </w:r>
      <w:r>
        <w:t>133</w:t>
      </w:r>
      <w:r>
        <w:fldChar w:fldCharType="end"/>
      </w:r>
    </w:p>
    <w:p w:rsidR="00725E14" w:rsidRPr="00844AB3" w:rsidRDefault="00725E14" w:rsidP="00F25671">
      <w:pPr>
        <w:pStyle w:val="ConvStandardTitle2"/>
      </w:pPr>
      <w:r>
        <w:fldChar w:fldCharType="begin" w:fldLock="1"/>
      </w:r>
      <w:r>
        <w:instrText xml:space="preserve"> REF DocTitle \* charformat</w:instrText>
      </w:r>
      <w:r>
        <w:fldChar w:fldCharType="separate"/>
      </w:r>
      <w:r>
        <w:t>Earnings per Share</w:t>
      </w:r>
      <w:r>
        <w:fldChar w:fldCharType="end"/>
      </w:r>
    </w:p>
    <w:p w:rsidR="0065318E" w:rsidRDefault="0065318E">
      <w:pPr>
        <w:pStyle w:val="IASBSectionTitle1NonInd"/>
      </w:pPr>
      <w:r>
        <w:t>Objective</w:t>
      </w:r>
    </w:p>
    <w:p w:rsidR="0065318E" w:rsidRDefault="0065318E">
      <w:pPr>
        <w:pStyle w:val="IASBNormalnpara"/>
      </w:pPr>
      <w:r>
        <w:t>1</w:t>
      </w:r>
      <w:r>
        <w:tab/>
        <w:t>The objective of this Standard is to prescribe principles for the determination and presentation of earnings per share, so as to improve performance comparisons between different entities in the same reporting period and between different reporting periods for the same entity. Even though earnings per share data have limitations because of the different accounting policies that may be used for determining ‘earnings’, a consistently determined denominator enhances financial reporting. The focus of this Standard is on the denominator of the earnings per share calculation.</w:t>
      </w:r>
    </w:p>
    <w:p w:rsidR="0065318E" w:rsidRDefault="0065318E">
      <w:pPr>
        <w:pStyle w:val="IASBSectionTitle1NonInd"/>
      </w:pPr>
      <w:r>
        <w:t>Scope</w:t>
      </w:r>
    </w:p>
    <w:p w:rsidR="003B3D68" w:rsidRPr="003B3D68" w:rsidRDefault="003B3D68">
      <w:pPr>
        <w:pStyle w:val="IASBNormalnpara"/>
      </w:pPr>
      <w:r w:rsidRPr="003B3D68">
        <w:t>2</w:t>
      </w:r>
      <w:r w:rsidRPr="003B3D68">
        <w:tab/>
        <w:t>[Deleted by the AASB]</w:t>
      </w:r>
    </w:p>
    <w:p w:rsidR="0065318E" w:rsidRPr="00D37CC9" w:rsidRDefault="0065318E" w:rsidP="00D37CC9">
      <w:pPr>
        <w:pStyle w:val="RDRM1"/>
        <w:rPr>
          <w:b/>
        </w:rPr>
      </w:pPr>
      <w:r w:rsidRPr="00D37CC9">
        <w:rPr>
          <w:b/>
        </w:rPr>
        <w:t>3</w:t>
      </w:r>
      <w:r w:rsidRPr="00D37CC9">
        <w:rPr>
          <w:b/>
        </w:rPr>
        <w:tab/>
        <w:t>An entity that discloses earnings per share shall calculate and disclose earnings per share in accordance with this Standard.</w:t>
      </w:r>
    </w:p>
    <w:p w:rsidR="0065318E" w:rsidRPr="00D37CC9" w:rsidRDefault="0065318E" w:rsidP="00D37CC9">
      <w:pPr>
        <w:pStyle w:val="RDRM1"/>
        <w:rPr>
          <w:b/>
        </w:rPr>
      </w:pPr>
      <w:r w:rsidRPr="00D37CC9">
        <w:rPr>
          <w:b/>
        </w:rPr>
        <w:t>4</w:t>
      </w:r>
      <w:r w:rsidRPr="00D37CC9">
        <w:rPr>
          <w:b/>
        </w:rPr>
        <w:tab/>
        <w:t>When an entity presents both consolidated financial statements and separate financial statements prepared in accordance with</w:t>
      </w:r>
      <w:r w:rsidR="00725E14" w:rsidRPr="00D37CC9">
        <w:rPr>
          <w:b/>
        </w:rPr>
        <w:t xml:space="preserve"> AASB 10</w:t>
      </w:r>
      <w:r w:rsidRPr="00D37CC9">
        <w:rPr>
          <w:b/>
        </w:rPr>
        <w:t xml:space="preserve"> </w:t>
      </w:r>
      <w:r w:rsidRPr="00D37CC9">
        <w:rPr>
          <w:b/>
          <w:i/>
        </w:rPr>
        <w:t>Consolidated Financial Statements</w:t>
      </w:r>
      <w:r w:rsidRPr="00D37CC9">
        <w:rPr>
          <w:b/>
        </w:rPr>
        <w:t xml:space="preserve"> and</w:t>
      </w:r>
      <w:r w:rsidR="00725E14" w:rsidRPr="00D37CC9">
        <w:rPr>
          <w:b/>
        </w:rPr>
        <w:t xml:space="preserve"> AASB 127</w:t>
      </w:r>
      <w:r w:rsidRPr="00D37CC9">
        <w:rPr>
          <w:b/>
        </w:rPr>
        <w:t xml:space="preserve"> </w:t>
      </w:r>
      <w:r w:rsidRPr="00D37CC9">
        <w:rPr>
          <w:b/>
          <w:i/>
        </w:rPr>
        <w:t>Separate Financial Statements</w:t>
      </w:r>
      <w:r w:rsidRPr="00D37CC9">
        <w:rPr>
          <w:b/>
        </w:rPr>
        <w:t xml:space="preserve"> respectively, the disclosures required by this Standard need be presented only on the basis of the consolidated information. An entity that chooses to disclose earnings per share based on its separate financial statements shall present such earnings per share information only in its statement of comprehensive income. An entity shall not present such earnings per share information in the consolidated financial statements.</w:t>
      </w:r>
    </w:p>
    <w:p w:rsidR="0065318E" w:rsidRPr="00D37CC9" w:rsidRDefault="0065318E" w:rsidP="00D37CC9">
      <w:pPr>
        <w:pStyle w:val="RDRM1"/>
        <w:rPr>
          <w:b/>
        </w:rPr>
      </w:pPr>
      <w:r w:rsidRPr="00D37CC9">
        <w:rPr>
          <w:b/>
        </w:rPr>
        <w:t>4A</w:t>
      </w:r>
      <w:r w:rsidRPr="00D37CC9">
        <w:rPr>
          <w:b/>
        </w:rPr>
        <w:tab/>
      </w:r>
      <w:proofErr w:type="gramStart"/>
      <w:r w:rsidRPr="00D37CC9">
        <w:rPr>
          <w:b/>
        </w:rPr>
        <w:t>If</w:t>
      </w:r>
      <w:proofErr w:type="gramEnd"/>
      <w:r w:rsidRPr="00D37CC9">
        <w:rPr>
          <w:b/>
        </w:rPr>
        <w:t xml:space="preserve"> an entity presents items of profit or loss in a separate statement as described in paragraph 10A of</w:t>
      </w:r>
      <w:r w:rsidR="00725E14" w:rsidRPr="00D37CC9">
        <w:rPr>
          <w:b/>
        </w:rPr>
        <w:t xml:space="preserve"> AASB 101</w:t>
      </w:r>
      <w:r w:rsidRPr="00D37CC9">
        <w:rPr>
          <w:b/>
        </w:rPr>
        <w:t xml:space="preserve"> </w:t>
      </w:r>
      <w:r w:rsidRPr="00D37CC9">
        <w:rPr>
          <w:b/>
          <w:i/>
        </w:rPr>
        <w:t>Presentation of Financial Statements</w:t>
      </w:r>
      <w:r w:rsidRPr="00D37CC9">
        <w:rPr>
          <w:b/>
        </w:rPr>
        <w:t>, it presents earnings per share only in that separate statement.</w:t>
      </w:r>
    </w:p>
    <w:p w:rsidR="0065318E" w:rsidRDefault="0065318E">
      <w:pPr>
        <w:pStyle w:val="IASBSectionTitle1NonInd"/>
      </w:pPr>
      <w:r>
        <w:t>Definitions</w:t>
      </w:r>
    </w:p>
    <w:p w:rsidR="0065318E" w:rsidRPr="00D37CC9" w:rsidRDefault="0065318E" w:rsidP="00D37CC9">
      <w:pPr>
        <w:pStyle w:val="RDRM1"/>
        <w:rPr>
          <w:b/>
        </w:rPr>
      </w:pPr>
      <w:r w:rsidRPr="00D37CC9">
        <w:rPr>
          <w:b/>
        </w:rPr>
        <w:t>5</w:t>
      </w:r>
      <w:r w:rsidRPr="00D37CC9">
        <w:rPr>
          <w:b/>
        </w:rPr>
        <w:tab/>
        <w:t xml:space="preserve">The following terms are used in this Standard with the meanings specified: </w:t>
      </w:r>
    </w:p>
    <w:p w:rsidR="0065318E" w:rsidRPr="00D37CC9" w:rsidRDefault="00D37CC9" w:rsidP="00D37CC9">
      <w:pPr>
        <w:pStyle w:val="RDRM2"/>
        <w:rPr>
          <w:b/>
        </w:rPr>
      </w:pPr>
      <w:r>
        <w:rPr>
          <w:b/>
          <w:i/>
        </w:rPr>
        <w:tab/>
      </w:r>
      <w:proofErr w:type="spellStart"/>
      <w:r w:rsidR="0065318E" w:rsidRPr="00D37CC9">
        <w:rPr>
          <w:b/>
          <w:i/>
        </w:rPr>
        <w:t>Antidilution</w:t>
      </w:r>
      <w:proofErr w:type="spellEnd"/>
      <w:r w:rsidR="0065318E" w:rsidRPr="00D37CC9">
        <w:rPr>
          <w:b/>
        </w:rPr>
        <w:t xml:space="preserve"> is an increase in earnings per share or a reduction in loss per share resulting from the assumption that convertible instruments are converted, that options or warrants are exercised, or that ordinary shares are issued upon the satisfaction of specified conditions.</w:t>
      </w:r>
    </w:p>
    <w:p w:rsidR="0065318E" w:rsidRPr="00D37CC9" w:rsidRDefault="00D37CC9" w:rsidP="00D37CC9">
      <w:pPr>
        <w:pStyle w:val="RDRM2"/>
        <w:rPr>
          <w:b/>
        </w:rPr>
      </w:pPr>
      <w:r>
        <w:rPr>
          <w:b/>
        </w:rPr>
        <w:tab/>
      </w:r>
      <w:r w:rsidR="0065318E" w:rsidRPr="00D37CC9">
        <w:rPr>
          <w:b/>
        </w:rPr>
        <w:t xml:space="preserve">A </w:t>
      </w:r>
      <w:r w:rsidR="0065318E" w:rsidRPr="00D37CC9">
        <w:rPr>
          <w:b/>
          <w:i/>
        </w:rPr>
        <w:t>contingent share agreement</w:t>
      </w:r>
      <w:r w:rsidR="0065318E" w:rsidRPr="00D37CC9">
        <w:rPr>
          <w:b/>
        </w:rPr>
        <w:t xml:space="preserve"> is an agreement to issue shares that is dependent on the satisfaction of specified conditions.</w:t>
      </w:r>
    </w:p>
    <w:p w:rsidR="0065318E" w:rsidRPr="00D37CC9" w:rsidRDefault="00D37CC9" w:rsidP="00D37CC9">
      <w:pPr>
        <w:pStyle w:val="RDRM2"/>
        <w:rPr>
          <w:b/>
        </w:rPr>
      </w:pPr>
      <w:r>
        <w:rPr>
          <w:b/>
          <w:i/>
        </w:rPr>
        <w:tab/>
      </w:r>
      <w:r w:rsidR="0065318E" w:rsidRPr="00D37CC9">
        <w:rPr>
          <w:b/>
          <w:i/>
        </w:rPr>
        <w:t>Contingently issuable ordinary shares</w:t>
      </w:r>
      <w:r w:rsidR="0065318E" w:rsidRPr="00D37CC9">
        <w:rPr>
          <w:b/>
        </w:rPr>
        <w:t xml:space="preserve"> are ordinary shares issuable for little or no cash or other consideration upon the satisfaction of specified conditions in a contingent share agreement.</w:t>
      </w:r>
    </w:p>
    <w:p w:rsidR="0065318E" w:rsidRPr="00D37CC9" w:rsidRDefault="00D37CC9" w:rsidP="00D37CC9">
      <w:pPr>
        <w:pStyle w:val="RDRM2"/>
        <w:rPr>
          <w:b/>
        </w:rPr>
      </w:pPr>
      <w:r>
        <w:rPr>
          <w:b/>
          <w:i/>
        </w:rPr>
        <w:tab/>
      </w:r>
      <w:r w:rsidR="0065318E" w:rsidRPr="00D37CC9">
        <w:rPr>
          <w:b/>
          <w:i/>
        </w:rPr>
        <w:t>Dilution</w:t>
      </w:r>
      <w:r w:rsidR="0065318E" w:rsidRPr="00D37CC9">
        <w:rPr>
          <w:b/>
        </w:rPr>
        <w:t xml:space="preserve"> is a reduction in earnings per share or an increase in loss per share resulting from the assumption that convertible instruments are converted, that options or warrants are exercised, or that ordinary shares are issued upon the satisfaction of specified conditions.</w:t>
      </w:r>
    </w:p>
    <w:p w:rsidR="0065318E" w:rsidRPr="00D37CC9" w:rsidRDefault="00D37CC9" w:rsidP="00D37CC9">
      <w:pPr>
        <w:pStyle w:val="RDRM2"/>
        <w:rPr>
          <w:b/>
        </w:rPr>
      </w:pPr>
      <w:r>
        <w:rPr>
          <w:b/>
          <w:i/>
        </w:rPr>
        <w:tab/>
      </w:r>
      <w:r w:rsidR="0065318E" w:rsidRPr="00D37CC9">
        <w:rPr>
          <w:b/>
          <w:i/>
        </w:rPr>
        <w:t>Options, warrants and their equivalents</w:t>
      </w:r>
      <w:r w:rsidR="0065318E" w:rsidRPr="00D37CC9">
        <w:rPr>
          <w:b/>
        </w:rPr>
        <w:t xml:space="preserve"> are financial instruments that give the holder the right to purchase ordinary shares.</w:t>
      </w:r>
    </w:p>
    <w:p w:rsidR="0065318E" w:rsidRPr="00D37CC9" w:rsidRDefault="00D37CC9" w:rsidP="00D37CC9">
      <w:pPr>
        <w:pStyle w:val="RDRM2"/>
        <w:rPr>
          <w:b/>
        </w:rPr>
      </w:pPr>
      <w:r>
        <w:rPr>
          <w:b/>
        </w:rPr>
        <w:tab/>
      </w:r>
      <w:r w:rsidR="0065318E" w:rsidRPr="00D37CC9">
        <w:rPr>
          <w:b/>
        </w:rPr>
        <w:t xml:space="preserve">An </w:t>
      </w:r>
      <w:r w:rsidR="0065318E" w:rsidRPr="00D37CC9">
        <w:rPr>
          <w:b/>
          <w:i/>
        </w:rPr>
        <w:t>ordinary share</w:t>
      </w:r>
      <w:r w:rsidR="0065318E" w:rsidRPr="00D37CC9">
        <w:rPr>
          <w:b/>
        </w:rPr>
        <w:t xml:space="preserve"> is an equity instrument that is subordinate to all other classes of equity instruments.</w:t>
      </w:r>
    </w:p>
    <w:p w:rsidR="0065318E" w:rsidRPr="00D37CC9" w:rsidRDefault="00D37CC9" w:rsidP="00D37CC9">
      <w:pPr>
        <w:pStyle w:val="RDRM2"/>
        <w:rPr>
          <w:b/>
        </w:rPr>
      </w:pPr>
      <w:r>
        <w:rPr>
          <w:b/>
        </w:rPr>
        <w:tab/>
      </w:r>
      <w:r w:rsidR="0065318E" w:rsidRPr="00D37CC9">
        <w:rPr>
          <w:b/>
        </w:rPr>
        <w:t xml:space="preserve">A </w:t>
      </w:r>
      <w:r w:rsidR="0065318E" w:rsidRPr="00D37CC9">
        <w:rPr>
          <w:b/>
          <w:i/>
        </w:rPr>
        <w:t>potential ordinary share</w:t>
      </w:r>
      <w:r w:rsidR="0065318E" w:rsidRPr="00D37CC9">
        <w:rPr>
          <w:b/>
        </w:rPr>
        <w:t xml:space="preserve"> is a financial instrument or other contract that may entitle its holder to ordinary shares.</w:t>
      </w:r>
    </w:p>
    <w:p w:rsidR="0065318E" w:rsidRPr="00D37CC9" w:rsidRDefault="00D37CC9" w:rsidP="00D37CC9">
      <w:pPr>
        <w:pStyle w:val="RDRM2"/>
        <w:rPr>
          <w:b/>
        </w:rPr>
      </w:pPr>
      <w:r>
        <w:rPr>
          <w:b/>
          <w:i/>
        </w:rPr>
        <w:tab/>
      </w:r>
      <w:r w:rsidR="0065318E" w:rsidRPr="00D37CC9">
        <w:rPr>
          <w:b/>
          <w:i/>
        </w:rPr>
        <w:t>Put options</w:t>
      </w:r>
      <w:r w:rsidR="0065318E" w:rsidRPr="00D37CC9">
        <w:rPr>
          <w:b/>
        </w:rPr>
        <w:t xml:space="preserve"> on ordinary shares are contracts that give the holder the right to sell ordinary shares at a specified price for a given period.</w:t>
      </w:r>
    </w:p>
    <w:p w:rsidR="0065318E" w:rsidRPr="00D37CC9" w:rsidRDefault="0065318E" w:rsidP="00D37CC9">
      <w:pPr>
        <w:pStyle w:val="RDRM1"/>
      </w:pPr>
      <w:r w:rsidRPr="00D37CC9">
        <w:t>6</w:t>
      </w:r>
      <w:r w:rsidRPr="00D37CC9">
        <w:tab/>
        <w:t>Ordinary shares participate in profit for the period only after other types of shares such as preference shares have participated. An entity may have more than one class of ordinary shares. Ordinary shares of the same class have the same rights to receive dividends.</w:t>
      </w:r>
    </w:p>
    <w:p w:rsidR="0065318E" w:rsidRPr="00D37CC9" w:rsidRDefault="0065318E" w:rsidP="00D37CC9">
      <w:pPr>
        <w:pStyle w:val="RDRM1"/>
      </w:pPr>
      <w:r w:rsidRPr="00D37CC9">
        <w:t>7</w:t>
      </w:r>
      <w:r w:rsidRPr="00D37CC9">
        <w:tab/>
        <w:t xml:space="preserve">Examples of potential ordinary shares are: </w:t>
      </w:r>
    </w:p>
    <w:p w:rsidR="0065318E" w:rsidRPr="00D37CC9" w:rsidRDefault="00D37CC9" w:rsidP="00D37CC9">
      <w:pPr>
        <w:pStyle w:val="RDRM2"/>
      </w:pPr>
      <w:r>
        <w:tab/>
      </w:r>
      <w:r w:rsidR="0065318E" w:rsidRPr="00D37CC9">
        <w:t>(a)</w:t>
      </w:r>
      <w:r w:rsidR="0065318E" w:rsidRPr="00D37CC9">
        <w:tab/>
      </w:r>
      <w:proofErr w:type="gramStart"/>
      <w:r w:rsidR="0065318E" w:rsidRPr="00D37CC9">
        <w:t>financial</w:t>
      </w:r>
      <w:proofErr w:type="gramEnd"/>
      <w:r w:rsidR="0065318E" w:rsidRPr="00D37CC9">
        <w:t xml:space="preserve"> liabilities or equity instruments, including preference shares, that are convertible into ordinary shares;</w:t>
      </w:r>
    </w:p>
    <w:p w:rsidR="0065318E" w:rsidRPr="00D37CC9" w:rsidRDefault="00D37CC9" w:rsidP="00D37CC9">
      <w:pPr>
        <w:pStyle w:val="RDRM2"/>
      </w:pPr>
      <w:r>
        <w:tab/>
      </w:r>
      <w:r w:rsidR="0065318E" w:rsidRPr="00D37CC9">
        <w:t>(b)</w:t>
      </w:r>
      <w:r w:rsidR="0065318E" w:rsidRPr="00D37CC9">
        <w:tab/>
      </w:r>
      <w:proofErr w:type="gramStart"/>
      <w:r w:rsidR="0065318E" w:rsidRPr="00D37CC9">
        <w:t>options</w:t>
      </w:r>
      <w:proofErr w:type="gramEnd"/>
      <w:r w:rsidR="0065318E" w:rsidRPr="00D37CC9">
        <w:t xml:space="preserve"> and warrants;</w:t>
      </w:r>
    </w:p>
    <w:p w:rsidR="0065318E" w:rsidRPr="00D37CC9" w:rsidRDefault="00D37CC9" w:rsidP="00D37CC9">
      <w:pPr>
        <w:pStyle w:val="RDRM2"/>
      </w:pPr>
      <w:r>
        <w:tab/>
      </w:r>
      <w:r w:rsidR="0065318E" w:rsidRPr="00D37CC9">
        <w:t>(c)</w:t>
      </w:r>
      <w:r w:rsidR="0065318E" w:rsidRPr="00D37CC9">
        <w:tab/>
      </w:r>
      <w:proofErr w:type="gramStart"/>
      <w:r w:rsidR="0065318E" w:rsidRPr="00D37CC9">
        <w:t>shares</w:t>
      </w:r>
      <w:proofErr w:type="gramEnd"/>
      <w:r w:rsidR="0065318E" w:rsidRPr="00D37CC9">
        <w:t xml:space="preserve"> that would be issued upon the satisfaction of conditions resulting from contractual arrangements, such as the purchase of a business or other assets.</w:t>
      </w:r>
    </w:p>
    <w:p w:rsidR="0065318E" w:rsidRPr="00D37CC9" w:rsidRDefault="0065318E" w:rsidP="00D37CC9">
      <w:pPr>
        <w:pStyle w:val="RDRM1"/>
      </w:pPr>
      <w:r w:rsidRPr="00D37CC9">
        <w:t>8</w:t>
      </w:r>
      <w:r w:rsidRPr="00D37CC9">
        <w:tab/>
        <w:t>Terms defined in</w:t>
      </w:r>
      <w:r w:rsidR="00725E14" w:rsidRPr="00D37CC9">
        <w:t xml:space="preserve"> AASB 132</w:t>
      </w:r>
      <w:r w:rsidRPr="00D37CC9">
        <w:t xml:space="preserve"> </w:t>
      </w:r>
      <w:r w:rsidRPr="00D37CC9">
        <w:rPr>
          <w:i/>
        </w:rPr>
        <w:t>Financial Instruments: Presentation</w:t>
      </w:r>
      <w:r w:rsidRPr="00D37CC9">
        <w:t xml:space="preserve"> </w:t>
      </w:r>
      <w:proofErr w:type="gramStart"/>
      <w:r w:rsidRPr="00D37CC9">
        <w:t>are</w:t>
      </w:r>
      <w:proofErr w:type="gramEnd"/>
      <w:r w:rsidRPr="00D37CC9">
        <w:t xml:space="preserve"> used in this Standard with the meanings specified in paragraph 11 of</w:t>
      </w:r>
      <w:r w:rsidR="00725E14" w:rsidRPr="00D37CC9">
        <w:t xml:space="preserve"> AASB 132</w:t>
      </w:r>
      <w:r w:rsidRPr="00D37CC9">
        <w:t>, unless otherwise noted.</w:t>
      </w:r>
      <w:r w:rsidR="00725E14" w:rsidRPr="00D37CC9">
        <w:t xml:space="preserve"> AASB 132</w:t>
      </w:r>
      <w:r w:rsidRPr="00D37CC9">
        <w:t xml:space="preserve"> defines financial instrument, financial asset, financial liability and equity instrument, and provides guidance on applying those definitions.</w:t>
      </w:r>
      <w:r w:rsidR="00725E14" w:rsidRPr="00D37CC9">
        <w:t xml:space="preserve"> AASB 13</w:t>
      </w:r>
      <w:r w:rsidRPr="00D37CC9">
        <w:t xml:space="preserve"> </w:t>
      </w:r>
      <w:r w:rsidRPr="00D37CC9">
        <w:rPr>
          <w:i/>
        </w:rPr>
        <w:t>Fair Value Measurement</w:t>
      </w:r>
      <w:r w:rsidRPr="00D37CC9">
        <w:t xml:space="preserve"> defines fair value and sets out requirements for applying that definition. </w:t>
      </w:r>
    </w:p>
    <w:p w:rsidR="0065318E" w:rsidRDefault="0065318E">
      <w:pPr>
        <w:pStyle w:val="IASBSectionTitle1NonInd"/>
      </w:pPr>
      <w:r>
        <w:t>Measurement</w:t>
      </w:r>
    </w:p>
    <w:p w:rsidR="0065318E" w:rsidRDefault="0065318E">
      <w:pPr>
        <w:pStyle w:val="IASBSectionTitle2Ind"/>
      </w:pPr>
      <w:r>
        <w:t>Basic earnings per share</w:t>
      </w:r>
    </w:p>
    <w:p w:rsidR="0065318E" w:rsidRPr="00D37CC9" w:rsidRDefault="0065318E" w:rsidP="00D37CC9">
      <w:pPr>
        <w:pStyle w:val="RDRM1"/>
        <w:rPr>
          <w:b/>
        </w:rPr>
      </w:pPr>
      <w:r w:rsidRPr="00D37CC9">
        <w:rPr>
          <w:b/>
        </w:rPr>
        <w:t>9</w:t>
      </w:r>
      <w:r w:rsidRPr="00D37CC9">
        <w:rPr>
          <w:b/>
        </w:rPr>
        <w:tab/>
        <w:t>An entity shall calculate basic earnings per share amounts for profit or loss attributable to ordinary equity holders of the parent entity and, if presented, profit or loss from continuing operations attributable to those equity holders.</w:t>
      </w:r>
    </w:p>
    <w:p w:rsidR="0065318E" w:rsidRPr="00D37CC9" w:rsidRDefault="0065318E" w:rsidP="00D37CC9">
      <w:pPr>
        <w:pStyle w:val="RDRM1"/>
        <w:rPr>
          <w:b/>
        </w:rPr>
      </w:pPr>
      <w:r w:rsidRPr="00D37CC9">
        <w:rPr>
          <w:b/>
        </w:rPr>
        <w:t>10</w:t>
      </w:r>
      <w:r w:rsidRPr="00D37CC9">
        <w:rPr>
          <w:b/>
        </w:rPr>
        <w:tab/>
        <w:t>Basic earnings per share shall be calculated by dividing profit or loss attributable to ordinary equity holders of the parent entity (the numerator) by the weighted average number of ordinary shares outstanding (the denominator) during the period.</w:t>
      </w:r>
    </w:p>
    <w:p w:rsidR="0065318E" w:rsidRPr="00D37CC9" w:rsidRDefault="0065318E" w:rsidP="00D37CC9">
      <w:pPr>
        <w:pStyle w:val="RDRM1"/>
      </w:pPr>
      <w:r w:rsidRPr="00D37CC9">
        <w:t>11</w:t>
      </w:r>
      <w:r w:rsidRPr="00D37CC9">
        <w:tab/>
        <w:t>The objective of basic earnings per share information is to provide a measure of the interests of each ordinary share of a parent entity in the performance of the entity over the reporting period.</w:t>
      </w:r>
    </w:p>
    <w:p w:rsidR="0065318E" w:rsidRDefault="0065318E">
      <w:pPr>
        <w:pStyle w:val="IASBSectionTitle3Ind"/>
      </w:pPr>
      <w:r>
        <w:t>Earnings</w:t>
      </w:r>
    </w:p>
    <w:p w:rsidR="0065318E" w:rsidRPr="00D37CC9" w:rsidRDefault="0065318E" w:rsidP="00D37CC9">
      <w:pPr>
        <w:pStyle w:val="RDRM1"/>
        <w:rPr>
          <w:b/>
        </w:rPr>
      </w:pPr>
      <w:r w:rsidRPr="00D37CC9">
        <w:rPr>
          <w:b/>
        </w:rPr>
        <w:t>12</w:t>
      </w:r>
      <w:r w:rsidRPr="00D37CC9">
        <w:rPr>
          <w:b/>
        </w:rPr>
        <w:tab/>
        <w:t xml:space="preserve">For the purpose of calculating basic earnings per share, the amounts attributable to ordinary equity holders of the parent entity in respect of: </w:t>
      </w:r>
    </w:p>
    <w:p w:rsidR="0065318E" w:rsidRPr="00D37CC9" w:rsidRDefault="00D37CC9" w:rsidP="00D37CC9">
      <w:pPr>
        <w:pStyle w:val="RDRM2"/>
        <w:rPr>
          <w:b/>
        </w:rPr>
      </w:pPr>
      <w:r>
        <w:rPr>
          <w:b/>
        </w:rPr>
        <w:tab/>
      </w:r>
      <w:r w:rsidR="0065318E" w:rsidRPr="00D37CC9">
        <w:rPr>
          <w:b/>
        </w:rPr>
        <w:t>(a)</w:t>
      </w:r>
      <w:r w:rsidR="0065318E" w:rsidRPr="00D37CC9">
        <w:rPr>
          <w:b/>
        </w:rPr>
        <w:tab/>
      </w:r>
      <w:proofErr w:type="gramStart"/>
      <w:r w:rsidR="0065318E" w:rsidRPr="00D37CC9">
        <w:rPr>
          <w:b/>
        </w:rPr>
        <w:t>profit</w:t>
      </w:r>
      <w:proofErr w:type="gramEnd"/>
      <w:r w:rsidR="0065318E" w:rsidRPr="00D37CC9">
        <w:rPr>
          <w:b/>
        </w:rPr>
        <w:t xml:space="preserve"> or loss from continuing operations attributable to the parent entity; and</w:t>
      </w:r>
    </w:p>
    <w:p w:rsidR="0065318E" w:rsidRPr="00D37CC9" w:rsidRDefault="00D37CC9" w:rsidP="00D37CC9">
      <w:pPr>
        <w:pStyle w:val="RDRM2"/>
        <w:rPr>
          <w:b/>
        </w:rPr>
      </w:pPr>
      <w:r>
        <w:rPr>
          <w:b/>
        </w:rPr>
        <w:tab/>
      </w:r>
      <w:r w:rsidR="0065318E" w:rsidRPr="00D37CC9">
        <w:rPr>
          <w:b/>
        </w:rPr>
        <w:t>(b)</w:t>
      </w:r>
      <w:r w:rsidR="0065318E" w:rsidRPr="00D37CC9">
        <w:rPr>
          <w:b/>
        </w:rPr>
        <w:tab/>
      </w:r>
      <w:proofErr w:type="gramStart"/>
      <w:r w:rsidR="0065318E" w:rsidRPr="00D37CC9">
        <w:rPr>
          <w:b/>
        </w:rPr>
        <w:t>profit</w:t>
      </w:r>
      <w:proofErr w:type="gramEnd"/>
      <w:r w:rsidR="0065318E" w:rsidRPr="00D37CC9">
        <w:rPr>
          <w:b/>
        </w:rPr>
        <w:t xml:space="preserve"> or loss attributable to the parent entity</w:t>
      </w:r>
    </w:p>
    <w:p w:rsidR="0065318E" w:rsidRPr="00D37CC9" w:rsidRDefault="00D37CC9" w:rsidP="00D37CC9">
      <w:pPr>
        <w:pStyle w:val="RDRM2"/>
        <w:ind w:left="782" w:hanging="782"/>
        <w:rPr>
          <w:b/>
        </w:rPr>
      </w:pPr>
      <w:r>
        <w:rPr>
          <w:b/>
        </w:rPr>
        <w:tab/>
      </w:r>
      <w:proofErr w:type="gramStart"/>
      <w:r w:rsidR="0065318E" w:rsidRPr="00D37CC9">
        <w:rPr>
          <w:b/>
        </w:rPr>
        <w:t>shall</w:t>
      </w:r>
      <w:proofErr w:type="gramEnd"/>
      <w:r w:rsidR="0065318E" w:rsidRPr="00D37CC9">
        <w:rPr>
          <w:b/>
        </w:rPr>
        <w:t xml:space="preserve"> be the amounts in (a) and (b) adjusted for the after-tax amounts of preference dividends, differences arising on the settlement of preference shares, and other similar effects of preference shares classified as equity.</w:t>
      </w:r>
    </w:p>
    <w:p w:rsidR="0065318E" w:rsidRPr="00D37CC9" w:rsidRDefault="0065318E" w:rsidP="00D37CC9">
      <w:pPr>
        <w:pStyle w:val="RDRM1"/>
      </w:pPr>
      <w:r w:rsidRPr="00D37CC9">
        <w:t>13</w:t>
      </w:r>
      <w:r w:rsidRPr="00D37CC9">
        <w:tab/>
        <w:t>All items of income and expense attributable to ordinary equity holders of the parent entity that are recognised in a period, including tax expense and dividends on preference shares classified as liabilities are included in the determination of profit or loss for the period attributable to ordinary equity holders of the parent entity (see</w:t>
      </w:r>
      <w:r w:rsidR="00725E14" w:rsidRPr="00D37CC9">
        <w:t xml:space="preserve"> AASB 101</w:t>
      </w:r>
      <w:r w:rsidRPr="00D37CC9">
        <w:t>).</w:t>
      </w:r>
    </w:p>
    <w:p w:rsidR="0065318E" w:rsidRPr="00D37CC9" w:rsidRDefault="0065318E" w:rsidP="00D37CC9">
      <w:pPr>
        <w:pStyle w:val="RDRM1"/>
      </w:pPr>
      <w:r w:rsidRPr="00D37CC9">
        <w:t>14</w:t>
      </w:r>
      <w:r w:rsidRPr="00D37CC9">
        <w:tab/>
        <w:t xml:space="preserve">The after-tax amount of preference dividends that is deducted from profit or loss is: </w:t>
      </w:r>
    </w:p>
    <w:p w:rsidR="0065318E" w:rsidRPr="00D37CC9" w:rsidRDefault="00D37CC9" w:rsidP="00D37CC9">
      <w:pPr>
        <w:pStyle w:val="RDRM2"/>
      </w:pPr>
      <w:r>
        <w:tab/>
      </w:r>
      <w:r w:rsidR="0065318E" w:rsidRPr="00D37CC9">
        <w:t>(a)</w:t>
      </w:r>
      <w:r w:rsidR="0065318E" w:rsidRPr="00D37CC9">
        <w:tab/>
      </w:r>
      <w:proofErr w:type="gramStart"/>
      <w:r w:rsidR="0065318E" w:rsidRPr="00D37CC9">
        <w:t>the</w:t>
      </w:r>
      <w:proofErr w:type="gramEnd"/>
      <w:r w:rsidR="0065318E" w:rsidRPr="00D37CC9">
        <w:t xml:space="preserve"> after-tax amount of any preference dividends on non-cumulative preference shares declared in respect of the period; and</w:t>
      </w:r>
    </w:p>
    <w:p w:rsidR="0065318E" w:rsidRPr="00D37CC9" w:rsidRDefault="00D37CC9" w:rsidP="00D37CC9">
      <w:pPr>
        <w:pStyle w:val="RDRM2"/>
      </w:pPr>
      <w:r>
        <w:tab/>
      </w:r>
      <w:r w:rsidR="0065318E" w:rsidRPr="00D37CC9">
        <w:t>(b)</w:t>
      </w:r>
      <w:r w:rsidR="0065318E" w:rsidRPr="00D37CC9">
        <w:tab/>
      </w:r>
      <w:proofErr w:type="gramStart"/>
      <w:r w:rsidR="0065318E" w:rsidRPr="00D37CC9">
        <w:t>the</w:t>
      </w:r>
      <w:proofErr w:type="gramEnd"/>
      <w:r w:rsidR="0065318E" w:rsidRPr="00D37CC9">
        <w:t xml:space="preserve"> after-tax amount of the preference dividends for cumulative preference shares required for the period, whether or not the dividends have been declared. The amount of preference dividends for the period does not include the amount of any preference dividends for cumulative preference shares paid or declared during the current period in respect of previous periods.</w:t>
      </w:r>
    </w:p>
    <w:p w:rsidR="0065318E" w:rsidRPr="00D37CC9" w:rsidRDefault="0065318E" w:rsidP="00D37CC9">
      <w:pPr>
        <w:pStyle w:val="RDRM1"/>
      </w:pPr>
      <w:r w:rsidRPr="00D37CC9">
        <w:t>15</w:t>
      </w:r>
      <w:r w:rsidRPr="00D37CC9">
        <w:tab/>
        <w:t xml:space="preserve">Preference shares that provide for a low initial dividend to compensate an entity for selling the preference shares at a discount, or an above-market dividend in later periods to compensate investors for purchasing preference shares at a </w:t>
      </w:r>
      <w:proofErr w:type="gramStart"/>
      <w:r w:rsidRPr="00D37CC9">
        <w:t>premium,</w:t>
      </w:r>
      <w:proofErr w:type="gramEnd"/>
      <w:r w:rsidRPr="00D37CC9">
        <w:t xml:space="preserve"> are sometimes referred to as increasing rate preference shares. Any original issue discount or premium on increasing rate preference shares is amortised to retained earnings using the effective interest method and treated as a preference dividend for the purposes of calculating earnings per share.</w:t>
      </w:r>
    </w:p>
    <w:p w:rsidR="0065318E" w:rsidRPr="00D37CC9" w:rsidRDefault="0065318E" w:rsidP="00D37CC9">
      <w:pPr>
        <w:pStyle w:val="RDRM1"/>
      </w:pPr>
      <w:r w:rsidRPr="00D37CC9">
        <w:t>16</w:t>
      </w:r>
      <w:r w:rsidRPr="00D37CC9">
        <w:tab/>
        <w:t>Preference shares may be repurchased under an entity’s tender offer to the holders. The excess of the fair value of the consideration paid to the preference shareholders over the carrying amount of the preference shares represents a return to the holders of the preference shares and a charge to retained earnings for the entity. This amount is deducted in calculating profit or loss attributable to ordinary equity holders of the parent entity.</w:t>
      </w:r>
    </w:p>
    <w:p w:rsidR="0065318E" w:rsidRPr="00D37CC9" w:rsidRDefault="0065318E" w:rsidP="00D37CC9">
      <w:pPr>
        <w:pStyle w:val="RDRM1"/>
      </w:pPr>
      <w:r w:rsidRPr="00D37CC9">
        <w:t>17</w:t>
      </w:r>
      <w:r w:rsidRPr="00D37CC9">
        <w:tab/>
        <w:t>Early conversion of convertible preference shares may be induced by an entity through favourable changes to the original conversion terms or the payment of additional consideration. The excess of the fair value of the ordinary shares or other consideration paid over the fair value of the ordinary shares issuable under the original conversion terms is a return to the preference shareholders, and is deducted in calculating profit or loss attributable to ordinary equity holders of the parent entity.</w:t>
      </w:r>
    </w:p>
    <w:p w:rsidR="0065318E" w:rsidRPr="00D37CC9" w:rsidRDefault="0065318E" w:rsidP="00D37CC9">
      <w:pPr>
        <w:pStyle w:val="RDRM1"/>
      </w:pPr>
      <w:r w:rsidRPr="00D37CC9">
        <w:t>18</w:t>
      </w:r>
      <w:r w:rsidRPr="00D37CC9">
        <w:tab/>
        <w:t>Any excess of the carrying amount of preference shares over the fair value of the consideration paid to settle them is added in calculating profit or loss attributable to ordinary equity holders of the parent entity.</w:t>
      </w:r>
    </w:p>
    <w:p w:rsidR="0065318E" w:rsidRDefault="0065318E">
      <w:pPr>
        <w:pStyle w:val="IASBSectionTitle3Ind"/>
      </w:pPr>
      <w:r>
        <w:t>Shares</w:t>
      </w:r>
    </w:p>
    <w:p w:rsidR="0065318E" w:rsidRPr="00D37CC9" w:rsidRDefault="0065318E" w:rsidP="00D37CC9">
      <w:pPr>
        <w:pStyle w:val="RDRM1"/>
        <w:rPr>
          <w:b/>
        </w:rPr>
      </w:pPr>
      <w:r w:rsidRPr="00D37CC9">
        <w:rPr>
          <w:b/>
        </w:rPr>
        <w:t>19</w:t>
      </w:r>
      <w:r w:rsidRPr="00D37CC9">
        <w:rPr>
          <w:b/>
        </w:rPr>
        <w:tab/>
        <w:t>For the purpose of calculating basic earnings per share, the number of ordinary shares shall be the weighted average number of ordinary shares outstanding during the period.</w:t>
      </w:r>
    </w:p>
    <w:p w:rsidR="0065318E" w:rsidRPr="00D37CC9" w:rsidRDefault="0065318E" w:rsidP="00D37CC9">
      <w:pPr>
        <w:pStyle w:val="RDRM1"/>
      </w:pPr>
      <w:r w:rsidRPr="00D37CC9">
        <w:t>20</w:t>
      </w:r>
      <w:r w:rsidRPr="00D37CC9">
        <w:tab/>
        <w:t>Using the weighted average number of ordinary shares outstanding during the period reflects the possibility that the amount of shareholders’ capital varied during the period as a result of a larger or smaller number of shares being outstanding at any time. The weighted average number of ordinary shares outstanding during the period is the number of ordinary shares outstanding at the beginning of the period, adjusted by the number of ordinary shares bought back or issued during the period multiplied by a time-weighting factor. The time-weighting factor is the number of days that the shares are outstanding as a proportion of the total number of days in the period; a reasonable approximation of the weighted average is adequate in many circumstances.</w:t>
      </w:r>
    </w:p>
    <w:p w:rsidR="0065318E" w:rsidRPr="00D37CC9" w:rsidRDefault="0065318E" w:rsidP="00D37CC9">
      <w:pPr>
        <w:pStyle w:val="RDRM1"/>
      </w:pPr>
      <w:r w:rsidRPr="00D37CC9">
        <w:t>21</w:t>
      </w:r>
      <w:r w:rsidRPr="00D37CC9">
        <w:tab/>
        <w:t xml:space="preserve">Shares are usually included in the weighted average number of shares from the date consideration is receivable (which is generally the date of their issue), for example: </w:t>
      </w:r>
    </w:p>
    <w:p w:rsidR="0065318E" w:rsidRPr="00D37CC9" w:rsidRDefault="00D37CC9" w:rsidP="00D37CC9">
      <w:pPr>
        <w:pStyle w:val="RDRM2"/>
      </w:pPr>
      <w:r>
        <w:tab/>
      </w:r>
      <w:r w:rsidR="0065318E" w:rsidRPr="00D37CC9">
        <w:t>(a)</w:t>
      </w:r>
      <w:r w:rsidR="0065318E" w:rsidRPr="00D37CC9">
        <w:tab/>
      </w:r>
      <w:proofErr w:type="gramStart"/>
      <w:r w:rsidR="0065318E" w:rsidRPr="00D37CC9">
        <w:t>ordinary</w:t>
      </w:r>
      <w:proofErr w:type="gramEnd"/>
      <w:r w:rsidR="0065318E" w:rsidRPr="00D37CC9">
        <w:t xml:space="preserve"> shares issued in exchange for cash are included when cash is receivable;</w:t>
      </w:r>
    </w:p>
    <w:p w:rsidR="0065318E" w:rsidRPr="00D37CC9" w:rsidRDefault="00D37CC9" w:rsidP="00D37CC9">
      <w:pPr>
        <w:pStyle w:val="RDRM2"/>
      </w:pPr>
      <w:r>
        <w:tab/>
      </w:r>
      <w:r w:rsidR="0065318E" w:rsidRPr="00D37CC9">
        <w:t>(b)</w:t>
      </w:r>
      <w:r w:rsidR="0065318E" w:rsidRPr="00D37CC9">
        <w:tab/>
      </w:r>
      <w:proofErr w:type="gramStart"/>
      <w:r w:rsidR="0065318E" w:rsidRPr="00D37CC9">
        <w:t>ordinary</w:t>
      </w:r>
      <w:proofErr w:type="gramEnd"/>
      <w:r w:rsidR="0065318E" w:rsidRPr="00D37CC9">
        <w:t xml:space="preserve"> shares issued on the voluntary reinvestment of dividends on ordinary or preference shares are included when dividends are reinvested;</w:t>
      </w:r>
    </w:p>
    <w:p w:rsidR="0065318E" w:rsidRPr="00D37CC9" w:rsidRDefault="00D37CC9" w:rsidP="00D37CC9">
      <w:pPr>
        <w:pStyle w:val="RDRM2"/>
      </w:pPr>
      <w:r>
        <w:tab/>
      </w:r>
      <w:r w:rsidR="0065318E" w:rsidRPr="00D37CC9">
        <w:t>(c)</w:t>
      </w:r>
      <w:r w:rsidR="0065318E" w:rsidRPr="00D37CC9">
        <w:tab/>
      </w:r>
      <w:proofErr w:type="gramStart"/>
      <w:r w:rsidR="0065318E" w:rsidRPr="00D37CC9">
        <w:t>ordinary</w:t>
      </w:r>
      <w:proofErr w:type="gramEnd"/>
      <w:r w:rsidR="0065318E" w:rsidRPr="00D37CC9">
        <w:t xml:space="preserve"> shares issued as a result of the conversion of a debt instrument to ordinary shares are included from the date that interest ceases to accrue;</w:t>
      </w:r>
    </w:p>
    <w:p w:rsidR="0065318E" w:rsidRPr="00D37CC9" w:rsidRDefault="00D37CC9" w:rsidP="00D37CC9">
      <w:pPr>
        <w:pStyle w:val="RDRM2"/>
      </w:pPr>
      <w:r>
        <w:tab/>
      </w:r>
      <w:r w:rsidR="0065318E" w:rsidRPr="00D37CC9">
        <w:t>(d)</w:t>
      </w:r>
      <w:r w:rsidR="0065318E" w:rsidRPr="00D37CC9">
        <w:tab/>
      </w:r>
      <w:proofErr w:type="gramStart"/>
      <w:r w:rsidR="0065318E" w:rsidRPr="00D37CC9">
        <w:t>ordinary</w:t>
      </w:r>
      <w:proofErr w:type="gramEnd"/>
      <w:r w:rsidR="0065318E" w:rsidRPr="00D37CC9">
        <w:t xml:space="preserve"> shares issued in place of interest or principal on other financial instruments are included from the date that interest ceases to accrue;</w:t>
      </w:r>
    </w:p>
    <w:p w:rsidR="0065318E" w:rsidRPr="00D37CC9" w:rsidRDefault="00D37CC9" w:rsidP="00D37CC9">
      <w:pPr>
        <w:pStyle w:val="RDRM2"/>
      </w:pPr>
      <w:r>
        <w:tab/>
      </w:r>
      <w:r w:rsidR="0065318E" w:rsidRPr="00D37CC9">
        <w:t>(e)</w:t>
      </w:r>
      <w:r w:rsidR="0065318E" w:rsidRPr="00D37CC9">
        <w:tab/>
      </w:r>
      <w:proofErr w:type="gramStart"/>
      <w:r w:rsidR="0065318E" w:rsidRPr="00D37CC9">
        <w:t>ordinary</w:t>
      </w:r>
      <w:proofErr w:type="gramEnd"/>
      <w:r w:rsidR="0065318E" w:rsidRPr="00D37CC9">
        <w:t xml:space="preserve"> shares issued in exchange for the settlement of a liability of the entity are included from the settlement date;</w:t>
      </w:r>
    </w:p>
    <w:p w:rsidR="0065318E" w:rsidRPr="00D37CC9" w:rsidRDefault="00D37CC9" w:rsidP="00D37CC9">
      <w:pPr>
        <w:pStyle w:val="RDRM2"/>
      </w:pPr>
      <w:r>
        <w:tab/>
      </w:r>
      <w:r w:rsidR="0065318E" w:rsidRPr="00D37CC9">
        <w:t>(f)</w:t>
      </w:r>
      <w:r w:rsidR="0065318E" w:rsidRPr="00D37CC9">
        <w:tab/>
      </w:r>
      <w:proofErr w:type="gramStart"/>
      <w:r w:rsidR="0065318E" w:rsidRPr="00D37CC9">
        <w:t>ordinary</w:t>
      </w:r>
      <w:proofErr w:type="gramEnd"/>
      <w:r w:rsidR="0065318E" w:rsidRPr="00D37CC9">
        <w:t xml:space="preserve"> shares issued as consideration for the acquisition of an asset other than cash are included as of the date on which the acquisition is recognised; and</w:t>
      </w:r>
    </w:p>
    <w:p w:rsidR="0065318E" w:rsidRPr="00D37CC9" w:rsidRDefault="00D37CC9" w:rsidP="00D37CC9">
      <w:pPr>
        <w:pStyle w:val="RDRM2"/>
      </w:pPr>
      <w:r>
        <w:tab/>
      </w:r>
      <w:r w:rsidR="0065318E" w:rsidRPr="00D37CC9">
        <w:t>(g)</w:t>
      </w:r>
      <w:r w:rsidR="0065318E" w:rsidRPr="00D37CC9">
        <w:tab/>
      </w:r>
      <w:proofErr w:type="gramStart"/>
      <w:r w:rsidR="0065318E" w:rsidRPr="00D37CC9">
        <w:t>ordinary</w:t>
      </w:r>
      <w:proofErr w:type="gramEnd"/>
      <w:r w:rsidR="0065318E" w:rsidRPr="00D37CC9">
        <w:t xml:space="preserve"> shares issued for the rendering of services to the entity are included as the services are rendered.</w:t>
      </w:r>
    </w:p>
    <w:p w:rsidR="0065318E" w:rsidRPr="00D37CC9" w:rsidRDefault="00D37CC9" w:rsidP="00D37CC9">
      <w:pPr>
        <w:pStyle w:val="RDRM2"/>
        <w:ind w:left="782" w:hanging="782"/>
      </w:pPr>
      <w:r>
        <w:tab/>
      </w:r>
      <w:r w:rsidR="0065318E" w:rsidRPr="00D37CC9">
        <w:t>The timing of the inclusion of ordinary shares is determined by the terms and conditions attaching to their issue. Due consideration is given to the substance of any contract associated with the issue.</w:t>
      </w:r>
    </w:p>
    <w:p w:rsidR="0065318E" w:rsidRPr="00D37CC9" w:rsidRDefault="0065318E" w:rsidP="00D37CC9">
      <w:pPr>
        <w:pStyle w:val="RDRM1"/>
      </w:pPr>
      <w:r w:rsidRPr="00D37CC9">
        <w:t>22</w:t>
      </w:r>
      <w:r w:rsidRPr="00D37CC9">
        <w:tab/>
        <w:t xml:space="preserve">Ordinary shares issued as part of the consideration transferred in a business combination are included in the weighted average number of shares from the acquisition date. This is because the acquirer incorporates into its statement of comprehensive income the </w:t>
      </w:r>
      <w:proofErr w:type="spellStart"/>
      <w:r w:rsidRPr="00D37CC9">
        <w:t>acquiree’s</w:t>
      </w:r>
      <w:proofErr w:type="spellEnd"/>
      <w:r w:rsidRPr="00D37CC9">
        <w:t xml:space="preserve"> profits and losses from that date.</w:t>
      </w:r>
    </w:p>
    <w:p w:rsidR="0065318E" w:rsidRPr="00D37CC9" w:rsidRDefault="0065318E" w:rsidP="00D37CC9">
      <w:pPr>
        <w:pStyle w:val="RDRM1"/>
      </w:pPr>
      <w:r w:rsidRPr="00D37CC9">
        <w:t>23</w:t>
      </w:r>
      <w:r w:rsidRPr="00D37CC9">
        <w:tab/>
        <w:t>Ordinary shares that will be issued upon the conversion of a mandatorily convertible instrument are included in the calculation of basic earnings per share from the date the contract is entered into.</w:t>
      </w:r>
    </w:p>
    <w:p w:rsidR="0065318E" w:rsidRPr="00D37CC9" w:rsidRDefault="0065318E" w:rsidP="00D37CC9">
      <w:pPr>
        <w:pStyle w:val="RDRM1"/>
      </w:pPr>
      <w:r w:rsidRPr="00D37CC9">
        <w:t>24</w:t>
      </w:r>
      <w:r w:rsidRPr="00D37CC9">
        <w:tab/>
        <w:t>Contingently issuable shares are treated as outstanding and are included in the calculation of basic earnings per share only from the date when all necessary conditions are satisfied (</w:t>
      </w:r>
      <w:proofErr w:type="spellStart"/>
      <w:r w:rsidRPr="00D37CC9">
        <w:t>ie</w:t>
      </w:r>
      <w:proofErr w:type="spellEnd"/>
      <w:r w:rsidRPr="00D37CC9">
        <w:t xml:space="preserve"> the events have occurred). Shares that are issuable solely after the passage of time are not contingently issuable shares, because the passage of time is a certainty. Outstanding ordinary shares that are contingently returnable (</w:t>
      </w:r>
      <w:proofErr w:type="spellStart"/>
      <w:r w:rsidRPr="00D37CC9">
        <w:t>ie</w:t>
      </w:r>
      <w:proofErr w:type="spellEnd"/>
      <w:r w:rsidRPr="00D37CC9">
        <w:t xml:space="preserve"> subject to recall) are not treated as outstanding and are excluded from the calculation of basic earnings per share until the date the shares are no longer subject to recall.</w:t>
      </w:r>
    </w:p>
    <w:p w:rsidR="0065318E" w:rsidRDefault="0065318E">
      <w:pPr>
        <w:pStyle w:val="IASBNormalnpara"/>
      </w:pPr>
      <w:r>
        <w:t>25</w:t>
      </w:r>
      <w:r>
        <w:tab/>
        <w:t>[Deleted]</w:t>
      </w:r>
    </w:p>
    <w:p w:rsidR="0065318E" w:rsidRPr="00D37CC9" w:rsidRDefault="0065318E" w:rsidP="00D37CC9">
      <w:pPr>
        <w:pStyle w:val="RDRM1"/>
        <w:rPr>
          <w:b/>
        </w:rPr>
      </w:pPr>
      <w:r w:rsidRPr="00D37CC9">
        <w:rPr>
          <w:b/>
        </w:rPr>
        <w:t>26</w:t>
      </w:r>
      <w:r w:rsidRPr="00D37CC9">
        <w:rPr>
          <w:b/>
        </w:rPr>
        <w:tab/>
        <w:t xml:space="preserve">The weighted average number of ordinary shares outstanding during the period and for all periods presented shall be adjusted for events, other than the conversion of potential ordinary </w:t>
      </w:r>
      <w:proofErr w:type="gramStart"/>
      <w:r w:rsidRPr="00D37CC9">
        <w:rPr>
          <w:b/>
        </w:rPr>
        <w:t>shares, that</w:t>
      </w:r>
      <w:proofErr w:type="gramEnd"/>
      <w:r w:rsidRPr="00D37CC9">
        <w:rPr>
          <w:b/>
        </w:rPr>
        <w:t xml:space="preserve"> have changed the number of ordinary shares outstanding without a corresponding change in resources.</w:t>
      </w:r>
    </w:p>
    <w:p w:rsidR="0065318E" w:rsidRPr="00D37CC9" w:rsidRDefault="0065318E" w:rsidP="00D37CC9">
      <w:pPr>
        <w:pStyle w:val="RDRM1"/>
      </w:pPr>
      <w:r w:rsidRPr="00D37CC9">
        <w:t>27</w:t>
      </w:r>
      <w:r w:rsidRPr="00D37CC9">
        <w:tab/>
        <w:t xml:space="preserve">Ordinary shares may be issued, or the number of ordinary shares outstanding may be reduced, without a corresponding change in resources. Examples include: </w:t>
      </w:r>
    </w:p>
    <w:p w:rsidR="0065318E" w:rsidRPr="00D37CC9" w:rsidRDefault="00D37CC9" w:rsidP="00D37CC9">
      <w:pPr>
        <w:pStyle w:val="RDRM2"/>
      </w:pPr>
      <w:r>
        <w:tab/>
      </w:r>
      <w:r w:rsidR="0065318E" w:rsidRPr="00D37CC9">
        <w:t>(a)</w:t>
      </w:r>
      <w:r w:rsidR="0065318E" w:rsidRPr="00D37CC9">
        <w:tab/>
      </w:r>
      <w:proofErr w:type="gramStart"/>
      <w:r w:rsidR="0065318E" w:rsidRPr="00D37CC9">
        <w:t>a</w:t>
      </w:r>
      <w:proofErr w:type="gramEnd"/>
      <w:r w:rsidR="0065318E" w:rsidRPr="00D37CC9">
        <w:t xml:space="preserve"> capitalisation or bonus issue (sometimes referred to as a stock dividend);</w:t>
      </w:r>
    </w:p>
    <w:p w:rsidR="0065318E" w:rsidRPr="00D37CC9" w:rsidRDefault="00D37CC9" w:rsidP="00D37CC9">
      <w:pPr>
        <w:pStyle w:val="RDRM2"/>
      </w:pPr>
      <w:r>
        <w:tab/>
      </w:r>
      <w:r w:rsidR="0065318E" w:rsidRPr="00D37CC9">
        <w:t>(b)</w:t>
      </w:r>
      <w:r w:rsidR="0065318E" w:rsidRPr="00D37CC9">
        <w:tab/>
      </w:r>
      <w:proofErr w:type="gramStart"/>
      <w:r w:rsidR="0065318E" w:rsidRPr="00D37CC9">
        <w:t>a</w:t>
      </w:r>
      <w:proofErr w:type="gramEnd"/>
      <w:r w:rsidR="0065318E" w:rsidRPr="00D37CC9">
        <w:t xml:space="preserve"> bonus element in any other issue, for example a bonus element in a rights issue to existing shareholders;</w:t>
      </w:r>
    </w:p>
    <w:p w:rsidR="0065318E" w:rsidRPr="00D37CC9" w:rsidRDefault="00D37CC9" w:rsidP="00D37CC9">
      <w:pPr>
        <w:pStyle w:val="RDRM2"/>
      </w:pPr>
      <w:r>
        <w:tab/>
      </w:r>
      <w:r w:rsidR="0065318E" w:rsidRPr="00D37CC9">
        <w:t>(c)</w:t>
      </w:r>
      <w:r w:rsidR="0065318E" w:rsidRPr="00D37CC9">
        <w:tab/>
      </w:r>
      <w:proofErr w:type="gramStart"/>
      <w:r w:rsidR="0065318E" w:rsidRPr="00D37CC9">
        <w:t>a</w:t>
      </w:r>
      <w:proofErr w:type="gramEnd"/>
      <w:r w:rsidR="0065318E" w:rsidRPr="00D37CC9">
        <w:t xml:space="preserve"> share split; and</w:t>
      </w:r>
    </w:p>
    <w:p w:rsidR="0065318E" w:rsidRPr="00D37CC9" w:rsidRDefault="00D37CC9" w:rsidP="00D37CC9">
      <w:pPr>
        <w:pStyle w:val="RDRM2"/>
      </w:pPr>
      <w:r>
        <w:tab/>
      </w:r>
      <w:r w:rsidR="0065318E" w:rsidRPr="00D37CC9">
        <w:t>(d)</w:t>
      </w:r>
      <w:r w:rsidR="0065318E" w:rsidRPr="00D37CC9">
        <w:tab/>
      </w:r>
      <w:proofErr w:type="gramStart"/>
      <w:r w:rsidR="0065318E" w:rsidRPr="00D37CC9">
        <w:t>a</w:t>
      </w:r>
      <w:proofErr w:type="gramEnd"/>
      <w:r w:rsidR="0065318E" w:rsidRPr="00D37CC9">
        <w:t xml:space="preserve"> reverse share split (consolidation of shares).</w:t>
      </w:r>
    </w:p>
    <w:p w:rsidR="0065318E" w:rsidRPr="00D37CC9" w:rsidRDefault="0065318E" w:rsidP="00D37CC9">
      <w:pPr>
        <w:pStyle w:val="RDRM1"/>
      </w:pPr>
      <w:r w:rsidRPr="00D37CC9">
        <w:t>28</w:t>
      </w:r>
      <w:r w:rsidRPr="00D37CC9">
        <w:tab/>
        <w:t>In a capitalisation or bonus issue or a share split, ordinary shares are issued to existing shareholders for no additional consideration. Therefore, the number of ordinary shares outstanding is increased without an increase in resources. The number of ordinary shares outstanding before the event is adjusted for the proportionate change in the number of ordinary shares outstanding as if the event had occurred at the beginning of the earliest period presented. For example, on a two-for-one bonus issue, the number of ordinary shares outstanding before the issue is multiplied by three to obtain the new total number of ordinary shares, or by two to obtain the number of additional ordinary shares.</w:t>
      </w:r>
    </w:p>
    <w:p w:rsidR="0065318E" w:rsidRPr="00D37CC9" w:rsidRDefault="0065318E" w:rsidP="00D37CC9">
      <w:pPr>
        <w:pStyle w:val="RDRM1"/>
      </w:pPr>
      <w:r w:rsidRPr="00D37CC9">
        <w:t>29</w:t>
      </w:r>
      <w:r w:rsidRPr="00D37CC9">
        <w:tab/>
        <w:t>A consolidation of ordinary shares generally reduces the number of ordinary shares outstanding without a corresponding reduction in resources. However, when the overall effect is a share repurchase at fair value, the reduction in the number of ordinary shares outstanding is the result of a corresponding reduction in resources. An example is a share consolidation combined with a special dividend. The weighted average number of ordinary shares outstanding for the period in which the combined transaction takes place is adjusted for the reduction in the number of ordinary shares from the date the special dividend is recognised.</w:t>
      </w:r>
    </w:p>
    <w:p w:rsidR="0065318E" w:rsidRDefault="0065318E">
      <w:pPr>
        <w:pStyle w:val="IASBSectionTitle2Ind"/>
      </w:pPr>
      <w:r>
        <w:t>Diluted earnings per share</w:t>
      </w:r>
    </w:p>
    <w:p w:rsidR="0065318E" w:rsidRPr="00D37CC9" w:rsidRDefault="0065318E" w:rsidP="00D37CC9">
      <w:pPr>
        <w:pStyle w:val="RDRM1"/>
        <w:rPr>
          <w:b/>
        </w:rPr>
      </w:pPr>
      <w:r w:rsidRPr="00D37CC9">
        <w:rPr>
          <w:b/>
        </w:rPr>
        <w:t>30</w:t>
      </w:r>
      <w:r w:rsidRPr="00D37CC9">
        <w:rPr>
          <w:b/>
        </w:rPr>
        <w:tab/>
        <w:t>An entity shall calculate diluted earnings per share amounts for profit or loss attributable to ordinary equity holders of the parent entity and, if presented, profit or loss from continuing operations attributable to those equity holders.</w:t>
      </w:r>
    </w:p>
    <w:p w:rsidR="0065318E" w:rsidRPr="00D37CC9" w:rsidRDefault="0065318E" w:rsidP="00D37CC9">
      <w:pPr>
        <w:pStyle w:val="RDRM1"/>
        <w:rPr>
          <w:b/>
        </w:rPr>
      </w:pPr>
      <w:r w:rsidRPr="00D37CC9">
        <w:rPr>
          <w:b/>
        </w:rPr>
        <w:t>31</w:t>
      </w:r>
      <w:r w:rsidRPr="00D37CC9">
        <w:rPr>
          <w:b/>
        </w:rPr>
        <w:tab/>
        <w:t>For the purpose of calculating diluted earnings per share, an entity shall adjust profit or loss attributable to ordinary equity holders of the parent entity, and the weighted average number of shares outstanding, for the effects of all dilutive potential ordinary shares.</w:t>
      </w:r>
    </w:p>
    <w:p w:rsidR="0065318E" w:rsidRPr="00D37CC9" w:rsidRDefault="0065318E" w:rsidP="00D37CC9">
      <w:pPr>
        <w:pStyle w:val="RDRM1"/>
      </w:pPr>
      <w:r w:rsidRPr="00D37CC9">
        <w:t>32</w:t>
      </w:r>
      <w:r w:rsidRPr="00D37CC9">
        <w:tab/>
        <w:t xml:space="preserve">The objective of diluted earnings per share is consistent with that of basic earnings per share—to provide a measure of the interest of each ordinary share in the performance of an entity—while giving effect to all dilutive potential ordinary shares outstanding during the period. As a result: </w:t>
      </w:r>
    </w:p>
    <w:p w:rsidR="0065318E" w:rsidRPr="00D37CC9" w:rsidRDefault="00D37CC9" w:rsidP="00D37CC9">
      <w:pPr>
        <w:pStyle w:val="RDRM2"/>
      </w:pPr>
      <w:r>
        <w:tab/>
      </w:r>
      <w:r w:rsidR="0065318E" w:rsidRPr="00D37CC9">
        <w:t>(a)</w:t>
      </w:r>
      <w:r w:rsidR="0065318E" w:rsidRPr="00D37CC9">
        <w:tab/>
        <w:t>profit or loss attributable to ordinary equity holders of the parent entity is increased by the after-tax amount of dividends and interest recognised in the period in respect of the dilutive potential ordinary shares and is adjusted for any other changes in income or expense that would result from the conversion of the dilutive potential ordinary shares; and</w:t>
      </w:r>
    </w:p>
    <w:p w:rsidR="0065318E" w:rsidRPr="00D37CC9" w:rsidRDefault="00D37CC9" w:rsidP="00D37CC9">
      <w:pPr>
        <w:pStyle w:val="RDRM2"/>
      </w:pPr>
      <w:r>
        <w:tab/>
      </w:r>
      <w:r w:rsidR="0065318E" w:rsidRPr="00D37CC9">
        <w:t>(b)</w:t>
      </w:r>
      <w:r w:rsidR="0065318E" w:rsidRPr="00D37CC9">
        <w:tab/>
      </w:r>
      <w:proofErr w:type="gramStart"/>
      <w:r w:rsidR="0065318E" w:rsidRPr="00D37CC9">
        <w:t>the</w:t>
      </w:r>
      <w:proofErr w:type="gramEnd"/>
      <w:r w:rsidR="0065318E" w:rsidRPr="00D37CC9">
        <w:t xml:space="preserve"> weighted average number of ordinary shares outstanding is increased by the weighted average number of additional ordinary shares that would have been outstanding assuming the conversion of all dilutive potential ordinary shares.</w:t>
      </w:r>
    </w:p>
    <w:p w:rsidR="0065318E" w:rsidRDefault="0065318E">
      <w:pPr>
        <w:pStyle w:val="IASBSectionTitle3Ind"/>
      </w:pPr>
      <w:r>
        <w:t>Earnings</w:t>
      </w:r>
    </w:p>
    <w:p w:rsidR="0065318E" w:rsidRPr="00D37CC9" w:rsidRDefault="0065318E" w:rsidP="00D37CC9">
      <w:pPr>
        <w:pStyle w:val="RDRM1"/>
        <w:rPr>
          <w:b/>
        </w:rPr>
      </w:pPr>
      <w:r w:rsidRPr="00D37CC9">
        <w:rPr>
          <w:b/>
        </w:rPr>
        <w:t>33</w:t>
      </w:r>
      <w:r w:rsidRPr="00D37CC9">
        <w:rPr>
          <w:b/>
        </w:rPr>
        <w:tab/>
        <w:t xml:space="preserve">For the purpose of calculating diluted earnings per share, an entity shall adjust profit or loss attributable to ordinary equity holders of the parent entity, as calculated in accordance with paragraph 12, by the after-tax effect of: </w:t>
      </w:r>
    </w:p>
    <w:p w:rsidR="0065318E" w:rsidRPr="00D37CC9" w:rsidRDefault="00D37CC9" w:rsidP="00D37CC9">
      <w:pPr>
        <w:pStyle w:val="RDRM2"/>
        <w:rPr>
          <w:b/>
        </w:rPr>
      </w:pPr>
      <w:r>
        <w:rPr>
          <w:b/>
        </w:rPr>
        <w:tab/>
      </w:r>
      <w:r w:rsidR="0065318E" w:rsidRPr="00D37CC9">
        <w:rPr>
          <w:b/>
        </w:rPr>
        <w:t>(a)</w:t>
      </w:r>
      <w:r w:rsidR="0065318E" w:rsidRPr="00D37CC9">
        <w:rPr>
          <w:b/>
        </w:rPr>
        <w:tab/>
        <w:t>any dividends or other items related to dilutive potential ordinary shares deducted in arriving at profit or loss attributable to ordinary equity holders of the parent entity as calculated in accordance with paragraph 12;</w:t>
      </w:r>
    </w:p>
    <w:p w:rsidR="0065318E" w:rsidRPr="00D37CC9" w:rsidRDefault="00D37CC9" w:rsidP="00D37CC9">
      <w:pPr>
        <w:pStyle w:val="RDRM2"/>
        <w:rPr>
          <w:b/>
        </w:rPr>
      </w:pPr>
      <w:r>
        <w:rPr>
          <w:b/>
        </w:rPr>
        <w:tab/>
      </w:r>
      <w:r w:rsidR="0065318E" w:rsidRPr="00D37CC9">
        <w:rPr>
          <w:b/>
        </w:rPr>
        <w:t>(b)</w:t>
      </w:r>
      <w:r w:rsidR="0065318E" w:rsidRPr="00D37CC9">
        <w:rPr>
          <w:b/>
        </w:rPr>
        <w:tab/>
      </w:r>
      <w:proofErr w:type="gramStart"/>
      <w:r w:rsidR="0065318E" w:rsidRPr="00D37CC9">
        <w:rPr>
          <w:b/>
        </w:rPr>
        <w:t>any</w:t>
      </w:r>
      <w:proofErr w:type="gramEnd"/>
      <w:r w:rsidR="0065318E" w:rsidRPr="00D37CC9">
        <w:rPr>
          <w:b/>
        </w:rPr>
        <w:t xml:space="preserve"> interest recognised in the period related to dilutive potential ordinary shares; and</w:t>
      </w:r>
    </w:p>
    <w:p w:rsidR="0065318E" w:rsidRPr="00D37CC9" w:rsidRDefault="00D37CC9" w:rsidP="00D37CC9">
      <w:pPr>
        <w:pStyle w:val="RDRM2"/>
        <w:rPr>
          <w:b/>
        </w:rPr>
      </w:pPr>
      <w:r>
        <w:rPr>
          <w:b/>
        </w:rPr>
        <w:tab/>
      </w:r>
      <w:r w:rsidR="0065318E" w:rsidRPr="00D37CC9">
        <w:rPr>
          <w:b/>
        </w:rPr>
        <w:t>(c)</w:t>
      </w:r>
      <w:r w:rsidR="0065318E" w:rsidRPr="00D37CC9">
        <w:rPr>
          <w:b/>
        </w:rPr>
        <w:tab/>
      </w:r>
      <w:proofErr w:type="gramStart"/>
      <w:r w:rsidR="0065318E" w:rsidRPr="00D37CC9">
        <w:rPr>
          <w:b/>
        </w:rPr>
        <w:t>any</w:t>
      </w:r>
      <w:proofErr w:type="gramEnd"/>
      <w:r w:rsidR="0065318E" w:rsidRPr="00D37CC9">
        <w:rPr>
          <w:b/>
        </w:rPr>
        <w:t xml:space="preserve"> other changes in income or expense that would result from the conversion of the dilutive potential ordinary shares.</w:t>
      </w:r>
    </w:p>
    <w:p w:rsidR="0065318E" w:rsidRPr="00D37CC9" w:rsidRDefault="0065318E" w:rsidP="00D37CC9">
      <w:pPr>
        <w:pStyle w:val="RDRM1"/>
      </w:pPr>
      <w:r w:rsidRPr="00D37CC9">
        <w:t>34</w:t>
      </w:r>
      <w:r w:rsidRPr="00D37CC9">
        <w:tab/>
        <w:t>After the potential ordinary shares are converted into ordinary shares, the items identified in paragraph 33(a)–(c) no longer arise. Instead, the new ordinary shares are entitled to participate in profit or loss attributable to ordinary equity holders of the parent entity. Therefore, profit or loss attributable to ordinary equity holders of the parent entity calculated in accordance with paragraph 12 is adjusted for the items identified in paragraph 33(a)–(c) and any related taxes. The expenses associated with potential ordinary shares include transaction costs and discounts accounted for in accordance with the effective interest method (see</w:t>
      </w:r>
      <w:r w:rsidR="00725E14" w:rsidRPr="00D37CC9">
        <w:t xml:space="preserve"> AASB 9</w:t>
      </w:r>
      <w:r w:rsidRPr="00D37CC9">
        <w:t>).</w:t>
      </w:r>
    </w:p>
    <w:p w:rsidR="0065318E" w:rsidRPr="00D37CC9" w:rsidRDefault="0065318E" w:rsidP="00D37CC9">
      <w:pPr>
        <w:pStyle w:val="RDRM1"/>
      </w:pPr>
      <w:r w:rsidRPr="00D37CC9">
        <w:t>35</w:t>
      </w:r>
      <w:r w:rsidRPr="00D37CC9">
        <w:tab/>
        <w:t>The conversion of potential ordinary shares may lead to consequential changes in income or expenses. For example, the reduction of interest expense related to potential ordinary shares and the resulting increase in profit or reduction in loss may lead to an increase in the expense related to a non-discretionary employee profit-sharing plan. For the purpose of calculating diluted earnings per share, profit or loss attributable to ordinary equity holders of the parent entity is adjusted for any such consequential changes in income or expense.</w:t>
      </w:r>
    </w:p>
    <w:p w:rsidR="0065318E" w:rsidRDefault="0065318E">
      <w:pPr>
        <w:pStyle w:val="IASBSectionTitle3Ind"/>
      </w:pPr>
      <w:r>
        <w:t>Shares</w:t>
      </w:r>
    </w:p>
    <w:p w:rsidR="0065318E" w:rsidRPr="00D37CC9" w:rsidRDefault="0065318E" w:rsidP="00D37CC9">
      <w:pPr>
        <w:pStyle w:val="RDRM1"/>
        <w:rPr>
          <w:b/>
        </w:rPr>
      </w:pPr>
      <w:r w:rsidRPr="00D37CC9">
        <w:rPr>
          <w:b/>
        </w:rPr>
        <w:t>36</w:t>
      </w:r>
      <w:r w:rsidRPr="00D37CC9">
        <w:rPr>
          <w:b/>
        </w:rPr>
        <w:tab/>
        <w:t>For the purpose of calculating diluted earnings per share, the number of ordinary shares shall be the weighted average number of ordinary shares calculated in accordance with paragraphs 19 and 26, plus the weighted average number of ordinary shares that would be issued on the conversion of all the dilutive potential ordinary shares into ordinary shares. Dilutive potential ordinary shares shall be deemed to have been converted into ordinary shares at the beginning of the period or, if later, the date of the issue of the potential ordinary shares.</w:t>
      </w:r>
    </w:p>
    <w:p w:rsidR="0065318E" w:rsidRPr="00D37CC9" w:rsidRDefault="0065318E" w:rsidP="00D37CC9">
      <w:pPr>
        <w:pStyle w:val="RDRM1"/>
      </w:pPr>
      <w:r w:rsidRPr="00D37CC9">
        <w:t>37</w:t>
      </w:r>
      <w:r w:rsidRPr="00D37CC9">
        <w:tab/>
        <w:t>Dilutive potential ordinary shares shall be determined independently for each period presented. The number of dilutive potential ordinary shares included in the year-to-date period is not a weighted average of the dilutive potential ordinary shares included in each interim computation.</w:t>
      </w:r>
    </w:p>
    <w:p w:rsidR="0065318E" w:rsidRPr="00D37CC9" w:rsidRDefault="0065318E" w:rsidP="00D37CC9">
      <w:pPr>
        <w:pStyle w:val="RDRM1"/>
      </w:pPr>
      <w:r w:rsidRPr="00D37CC9">
        <w:t>38</w:t>
      </w:r>
      <w:r w:rsidRPr="00D37CC9">
        <w:tab/>
        <w:t>Potential ordinary shares are weighted for the period they are outstanding. Potential ordinary shares that are cancelled or allowed to lapse during the period are included in the calculation of diluted earnings per share only for the portion of the period during which they are outstanding. Potential ordinary shares that are converted into ordinary shares during the period are included in the calculation of diluted earnings per share from the beginning of the period to the date of conversion; from the date of conversion, the resulting ordinary shares are included in both basic and diluted earnings per share.</w:t>
      </w:r>
    </w:p>
    <w:p w:rsidR="0065318E" w:rsidRPr="00D37CC9" w:rsidRDefault="0065318E" w:rsidP="00D37CC9">
      <w:pPr>
        <w:pStyle w:val="RDRM1"/>
      </w:pPr>
      <w:r w:rsidRPr="00D37CC9">
        <w:t>39</w:t>
      </w:r>
      <w:r w:rsidRPr="00D37CC9">
        <w:tab/>
        <w:t>The number of ordinary shares that would be issued on conversion of dilutive potential ordinary shares is determined from the terms of the potential ordinary shares. When more than one basis of conversion exists, the calculation assumes the most advantageous conversion rate or exercise price from the standpoint of the holder of the potential ordinary shares.</w:t>
      </w:r>
    </w:p>
    <w:p w:rsidR="0065318E" w:rsidRPr="00D37CC9" w:rsidRDefault="0065318E" w:rsidP="00D37CC9">
      <w:pPr>
        <w:pStyle w:val="RDRM1"/>
      </w:pPr>
      <w:r w:rsidRPr="00D37CC9">
        <w:t>40</w:t>
      </w:r>
      <w:r w:rsidRPr="00D37CC9">
        <w:tab/>
        <w:t>A subsidiary, joint venture or associate may issue to parties other than the parent or investors with joint control of, or significant influence over, the investee potential ordinary shares that are convertible into either ordinary shares of the subsidiary, joint venture or associate, or ordinary shares of the parent or investors with joint control of, or significant influence (the reporting entity) over, the investee. If these potential ordinary shares of the subsidiary, joint venture or associate have a dilutive effect on the basic earnings per share of the reporting entity, they are included in the calculation of diluted earnings per share.</w:t>
      </w:r>
    </w:p>
    <w:p w:rsidR="0065318E" w:rsidRDefault="0065318E">
      <w:pPr>
        <w:pStyle w:val="IASBSectionTitle3Ind"/>
      </w:pPr>
      <w:r>
        <w:t>Dilutive potential ordinary shares</w:t>
      </w:r>
    </w:p>
    <w:p w:rsidR="0065318E" w:rsidRPr="00D37CC9" w:rsidRDefault="0065318E" w:rsidP="00D37CC9">
      <w:pPr>
        <w:pStyle w:val="RDRM1"/>
        <w:rPr>
          <w:b/>
        </w:rPr>
      </w:pPr>
      <w:r w:rsidRPr="00D37CC9">
        <w:rPr>
          <w:b/>
        </w:rPr>
        <w:t>41</w:t>
      </w:r>
      <w:r w:rsidRPr="00D37CC9">
        <w:rPr>
          <w:b/>
        </w:rPr>
        <w:tab/>
        <w:t>Potential ordinary shares shall be treated as dilutive when, and only when, their conversion to ordinary shares would decrease earnings per share or increase loss per share from continuing operations.</w:t>
      </w:r>
    </w:p>
    <w:p w:rsidR="0065318E" w:rsidRPr="00D37CC9" w:rsidRDefault="0065318E" w:rsidP="00D37CC9">
      <w:pPr>
        <w:pStyle w:val="RDRM1"/>
      </w:pPr>
      <w:r w:rsidRPr="00D37CC9">
        <w:t>42</w:t>
      </w:r>
      <w:r w:rsidRPr="00D37CC9">
        <w:tab/>
        <w:t>An entity uses profit or loss from continuing operations attributable to the parent entity as the control number to establish whether potential ordinary shares are dilutive or antidilutive. Profit or loss from continuing operations attributable to the parent entity is adjusted in accordance with paragraph 12 and excludes items relating to discontinued operations.</w:t>
      </w:r>
    </w:p>
    <w:p w:rsidR="0065318E" w:rsidRPr="00D37CC9" w:rsidRDefault="0065318E" w:rsidP="00D37CC9">
      <w:pPr>
        <w:pStyle w:val="RDRM1"/>
      </w:pPr>
      <w:r w:rsidRPr="00D37CC9">
        <w:t>43</w:t>
      </w:r>
      <w:r w:rsidRPr="00D37CC9">
        <w:tab/>
        <w:t>Potential ordinary shares are antidilutive when their conversion to ordinary shares would increase earnings per share or decrease loss per share from continuing operations. The calculation of diluted earnings per share does not assume conversion, exercise, or other issue of potential ordinary shares that would have an antidilutive effect on earnings per share.</w:t>
      </w:r>
    </w:p>
    <w:p w:rsidR="0065318E" w:rsidRPr="00D37CC9" w:rsidRDefault="0065318E" w:rsidP="00D37CC9">
      <w:pPr>
        <w:pStyle w:val="RDRM1"/>
      </w:pPr>
      <w:r w:rsidRPr="00D37CC9">
        <w:t>44</w:t>
      </w:r>
      <w:r w:rsidRPr="00D37CC9">
        <w:tab/>
        <w:t xml:space="preserve">In determining whether potential ordinary shares are dilutive or antidilutive, each issue or series of potential ordinary shares is considered separately rather than in aggregate. The sequence in which potential ordinary shares are considered may affect whether they are dilutive. Therefore, to maximise the dilution of basic earnings per share, each issue or series of potential ordinary shares is considered in sequence from the most dilutive to the least dilutive, </w:t>
      </w:r>
      <w:proofErr w:type="spellStart"/>
      <w:r w:rsidRPr="00D37CC9">
        <w:t>ie</w:t>
      </w:r>
      <w:proofErr w:type="spellEnd"/>
      <w:r w:rsidRPr="00D37CC9">
        <w:t xml:space="preserve"> dilutive potential ordinary shares with the lowest ‘earnings per incremental share’ are included in the diluted earnings per share calculation before those with a higher earnings per incremental share. Options and warrants are generally included first because they do not affect the numerator of the calculation.</w:t>
      </w:r>
    </w:p>
    <w:p w:rsidR="0065318E" w:rsidRDefault="0065318E">
      <w:pPr>
        <w:pStyle w:val="IASBSectionTitle4Ind"/>
      </w:pPr>
      <w:r>
        <w:t>Options, warrants and their equivalents</w:t>
      </w:r>
    </w:p>
    <w:p w:rsidR="0065318E" w:rsidRPr="00D37CC9" w:rsidRDefault="0065318E" w:rsidP="00D37CC9">
      <w:pPr>
        <w:pStyle w:val="RDRM1"/>
        <w:rPr>
          <w:b/>
        </w:rPr>
      </w:pPr>
      <w:r w:rsidRPr="00D37CC9">
        <w:rPr>
          <w:b/>
        </w:rPr>
        <w:t>45</w:t>
      </w:r>
      <w:r w:rsidRPr="00D37CC9">
        <w:rPr>
          <w:b/>
        </w:rPr>
        <w:tab/>
        <w:t>For the purpose of calculating diluted earnings per share, an entity shall assume the exercise of dilutive options and warrants of the entity. The assumed proceeds from these instruments shall be regarded as having been received from the issue of ordinary shares at the average market price of ordinary shares during the period. The difference between the number of ordinary shares issued and the number of ordinary shares that would have been issued at the average market price of ordinary shares during the period shall be treated as an issue of ordinary shares for no consideration.</w:t>
      </w:r>
    </w:p>
    <w:p w:rsidR="0065318E" w:rsidRPr="00D37CC9" w:rsidRDefault="0065318E" w:rsidP="00D37CC9">
      <w:pPr>
        <w:pStyle w:val="RDRM1"/>
      </w:pPr>
      <w:r w:rsidRPr="00D37CC9">
        <w:t>46</w:t>
      </w:r>
      <w:r w:rsidRPr="00D37CC9">
        <w:tab/>
        <w:t xml:space="preserve">Options and warrants are dilutive when they would result in the issue of ordinary shares for less than the average market price of ordinary shares during the period. The amount of the dilution is the average market price of ordinary shares during the period minus the issue price. Therefore, to calculate diluted earnings per share, potential ordinary shares are treated as consisting of both the following: </w:t>
      </w:r>
    </w:p>
    <w:p w:rsidR="0065318E" w:rsidRPr="00D37CC9" w:rsidRDefault="00D37CC9" w:rsidP="00D37CC9">
      <w:pPr>
        <w:pStyle w:val="RDRM2"/>
      </w:pPr>
      <w:r>
        <w:tab/>
      </w:r>
      <w:r w:rsidR="0065318E" w:rsidRPr="00D37CC9">
        <w:t>(a)</w:t>
      </w:r>
      <w:r w:rsidR="0065318E" w:rsidRPr="00D37CC9">
        <w:tab/>
      </w:r>
      <w:proofErr w:type="gramStart"/>
      <w:r w:rsidR="0065318E" w:rsidRPr="00D37CC9">
        <w:t>a</w:t>
      </w:r>
      <w:proofErr w:type="gramEnd"/>
      <w:r w:rsidR="0065318E" w:rsidRPr="00D37CC9">
        <w:t xml:space="preserve"> contract to issue a certain number of the ordinary shares at their average market price during the period. Such ordinary shares are assumed to be fairly priced and to be neither dilutive nor antidilutive. They are ignored in the calculation of diluted earnings per share.</w:t>
      </w:r>
    </w:p>
    <w:p w:rsidR="0065318E" w:rsidRPr="00D37CC9" w:rsidRDefault="00D37CC9" w:rsidP="00D37CC9">
      <w:pPr>
        <w:pStyle w:val="RDRM2"/>
      </w:pPr>
      <w:r>
        <w:tab/>
      </w:r>
      <w:r w:rsidR="0065318E" w:rsidRPr="00D37CC9">
        <w:t>(b)</w:t>
      </w:r>
      <w:r w:rsidR="0065318E" w:rsidRPr="00D37CC9">
        <w:tab/>
      </w:r>
      <w:proofErr w:type="gramStart"/>
      <w:r w:rsidR="0065318E" w:rsidRPr="00D37CC9">
        <w:t>a</w:t>
      </w:r>
      <w:proofErr w:type="gramEnd"/>
      <w:r w:rsidR="0065318E" w:rsidRPr="00D37CC9">
        <w:t xml:space="preserve"> contract to issue the remaining ordinary shares for no consideration. Such ordinary shares generate no proceeds and have no effect on profit or loss attributable to ordinary shares outstanding. Therefore, such shares are dilutive and are added to the number of ordinary shares outstanding in the calculation of diluted earnings per share.</w:t>
      </w:r>
    </w:p>
    <w:p w:rsidR="0065318E" w:rsidRPr="00D37CC9" w:rsidRDefault="0065318E" w:rsidP="00D37CC9">
      <w:pPr>
        <w:pStyle w:val="RDRM1"/>
      </w:pPr>
      <w:r w:rsidRPr="00D37CC9">
        <w:t>47</w:t>
      </w:r>
      <w:r w:rsidRPr="00D37CC9">
        <w:tab/>
        <w:t>Options and warrants have a dilutive effect only when the average market price of ordinary shares during the period exceeds the exercise price of the options or warrants (</w:t>
      </w:r>
      <w:proofErr w:type="spellStart"/>
      <w:r w:rsidRPr="00D37CC9">
        <w:t>ie</w:t>
      </w:r>
      <w:proofErr w:type="spellEnd"/>
      <w:r w:rsidRPr="00D37CC9">
        <w:t xml:space="preserve"> they are ‘in the money’). Previously reported earnings per share are not retroactively adjusted to reflect changes in prices of ordinary shares.</w:t>
      </w:r>
    </w:p>
    <w:p w:rsidR="0065318E" w:rsidRPr="00D37CC9" w:rsidRDefault="0065318E" w:rsidP="00D37CC9">
      <w:pPr>
        <w:pStyle w:val="RDRM1"/>
      </w:pPr>
      <w:r w:rsidRPr="00D37CC9">
        <w:t>47A</w:t>
      </w:r>
      <w:r w:rsidRPr="00D37CC9">
        <w:tab/>
        <w:t>For share options and other share-based payment arrangements to which</w:t>
      </w:r>
      <w:r w:rsidR="00725E14" w:rsidRPr="00D37CC9">
        <w:t xml:space="preserve"> AASB 2</w:t>
      </w:r>
      <w:r w:rsidRPr="00D37CC9">
        <w:t xml:space="preserve"> </w:t>
      </w:r>
      <w:r w:rsidRPr="00D37CC9">
        <w:rPr>
          <w:i/>
        </w:rPr>
        <w:t>Share-based Payment</w:t>
      </w:r>
      <w:r w:rsidRPr="00D37CC9">
        <w:t xml:space="preserve"> applies, the issue price referred to in paragraph 46 and the exercise price referred to in paragraph 47 shall include the fair value (measured in accordance with</w:t>
      </w:r>
      <w:r w:rsidR="00725E14" w:rsidRPr="00D37CC9">
        <w:t xml:space="preserve"> AASB 2</w:t>
      </w:r>
      <w:r w:rsidRPr="00D37CC9">
        <w:t>) of any goods or services to be supplied to the entity in the future under the share option or other share-based payment arrangement.</w:t>
      </w:r>
    </w:p>
    <w:p w:rsidR="0065318E" w:rsidRPr="00D37CC9" w:rsidRDefault="0065318E" w:rsidP="00D37CC9">
      <w:pPr>
        <w:pStyle w:val="RDRM1"/>
      </w:pPr>
      <w:r w:rsidRPr="00D37CC9">
        <w:t>48</w:t>
      </w:r>
      <w:r w:rsidRPr="00D37CC9">
        <w:tab/>
        <w:t>Employee share options with fixed or determinable terms and non-vested ordinary shares are treated as options in the calculation of diluted earnings per share, even though they may be contingent on vesting. They are treated as outstanding on the grant date. Performance-based employee share options are treated as contingently issuable shares because their issue is contingent upon satisfying specified conditions in addition to the passage of time.</w:t>
      </w:r>
    </w:p>
    <w:p w:rsidR="0065318E" w:rsidRDefault="0065318E">
      <w:pPr>
        <w:pStyle w:val="IASBSectionTitle4Ind"/>
      </w:pPr>
      <w:r>
        <w:t>Convertible instruments</w:t>
      </w:r>
    </w:p>
    <w:p w:rsidR="0065318E" w:rsidRPr="00D37CC9" w:rsidRDefault="0065318E" w:rsidP="00D37CC9">
      <w:pPr>
        <w:pStyle w:val="RDRM1"/>
      </w:pPr>
      <w:r w:rsidRPr="00D37CC9">
        <w:t>49</w:t>
      </w:r>
      <w:r w:rsidRPr="00D37CC9">
        <w:tab/>
        <w:t>The dilutive effect of convertible instruments shall be reflected in diluted earnings per share in accordance with paragraphs 33 and 36.</w:t>
      </w:r>
    </w:p>
    <w:p w:rsidR="0065318E" w:rsidRPr="00D37CC9" w:rsidRDefault="0065318E" w:rsidP="00D37CC9">
      <w:pPr>
        <w:pStyle w:val="RDRM1"/>
      </w:pPr>
      <w:r w:rsidRPr="00D37CC9">
        <w:t>50</w:t>
      </w:r>
      <w:r w:rsidRPr="00D37CC9">
        <w:tab/>
        <w:t>Convertible preference shares are antidilutive whenever the amount of the dividend on such shares declared in or accumulated for the current period per ordinary share obtainable on conversion exceeds basic earnings per share. Similarly, convertible debt is antidilutive whenever its interest (net of tax and other changes in income or expense) per ordinary share obtainable on conversion exceeds basic earnings per share.</w:t>
      </w:r>
    </w:p>
    <w:p w:rsidR="0065318E" w:rsidRPr="00D37CC9" w:rsidRDefault="0065318E" w:rsidP="00D37CC9">
      <w:pPr>
        <w:pStyle w:val="RDRM1"/>
      </w:pPr>
      <w:r w:rsidRPr="00D37CC9">
        <w:t>51</w:t>
      </w:r>
      <w:r w:rsidRPr="00D37CC9">
        <w:tab/>
        <w:t>The redemption or induced conversion of convertible preference shares may affect only a portion of the previously outstanding convertible preference shares. In such cases, any excess consideration referred to in paragraph 17 is attributed to those shares that are redeemed or converted for the purpose of determining whether the remaining outstanding preference shares are dilutive. The shares redeemed or converted are considered separately from those shares that are not redeemed or converted.</w:t>
      </w:r>
    </w:p>
    <w:p w:rsidR="0065318E" w:rsidRDefault="0065318E">
      <w:pPr>
        <w:pStyle w:val="IASBSectionTitle4Ind"/>
      </w:pPr>
      <w:r>
        <w:t>Contingently issuable shares</w:t>
      </w:r>
    </w:p>
    <w:p w:rsidR="0065318E" w:rsidRPr="00D37CC9" w:rsidRDefault="0065318E" w:rsidP="00D37CC9">
      <w:pPr>
        <w:pStyle w:val="RDRM1"/>
      </w:pPr>
      <w:r w:rsidRPr="00D37CC9">
        <w:t>52</w:t>
      </w:r>
      <w:r w:rsidRPr="00D37CC9">
        <w:tab/>
        <w:t>As in the calculation of basic earnings per share, contingently issuable ordinary shares are treated as outstanding and included in the calculation of diluted earnings per share if the conditions are satisfied (</w:t>
      </w:r>
      <w:proofErr w:type="spellStart"/>
      <w:r w:rsidRPr="00D37CC9">
        <w:t>ie</w:t>
      </w:r>
      <w:proofErr w:type="spellEnd"/>
      <w:r w:rsidRPr="00D37CC9">
        <w:t xml:space="preserve"> the events have occurred). Contingently issuable shares are included from the beginning of the period (or from the date of the contingent share agreement, if later). If the conditions are not satisfied, the number of contingently issuable shares included in the diluted earnings per share calculation is based on the number of shares that would be issuable if the end of the period were the end of the contingency period. Restatement is not permitted if the conditions are not met when the contingency period expires.</w:t>
      </w:r>
    </w:p>
    <w:p w:rsidR="0065318E" w:rsidRPr="00D37CC9" w:rsidRDefault="0065318E" w:rsidP="00D37CC9">
      <w:pPr>
        <w:pStyle w:val="RDRM1"/>
      </w:pPr>
      <w:r w:rsidRPr="00D37CC9">
        <w:t>53</w:t>
      </w:r>
      <w:r w:rsidRPr="00D37CC9">
        <w:tab/>
        <w:t>If attainment or maintenance of a specified amount of earnings for a period is the condition for contingent issue and if that amount has been attained at the end of the reporting period but must be maintained beyond the end of the reporting period for an additional period, then the additional ordinary shares are treated as outstanding, if the effect is dilutive, when calculating diluted earnings per share. In that case, the calculation of diluted earnings per share is based on the number of ordinary shares that would be issued if the amount of earnings at the end of the reporting period were the amount of earnings at the end of the contingency period. Because earnings may change in a future period, the calculation of basic earnings per share does not include such contingently issuable ordinary shares until the end of the contingency period because not all necessary conditions have been satisfied.</w:t>
      </w:r>
    </w:p>
    <w:p w:rsidR="0065318E" w:rsidRPr="00D37CC9" w:rsidRDefault="0065318E" w:rsidP="00D37CC9">
      <w:pPr>
        <w:pStyle w:val="RDRM1"/>
      </w:pPr>
      <w:r w:rsidRPr="00D37CC9">
        <w:t>54</w:t>
      </w:r>
      <w:r w:rsidRPr="00D37CC9">
        <w:tab/>
        <w:t>The number of ordinary shares contingently issuable may depend on the future market price of the ordinary shares. In that case, if the effect is dilutive, the calculation of diluted earnings per share is based on the number of ordinary shares that would be issued if the market price at the end of the reporting period were the market price at the end of the contingency period. If the condition is based on an average of market prices over a period of time that extends beyond the end of the reporting period, the average for the period of time that has lapsed is used. Because the market price may change in a future period, the calculation of basic earnings per share does not include such contingently issuable ordinary shares until the end of the contingency period because not all necessary conditions have been satisfied.</w:t>
      </w:r>
    </w:p>
    <w:p w:rsidR="0065318E" w:rsidRPr="00D37CC9" w:rsidRDefault="0065318E" w:rsidP="00D37CC9">
      <w:pPr>
        <w:pStyle w:val="RDRM1"/>
      </w:pPr>
      <w:r w:rsidRPr="00D37CC9">
        <w:t>55</w:t>
      </w:r>
      <w:r w:rsidRPr="00D37CC9">
        <w:tab/>
        <w:t>The number of ordinary shares contingently issuable may depend on future earnings and future prices of the ordinary shares. In such cases, the number of ordinary shares included in the diluted earnings per share calculation is based on both conditions (</w:t>
      </w:r>
      <w:proofErr w:type="spellStart"/>
      <w:r w:rsidRPr="00D37CC9">
        <w:t>ie</w:t>
      </w:r>
      <w:proofErr w:type="spellEnd"/>
      <w:r w:rsidRPr="00D37CC9">
        <w:t xml:space="preserve"> earnings to date and the current market price at the end of the reporting period). Contingently issuable ordinary shares are not included in the diluted earnings per share calculation unless both conditions are met.</w:t>
      </w:r>
    </w:p>
    <w:p w:rsidR="0065318E" w:rsidRPr="00D37CC9" w:rsidRDefault="0065318E" w:rsidP="00D37CC9">
      <w:pPr>
        <w:pStyle w:val="RDRM1"/>
      </w:pPr>
      <w:r w:rsidRPr="00D37CC9">
        <w:t>56</w:t>
      </w:r>
      <w:r w:rsidRPr="00D37CC9">
        <w:tab/>
        <w:t>In other cases, the number of ordinary shares contingently issuable depends on a condition other than earnings or market price (for example, the opening of a specific number of retail stores). In such cases, assuming that the present status of the condition remains unchanged until the end of the contingency period, the contingently issuable ordinary shares are included in the calculation of diluted earnings per share according to the status at the end of the reporting period.</w:t>
      </w:r>
    </w:p>
    <w:p w:rsidR="0065318E" w:rsidRPr="00D37CC9" w:rsidRDefault="0065318E" w:rsidP="00D37CC9">
      <w:pPr>
        <w:pStyle w:val="RDRM1"/>
      </w:pPr>
      <w:r w:rsidRPr="00D37CC9">
        <w:t>57</w:t>
      </w:r>
      <w:r w:rsidRPr="00D37CC9">
        <w:tab/>
        <w:t xml:space="preserve">Contingently issuable potential ordinary shares (other than those covered by a contingent share agreement, such as contingently issuable convertible instruments) are included in the diluted earnings per share calculation as follows: </w:t>
      </w:r>
    </w:p>
    <w:p w:rsidR="0065318E" w:rsidRPr="00D37CC9" w:rsidRDefault="00D37CC9" w:rsidP="00D37CC9">
      <w:pPr>
        <w:pStyle w:val="RDRM2"/>
      </w:pPr>
      <w:r>
        <w:tab/>
      </w:r>
      <w:r w:rsidR="0065318E" w:rsidRPr="00D37CC9">
        <w:t>(a)</w:t>
      </w:r>
      <w:r w:rsidR="0065318E" w:rsidRPr="00D37CC9">
        <w:tab/>
        <w:t>an entity determines whether the potential ordinary shares may be assumed to be issuable on the basis of the conditions specified for their issue in accordance with the contingent ordinary share provisions in paragraphs 52–56; and</w:t>
      </w:r>
    </w:p>
    <w:p w:rsidR="0065318E" w:rsidRPr="00D37CC9" w:rsidRDefault="00D37CC9" w:rsidP="00D37CC9">
      <w:pPr>
        <w:pStyle w:val="RDRM2"/>
      </w:pPr>
      <w:r>
        <w:tab/>
      </w:r>
      <w:r w:rsidR="0065318E" w:rsidRPr="00D37CC9">
        <w:t>(b)</w:t>
      </w:r>
      <w:r w:rsidR="0065318E" w:rsidRPr="00D37CC9">
        <w:tab/>
        <w:t>if those potential ordinary shares should be reflected in diluted earnings per share, an entity determines their impact on the calculation of diluted earnings per share by following the provisions for options and warrants in paragraphs 45–48, the provisions for convertible instruments in paragraphs 49–51, the provisions for contracts that may be settled in ordinary shares or cash in paragraphs 58–61, or other provisions, as appropriate.</w:t>
      </w:r>
    </w:p>
    <w:p w:rsidR="0065318E" w:rsidRPr="00D37CC9" w:rsidRDefault="00D37CC9" w:rsidP="00D37CC9">
      <w:pPr>
        <w:pStyle w:val="RDRM2"/>
        <w:ind w:left="782" w:hanging="782"/>
      </w:pPr>
      <w:r>
        <w:tab/>
      </w:r>
      <w:r w:rsidR="0065318E" w:rsidRPr="00D37CC9">
        <w:t>However, exercise or conversion is not assumed for the purpose of calculating diluted earnings per share unless exercise or conversion of similar outstanding potential ordinary shares that are not contingently issuable is assumed.</w:t>
      </w:r>
    </w:p>
    <w:p w:rsidR="0065318E" w:rsidRDefault="0065318E">
      <w:pPr>
        <w:pStyle w:val="IASBSectionTitle4Ind"/>
      </w:pPr>
      <w:r>
        <w:t>Contracts that may be settled in ordinary shares or cash</w:t>
      </w:r>
    </w:p>
    <w:p w:rsidR="0065318E" w:rsidRPr="00D37CC9" w:rsidRDefault="0065318E" w:rsidP="00D37CC9">
      <w:pPr>
        <w:pStyle w:val="RDRM1"/>
        <w:rPr>
          <w:b/>
        </w:rPr>
      </w:pPr>
      <w:r w:rsidRPr="00D37CC9">
        <w:rPr>
          <w:b/>
        </w:rPr>
        <w:t>58</w:t>
      </w:r>
      <w:r w:rsidRPr="00D37CC9">
        <w:rPr>
          <w:b/>
        </w:rPr>
        <w:tab/>
        <w:t>When an entity has issued a contract that may be settled in ordinary shares or cash at the entity’s option, the entity shall presume that the contract will be settled in ordinary shares, and the resulting potential ordinary shares shall be included in diluted earnings per share if the effect is dilutive.</w:t>
      </w:r>
    </w:p>
    <w:p w:rsidR="0065318E" w:rsidRPr="00D37CC9" w:rsidRDefault="0065318E" w:rsidP="00D37CC9">
      <w:pPr>
        <w:pStyle w:val="RDRM1"/>
      </w:pPr>
      <w:r w:rsidRPr="00D37CC9">
        <w:t>59</w:t>
      </w:r>
      <w:r w:rsidRPr="00D37CC9">
        <w:tab/>
        <w:t>When such a contract is presented for accounting purposes as an asset or a liability, or has an equity component and a liability component, the entity shall adjust the numerator for any changes in profit or loss that would have resulted during the period if the contract had been classified wholly as an equity instrument. That adjustment is similar to the adjustments required in paragraph 33.</w:t>
      </w:r>
    </w:p>
    <w:p w:rsidR="0065318E" w:rsidRPr="00D37CC9" w:rsidRDefault="0065318E" w:rsidP="00D37CC9">
      <w:pPr>
        <w:pStyle w:val="RDRM1"/>
        <w:rPr>
          <w:b/>
        </w:rPr>
      </w:pPr>
      <w:r w:rsidRPr="00D37CC9">
        <w:rPr>
          <w:b/>
        </w:rPr>
        <w:t>60</w:t>
      </w:r>
      <w:r w:rsidRPr="00D37CC9">
        <w:rPr>
          <w:b/>
        </w:rPr>
        <w:tab/>
        <w:t>For contracts that may be settled in ordinary shares or cash at the holder’s option, the more dilutive of cash settlement and share settlement shall be used in calculating diluted earnings per share.</w:t>
      </w:r>
    </w:p>
    <w:p w:rsidR="0065318E" w:rsidRPr="00D37CC9" w:rsidRDefault="0065318E" w:rsidP="00D37CC9">
      <w:pPr>
        <w:pStyle w:val="RDRM1"/>
      </w:pPr>
      <w:r w:rsidRPr="00D37CC9">
        <w:t>61</w:t>
      </w:r>
      <w:r w:rsidRPr="00D37CC9">
        <w:tab/>
        <w:t>An example of a contract that may be settled in ordinary shares or cash is a debt instrument that, on maturity, gives the entity the unrestricted right to settle the principal amount in cash or in its own ordinary shares. Another example is a written put option that gives the holder a choice of settling in ordinary shares or cash.</w:t>
      </w:r>
    </w:p>
    <w:p w:rsidR="0065318E" w:rsidRDefault="0065318E">
      <w:pPr>
        <w:pStyle w:val="IASBSectionTitle4Ind"/>
      </w:pPr>
      <w:r>
        <w:t>Purchased options</w:t>
      </w:r>
    </w:p>
    <w:p w:rsidR="0065318E" w:rsidRPr="00D37CC9" w:rsidRDefault="0065318E" w:rsidP="00D37CC9">
      <w:pPr>
        <w:pStyle w:val="RDRM1"/>
      </w:pPr>
      <w:r w:rsidRPr="00D37CC9">
        <w:t>62</w:t>
      </w:r>
      <w:r w:rsidRPr="00D37CC9">
        <w:tab/>
        <w:t>Contracts such as purchased put options and purchased call options (</w:t>
      </w:r>
      <w:proofErr w:type="spellStart"/>
      <w:r w:rsidRPr="00D37CC9">
        <w:t>ie</w:t>
      </w:r>
      <w:proofErr w:type="spellEnd"/>
      <w:r w:rsidRPr="00D37CC9">
        <w:t xml:space="preserve"> options held by the entity on its own ordinary shares) are not included in the calculation of diluted earnings per share because including them would be antidilutive. The put option would be exercised only if the exercise price were higher than the market price and the call option would be exercised only if the exercise price were lower than the market price.</w:t>
      </w:r>
    </w:p>
    <w:p w:rsidR="0065318E" w:rsidRDefault="0065318E">
      <w:pPr>
        <w:pStyle w:val="IASBSectionTitle4Ind"/>
      </w:pPr>
      <w:r>
        <w:t>Written put options</w:t>
      </w:r>
    </w:p>
    <w:p w:rsidR="0065318E" w:rsidRPr="00D37CC9" w:rsidRDefault="0065318E" w:rsidP="00D37CC9">
      <w:pPr>
        <w:pStyle w:val="RDRM1"/>
        <w:rPr>
          <w:b/>
        </w:rPr>
      </w:pPr>
      <w:r w:rsidRPr="00D37CC9">
        <w:rPr>
          <w:b/>
        </w:rPr>
        <w:t>63</w:t>
      </w:r>
      <w:r w:rsidRPr="00D37CC9">
        <w:rPr>
          <w:b/>
        </w:rPr>
        <w:tab/>
        <w:t>Contracts that require the entity to repurchase its own shares, such as written put options and forward purchase contracts, are reflected in the calculation of diluted earnings per share if the effect is dilutive. If these contracts are ‘in the money’ during the period (</w:t>
      </w:r>
      <w:proofErr w:type="spellStart"/>
      <w:r w:rsidRPr="00D37CC9">
        <w:rPr>
          <w:b/>
        </w:rPr>
        <w:t>ie</w:t>
      </w:r>
      <w:proofErr w:type="spellEnd"/>
      <w:r w:rsidRPr="00D37CC9">
        <w:rPr>
          <w:b/>
        </w:rPr>
        <w:t xml:space="preserve"> the exercise or settlement price is above the average market price for that period), the potential dilutive effect on earnings per share shall be calculated as follows: </w:t>
      </w:r>
    </w:p>
    <w:p w:rsidR="0065318E" w:rsidRPr="00D37CC9" w:rsidRDefault="00D37CC9" w:rsidP="00D37CC9">
      <w:pPr>
        <w:pStyle w:val="RDRM2"/>
        <w:rPr>
          <w:b/>
        </w:rPr>
      </w:pPr>
      <w:r>
        <w:rPr>
          <w:b/>
        </w:rPr>
        <w:tab/>
      </w:r>
      <w:r w:rsidR="0065318E" w:rsidRPr="00D37CC9">
        <w:rPr>
          <w:b/>
        </w:rPr>
        <w:t>(a)</w:t>
      </w:r>
      <w:r w:rsidR="0065318E" w:rsidRPr="00D37CC9">
        <w:rPr>
          <w:b/>
        </w:rPr>
        <w:tab/>
      </w:r>
      <w:proofErr w:type="gramStart"/>
      <w:r w:rsidR="0065318E" w:rsidRPr="00D37CC9">
        <w:rPr>
          <w:b/>
        </w:rPr>
        <w:t>it</w:t>
      </w:r>
      <w:proofErr w:type="gramEnd"/>
      <w:r w:rsidR="0065318E" w:rsidRPr="00D37CC9">
        <w:rPr>
          <w:b/>
        </w:rPr>
        <w:t xml:space="preserve"> shall be assumed that at the beginning of the period sufficient ordinary shares will be issued (at the average market price during the period) to raise proceeds to satisfy the contract;</w:t>
      </w:r>
    </w:p>
    <w:p w:rsidR="0065318E" w:rsidRPr="00D37CC9" w:rsidRDefault="00D37CC9" w:rsidP="00D37CC9">
      <w:pPr>
        <w:pStyle w:val="RDRM2"/>
        <w:rPr>
          <w:b/>
        </w:rPr>
      </w:pPr>
      <w:r>
        <w:rPr>
          <w:b/>
        </w:rPr>
        <w:tab/>
      </w:r>
      <w:r w:rsidR="0065318E" w:rsidRPr="00D37CC9">
        <w:rPr>
          <w:b/>
        </w:rPr>
        <w:t>(b)</w:t>
      </w:r>
      <w:r w:rsidR="0065318E" w:rsidRPr="00D37CC9">
        <w:rPr>
          <w:b/>
        </w:rPr>
        <w:tab/>
      </w:r>
      <w:proofErr w:type="gramStart"/>
      <w:r w:rsidR="0065318E" w:rsidRPr="00D37CC9">
        <w:rPr>
          <w:b/>
        </w:rPr>
        <w:t>it</w:t>
      </w:r>
      <w:proofErr w:type="gramEnd"/>
      <w:r w:rsidR="0065318E" w:rsidRPr="00D37CC9">
        <w:rPr>
          <w:b/>
        </w:rPr>
        <w:t xml:space="preserve"> shall be assumed that the proceeds from the issue are used to satisfy the contract (</w:t>
      </w:r>
      <w:proofErr w:type="spellStart"/>
      <w:r w:rsidR="0065318E" w:rsidRPr="00D37CC9">
        <w:rPr>
          <w:b/>
        </w:rPr>
        <w:t>ie</w:t>
      </w:r>
      <w:proofErr w:type="spellEnd"/>
      <w:r w:rsidR="0065318E" w:rsidRPr="00D37CC9">
        <w:rPr>
          <w:b/>
        </w:rPr>
        <w:t xml:space="preserve"> to buy back ordinary shares); and</w:t>
      </w:r>
    </w:p>
    <w:p w:rsidR="0065318E" w:rsidRPr="00D37CC9" w:rsidRDefault="00D37CC9" w:rsidP="00D37CC9">
      <w:pPr>
        <w:pStyle w:val="RDRM2"/>
        <w:rPr>
          <w:b/>
        </w:rPr>
      </w:pPr>
      <w:r>
        <w:rPr>
          <w:b/>
        </w:rPr>
        <w:tab/>
      </w:r>
      <w:r w:rsidR="0065318E" w:rsidRPr="00D37CC9">
        <w:rPr>
          <w:b/>
        </w:rPr>
        <w:t>(c)</w:t>
      </w:r>
      <w:r w:rsidR="0065318E" w:rsidRPr="00D37CC9">
        <w:rPr>
          <w:b/>
        </w:rPr>
        <w:tab/>
      </w:r>
      <w:proofErr w:type="gramStart"/>
      <w:r w:rsidR="0065318E" w:rsidRPr="00D37CC9">
        <w:rPr>
          <w:b/>
        </w:rPr>
        <w:t>the</w:t>
      </w:r>
      <w:proofErr w:type="gramEnd"/>
      <w:r w:rsidR="0065318E" w:rsidRPr="00D37CC9">
        <w:rPr>
          <w:b/>
        </w:rPr>
        <w:t xml:space="preserve"> incremental ordinary shares (the difference between the number of ordinary shares assumed issued and the number of ordinary shares received from satisfying the contract) shall be included in the calculation of diluted earnings per share.</w:t>
      </w:r>
    </w:p>
    <w:p w:rsidR="0065318E" w:rsidRDefault="0065318E">
      <w:pPr>
        <w:pStyle w:val="IASBSectionTitle1NonInd"/>
      </w:pPr>
      <w:r>
        <w:t>Retrospective adjustments</w:t>
      </w:r>
    </w:p>
    <w:p w:rsidR="0065318E" w:rsidRPr="00D37CC9" w:rsidRDefault="0065318E" w:rsidP="00D37CC9">
      <w:pPr>
        <w:pStyle w:val="RDRM1"/>
        <w:rPr>
          <w:b/>
        </w:rPr>
      </w:pPr>
      <w:r w:rsidRPr="00D37CC9">
        <w:rPr>
          <w:b/>
        </w:rPr>
        <w:t>64</w:t>
      </w:r>
      <w:r w:rsidRPr="00D37CC9">
        <w:rPr>
          <w:b/>
        </w:rPr>
        <w:tab/>
        <w:t xml:space="preserve">If the number of ordinary or potential ordinary shares outstanding increases as a result of a capitalisation, bonus issue or share split, or decreases as a result of a reverse share split, the calculation of basic and diluted earnings per share for all periods presented shall be adjusted retrospectively. If these changes occur after the reporting period but before the financial statements are authorised for issue, the per share calculations for those and any prior period financial statements presented shall be based on the new number of shares. The fact that per share calculations reflect such changes in the number of shares shall be disclosed. In addition, basic and diluted earnings per share of all periods presented shall be adjusted for the effects of errors and adjustments resulting from changes in accounting policies accounted for retrospectively. </w:t>
      </w:r>
    </w:p>
    <w:p w:rsidR="0065318E" w:rsidRPr="00D37CC9" w:rsidRDefault="0065318E" w:rsidP="00D37CC9">
      <w:pPr>
        <w:pStyle w:val="RDRM1"/>
      </w:pPr>
      <w:r w:rsidRPr="00D37CC9">
        <w:t>65</w:t>
      </w:r>
      <w:r w:rsidRPr="00D37CC9">
        <w:tab/>
        <w:t>An entity does not restate diluted earnings per share of any prior period presented for changes in the assumptions used in earnings per share calculations or for the conversion of potential ordinary shares into ordinary shares.</w:t>
      </w:r>
    </w:p>
    <w:p w:rsidR="0065318E" w:rsidRDefault="0065318E">
      <w:pPr>
        <w:pStyle w:val="IASBSectionTitle1NonInd"/>
      </w:pPr>
      <w:r>
        <w:t>Presentation</w:t>
      </w:r>
    </w:p>
    <w:p w:rsidR="0065318E" w:rsidRPr="00D37CC9" w:rsidRDefault="0065318E" w:rsidP="00D37CC9">
      <w:pPr>
        <w:pStyle w:val="RDRM1"/>
        <w:rPr>
          <w:b/>
        </w:rPr>
      </w:pPr>
      <w:r w:rsidRPr="00D37CC9">
        <w:rPr>
          <w:b/>
        </w:rPr>
        <w:t>66</w:t>
      </w:r>
      <w:r w:rsidRPr="00D37CC9">
        <w:rPr>
          <w:b/>
        </w:rPr>
        <w:tab/>
        <w:t>An entity shall present in the statement of comprehensive income basic and diluted earnings per share for profit or loss from continuing operations attributable to the ordinary equity holders of the parent entity and for profit or loss attributable to the ordinary equity holders of the parent entity for the period for each class of ordinary shares that has a different right to share in profit for the period. An entity shall present basic and diluted earnings per share with equal prominence for all periods presented.</w:t>
      </w:r>
    </w:p>
    <w:p w:rsidR="0065318E" w:rsidRPr="00D37CC9" w:rsidRDefault="0065318E" w:rsidP="00D37CC9">
      <w:pPr>
        <w:pStyle w:val="RDRM1"/>
      </w:pPr>
      <w:r w:rsidRPr="00D37CC9">
        <w:t>67</w:t>
      </w:r>
      <w:r w:rsidRPr="00D37CC9">
        <w:tab/>
        <w:t xml:space="preserve">Earnings per share </w:t>
      </w:r>
      <w:proofErr w:type="gramStart"/>
      <w:r w:rsidRPr="00D37CC9">
        <w:t>is</w:t>
      </w:r>
      <w:proofErr w:type="gramEnd"/>
      <w:r w:rsidRPr="00D37CC9">
        <w:t xml:space="preserve"> presented for every period for which a statement of comprehensive income is presented. </w:t>
      </w:r>
      <w:proofErr w:type="gramStart"/>
      <w:r w:rsidRPr="00D37CC9">
        <w:t>If diluted earnings per share is</w:t>
      </w:r>
      <w:proofErr w:type="gramEnd"/>
      <w:r w:rsidRPr="00D37CC9">
        <w:t xml:space="preserve"> reported for at least one period, it shall be reported for all periods presented, even if it equals basic earnings per share. If basic and diluted earnings per share are equal, dual presentation can be accomplished in one line in the statement of comprehensive income.</w:t>
      </w:r>
    </w:p>
    <w:p w:rsidR="0065318E" w:rsidRPr="00D37CC9" w:rsidRDefault="0065318E" w:rsidP="00D37CC9">
      <w:pPr>
        <w:pStyle w:val="RDRM1"/>
      </w:pPr>
      <w:r w:rsidRPr="00D37CC9">
        <w:t>67A</w:t>
      </w:r>
      <w:r w:rsidRPr="00D37CC9">
        <w:tab/>
        <w:t>If an entity presents items of profit or loss in a separate statement as described in paragraph 10A of</w:t>
      </w:r>
      <w:r w:rsidR="00725E14" w:rsidRPr="00D37CC9">
        <w:t xml:space="preserve"> AASB 101</w:t>
      </w:r>
      <w:r w:rsidRPr="00D37CC9">
        <w:t>, it presents basic and diluted earnings per share, as required in paragraphs 66 and 67, in that separate statement.</w:t>
      </w:r>
    </w:p>
    <w:p w:rsidR="0065318E" w:rsidRPr="00D37CC9" w:rsidRDefault="0065318E" w:rsidP="00D37CC9">
      <w:pPr>
        <w:pStyle w:val="RDRM1"/>
        <w:rPr>
          <w:b/>
        </w:rPr>
      </w:pPr>
      <w:r w:rsidRPr="00D37CC9">
        <w:rPr>
          <w:b/>
        </w:rPr>
        <w:t>68</w:t>
      </w:r>
      <w:r w:rsidRPr="00D37CC9">
        <w:rPr>
          <w:b/>
        </w:rPr>
        <w:tab/>
        <w:t>An entity that reports a discontinued operation shall disclose the basic and diluted amounts per share for the discontinued operation either in the statement of comprehensive income or in the notes.</w:t>
      </w:r>
    </w:p>
    <w:p w:rsidR="0065318E" w:rsidRPr="00D37CC9" w:rsidRDefault="0065318E" w:rsidP="00D37CC9">
      <w:pPr>
        <w:pStyle w:val="RDRM1"/>
      </w:pPr>
      <w:r w:rsidRPr="00D37CC9">
        <w:t>68A</w:t>
      </w:r>
      <w:r w:rsidRPr="00D37CC9">
        <w:tab/>
      </w:r>
      <w:proofErr w:type="gramStart"/>
      <w:r w:rsidRPr="00D37CC9">
        <w:t>If</w:t>
      </w:r>
      <w:proofErr w:type="gramEnd"/>
      <w:r w:rsidRPr="00D37CC9">
        <w:t xml:space="preserve"> an entity presents items of profit or loss in a separate statement as described in paragraph 10A of</w:t>
      </w:r>
      <w:r w:rsidR="00725E14" w:rsidRPr="00D37CC9">
        <w:t xml:space="preserve"> AASB 101</w:t>
      </w:r>
      <w:r w:rsidRPr="00D37CC9">
        <w:t>, it presents basic and diluted earnings per share for the discontinued operation, as required in paragraph 68, in that separate statement or in the notes.</w:t>
      </w:r>
    </w:p>
    <w:p w:rsidR="0065318E" w:rsidRPr="00D37CC9" w:rsidRDefault="0065318E" w:rsidP="00D37CC9">
      <w:pPr>
        <w:pStyle w:val="RDRM1"/>
        <w:rPr>
          <w:b/>
        </w:rPr>
      </w:pPr>
      <w:r w:rsidRPr="00D37CC9">
        <w:rPr>
          <w:b/>
        </w:rPr>
        <w:t>69</w:t>
      </w:r>
      <w:r w:rsidRPr="00D37CC9">
        <w:rPr>
          <w:b/>
        </w:rPr>
        <w:tab/>
        <w:t>An entity shall present basic and diluted earnings per share, even if the amounts are negative (</w:t>
      </w:r>
      <w:proofErr w:type="spellStart"/>
      <w:r w:rsidRPr="00D37CC9">
        <w:rPr>
          <w:b/>
        </w:rPr>
        <w:t>ie</w:t>
      </w:r>
      <w:proofErr w:type="spellEnd"/>
      <w:r w:rsidRPr="00D37CC9">
        <w:rPr>
          <w:b/>
        </w:rPr>
        <w:t xml:space="preserve"> a loss per share).</w:t>
      </w:r>
    </w:p>
    <w:p w:rsidR="0065318E" w:rsidRDefault="0065318E">
      <w:pPr>
        <w:pStyle w:val="IASBSectionTitle1NonInd"/>
      </w:pPr>
      <w:r>
        <w:t>Disclosure</w:t>
      </w:r>
    </w:p>
    <w:p w:rsidR="0065318E" w:rsidRPr="00D37CC9" w:rsidRDefault="0065318E" w:rsidP="00D37CC9">
      <w:pPr>
        <w:pStyle w:val="RDRM1"/>
        <w:rPr>
          <w:b/>
        </w:rPr>
      </w:pPr>
      <w:r w:rsidRPr="00D37CC9">
        <w:rPr>
          <w:b/>
        </w:rPr>
        <w:t>70</w:t>
      </w:r>
      <w:r w:rsidRPr="00D37CC9">
        <w:rPr>
          <w:b/>
        </w:rPr>
        <w:tab/>
        <w:t xml:space="preserve">An entity shall disclose the following: </w:t>
      </w:r>
    </w:p>
    <w:p w:rsidR="0065318E" w:rsidRPr="00D37CC9" w:rsidRDefault="00D37CC9" w:rsidP="00D37CC9">
      <w:pPr>
        <w:pStyle w:val="RDRM2"/>
        <w:rPr>
          <w:b/>
        </w:rPr>
      </w:pPr>
      <w:r>
        <w:rPr>
          <w:b/>
        </w:rPr>
        <w:tab/>
      </w:r>
      <w:r w:rsidR="0065318E" w:rsidRPr="00D37CC9">
        <w:rPr>
          <w:b/>
        </w:rPr>
        <w:t>(a)</w:t>
      </w:r>
      <w:r w:rsidR="0065318E" w:rsidRPr="00D37CC9">
        <w:rPr>
          <w:b/>
        </w:rPr>
        <w:tab/>
        <w:t>the amounts used as the numerators in calculating basic and diluted earnings per share, and a reconciliation of those amounts to profit or loss attributable to the parent entity for the period. The reconciliation shall include the individual effect of each class of instruments that affects earnings per share.</w:t>
      </w:r>
    </w:p>
    <w:p w:rsidR="0065318E" w:rsidRPr="00D37CC9" w:rsidRDefault="00D37CC9" w:rsidP="00D37CC9">
      <w:pPr>
        <w:pStyle w:val="RDRM2"/>
        <w:rPr>
          <w:b/>
        </w:rPr>
      </w:pPr>
      <w:r>
        <w:rPr>
          <w:b/>
        </w:rPr>
        <w:tab/>
      </w:r>
      <w:r w:rsidR="0065318E" w:rsidRPr="00D37CC9">
        <w:rPr>
          <w:b/>
        </w:rPr>
        <w:t>(b)</w:t>
      </w:r>
      <w:r w:rsidR="0065318E" w:rsidRPr="00D37CC9">
        <w:rPr>
          <w:b/>
        </w:rPr>
        <w:tab/>
      </w:r>
      <w:proofErr w:type="gramStart"/>
      <w:r w:rsidR="0065318E" w:rsidRPr="00D37CC9">
        <w:rPr>
          <w:b/>
        </w:rPr>
        <w:t>the</w:t>
      </w:r>
      <w:proofErr w:type="gramEnd"/>
      <w:r w:rsidR="0065318E" w:rsidRPr="00D37CC9">
        <w:rPr>
          <w:b/>
        </w:rPr>
        <w:t xml:space="preserve"> weighted average number of ordinary shares used as the denominator in calculating basic and diluted earnings per share, and a reconciliation of these denominators to each other. The reconciliation shall include the individual effect of each class of instruments that affects earnings per share.</w:t>
      </w:r>
    </w:p>
    <w:p w:rsidR="0065318E" w:rsidRPr="00D37CC9" w:rsidRDefault="00D37CC9" w:rsidP="00D37CC9">
      <w:pPr>
        <w:pStyle w:val="RDRM2"/>
        <w:rPr>
          <w:b/>
        </w:rPr>
      </w:pPr>
      <w:r>
        <w:rPr>
          <w:b/>
        </w:rPr>
        <w:tab/>
      </w:r>
      <w:r w:rsidR="0065318E" w:rsidRPr="00D37CC9">
        <w:rPr>
          <w:b/>
        </w:rPr>
        <w:t>(c)</w:t>
      </w:r>
      <w:r w:rsidR="0065318E" w:rsidRPr="00D37CC9">
        <w:rPr>
          <w:b/>
        </w:rPr>
        <w:tab/>
      </w:r>
      <w:proofErr w:type="gramStart"/>
      <w:r w:rsidR="0065318E" w:rsidRPr="00D37CC9">
        <w:rPr>
          <w:b/>
        </w:rPr>
        <w:t>instruments</w:t>
      </w:r>
      <w:proofErr w:type="gramEnd"/>
      <w:r w:rsidR="0065318E" w:rsidRPr="00D37CC9">
        <w:rPr>
          <w:b/>
        </w:rPr>
        <w:t xml:space="preserve"> (including contingently issuable shares) that could potentially dilute basic earnings per share in the future, but were not included in the calculation of diluted earnings per share because they are antidilutive for the period(s) presented.</w:t>
      </w:r>
    </w:p>
    <w:p w:rsidR="0065318E" w:rsidRPr="00D37CC9" w:rsidRDefault="00D37CC9" w:rsidP="00D37CC9">
      <w:pPr>
        <w:pStyle w:val="RDRM2"/>
        <w:rPr>
          <w:b/>
        </w:rPr>
      </w:pPr>
      <w:r>
        <w:rPr>
          <w:b/>
        </w:rPr>
        <w:tab/>
      </w:r>
      <w:r w:rsidR="0065318E" w:rsidRPr="00D37CC9">
        <w:rPr>
          <w:b/>
        </w:rPr>
        <w:t>(d)</w:t>
      </w:r>
      <w:r w:rsidR="0065318E" w:rsidRPr="00D37CC9">
        <w:rPr>
          <w:b/>
        </w:rPr>
        <w:tab/>
        <w:t>a description of ordinary share transactions or potential ordinary share transactions, other than those accounted for in accordance with paragraph 64, that occur after the reporting period and that would have changed significantly the number of ordinary shares or potential ordinary shares outstanding at the end of the period if those transactions had occurred before the end of the reporting period.</w:t>
      </w:r>
    </w:p>
    <w:p w:rsidR="0065318E" w:rsidRPr="00D37CC9" w:rsidRDefault="0065318E" w:rsidP="00D37CC9">
      <w:pPr>
        <w:pStyle w:val="RDRM1"/>
      </w:pPr>
      <w:r w:rsidRPr="00D37CC9">
        <w:t>71</w:t>
      </w:r>
      <w:r w:rsidRPr="00D37CC9">
        <w:tab/>
        <w:t xml:space="preserve">Examples of transactions in paragraph 70(d) include: </w:t>
      </w:r>
    </w:p>
    <w:p w:rsidR="0065318E" w:rsidRPr="00D37CC9" w:rsidRDefault="00D37CC9" w:rsidP="00D37CC9">
      <w:pPr>
        <w:pStyle w:val="RDRM2"/>
      </w:pPr>
      <w:r>
        <w:tab/>
      </w:r>
      <w:r w:rsidR="0065318E" w:rsidRPr="00D37CC9">
        <w:t>(a)</w:t>
      </w:r>
      <w:r w:rsidR="0065318E" w:rsidRPr="00D37CC9">
        <w:tab/>
      </w:r>
      <w:proofErr w:type="gramStart"/>
      <w:r w:rsidR="0065318E" w:rsidRPr="00D37CC9">
        <w:t>an</w:t>
      </w:r>
      <w:proofErr w:type="gramEnd"/>
      <w:r w:rsidR="0065318E" w:rsidRPr="00D37CC9">
        <w:t xml:space="preserve"> issue of shares for cash;</w:t>
      </w:r>
    </w:p>
    <w:p w:rsidR="0065318E" w:rsidRPr="00D37CC9" w:rsidRDefault="00D37CC9" w:rsidP="00D37CC9">
      <w:pPr>
        <w:pStyle w:val="RDRM2"/>
      </w:pPr>
      <w:r>
        <w:tab/>
      </w:r>
      <w:r w:rsidR="0065318E" w:rsidRPr="00D37CC9">
        <w:t>(b)</w:t>
      </w:r>
      <w:r w:rsidR="0065318E" w:rsidRPr="00D37CC9">
        <w:tab/>
      </w:r>
      <w:proofErr w:type="gramStart"/>
      <w:r w:rsidR="0065318E" w:rsidRPr="00D37CC9">
        <w:t>an</w:t>
      </w:r>
      <w:proofErr w:type="gramEnd"/>
      <w:r w:rsidR="0065318E" w:rsidRPr="00D37CC9">
        <w:t xml:space="preserve"> issue of shares when the proceeds are used to repay debt or preference shares outstanding at the end of the reporting period;</w:t>
      </w:r>
    </w:p>
    <w:p w:rsidR="0065318E" w:rsidRPr="00D37CC9" w:rsidRDefault="00D37CC9" w:rsidP="00D37CC9">
      <w:pPr>
        <w:pStyle w:val="RDRM2"/>
      </w:pPr>
      <w:r>
        <w:tab/>
      </w:r>
      <w:r w:rsidR="0065318E" w:rsidRPr="00D37CC9">
        <w:t>(c)</w:t>
      </w:r>
      <w:r w:rsidR="0065318E" w:rsidRPr="00D37CC9">
        <w:tab/>
      </w:r>
      <w:proofErr w:type="gramStart"/>
      <w:r w:rsidR="0065318E" w:rsidRPr="00D37CC9">
        <w:t>the</w:t>
      </w:r>
      <w:proofErr w:type="gramEnd"/>
      <w:r w:rsidR="0065318E" w:rsidRPr="00D37CC9">
        <w:t xml:space="preserve"> redemption of ordinary shares outstanding;</w:t>
      </w:r>
    </w:p>
    <w:p w:rsidR="0065318E" w:rsidRPr="00D37CC9" w:rsidRDefault="00D37CC9" w:rsidP="00D37CC9">
      <w:pPr>
        <w:pStyle w:val="RDRM2"/>
      </w:pPr>
      <w:r>
        <w:tab/>
      </w:r>
      <w:r w:rsidR="0065318E" w:rsidRPr="00D37CC9">
        <w:t>(d)</w:t>
      </w:r>
      <w:r w:rsidR="0065318E" w:rsidRPr="00D37CC9">
        <w:tab/>
      </w:r>
      <w:proofErr w:type="gramStart"/>
      <w:r w:rsidR="0065318E" w:rsidRPr="00D37CC9">
        <w:t>the</w:t>
      </w:r>
      <w:proofErr w:type="gramEnd"/>
      <w:r w:rsidR="0065318E" w:rsidRPr="00D37CC9">
        <w:t xml:space="preserve"> conversion or exercise of potential ordinary shares outstanding at the end of the reporting period into ordinary shares;</w:t>
      </w:r>
    </w:p>
    <w:p w:rsidR="0065318E" w:rsidRPr="00D37CC9" w:rsidRDefault="00D37CC9" w:rsidP="00D37CC9">
      <w:pPr>
        <w:pStyle w:val="RDRM2"/>
      </w:pPr>
      <w:r>
        <w:tab/>
      </w:r>
      <w:r w:rsidR="0065318E" w:rsidRPr="00D37CC9">
        <w:t>(e)</w:t>
      </w:r>
      <w:r w:rsidR="0065318E" w:rsidRPr="00D37CC9">
        <w:tab/>
      </w:r>
      <w:proofErr w:type="gramStart"/>
      <w:r w:rsidR="0065318E" w:rsidRPr="00D37CC9">
        <w:t>an</w:t>
      </w:r>
      <w:proofErr w:type="gramEnd"/>
      <w:r w:rsidR="0065318E" w:rsidRPr="00D37CC9">
        <w:t xml:space="preserve"> issue of options, warrants, or convertible instruments; and</w:t>
      </w:r>
    </w:p>
    <w:p w:rsidR="0065318E" w:rsidRPr="00D37CC9" w:rsidRDefault="00D37CC9" w:rsidP="00D37CC9">
      <w:pPr>
        <w:pStyle w:val="RDRM2"/>
      </w:pPr>
      <w:r>
        <w:tab/>
      </w:r>
      <w:r w:rsidR="0065318E" w:rsidRPr="00D37CC9">
        <w:t>(f)</w:t>
      </w:r>
      <w:r w:rsidR="0065318E" w:rsidRPr="00D37CC9">
        <w:tab/>
      </w:r>
      <w:proofErr w:type="gramStart"/>
      <w:r w:rsidR="0065318E" w:rsidRPr="00D37CC9">
        <w:t>the</w:t>
      </w:r>
      <w:proofErr w:type="gramEnd"/>
      <w:r w:rsidR="0065318E" w:rsidRPr="00D37CC9">
        <w:t xml:space="preserve"> achievement of conditions that would result in the issue of contingently issuable shares.</w:t>
      </w:r>
    </w:p>
    <w:p w:rsidR="0065318E" w:rsidRPr="00D37CC9" w:rsidRDefault="00D37CC9" w:rsidP="00D37CC9">
      <w:pPr>
        <w:pStyle w:val="RDRM2"/>
        <w:ind w:left="782" w:hanging="782"/>
      </w:pPr>
      <w:r>
        <w:tab/>
      </w:r>
      <w:r w:rsidR="0065318E" w:rsidRPr="00D37CC9">
        <w:t>Earnings per share amounts are not adjusted for such transactions occurring after the reporting period because such transactions do not affect the amount of capital used to produce profit or loss for the period.</w:t>
      </w:r>
    </w:p>
    <w:p w:rsidR="0065318E" w:rsidRPr="00D37CC9" w:rsidRDefault="0065318E" w:rsidP="00D37CC9">
      <w:pPr>
        <w:pStyle w:val="RDRM1"/>
      </w:pPr>
      <w:r w:rsidRPr="00D37CC9">
        <w:t>72</w:t>
      </w:r>
      <w:r w:rsidRPr="00D37CC9">
        <w:tab/>
        <w:t>Financial instruments and other contracts generating potential ordinary shares may incorporate terms and conditions that affect the measurement of basic and diluted earnings per share. These terms and conditions may determine whether any potential ordinary shares are dilutive and, if so, the effect on the weighted average number of shares outstanding and any consequent adjustments to profit or loss attributable to ordinary equity holders. The disclosure of the terms and conditions of such financial instruments and other contracts is encouraged, if not otherwise required (see</w:t>
      </w:r>
      <w:r w:rsidR="00725E14" w:rsidRPr="00D37CC9">
        <w:t xml:space="preserve"> AASB 7</w:t>
      </w:r>
      <w:r w:rsidRPr="00D37CC9">
        <w:t xml:space="preserve"> </w:t>
      </w:r>
      <w:r w:rsidRPr="00D37CC9">
        <w:rPr>
          <w:i/>
        </w:rPr>
        <w:t>Financial Instruments: Disclosures</w:t>
      </w:r>
      <w:r w:rsidRPr="00D37CC9">
        <w:t>).</w:t>
      </w:r>
    </w:p>
    <w:p w:rsidR="0065318E" w:rsidRPr="00D37CC9" w:rsidRDefault="0065318E" w:rsidP="00D37CC9">
      <w:pPr>
        <w:pStyle w:val="RDRM1"/>
        <w:rPr>
          <w:b/>
        </w:rPr>
      </w:pPr>
      <w:r w:rsidRPr="00D37CC9">
        <w:rPr>
          <w:b/>
        </w:rPr>
        <w:t>73</w:t>
      </w:r>
      <w:r w:rsidRPr="00D37CC9">
        <w:rPr>
          <w:b/>
        </w:rPr>
        <w:tab/>
        <w:t xml:space="preserve">If an entity discloses, in addition to basic and diluted earnings per share, amounts per share using a reported component of the statement of comprehensive income other than one required by this Standard, such amounts shall be calculated using the weighted average number of ordinary shares determined in accordance with this Standard. Basic and diluted amounts per share relating to such a component shall be disclosed with equal prominence and presented in the notes. An entity shall indicate the basis on which the numerator(s) is (are) determined, including whether amounts per share are before tax or after tax. If a component of the statement of comprehensive income is used that is not reported as a line item in the statement of comprehensive income, </w:t>
      </w:r>
      <w:proofErr w:type="gramStart"/>
      <w:r w:rsidRPr="00D37CC9">
        <w:rPr>
          <w:b/>
        </w:rPr>
        <w:t>a reconciliation</w:t>
      </w:r>
      <w:proofErr w:type="gramEnd"/>
      <w:r w:rsidRPr="00D37CC9">
        <w:rPr>
          <w:b/>
        </w:rPr>
        <w:t xml:space="preserve"> shall be provided between the component used and a line item that is reported in the statement of comprehensive income.</w:t>
      </w:r>
    </w:p>
    <w:p w:rsidR="0065318E" w:rsidRPr="002B3629" w:rsidRDefault="0065318E" w:rsidP="002B3629">
      <w:pPr>
        <w:pStyle w:val="RDRM1"/>
        <w:rPr>
          <w:b/>
        </w:rPr>
      </w:pPr>
      <w:r w:rsidRPr="002B3629">
        <w:rPr>
          <w:b/>
        </w:rPr>
        <w:t>73A</w:t>
      </w:r>
      <w:r w:rsidRPr="002B3629">
        <w:rPr>
          <w:b/>
        </w:rPr>
        <w:tab/>
        <w:t>Paragraph 73 applies also to an entity that discloses, in addition to basic and diluted earnings per share, amounts per share using a reported item of profit or loss, other than one required by this Standard.</w:t>
      </w:r>
    </w:p>
    <w:p w:rsidR="0065318E" w:rsidRDefault="0065318E">
      <w:pPr>
        <w:pStyle w:val="IASBSectionTitle1NonInd"/>
      </w:pPr>
      <w:r>
        <w:t>Effective date</w:t>
      </w:r>
    </w:p>
    <w:p w:rsidR="0065318E" w:rsidRDefault="0065318E">
      <w:pPr>
        <w:pStyle w:val="IASBNormalnpara"/>
      </w:pPr>
      <w:r>
        <w:t>74</w:t>
      </w:r>
      <w:r>
        <w:tab/>
        <w:t>An entity shall apply this Standard for annual periods beginning on or after</w:t>
      </w:r>
      <w:r w:rsidR="00F63158">
        <w:t xml:space="preserve"> </w:t>
      </w:r>
      <w:r w:rsidR="00F63158" w:rsidRPr="005673E4">
        <w:t>1 January 2018</w:t>
      </w:r>
      <w:r>
        <w:t>. Earlier application is encouraged</w:t>
      </w:r>
      <w:r w:rsidR="00D37CC9">
        <w:t xml:space="preserve"> </w:t>
      </w:r>
      <w:r w:rsidR="00D37CC9" w:rsidRPr="00D37CC9">
        <w:t>for periods beginning after 24 July 2014 but before 1 January 2018</w:t>
      </w:r>
      <w:r w:rsidR="00D37CC9">
        <w:t>.</w:t>
      </w:r>
      <w:r>
        <w:t xml:space="preserve"> If an entity applies the Standard for a period beginning before 1 January</w:t>
      </w:r>
      <w:r w:rsidR="00F63158">
        <w:t xml:space="preserve"> 2018</w:t>
      </w:r>
      <w:r>
        <w:t>, it shall disclose that fact.</w:t>
      </w:r>
    </w:p>
    <w:p w:rsidR="009E792A" w:rsidRDefault="009E792A" w:rsidP="00CF13DB">
      <w:pPr>
        <w:pStyle w:val="IASBNormalnpara"/>
        <w:tabs>
          <w:tab w:val="left" w:pos="782"/>
        </w:tabs>
        <w:ind w:left="0" w:firstLine="0"/>
      </w:pPr>
      <w:r>
        <w:t>74A–</w:t>
      </w:r>
      <w:r>
        <w:br/>
        <w:t>74D</w:t>
      </w:r>
      <w:r>
        <w:tab/>
        <w:t>[Deleted by the AASB]</w:t>
      </w:r>
    </w:p>
    <w:p w:rsidR="0065318E" w:rsidDel="003B3D68" w:rsidRDefault="0065318E">
      <w:pPr>
        <w:pStyle w:val="IASBNormalnpara"/>
      </w:pPr>
      <w:r w:rsidDel="003B3D68">
        <w:t>74E</w:t>
      </w:r>
      <w:r w:rsidDel="003B3D68">
        <w:tab/>
      </w:r>
      <w:r w:rsidR="009E792A">
        <w:t>AASB 2014-7</w:t>
      </w:r>
      <w:r w:rsidR="009E792A" w:rsidRPr="004A061D">
        <w:t xml:space="preserve"> </w:t>
      </w:r>
      <w:r w:rsidR="009E792A" w:rsidRPr="004A061D">
        <w:rPr>
          <w:i/>
        </w:rPr>
        <w:t xml:space="preserve">Amendments to Australian Accounting Standards arising from AASB </w:t>
      </w:r>
      <w:r w:rsidR="009E792A">
        <w:rPr>
          <w:i/>
        </w:rPr>
        <w:t xml:space="preserve">9 </w:t>
      </w:r>
      <w:r w:rsidR="009E792A" w:rsidRPr="004A061D">
        <w:rPr>
          <w:i/>
        </w:rPr>
        <w:t>(December 2014),</w:t>
      </w:r>
      <w:r w:rsidR="009E792A" w:rsidRPr="004A061D">
        <w:t xml:space="preserve"> issued in </w:t>
      </w:r>
      <w:r w:rsidR="009E792A">
        <w:t xml:space="preserve">December </w:t>
      </w:r>
      <w:r w:rsidR="009E792A" w:rsidRPr="004A061D">
        <w:t>2014,</w:t>
      </w:r>
      <w:r w:rsidR="009E792A" w:rsidRPr="004A061D">
        <w:rPr>
          <w:i/>
        </w:rPr>
        <w:t xml:space="preserve"> </w:t>
      </w:r>
      <w:r w:rsidDel="003B3D68">
        <w:t>amended paragraph 34</w:t>
      </w:r>
      <w:r w:rsidR="009E792A">
        <w:t xml:space="preserve"> in the previous version of this Standard</w:t>
      </w:r>
      <w:r w:rsidDel="003B3D68">
        <w:t>. An entity shall apply that amendment when it applies</w:t>
      </w:r>
      <w:r w:rsidR="009E792A">
        <w:t xml:space="preserve"> AASB </w:t>
      </w:r>
      <w:r w:rsidDel="003B3D68">
        <w:t>9.</w:t>
      </w:r>
    </w:p>
    <w:p w:rsidR="0065318E" w:rsidRDefault="0065318E">
      <w:pPr>
        <w:pStyle w:val="IASBSectionTitle1NonInd"/>
      </w:pPr>
      <w:r>
        <w:t>Withdrawal of other pronouncements</w:t>
      </w:r>
    </w:p>
    <w:p w:rsidR="003B3D68" w:rsidRDefault="003B3D68" w:rsidP="00CF13DB">
      <w:pPr>
        <w:pStyle w:val="IASBNormalnpara"/>
        <w:tabs>
          <w:tab w:val="left" w:pos="782"/>
        </w:tabs>
        <w:ind w:left="0" w:firstLine="0"/>
      </w:pPr>
      <w:r>
        <w:t>75–</w:t>
      </w:r>
      <w:r>
        <w:br/>
        <w:t>76</w:t>
      </w:r>
      <w:r>
        <w:tab/>
        <w:t>[Deleted by the AASB]</w:t>
      </w:r>
    </w:p>
    <w:p w:rsidR="00725E14" w:rsidRDefault="00725E14" w:rsidP="00F25671">
      <w:pPr>
        <w:pStyle w:val="IASBSectionTitle1NonInd"/>
      </w:pPr>
      <w:bookmarkStart w:id="15" w:name="CommenceHeading"/>
      <w:r>
        <w:t>Commencement of the legislative instrument</w:t>
      </w:r>
    </w:p>
    <w:p w:rsidR="00421A25" w:rsidRDefault="00421A25" w:rsidP="00421A25">
      <w:pPr>
        <w:pStyle w:val="AusPlain"/>
      </w:pPr>
      <w:bookmarkStart w:id="16" w:name="SSHeading"/>
      <w:bookmarkEnd w:id="15"/>
      <w:r>
        <w:t>Aus76.1</w:t>
      </w:r>
      <w:r>
        <w:tab/>
      </w:r>
      <w:r w:rsidRPr="00562E7C">
        <w:t>For legal purposes, this legislative instrument commences on</w:t>
      </w:r>
      <w:r>
        <w:t xml:space="preserve"> </w:t>
      </w:r>
      <w:bookmarkStart w:id="17" w:name="CommenceDate"/>
      <w:r>
        <w:t>31 December 2017</w:t>
      </w:r>
      <w:bookmarkEnd w:id="17"/>
      <w:r>
        <w:t>.</w:t>
      </w:r>
    </w:p>
    <w:p w:rsidR="00725E14" w:rsidRDefault="00725E14" w:rsidP="00F25671">
      <w:pPr>
        <w:pStyle w:val="IASBSectionTitle1NonInd"/>
      </w:pPr>
      <w:r>
        <w:t xml:space="preserve">Withdrawal of </w:t>
      </w:r>
      <w:r w:rsidR="002202BC">
        <w:t>AASB</w:t>
      </w:r>
      <w:r>
        <w:t xml:space="preserve"> pronouncements</w:t>
      </w:r>
    </w:p>
    <w:bookmarkEnd w:id="16"/>
    <w:p w:rsidR="000D21B8" w:rsidRDefault="000D21B8" w:rsidP="000D21B8">
      <w:pPr>
        <w:pStyle w:val="AusPlain"/>
      </w:pPr>
      <w:r>
        <w:t>Aus76.2</w:t>
      </w:r>
      <w:r>
        <w:tab/>
      </w:r>
      <w:r w:rsidR="006C0536">
        <w:t>T</w:t>
      </w:r>
      <w:r>
        <w:t xml:space="preserve">his Standard </w:t>
      </w:r>
      <w:r w:rsidR="006C0536">
        <w:t>repeals</w:t>
      </w:r>
      <w:r>
        <w:t xml:space="preserve"> </w:t>
      </w:r>
      <w:bookmarkStart w:id="18" w:name="SSInt"/>
      <w:r>
        <w:t>AASB</w:t>
      </w:r>
      <w:bookmarkEnd w:id="18"/>
      <w:r>
        <w:t xml:space="preserve"> </w:t>
      </w:r>
      <w:bookmarkStart w:id="19" w:name="SSAASBNo"/>
      <w:r>
        <w:t>133</w:t>
      </w:r>
      <w:bookmarkEnd w:id="19"/>
      <w:r>
        <w:t xml:space="preserve"> </w:t>
      </w:r>
      <w:bookmarkStart w:id="20" w:name="SSAASBTitle"/>
      <w:r w:rsidRPr="00725E14">
        <w:rPr>
          <w:i/>
        </w:rPr>
        <w:t>Earnings per Share</w:t>
      </w:r>
      <w:bookmarkEnd w:id="20"/>
      <w:r>
        <w:t xml:space="preserve"> issued in </w:t>
      </w:r>
      <w:bookmarkStart w:id="21" w:name="SSAASBDate"/>
      <w:r>
        <w:t>July 2004</w:t>
      </w:r>
      <w:bookmarkEnd w:id="21"/>
      <w:r>
        <w:t>. Despite the repeal, after the time this Standard starts to apply under section 334 of the Corporations Act (either generally or in relation to an individual entity), the repealed Standard continues to apply in relation to any period ending before that time as if the repeal had not occurred.</w:t>
      </w:r>
    </w:p>
    <w:p w:rsidR="000D21B8" w:rsidRDefault="000D21B8" w:rsidP="000D21B8">
      <w:pPr>
        <w:pStyle w:val="IASBNormalnparaL1P"/>
      </w:pPr>
      <w:r>
        <w:t>[Note: When this Standard applies under section 334 of the Corporations Act (either generally or in relation to an individual entity), it supersedes the application of the repealed Standard.]</w:t>
      </w:r>
    </w:p>
    <w:p w:rsidR="00421A25" w:rsidRDefault="00421A25" w:rsidP="00F25671">
      <w:pPr>
        <w:pStyle w:val="AusPlain"/>
      </w:pPr>
    </w:p>
    <w:p w:rsidR="00725E14" w:rsidRDefault="00725E14">
      <w:pPr>
        <w:widowControl w:val="0"/>
        <w:autoSpaceDE w:val="0"/>
        <w:autoSpaceDN w:val="0"/>
        <w:adjustRightInd w:val="0"/>
        <w:rPr>
          <w:lang w:eastAsia="en-GB"/>
        </w:rPr>
        <w:sectPr w:rsidR="00725E14" w:rsidSect="00153689">
          <w:headerReference w:type="even" r:id="rId26"/>
          <w:footerReference w:type="even" r:id="rId27"/>
          <w:footerReference w:type="default" r:id="rId28"/>
          <w:headerReference w:type="first" r:id="rId29"/>
          <w:footerReference w:type="first" r:id="rId30"/>
          <w:pgSz w:w="11907" w:h="16839"/>
          <w:pgMar w:top="1440" w:right="1440" w:bottom="1440" w:left="1440" w:header="720" w:footer="720" w:gutter="0"/>
          <w:cols w:space="708"/>
          <w:docGrid w:linePitch="360"/>
        </w:sectPr>
      </w:pPr>
    </w:p>
    <w:p w:rsidR="0065318E" w:rsidRDefault="0065318E">
      <w:pPr>
        <w:pStyle w:val="IASBSectionTitle1NonInd"/>
        <w:pBdr>
          <w:bottom w:val="none" w:sz="0" w:space="0" w:color="auto"/>
        </w:pBdr>
      </w:pPr>
      <w:r>
        <w:t>Appendix A</w:t>
      </w:r>
      <w:r>
        <w:br/>
        <w:t>Application guidance</w:t>
      </w:r>
    </w:p>
    <w:p w:rsidR="0065318E" w:rsidRDefault="0065318E">
      <w:pPr>
        <w:pStyle w:val="IASBNote"/>
      </w:pPr>
      <w:r>
        <w:t>This appendix is an integral part of the Standard.</w:t>
      </w:r>
    </w:p>
    <w:p w:rsidR="0065318E" w:rsidRDefault="0065318E">
      <w:pPr>
        <w:pStyle w:val="IASBSectionTitle2Ind"/>
      </w:pPr>
      <w:r>
        <w:t>Profit or loss attributable to the parent entity</w:t>
      </w:r>
    </w:p>
    <w:p w:rsidR="0065318E" w:rsidRPr="002B3629" w:rsidRDefault="0065318E" w:rsidP="002B3629">
      <w:pPr>
        <w:pStyle w:val="RDRM1"/>
      </w:pPr>
      <w:r w:rsidRPr="002B3629">
        <w:t>A1</w:t>
      </w:r>
      <w:r w:rsidRPr="002B3629">
        <w:tab/>
        <w:t>For the purpose of calculating earnings per share based on the consolidated financial statements, profit or loss attributable to the parent entity refers to profit or loss of the consolidated entity after adjusting for non-controlling interests.</w:t>
      </w:r>
    </w:p>
    <w:p w:rsidR="0065318E" w:rsidRDefault="0065318E">
      <w:pPr>
        <w:pStyle w:val="IASBSectionTitle2Ind"/>
      </w:pPr>
      <w:r>
        <w:t>Rights issues</w:t>
      </w:r>
    </w:p>
    <w:p w:rsidR="0065318E" w:rsidRPr="002B3629" w:rsidRDefault="0065318E" w:rsidP="002B3629">
      <w:pPr>
        <w:pStyle w:val="RDRM1"/>
      </w:pPr>
      <w:r w:rsidRPr="002B3629">
        <w:t>A2</w:t>
      </w:r>
      <w:r w:rsidRPr="002B3629">
        <w:tab/>
        <w:t xml:space="preserve">The issue of ordinary shares at the time of exercise or conversion of potential ordinary shares does not usually give rise to a bonus element. This is because the potential ordinary shares are usually issued for fair value, resulting in a proportionate change in the resources available to the entity. In a rights issue, however, the exercise price is often less than the fair value of the shares. Therefore, as noted in paragraph 27(b), such a rights issue includes a bonus element. If a rights issue is offered to all existing shareholders, the number of ordinary shares to be used in calculating basic and diluted earnings per share for all periods before the rights issue is the number of ordinary shares outstanding before the issue, multiplied by the following factor: </w:t>
      </w:r>
    </w:p>
    <w:p w:rsidR="0065318E" w:rsidRDefault="0065318E">
      <w:pPr>
        <w:pStyle w:val="IASBNormalnpara"/>
      </w:pPr>
    </w:p>
    <w:tbl>
      <w:tblPr>
        <w:tblW w:w="0" w:type="auto"/>
        <w:tblInd w:w="1668" w:type="dxa"/>
        <w:tblBorders>
          <w:insideH w:val="single" w:sz="4" w:space="0" w:color="auto"/>
          <w:insideV w:val="single" w:sz="4" w:space="0" w:color="auto"/>
        </w:tblBorders>
        <w:shd w:val="clear" w:color="auto" w:fill="D9D9D9" w:themeFill="background1" w:themeFillShade="D9"/>
        <w:tblLayout w:type="fixed"/>
        <w:tblLook w:val="0000" w:firstRow="0" w:lastRow="0" w:firstColumn="0" w:lastColumn="0" w:noHBand="0" w:noVBand="0"/>
        <w:tblCaption w:val="AASB 133 Table 1"/>
      </w:tblPr>
      <w:tblGrid>
        <w:gridCol w:w="6095"/>
      </w:tblGrid>
      <w:tr w:rsidR="0065318E" w:rsidTr="00F63158">
        <w:trPr>
          <w:cantSplit/>
        </w:trPr>
        <w:tc>
          <w:tcPr>
            <w:tcW w:w="6095" w:type="dxa"/>
            <w:shd w:val="clear" w:color="auto" w:fill="D9D9D9" w:themeFill="background1" w:themeFillShade="D9"/>
            <w:vAlign w:val="bottom"/>
          </w:tcPr>
          <w:p w:rsidR="0065318E" w:rsidRDefault="0065318E">
            <w:pPr>
              <w:pStyle w:val="IASBTableArial"/>
              <w:jc w:val="center"/>
            </w:pPr>
            <w:r>
              <w:t>Fair value per share immediately before the exercise of rights</w:t>
            </w:r>
          </w:p>
        </w:tc>
      </w:tr>
      <w:tr w:rsidR="0065318E" w:rsidTr="00F63158">
        <w:trPr>
          <w:cantSplit/>
        </w:trPr>
        <w:tc>
          <w:tcPr>
            <w:tcW w:w="6095" w:type="dxa"/>
            <w:shd w:val="clear" w:color="auto" w:fill="D9D9D9" w:themeFill="background1" w:themeFillShade="D9"/>
          </w:tcPr>
          <w:p w:rsidR="0065318E" w:rsidRDefault="0065318E">
            <w:pPr>
              <w:pStyle w:val="IASBTableArial"/>
              <w:jc w:val="center"/>
            </w:pPr>
            <w:r>
              <w:t>Theoretical ex-rights fair value per share</w:t>
            </w:r>
          </w:p>
        </w:tc>
      </w:tr>
    </w:tbl>
    <w:p w:rsidR="0065318E" w:rsidRDefault="0065318E">
      <w:pPr>
        <w:pStyle w:val="IASBNormalnpara"/>
      </w:pPr>
    </w:p>
    <w:p w:rsidR="0065318E" w:rsidRPr="002B3629" w:rsidRDefault="002B3629" w:rsidP="002B3629">
      <w:pPr>
        <w:pStyle w:val="RDRM1"/>
      </w:pPr>
      <w:r>
        <w:tab/>
      </w:r>
      <w:r w:rsidR="0065318E" w:rsidRPr="002B3629">
        <w:t>The theoretical ex-rights fair value per share is calculated by adding the aggregate fair value of the shares immediately before the exercise of the rights to the proceeds from the exercise of the rights, and dividing by the number of shares outstanding after the exercise of the rights. Where the rights are to be publicly traded separately from the shares before the exercise date, fair value is measured at the close of the last day on which the shares are traded together with the rights.</w:t>
      </w:r>
    </w:p>
    <w:p w:rsidR="0065318E" w:rsidRDefault="0065318E">
      <w:pPr>
        <w:pStyle w:val="IASBSectionTitle2Ind"/>
      </w:pPr>
      <w:r>
        <w:t>Control number</w:t>
      </w:r>
    </w:p>
    <w:p w:rsidR="0065318E" w:rsidRPr="002B3629" w:rsidRDefault="0065318E" w:rsidP="002B3629">
      <w:pPr>
        <w:pStyle w:val="RDRM1"/>
      </w:pPr>
      <w:r w:rsidRPr="002B3629">
        <w:t>A3</w:t>
      </w:r>
      <w:r w:rsidRPr="002B3629">
        <w:tab/>
        <w:t>To illustrate the application of the control number notion described in paragraphs 42 and 43, assume that an entity has profit from continuing operations attributable to the parent entity of CU4</w:t>
      </w:r>
      <w:proofErr w:type="gramStart"/>
      <w:r w:rsidRPr="002B3629">
        <w:t>,800</w:t>
      </w:r>
      <w:proofErr w:type="gramEnd"/>
      <w:r w:rsidRPr="002B3629">
        <w:t>,</w:t>
      </w:r>
      <w:r w:rsidR="005F7281" w:rsidRPr="002B3629">
        <w:rPr>
          <w:rStyle w:val="FootnoteReference"/>
        </w:rPr>
        <w:footnoteReference w:id="1"/>
      </w:r>
      <w:r w:rsidRPr="002B3629">
        <w:t xml:space="preserve">  a loss from discontinued operations attributable to the parent entity of (CU7,200), a loss attributable to the parent entity of (CU2,400), and 2,000 ordinary shares and 400 potential ordinary shares outstanding. The entity’s basic earnings per share is CU2.40 for continuing operations, (CU3.60) for discontinued operations and (CU1.20) for the loss. The 400 potential ordinary shares are included in the diluted earnings per share calculation because the resulting CU2.00 earnings per share for continuing operations is dilutive, assuming no profit or loss impact of those 400 potential ordinary shares. Because profit from continuing operations attributable to the parent entity is the control number, the entity also includes those 400 potential ordinary shares in the calculation of the other earnings per share amounts, even though the resulting earnings per share amounts are antidilutive to their comparable basic earnings per share amounts, </w:t>
      </w:r>
      <w:proofErr w:type="spellStart"/>
      <w:r w:rsidRPr="002B3629">
        <w:t>ie</w:t>
      </w:r>
      <w:proofErr w:type="spellEnd"/>
      <w:r w:rsidRPr="002B3629">
        <w:t xml:space="preserve"> the loss per share is less [(CU3.00) per share for the loss from discontinued operations and (CU1.00) per share for the loss].</w:t>
      </w:r>
    </w:p>
    <w:p w:rsidR="0065318E" w:rsidRDefault="0065318E">
      <w:pPr>
        <w:pStyle w:val="IASBSectionTitle2Ind"/>
      </w:pPr>
      <w:r>
        <w:t>Average market price of ordinary shares</w:t>
      </w:r>
    </w:p>
    <w:p w:rsidR="0065318E" w:rsidRPr="002B3629" w:rsidRDefault="0065318E" w:rsidP="002B3629">
      <w:pPr>
        <w:pStyle w:val="RDRM1"/>
      </w:pPr>
      <w:r w:rsidRPr="002B3629">
        <w:t>A4</w:t>
      </w:r>
      <w:r w:rsidRPr="002B3629">
        <w:tab/>
        <w:t>For the purpose of calculating diluted earnings per share, the average market price of ordinary shares assumed to be issued is calculated on the basis of the average market price of the ordinary shares during the period. Theoretically, every market transaction for an entity’s ordinary shares could be included in the determination of the average market price. As a practical matter, however, a simple average of weekly or monthly prices is usually adequate.</w:t>
      </w:r>
    </w:p>
    <w:p w:rsidR="0065318E" w:rsidRPr="002B3629" w:rsidRDefault="0065318E" w:rsidP="002B3629">
      <w:pPr>
        <w:pStyle w:val="RDRM1"/>
      </w:pPr>
      <w:r w:rsidRPr="002B3629">
        <w:t>A5</w:t>
      </w:r>
      <w:r w:rsidRPr="002B3629">
        <w:tab/>
        <w:t>Generally, closing market prices are adequate for calculating the average market price. When prices fluctuate widely, however, an average of the high and low prices usually produces a more representative price. The method used to calculate the average market price is used consistently unless it is no longer representative because of changed conditions. For example, an entity that uses closing market prices to calculate the average market price for several years of relatively stable prices might change to an average of high and low prices if prices start fluctuating greatly and the closing market prices no longer produce a representative average price.</w:t>
      </w:r>
    </w:p>
    <w:p w:rsidR="0065318E" w:rsidRDefault="0065318E">
      <w:pPr>
        <w:pStyle w:val="IASBSectionTitle2Ind"/>
      </w:pPr>
      <w:r>
        <w:t>Options, warrants and their equivalents</w:t>
      </w:r>
    </w:p>
    <w:p w:rsidR="0065318E" w:rsidRPr="002B3629" w:rsidRDefault="0065318E" w:rsidP="002B3629">
      <w:pPr>
        <w:pStyle w:val="RDRM1"/>
      </w:pPr>
      <w:r w:rsidRPr="002B3629">
        <w:t>A6</w:t>
      </w:r>
      <w:r w:rsidRPr="002B3629">
        <w:tab/>
        <w:t>Options or warrants to purchase convertible instruments are assumed to be exercised to purchase the convertible instrument whenever the average prices of both the convertible instrument and the ordinary shares obtainable upon conversion are above the exercise price of the options or warrants. However, exercise is not assumed unless conversion of similar outstanding convertible instruments, if any, is also assumed.</w:t>
      </w:r>
    </w:p>
    <w:p w:rsidR="0065318E" w:rsidRPr="002B3629" w:rsidRDefault="0065318E" w:rsidP="002B3629">
      <w:pPr>
        <w:pStyle w:val="RDRM1"/>
      </w:pPr>
      <w:r w:rsidRPr="002B3629">
        <w:t>A7</w:t>
      </w:r>
      <w:r w:rsidRPr="002B3629">
        <w:tab/>
        <w:t>Options or warrants may permit or require the tendering of debt or other instruments of the entity (or its parent or a subsidiary) in payment of all or a portion of the exercise price. In the calculation of diluted earnings per share, those options or warrants have a dilutive effect if (a) the average market price of the related ordinary shares for the period exceeds the exercise price or (b) the selling price of the instrument to be tendered is below that at which the instrument may be tendered under the option or warrant agreement and the resulting discount establishes an effective exercise price below the market price of the ordinary shares obtainable upon exercise. In the calculation of diluted earnings per share, those options or warrants are assumed to be exercised and the debt or other instruments are assumed to be tendered. If tendering cash is more advantageous to the option or warrant holder and the contract permits tendering cash, tendering of cash is assumed. Interest (net of tax) on any debt assumed to be tendered is added back as an adjustment to the numerator.</w:t>
      </w:r>
    </w:p>
    <w:p w:rsidR="0065318E" w:rsidRPr="002B3629" w:rsidRDefault="0065318E" w:rsidP="002B3629">
      <w:pPr>
        <w:pStyle w:val="RDRM1"/>
      </w:pPr>
      <w:r w:rsidRPr="002B3629">
        <w:t>A8</w:t>
      </w:r>
      <w:r w:rsidRPr="002B3629">
        <w:tab/>
        <w:t>Similar treatment is given to preference shares that have similar provisions or to other instruments that have conversion options that permit the investor to pay cash for a more favourable conversion rate.</w:t>
      </w:r>
    </w:p>
    <w:p w:rsidR="0065318E" w:rsidRPr="002B3629" w:rsidRDefault="0065318E" w:rsidP="002B3629">
      <w:pPr>
        <w:pStyle w:val="RDRM1"/>
      </w:pPr>
      <w:r w:rsidRPr="002B3629">
        <w:t>A9</w:t>
      </w:r>
      <w:r w:rsidRPr="002B3629">
        <w:tab/>
        <w:t>The underlying terms of certain options or warrants may require the proceeds received from the exercise of those instruments to be applied to redeem debt or other instruments of the entity (or its parent or a subsidiary). In the calculation of diluted earnings per share, those options or warrants are assumed to be exercised and the proceeds applied to purchase the debt at its average market price rather than to purchase ordinary shares. However, the excess proceeds received from the assumed exercise over the amount used for the assumed purchase of debt are considered (</w:t>
      </w:r>
      <w:proofErr w:type="spellStart"/>
      <w:r w:rsidRPr="002B3629">
        <w:t>ie</w:t>
      </w:r>
      <w:proofErr w:type="spellEnd"/>
      <w:r w:rsidRPr="002B3629">
        <w:t xml:space="preserve"> assumed to be used to buy back ordinary shares) in the diluted earnings per share calculation. Interest (net of tax) on any debt assumed to be purchased is added back as an adjustment to the numerator.</w:t>
      </w:r>
    </w:p>
    <w:p w:rsidR="0065318E" w:rsidRDefault="0065318E">
      <w:pPr>
        <w:pStyle w:val="IASBSectionTitle2Ind"/>
      </w:pPr>
      <w:r>
        <w:t>Written put options</w:t>
      </w:r>
    </w:p>
    <w:p w:rsidR="0065318E" w:rsidRPr="002B3629" w:rsidRDefault="0065318E" w:rsidP="002B3629">
      <w:pPr>
        <w:pStyle w:val="RDRM1"/>
      </w:pPr>
      <w:r w:rsidRPr="002B3629">
        <w:t>A10</w:t>
      </w:r>
      <w:r w:rsidRPr="002B3629">
        <w:tab/>
        <w:t>To illustrate the application of paragraph 63, assume that an entity has outstanding 120 written put options on its ordinary shares with an exercise price of CU35. The average market price of its ordinary shares for the period is CU28. In calculating diluted earnings per share, the entity assumes that it issued 150 shares at CU28 per share at the beginning of the period to satisfy its put obligation of CU4</w:t>
      </w:r>
      <w:proofErr w:type="gramStart"/>
      <w:r w:rsidRPr="002B3629">
        <w:t>,200</w:t>
      </w:r>
      <w:proofErr w:type="gramEnd"/>
      <w:r w:rsidRPr="002B3629">
        <w:t>. The difference between the 150 ordinary shares issued and the 120 ordinary shares received from satisfying the put option (30 incremental ordinary shares) is added to the denominator in calculating diluted earnings per share.</w:t>
      </w:r>
    </w:p>
    <w:p w:rsidR="0065318E" w:rsidRDefault="0065318E">
      <w:pPr>
        <w:pStyle w:val="IASBSectionTitle2Ind"/>
      </w:pPr>
      <w:r>
        <w:t>Instruments of subsidiaries, joint ventures or associates</w:t>
      </w:r>
    </w:p>
    <w:p w:rsidR="0065318E" w:rsidRPr="002B3629" w:rsidRDefault="0065318E" w:rsidP="002B3629">
      <w:pPr>
        <w:pStyle w:val="RDRM1"/>
      </w:pPr>
      <w:r w:rsidRPr="002B3629">
        <w:t>A11</w:t>
      </w:r>
      <w:r w:rsidRPr="002B3629">
        <w:tab/>
        <w:t xml:space="preserve">Potential ordinary shares of a subsidiary, joint venture or associate convertible into either ordinary shares of the subsidiary, joint venture or </w:t>
      </w:r>
      <w:proofErr w:type="gramStart"/>
      <w:r w:rsidRPr="002B3629">
        <w:t>associate,</w:t>
      </w:r>
      <w:proofErr w:type="gramEnd"/>
      <w:r w:rsidRPr="002B3629">
        <w:t xml:space="preserve"> or ordinary shares of the parent or investors with joint control of, or significant influence (the reporting entity) over, the investee are included in the calculation of diluted earnings per share as follows: </w:t>
      </w:r>
    </w:p>
    <w:p w:rsidR="0065318E" w:rsidRPr="002B3629" w:rsidRDefault="002B3629" w:rsidP="002B3629">
      <w:pPr>
        <w:pStyle w:val="RDRM2"/>
      </w:pPr>
      <w:r>
        <w:tab/>
      </w:r>
      <w:r w:rsidR="0065318E" w:rsidRPr="002B3629">
        <w:t>(a)</w:t>
      </w:r>
      <w:r w:rsidR="0065318E" w:rsidRPr="002B3629">
        <w:tab/>
        <w:t>instruments issued by a subsidiary, joint venture or associate that enable their holders to obtain ordinary shares of the subsidiary, joint venture or associate are included in calculating the diluted earnings per share data of the subsidiary, joint venture or associate. Those earnings per share are then included in the reporting entity’s earnings per share calculations based on the reporting entity’s holding of the instruments of the subsidiary, joint venture or associate.</w:t>
      </w:r>
    </w:p>
    <w:p w:rsidR="0065318E" w:rsidRPr="002B3629" w:rsidRDefault="002B3629" w:rsidP="002B3629">
      <w:pPr>
        <w:pStyle w:val="RDRM2"/>
      </w:pPr>
      <w:r>
        <w:tab/>
      </w:r>
      <w:r w:rsidR="0065318E" w:rsidRPr="002B3629">
        <w:t>(b)</w:t>
      </w:r>
      <w:r w:rsidR="0065318E" w:rsidRPr="002B3629">
        <w:tab/>
        <w:t>instruments of a subsidiary, joint venture or associate that are convertible into the reporting entity’s ordinary shares are considered among the potential ordinary shares of the reporting entity for the purpose of calculating diluted earnings per share. Likewise, options or warrants issued by a subsidiary, joint venture or associate to purchase ordinary shares of the reporting entity are considered among the potential ordinary shares of the reporting entity in the calculation of consolidated diluted earnings per share.</w:t>
      </w:r>
    </w:p>
    <w:p w:rsidR="0065318E" w:rsidRPr="002B3629" w:rsidRDefault="0065318E" w:rsidP="002B3629">
      <w:pPr>
        <w:pStyle w:val="RDRM1"/>
      </w:pPr>
      <w:r w:rsidRPr="002B3629">
        <w:t>A12</w:t>
      </w:r>
      <w:r w:rsidRPr="002B3629">
        <w:tab/>
        <w:t>For the purpose of determining the earnings per share effect of instruments issued by a reporting entity that are convertible into ordinary shares of a subsidiary, joint venture or associate, the instruments are assumed to be converted and the numerator (profit or loss attributable to ordinary equity holders of the parent entity) adjusted as necessary in accordance with paragraph 33. In addition to those adjustments, the numerator is adjusted for any change in the profit or loss recorded by the reporting entity (such as dividend income or equity method income) that is attributable to the increase in the number of ordinary shares of the subsidiary, joint venture or associate outstanding as a result of the assumed conversion. The denominator of the diluted earnings per share calculation is not affected because the number of ordinary shares of the reporting entity outstanding would not change upon assumed conversion.</w:t>
      </w:r>
    </w:p>
    <w:p w:rsidR="0065318E" w:rsidRDefault="0065318E">
      <w:pPr>
        <w:pStyle w:val="IASBSectionTitle2Ind"/>
      </w:pPr>
      <w:r>
        <w:t>Participating equity instruments and two-class ordinary shares</w:t>
      </w:r>
    </w:p>
    <w:p w:rsidR="0065318E" w:rsidRPr="002B3629" w:rsidRDefault="0065318E" w:rsidP="002B3629">
      <w:pPr>
        <w:pStyle w:val="RDRM1"/>
      </w:pPr>
      <w:r w:rsidRPr="002B3629">
        <w:t>A13</w:t>
      </w:r>
      <w:r w:rsidRPr="002B3629">
        <w:tab/>
        <w:t xml:space="preserve">The equity of some entities includes: </w:t>
      </w:r>
    </w:p>
    <w:p w:rsidR="0065318E" w:rsidRPr="002B3629" w:rsidRDefault="002B3629" w:rsidP="002B3629">
      <w:pPr>
        <w:pStyle w:val="RDRM2"/>
      </w:pPr>
      <w:r>
        <w:tab/>
      </w:r>
      <w:r w:rsidR="0065318E" w:rsidRPr="002B3629">
        <w:t>(a)</w:t>
      </w:r>
      <w:r w:rsidR="0065318E" w:rsidRPr="002B3629">
        <w:tab/>
      </w:r>
      <w:proofErr w:type="gramStart"/>
      <w:r w:rsidR="0065318E" w:rsidRPr="002B3629">
        <w:t>instruments</w:t>
      </w:r>
      <w:proofErr w:type="gramEnd"/>
      <w:r w:rsidR="0065318E" w:rsidRPr="002B3629">
        <w:t xml:space="preserve"> that participate in dividends with ordinary shares according to a predetermined formula (for example, two for one) with, at times, an upper limit on the extent of participation (for example, up to, but not beyond, a specified amount per share).</w:t>
      </w:r>
    </w:p>
    <w:p w:rsidR="0065318E" w:rsidRPr="002B3629" w:rsidRDefault="002B3629" w:rsidP="002B3629">
      <w:pPr>
        <w:pStyle w:val="RDRM2"/>
      </w:pPr>
      <w:r>
        <w:tab/>
      </w:r>
      <w:r w:rsidR="0065318E" w:rsidRPr="002B3629">
        <w:t>(b)</w:t>
      </w:r>
      <w:r w:rsidR="0065318E" w:rsidRPr="002B3629">
        <w:tab/>
      </w:r>
      <w:proofErr w:type="gramStart"/>
      <w:r w:rsidR="0065318E" w:rsidRPr="002B3629">
        <w:t>a</w:t>
      </w:r>
      <w:proofErr w:type="gramEnd"/>
      <w:r w:rsidR="0065318E" w:rsidRPr="002B3629">
        <w:t xml:space="preserve"> class of ordinary shares with a different dividend rate from that of another class of ordinary shares but without prior or senior rights.</w:t>
      </w:r>
    </w:p>
    <w:p w:rsidR="0065318E" w:rsidRPr="002B3629" w:rsidRDefault="0065318E" w:rsidP="002B3629">
      <w:pPr>
        <w:pStyle w:val="RDRM1"/>
      </w:pPr>
      <w:r w:rsidRPr="002B3629">
        <w:t>A14</w:t>
      </w:r>
      <w:r w:rsidRPr="002B3629">
        <w:tab/>
        <w:t xml:space="preserve">For the purpose of calculating diluted earnings per share, conversion is assumed for those instruments described in paragraph A13 that are convertible into ordinary shares if the effect is dilutive. For those instruments that are not convertible into a class of ordinary shares, profit or loss for the period is allocated to the different classes of shares and participating equity instruments in accordance with their dividend rights or other rights to participate in undistributed earnings. To calculate basic and diluted earnings per share: </w:t>
      </w:r>
    </w:p>
    <w:p w:rsidR="0065318E" w:rsidRPr="002B3629" w:rsidRDefault="002B3629" w:rsidP="002B3629">
      <w:pPr>
        <w:pStyle w:val="RDRM2"/>
      </w:pPr>
      <w:r>
        <w:tab/>
      </w:r>
      <w:r w:rsidR="0065318E" w:rsidRPr="002B3629">
        <w:t>(a)</w:t>
      </w:r>
      <w:r w:rsidR="0065318E" w:rsidRPr="002B3629">
        <w:tab/>
      </w:r>
      <w:proofErr w:type="gramStart"/>
      <w:r w:rsidR="0065318E" w:rsidRPr="002B3629">
        <w:t>profit</w:t>
      </w:r>
      <w:proofErr w:type="gramEnd"/>
      <w:r w:rsidR="0065318E" w:rsidRPr="002B3629">
        <w:t xml:space="preserve"> or loss attributable to ordinary equity holders of the parent entity is adjusted (a profit reduced and a loss increased) by the amount of dividends declared in the period for each class of shares and by the contractual amount of dividends (or interest on participating bonds) that must be paid for the period (for example, unpaid cumulative dividends).</w:t>
      </w:r>
    </w:p>
    <w:p w:rsidR="0065318E" w:rsidRPr="002B3629" w:rsidRDefault="002B3629" w:rsidP="002B3629">
      <w:pPr>
        <w:pStyle w:val="RDRM2"/>
      </w:pPr>
      <w:r>
        <w:tab/>
      </w:r>
      <w:r w:rsidR="0065318E" w:rsidRPr="002B3629">
        <w:t>(b)</w:t>
      </w:r>
      <w:r w:rsidR="0065318E" w:rsidRPr="002B3629">
        <w:tab/>
      </w:r>
      <w:proofErr w:type="gramStart"/>
      <w:r w:rsidR="0065318E" w:rsidRPr="002B3629">
        <w:t>the</w:t>
      </w:r>
      <w:proofErr w:type="gramEnd"/>
      <w:r w:rsidR="0065318E" w:rsidRPr="002B3629">
        <w:t xml:space="preserve"> remaining profit or loss is allocated to ordinary shares and participating equity instruments to the extent that each instrument shares in earnings as if all of the profit or loss for the period had been distributed. The total profit or loss allocated to each class of equity instrument is determined by adding together the amount allocated for dividends and the amount allocated for a participation feature.</w:t>
      </w:r>
    </w:p>
    <w:p w:rsidR="0065318E" w:rsidRPr="002B3629" w:rsidRDefault="002B3629" w:rsidP="002B3629">
      <w:pPr>
        <w:pStyle w:val="RDRM2"/>
      </w:pPr>
      <w:r>
        <w:tab/>
      </w:r>
      <w:r w:rsidR="0065318E" w:rsidRPr="002B3629">
        <w:t>(c)</w:t>
      </w:r>
      <w:r w:rsidR="0065318E" w:rsidRPr="002B3629">
        <w:tab/>
      </w:r>
      <w:proofErr w:type="gramStart"/>
      <w:r w:rsidR="0065318E" w:rsidRPr="002B3629">
        <w:t>the</w:t>
      </w:r>
      <w:proofErr w:type="gramEnd"/>
      <w:r w:rsidR="0065318E" w:rsidRPr="002B3629">
        <w:t xml:space="preserve"> total amount of profit or loss allocated to each class of equity instrument is divided by the number of outstanding instruments to which the earnings are allocated to determine the earnings per share for the instrument.</w:t>
      </w:r>
    </w:p>
    <w:p w:rsidR="0065318E" w:rsidRPr="002B3629" w:rsidRDefault="002B3629" w:rsidP="002B3629">
      <w:pPr>
        <w:pStyle w:val="RDRM2"/>
        <w:ind w:left="782" w:hanging="782"/>
      </w:pPr>
      <w:r>
        <w:tab/>
      </w:r>
      <w:r w:rsidR="0065318E" w:rsidRPr="002B3629">
        <w:t>For the calculation of diluted earnings per share, all potential ordinary shares assumed to have been issued are included in outstanding ordinary shares.</w:t>
      </w:r>
    </w:p>
    <w:p w:rsidR="0065318E" w:rsidRDefault="0065318E">
      <w:pPr>
        <w:pStyle w:val="IASBSectionTitle2Ind"/>
      </w:pPr>
      <w:r>
        <w:t>Partly paid shares</w:t>
      </w:r>
    </w:p>
    <w:p w:rsidR="0065318E" w:rsidRPr="002B3629" w:rsidRDefault="0065318E" w:rsidP="002B3629">
      <w:pPr>
        <w:pStyle w:val="RDRM1"/>
      </w:pPr>
      <w:r w:rsidRPr="002B3629">
        <w:t>A15</w:t>
      </w:r>
      <w:r w:rsidRPr="002B3629">
        <w:tab/>
        <w:t>Where ordinary shares are issued but not fully paid, they are treated in the calculation of basic earnings per share as a fraction of an ordinary share to the extent that they were entitled to participate in dividends during the period relative to a fully paid ordinary share.</w:t>
      </w:r>
    </w:p>
    <w:p w:rsidR="00640786" w:rsidRPr="002B3629" w:rsidRDefault="00640786" w:rsidP="002B3629">
      <w:pPr>
        <w:pStyle w:val="RDRM1"/>
      </w:pPr>
      <w:r w:rsidRPr="002B3629">
        <w:t>A16</w:t>
      </w:r>
      <w:r w:rsidRPr="002B3629">
        <w:tab/>
        <w:t>To the extent that partly paid shares are not entitled to participate in dividends during the period they are treated as the equivalent of warrants or options in the calculation of diluted earnings per share. The unpaid balance is assumed to represent proceeds used to purchase ordinary shares. The number of shares included in diluted earnings per share is the difference between the number of shares subscribed and the number of shares assumed to be purchased.</w:t>
      </w:r>
    </w:p>
    <w:p w:rsidR="00640786" w:rsidRDefault="00640786" w:rsidP="00D724FA">
      <w:pPr>
        <w:widowControl w:val="0"/>
        <w:autoSpaceDE w:val="0"/>
        <w:autoSpaceDN w:val="0"/>
        <w:adjustRightInd w:val="0"/>
        <w:rPr>
          <w:lang w:eastAsia="en-GB"/>
        </w:rPr>
        <w:sectPr w:rsidR="00640786" w:rsidSect="00153689">
          <w:headerReference w:type="even" r:id="rId31"/>
          <w:footerReference w:type="even" r:id="rId32"/>
          <w:footerReference w:type="default" r:id="rId33"/>
          <w:headerReference w:type="first" r:id="rId34"/>
          <w:footerReference w:type="first" r:id="rId35"/>
          <w:pgSz w:w="11907" w:h="16839"/>
          <w:pgMar w:top="1440" w:right="1440" w:bottom="1440" w:left="1440" w:header="720" w:footer="720" w:gutter="0"/>
          <w:cols w:space="708"/>
          <w:docGrid w:linePitch="360"/>
        </w:sectPr>
      </w:pPr>
    </w:p>
    <w:p w:rsidR="003B3D68" w:rsidRDefault="003B3D68" w:rsidP="003B3D68">
      <w:pPr>
        <w:pStyle w:val="ConvSectionTitle"/>
      </w:pPr>
      <w:r>
        <w:t xml:space="preserve">Appendix </w:t>
      </w:r>
      <w:bookmarkStart w:id="22" w:name="AppendixNo"/>
      <w:r w:rsidR="00F63158">
        <w:t>C</w:t>
      </w:r>
      <w:bookmarkEnd w:id="22"/>
      <w:r w:rsidR="001402D5">
        <w:br/>
        <w:t>Australian reduced disclosure r</w:t>
      </w:r>
      <w:r>
        <w:t>equirements</w:t>
      </w:r>
    </w:p>
    <w:p w:rsidR="003B3D68" w:rsidRDefault="003B3D68" w:rsidP="003B3D68">
      <w:pPr>
        <w:pStyle w:val="IASBNote"/>
      </w:pPr>
      <w:r>
        <w:t xml:space="preserve">This appendix is an integral part of </w:t>
      </w:r>
      <w:r w:rsidR="00D94D08">
        <w:t>the Standard</w:t>
      </w:r>
      <w:r>
        <w:t>.</w:t>
      </w:r>
    </w:p>
    <w:p w:rsidR="003B3D68" w:rsidRDefault="00F63158" w:rsidP="003B3D68">
      <w:pPr>
        <w:pStyle w:val="AusPlain"/>
      </w:pPr>
      <w:r>
        <w:t>AusC</w:t>
      </w:r>
      <w:r w:rsidR="003B3D68">
        <w:t>1</w:t>
      </w:r>
      <w:r w:rsidR="003B3D68" w:rsidRPr="003B3D68">
        <w:tab/>
        <w:t>Paragraphs 3-73A and the Application Guidance Appendix do not apply to entities preparing general purpose financial statements under Australian Accounting Standards – Reduced Disclosure Requirements and are identified in this Standard by</w:t>
      </w:r>
      <w:r>
        <w:t xml:space="preserve"> shading of the relevant text. </w:t>
      </w:r>
      <w:r w:rsidRPr="003B3D68">
        <w:t xml:space="preserve">This </w:t>
      </w:r>
      <w:r w:rsidR="003B3D68" w:rsidRPr="003B3D68">
        <w:t>Standard applies to relevant Tier 1 entities preparing general purpose financial statements in accordance with Australian Accounting Standards and to relevant Tier 2 entities that elect</w:t>
      </w:r>
      <w:r>
        <w:t xml:space="preserve"> to comply with this Standard. </w:t>
      </w:r>
      <w:r w:rsidR="003B3D68" w:rsidRPr="003B3D68">
        <w:t>Entities applying Australian Accounting Standards – Reduced Disclosure Requirements may elect to comply with some or all of the excluded requirements.</w:t>
      </w:r>
    </w:p>
    <w:p w:rsidR="003B3D68" w:rsidRDefault="003B3D68" w:rsidP="003B3D68"/>
    <w:p w:rsidR="003B3D68" w:rsidRDefault="003B3D68" w:rsidP="003B3D68">
      <w:pPr>
        <w:sectPr w:rsidR="003B3D68" w:rsidSect="00725E14">
          <w:footerReference w:type="default" r:id="rId36"/>
          <w:headerReference w:type="first" r:id="rId37"/>
          <w:footerReference w:type="first" r:id="rId38"/>
          <w:pgSz w:w="11907" w:h="16839"/>
          <w:pgMar w:top="1440" w:right="1440" w:bottom="1440" w:left="1440" w:header="709" w:footer="709" w:gutter="0"/>
          <w:cols w:space="708"/>
          <w:docGrid w:linePitch="360"/>
        </w:sectPr>
      </w:pPr>
    </w:p>
    <w:p w:rsidR="0041571A" w:rsidRDefault="0041571A" w:rsidP="0041571A">
      <w:pPr>
        <w:pStyle w:val="IASBSectionTitle1NonInd"/>
        <w:pBdr>
          <w:bottom w:val="none" w:sz="0" w:space="0" w:color="auto"/>
        </w:pBdr>
      </w:pPr>
      <w:r>
        <w:t>Illustrative examples</w:t>
      </w:r>
    </w:p>
    <w:tbl>
      <w:tblPr>
        <w:tblW w:w="9394" w:type="dxa"/>
        <w:tblLayout w:type="fixed"/>
        <w:tblLook w:val="0000" w:firstRow="0" w:lastRow="0" w:firstColumn="0" w:lastColumn="0" w:noHBand="0" w:noVBand="0"/>
        <w:tblCaption w:val="AASB 133 Table 2"/>
      </w:tblPr>
      <w:tblGrid>
        <w:gridCol w:w="236"/>
        <w:gridCol w:w="7225"/>
        <w:gridCol w:w="1697"/>
        <w:gridCol w:w="236"/>
      </w:tblGrid>
      <w:tr w:rsidR="00D724FA" w:rsidRPr="00592251" w:rsidTr="0041571A">
        <w:trPr>
          <w:cantSplit/>
        </w:trPr>
        <w:tc>
          <w:tcPr>
            <w:tcW w:w="7461" w:type="dxa"/>
            <w:gridSpan w:val="2"/>
            <w:vAlign w:val="bottom"/>
          </w:tcPr>
          <w:p w:rsidR="00D724FA" w:rsidRPr="00592251" w:rsidRDefault="00D724FA" w:rsidP="00A858D8">
            <w:pPr>
              <w:pStyle w:val="IASBTableBoldArial"/>
              <w:rPr>
                <w:b w:val="0"/>
                <w:sz w:val="22"/>
              </w:rPr>
            </w:pPr>
            <w:r w:rsidRPr="00592251">
              <w:rPr>
                <w:b w:val="0"/>
                <w:smallCaps/>
                <w:sz w:val="22"/>
              </w:rPr>
              <w:t>Contents</w:t>
            </w:r>
          </w:p>
        </w:tc>
        <w:tc>
          <w:tcPr>
            <w:tcW w:w="1697" w:type="dxa"/>
            <w:tcBorders>
              <w:left w:val="nil"/>
            </w:tcBorders>
            <w:vAlign w:val="bottom"/>
          </w:tcPr>
          <w:p w:rsidR="00D724FA" w:rsidRPr="00592251" w:rsidRDefault="00D724FA" w:rsidP="00A858D8">
            <w:pPr>
              <w:pStyle w:val="IASBTableArial"/>
            </w:pPr>
          </w:p>
        </w:tc>
        <w:tc>
          <w:tcPr>
            <w:tcW w:w="236" w:type="dxa"/>
            <w:tcBorders>
              <w:left w:val="nil"/>
            </w:tcBorders>
            <w:vAlign w:val="bottom"/>
          </w:tcPr>
          <w:p w:rsidR="00D724FA" w:rsidRPr="00592251" w:rsidRDefault="00D724FA" w:rsidP="00A858D8">
            <w:pPr>
              <w:pStyle w:val="IASBTableBoldArial"/>
              <w:rPr>
                <w:b w:val="0"/>
              </w:rPr>
            </w:pPr>
          </w:p>
        </w:tc>
      </w:tr>
      <w:tr w:rsidR="00D724FA" w:rsidTr="0041571A">
        <w:trPr>
          <w:cantSplit/>
        </w:trPr>
        <w:tc>
          <w:tcPr>
            <w:tcW w:w="236" w:type="dxa"/>
            <w:tcBorders>
              <w:top w:val="nil"/>
            </w:tcBorders>
            <w:vAlign w:val="bottom"/>
          </w:tcPr>
          <w:p w:rsidR="00D724FA" w:rsidRDefault="00D724FA" w:rsidP="00A858D8">
            <w:pPr>
              <w:pStyle w:val="IASBTableBoldArial"/>
            </w:pPr>
          </w:p>
        </w:tc>
        <w:tc>
          <w:tcPr>
            <w:tcW w:w="7225" w:type="dxa"/>
            <w:tcBorders>
              <w:top w:val="nil"/>
              <w:left w:val="nil"/>
            </w:tcBorders>
            <w:vAlign w:val="bottom"/>
          </w:tcPr>
          <w:p w:rsidR="00D724FA" w:rsidRDefault="00D724FA" w:rsidP="00A858D8">
            <w:pPr>
              <w:pStyle w:val="IASBTableBoldArial"/>
            </w:pPr>
            <w:r>
              <w:t>Example 1</w:t>
            </w:r>
            <w:r>
              <w:t> </w:t>
            </w:r>
            <w:r>
              <w:t>Increasing rate preference shares</w:t>
            </w:r>
          </w:p>
        </w:tc>
        <w:tc>
          <w:tcPr>
            <w:tcW w:w="1697" w:type="dxa"/>
            <w:tcBorders>
              <w:top w:val="nil"/>
              <w:left w:val="nil"/>
            </w:tcBorders>
            <w:vAlign w:val="bottom"/>
          </w:tcPr>
          <w:p w:rsidR="00D724FA" w:rsidRDefault="00D724FA" w:rsidP="00A858D8">
            <w:pPr>
              <w:pStyle w:val="IASBTableBoldArial"/>
              <w:jc w:val="right"/>
            </w:pPr>
          </w:p>
        </w:tc>
        <w:tc>
          <w:tcPr>
            <w:tcW w:w="236" w:type="dxa"/>
            <w:tcBorders>
              <w:top w:val="nil"/>
              <w:left w:val="nil"/>
            </w:tcBorders>
            <w:vAlign w:val="bottom"/>
          </w:tcPr>
          <w:p w:rsidR="00D724FA" w:rsidRDefault="00D724FA" w:rsidP="00A858D8">
            <w:pPr>
              <w:pStyle w:val="IASBTableBoldArial"/>
            </w:pPr>
          </w:p>
        </w:tc>
      </w:tr>
      <w:tr w:rsidR="00D724FA" w:rsidTr="0041571A">
        <w:trPr>
          <w:cantSplit/>
        </w:trPr>
        <w:tc>
          <w:tcPr>
            <w:tcW w:w="236" w:type="dxa"/>
            <w:tcBorders>
              <w:top w:val="nil"/>
            </w:tcBorders>
            <w:vAlign w:val="bottom"/>
          </w:tcPr>
          <w:p w:rsidR="00D724FA" w:rsidRDefault="00D724FA" w:rsidP="00A858D8">
            <w:pPr>
              <w:pStyle w:val="IASBTableBoldArial"/>
            </w:pPr>
          </w:p>
        </w:tc>
        <w:tc>
          <w:tcPr>
            <w:tcW w:w="7225" w:type="dxa"/>
            <w:tcBorders>
              <w:top w:val="nil"/>
              <w:left w:val="nil"/>
            </w:tcBorders>
            <w:vAlign w:val="bottom"/>
          </w:tcPr>
          <w:p w:rsidR="00D724FA" w:rsidRDefault="00D724FA" w:rsidP="00A858D8">
            <w:pPr>
              <w:pStyle w:val="IASBTableBoldArial"/>
            </w:pPr>
            <w:r>
              <w:t>Example 2</w:t>
            </w:r>
            <w:r>
              <w:t> </w:t>
            </w:r>
            <w:r>
              <w:t>Weighted average number of ordinary shares</w:t>
            </w:r>
          </w:p>
        </w:tc>
        <w:tc>
          <w:tcPr>
            <w:tcW w:w="1697" w:type="dxa"/>
            <w:tcBorders>
              <w:top w:val="nil"/>
              <w:left w:val="nil"/>
            </w:tcBorders>
            <w:vAlign w:val="bottom"/>
          </w:tcPr>
          <w:p w:rsidR="00D724FA" w:rsidRDefault="00D724FA" w:rsidP="00A858D8">
            <w:pPr>
              <w:pStyle w:val="IASBTableBoldArial"/>
              <w:jc w:val="right"/>
            </w:pPr>
          </w:p>
        </w:tc>
        <w:tc>
          <w:tcPr>
            <w:tcW w:w="236" w:type="dxa"/>
            <w:tcBorders>
              <w:top w:val="nil"/>
              <w:left w:val="nil"/>
            </w:tcBorders>
            <w:vAlign w:val="bottom"/>
          </w:tcPr>
          <w:p w:rsidR="00D724FA" w:rsidRDefault="00D724FA" w:rsidP="00A858D8">
            <w:pPr>
              <w:pStyle w:val="IASBTableBoldArial"/>
            </w:pPr>
          </w:p>
        </w:tc>
      </w:tr>
      <w:tr w:rsidR="00D724FA" w:rsidTr="0041571A">
        <w:trPr>
          <w:cantSplit/>
        </w:trPr>
        <w:tc>
          <w:tcPr>
            <w:tcW w:w="236" w:type="dxa"/>
            <w:tcBorders>
              <w:top w:val="nil"/>
            </w:tcBorders>
            <w:vAlign w:val="bottom"/>
          </w:tcPr>
          <w:p w:rsidR="00D724FA" w:rsidRDefault="00D724FA" w:rsidP="00A858D8">
            <w:pPr>
              <w:pStyle w:val="IASBTableBoldArial"/>
            </w:pPr>
          </w:p>
        </w:tc>
        <w:tc>
          <w:tcPr>
            <w:tcW w:w="7225" w:type="dxa"/>
            <w:tcBorders>
              <w:top w:val="nil"/>
              <w:left w:val="nil"/>
            </w:tcBorders>
            <w:vAlign w:val="bottom"/>
          </w:tcPr>
          <w:p w:rsidR="00D724FA" w:rsidRDefault="00D724FA" w:rsidP="00A858D8">
            <w:pPr>
              <w:pStyle w:val="IASBTableBoldArial"/>
            </w:pPr>
            <w:r>
              <w:t>Example 3</w:t>
            </w:r>
            <w:r>
              <w:t> </w:t>
            </w:r>
            <w:r>
              <w:t>Bonus issue</w:t>
            </w:r>
          </w:p>
        </w:tc>
        <w:tc>
          <w:tcPr>
            <w:tcW w:w="1697" w:type="dxa"/>
            <w:tcBorders>
              <w:top w:val="nil"/>
              <w:left w:val="nil"/>
            </w:tcBorders>
            <w:vAlign w:val="bottom"/>
          </w:tcPr>
          <w:p w:rsidR="00D724FA" w:rsidRDefault="00D724FA" w:rsidP="00A858D8">
            <w:pPr>
              <w:pStyle w:val="IASBTableBoldArial"/>
              <w:jc w:val="right"/>
            </w:pPr>
          </w:p>
        </w:tc>
        <w:tc>
          <w:tcPr>
            <w:tcW w:w="236" w:type="dxa"/>
            <w:tcBorders>
              <w:top w:val="nil"/>
              <w:left w:val="nil"/>
            </w:tcBorders>
            <w:vAlign w:val="bottom"/>
          </w:tcPr>
          <w:p w:rsidR="00D724FA" w:rsidRDefault="00D724FA" w:rsidP="00A858D8">
            <w:pPr>
              <w:pStyle w:val="IASBTableBoldArial"/>
            </w:pPr>
          </w:p>
        </w:tc>
      </w:tr>
      <w:tr w:rsidR="00D724FA" w:rsidTr="0041571A">
        <w:trPr>
          <w:cantSplit/>
        </w:trPr>
        <w:tc>
          <w:tcPr>
            <w:tcW w:w="236" w:type="dxa"/>
            <w:tcBorders>
              <w:top w:val="nil"/>
            </w:tcBorders>
            <w:vAlign w:val="bottom"/>
          </w:tcPr>
          <w:p w:rsidR="00D724FA" w:rsidRDefault="00D724FA" w:rsidP="00A858D8">
            <w:pPr>
              <w:pStyle w:val="IASBTableBoldArial"/>
            </w:pPr>
          </w:p>
        </w:tc>
        <w:tc>
          <w:tcPr>
            <w:tcW w:w="7225" w:type="dxa"/>
            <w:tcBorders>
              <w:top w:val="nil"/>
              <w:left w:val="nil"/>
            </w:tcBorders>
            <w:vAlign w:val="bottom"/>
          </w:tcPr>
          <w:p w:rsidR="00D724FA" w:rsidRDefault="00D724FA" w:rsidP="00A858D8">
            <w:pPr>
              <w:pStyle w:val="IASBTableBoldArial"/>
            </w:pPr>
            <w:r>
              <w:t>Example 4</w:t>
            </w:r>
            <w:r>
              <w:t> </w:t>
            </w:r>
            <w:r>
              <w:t>Rights issue</w:t>
            </w:r>
          </w:p>
        </w:tc>
        <w:tc>
          <w:tcPr>
            <w:tcW w:w="1697" w:type="dxa"/>
            <w:tcBorders>
              <w:top w:val="nil"/>
              <w:left w:val="nil"/>
            </w:tcBorders>
            <w:vAlign w:val="bottom"/>
          </w:tcPr>
          <w:p w:rsidR="00D724FA" w:rsidRDefault="00D724FA" w:rsidP="00A858D8">
            <w:pPr>
              <w:pStyle w:val="IASBTableBoldArial"/>
              <w:jc w:val="right"/>
            </w:pPr>
          </w:p>
        </w:tc>
        <w:tc>
          <w:tcPr>
            <w:tcW w:w="236" w:type="dxa"/>
            <w:tcBorders>
              <w:top w:val="nil"/>
              <w:left w:val="nil"/>
            </w:tcBorders>
            <w:vAlign w:val="bottom"/>
          </w:tcPr>
          <w:p w:rsidR="00D724FA" w:rsidRDefault="00D724FA" w:rsidP="00A858D8">
            <w:pPr>
              <w:pStyle w:val="IASBTableBoldArial"/>
            </w:pPr>
          </w:p>
        </w:tc>
      </w:tr>
      <w:tr w:rsidR="00D724FA" w:rsidTr="0041571A">
        <w:trPr>
          <w:cantSplit/>
        </w:trPr>
        <w:tc>
          <w:tcPr>
            <w:tcW w:w="236" w:type="dxa"/>
            <w:tcBorders>
              <w:top w:val="nil"/>
            </w:tcBorders>
            <w:vAlign w:val="bottom"/>
          </w:tcPr>
          <w:p w:rsidR="00D724FA" w:rsidRDefault="00D724FA" w:rsidP="00A858D8">
            <w:pPr>
              <w:pStyle w:val="IASBTableBoldArial"/>
            </w:pPr>
          </w:p>
        </w:tc>
        <w:tc>
          <w:tcPr>
            <w:tcW w:w="7225" w:type="dxa"/>
            <w:tcBorders>
              <w:top w:val="nil"/>
              <w:left w:val="nil"/>
            </w:tcBorders>
            <w:vAlign w:val="bottom"/>
          </w:tcPr>
          <w:p w:rsidR="00D724FA" w:rsidRDefault="00D724FA" w:rsidP="00A858D8">
            <w:pPr>
              <w:pStyle w:val="IASBTableBoldArial"/>
            </w:pPr>
            <w:r>
              <w:t>Example 5</w:t>
            </w:r>
            <w:r>
              <w:t> </w:t>
            </w:r>
            <w:r>
              <w:t>Effects of share options on diluted earnings per share</w:t>
            </w:r>
          </w:p>
        </w:tc>
        <w:tc>
          <w:tcPr>
            <w:tcW w:w="1697" w:type="dxa"/>
            <w:tcBorders>
              <w:top w:val="nil"/>
              <w:left w:val="nil"/>
            </w:tcBorders>
            <w:vAlign w:val="bottom"/>
          </w:tcPr>
          <w:p w:rsidR="00D724FA" w:rsidRDefault="00D724FA" w:rsidP="00A858D8">
            <w:pPr>
              <w:pStyle w:val="IASBTableBoldArial"/>
              <w:jc w:val="right"/>
            </w:pPr>
          </w:p>
        </w:tc>
        <w:tc>
          <w:tcPr>
            <w:tcW w:w="236" w:type="dxa"/>
            <w:tcBorders>
              <w:top w:val="nil"/>
              <w:left w:val="nil"/>
            </w:tcBorders>
            <w:vAlign w:val="bottom"/>
          </w:tcPr>
          <w:p w:rsidR="00D724FA" w:rsidRDefault="00D724FA" w:rsidP="00A858D8">
            <w:pPr>
              <w:pStyle w:val="IASBTableBoldArial"/>
            </w:pPr>
          </w:p>
        </w:tc>
      </w:tr>
      <w:tr w:rsidR="00D724FA" w:rsidTr="0041571A">
        <w:trPr>
          <w:cantSplit/>
        </w:trPr>
        <w:tc>
          <w:tcPr>
            <w:tcW w:w="236" w:type="dxa"/>
            <w:tcBorders>
              <w:top w:val="nil"/>
            </w:tcBorders>
            <w:vAlign w:val="bottom"/>
          </w:tcPr>
          <w:p w:rsidR="00D724FA" w:rsidRDefault="00D724FA" w:rsidP="00A858D8">
            <w:pPr>
              <w:pStyle w:val="IASBTableBoldArial"/>
            </w:pPr>
          </w:p>
        </w:tc>
        <w:tc>
          <w:tcPr>
            <w:tcW w:w="7225" w:type="dxa"/>
            <w:tcBorders>
              <w:top w:val="nil"/>
              <w:left w:val="nil"/>
            </w:tcBorders>
            <w:vAlign w:val="bottom"/>
          </w:tcPr>
          <w:p w:rsidR="00D724FA" w:rsidRDefault="00D724FA" w:rsidP="00A858D8">
            <w:pPr>
              <w:pStyle w:val="IASBTableBoldArial"/>
            </w:pPr>
            <w:r>
              <w:t>Example 5A</w:t>
            </w:r>
            <w:r>
              <w:t> </w:t>
            </w:r>
            <w:r>
              <w:t>Determining the exercise price of employee share options</w:t>
            </w:r>
          </w:p>
        </w:tc>
        <w:tc>
          <w:tcPr>
            <w:tcW w:w="1697" w:type="dxa"/>
            <w:tcBorders>
              <w:top w:val="nil"/>
              <w:left w:val="nil"/>
            </w:tcBorders>
            <w:vAlign w:val="bottom"/>
          </w:tcPr>
          <w:p w:rsidR="00D724FA" w:rsidRDefault="00D724FA" w:rsidP="00A858D8">
            <w:pPr>
              <w:pStyle w:val="IASBTableBoldArial"/>
              <w:jc w:val="right"/>
            </w:pPr>
          </w:p>
        </w:tc>
        <w:tc>
          <w:tcPr>
            <w:tcW w:w="236" w:type="dxa"/>
            <w:tcBorders>
              <w:top w:val="nil"/>
              <w:left w:val="nil"/>
            </w:tcBorders>
            <w:vAlign w:val="bottom"/>
          </w:tcPr>
          <w:p w:rsidR="00D724FA" w:rsidRDefault="00D724FA" w:rsidP="00A858D8">
            <w:pPr>
              <w:pStyle w:val="IASBTableBoldArial"/>
            </w:pPr>
          </w:p>
        </w:tc>
      </w:tr>
      <w:tr w:rsidR="00D724FA" w:rsidTr="0041571A">
        <w:trPr>
          <w:cantSplit/>
        </w:trPr>
        <w:tc>
          <w:tcPr>
            <w:tcW w:w="236" w:type="dxa"/>
            <w:tcBorders>
              <w:top w:val="nil"/>
            </w:tcBorders>
            <w:vAlign w:val="bottom"/>
          </w:tcPr>
          <w:p w:rsidR="00D724FA" w:rsidRDefault="00D724FA" w:rsidP="00A858D8">
            <w:pPr>
              <w:pStyle w:val="IASBTableBoldArial"/>
            </w:pPr>
          </w:p>
        </w:tc>
        <w:tc>
          <w:tcPr>
            <w:tcW w:w="7225" w:type="dxa"/>
            <w:tcBorders>
              <w:top w:val="nil"/>
              <w:left w:val="nil"/>
            </w:tcBorders>
            <w:vAlign w:val="bottom"/>
          </w:tcPr>
          <w:p w:rsidR="00D724FA" w:rsidRDefault="00D724FA" w:rsidP="00A858D8">
            <w:pPr>
              <w:pStyle w:val="IASBTableBoldArial"/>
            </w:pPr>
            <w:r>
              <w:t>Example 6</w:t>
            </w:r>
            <w:r>
              <w:t> </w:t>
            </w:r>
            <w:r>
              <w:t>Convertible bonds</w:t>
            </w:r>
          </w:p>
        </w:tc>
        <w:tc>
          <w:tcPr>
            <w:tcW w:w="1697" w:type="dxa"/>
            <w:tcBorders>
              <w:top w:val="nil"/>
              <w:left w:val="nil"/>
            </w:tcBorders>
            <w:vAlign w:val="bottom"/>
          </w:tcPr>
          <w:p w:rsidR="00D724FA" w:rsidRDefault="00D724FA" w:rsidP="00A858D8">
            <w:pPr>
              <w:pStyle w:val="IASBTableBoldArial"/>
              <w:jc w:val="right"/>
            </w:pPr>
          </w:p>
        </w:tc>
        <w:tc>
          <w:tcPr>
            <w:tcW w:w="236" w:type="dxa"/>
            <w:tcBorders>
              <w:top w:val="nil"/>
              <w:left w:val="nil"/>
            </w:tcBorders>
            <w:vAlign w:val="bottom"/>
          </w:tcPr>
          <w:p w:rsidR="00D724FA" w:rsidRDefault="00D724FA" w:rsidP="00A858D8">
            <w:pPr>
              <w:pStyle w:val="IASBTableBoldArial"/>
            </w:pPr>
          </w:p>
        </w:tc>
      </w:tr>
      <w:tr w:rsidR="00D724FA" w:rsidTr="0041571A">
        <w:trPr>
          <w:cantSplit/>
        </w:trPr>
        <w:tc>
          <w:tcPr>
            <w:tcW w:w="236" w:type="dxa"/>
            <w:tcBorders>
              <w:top w:val="nil"/>
            </w:tcBorders>
            <w:vAlign w:val="bottom"/>
          </w:tcPr>
          <w:p w:rsidR="00D724FA" w:rsidRDefault="00D724FA" w:rsidP="00A858D8">
            <w:pPr>
              <w:pStyle w:val="IASBTableBoldArial"/>
            </w:pPr>
          </w:p>
        </w:tc>
        <w:tc>
          <w:tcPr>
            <w:tcW w:w="7225" w:type="dxa"/>
            <w:tcBorders>
              <w:top w:val="nil"/>
              <w:left w:val="nil"/>
            </w:tcBorders>
            <w:vAlign w:val="bottom"/>
          </w:tcPr>
          <w:p w:rsidR="00D724FA" w:rsidRDefault="00D724FA" w:rsidP="00A858D8">
            <w:pPr>
              <w:pStyle w:val="IASBTableBoldArial"/>
            </w:pPr>
            <w:r>
              <w:t>Example 7</w:t>
            </w:r>
            <w:r>
              <w:t> </w:t>
            </w:r>
            <w:r>
              <w:t>Contingently issuable shares</w:t>
            </w:r>
          </w:p>
        </w:tc>
        <w:tc>
          <w:tcPr>
            <w:tcW w:w="1697" w:type="dxa"/>
            <w:tcBorders>
              <w:top w:val="nil"/>
              <w:left w:val="nil"/>
            </w:tcBorders>
            <w:vAlign w:val="bottom"/>
          </w:tcPr>
          <w:p w:rsidR="00D724FA" w:rsidRDefault="00D724FA" w:rsidP="00A858D8">
            <w:pPr>
              <w:pStyle w:val="IASBTableBoldArial"/>
              <w:jc w:val="right"/>
            </w:pPr>
          </w:p>
        </w:tc>
        <w:tc>
          <w:tcPr>
            <w:tcW w:w="236" w:type="dxa"/>
            <w:tcBorders>
              <w:top w:val="nil"/>
              <w:left w:val="nil"/>
            </w:tcBorders>
            <w:vAlign w:val="bottom"/>
          </w:tcPr>
          <w:p w:rsidR="00D724FA" w:rsidRDefault="00D724FA" w:rsidP="00A858D8">
            <w:pPr>
              <w:pStyle w:val="IASBTableBoldArial"/>
            </w:pPr>
          </w:p>
        </w:tc>
      </w:tr>
      <w:tr w:rsidR="00D724FA" w:rsidTr="0041571A">
        <w:trPr>
          <w:cantSplit/>
        </w:trPr>
        <w:tc>
          <w:tcPr>
            <w:tcW w:w="236" w:type="dxa"/>
            <w:tcBorders>
              <w:top w:val="nil"/>
            </w:tcBorders>
            <w:vAlign w:val="bottom"/>
          </w:tcPr>
          <w:p w:rsidR="00D724FA" w:rsidRDefault="00D724FA" w:rsidP="00A858D8">
            <w:pPr>
              <w:pStyle w:val="IASBTableBoldArial"/>
            </w:pPr>
          </w:p>
        </w:tc>
        <w:tc>
          <w:tcPr>
            <w:tcW w:w="7225" w:type="dxa"/>
            <w:tcBorders>
              <w:top w:val="nil"/>
              <w:left w:val="nil"/>
            </w:tcBorders>
            <w:vAlign w:val="bottom"/>
          </w:tcPr>
          <w:p w:rsidR="00D724FA" w:rsidRDefault="00D724FA" w:rsidP="00A858D8">
            <w:pPr>
              <w:pStyle w:val="IASBTableBoldArial"/>
            </w:pPr>
            <w:r>
              <w:t>Example 8</w:t>
            </w:r>
            <w:r>
              <w:t> </w:t>
            </w:r>
            <w:r>
              <w:t>Convertible bonds settled in shares or cash at the issuer's option</w:t>
            </w:r>
          </w:p>
        </w:tc>
        <w:tc>
          <w:tcPr>
            <w:tcW w:w="1697" w:type="dxa"/>
            <w:tcBorders>
              <w:top w:val="nil"/>
              <w:left w:val="nil"/>
            </w:tcBorders>
            <w:vAlign w:val="bottom"/>
          </w:tcPr>
          <w:p w:rsidR="00D724FA" w:rsidRDefault="00D724FA" w:rsidP="00A858D8">
            <w:pPr>
              <w:pStyle w:val="IASBTableBoldArial"/>
              <w:jc w:val="right"/>
            </w:pPr>
          </w:p>
        </w:tc>
        <w:tc>
          <w:tcPr>
            <w:tcW w:w="236" w:type="dxa"/>
            <w:tcBorders>
              <w:top w:val="nil"/>
              <w:left w:val="nil"/>
            </w:tcBorders>
            <w:vAlign w:val="bottom"/>
          </w:tcPr>
          <w:p w:rsidR="00D724FA" w:rsidRDefault="00D724FA" w:rsidP="00A858D8">
            <w:pPr>
              <w:pStyle w:val="IASBTableBoldArial"/>
            </w:pPr>
          </w:p>
        </w:tc>
      </w:tr>
      <w:tr w:rsidR="00D724FA" w:rsidTr="0041571A">
        <w:trPr>
          <w:cantSplit/>
        </w:trPr>
        <w:tc>
          <w:tcPr>
            <w:tcW w:w="236" w:type="dxa"/>
            <w:tcBorders>
              <w:top w:val="nil"/>
            </w:tcBorders>
            <w:vAlign w:val="bottom"/>
          </w:tcPr>
          <w:p w:rsidR="00D724FA" w:rsidRDefault="00D724FA" w:rsidP="00A858D8">
            <w:pPr>
              <w:pStyle w:val="IASBTableBoldArial"/>
            </w:pPr>
          </w:p>
        </w:tc>
        <w:tc>
          <w:tcPr>
            <w:tcW w:w="7225" w:type="dxa"/>
            <w:tcBorders>
              <w:top w:val="nil"/>
              <w:left w:val="nil"/>
            </w:tcBorders>
            <w:vAlign w:val="bottom"/>
          </w:tcPr>
          <w:p w:rsidR="00D724FA" w:rsidRDefault="00D724FA" w:rsidP="00A858D8">
            <w:pPr>
              <w:pStyle w:val="IASBTableBoldArial"/>
            </w:pPr>
            <w:r>
              <w:t>Example 9</w:t>
            </w:r>
            <w:r>
              <w:t> </w:t>
            </w:r>
            <w:r>
              <w:t>Calculation of weighted average number of shares: determining the order in which to include dilutive instruments</w:t>
            </w:r>
          </w:p>
        </w:tc>
        <w:tc>
          <w:tcPr>
            <w:tcW w:w="1697" w:type="dxa"/>
            <w:tcBorders>
              <w:top w:val="nil"/>
              <w:left w:val="nil"/>
            </w:tcBorders>
            <w:vAlign w:val="bottom"/>
          </w:tcPr>
          <w:p w:rsidR="00D724FA" w:rsidRDefault="00D724FA" w:rsidP="00A858D8">
            <w:pPr>
              <w:pStyle w:val="IASBTableBoldArial"/>
              <w:jc w:val="right"/>
            </w:pPr>
          </w:p>
        </w:tc>
        <w:tc>
          <w:tcPr>
            <w:tcW w:w="236" w:type="dxa"/>
            <w:tcBorders>
              <w:top w:val="nil"/>
              <w:left w:val="nil"/>
            </w:tcBorders>
            <w:vAlign w:val="bottom"/>
          </w:tcPr>
          <w:p w:rsidR="00D724FA" w:rsidRDefault="00D724FA" w:rsidP="00A858D8">
            <w:pPr>
              <w:pStyle w:val="IASBTableBoldArial"/>
            </w:pPr>
          </w:p>
        </w:tc>
      </w:tr>
      <w:tr w:rsidR="00D724FA" w:rsidTr="0041571A">
        <w:trPr>
          <w:cantSplit/>
        </w:trPr>
        <w:tc>
          <w:tcPr>
            <w:tcW w:w="236" w:type="dxa"/>
            <w:tcBorders>
              <w:top w:val="nil"/>
            </w:tcBorders>
            <w:vAlign w:val="bottom"/>
          </w:tcPr>
          <w:p w:rsidR="00D724FA" w:rsidRDefault="00D724FA" w:rsidP="00A858D8">
            <w:pPr>
              <w:pStyle w:val="IASBTableBoldArial"/>
            </w:pPr>
          </w:p>
        </w:tc>
        <w:tc>
          <w:tcPr>
            <w:tcW w:w="7225" w:type="dxa"/>
            <w:tcBorders>
              <w:top w:val="nil"/>
              <w:left w:val="nil"/>
            </w:tcBorders>
            <w:vAlign w:val="bottom"/>
          </w:tcPr>
          <w:p w:rsidR="00D724FA" w:rsidRDefault="00D724FA" w:rsidP="00A858D8">
            <w:pPr>
              <w:pStyle w:val="IASBTableBoldArial"/>
            </w:pPr>
            <w:r>
              <w:t>Example 10</w:t>
            </w:r>
            <w:r>
              <w:t> </w:t>
            </w:r>
            <w:r>
              <w:t>Instruments of a subsidiary: calculation of basic and diluted earnings per share</w:t>
            </w:r>
          </w:p>
        </w:tc>
        <w:tc>
          <w:tcPr>
            <w:tcW w:w="1697" w:type="dxa"/>
            <w:tcBorders>
              <w:top w:val="nil"/>
              <w:left w:val="nil"/>
            </w:tcBorders>
            <w:vAlign w:val="bottom"/>
          </w:tcPr>
          <w:p w:rsidR="00D724FA" w:rsidRDefault="00D724FA" w:rsidP="00A858D8">
            <w:pPr>
              <w:pStyle w:val="IASBTableBoldArial"/>
              <w:jc w:val="right"/>
            </w:pPr>
          </w:p>
        </w:tc>
        <w:tc>
          <w:tcPr>
            <w:tcW w:w="236" w:type="dxa"/>
            <w:tcBorders>
              <w:top w:val="nil"/>
              <w:left w:val="nil"/>
            </w:tcBorders>
            <w:vAlign w:val="bottom"/>
          </w:tcPr>
          <w:p w:rsidR="00D724FA" w:rsidRDefault="00D724FA" w:rsidP="00A858D8">
            <w:pPr>
              <w:pStyle w:val="IASBTableBoldArial"/>
            </w:pPr>
          </w:p>
        </w:tc>
      </w:tr>
      <w:tr w:rsidR="00D724FA" w:rsidTr="0041571A">
        <w:trPr>
          <w:cantSplit/>
        </w:trPr>
        <w:tc>
          <w:tcPr>
            <w:tcW w:w="236" w:type="dxa"/>
            <w:tcBorders>
              <w:top w:val="nil"/>
            </w:tcBorders>
            <w:vAlign w:val="bottom"/>
          </w:tcPr>
          <w:p w:rsidR="00D724FA" w:rsidRDefault="00D724FA" w:rsidP="00A858D8">
            <w:pPr>
              <w:pStyle w:val="IASBTableBoldArial"/>
            </w:pPr>
          </w:p>
        </w:tc>
        <w:tc>
          <w:tcPr>
            <w:tcW w:w="7225" w:type="dxa"/>
            <w:tcBorders>
              <w:top w:val="nil"/>
              <w:left w:val="nil"/>
            </w:tcBorders>
            <w:vAlign w:val="bottom"/>
          </w:tcPr>
          <w:p w:rsidR="00D724FA" w:rsidRDefault="00D724FA" w:rsidP="00A858D8">
            <w:pPr>
              <w:pStyle w:val="IASBTableBoldArial"/>
            </w:pPr>
            <w:r>
              <w:t>Example 11</w:t>
            </w:r>
            <w:r>
              <w:t> </w:t>
            </w:r>
            <w:r>
              <w:t>Participating equity instruments and two-class ordinary shares</w:t>
            </w:r>
          </w:p>
        </w:tc>
        <w:tc>
          <w:tcPr>
            <w:tcW w:w="1697" w:type="dxa"/>
            <w:tcBorders>
              <w:top w:val="nil"/>
              <w:left w:val="nil"/>
            </w:tcBorders>
            <w:vAlign w:val="bottom"/>
          </w:tcPr>
          <w:p w:rsidR="00D724FA" w:rsidRDefault="00D724FA" w:rsidP="00A858D8">
            <w:pPr>
              <w:pStyle w:val="IASBTableBoldArial"/>
              <w:jc w:val="right"/>
            </w:pPr>
          </w:p>
        </w:tc>
        <w:tc>
          <w:tcPr>
            <w:tcW w:w="236" w:type="dxa"/>
            <w:tcBorders>
              <w:top w:val="nil"/>
              <w:left w:val="nil"/>
            </w:tcBorders>
            <w:vAlign w:val="bottom"/>
          </w:tcPr>
          <w:p w:rsidR="00D724FA" w:rsidRDefault="00D724FA" w:rsidP="00A858D8">
            <w:pPr>
              <w:pStyle w:val="IASBTableBoldArial"/>
            </w:pPr>
          </w:p>
        </w:tc>
      </w:tr>
      <w:tr w:rsidR="00D724FA" w:rsidTr="0041571A">
        <w:trPr>
          <w:cantSplit/>
        </w:trPr>
        <w:tc>
          <w:tcPr>
            <w:tcW w:w="236" w:type="dxa"/>
            <w:tcBorders>
              <w:top w:val="nil"/>
            </w:tcBorders>
            <w:vAlign w:val="bottom"/>
          </w:tcPr>
          <w:p w:rsidR="00D724FA" w:rsidRDefault="00D724FA" w:rsidP="00A858D8">
            <w:pPr>
              <w:pStyle w:val="IASBTableBoldArial"/>
            </w:pPr>
          </w:p>
        </w:tc>
        <w:tc>
          <w:tcPr>
            <w:tcW w:w="7225" w:type="dxa"/>
            <w:tcBorders>
              <w:top w:val="nil"/>
              <w:left w:val="nil"/>
            </w:tcBorders>
            <w:vAlign w:val="bottom"/>
          </w:tcPr>
          <w:p w:rsidR="00D724FA" w:rsidRDefault="00D724FA" w:rsidP="00A858D8">
            <w:pPr>
              <w:pStyle w:val="IASBTableBoldArial"/>
            </w:pPr>
            <w:r>
              <w:t>Example 12</w:t>
            </w:r>
            <w:r>
              <w:t> </w:t>
            </w:r>
            <w:r>
              <w:t>Calculation and presentation of basic and diluted earnings per share (comprehensive example)</w:t>
            </w:r>
          </w:p>
        </w:tc>
        <w:tc>
          <w:tcPr>
            <w:tcW w:w="1697" w:type="dxa"/>
            <w:tcBorders>
              <w:top w:val="nil"/>
              <w:left w:val="nil"/>
            </w:tcBorders>
            <w:vAlign w:val="bottom"/>
          </w:tcPr>
          <w:p w:rsidR="00D724FA" w:rsidRDefault="00D724FA" w:rsidP="00A858D8">
            <w:pPr>
              <w:pStyle w:val="IASBTableBoldArial"/>
              <w:jc w:val="right"/>
            </w:pPr>
          </w:p>
        </w:tc>
        <w:tc>
          <w:tcPr>
            <w:tcW w:w="236" w:type="dxa"/>
            <w:tcBorders>
              <w:top w:val="nil"/>
              <w:left w:val="nil"/>
            </w:tcBorders>
            <w:vAlign w:val="bottom"/>
          </w:tcPr>
          <w:p w:rsidR="00D724FA" w:rsidRDefault="00D724FA" w:rsidP="00A858D8">
            <w:pPr>
              <w:pStyle w:val="IASBTableBoldArial"/>
            </w:pPr>
          </w:p>
        </w:tc>
      </w:tr>
    </w:tbl>
    <w:p w:rsidR="00D724FA" w:rsidRDefault="00D724FA" w:rsidP="00D724FA">
      <w:pPr>
        <w:pStyle w:val="IASBNormalnpara"/>
      </w:pPr>
    </w:p>
    <w:p w:rsidR="00D724FA" w:rsidRDefault="00D724FA" w:rsidP="00D724FA">
      <w:pPr>
        <w:pStyle w:val="IASBSectionTitle1NonInd"/>
        <w:pBdr>
          <w:bottom w:val="none" w:sz="0" w:space="0" w:color="auto"/>
        </w:pBdr>
      </w:pPr>
      <w:r>
        <w:br w:type="page"/>
        <w:t>Illustrative examples</w:t>
      </w:r>
    </w:p>
    <w:p w:rsidR="00D724FA" w:rsidRDefault="00D724FA" w:rsidP="00D724FA">
      <w:pPr>
        <w:pStyle w:val="IASBNote"/>
      </w:pPr>
      <w:r>
        <w:t>These examples accompany, but are not part of,</w:t>
      </w:r>
      <w:r w:rsidR="00725E14">
        <w:t xml:space="preserve"> AASB 133</w:t>
      </w:r>
      <w:r>
        <w:t>.</w:t>
      </w:r>
    </w:p>
    <w:p w:rsidR="00D724FA" w:rsidRDefault="00D724FA" w:rsidP="00D724FA">
      <w:pPr>
        <w:pStyle w:val="IASBSectionTitle1NonInd"/>
      </w:pPr>
      <w:r>
        <w:t>Example 1 Increasing rate preference shares</w:t>
      </w:r>
    </w:p>
    <w:p w:rsidR="00D724FA" w:rsidRDefault="00D724FA" w:rsidP="00D724FA">
      <w:pPr>
        <w:pStyle w:val="IASBNormal"/>
      </w:pPr>
      <w:r>
        <w:rPr>
          <w:b/>
        </w:rPr>
        <w:t>Reference:</w:t>
      </w:r>
      <w:r w:rsidR="00725E14">
        <w:rPr>
          <w:b/>
        </w:rPr>
        <w:t xml:space="preserve"> AASB 133</w:t>
      </w:r>
      <w:r>
        <w:rPr>
          <w:b/>
        </w:rPr>
        <w:t>, paragraphs 12 and 15</w:t>
      </w:r>
    </w:p>
    <w:p w:rsidR="00D724FA" w:rsidRDefault="00D724FA" w:rsidP="00D724FA">
      <w:pPr>
        <w:pStyle w:val="IASBNormal"/>
      </w:pPr>
      <w:r>
        <w:t xml:space="preserve">Entity D issued non-convertible, non-redeemable class </w:t>
      </w:r>
      <w:proofErr w:type="gramStart"/>
      <w:r>
        <w:t>A</w:t>
      </w:r>
      <w:proofErr w:type="gramEnd"/>
      <w:r>
        <w:t xml:space="preserve"> cumulative preference shares of CU100 par value on 1 January 20X1. The class </w:t>
      </w:r>
      <w:proofErr w:type="gramStart"/>
      <w:r>
        <w:t>A</w:t>
      </w:r>
      <w:proofErr w:type="gramEnd"/>
      <w:r>
        <w:t xml:space="preserve"> preference shares are entitled to a cumulative annual dividend of CU7 per share starting in 20X4.</w:t>
      </w:r>
    </w:p>
    <w:p w:rsidR="00D724FA" w:rsidRDefault="00D724FA" w:rsidP="00D724FA">
      <w:pPr>
        <w:pStyle w:val="IASBNormal"/>
      </w:pPr>
      <w:r>
        <w:t xml:space="preserve">At the time of issue, the market rate dividend yield on the class </w:t>
      </w:r>
      <w:proofErr w:type="gramStart"/>
      <w:r>
        <w:t>A</w:t>
      </w:r>
      <w:proofErr w:type="gramEnd"/>
      <w:r>
        <w:t xml:space="preserve"> preference shares was 7 per cent a year. Thus, Entity D could have expected to receive proceeds of approximately CU100 per class </w:t>
      </w:r>
      <w:proofErr w:type="gramStart"/>
      <w:r>
        <w:t>A</w:t>
      </w:r>
      <w:proofErr w:type="gramEnd"/>
      <w:r>
        <w:t xml:space="preserve"> preference share if the dividend rate of CU7 per share had been in effect at the date of issue.</w:t>
      </w:r>
    </w:p>
    <w:p w:rsidR="00D724FA" w:rsidRDefault="00D724FA" w:rsidP="00D724FA">
      <w:pPr>
        <w:pStyle w:val="IASBNormal"/>
      </w:pPr>
      <w:r>
        <w:t xml:space="preserve">In consideration of the dividend payment terms, however, the class </w:t>
      </w:r>
      <w:proofErr w:type="gramStart"/>
      <w:r>
        <w:t>A</w:t>
      </w:r>
      <w:proofErr w:type="gramEnd"/>
      <w:r>
        <w:t xml:space="preserve"> preference shares were issued at CU81.63 per share, </w:t>
      </w:r>
      <w:proofErr w:type="spellStart"/>
      <w:r>
        <w:t>ie</w:t>
      </w:r>
      <w:proofErr w:type="spellEnd"/>
      <w:r>
        <w:t xml:space="preserve"> at a discount of CU18.37 per share. The issue price can be calculated by taking the present value of CU100, discounted at 7 per cent over a three-year period.</w:t>
      </w:r>
    </w:p>
    <w:p w:rsidR="00D724FA" w:rsidRDefault="00D724FA" w:rsidP="00D724FA">
      <w:pPr>
        <w:pStyle w:val="IASBNormal"/>
      </w:pPr>
      <w:r>
        <w:t xml:space="preserve">Because the shares are classified as equity, the original issue discount is amortised to retained earnings using the effective interest method and treated as a preference dividend for earnings per share purposes. To calculate basic earnings per share, the following imputed dividend per class </w:t>
      </w:r>
      <w:proofErr w:type="gramStart"/>
      <w:r>
        <w:t>A</w:t>
      </w:r>
      <w:proofErr w:type="gramEnd"/>
      <w:r>
        <w:t xml:space="preserve"> preference share is deducted to determine the profit or loss attributable to ordinary equity holders of the parent entity:</w:t>
      </w:r>
    </w:p>
    <w:p w:rsidR="00D724FA" w:rsidRDefault="00D724FA" w:rsidP="00D724FA">
      <w:pPr>
        <w:pStyle w:val="IASBNormalnpara"/>
      </w:pPr>
    </w:p>
    <w:tbl>
      <w:tblPr>
        <w:tblW w:w="0" w:type="auto"/>
        <w:tblLayout w:type="fixed"/>
        <w:tblLook w:val="0000" w:firstRow="0" w:lastRow="0" w:firstColumn="0" w:lastColumn="0" w:noHBand="0" w:noVBand="0"/>
        <w:tblCaption w:val="AASB 133 Table 3"/>
      </w:tblPr>
      <w:tblGrid>
        <w:gridCol w:w="3202"/>
        <w:gridCol w:w="1365"/>
        <w:gridCol w:w="1638"/>
        <w:gridCol w:w="1638"/>
        <w:gridCol w:w="1365"/>
      </w:tblGrid>
      <w:tr w:rsidR="00D724FA" w:rsidTr="00A858D8">
        <w:trPr>
          <w:cantSplit/>
          <w:tblHeader/>
        </w:trPr>
        <w:tc>
          <w:tcPr>
            <w:tcW w:w="3202" w:type="dxa"/>
          </w:tcPr>
          <w:p w:rsidR="00D724FA" w:rsidRDefault="00D724FA" w:rsidP="00A858D8">
            <w:pPr>
              <w:pStyle w:val="IASBTableHeaderArial"/>
            </w:pPr>
            <w:r>
              <w:rPr>
                <w:b/>
              </w:rPr>
              <w:t>Year</w:t>
            </w:r>
          </w:p>
        </w:tc>
        <w:tc>
          <w:tcPr>
            <w:tcW w:w="1365" w:type="dxa"/>
            <w:tcBorders>
              <w:left w:val="nil"/>
            </w:tcBorders>
          </w:tcPr>
          <w:p w:rsidR="00D724FA" w:rsidRDefault="00D724FA" w:rsidP="00A858D8">
            <w:pPr>
              <w:pStyle w:val="IASBTableHeaderArial"/>
              <w:jc w:val="right"/>
            </w:pPr>
            <w:r>
              <w:rPr>
                <w:b/>
                <w:i/>
              </w:rPr>
              <w:t>Carrying amount of class A preference shares 1 January</w:t>
            </w:r>
          </w:p>
        </w:tc>
        <w:tc>
          <w:tcPr>
            <w:tcW w:w="1638" w:type="dxa"/>
            <w:tcBorders>
              <w:left w:val="nil"/>
            </w:tcBorders>
          </w:tcPr>
          <w:p w:rsidR="00D724FA" w:rsidRDefault="00D724FA" w:rsidP="00A858D8">
            <w:pPr>
              <w:pStyle w:val="IASBTableHeaderArial"/>
              <w:jc w:val="right"/>
            </w:pPr>
            <w:r>
              <w:rPr>
                <w:b/>
                <w:i/>
              </w:rPr>
              <w:t>Imputed</w:t>
            </w:r>
            <w:r>
              <w:rPr>
                <w:b/>
                <w:i/>
                <w:vertAlign w:val="superscript"/>
              </w:rPr>
              <w:t>(a)</w:t>
            </w:r>
            <w:r>
              <w:rPr>
                <w:b/>
                <w:i/>
              </w:rPr>
              <w:t xml:space="preserve"> dividend</w:t>
            </w:r>
          </w:p>
        </w:tc>
        <w:tc>
          <w:tcPr>
            <w:tcW w:w="1638" w:type="dxa"/>
            <w:tcBorders>
              <w:left w:val="nil"/>
            </w:tcBorders>
          </w:tcPr>
          <w:p w:rsidR="00D724FA" w:rsidRDefault="00D724FA" w:rsidP="00A858D8">
            <w:pPr>
              <w:pStyle w:val="IASBTableHeaderArial"/>
              <w:jc w:val="right"/>
            </w:pPr>
            <w:r>
              <w:rPr>
                <w:b/>
                <w:i/>
              </w:rPr>
              <w:t>Carrying</w:t>
            </w:r>
            <w:r>
              <w:rPr>
                <w:b/>
                <w:i/>
                <w:vertAlign w:val="superscript"/>
              </w:rPr>
              <w:t>(b)</w:t>
            </w:r>
            <w:r>
              <w:rPr>
                <w:b/>
                <w:i/>
              </w:rPr>
              <w:t xml:space="preserve"> amount of class A preference shares 31 December</w:t>
            </w:r>
          </w:p>
        </w:tc>
        <w:tc>
          <w:tcPr>
            <w:tcW w:w="1365" w:type="dxa"/>
            <w:tcBorders>
              <w:left w:val="nil"/>
            </w:tcBorders>
          </w:tcPr>
          <w:p w:rsidR="00D724FA" w:rsidRDefault="00D724FA" w:rsidP="00A858D8">
            <w:pPr>
              <w:pStyle w:val="IASBTableHeaderArial"/>
              <w:jc w:val="right"/>
            </w:pPr>
            <w:r>
              <w:rPr>
                <w:b/>
                <w:i/>
              </w:rPr>
              <w:t>Dividend paid</w:t>
            </w:r>
          </w:p>
        </w:tc>
      </w:tr>
      <w:tr w:rsidR="00D724FA" w:rsidTr="00A858D8">
        <w:trPr>
          <w:cantSplit/>
          <w:tblHeader/>
        </w:trPr>
        <w:tc>
          <w:tcPr>
            <w:tcW w:w="3202" w:type="dxa"/>
            <w:tcBorders>
              <w:top w:val="nil"/>
            </w:tcBorders>
            <w:vAlign w:val="bottom"/>
          </w:tcPr>
          <w:p w:rsidR="00D724FA" w:rsidRDefault="00D724FA" w:rsidP="00A858D8">
            <w:pPr>
              <w:pStyle w:val="IASBTableHeaderArial"/>
            </w:pPr>
          </w:p>
        </w:tc>
        <w:tc>
          <w:tcPr>
            <w:tcW w:w="1365" w:type="dxa"/>
            <w:tcBorders>
              <w:top w:val="nil"/>
              <w:left w:val="nil"/>
            </w:tcBorders>
            <w:vAlign w:val="bottom"/>
          </w:tcPr>
          <w:p w:rsidR="00D724FA" w:rsidRDefault="00D724FA" w:rsidP="00A858D8">
            <w:pPr>
              <w:pStyle w:val="IASBTableHeaderArial"/>
              <w:jc w:val="right"/>
            </w:pPr>
            <w:r>
              <w:rPr>
                <w:b/>
              </w:rPr>
              <w:t>CU</w:t>
            </w:r>
          </w:p>
        </w:tc>
        <w:tc>
          <w:tcPr>
            <w:tcW w:w="1638" w:type="dxa"/>
            <w:tcBorders>
              <w:top w:val="nil"/>
              <w:left w:val="nil"/>
            </w:tcBorders>
            <w:vAlign w:val="bottom"/>
          </w:tcPr>
          <w:p w:rsidR="00D724FA" w:rsidRDefault="00D724FA" w:rsidP="00A858D8">
            <w:pPr>
              <w:pStyle w:val="IASBTableHeaderArial"/>
              <w:jc w:val="right"/>
            </w:pPr>
            <w:r>
              <w:rPr>
                <w:b/>
              </w:rPr>
              <w:t>CU</w:t>
            </w:r>
          </w:p>
        </w:tc>
        <w:tc>
          <w:tcPr>
            <w:tcW w:w="1638" w:type="dxa"/>
            <w:tcBorders>
              <w:top w:val="nil"/>
              <w:left w:val="nil"/>
            </w:tcBorders>
            <w:vAlign w:val="bottom"/>
          </w:tcPr>
          <w:p w:rsidR="00D724FA" w:rsidRDefault="00D724FA" w:rsidP="00A858D8">
            <w:pPr>
              <w:pStyle w:val="IASBTableHeaderArial"/>
              <w:jc w:val="right"/>
            </w:pPr>
            <w:r>
              <w:rPr>
                <w:b/>
              </w:rPr>
              <w:t>CU</w:t>
            </w:r>
          </w:p>
        </w:tc>
        <w:tc>
          <w:tcPr>
            <w:tcW w:w="1365" w:type="dxa"/>
            <w:tcBorders>
              <w:top w:val="nil"/>
              <w:left w:val="nil"/>
            </w:tcBorders>
            <w:vAlign w:val="bottom"/>
          </w:tcPr>
          <w:p w:rsidR="00D724FA" w:rsidRDefault="00D724FA" w:rsidP="00A858D8">
            <w:pPr>
              <w:pStyle w:val="IASBTableHeaderArial"/>
              <w:jc w:val="right"/>
            </w:pPr>
            <w:r>
              <w:rPr>
                <w:b/>
              </w:rPr>
              <w:t>CU</w:t>
            </w:r>
          </w:p>
        </w:tc>
      </w:tr>
      <w:tr w:rsidR="00D724FA" w:rsidTr="00A858D8">
        <w:trPr>
          <w:cantSplit/>
        </w:trPr>
        <w:tc>
          <w:tcPr>
            <w:tcW w:w="3202" w:type="dxa"/>
            <w:tcBorders>
              <w:top w:val="nil"/>
            </w:tcBorders>
            <w:vAlign w:val="bottom"/>
          </w:tcPr>
          <w:p w:rsidR="00D724FA" w:rsidRDefault="00D724FA" w:rsidP="00A858D8">
            <w:pPr>
              <w:pStyle w:val="IASBTableArial"/>
            </w:pPr>
            <w:r>
              <w:t>20X1</w:t>
            </w:r>
          </w:p>
        </w:tc>
        <w:tc>
          <w:tcPr>
            <w:tcW w:w="1365" w:type="dxa"/>
            <w:tcBorders>
              <w:top w:val="nil"/>
              <w:left w:val="nil"/>
            </w:tcBorders>
            <w:vAlign w:val="bottom"/>
          </w:tcPr>
          <w:p w:rsidR="00D724FA" w:rsidRDefault="00D724FA" w:rsidP="00A858D8">
            <w:pPr>
              <w:pStyle w:val="IASBTableArial"/>
              <w:jc w:val="right"/>
            </w:pPr>
            <w:r>
              <w:t>81.63</w:t>
            </w:r>
          </w:p>
        </w:tc>
        <w:tc>
          <w:tcPr>
            <w:tcW w:w="1638" w:type="dxa"/>
            <w:tcBorders>
              <w:top w:val="nil"/>
              <w:left w:val="nil"/>
            </w:tcBorders>
            <w:vAlign w:val="bottom"/>
          </w:tcPr>
          <w:p w:rsidR="00D724FA" w:rsidRDefault="00D724FA" w:rsidP="00A858D8">
            <w:pPr>
              <w:pStyle w:val="IASBTableArial"/>
              <w:jc w:val="right"/>
            </w:pPr>
            <w:r>
              <w:t>5.71</w:t>
            </w:r>
          </w:p>
        </w:tc>
        <w:tc>
          <w:tcPr>
            <w:tcW w:w="1638" w:type="dxa"/>
            <w:tcBorders>
              <w:top w:val="nil"/>
              <w:left w:val="nil"/>
            </w:tcBorders>
            <w:vAlign w:val="bottom"/>
          </w:tcPr>
          <w:p w:rsidR="00D724FA" w:rsidRDefault="00D724FA" w:rsidP="00A858D8">
            <w:pPr>
              <w:pStyle w:val="IASBTableArial"/>
              <w:jc w:val="right"/>
            </w:pPr>
            <w:r>
              <w:t>87.34</w:t>
            </w:r>
          </w:p>
        </w:tc>
        <w:tc>
          <w:tcPr>
            <w:tcW w:w="1365" w:type="dxa"/>
            <w:tcBorders>
              <w:top w:val="nil"/>
              <w:left w:val="nil"/>
            </w:tcBorders>
            <w:vAlign w:val="bottom"/>
          </w:tcPr>
          <w:p w:rsidR="00D724FA" w:rsidRDefault="00D724FA" w:rsidP="00A858D8">
            <w:pPr>
              <w:pStyle w:val="IASBTableArial"/>
              <w:jc w:val="right"/>
            </w:pPr>
            <w:r>
              <w:t>–</w:t>
            </w:r>
          </w:p>
        </w:tc>
      </w:tr>
      <w:tr w:rsidR="00D724FA" w:rsidTr="00A858D8">
        <w:trPr>
          <w:cantSplit/>
        </w:trPr>
        <w:tc>
          <w:tcPr>
            <w:tcW w:w="3202" w:type="dxa"/>
            <w:tcBorders>
              <w:top w:val="nil"/>
            </w:tcBorders>
            <w:vAlign w:val="bottom"/>
          </w:tcPr>
          <w:p w:rsidR="00D724FA" w:rsidRDefault="00D724FA" w:rsidP="00A858D8">
            <w:pPr>
              <w:pStyle w:val="IASBTableArial"/>
            </w:pPr>
            <w:r>
              <w:t>20X2</w:t>
            </w:r>
          </w:p>
        </w:tc>
        <w:tc>
          <w:tcPr>
            <w:tcW w:w="1365" w:type="dxa"/>
            <w:tcBorders>
              <w:top w:val="nil"/>
              <w:left w:val="nil"/>
            </w:tcBorders>
            <w:vAlign w:val="bottom"/>
          </w:tcPr>
          <w:p w:rsidR="00D724FA" w:rsidRDefault="00D724FA" w:rsidP="00A858D8">
            <w:pPr>
              <w:pStyle w:val="IASBTableArial"/>
              <w:jc w:val="right"/>
            </w:pPr>
            <w:r>
              <w:t>87.34</w:t>
            </w:r>
          </w:p>
        </w:tc>
        <w:tc>
          <w:tcPr>
            <w:tcW w:w="1638" w:type="dxa"/>
            <w:tcBorders>
              <w:top w:val="nil"/>
              <w:left w:val="nil"/>
            </w:tcBorders>
            <w:vAlign w:val="bottom"/>
          </w:tcPr>
          <w:p w:rsidR="00D724FA" w:rsidRDefault="00D724FA" w:rsidP="00A858D8">
            <w:pPr>
              <w:pStyle w:val="IASBTableArial"/>
              <w:jc w:val="right"/>
            </w:pPr>
            <w:r>
              <w:t>6.12</w:t>
            </w:r>
          </w:p>
        </w:tc>
        <w:tc>
          <w:tcPr>
            <w:tcW w:w="1638" w:type="dxa"/>
            <w:tcBorders>
              <w:top w:val="nil"/>
              <w:left w:val="nil"/>
            </w:tcBorders>
            <w:vAlign w:val="bottom"/>
          </w:tcPr>
          <w:p w:rsidR="00D724FA" w:rsidRDefault="00D724FA" w:rsidP="00A858D8">
            <w:pPr>
              <w:pStyle w:val="IASBTableArial"/>
              <w:jc w:val="right"/>
            </w:pPr>
            <w:r>
              <w:t>93.46</w:t>
            </w:r>
          </w:p>
        </w:tc>
        <w:tc>
          <w:tcPr>
            <w:tcW w:w="1365" w:type="dxa"/>
            <w:tcBorders>
              <w:top w:val="nil"/>
              <w:left w:val="nil"/>
            </w:tcBorders>
            <w:vAlign w:val="bottom"/>
          </w:tcPr>
          <w:p w:rsidR="00D724FA" w:rsidRDefault="00D724FA" w:rsidP="00A858D8">
            <w:pPr>
              <w:pStyle w:val="IASBTableArial"/>
              <w:jc w:val="right"/>
            </w:pPr>
            <w:r>
              <w:t>–</w:t>
            </w:r>
          </w:p>
        </w:tc>
      </w:tr>
      <w:tr w:rsidR="00D724FA" w:rsidTr="00A858D8">
        <w:trPr>
          <w:cantSplit/>
        </w:trPr>
        <w:tc>
          <w:tcPr>
            <w:tcW w:w="3202" w:type="dxa"/>
            <w:tcBorders>
              <w:top w:val="nil"/>
            </w:tcBorders>
            <w:vAlign w:val="bottom"/>
          </w:tcPr>
          <w:p w:rsidR="00D724FA" w:rsidRDefault="00D724FA" w:rsidP="00A858D8">
            <w:pPr>
              <w:pStyle w:val="IASBTableArial"/>
            </w:pPr>
            <w:r>
              <w:t>20X3</w:t>
            </w:r>
          </w:p>
        </w:tc>
        <w:tc>
          <w:tcPr>
            <w:tcW w:w="1365" w:type="dxa"/>
            <w:tcBorders>
              <w:top w:val="nil"/>
              <w:left w:val="nil"/>
            </w:tcBorders>
            <w:vAlign w:val="bottom"/>
          </w:tcPr>
          <w:p w:rsidR="00D724FA" w:rsidRDefault="00D724FA" w:rsidP="00A858D8">
            <w:pPr>
              <w:pStyle w:val="IASBTableArial"/>
              <w:jc w:val="right"/>
            </w:pPr>
            <w:r>
              <w:t>93.46</w:t>
            </w:r>
          </w:p>
        </w:tc>
        <w:tc>
          <w:tcPr>
            <w:tcW w:w="1638" w:type="dxa"/>
            <w:tcBorders>
              <w:top w:val="nil"/>
              <w:left w:val="nil"/>
            </w:tcBorders>
            <w:vAlign w:val="bottom"/>
          </w:tcPr>
          <w:p w:rsidR="00D724FA" w:rsidRDefault="00D724FA" w:rsidP="00A858D8">
            <w:pPr>
              <w:pStyle w:val="IASBTableArial"/>
              <w:jc w:val="right"/>
            </w:pPr>
            <w:r>
              <w:t>6.54</w:t>
            </w:r>
          </w:p>
        </w:tc>
        <w:tc>
          <w:tcPr>
            <w:tcW w:w="1638" w:type="dxa"/>
            <w:tcBorders>
              <w:top w:val="nil"/>
              <w:left w:val="nil"/>
            </w:tcBorders>
            <w:vAlign w:val="bottom"/>
          </w:tcPr>
          <w:p w:rsidR="00D724FA" w:rsidRDefault="00D724FA" w:rsidP="00A858D8">
            <w:pPr>
              <w:pStyle w:val="IASBTableArial"/>
              <w:jc w:val="right"/>
            </w:pPr>
            <w:r>
              <w:t>100.00</w:t>
            </w:r>
          </w:p>
        </w:tc>
        <w:tc>
          <w:tcPr>
            <w:tcW w:w="1365" w:type="dxa"/>
            <w:tcBorders>
              <w:top w:val="nil"/>
              <w:left w:val="nil"/>
            </w:tcBorders>
            <w:vAlign w:val="bottom"/>
          </w:tcPr>
          <w:p w:rsidR="00D724FA" w:rsidRDefault="00D724FA" w:rsidP="00A858D8">
            <w:pPr>
              <w:pStyle w:val="IASBTableArial"/>
              <w:jc w:val="right"/>
            </w:pPr>
            <w:r>
              <w:t>–</w:t>
            </w:r>
          </w:p>
        </w:tc>
      </w:tr>
      <w:tr w:rsidR="00D724FA" w:rsidTr="00A858D8">
        <w:trPr>
          <w:cantSplit/>
        </w:trPr>
        <w:tc>
          <w:tcPr>
            <w:tcW w:w="3202" w:type="dxa"/>
            <w:tcBorders>
              <w:top w:val="nil"/>
            </w:tcBorders>
            <w:vAlign w:val="bottom"/>
          </w:tcPr>
          <w:p w:rsidR="00D724FA" w:rsidRDefault="00D724FA" w:rsidP="00A858D8">
            <w:pPr>
              <w:pStyle w:val="IASBTableArial"/>
            </w:pPr>
            <w:r>
              <w:t>Thereafter:</w:t>
            </w:r>
          </w:p>
        </w:tc>
        <w:tc>
          <w:tcPr>
            <w:tcW w:w="1365" w:type="dxa"/>
            <w:tcBorders>
              <w:top w:val="nil"/>
              <w:left w:val="nil"/>
            </w:tcBorders>
            <w:vAlign w:val="bottom"/>
          </w:tcPr>
          <w:p w:rsidR="00D724FA" w:rsidRDefault="00D724FA" w:rsidP="00A858D8">
            <w:pPr>
              <w:pStyle w:val="IASBTableArial"/>
              <w:jc w:val="right"/>
            </w:pPr>
            <w:r>
              <w:t>100.00</w:t>
            </w:r>
          </w:p>
        </w:tc>
        <w:tc>
          <w:tcPr>
            <w:tcW w:w="1638" w:type="dxa"/>
            <w:tcBorders>
              <w:top w:val="nil"/>
              <w:left w:val="nil"/>
            </w:tcBorders>
            <w:vAlign w:val="bottom"/>
          </w:tcPr>
          <w:p w:rsidR="00D724FA" w:rsidRDefault="00D724FA" w:rsidP="00A858D8">
            <w:pPr>
              <w:pStyle w:val="IASBTableArial"/>
              <w:jc w:val="right"/>
            </w:pPr>
            <w:r>
              <w:t>7.00</w:t>
            </w:r>
          </w:p>
        </w:tc>
        <w:tc>
          <w:tcPr>
            <w:tcW w:w="1638" w:type="dxa"/>
            <w:tcBorders>
              <w:top w:val="nil"/>
              <w:left w:val="nil"/>
            </w:tcBorders>
            <w:vAlign w:val="bottom"/>
          </w:tcPr>
          <w:p w:rsidR="00D724FA" w:rsidRDefault="00D724FA" w:rsidP="00A858D8">
            <w:pPr>
              <w:pStyle w:val="IASBTableArial"/>
              <w:jc w:val="right"/>
            </w:pPr>
            <w:r>
              <w:t>107.00</w:t>
            </w:r>
          </w:p>
        </w:tc>
        <w:tc>
          <w:tcPr>
            <w:tcW w:w="1365" w:type="dxa"/>
            <w:tcBorders>
              <w:top w:val="nil"/>
              <w:left w:val="nil"/>
            </w:tcBorders>
            <w:vAlign w:val="bottom"/>
          </w:tcPr>
          <w:p w:rsidR="00D724FA" w:rsidRDefault="00D724FA" w:rsidP="00A858D8">
            <w:pPr>
              <w:pStyle w:val="IASBTableArial"/>
              <w:jc w:val="right"/>
            </w:pPr>
            <w:r>
              <w:t>(7.00)</w:t>
            </w:r>
          </w:p>
        </w:tc>
      </w:tr>
      <w:tr w:rsidR="00D724FA" w:rsidTr="00A858D8">
        <w:trPr>
          <w:cantSplit/>
        </w:trPr>
        <w:tc>
          <w:tcPr>
            <w:tcW w:w="9208" w:type="dxa"/>
            <w:gridSpan w:val="5"/>
            <w:tcBorders>
              <w:top w:val="nil"/>
            </w:tcBorders>
            <w:vAlign w:val="bottom"/>
          </w:tcPr>
          <w:p w:rsidR="00D724FA" w:rsidRDefault="00D724FA" w:rsidP="00A858D8">
            <w:pPr>
              <w:pStyle w:val="IASBTableTNR"/>
            </w:pPr>
            <w:r>
              <w:t>(</w:t>
            </w:r>
            <w:r>
              <w:rPr>
                <w:rStyle w:val="FootnoteReference"/>
                <w:sz w:val="16"/>
                <w:vertAlign w:val="baseline"/>
              </w:rPr>
              <w:t>a)</w:t>
            </w:r>
            <w:r>
              <w:rPr>
                <w:rStyle w:val="FootnoteReference"/>
                <w:sz w:val="16"/>
                <w:vertAlign w:val="baseline"/>
              </w:rPr>
              <w:tab/>
              <w:t>at 7%</w:t>
            </w:r>
            <w:r>
              <w:br/>
              <w:t>(</w:t>
            </w:r>
            <w:r>
              <w:rPr>
                <w:rStyle w:val="FootnoteReference"/>
                <w:sz w:val="16"/>
                <w:vertAlign w:val="baseline"/>
              </w:rPr>
              <w:t>b)</w:t>
            </w:r>
            <w:r>
              <w:rPr>
                <w:rStyle w:val="FootnoteReference"/>
                <w:sz w:val="16"/>
                <w:vertAlign w:val="baseline"/>
              </w:rPr>
              <w:tab/>
              <w:t>This is before dividend payment.</w:t>
            </w:r>
          </w:p>
        </w:tc>
      </w:tr>
    </w:tbl>
    <w:p w:rsidR="00D724FA" w:rsidRDefault="00D724FA" w:rsidP="00D724FA">
      <w:pPr>
        <w:pStyle w:val="IASBNormalnpara"/>
      </w:pPr>
    </w:p>
    <w:p w:rsidR="00D724FA" w:rsidRDefault="00D724FA" w:rsidP="00F609F6">
      <w:pPr>
        <w:pStyle w:val="IASBSectionTitle1NonInd"/>
        <w:spacing w:before="0"/>
      </w:pPr>
      <w:r>
        <w:br w:type="page"/>
        <w:t>Example 2 Weighted average number of ordinary shares</w:t>
      </w:r>
    </w:p>
    <w:p w:rsidR="00D724FA" w:rsidRDefault="00D724FA" w:rsidP="00D724FA">
      <w:pPr>
        <w:pStyle w:val="IASBNormal"/>
      </w:pPr>
      <w:r>
        <w:rPr>
          <w:b/>
        </w:rPr>
        <w:t>Reference:</w:t>
      </w:r>
      <w:r w:rsidR="00725E14">
        <w:rPr>
          <w:b/>
        </w:rPr>
        <w:t xml:space="preserve"> AASB 133</w:t>
      </w:r>
      <w:r>
        <w:rPr>
          <w:b/>
        </w:rPr>
        <w:t>, paragraphs 19–21</w:t>
      </w:r>
    </w:p>
    <w:p w:rsidR="00D724FA" w:rsidRDefault="00D724FA" w:rsidP="00D724FA">
      <w:pPr>
        <w:pStyle w:val="IASBNormalnpara"/>
      </w:pPr>
    </w:p>
    <w:tbl>
      <w:tblPr>
        <w:tblW w:w="0" w:type="auto"/>
        <w:tblLayout w:type="fixed"/>
        <w:tblLook w:val="0000" w:firstRow="0" w:lastRow="0" w:firstColumn="0" w:lastColumn="0" w:noHBand="0" w:noVBand="0"/>
        <w:tblCaption w:val="AASB 133 Table 4"/>
      </w:tblPr>
      <w:tblGrid>
        <w:gridCol w:w="2383"/>
        <w:gridCol w:w="2275"/>
        <w:gridCol w:w="910"/>
        <w:gridCol w:w="728"/>
        <w:gridCol w:w="910"/>
        <w:gridCol w:w="364"/>
        <w:gridCol w:w="1638"/>
      </w:tblGrid>
      <w:tr w:rsidR="00D724FA" w:rsidTr="00A858D8">
        <w:trPr>
          <w:cantSplit/>
          <w:tblHeader/>
        </w:trPr>
        <w:tc>
          <w:tcPr>
            <w:tcW w:w="2383" w:type="dxa"/>
          </w:tcPr>
          <w:p w:rsidR="00D724FA" w:rsidRDefault="00D724FA" w:rsidP="00A858D8">
            <w:pPr>
              <w:pStyle w:val="IASBTableHeaderArial"/>
              <w:jc w:val="right"/>
            </w:pPr>
          </w:p>
        </w:tc>
        <w:tc>
          <w:tcPr>
            <w:tcW w:w="2275" w:type="dxa"/>
            <w:tcBorders>
              <w:left w:val="nil"/>
            </w:tcBorders>
          </w:tcPr>
          <w:p w:rsidR="00D724FA" w:rsidRDefault="00D724FA" w:rsidP="00A858D8">
            <w:pPr>
              <w:pStyle w:val="IASBTableHeaderArial"/>
              <w:jc w:val="right"/>
            </w:pPr>
          </w:p>
        </w:tc>
        <w:tc>
          <w:tcPr>
            <w:tcW w:w="910" w:type="dxa"/>
            <w:tcBorders>
              <w:left w:val="nil"/>
            </w:tcBorders>
          </w:tcPr>
          <w:p w:rsidR="00D724FA" w:rsidRDefault="00D724FA" w:rsidP="00A858D8">
            <w:pPr>
              <w:pStyle w:val="IASBTableHeaderArial"/>
              <w:jc w:val="right"/>
            </w:pPr>
            <w:r>
              <w:rPr>
                <w:b/>
                <w:i/>
              </w:rPr>
              <w:t>Shares issued</w:t>
            </w:r>
          </w:p>
        </w:tc>
        <w:tc>
          <w:tcPr>
            <w:tcW w:w="1638" w:type="dxa"/>
            <w:gridSpan w:val="2"/>
            <w:tcBorders>
              <w:left w:val="nil"/>
            </w:tcBorders>
          </w:tcPr>
          <w:p w:rsidR="00D724FA" w:rsidRDefault="00D724FA" w:rsidP="00A858D8">
            <w:pPr>
              <w:pStyle w:val="IASBTableHeaderArial"/>
              <w:jc w:val="right"/>
            </w:pPr>
            <w:r>
              <w:rPr>
                <w:b/>
                <w:i/>
              </w:rPr>
              <w:t>Treasury</w:t>
            </w:r>
            <w:r>
              <w:rPr>
                <w:b/>
                <w:i/>
                <w:vertAlign w:val="superscript"/>
              </w:rPr>
              <w:t>(a)</w:t>
            </w:r>
            <w:r>
              <w:rPr>
                <w:b/>
                <w:i/>
              </w:rPr>
              <w:t xml:space="preserve"> shares</w:t>
            </w:r>
          </w:p>
        </w:tc>
        <w:tc>
          <w:tcPr>
            <w:tcW w:w="364" w:type="dxa"/>
            <w:tcBorders>
              <w:left w:val="nil"/>
            </w:tcBorders>
            <w:vAlign w:val="bottom"/>
          </w:tcPr>
          <w:p w:rsidR="00D724FA" w:rsidRDefault="00D724FA" w:rsidP="00A858D8">
            <w:pPr>
              <w:pStyle w:val="IASBTableHeaderArial"/>
            </w:pPr>
          </w:p>
        </w:tc>
        <w:tc>
          <w:tcPr>
            <w:tcW w:w="1638" w:type="dxa"/>
            <w:tcBorders>
              <w:left w:val="nil"/>
            </w:tcBorders>
          </w:tcPr>
          <w:p w:rsidR="00D724FA" w:rsidRDefault="00D724FA" w:rsidP="00A858D8">
            <w:pPr>
              <w:pStyle w:val="IASBTableHeaderArial"/>
              <w:jc w:val="right"/>
            </w:pPr>
            <w:r>
              <w:rPr>
                <w:b/>
                <w:i/>
              </w:rPr>
              <w:t>Shares outstanding</w:t>
            </w:r>
          </w:p>
        </w:tc>
      </w:tr>
      <w:tr w:rsidR="00D724FA" w:rsidTr="00A858D8">
        <w:trPr>
          <w:cantSplit/>
        </w:trPr>
        <w:tc>
          <w:tcPr>
            <w:tcW w:w="2383" w:type="dxa"/>
            <w:tcBorders>
              <w:top w:val="nil"/>
            </w:tcBorders>
          </w:tcPr>
          <w:p w:rsidR="00D724FA" w:rsidRDefault="00D724FA" w:rsidP="00A858D8">
            <w:pPr>
              <w:pStyle w:val="IASBTableArial"/>
            </w:pPr>
            <w:r>
              <w:t>1 January 20X1</w:t>
            </w:r>
          </w:p>
        </w:tc>
        <w:tc>
          <w:tcPr>
            <w:tcW w:w="2275" w:type="dxa"/>
            <w:tcBorders>
              <w:top w:val="nil"/>
              <w:left w:val="nil"/>
            </w:tcBorders>
            <w:vAlign w:val="bottom"/>
          </w:tcPr>
          <w:p w:rsidR="00D724FA" w:rsidRDefault="00D724FA" w:rsidP="00A858D8">
            <w:pPr>
              <w:pStyle w:val="IASBTableArial"/>
            </w:pPr>
            <w:r>
              <w:t>Balance at beginning of year</w:t>
            </w:r>
          </w:p>
        </w:tc>
        <w:tc>
          <w:tcPr>
            <w:tcW w:w="910" w:type="dxa"/>
            <w:tcBorders>
              <w:top w:val="nil"/>
              <w:left w:val="nil"/>
            </w:tcBorders>
            <w:vAlign w:val="bottom"/>
          </w:tcPr>
          <w:p w:rsidR="00D724FA" w:rsidRDefault="00D724FA" w:rsidP="00A858D8">
            <w:pPr>
              <w:pStyle w:val="IASBTableArial"/>
              <w:jc w:val="right"/>
            </w:pPr>
            <w:r>
              <w:t>2,000</w:t>
            </w:r>
          </w:p>
        </w:tc>
        <w:tc>
          <w:tcPr>
            <w:tcW w:w="728" w:type="dxa"/>
            <w:tcBorders>
              <w:top w:val="nil"/>
              <w:left w:val="nil"/>
            </w:tcBorders>
            <w:vAlign w:val="bottom"/>
          </w:tcPr>
          <w:p w:rsidR="00D724FA" w:rsidRDefault="00D724FA" w:rsidP="00A858D8">
            <w:pPr>
              <w:pStyle w:val="IASBTableArial"/>
            </w:pPr>
          </w:p>
        </w:tc>
        <w:tc>
          <w:tcPr>
            <w:tcW w:w="910" w:type="dxa"/>
            <w:tcBorders>
              <w:top w:val="nil"/>
              <w:left w:val="nil"/>
            </w:tcBorders>
            <w:vAlign w:val="bottom"/>
          </w:tcPr>
          <w:p w:rsidR="00D724FA" w:rsidRDefault="00D724FA" w:rsidP="00A858D8">
            <w:pPr>
              <w:pStyle w:val="IASBTableArial"/>
              <w:jc w:val="right"/>
            </w:pPr>
            <w:r>
              <w:t>300</w:t>
            </w:r>
          </w:p>
        </w:tc>
        <w:tc>
          <w:tcPr>
            <w:tcW w:w="364" w:type="dxa"/>
            <w:tcBorders>
              <w:top w:val="nil"/>
              <w:left w:val="nil"/>
            </w:tcBorders>
            <w:vAlign w:val="bottom"/>
          </w:tcPr>
          <w:p w:rsidR="00D724FA" w:rsidRDefault="00D724FA" w:rsidP="00A858D8">
            <w:pPr>
              <w:pStyle w:val="IASBTableArial"/>
            </w:pPr>
          </w:p>
        </w:tc>
        <w:tc>
          <w:tcPr>
            <w:tcW w:w="1638" w:type="dxa"/>
            <w:tcBorders>
              <w:top w:val="nil"/>
              <w:left w:val="nil"/>
            </w:tcBorders>
            <w:vAlign w:val="bottom"/>
          </w:tcPr>
          <w:p w:rsidR="00D724FA" w:rsidRDefault="00D724FA" w:rsidP="00A858D8">
            <w:pPr>
              <w:pStyle w:val="IASBTableArial"/>
              <w:jc w:val="right"/>
            </w:pPr>
            <w:r>
              <w:t>1,700</w:t>
            </w:r>
          </w:p>
        </w:tc>
      </w:tr>
      <w:tr w:rsidR="00D724FA" w:rsidTr="00A858D8">
        <w:trPr>
          <w:cantSplit/>
        </w:trPr>
        <w:tc>
          <w:tcPr>
            <w:tcW w:w="2383" w:type="dxa"/>
            <w:tcBorders>
              <w:top w:val="nil"/>
            </w:tcBorders>
          </w:tcPr>
          <w:p w:rsidR="00D724FA" w:rsidRDefault="00D724FA" w:rsidP="00A858D8">
            <w:pPr>
              <w:pStyle w:val="IASBTableArial"/>
            </w:pPr>
            <w:r>
              <w:t>31 May 20X1</w:t>
            </w:r>
          </w:p>
        </w:tc>
        <w:tc>
          <w:tcPr>
            <w:tcW w:w="2275" w:type="dxa"/>
            <w:tcBorders>
              <w:top w:val="nil"/>
              <w:left w:val="nil"/>
            </w:tcBorders>
            <w:vAlign w:val="bottom"/>
          </w:tcPr>
          <w:p w:rsidR="00D724FA" w:rsidRDefault="00D724FA" w:rsidP="00A858D8">
            <w:pPr>
              <w:pStyle w:val="IASBTableArial"/>
            </w:pPr>
            <w:r>
              <w:t>Issue of new shares for cash</w:t>
            </w:r>
          </w:p>
        </w:tc>
        <w:tc>
          <w:tcPr>
            <w:tcW w:w="910" w:type="dxa"/>
            <w:tcBorders>
              <w:top w:val="nil"/>
              <w:left w:val="nil"/>
            </w:tcBorders>
            <w:vAlign w:val="bottom"/>
          </w:tcPr>
          <w:p w:rsidR="00D724FA" w:rsidRDefault="00D724FA" w:rsidP="00A858D8">
            <w:pPr>
              <w:pStyle w:val="IASBTableArial"/>
              <w:jc w:val="right"/>
            </w:pPr>
            <w:r>
              <w:t>800</w:t>
            </w:r>
          </w:p>
        </w:tc>
        <w:tc>
          <w:tcPr>
            <w:tcW w:w="728" w:type="dxa"/>
            <w:tcBorders>
              <w:top w:val="nil"/>
              <w:left w:val="nil"/>
            </w:tcBorders>
            <w:vAlign w:val="bottom"/>
          </w:tcPr>
          <w:p w:rsidR="00D724FA" w:rsidRDefault="00D724FA" w:rsidP="00A858D8">
            <w:pPr>
              <w:pStyle w:val="IASBTableArial"/>
            </w:pPr>
          </w:p>
        </w:tc>
        <w:tc>
          <w:tcPr>
            <w:tcW w:w="910" w:type="dxa"/>
            <w:tcBorders>
              <w:top w:val="nil"/>
              <w:left w:val="nil"/>
            </w:tcBorders>
            <w:vAlign w:val="bottom"/>
          </w:tcPr>
          <w:p w:rsidR="00D724FA" w:rsidRDefault="00D724FA" w:rsidP="00A858D8">
            <w:pPr>
              <w:pStyle w:val="IASBTableArial"/>
              <w:jc w:val="right"/>
            </w:pPr>
            <w:r>
              <w:t>–</w:t>
            </w:r>
          </w:p>
        </w:tc>
        <w:tc>
          <w:tcPr>
            <w:tcW w:w="364" w:type="dxa"/>
            <w:tcBorders>
              <w:top w:val="nil"/>
              <w:left w:val="nil"/>
            </w:tcBorders>
            <w:vAlign w:val="bottom"/>
          </w:tcPr>
          <w:p w:rsidR="00D724FA" w:rsidRDefault="00D724FA" w:rsidP="00A858D8">
            <w:pPr>
              <w:pStyle w:val="IASBTableArial"/>
            </w:pPr>
          </w:p>
        </w:tc>
        <w:tc>
          <w:tcPr>
            <w:tcW w:w="1638" w:type="dxa"/>
            <w:tcBorders>
              <w:top w:val="nil"/>
              <w:left w:val="nil"/>
            </w:tcBorders>
            <w:vAlign w:val="bottom"/>
          </w:tcPr>
          <w:p w:rsidR="00D724FA" w:rsidRDefault="00D724FA" w:rsidP="00A858D8">
            <w:pPr>
              <w:pStyle w:val="IASBTableArial"/>
              <w:jc w:val="right"/>
            </w:pPr>
            <w:r>
              <w:t>2,500</w:t>
            </w:r>
          </w:p>
        </w:tc>
      </w:tr>
      <w:tr w:rsidR="00D724FA" w:rsidTr="00A858D8">
        <w:trPr>
          <w:cantSplit/>
        </w:trPr>
        <w:tc>
          <w:tcPr>
            <w:tcW w:w="2383" w:type="dxa"/>
            <w:tcBorders>
              <w:top w:val="nil"/>
            </w:tcBorders>
          </w:tcPr>
          <w:p w:rsidR="00D724FA" w:rsidRDefault="00D724FA" w:rsidP="00A858D8">
            <w:pPr>
              <w:pStyle w:val="IASBTableArial"/>
            </w:pPr>
            <w:r>
              <w:t>1 December 20X1</w:t>
            </w:r>
          </w:p>
        </w:tc>
        <w:tc>
          <w:tcPr>
            <w:tcW w:w="2275" w:type="dxa"/>
            <w:tcBorders>
              <w:top w:val="nil"/>
              <w:left w:val="nil"/>
            </w:tcBorders>
            <w:vAlign w:val="bottom"/>
          </w:tcPr>
          <w:p w:rsidR="00D724FA" w:rsidRDefault="00D724FA" w:rsidP="00A858D8">
            <w:pPr>
              <w:pStyle w:val="IASBTableArial"/>
            </w:pPr>
            <w:r>
              <w:t>Purchase of treasury shares for cash</w:t>
            </w:r>
          </w:p>
        </w:tc>
        <w:tc>
          <w:tcPr>
            <w:tcW w:w="910" w:type="dxa"/>
            <w:tcBorders>
              <w:top w:val="nil"/>
              <w:left w:val="nil"/>
              <w:bottom w:val="single" w:sz="4" w:space="0" w:color="auto"/>
            </w:tcBorders>
            <w:vAlign w:val="bottom"/>
          </w:tcPr>
          <w:p w:rsidR="00D724FA" w:rsidRDefault="00D724FA" w:rsidP="00A858D8">
            <w:pPr>
              <w:pStyle w:val="IASBTableArial"/>
              <w:jc w:val="right"/>
            </w:pPr>
            <w:r>
              <w:t>–</w:t>
            </w:r>
          </w:p>
        </w:tc>
        <w:tc>
          <w:tcPr>
            <w:tcW w:w="728" w:type="dxa"/>
            <w:tcBorders>
              <w:top w:val="nil"/>
              <w:left w:val="nil"/>
            </w:tcBorders>
            <w:vAlign w:val="bottom"/>
          </w:tcPr>
          <w:p w:rsidR="00D724FA" w:rsidRDefault="00D724FA" w:rsidP="00A858D8">
            <w:pPr>
              <w:pStyle w:val="IASBTableArial"/>
            </w:pPr>
          </w:p>
        </w:tc>
        <w:tc>
          <w:tcPr>
            <w:tcW w:w="910" w:type="dxa"/>
            <w:tcBorders>
              <w:top w:val="nil"/>
              <w:left w:val="nil"/>
              <w:bottom w:val="single" w:sz="4" w:space="0" w:color="auto"/>
            </w:tcBorders>
            <w:vAlign w:val="bottom"/>
          </w:tcPr>
          <w:p w:rsidR="00D724FA" w:rsidRDefault="00D724FA" w:rsidP="00A858D8">
            <w:pPr>
              <w:pStyle w:val="IASBTableArial"/>
              <w:jc w:val="right"/>
            </w:pPr>
            <w:r>
              <w:t>250</w:t>
            </w:r>
          </w:p>
        </w:tc>
        <w:tc>
          <w:tcPr>
            <w:tcW w:w="364" w:type="dxa"/>
            <w:tcBorders>
              <w:top w:val="nil"/>
              <w:left w:val="nil"/>
            </w:tcBorders>
            <w:vAlign w:val="bottom"/>
          </w:tcPr>
          <w:p w:rsidR="00D724FA" w:rsidRDefault="00D724FA" w:rsidP="00A858D8">
            <w:pPr>
              <w:pStyle w:val="IASBTableArial"/>
            </w:pPr>
          </w:p>
        </w:tc>
        <w:tc>
          <w:tcPr>
            <w:tcW w:w="1638" w:type="dxa"/>
            <w:tcBorders>
              <w:top w:val="nil"/>
              <w:left w:val="nil"/>
              <w:bottom w:val="single" w:sz="4" w:space="0" w:color="auto"/>
            </w:tcBorders>
            <w:vAlign w:val="bottom"/>
          </w:tcPr>
          <w:p w:rsidR="00D724FA" w:rsidRDefault="00D724FA" w:rsidP="00A858D8">
            <w:pPr>
              <w:pStyle w:val="IASBTableArial"/>
              <w:jc w:val="right"/>
            </w:pPr>
            <w:r>
              <w:t>2,250</w:t>
            </w:r>
          </w:p>
        </w:tc>
      </w:tr>
      <w:tr w:rsidR="00D724FA" w:rsidTr="00A858D8">
        <w:trPr>
          <w:cantSplit/>
        </w:trPr>
        <w:tc>
          <w:tcPr>
            <w:tcW w:w="2383" w:type="dxa"/>
            <w:tcBorders>
              <w:top w:val="nil"/>
            </w:tcBorders>
          </w:tcPr>
          <w:p w:rsidR="00D724FA" w:rsidRDefault="00D724FA" w:rsidP="00A858D8">
            <w:pPr>
              <w:pStyle w:val="IASBTableArial"/>
            </w:pPr>
            <w:r>
              <w:t>31 December 20X1</w:t>
            </w:r>
          </w:p>
        </w:tc>
        <w:tc>
          <w:tcPr>
            <w:tcW w:w="2275" w:type="dxa"/>
            <w:tcBorders>
              <w:top w:val="nil"/>
              <w:left w:val="nil"/>
            </w:tcBorders>
            <w:vAlign w:val="bottom"/>
          </w:tcPr>
          <w:p w:rsidR="00D724FA" w:rsidRDefault="00D724FA" w:rsidP="00A858D8">
            <w:pPr>
              <w:pStyle w:val="IASBTableArial"/>
            </w:pPr>
            <w:r>
              <w:t>Balance at year-end</w:t>
            </w:r>
          </w:p>
        </w:tc>
        <w:tc>
          <w:tcPr>
            <w:tcW w:w="910" w:type="dxa"/>
            <w:tcBorders>
              <w:top w:val="nil"/>
              <w:left w:val="nil"/>
              <w:bottom w:val="double" w:sz="4" w:space="0" w:color="auto"/>
            </w:tcBorders>
            <w:vAlign w:val="bottom"/>
          </w:tcPr>
          <w:p w:rsidR="00D724FA" w:rsidRDefault="00D724FA" w:rsidP="00A858D8">
            <w:pPr>
              <w:pStyle w:val="IASBTableArial"/>
              <w:jc w:val="right"/>
            </w:pPr>
            <w:r>
              <w:t>2,800</w:t>
            </w:r>
          </w:p>
        </w:tc>
        <w:tc>
          <w:tcPr>
            <w:tcW w:w="728" w:type="dxa"/>
            <w:tcBorders>
              <w:top w:val="nil"/>
              <w:left w:val="nil"/>
            </w:tcBorders>
            <w:vAlign w:val="bottom"/>
          </w:tcPr>
          <w:p w:rsidR="00D724FA" w:rsidRDefault="00D724FA" w:rsidP="00A858D8">
            <w:pPr>
              <w:pStyle w:val="IASBTableArial"/>
            </w:pPr>
          </w:p>
        </w:tc>
        <w:tc>
          <w:tcPr>
            <w:tcW w:w="910" w:type="dxa"/>
            <w:tcBorders>
              <w:top w:val="nil"/>
              <w:left w:val="nil"/>
              <w:bottom w:val="double" w:sz="4" w:space="0" w:color="auto"/>
            </w:tcBorders>
            <w:vAlign w:val="bottom"/>
          </w:tcPr>
          <w:p w:rsidR="00D724FA" w:rsidRDefault="00D724FA" w:rsidP="00A858D8">
            <w:pPr>
              <w:pStyle w:val="IASBTableArial"/>
              <w:jc w:val="right"/>
            </w:pPr>
            <w:r>
              <w:t>550</w:t>
            </w:r>
          </w:p>
        </w:tc>
        <w:tc>
          <w:tcPr>
            <w:tcW w:w="364" w:type="dxa"/>
            <w:tcBorders>
              <w:top w:val="nil"/>
              <w:left w:val="nil"/>
            </w:tcBorders>
            <w:vAlign w:val="bottom"/>
          </w:tcPr>
          <w:p w:rsidR="00D724FA" w:rsidRDefault="00D724FA" w:rsidP="00A858D8">
            <w:pPr>
              <w:pStyle w:val="IASBTableArial"/>
            </w:pPr>
          </w:p>
        </w:tc>
        <w:tc>
          <w:tcPr>
            <w:tcW w:w="1638" w:type="dxa"/>
            <w:tcBorders>
              <w:top w:val="nil"/>
              <w:left w:val="nil"/>
              <w:bottom w:val="double" w:sz="4" w:space="0" w:color="auto"/>
            </w:tcBorders>
            <w:vAlign w:val="bottom"/>
          </w:tcPr>
          <w:p w:rsidR="00D724FA" w:rsidRDefault="00D724FA" w:rsidP="00A858D8">
            <w:pPr>
              <w:pStyle w:val="IASBTableArial"/>
              <w:jc w:val="right"/>
            </w:pPr>
            <w:r>
              <w:t>2,250</w:t>
            </w:r>
          </w:p>
        </w:tc>
      </w:tr>
      <w:tr w:rsidR="00D724FA" w:rsidTr="00A858D8">
        <w:trPr>
          <w:cantSplit/>
        </w:trPr>
        <w:tc>
          <w:tcPr>
            <w:tcW w:w="7570" w:type="dxa"/>
            <w:gridSpan w:val="6"/>
            <w:tcBorders>
              <w:top w:val="nil"/>
            </w:tcBorders>
            <w:vAlign w:val="bottom"/>
          </w:tcPr>
          <w:p w:rsidR="00D724FA" w:rsidRDefault="00D724FA" w:rsidP="00A858D8">
            <w:pPr>
              <w:pStyle w:val="IASBTableArial"/>
            </w:pPr>
          </w:p>
        </w:tc>
        <w:tc>
          <w:tcPr>
            <w:tcW w:w="1638" w:type="dxa"/>
            <w:tcBorders>
              <w:top w:val="nil"/>
              <w:left w:val="nil"/>
            </w:tcBorders>
            <w:vAlign w:val="bottom"/>
          </w:tcPr>
          <w:p w:rsidR="00D724FA" w:rsidRDefault="00D724FA" w:rsidP="00A858D8">
            <w:pPr>
              <w:pStyle w:val="IASBTableArial"/>
            </w:pPr>
          </w:p>
        </w:tc>
      </w:tr>
      <w:tr w:rsidR="00D724FA" w:rsidTr="00A858D8">
        <w:trPr>
          <w:cantSplit/>
        </w:trPr>
        <w:tc>
          <w:tcPr>
            <w:tcW w:w="9208" w:type="dxa"/>
            <w:gridSpan w:val="7"/>
            <w:tcBorders>
              <w:top w:val="nil"/>
            </w:tcBorders>
            <w:vAlign w:val="bottom"/>
          </w:tcPr>
          <w:p w:rsidR="00D724FA" w:rsidRDefault="00D724FA" w:rsidP="00A858D8">
            <w:pPr>
              <w:pStyle w:val="IASBTableArial"/>
            </w:pPr>
            <w:r>
              <w:t>Calculation of weighted average:</w:t>
            </w:r>
          </w:p>
        </w:tc>
      </w:tr>
      <w:tr w:rsidR="00D724FA" w:rsidTr="00A858D8">
        <w:trPr>
          <w:cantSplit/>
        </w:trPr>
        <w:tc>
          <w:tcPr>
            <w:tcW w:w="9208" w:type="dxa"/>
            <w:gridSpan w:val="7"/>
            <w:tcBorders>
              <w:top w:val="nil"/>
            </w:tcBorders>
            <w:vAlign w:val="bottom"/>
          </w:tcPr>
          <w:p w:rsidR="00D724FA" w:rsidRDefault="00D724FA" w:rsidP="00A858D8">
            <w:pPr>
              <w:pStyle w:val="IASBTableArial"/>
            </w:pPr>
            <w:r>
              <w:t xml:space="preserve">(1,700 × </w:t>
            </w:r>
            <w:r>
              <w:rPr>
                <w:vertAlign w:val="superscript"/>
              </w:rPr>
              <w:t>5</w:t>
            </w:r>
            <w:r>
              <w:t>/</w:t>
            </w:r>
            <w:r>
              <w:rPr>
                <w:vertAlign w:val="subscript"/>
              </w:rPr>
              <w:t>12</w:t>
            </w:r>
            <w:r>
              <w:t xml:space="preserve">) + (2,500 × </w:t>
            </w:r>
            <w:r>
              <w:rPr>
                <w:vertAlign w:val="superscript"/>
              </w:rPr>
              <w:t>6</w:t>
            </w:r>
            <w:r>
              <w:t>/</w:t>
            </w:r>
            <w:r>
              <w:rPr>
                <w:vertAlign w:val="subscript"/>
              </w:rPr>
              <w:t>12</w:t>
            </w:r>
            <w:r>
              <w:t xml:space="preserve">) + (2,250 × </w:t>
            </w:r>
            <w:r>
              <w:rPr>
                <w:vertAlign w:val="superscript"/>
              </w:rPr>
              <w:t>1</w:t>
            </w:r>
            <w:r>
              <w:t>/</w:t>
            </w:r>
            <w:r>
              <w:rPr>
                <w:vertAlign w:val="subscript"/>
              </w:rPr>
              <w:t>12</w:t>
            </w:r>
            <w:r>
              <w:t xml:space="preserve">) = 2,146 shares </w:t>
            </w:r>
            <w:r>
              <w:rPr>
                <w:i/>
              </w:rPr>
              <w:t>or</w:t>
            </w:r>
          </w:p>
        </w:tc>
      </w:tr>
      <w:tr w:rsidR="00D724FA" w:rsidTr="00A858D8">
        <w:trPr>
          <w:cantSplit/>
        </w:trPr>
        <w:tc>
          <w:tcPr>
            <w:tcW w:w="9208" w:type="dxa"/>
            <w:gridSpan w:val="7"/>
            <w:tcBorders>
              <w:top w:val="nil"/>
            </w:tcBorders>
            <w:vAlign w:val="bottom"/>
          </w:tcPr>
          <w:p w:rsidR="00D724FA" w:rsidRDefault="00D724FA" w:rsidP="00A858D8">
            <w:pPr>
              <w:pStyle w:val="IASBTableArial"/>
            </w:pPr>
            <w:r>
              <w:t xml:space="preserve">(1,700 × </w:t>
            </w:r>
            <w:r>
              <w:rPr>
                <w:vertAlign w:val="superscript"/>
              </w:rPr>
              <w:t>12</w:t>
            </w:r>
            <w:r>
              <w:t>/</w:t>
            </w:r>
            <w:r>
              <w:rPr>
                <w:vertAlign w:val="subscript"/>
              </w:rPr>
              <w:t>12</w:t>
            </w:r>
            <w:r>
              <w:t xml:space="preserve">) + (800 × </w:t>
            </w:r>
            <w:r>
              <w:rPr>
                <w:vertAlign w:val="superscript"/>
              </w:rPr>
              <w:t>7</w:t>
            </w:r>
            <w:r>
              <w:t>/</w:t>
            </w:r>
            <w:r>
              <w:rPr>
                <w:vertAlign w:val="subscript"/>
              </w:rPr>
              <w:t>12</w:t>
            </w:r>
            <w:r>
              <w:t xml:space="preserve">) – (250 × </w:t>
            </w:r>
            <w:r>
              <w:rPr>
                <w:vertAlign w:val="superscript"/>
              </w:rPr>
              <w:t>1</w:t>
            </w:r>
            <w:r>
              <w:t>/</w:t>
            </w:r>
            <w:r>
              <w:rPr>
                <w:vertAlign w:val="subscript"/>
              </w:rPr>
              <w:t>12</w:t>
            </w:r>
            <w:r>
              <w:t>) = 2,146 shares</w:t>
            </w:r>
          </w:p>
        </w:tc>
      </w:tr>
      <w:tr w:rsidR="00D724FA" w:rsidTr="00A858D8">
        <w:trPr>
          <w:cantSplit/>
        </w:trPr>
        <w:tc>
          <w:tcPr>
            <w:tcW w:w="9208" w:type="dxa"/>
            <w:gridSpan w:val="7"/>
            <w:tcBorders>
              <w:top w:val="nil"/>
            </w:tcBorders>
            <w:vAlign w:val="bottom"/>
          </w:tcPr>
          <w:p w:rsidR="00D724FA" w:rsidRDefault="00D724FA" w:rsidP="00A858D8">
            <w:pPr>
              <w:pStyle w:val="IASBTableTNR"/>
            </w:pPr>
            <w:r>
              <w:rPr>
                <w:rStyle w:val="FootnoteReference"/>
                <w:sz w:val="16"/>
                <w:vertAlign w:val="baseline"/>
              </w:rPr>
              <w:t>(a)</w:t>
            </w:r>
            <w:r>
              <w:rPr>
                <w:rStyle w:val="FootnoteReference"/>
                <w:sz w:val="16"/>
                <w:vertAlign w:val="baseline"/>
              </w:rPr>
              <w:tab/>
              <w:t>Treasury shares are equity instruments reacquired and held by the issuing entity itself or by its subsidiaries.</w:t>
            </w:r>
          </w:p>
        </w:tc>
      </w:tr>
    </w:tbl>
    <w:p w:rsidR="00D724FA" w:rsidRDefault="00D724FA" w:rsidP="00D724FA">
      <w:pPr>
        <w:pStyle w:val="IASBNormalnpara"/>
      </w:pPr>
    </w:p>
    <w:p w:rsidR="00D724FA" w:rsidRDefault="00D724FA" w:rsidP="00D724FA">
      <w:pPr>
        <w:pStyle w:val="IASBSectionTitle1NonInd"/>
      </w:pPr>
      <w:r>
        <w:t>Example 3 Bonus issue</w:t>
      </w:r>
    </w:p>
    <w:p w:rsidR="00D724FA" w:rsidRDefault="00D724FA" w:rsidP="00D724FA">
      <w:pPr>
        <w:pStyle w:val="IASBNormal"/>
      </w:pPr>
      <w:r>
        <w:rPr>
          <w:b/>
        </w:rPr>
        <w:t>Reference:</w:t>
      </w:r>
      <w:r w:rsidR="00725E14">
        <w:rPr>
          <w:b/>
        </w:rPr>
        <w:t xml:space="preserve"> AASB 133</w:t>
      </w:r>
      <w:r>
        <w:rPr>
          <w:b/>
        </w:rPr>
        <w:t>, paragraphs 26, 27(a) and 28</w:t>
      </w:r>
    </w:p>
    <w:p w:rsidR="00D724FA" w:rsidRDefault="00D724FA" w:rsidP="00D724FA">
      <w:pPr>
        <w:pStyle w:val="IASBNormalnpara"/>
      </w:pPr>
    </w:p>
    <w:tbl>
      <w:tblPr>
        <w:tblW w:w="0" w:type="auto"/>
        <w:tblLayout w:type="fixed"/>
        <w:tblLook w:val="0000" w:firstRow="0" w:lastRow="0" w:firstColumn="0" w:lastColumn="0" w:noHBand="0" w:noVBand="0"/>
        <w:tblCaption w:val="AASB 133 Table 5"/>
      </w:tblPr>
      <w:tblGrid>
        <w:gridCol w:w="6205"/>
        <w:gridCol w:w="1365"/>
        <w:gridCol w:w="273"/>
        <w:gridCol w:w="1365"/>
      </w:tblGrid>
      <w:tr w:rsidR="00D724FA" w:rsidTr="00A858D8">
        <w:trPr>
          <w:cantSplit/>
        </w:trPr>
        <w:tc>
          <w:tcPr>
            <w:tcW w:w="7843" w:type="dxa"/>
            <w:gridSpan w:val="3"/>
            <w:vAlign w:val="bottom"/>
          </w:tcPr>
          <w:p w:rsidR="00D724FA" w:rsidRDefault="00D724FA" w:rsidP="00A858D8">
            <w:pPr>
              <w:pStyle w:val="IASBTableArial"/>
            </w:pPr>
            <w:r>
              <w:t>Profit attributable to ordinary equity holders of the parent entity 20X0</w:t>
            </w:r>
          </w:p>
        </w:tc>
        <w:tc>
          <w:tcPr>
            <w:tcW w:w="1365" w:type="dxa"/>
            <w:tcBorders>
              <w:left w:val="nil"/>
            </w:tcBorders>
            <w:vAlign w:val="bottom"/>
          </w:tcPr>
          <w:p w:rsidR="00D724FA" w:rsidRDefault="00D724FA" w:rsidP="00A858D8">
            <w:pPr>
              <w:pStyle w:val="IASBTableArial"/>
              <w:jc w:val="right"/>
            </w:pPr>
            <w:r>
              <w:t>CU180</w:t>
            </w:r>
          </w:p>
        </w:tc>
      </w:tr>
      <w:tr w:rsidR="00D724FA" w:rsidTr="00A858D8">
        <w:trPr>
          <w:cantSplit/>
        </w:trPr>
        <w:tc>
          <w:tcPr>
            <w:tcW w:w="7843" w:type="dxa"/>
            <w:gridSpan w:val="3"/>
            <w:tcBorders>
              <w:top w:val="nil"/>
            </w:tcBorders>
            <w:vAlign w:val="bottom"/>
          </w:tcPr>
          <w:p w:rsidR="00D724FA" w:rsidRDefault="00D724FA" w:rsidP="00A858D8">
            <w:pPr>
              <w:pStyle w:val="IASBTableArial"/>
            </w:pPr>
            <w:r>
              <w:t>Profit attributable to ordinary equity holders of the parent entity 20X1</w:t>
            </w:r>
          </w:p>
        </w:tc>
        <w:tc>
          <w:tcPr>
            <w:tcW w:w="1365" w:type="dxa"/>
            <w:tcBorders>
              <w:top w:val="nil"/>
              <w:left w:val="nil"/>
            </w:tcBorders>
            <w:vAlign w:val="bottom"/>
          </w:tcPr>
          <w:p w:rsidR="00D724FA" w:rsidRDefault="00D724FA" w:rsidP="00A858D8">
            <w:pPr>
              <w:pStyle w:val="IASBTableArial"/>
              <w:jc w:val="right"/>
            </w:pPr>
            <w:r>
              <w:t>CU600</w:t>
            </w:r>
          </w:p>
        </w:tc>
      </w:tr>
      <w:tr w:rsidR="00D724FA" w:rsidTr="00A858D8">
        <w:trPr>
          <w:cantSplit/>
        </w:trPr>
        <w:tc>
          <w:tcPr>
            <w:tcW w:w="7843" w:type="dxa"/>
            <w:gridSpan w:val="3"/>
            <w:tcBorders>
              <w:top w:val="nil"/>
            </w:tcBorders>
            <w:vAlign w:val="bottom"/>
          </w:tcPr>
          <w:p w:rsidR="00D724FA" w:rsidRDefault="00D724FA" w:rsidP="00A858D8">
            <w:pPr>
              <w:pStyle w:val="IASBTableArial"/>
            </w:pPr>
            <w:r>
              <w:t>Ordinary shares outstanding until 30 September 20X1</w:t>
            </w:r>
          </w:p>
        </w:tc>
        <w:tc>
          <w:tcPr>
            <w:tcW w:w="1365" w:type="dxa"/>
            <w:tcBorders>
              <w:top w:val="nil"/>
              <w:left w:val="nil"/>
            </w:tcBorders>
            <w:vAlign w:val="bottom"/>
          </w:tcPr>
          <w:p w:rsidR="00D724FA" w:rsidRDefault="00D724FA" w:rsidP="00A858D8">
            <w:pPr>
              <w:pStyle w:val="IASBTableArial"/>
              <w:jc w:val="right"/>
            </w:pPr>
            <w:r>
              <w:t>200</w:t>
            </w:r>
          </w:p>
        </w:tc>
      </w:tr>
      <w:tr w:rsidR="00D724FA" w:rsidTr="00A858D8">
        <w:trPr>
          <w:cantSplit/>
        </w:trPr>
        <w:tc>
          <w:tcPr>
            <w:tcW w:w="6205" w:type="dxa"/>
            <w:tcBorders>
              <w:top w:val="nil"/>
            </w:tcBorders>
          </w:tcPr>
          <w:p w:rsidR="00D724FA" w:rsidRDefault="00D724FA" w:rsidP="00A858D8">
            <w:pPr>
              <w:pStyle w:val="IASBTableArial"/>
            </w:pPr>
            <w:r>
              <w:t>Bonus issue 1 October 20X1</w:t>
            </w:r>
          </w:p>
        </w:tc>
        <w:tc>
          <w:tcPr>
            <w:tcW w:w="3003" w:type="dxa"/>
            <w:gridSpan w:val="3"/>
            <w:tcBorders>
              <w:top w:val="nil"/>
              <w:left w:val="nil"/>
            </w:tcBorders>
            <w:vAlign w:val="bottom"/>
          </w:tcPr>
          <w:p w:rsidR="00D724FA" w:rsidRDefault="00D724FA" w:rsidP="00A858D8">
            <w:pPr>
              <w:pStyle w:val="IASBTableArial"/>
              <w:jc w:val="right"/>
            </w:pPr>
            <w:r>
              <w:t>2 ordinary shares for each ordinary share outstanding at 30 September 20X1</w:t>
            </w:r>
          </w:p>
        </w:tc>
      </w:tr>
      <w:tr w:rsidR="00D724FA" w:rsidTr="00A858D8">
        <w:trPr>
          <w:cantSplit/>
        </w:trPr>
        <w:tc>
          <w:tcPr>
            <w:tcW w:w="6205" w:type="dxa"/>
            <w:tcBorders>
              <w:top w:val="nil"/>
            </w:tcBorders>
          </w:tcPr>
          <w:p w:rsidR="00D724FA" w:rsidRDefault="00D724FA" w:rsidP="00A858D8">
            <w:pPr>
              <w:pStyle w:val="IASBTableArial"/>
            </w:pPr>
          </w:p>
        </w:tc>
        <w:tc>
          <w:tcPr>
            <w:tcW w:w="3003" w:type="dxa"/>
            <w:gridSpan w:val="3"/>
            <w:tcBorders>
              <w:top w:val="nil"/>
              <w:left w:val="nil"/>
            </w:tcBorders>
            <w:vAlign w:val="bottom"/>
          </w:tcPr>
          <w:p w:rsidR="00D724FA" w:rsidRDefault="00D724FA" w:rsidP="00A858D8">
            <w:pPr>
              <w:pStyle w:val="IASBTableArial"/>
              <w:jc w:val="right"/>
            </w:pPr>
            <w:r>
              <w:t>200 × 2 = 400</w:t>
            </w:r>
          </w:p>
        </w:tc>
      </w:tr>
      <w:tr w:rsidR="00D724FA" w:rsidTr="00A858D8">
        <w:trPr>
          <w:cantSplit/>
        </w:trPr>
        <w:tc>
          <w:tcPr>
            <w:tcW w:w="6205" w:type="dxa"/>
            <w:vMerge w:val="restart"/>
            <w:tcBorders>
              <w:top w:val="nil"/>
            </w:tcBorders>
            <w:vAlign w:val="center"/>
          </w:tcPr>
          <w:p w:rsidR="00D724FA" w:rsidRDefault="00D724FA" w:rsidP="00A858D8">
            <w:pPr>
              <w:pStyle w:val="IASBTableArial"/>
            </w:pPr>
            <w:r>
              <w:t>Basic earnings per share 20X1</w:t>
            </w:r>
          </w:p>
        </w:tc>
        <w:tc>
          <w:tcPr>
            <w:tcW w:w="1365" w:type="dxa"/>
            <w:tcBorders>
              <w:top w:val="nil"/>
              <w:left w:val="nil"/>
              <w:bottom w:val="single" w:sz="4" w:space="0" w:color="auto"/>
            </w:tcBorders>
            <w:vAlign w:val="bottom"/>
          </w:tcPr>
          <w:p w:rsidR="00D724FA" w:rsidRDefault="00D724FA" w:rsidP="00A858D8">
            <w:pPr>
              <w:pStyle w:val="IASBTableArial"/>
              <w:jc w:val="center"/>
            </w:pPr>
            <w:r>
              <w:t>CU600</w:t>
            </w:r>
          </w:p>
        </w:tc>
        <w:tc>
          <w:tcPr>
            <w:tcW w:w="1638" w:type="dxa"/>
            <w:gridSpan w:val="2"/>
            <w:vMerge w:val="restart"/>
            <w:tcBorders>
              <w:top w:val="nil"/>
              <w:left w:val="nil"/>
            </w:tcBorders>
            <w:vAlign w:val="center"/>
          </w:tcPr>
          <w:p w:rsidR="00D724FA" w:rsidRDefault="00D724FA" w:rsidP="00A858D8">
            <w:pPr>
              <w:pStyle w:val="IASBTableArial"/>
              <w:jc w:val="right"/>
            </w:pPr>
            <w:r>
              <w:t>= CU1.00</w:t>
            </w:r>
          </w:p>
        </w:tc>
      </w:tr>
      <w:tr w:rsidR="00D724FA" w:rsidTr="00A858D8">
        <w:trPr>
          <w:cantSplit/>
        </w:trPr>
        <w:tc>
          <w:tcPr>
            <w:tcW w:w="6205" w:type="dxa"/>
            <w:vMerge/>
            <w:tcBorders>
              <w:top w:val="nil"/>
            </w:tcBorders>
            <w:vAlign w:val="center"/>
          </w:tcPr>
          <w:p w:rsidR="00D724FA" w:rsidRDefault="00D724FA" w:rsidP="00A858D8">
            <w:pPr>
              <w:widowControl w:val="0"/>
              <w:autoSpaceDE w:val="0"/>
              <w:autoSpaceDN w:val="0"/>
              <w:adjustRightInd w:val="0"/>
              <w:rPr>
                <w:lang w:eastAsia="en-GB"/>
              </w:rPr>
            </w:pPr>
          </w:p>
        </w:tc>
        <w:tc>
          <w:tcPr>
            <w:tcW w:w="1365" w:type="dxa"/>
            <w:tcBorders>
              <w:top w:val="nil"/>
            </w:tcBorders>
            <w:vAlign w:val="bottom"/>
          </w:tcPr>
          <w:p w:rsidR="00D724FA" w:rsidRDefault="00D724FA" w:rsidP="00A858D8">
            <w:pPr>
              <w:pStyle w:val="IASBTableArial"/>
              <w:jc w:val="center"/>
            </w:pPr>
            <w:r>
              <w:t>(200 + 400)</w:t>
            </w:r>
          </w:p>
        </w:tc>
        <w:tc>
          <w:tcPr>
            <w:tcW w:w="1638" w:type="dxa"/>
            <w:gridSpan w:val="2"/>
            <w:vMerge/>
            <w:tcBorders>
              <w:top w:val="nil"/>
              <w:left w:val="nil"/>
            </w:tcBorders>
            <w:vAlign w:val="center"/>
          </w:tcPr>
          <w:p w:rsidR="00D724FA" w:rsidRDefault="00D724FA" w:rsidP="00A858D8">
            <w:pPr>
              <w:widowControl w:val="0"/>
              <w:autoSpaceDE w:val="0"/>
              <w:autoSpaceDN w:val="0"/>
              <w:adjustRightInd w:val="0"/>
              <w:rPr>
                <w:lang w:eastAsia="en-GB"/>
              </w:rPr>
            </w:pPr>
          </w:p>
        </w:tc>
      </w:tr>
      <w:tr w:rsidR="00D724FA" w:rsidTr="00A858D8">
        <w:trPr>
          <w:cantSplit/>
        </w:trPr>
        <w:tc>
          <w:tcPr>
            <w:tcW w:w="6205" w:type="dxa"/>
            <w:vMerge w:val="restart"/>
            <w:tcBorders>
              <w:top w:val="nil"/>
            </w:tcBorders>
            <w:vAlign w:val="center"/>
          </w:tcPr>
          <w:p w:rsidR="00D724FA" w:rsidRDefault="00D724FA" w:rsidP="00A858D8">
            <w:pPr>
              <w:pStyle w:val="IASBTableArial"/>
            </w:pPr>
            <w:r>
              <w:t>Basic earnings per share 20X0</w:t>
            </w:r>
          </w:p>
        </w:tc>
        <w:tc>
          <w:tcPr>
            <w:tcW w:w="1365" w:type="dxa"/>
            <w:tcBorders>
              <w:top w:val="nil"/>
              <w:left w:val="nil"/>
              <w:bottom w:val="single" w:sz="4" w:space="0" w:color="auto"/>
            </w:tcBorders>
            <w:vAlign w:val="bottom"/>
          </w:tcPr>
          <w:p w:rsidR="00D724FA" w:rsidRDefault="00D724FA" w:rsidP="00A858D8">
            <w:pPr>
              <w:pStyle w:val="IASBTableArial"/>
              <w:jc w:val="center"/>
            </w:pPr>
            <w:r>
              <w:t>CU180</w:t>
            </w:r>
          </w:p>
        </w:tc>
        <w:tc>
          <w:tcPr>
            <w:tcW w:w="1638" w:type="dxa"/>
            <w:gridSpan w:val="2"/>
            <w:vMerge w:val="restart"/>
            <w:tcBorders>
              <w:top w:val="nil"/>
              <w:left w:val="nil"/>
            </w:tcBorders>
            <w:vAlign w:val="center"/>
          </w:tcPr>
          <w:p w:rsidR="00D724FA" w:rsidRDefault="00D724FA" w:rsidP="00A858D8">
            <w:pPr>
              <w:pStyle w:val="IASBTableArial"/>
              <w:jc w:val="right"/>
            </w:pPr>
            <w:r>
              <w:t>= CU0.30</w:t>
            </w:r>
          </w:p>
        </w:tc>
      </w:tr>
      <w:tr w:rsidR="00D724FA" w:rsidTr="00A858D8">
        <w:trPr>
          <w:cantSplit/>
        </w:trPr>
        <w:tc>
          <w:tcPr>
            <w:tcW w:w="6205" w:type="dxa"/>
            <w:vMerge/>
            <w:tcBorders>
              <w:top w:val="nil"/>
            </w:tcBorders>
            <w:vAlign w:val="center"/>
          </w:tcPr>
          <w:p w:rsidR="00D724FA" w:rsidRDefault="00D724FA" w:rsidP="00A858D8">
            <w:pPr>
              <w:widowControl w:val="0"/>
              <w:autoSpaceDE w:val="0"/>
              <w:autoSpaceDN w:val="0"/>
              <w:adjustRightInd w:val="0"/>
              <w:rPr>
                <w:lang w:eastAsia="en-GB"/>
              </w:rPr>
            </w:pPr>
          </w:p>
        </w:tc>
        <w:tc>
          <w:tcPr>
            <w:tcW w:w="1365" w:type="dxa"/>
            <w:tcBorders>
              <w:top w:val="nil"/>
            </w:tcBorders>
          </w:tcPr>
          <w:p w:rsidR="00D724FA" w:rsidRDefault="00D724FA" w:rsidP="00A858D8">
            <w:pPr>
              <w:pStyle w:val="IASBTableArial"/>
              <w:jc w:val="center"/>
            </w:pPr>
            <w:r>
              <w:t>(200 + 400)</w:t>
            </w:r>
          </w:p>
        </w:tc>
        <w:tc>
          <w:tcPr>
            <w:tcW w:w="1638" w:type="dxa"/>
            <w:gridSpan w:val="2"/>
            <w:vMerge/>
            <w:tcBorders>
              <w:top w:val="nil"/>
              <w:left w:val="nil"/>
            </w:tcBorders>
            <w:vAlign w:val="center"/>
          </w:tcPr>
          <w:p w:rsidR="00D724FA" w:rsidRDefault="00D724FA" w:rsidP="00A858D8">
            <w:pPr>
              <w:widowControl w:val="0"/>
              <w:autoSpaceDE w:val="0"/>
              <w:autoSpaceDN w:val="0"/>
              <w:adjustRightInd w:val="0"/>
              <w:rPr>
                <w:lang w:eastAsia="en-GB"/>
              </w:rPr>
            </w:pPr>
          </w:p>
        </w:tc>
      </w:tr>
      <w:tr w:rsidR="00D724FA" w:rsidTr="00A858D8">
        <w:trPr>
          <w:cantSplit/>
        </w:trPr>
        <w:tc>
          <w:tcPr>
            <w:tcW w:w="9208" w:type="dxa"/>
            <w:gridSpan w:val="4"/>
            <w:tcBorders>
              <w:top w:val="nil"/>
            </w:tcBorders>
            <w:vAlign w:val="center"/>
          </w:tcPr>
          <w:p w:rsidR="00D724FA" w:rsidRDefault="00D724FA" w:rsidP="00A858D8">
            <w:pPr>
              <w:pStyle w:val="IASBTableArial"/>
            </w:pPr>
          </w:p>
        </w:tc>
      </w:tr>
      <w:tr w:rsidR="00D724FA" w:rsidTr="00A858D8">
        <w:trPr>
          <w:cantSplit/>
        </w:trPr>
        <w:tc>
          <w:tcPr>
            <w:tcW w:w="9208" w:type="dxa"/>
            <w:gridSpan w:val="4"/>
            <w:tcBorders>
              <w:top w:val="nil"/>
            </w:tcBorders>
            <w:vAlign w:val="center"/>
          </w:tcPr>
          <w:p w:rsidR="00D724FA" w:rsidRDefault="00D724FA" w:rsidP="00A858D8">
            <w:pPr>
              <w:pStyle w:val="IASBTableTNR"/>
            </w:pPr>
            <w:r>
              <w:t>Because the bonus issue was without consideration, it is treated as if it had occurred before the beginning of 20X0, the earliest period presented.</w:t>
            </w:r>
          </w:p>
        </w:tc>
      </w:tr>
    </w:tbl>
    <w:p w:rsidR="00D724FA" w:rsidRDefault="00D724FA" w:rsidP="00D724FA">
      <w:pPr>
        <w:pStyle w:val="IASBNormalnpara"/>
      </w:pPr>
    </w:p>
    <w:p w:rsidR="00D724FA" w:rsidRDefault="00D724FA" w:rsidP="00F609F6">
      <w:pPr>
        <w:pStyle w:val="IASBSectionTitle1NonInd"/>
        <w:spacing w:before="0"/>
      </w:pPr>
      <w:r>
        <w:br w:type="page"/>
        <w:t>Example 4 Rights issue</w:t>
      </w:r>
    </w:p>
    <w:p w:rsidR="00D724FA" w:rsidRDefault="00D724FA" w:rsidP="00D724FA">
      <w:pPr>
        <w:pStyle w:val="IASBNormal"/>
      </w:pPr>
      <w:r>
        <w:rPr>
          <w:b/>
        </w:rPr>
        <w:t>Reference:</w:t>
      </w:r>
      <w:r w:rsidR="00725E14">
        <w:rPr>
          <w:b/>
        </w:rPr>
        <w:t xml:space="preserve"> AASB 133</w:t>
      </w:r>
      <w:r>
        <w:rPr>
          <w:b/>
        </w:rPr>
        <w:t>, paragraphs 26, 27(b) and A2</w:t>
      </w:r>
    </w:p>
    <w:p w:rsidR="00D724FA" w:rsidRDefault="00D724FA" w:rsidP="00D724FA">
      <w:pPr>
        <w:pStyle w:val="IASBNormalnpara"/>
      </w:pPr>
    </w:p>
    <w:tbl>
      <w:tblPr>
        <w:tblW w:w="0" w:type="auto"/>
        <w:tblLayout w:type="fixed"/>
        <w:tblLook w:val="0000" w:firstRow="0" w:lastRow="0" w:firstColumn="0" w:lastColumn="0" w:noHBand="0" w:noVBand="0"/>
        <w:tblCaption w:val="AASB 133 Table 6"/>
      </w:tblPr>
      <w:tblGrid>
        <w:gridCol w:w="2747"/>
        <w:gridCol w:w="236"/>
        <w:gridCol w:w="2605"/>
        <w:gridCol w:w="1092"/>
        <w:gridCol w:w="236"/>
        <w:gridCol w:w="1058"/>
        <w:gridCol w:w="195"/>
        <w:gridCol w:w="41"/>
        <w:gridCol w:w="1058"/>
      </w:tblGrid>
      <w:tr w:rsidR="00D724FA" w:rsidTr="00A858D8">
        <w:trPr>
          <w:cantSplit/>
        </w:trPr>
        <w:tc>
          <w:tcPr>
            <w:tcW w:w="5568" w:type="dxa"/>
            <w:gridSpan w:val="3"/>
            <w:vAlign w:val="bottom"/>
          </w:tcPr>
          <w:p w:rsidR="00D724FA" w:rsidRDefault="00D724FA" w:rsidP="00A858D8">
            <w:pPr>
              <w:pStyle w:val="IASBTableArial"/>
            </w:pPr>
          </w:p>
        </w:tc>
        <w:tc>
          <w:tcPr>
            <w:tcW w:w="1092" w:type="dxa"/>
            <w:tcBorders>
              <w:left w:val="nil"/>
              <w:bottom w:val="single" w:sz="4" w:space="0" w:color="auto"/>
            </w:tcBorders>
            <w:vAlign w:val="bottom"/>
          </w:tcPr>
          <w:p w:rsidR="00D724FA" w:rsidRDefault="00D724FA" w:rsidP="00A858D8">
            <w:pPr>
              <w:pStyle w:val="IASBTableArial"/>
              <w:jc w:val="right"/>
            </w:pPr>
            <w:r>
              <w:t>20X0</w:t>
            </w:r>
          </w:p>
        </w:tc>
        <w:tc>
          <w:tcPr>
            <w:tcW w:w="216" w:type="dxa"/>
            <w:tcBorders>
              <w:left w:val="nil"/>
            </w:tcBorders>
            <w:vAlign w:val="bottom"/>
          </w:tcPr>
          <w:p w:rsidR="00D724FA" w:rsidRDefault="00D724FA" w:rsidP="00A858D8">
            <w:pPr>
              <w:pStyle w:val="IASBTableArial"/>
            </w:pPr>
          </w:p>
        </w:tc>
        <w:tc>
          <w:tcPr>
            <w:tcW w:w="1058" w:type="dxa"/>
            <w:tcBorders>
              <w:left w:val="nil"/>
              <w:bottom w:val="single" w:sz="4" w:space="0" w:color="auto"/>
            </w:tcBorders>
            <w:vAlign w:val="bottom"/>
          </w:tcPr>
          <w:p w:rsidR="00D724FA" w:rsidRDefault="00D724FA" w:rsidP="00A858D8">
            <w:pPr>
              <w:pStyle w:val="IASBTableArial"/>
              <w:jc w:val="right"/>
            </w:pPr>
            <w:r>
              <w:t>20X1</w:t>
            </w:r>
          </w:p>
        </w:tc>
        <w:tc>
          <w:tcPr>
            <w:tcW w:w="216" w:type="dxa"/>
            <w:gridSpan w:val="2"/>
            <w:tcBorders>
              <w:left w:val="nil"/>
            </w:tcBorders>
            <w:vAlign w:val="bottom"/>
          </w:tcPr>
          <w:p w:rsidR="00D724FA" w:rsidRDefault="00D724FA" w:rsidP="00A858D8">
            <w:pPr>
              <w:pStyle w:val="IASBTableArial"/>
            </w:pPr>
          </w:p>
        </w:tc>
        <w:tc>
          <w:tcPr>
            <w:tcW w:w="1058" w:type="dxa"/>
            <w:tcBorders>
              <w:left w:val="nil"/>
              <w:bottom w:val="single" w:sz="4" w:space="0" w:color="auto"/>
            </w:tcBorders>
            <w:vAlign w:val="bottom"/>
          </w:tcPr>
          <w:p w:rsidR="00D724FA" w:rsidRDefault="00D724FA" w:rsidP="00A858D8">
            <w:pPr>
              <w:pStyle w:val="IASBTableArial"/>
              <w:jc w:val="right"/>
            </w:pPr>
            <w:r>
              <w:t>20X2</w:t>
            </w:r>
          </w:p>
        </w:tc>
      </w:tr>
      <w:tr w:rsidR="00D724FA" w:rsidTr="00A858D8">
        <w:trPr>
          <w:cantSplit/>
        </w:trPr>
        <w:tc>
          <w:tcPr>
            <w:tcW w:w="5568" w:type="dxa"/>
            <w:gridSpan w:val="3"/>
            <w:tcBorders>
              <w:top w:val="nil"/>
            </w:tcBorders>
          </w:tcPr>
          <w:p w:rsidR="00D724FA" w:rsidRDefault="00D724FA" w:rsidP="00A858D8">
            <w:pPr>
              <w:pStyle w:val="IASBTableArial"/>
            </w:pPr>
            <w:r>
              <w:t>Profit attributable to ordinary equity holders of the parent entity</w:t>
            </w:r>
          </w:p>
        </w:tc>
        <w:tc>
          <w:tcPr>
            <w:tcW w:w="1092" w:type="dxa"/>
            <w:tcBorders>
              <w:top w:val="nil"/>
              <w:left w:val="nil"/>
              <w:bottom w:val="double" w:sz="4" w:space="0" w:color="auto"/>
            </w:tcBorders>
            <w:vAlign w:val="bottom"/>
          </w:tcPr>
          <w:p w:rsidR="00D724FA" w:rsidRDefault="00D724FA" w:rsidP="00A858D8">
            <w:pPr>
              <w:pStyle w:val="IASBTableArial"/>
              <w:jc w:val="right"/>
            </w:pPr>
            <w:r>
              <w:t>CU1,100</w:t>
            </w:r>
          </w:p>
        </w:tc>
        <w:tc>
          <w:tcPr>
            <w:tcW w:w="216" w:type="dxa"/>
            <w:tcBorders>
              <w:top w:val="nil"/>
              <w:left w:val="nil"/>
            </w:tcBorders>
            <w:vAlign w:val="bottom"/>
          </w:tcPr>
          <w:p w:rsidR="00D724FA" w:rsidRDefault="00D724FA" w:rsidP="00A858D8">
            <w:pPr>
              <w:pStyle w:val="IASBTableArial"/>
            </w:pPr>
          </w:p>
        </w:tc>
        <w:tc>
          <w:tcPr>
            <w:tcW w:w="1058" w:type="dxa"/>
            <w:tcBorders>
              <w:top w:val="nil"/>
              <w:left w:val="nil"/>
              <w:bottom w:val="double" w:sz="4" w:space="0" w:color="auto"/>
            </w:tcBorders>
            <w:vAlign w:val="bottom"/>
          </w:tcPr>
          <w:p w:rsidR="00D724FA" w:rsidRDefault="00D724FA" w:rsidP="00A858D8">
            <w:pPr>
              <w:pStyle w:val="IASBTableArial"/>
              <w:jc w:val="right"/>
            </w:pPr>
            <w:r>
              <w:t>CU1,500</w:t>
            </w:r>
          </w:p>
        </w:tc>
        <w:tc>
          <w:tcPr>
            <w:tcW w:w="216" w:type="dxa"/>
            <w:gridSpan w:val="2"/>
            <w:tcBorders>
              <w:top w:val="nil"/>
              <w:left w:val="nil"/>
            </w:tcBorders>
            <w:vAlign w:val="bottom"/>
          </w:tcPr>
          <w:p w:rsidR="00D724FA" w:rsidRDefault="00D724FA" w:rsidP="00A858D8">
            <w:pPr>
              <w:pStyle w:val="IASBTableArial"/>
            </w:pPr>
          </w:p>
        </w:tc>
        <w:tc>
          <w:tcPr>
            <w:tcW w:w="1058" w:type="dxa"/>
            <w:tcBorders>
              <w:top w:val="nil"/>
              <w:left w:val="nil"/>
              <w:bottom w:val="double" w:sz="4" w:space="0" w:color="auto"/>
            </w:tcBorders>
            <w:vAlign w:val="bottom"/>
          </w:tcPr>
          <w:p w:rsidR="00D724FA" w:rsidRDefault="00D724FA" w:rsidP="00A858D8">
            <w:pPr>
              <w:pStyle w:val="IASBTableArial"/>
              <w:jc w:val="right"/>
            </w:pPr>
            <w:r>
              <w:t>CU1,800</w:t>
            </w:r>
          </w:p>
        </w:tc>
      </w:tr>
      <w:tr w:rsidR="00D724FA" w:rsidTr="00A858D8">
        <w:trPr>
          <w:cantSplit/>
        </w:trPr>
        <w:tc>
          <w:tcPr>
            <w:tcW w:w="2747" w:type="dxa"/>
            <w:tcBorders>
              <w:top w:val="nil"/>
            </w:tcBorders>
          </w:tcPr>
          <w:p w:rsidR="00D724FA" w:rsidRDefault="00D724FA" w:rsidP="00A858D8">
            <w:pPr>
              <w:pStyle w:val="IASBTableArial"/>
            </w:pPr>
            <w:r>
              <w:t>Shares outstanding before rights issue</w:t>
            </w:r>
          </w:p>
        </w:tc>
        <w:tc>
          <w:tcPr>
            <w:tcW w:w="2821" w:type="dxa"/>
            <w:gridSpan w:val="2"/>
            <w:tcBorders>
              <w:top w:val="nil"/>
              <w:left w:val="nil"/>
            </w:tcBorders>
            <w:vAlign w:val="bottom"/>
          </w:tcPr>
          <w:p w:rsidR="00D724FA" w:rsidRDefault="00D724FA" w:rsidP="00A858D8">
            <w:pPr>
              <w:pStyle w:val="IASBTableArial"/>
            </w:pPr>
            <w:r>
              <w:t>500 shares</w:t>
            </w:r>
          </w:p>
        </w:tc>
        <w:tc>
          <w:tcPr>
            <w:tcW w:w="1092" w:type="dxa"/>
            <w:tcBorders>
              <w:top w:val="nil"/>
              <w:left w:val="nil"/>
            </w:tcBorders>
            <w:vAlign w:val="bottom"/>
          </w:tcPr>
          <w:p w:rsidR="00D724FA" w:rsidRDefault="00D724FA" w:rsidP="00A858D8">
            <w:pPr>
              <w:pStyle w:val="IASBTableArial"/>
            </w:pPr>
          </w:p>
        </w:tc>
        <w:tc>
          <w:tcPr>
            <w:tcW w:w="216" w:type="dxa"/>
            <w:tcBorders>
              <w:top w:val="nil"/>
              <w:left w:val="nil"/>
            </w:tcBorders>
            <w:vAlign w:val="bottom"/>
          </w:tcPr>
          <w:p w:rsidR="00D724FA" w:rsidRDefault="00D724FA" w:rsidP="00A858D8">
            <w:pPr>
              <w:pStyle w:val="IASBTableArial"/>
            </w:pPr>
          </w:p>
        </w:tc>
        <w:tc>
          <w:tcPr>
            <w:tcW w:w="1058" w:type="dxa"/>
            <w:tcBorders>
              <w:top w:val="nil"/>
              <w:left w:val="nil"/>
            </w:tcBorders>
            <w:vAlign w:val="bottom"/>
          </w:tcPr>
          <w:p w:rsidR="00D724FA" w:rsidRDefault="00D724FA" w:rsidP="00A858D8">
            <w:pPr>
              <w:pStyle w:val="IASBTableArial"/>
            </w:pPr>
          </w:p>
        </w:tc>
        <w:tc>
          <w:tcPr>
            <w:tcW w:w="216" w:type="dxa"/>
            <w:gridSpan w:val="2"/>
            <w:tcBorders>
              <w:top w:val="nil"/>
              <w:left w:val="nil"/>
            </w:tcBorders>
            <w:vAlign w:val="bottom"/>
          </w:tcPr>
          <w:p w:rsidR="00D724FA" w:rsidRDefault="00D724FA" w:rsidP="00A858D8">
            <w:pPr>
              <w:pStyle w:val="IASBTableArial"/>
            </w:pPr>
          </w:p>
        </w:tc>
        <w:tc>
          <w:tcPr>
            <w:tcW w:w="1058" w:type="dxa"/>
            <w:tcBorders>
              <w:top w:val="nil"/>
              <w:left w:val="nil"/>
            </w:tcBorders>
            <w:vAlign w:val="bottom"/>
          </w:tcPr>
          <w:p w:rsidR="00D724FA" w:rsidRDefault="00D724FA" w:rsidP="00A858D8">
            <w:pPr>
              <w:pStyle w:val="IASBTableArial"/>
            </w:pPr>
          </w:p>
        </w:tc>
      </w:tr>
      <w:tr w:rsidR="00D724FA" w:rsidTr="00A858D8">
        <w:trPr>
          <w:cantSplit/>
        </w:trPr>
        <w:tc>
          <w:tcPr>
            <w:tcW w:w="2747" w:type="dxa"/>
            <w:tcBorders>
              <w:top w:val="nil"/>
            </w:tcBorders>
          </w:tcPr>
          <w:p w:rsidR="00D724FA" w:rsidRDefault="00D724FA" w:rsidP="00A858D8">
            <w:pPr>
              <w:pStyle w:val="IASBTableArial"/>
            </w:pPr>
            <w:r>
              <w:t>Rights issue</w:t>
            </w:r>
          </w:p>
        </w:tc>
        <w:tc>
          <w:tcPr>
            <w:tcW w:w="6461" w:type="dxa"/>
            <w:gridSpan w:val="8"/>
            <w:tcBorders>
              <w:top w:val="nil"/>
              <w:left w:val="nil"/>
            </w:tcBorders>
            <w:vAlign w:val="bottom"/>
          </w:tcPr>
          <w:p w:rsidR="00D724FA" w:rsidRDefault="00D724FA" w:rsidP="00A858D8">
            <w:pPr>
              <w:pStyle w:val="IASBTableArial"/>
            </w:pPr>
            <w:r>
              <w:t>One new share for each five outstanding shares</w:t>
            </w:r>
          </w:p>
        </w:tc>
      </w:tr>
      <w:tr w:rsidR="00D724FA" w:rsidTr="00A858D8">
        <w:trPr>
          <w:cantSplit/>
        </w:trPr>
        <w:tc>
          <w:tcPr>
            <w:tcW w:w="2747" w:type="dxa"/>
            <w:tcBorders>
              <w:top w:val="nil"/>
            </w:tcBorders>
          </w:tcPr>
          <w:p w:rsidR="00D724FA" w:rsidRDefault="00D724FA" w:rsidP="00A858D8">
            <w:pPr>
              <w:pStyle w:val="IASBTableArial"/>
            </w:pPr>
          </w:p>
        </w:tc>
        <w:tc>
          <w:tcPr>
            <w:tcW w:w="6461" w:type="dxa"/>
            <w:gridSpan w:val="8"/>
            <w:tcBorders>
              <w:top w:val="nil"/>
              <w:left w:val="nil"/>
            </w:tcBorders>
            <w:vAlign w:val="bottom"/>
          </w:tcPr>
          <w:p w:rsidR="00D724FA" w:rsidRDefault="00D724FA" w:rsidP="00A858D8">
            <w:pPr>
              <w:pStyle w:val="IASBTableArial"/>
            </w:pPr>
            <w:r>
              <w:t>(100 new shares total)</w:t>
            </w:r>
          </w:p>
        </w:tc>
      </w:tr>
      <w:tr w:rsidR="00D724FA" w:rsidTr="00A858D8">
        <w:trPr>
          <w:cantSplit/>
        </w:trPr>
        <w:tc>
          <w:tcPr>
            <w:tcW w:w="2747" w:type="dxa"/>
            <w:tcBorders>
              <w:top w:val="nil"/>
            </w:tcBorders>
          </w:tcPr>
          <w:p w:rsidR="00D724FA" w:rsidRDefault="00D724FA" w:rsidP="00A858D8">
            <w:pPr>
              <w:pStyle w:val="IASBTableArial"/>
            </w:pPr>
          </w:p>
        </w:tc>
        <w:tc>
          <w:tcPr>
            <w:tcW w:w="6461" w:type="dxa"/>
            <w:gridSpan w:val="8"/>
            <w:tcBorders>
              <w:top w:val="nil"/>
              <w:left w:val="nil"/>
            </w:tcBorders>
            <w:vAlign w:val="bottom"/>
          </w:tcPr>
          <w:p w:rsidR="00D724FA" w:rsidRDefault="00D724FA" w:rsidP="00A858D8">
            <w:pPr>
              <w:pStyle w:val="IASBTableArial"/>
            </w:pPr>
            <w:r>
              <w:t>Exercise price: CU5.00</w:t>
            </w:r>
          </w:p>
        </w:tc>
      </w:tr>
      <w:tr w:rsidR="00D724FA" w:rsidTr="00A858D8">
        <w:trPr>
          <w:cantSplit/>
        </w:trPr>
        <w:tc>
          <w:tcPr>
            <w:tcW w:w="2747" w:type="dxa"/>
            <w:tcBorders>
              <w:top w:val="nil"/>
            </w:tcBorders>
          </w:tcPr>
          <w:p w:rsidR="00D724FA" w:rsidRDefault="00D724FA" w:rsidP="00A858D8">
            <w:pPr>
              <w:pStyle w:val="IASBTableArial"/>
            </w:pPr>
          </w:p>
        </w:tc>
        <w:tc>
          <w:tcPr>
            <w:tcW w:w="6461" w:type="dxa"/>
            <w:gridSpan w:val="8"/>
            <w:tcBorders>
              <w:top w:val="nil"/>
              <w:left w:val="nil"/>
            </w:tcBorders>
            <w:vAlign w:val="bottom"/>
          </w:tcPr>
          <w:p w:rsidR="00D724FA" w:rsidRDefault="00D724FA" w:rsidP="00A858D8">
            <w:pPr>
              <w:pStyle w:val="IASBTableArial"/>
            </w:pPr>
            <w:r>
              <w:t>Date of rights issue: 1 January 20X1</w:t>
            </w:r>
          </w:p>
        </w:tc>
      </w:tr>
      <w:tr w:rsidR="00D724FA" w:rsidTr="00A858D8">
        <w:trPr>
          <w:cantSplit/>
        </w:trPr>
        <w:tc>
          <w:tcPr>
            <w:tcW w:w="2747" w:type="dxa"/>
            <w:tcBorders>
              <w:top w:val="nil"/>
            </w:tcBorders>
          </w:tcPr>
          <w:p w:rsidR="00D724FA" w:rsidRDefault="00D724FA" w:rsidP="00A858D8">
            <w:pPr>
              <w:pStyle w:val="IASBTableArial"/>
            </w:pPr>
          </w:p>
        </w:tc>
        <w:tc>
          <w:tcPr>
            <w:tcW w:w="6461" w:type="dxa"/>
            <w:gridSpan w:val="8"/>
            <w:tcBorders>
              <w:top w:val="nil"/>
              <w:left w:val="nil"/>
            </w:tcBorders>
            <w:vAlign w:val="bottom"/>
          </w:tcPr>
          <w:p w:rsidR="00D724FA" w:rsidRDefault="00D724FA" w:rsidP="00A858D8">
            <w:pPr>
              <w:pStyle w:val="IASBTableArial"/>
            </w:pPr>
            <w:r>
              <w:t>Last date to exercise rights: 1 March 20X1</w:t>
            </w:r>
          </w:p>
        </w:tc>
      </w:tr>
      <w:tr w:rsidR="00D724FA" w:rsidTr="00A858D8">
        <w:trPr>
          <w:cantSplit/>
        </w:trPr>
        <w:tc>
          <w:tcPr>
            <w:tcW w:w="2747" w:type="dxa"/>
            <w:tcBorders>
              <w:top w:val="nil"/>
            </w:tcBorders>
          </w:tcPr>
          <w:p w:rsidR="00D724FA" w:rsidRDefault="00D724FA" w:rsidP="00A858D8">
            <w:pPr>
              <w:pStyle w:val="IASBTableArial"/>
            </w:pPr>
            <w:r>
              <w:t>Market price of one ordinary share immediately before exercise on 1 March 20X1:</w:t>
            </w:r>
          </w:p>
        </w:tc>
        <w:tc>
          <w:tcPr>
            <w:tcW w:w="5187" w:type="dxa"/>
            <w:gridSpan w:val="5"/>
            <w:tcBorders>
              <w:top w:val="nil"/>
              <w:left w:val="nil"/>
            </w:tcBorders>
            <w:vAlign w:val="bottom"/>
          </w:tcPr>
          <w:p w:rsidR="00D724FA" w:rsidRDefault="00D724FA" w:rsidP="00A858D8">
            <w:pPr>
              <w:pStyle w:val="IASBTableArial"/>
            </w:pPr>
            <w:r>
              <w:t>CU11.00</w:t>
            </w:r>
          </w:p>
        </w:tc>
        <w:tc>
          <w:tcPr>
            <w:tcW w:w="216" w:type="dxa"/>
            <w:gridSpan w:val="2"/>
            <w:tcBorders>
              <w:top w:val="nil"/>
              <w:left w:val="nil"/>
            </w:tcBorders>
            <w:vAlign w:val="bottom"/>
          </w:tcPr>
          <w:p w:rsidR="00D724FA" w:rsidRDefault="00D724FA" w:rsidP="00A858D8">
            <w:pPr>
              <w:pStyle w:val="IASBTableArial"/>
            </w:pPr>
          </w:p>
        </w:tc>
        <w:tc>
          <w:tcPr>
            <w:tcW w:w="1058" w:type="dxa"/>
            <w:tcBorders>
              <w:top w:val="nil"/>
              <w:left w:val="nil"/>
            </w:tcBorders>
            <w:vAlign w:val="bottom"/>
          </w:tcPr>
          <w:p w:rsidR="00D724FA" w:rsidRDefault="00D724FA" w:rsidP="00A858D8">
            <w:pPr>
              <w:pStyle w:val="IASBTableArial"/>
            </w:pPr>
          </w:p>
        </w:tc>
      </w:tr>
      <w:tr w:rsidR="00D724FA" w:rsidTr="00A858D8">
        <w:trPr>
          <w:cantSplit/>
        </w:trPr>
        <w:tc>
          <w:tcPr>
            <w:tcW w:w="2747" w:type="dxa"/>
            <w:tcBorders>
              <w:top w:val="nil"/>
            </w:tcBorders>
          </w:tcPr>
          <w:p w:rsidR="00D724FA" w:rsidRDefault="00D724FA" w:rsidP="00A858D8">
            <w:pPr>
              <w:pStyle w:val="IASBTableArial"/>
            </w:pPr>
            <w:r>
              <w:t>Reporting date</w:t>
            </w:r>
          </w:p>
        </w:tc>
        <w:tc>
          <w:tcPr>
            <w:tcW w:w="5187" w:type="dxa"/>
            <w:gridSpan w:val="5"/>
            <w:tcBorders>
              <w:top w:val="nil"/>
              <w:left w:val="nil"/>
            </w:tcBorders>
            <w:vAlign w:val="bottom"/>
          </w:tcPr>
          <w:p w:rsidR="00D724FA" w:rsidRDefault="00D724FA" w:rsidP="00A858D8">
            <w:pPr>
              <w:pStyle w:val="IASBTableArial"/>
            </w:pPr>
            <w:r>
              <w:t>31 December</w:t>
            </w:r>
          </w:p>
        </w:tc>
        <w:tc>
          <w:tcPr>
            <w:tcW w:w="216" w:type="dxa"/>
            <w:gridSpan w:val="2"/>
            <w:tcBorders>
              <w:top w:val="nil"/>
              <w:left w:val="nil"/>
            </w:tcBorders>
            <w:vAlign w:val="bottom"/>
          </w:tcPr>
          <w:p w:rsidR="00D724FA" w:rsidRDefault="00D724FA" w:rsidP="00A858D8">
            <w:pPr>
              <w:pStyle w:val="IASBTableArial"/>
            </w:pPr>
          </w:p>
        </w:tc>
        <w:tc>
          <w:tcPr>
            <w:tcW w:w="1058" w:type="dxa"/>
            <w:tcBorders>
              <w:top w:val="nil"/>
              <w:left w:val="nil"/>
            </w:tcBorders>
            <w:vAlign w:val="bottom"/>
          </w:tcPr>
          <w:p w:rsidR="00D724FA" w:rsidRDefault="00D724FA" w:rsidP="00A858D8">
            <w:pPr>
              <w:pStyle w:val="IASBTableArial"/>
            </w:pPr>
          </w:p>
        </w:tc>
      </w:tr>
      <w:tr w:rsidR="00D724FA" w:rsidTr="00A858D8">
        <w:trPr>
          <w:cantSplit/>
        </w:trPr>
        <w:tc>
          <w:tcPr>
            <w:tcW w:w="7934" w:type="dxa"/>
            <w:gridSpan w:val="6"/>
            <w:tcBorders>
              <w:top w:val="nil"/>
            </w:tcBorders>
            <w:vAlign w:val="bottom"/>
          </w:tcPr>
          <w:p w:rsidR="00D724FA" w:rsidRDefault="00D724FA" w:rsidP="00A858D8">
            <w:pPr>
              <w:pStyle w:val="IASBTableArial"/>
            </w:pPr>
          </w:p>
        </w:tc>
        <w:tc>
          <w:tcPr>
            <w:tcW w:w="216" w:type="dxa"/>
            <w:gridSpan w:val="2"/>
            <w:tcBorders>
              <w:top w:val="nil"/>
              <w:left w:val="nil"/>
            </w:tcBorders>
            <w:vAlign w:val="bottom"/>
          </w:tcPr>
          <w:p w:rsidR="00D724FA" w:rsidRDefault="00D724FA" w:rsidP="00A858D8">
            <w:pPr>
              <w:pStyle w:val="IASBTableArial"/>
            </w:pPr>
          </w:p>
        </w:tc>
        <w:tc>
          <w:tcPr>
            <w:tcW w:w="1058" w:type="dxa"/>
            <w:tcBorders>
              <w:top w:val="nil"/>
              <w:left w:val="nil"/>
            </w:tcBorders>
            <w:vAlign w:val="bottom"/>
          </w:tcPr>
          <w:p w:rsidR="00D724FA" w:rsidRDefault="00D724FA" w:rsidP="00A858D8">
            <w:pPr>
              <w:pStyle w:val="IASBTableArial"/>
            </w:pPr>
          </w:p>
        </w:tc>
      </w:tr>
      <w:tr w:rsidR="00D724FA" w:rsidTr="00A858D8">
        <w:trPr>
          <w:cantSplit/>
        </w:trPr>
        <w:tc>
          <w:tcPr>
            <w:tcW w:w="9208" w:type="dxa"/>
            <w:gridSpan w:val="9"/>
            <w:tcBorders>
              <w:top w:val="nil"/>
            </w:tcBorders>
            <w:vAlign w:val="bottom"/>
          </w:tcPr>
          <w:p w:rsidR="00D724FA" w:rsidRDefault="00D724FA" w:rsidP="00A858D8">
            <w:pPr>
              <w:pStyle w:val="IASBTableArial"/>
            </w:pPr>
            <w:r>
              <w:rPr>
                <w:b/>
              </w:rPr>
              <w:t>Calculation of theoretical ex-rights value per share</w:t>
            </w:r>
          </w:p>
        </w:tc>
      </w:tr>
      <w:tr w:rsidR="00D724FA" w:rsidTr="00A858D8">
        <w:trPr>
          <w:cantSplit/>
        </w:trPr>
        <w:tc>
          <w:tcPr>
            <w:tcW w:w="9208" w:type="dxa"/>
            <w:gridSpan w:val="9"/>
            <w:tcBorders>
              <w:top w:val="nil"/>
              <w:bottom w:val="single" w:sz="4" w:space="0" w:color="auto"/>
            </w:tcBorders>
            <w:vAlign w:val="bottom"/>
          </w:tcPr>
          <w:p w:rsidR="00D724FA" w:rsidRDefault="00D724FA" w:rsidP="00A858D8">
            <w:pPr>
              <w:pStyle w:val="IASBTableArial"/>
              <w:jc w:val="center"/>
            </w:pPr>
            <w:r>
              <w:rPr>
                <w:sz w:val="15"/>
              </w:rPr>
              <w:t>Fair value of all outstanding shares before the exercise of rights + total amount received from exercise of rights</w:t>
            </w:r>
          </w:p>
        </w:tc>
      </w:tr>
      <w:tr w:rsidR="00D724FA" w:rsidTr="00A858D8">
        <w:trPr>
          <w:cantSplit/>
        </w:trPr>
        <w:tc>
          <w:tcPr>
            <w:tcW w:w="9208" w:type="dxa"/>
            <w:gridSpan w:val="9"/>
            <w:tcBorders>
              <w:top w:val="nil"/>
            </w:tcBorders>
          </w:tcPr>
          <w:p w:rsidR="00D724FA" w:rsidRDefault="00D724FA" w:rsidP="00A858D8">
            <w:pPr>
              <w:pStyle w:val="IASBTableArial"/>
              <w:jc w:val="center"/>
            </w:pPr>
            <w:r>
              <w:rPr>
                <w:sz w:val="15"/>
              </w:rPr>
              <w:t>Number of shares outstanding before exercise + number of shares issued in the exercise</w:t>
            </w:r>
          </w:p>
        </w:tc>
      </w:tr>
      <w:tr w:rsidR="00D724FA" w:rsidTr="00A858D8">
        <w:trPr>
          <w:cantSplit/>
        </w:trPr>
        <w:tc>
          <w:tcPr>
            <w:tcW w:w="9208" w:type="dxa"/>
            <w:gridSpan w:val="9"/>
            <w:tcBorders>
              <w:top w:val="nil"/>
            </w:tcBorders>
            <w:vAlign w:val="bottom"/>
          </w:tcPr>
          <w:p w:rsidR="00D724FA" w:rsidRDefault="00D724FA" w:rsidP="00A858D8">
            <w:pPr>
              <w:pStyle w:val="IASBTableArial"/>
            </w:pPr>
          </w:p>
        </w:tc>
      </w:tr>
      <w:tr w:rsidR="00D724FA" w:rsidTr="00A858D8">
        <w:trPr>
          <w:cantSplit/>
        </w:trPr>
        <w:tc>
          <w:tcPr>
            <w:tcW w:w="2747" w:type="dxa"/>
            <w:tcBorders>
              <w:top w:val="nil"/>
            </w:tcBorders>
            <w:vAlign w:val="bottom"/>
          </w:tcPr>
          <w:p w:rsidR="00D724FA" w:rsidRDefault="00D724FA" w:rsidP="00A858D8">
            <w:pPr>
              <w:pStyle w:val="IASBTableArial"/>
              <w:jc w:val="center"/>
            </w:pPr>
          </w:p>
        </w:tc>
        <w:tc>
          <w:tcPr>
            <w:tcW w:w="5187" w:type="dxa"/>
            <w:gridSpan w:val="5"/>
            <w:tcBorders>
              <w:top w:val="nil"/>
              <w:left w:val="nil"/>
              <w:bottom w:val="single" w:sz="4" w:space="0" w:color="auto"/>
            </w:tcBorders>
            <w:vAlign w:val="bottom"/>
          </w:tcPr>
          <w:p w:rsidR="00D724FA" w:rsidRDefault="00D724FA" w:rsidP="00A858D8">
            <w:pPr>
              <w:pStyle w:val="IASBTableArial"/>
              <w:jc w:val="center"/>
            </w:pPr>
            <w:r>
              <w:t>(CU11.00 × 500 shares) + (CU5.00 × 100 shares)</w:t>
            </w:r>
          </w:p>
        </w:tc>
        <w:tc>
          <w:tcPr>
            <w:tcW w:w="216" w:type="dxa"/>
            <w:gridSpan w:val="2"/>
            <w:tcBorders>
              <w:top w:val="nil"/>
              <w:left w:val="nil"/>
            </w:tcBorders>
            <w:vAlign w:val="bottom"/>
          </w:tcPr>
          <w:p w:rsidR="00D724FA" w:rsidRDefault="00D724FA" w:rsidP="00A858D8">
            <w:pPr>
              <w:pStyle w:val="IASBTableArial"/>
            </w:pPr>
          </w:p>
        </w:tc>
        <w:tc>
          <w:tcPr>
            <w:tcW w:w="1058" w:type="dxa"/>
            <w:tcBorders>
              <w:top w:val="nil"/>
              <w:left w:val="nil"/>
            </w:tcBorders>
            <w:vAlign w:val="bottom"/>
          </w:tcPr>
          <w:p w:rsidR="00D724FA" w:rsidRDefault="00D724FA" w:rsidP="00A858D8">
            <w:pPr>
              <w:pStyle w:val="IASBTableArial"/>
            </w:pPr>
          </w:p>
        </w:tc>
      </w:tr>
      <w:tr w:rsidR="00D724FA" w:rsidTr="00A858D8">
        <w:trPr>
          <w:cantSplit/>
        </w:trPr>
        <w:tc>
          <w:tcPr>
            <w:tcW w:w="2747" w:type="dxa"/>
            <w:tcBorders>
              <w:top w:val="nil"/>
            </w:tcBorders>
          </w:tcPr>
          <w:p w:rsidR="00D724FA" w:rsidRDefault="00D724FA" w:rsidP="00A858D8">
            <w:pPr>
              <w:pStyle w:val="IASBTableArial"/>
              <w:jc w:val="center"/>
            </w:pPr>
          </w:p>
        </w:tc>
        <w:tc>
          <w:tcPr>
            <w:tcW w:w="5187" w:type="dxa"/>
            <w:gridSpan w:val="5"/>
            <w:tcBorders>
              <w:top w:val="nil"/>
              <w:left w:val="nil"/>
            </w:tcBorders>
            <w:vAlign w:val="bottom"/>
          </w:tcPr>
          <w:p w:rsidR="00D724FA" w:rsidRDefault="00D724FA" w:rsidP="00A858D8">
            <w:pPr>
              <w:pStyle w:val="IASBTableArial"/>
              <w:jc w:val="center"/>
            </w:pPr>
            <w:r>
              <w:t>500 shares + 100 shares</w:t>
            </w:r>
          </w:p>
        </w:tc>
        <w:tc>
          <w:tcPr>
            <w:tcW w:w="216" w:type="dxa"/>
            <w:gridSpan w:val="2"/>
            <w:tcBorders>
              <w:top w:val="nil"/>
              <w:left w:val="nil"/>
            </w:tcBorders>
            <w:vAlign w:val="bottom"/>
          </w:tcPr>
          <w:p w:rsidR="00D724FA" w:rsidRDefault="00D724FA" w:rsidP="00A858D8">
            <w:pPr>
              <w:pStyle w:val="IASBTableArial"/>
            </w:pPr>
          </w:p>
        </w:tc>
        <w:tc>
          <w:tcPr>
            <w:tcW w:w="1058" w:type="dxa"/>
            <w:tcBorders>
              <w:top w:val="nil"/>
              <w:left w:val="nil"/>
            </w:tcBorders>
            <w:vAlign w:val="bottom"/>
          </w:tcPr>
          <w:p w:rsidR="00D724FA" w:rsidRDefault="00D724FA" w:rsidP="00A858D8">
            <w:pPr>
              <w:pStyle w:val="IASBTableArial"/>
            </w:pPr>
          </w:p>
        </w:tc>
      </w:tr>
      <w:tr w:rsidR="00D724FA" w:rsidTr="00A858D8">
        <w:trPr>
          <w:cantSplit/>
        </w:trPr>
        <w:tc>
          <w:tcPr>
            <w:tcW w:w="9208" w:type="dxa"/>
            <w:gridSpan w:val="9"/>
            <w:tcBorders>
              <w:top w:val="nil"/>
            </w:tcBorders>
            <w:vAlign w:val="bottom"/>
          </w:tcPr>
          <w:p w:rsidR="00D724FA" w:rsidRDefault="00D724FA" w:rsidP="00A858D8">
            <w:pPr>
              <w:pStyle w:val="IASBTableArial"/>
            </w:pPr>
          </w:p>
        </w:tc>
      </w:tr>
      <w:tr w:rsidR="00D724FA" w:rsidTr="00A858D8">
        <w:trPr>
          <w:cantSplit/>
        </w:trPr>
        <w:tc>
          <w:tcPr>
            <w:tcW w:w="9208" w:type="dxa"/>
            <w:gridSpan w:val="9"/>
            <w:tcBorders>
              <w:top w:val="nil"/>
            </w:tcBorders>
            <w:vAlign w:val="bottom"/>
          </w:tcPr>
          <w:p w:rsidR="00D724FA" w:rsidRDefault="00D724FA" w:rsidP="00A858D8">
            <w:pPr>
              <w:pStyle w:val="IASBTableArial"/>
            </w:pPr>
            <w:r>
              <w:t>Theoretical ex-rights value per share = CU10.00</w:t>
            </w:r>
          </w:p>
        </w:tc>
      </w:tr>
      <w:tr w:rsidR="00D724FA" w:rsidTr="00A858D8">
        <w:trPr>
          <w:cantSplit/>
        </w:trPr>
        <w:tc>
          <w:tcPr>
            <w:tcW w:w="7934" w:type="dxa"/>
            <w:gridSpan w:val="6"/>
            <w:tcBorders>
              <w:top w:val="nil"/>
            </w:tcBorders>
            <w:vAlign w:val="bottom"/>
          </w:tcPr>
          <w:p w:rsidR="00D724FA" w:rsidRDefault="00D724FA" w:rsidP="00A858D8">
            <w:pPr>
              <w:pStyle w:val="IASBTableArial"/>
            </w:pPr>
          </w:p>
        </w:tc>
        <w:tc>
          <w:tcPr>
            <w:tcW w:w="216" w:type="dxa"/>
            <w:gridSpan w:val="2"/>
            <w:tcBorders>
              <w:top w:val="nil"/>
              <w:left w:val="nil"/>
            </w:tcBorders>
            <w:vAlign w:val="bottom"/>
          </w:tcPr>
          <w:p w:rsidR="00D724FA" w:rsidRDefault="00D724FA" w:rsidP="00A858D8">
            <w:pPr>
              <w:pStyle w:val="IASBTableArial"/>
            </w:pPr>
          </w:p>
        </w:tc>
        <w:tc>
          <w:tcPr>
            <w:tcW w:w="1058" w:type="dxa"/>
            <w:tcBorders>
              <w:top w:val="nil"/>
              <w:left w:val="nil"/>
            </w:tcBorders>
            <w:vAlign w:val="bottom"/>
          </w:tcPr>
          <w:p w:rsidR="00D724FA" w:rsidRDefault="00D724FA" w:rsidP="00A858D8">
            <w:pPr>
              <w:pStyle w:val="IASBTableArial"/>
            </w:pPr>
          </w:p>
        </w:tc>
      </w:tr>
      <w:tr w:rsidR="00D724FA" w:rsidTr="00A858D8">
        <w:trPr>
          <w:cantSplit/>
        </w:trPr>
        <w:tc>
          <w:tcPr>
            <w:tcW w:w="7934" w:type="dxa"/>
            <w:gridSpan w:val="6"/>
            <w:tcBorders>
              <w:top w:val="nil"/>
            </w:tcBorders>
            <w:vAlign w:val="bottom"/>
          </w:tcPr>
          <w:p w:rsidR="00D724FA" w:rsidRDefault="00D724FA" w:rsidP="00A858D8">
            <w:pPr>
              <w:pStyle w:val="IASBTableArial"/>
            </w:pPr>
            <w:r>
              <w:rPr>
                <w:b/>
              </w:rPr>
              <w:t>Calculation of adjustment factor</w:t>
            </w:r>
          </w:p>
        </w:tc>
        <w:tc>
          <w:tcPr>
            <w:tcW w:w="216" w:type="dxa"/>
            <w:gridSpan w:val="2"/>
            <w:tcBorders>
              <w:top w:val="nil"/>
              <w:left w:val="nil"/>
            </w:tcBorders>
            <w:vAlign w:val="bottom"/>
          </w:tcPr>
          <w:p w:rsidR="00D724FA" w:rsidRDefault="00D724FA" w:rsidP="00A858D8">
            <w:pPr>
              <w:pStyle w:val="IASBTableArial"/>
            </w:pPr>
          </w:p>
        </w:tc>
        <w:tc>
          <w:tcPr>
            <w:tcW w:w="1058" w:type="dxa"/>
            <w:tcBorders>
              <w:top w:val="nil"/>
              <w:left w:val="nil"/>
            </w:tcBorders>
            <w:vAlign w:val="bottom"/>
          </w:tcPr>
          <w:p w:rsidR="00D724FA" w:rsidRDefault="00D724FA" w:rsidP="00A858D8">
            <w:pPr>
              <w:pStyle w:val="IASBTableArial"/>
            </w:pPr>
          </w:p>
        </w:tc>
      </w:tr>
      <w:tr w:rsidR="00D724FA" w:rsidTr="00A858D8">
        <w:trPr>
          <w:cantSplit/>
        </w:trPr>
        <w:tc>
          <w:tcPr>
            <w:tcW w:w="5568" w:type="dxa"/>
            <w:gridSpan w:val="3"/>
            <w:tcBorders>
              <w:top w:val="nil"/>
              <w:bottom w:val="single" w:sz="4" w:space="0" w:color="auto"/>
            </w:tcBorders>
            <w:vAlign w:val="bottom"/>
          </w:tcPr>
          <w:p w:rsidR="00D724FA" w:rsidRDefault="00D724FA" w:rsidP="00A858D8">
            <w:pPr>
              <w:pStyle w:val="IASBTableArial"/>
              <w:jc w:val="center"/>
            </w:pPr>
            <w:r>
              <w:t>Fair value per share before exercise of rights</w:t>
            </w:r>
          </w:p>
        </w:tc>
        <w:tc>
          <w:tcPr>
            <w:tcW w:w="1092" w:type="dxa"/>
            <w:tcBorders>
              <w:top w:val="nil"/>
              <w:left w:val="nil"/>
            </w:tcBorders>
            <w:vAlign w:val="center"/>
          </w:tcPr>
          <w:p w:rsidR="00D724FA" w:rsidRDefault="00D724FA" w:rsidP="00A858D8">
            <w:pPr>
              <w:pStyle w:val="IASBTableArial"/>
            </w:pPr>
          </w:p>
        </w:tc>
        <w:tc>
          <w:tcPr>
            <w:tcW w:w="216" w:type="dxa"/>
            <w:tcBorders>
              <w:top w:val="nil"/>
              <w:left w:val="nil"/>
            </w:tcBorders>
            <w:vAlign w:val="bottom"/>
          </w:tcPr>
          <w:p w:rsidR="00D724FA" w:rsidRDefault="00D724FA" w:rsidP="00A858D8">
            <w:pPr>
              <w:pStyle w:val="IASBTableArial"/>
              <w:jc w:val="center"/>
            </w:pPr>
          </w:p>
        </w:tc>
        <w:tc>
          <w:tcPr>
            <w:tcW w:w="1240" w:type="dxa"/>
            <w:gridSpan w:val="2"/>
            <w:tcBorders>
              <w:top w:val="nil"/>
              <w:left w:val="nil"/>
              <w:bottom w:val="single" w:sz="4" w:space="0" w:color="auto"/>
            </w:tcBorders>
            <w:vAlign w:val="center"/>
          </w:tcPr>
          <w:p w:rsidR="00D724FA" w:rsidRDefault="00D724FA" w:rsidP="00A858D8">
            <w:pPr>
              <w:pStyle w:val="IASBTableArial"/>
              <w:jc w:val="center"/>
            </w:pPr>
            <w:r>
              <w:t>CU11.00</w:t>
            </w:r>
          </w:p>
        </w:tc>
        <w:tc>
          <w:tcPr>
            <w:tcW w:w="1092" w:type="dxa"/>
            <w:gridSpan w:val="2"/>
            <w:vMerge w:val="restart"/>
            <w:tcBorders>
              <w:top w:val="nil"/>
              <w:left w:val="nil"/>
            </w:tcBorders>
            <w:vAlign w:val="center"/>
          </w:tcPr>
          <w:p w:rsidR="00D724FA" w:rsidRDefault="00D724FA" w:rsidP="00A858D8">
            <w:pPr>
              <w:pStyle w:val="IASBTableArial"/>
              <w:jc w:val="right"/>
            </w:pPr>
            <w:r>
              <w:t>= 1.10</w:t>
            </w:r>
          </w:p>
        </w:tc>
      </w:tr>
      <w:tr w:rsidR="00D724FA" w:rsidTr="00A858D8">
        <w:trPr>
          <w:cantSplit/>
        </w:trPr>
        <w:tc>
          <w:tcPr>
            <w:tcW w:w="5568" w:type="dxa"/>
            <w:gridSpan w:val="3"/>
            <w:tcBorders>
              <w:top w:val="nil"/>
            </w:tcBorders>
          </w:tcPr>
          <w:p w:rsidR="00D724FA" w:rsidRDefault="00D724FA" w:rsidP="00A858D8">
            <w:pPr>
              <w:pStyle w:val="IASBTableArial"/>
              <w:jc w:val="center"/>
            </w:pPr>
            <w:r>
              <w:t>Theoretical ex-rights value per share</w:t>
            </w:r>
          </w:p>
        </w:tc>
        <w:tc>
          <w:tcPr>
            <w:tcW w:w="1092" w:type="dxa"/>
            <w:tcBorders>
              <w:top w:val="nil"/>
              <w:left w:val="nil"/>
            </w:tcBorders>
            <w:vAlign w:val="center"/>
          </w:tcPr>
          <w:p w:rsidR="00D724FA" w:rsidRDefault="00D724FA" w:rsidP="00A858D8">
            <w:pPr>
              <w:pStyle w:val="IASBTableArial"/>
            </w:pPr>
          </w:p>
        </w:tc>
        <w:tc>
          <w:tcPr>
            <w:tcW w:w="216" w:type="dxa"/>
            <w:tcBorders>
              <w:top w:val="nil"/>
              <w:left w:val="nil"/>
            </w:tcBorders>
          </w:tcPr>
          <w:p w:rsidR="00D724FA" w:rsidRDefault="00D724FA" w:rsidP="00A858D8">
            <w:pPr>
              <w:pStyle w:val="IASBTableArial"/>
              <w:jc w:val="center"/>
            </w:pPr>
          </w:p>
        </w:tc>
        <w:tc>
          <w:tcPr>
            <w:tcW w:w="1240" w:type="dxa"/>
            <w:gridSpan w:val="2"/>
            <w:tcBorders>
              <w:top w:val="nil"/>
              <w:left w:val="nil"/>
            </w:tcBorders>
          </w:tcPr>
          <w:p w:rsidR="00D724FA" w:rsidRDefault="00D724FA" w:rsidP="00A858D8">
            <w:pPr>
              <w:pStyle w:val="IASBTableArial"/>
              <w:jc w:val="center"/>
            </w:pPr>
            <w:r>
              <w:t>CU10.00</w:t>
            </w:r>
          </w:p>
        </w:tc>
        <w:tc>
          <w:tcPr>
            <w:tcW w:w="1092" w:type="dxa"/>
            <w:gridSpan w:val="2"/>
            <w:vMerge/>
            <w:tcBorders>
              <w:top w:val="nil"/>
              <w:left w:val="nil"/>
            </w:tcBorders>
            <w:vAlign w:val="center"/>
          </w:tcPr>
          <w:p w:rsidR="00D724FA" w:rsidRDefault="00D724FA" w:rsidP="00A858D8">
            <w:pPr>
              <w:widowControl w:val="0"/>
              <w:autoSpaceDE w:val="0"/>
              <w:autoSpaceDN w:val="0"/>
              <w:adjustRightInd w:val="0"/>
              <w:rPr>
                <w:lang w:eastAsia="en-GB"/>
              </w:rPr>
            </w:pPr>
          </w:p>
        </w:tc>
      </w:tr>
      <w:tr w:rsidR="00D724FA" w:rsidTr="00A858D8">
        <w:trPr>
          <w:cantSplit/>
        </w:trPr>
        <w:tc>
          <w:tcPr>
            <w:tcW w:w="7934" w:type="dxa"/>
            <w:gridSpan w:val="6"/>
            <w:tcBorders>
              <w:top w:val="nil"/>
            </w:tcBorders>
            <w:vAlign w:val="bottom"/>
          </w:tcPr>
          <w:p w:rsidR="00D724FA" w:rsidRDefault="00D724FA" w:rsidP="00A858D8">
            <w:pPr>
              <w:pStyle w:val="IASBTableArial"/>
            </w:pPr>
          </w:p>
        </w:tc>
        <w:tc>
          <w:tcPr>
            <w:tcW w:w="216" w:type="dxa"/>
            <w:gridSpan w:val="2"/>
            <w:tcBorders>
              <w:top w:val="nil"/>
              <w:left w:val="nil"/>
            </w:tcBorders>
            <w:vAlign w:val="bottom"/>
          </w:tcPr>
          <w:p w:rsidR="00D724FA" w:rsidRDefault="00D724FA" w:rsidP="00A858D8">
            <w:pPr>
              <w:pStyle w:val="IASBTableArial"/>
            </w:pPr>
          </w:p>
        </w:tc>
        <w:tc>
          <w:tcPr>
            <w:tcW w:w="1058" w:type="dxa"/>
            <w:tcBorders>
              <w:top w:val="nil"/>
              <w:left w:val="nil"/>
            </w:tcBorders>
            <w:vAlign w:val="bottom"/>
          </w:tcPr>
          <w:p w:rsidR="00D724FA" w:rsidRDefault="00D724FA" w:rsidP="00A858D8">
            <w:pPr>
              <w:pStyle w:val="IASBTableArial"/>
            </w:pPr>
          </w:p>
        </w:tc>
      </w:tr>
      <w:tr w:rsidR="00D724FA" w:rsidTr="00A858D8">
        <w:trPr>
          <w:cantSplit/>
        </w:trPr>
        <w:tc>
          <w:tcPr>
            <w:tcW w:w="7934" w:type="dxa"/>
            <w:gridSpan w:val="6"/>
            <w:tcBorders>
              <w:top w:val="nil"/>
            </w:tcBorders>
            <w:vAlign w:val="bottom"/>
          </w:tcPr>
          <w:p w:rsidR="00D724FA" w:rsidRDefault="00D724FA" w:rsidP="00A858D8">
            <w:pPr>
              <w:pStyle w:val="IASBTableArial"/>
            </w:pPr>
            <w:r>
              <w:rPr>
                <w:b/>
              </w:rPr>
              <w:t>Calculation of basic earnings per share</w:t>
            </w:r>
          </w:p>
        </w:tc>
        <w:tc>
          <w:tcPr>
            <w:tcW w:w="216" w:type="dxa"/>
            <w:gridSpan w:val="2"/>
            <w:tcBorders>
              <w:top w:val="nil"/>
              <w:left w:val="nil"/>
            </w:tcBorders>
            <w:vAlign w:val="bottom"/>
          </w:tcPr>
          <w:p w:rsidR="00D724FA" w:rsidRDefault="00D724FA" w:rsidP="00A858D8">
            <w:pPr>
              <w:pStyle w:val="IASBTableArial"/>
            </w:pPr>
          </w:p>
        </w:tc>
        <w:tc>
          <w:tcPr>
            <w:tcW w:w="1058" w:type="dxa"/>
            <w:tcBorders>
              <w:top w:val="nil"/>
              <w:left w:val="nil"/>
            </w:tcBorders>
            <w:vAlign w:val="bottom"/>
          </w:tcPr>
          <w:p w:rsidR="00D724FA" w:rsidRDefault="00D724FA" w:rsidP="00A858D8">
            <w:pPr>
              <w:pStyle w:val="IASBTableArial"/>
            </w:pPr>
          </w:p>
        </w:tc>
      </w:tr>
      <w:tr w:rsidR="00D724FA" w:rsidTr="00A858D8">
        <w:trPr>
          <w:cantSplit/>
        </w:trPr>
        <w:tc>
          <w:tcPr>
            <w:tcW w:w="5568" w:type="dxa"/>
            <w:gridSpan w:val="3"/>
            <w:tcBorders>
              <w:top w:val="nil"/>
            </w:tcBorders>
            <w:vAlign w:val="bottom"/>
          </w:tcPr>
          <w:p w:rsidR="00D724FA" w:rsidRDefault="00D724FA" w:rsidP="00A858D8">
            <w:pPr>
              <w:pStyle w:val="IASBTableArial"/>
            </w:pPr>
          </w:p>
        </w:tc>
        <w:tc>
          <w:tcPr>
            <w:tcW w:w="1092" w:type="dxa"/>
            <w:tcBorders>
              <w:top w:val="nil"/>
              <w:left w:val="nil"/>
              <w:bottom w:val="single" w:sz="4" w:space="0" w:color="auto"/>
            </w:tcBorders>
            <w:vAlign w:val="bottom"/>
          </w:tcPr>
          <w:p w:rsidR="00D724FA" w:rsidRDefault="00D724FA" w:rsidP="00A858D8">
            <w:pPr>
              <w:pStyle w:val="IASBTableArial"/>
              <w:jc w:val="right"/>
            </w:pPr>
            <w:r>
              <w:t>20X0</w:t>
            </w:r>
          </w:p>
        </w:tc>
        <w:tc>
          <w:tcPr>
            <w:tcW w:w="216" w:type="dxa"/>
            <w:tcBorders>
              <w:top w:val="nil"/>
              <w:left w:val="nil"/>
            </w:tcBorders>
            <w:vAlign w:val="bottom"/>
          </w:tcPr>
          <w:p w:rsidR="00D724FA" w:rsidRDefault="00D724FA" w:rsidP="00A858D8">
            <w:pPr>
              <w:pStyle w:val="IASBTableArial"/>
            </w:pPr>
          </w:p>
        </w:tc>
        <w:tc>
          <w:tcPr>
            <w:tcW w:w="1058" w:type="dxa"/>
            <w:tcBorders>
              <w:top w:val="nil"/>
              <w:left w:val="nil"/>
              <w:bottom w:val="single" w:sz="4" w:space="0" w:color="auto"/>
            </w:tcBorders>
            <w:vAlign w:val="bottom"/>
          </w:tcPr>
          <w:p w:rsidR="00D724FA" w:rsidRDefault="00D724FA" w:rsidP="00A858D8">
            <w:pPr>
              <w:pStyle w:val="IASBTableArial"/>
              <w:jc w:val="right"/>
            </w:pPr>
            <w:r>
              <w:t>20X1</w:t>
            </w:r>
          </w:p>
        </w:tc>
        <w:tc>
          <w:tcPr>
            <w:tcW w:w="216" w:type="dxa"/>
            <w:gridSpan w:val="2"/>
            <w:tcBorders>
              <w:top w:val="nil"/>
              <w:left w:val="nil"/>
            </w:tcBorders>
            <w:vAlign w:val="bottom"/>
          </w:tcPr>
          <w:p w:rsidR="00D724FA" w:rsidRDefault="00D724FA" w:rsidP="00A858D8">
            <w:pPr>
              <w:pStyle w:val="IASBTableArial"/>
              <w:jc w:val="right"/>
            </w:pPr>
          </w:p>
        </w:tc>
        <w:tc>
          <w:tcPr>
            <w:tcW w:w="1058" w:type="dxa"/>
            <w:tcBorders>
              <w:top w:val="nil"/>
              <w:left w:val="nil"/>
              <w:bottom w:val="single" w:sz="4" w:space="0" w:color="auto"/>
            </w:tcBorders>
            <w:vAlign w:val="bottom"/>
          </w:tcPr>
          <w:p w:rsidR="00D724FA" w:rsidRDefault="00D724FA" w:rsidP="00A858D8">
            <w:pPr>
              <w:pStyle w:val="IASBTableArial"/>
              <w:jc w:val="right"/>
            </w:pPr>
            <w:r>
              <w:t>20X2</w:t>
            </w:r>
          </w:p>
        </w:tc>
      </w:tr>
      <w:tr w:rsidR="00D724FA" w:rsidTr="00A858D8">
        <w:trPr>
          <w:cantSplit/>
        </w:trPr>
        <w:tc>
          <w:tcPr>
            <w:tcW w:w="2747" w:type="dxa"/>
            <w:tcBorders>
              <w:top w:val="nil"/>
            </w:tcBorders>
          </w:tcPr>
          <w:p w:rsidR="00D724FA" w:rsidRDefault="00D724FA" w:rsidP="00A858D8">
            <w:pPr>
              <w:pStyle w:val="IASBTableArial"/>
            </w:pPr>
            <w:r>
              <w:t>20X0 basic EPS as originally reported:</w:t>
            </w:r>
          </w:p>
        </w:tc>
        <w:tc>
          <w:tcPr>
            <w:tcW w:w="216" w:type="dxa"/>
            <w:tcBorders>
              <w:top w:val="nil"/>
              <w:left w:val="nil"/>
            </w:tcBorders>
            <w:vAlign w:val="bottom"/>
          </w:tcPr>
          <w:p w:rsidR="00D724FA" w:rsidRDefault="00D724FA" w:rsidP="00A858D8">
            <w:pPr>
              <w:pStyle w:val="IASBTableArial"/>
            </w:pPr>
          </w:p>
        </w:tc>
        <w:tc>
          <w:tcPr>
            <w:tcW w:w="2605" w:type="dxa"/>
            <w:tcBorders>
              <w:top w:val="nil"/>
              <w:left w:val="nil"/>
            </w:tcBorders>
            <w:vAlign w:val="bottom"/>
          </w:tcPr>
          <w:p w:rsidR="00D724FA" w:rsidRDefault="00D724FA" w:rsidP="00A858D8">
            <w:pPr>
              <w:pStyle w:val="IASBTableArial"/>
            </w:pPr>
            <w:r>
              <w:t>CU1,100 ÷ 500 shares</w:t>
            </w:r>
          </w:p>
        </w:tc>
        <w:tc>
          <w:tcPr>
            <w:tcW w:w="1092" w:type="dxa"/>
            <w:tcBorders>
              <w:top w:val="nil"/>
              <w:left w:val="nil"/>
            </w:tcBorders>
            <w:vAlign w:val="bottom"/>
          </w:tcPr>
          <w:p w:rsidR="00D724FA" w:rsidRDefault="00D724FA" w:rsidP="00A858D8">
            <w:pPr>
              <w:pStyle w:val="IASBTableArial"/>
              <w:jc w:val="right"/>
            </w:pPr>
            <w:r>
              <w:t>CU2.20</w:t>
            </w:r>
          </w:p>
        </w:tc>
        <w:tc>
          <w:tcPr>
            <w:tcW w:w="216" w:type="dxa"/>
            <w:tcBorders>
              <w:top w:val="nil"/>
              <w:left w:val="nil"/>
            </w:tcBorders>
            <w:vAlign w:val="bottom"/>
          </w:tcPr>
          <w:p w:rsidR="00D724FA" w:rsidRDefault="00D724FA" w:rsidP="00A858D8">
            <w:pPr>
              <w:pStyle w:val="IASBTableArial"/>
            </w:pPr>
          </w:p>
        </w:tc>
        <w:tc>
          <w:tcPr>
            <w:tcW w:w="1058" w:type="dxa"/>
            <w:tcBorders>
              <w:top w:val="nil"/>
              <w:left w:val="nil"/>
            </w:tcBorders>
            <w:vAlign w:val="center"/>
          </w:tcPr>
          <w:p w:rsidR="00D724FA" w:rsidRDefault="00D724FA" w:rsidP="00A858D8">
            <w:pPr>
              <w:pStyle w:val="IASBTableArial"/>
            </w:pPr>
          </w:p>
        </w:tc>
        <w:tc>
          <w:tcPr>
            <w:tcW w:w="216" w:type="dxa"/>
            <w:gridSpan w:val="2"/>
            <w:tcBorders>
              <w:top w:val="nil"/>
              <w:left w:val="nil"/>
            </w:tcBorders>
            <w:vAlign w:val="bottom"/>
          </w:tcPr>
          <w:p w:rsidR="00D724FA" w:rsidRDefault="00D724FA" w:rsidP="00A858D8">
            <w:pPr>
              <w:pStyle w:val="IASBTableArial"/>
            </w:pPr>
          </w:p>
        </w:tc>
        <w:tc>
          <w:tcPr>
            <w:tcW w:w="1058" w:type="dxa"/>
            <w:tcBorders>
              <w:top w:val="nil"/>
              <w:left w:val="nil"/>
            </w:tcBorders>
            <w:vAlign w:val="bottom"/>
          </w:tcPr>
          <w:p w:rsidR="00D724FA" w:rsidRDefault="00D724FA" w:rsidP="00A858D8">
            <w:pPr>
              <w:pStyle w:val="IASBTableArial"/>
            </w:pPr>
          </w:p>
        </w:tc>
      </w:tr>
      <w:tr w:rsidR="00D724FA" w:rsidTr="00A858D8">
        <w:trPr>
          <w:cantSplit/>
        </w:trPr>
        <w:tc>
          <w:tcPr>
            <w:tcW w:w="2747" w:type="dxa"/>
            <w:vMerge w:val="restart"/>
            <w:tcBorders>
              <w:top w:val="nil"/>
            </w:tcBorders>
          </w:tcPr>
          <w:p w:rsidR="00D724FA" w:rsidRDefault="00D724FA" w:rsidP="00A858D8">
            <w:pPr>
              <w:pStyle w:val="IASBTableArial"/>
            </w:pPr>
            <w:r>
              <w:t>20X0 basic EPS restated for rights issue:</w:t>
            </w:r>
          </w:p>
        </w:tc>
        <w:tc>
          <w:tcPr>
            <w:tcW w:w="216" w:type="dxa"/>
            <w:tcBorders>
              <w:top w:val="nil"/>
              <w:left w:val="nil"/>
            </w:tcBorders>
            <w:vAlign w:val="bottom"/>
          </w:tcPr>
          <w:p w:rsidR="00D724FA" w:rsidRDefault="00D724FA" w:rsidP="00A858D8">
            <w:pPr>
              <w:pStyle w:val="IASBTableArial"/>
              <w:jc w:val="center"/>
            </w:pPr>
          </w:p>
        </w:tc>
        <w:tc>
          <w:tcPr>
            <w:tcW w:w="2605" w:type="dxa"/>
            <w:tcBorders>
              <w:top w:val="nil"/>
              <w:left w:val="nil"/>
              <w:bottom w:val="single" w:sz="4" w:space="0" w:color="auto"/>
            </w:tcBorders>
            <w:vAlign w:val="bottom"/>
          </w:tcPr>
          <w:p w:rsidR="00D724FA" w:rsidRDefault="00D724FA" w:rsidP="00A858D8">
            <w:pPr>
              <w:pStyle w:val="IASBTableArial"/>
              <w:jc w:val="center"/>
            </w:pPr>
            <w:r>
              <w:t>CU1,100</w:t>
            </w:r>
          </w:p>
        </w:tc>
        <w:tc>
          <w:tcPr>
            <w:tcW w:w="1092" w:type="dxa"/>
            <w:tcBorders>
              <w:top w:val="nil"/>
              <w:left w:val="nil"/>
            </w:tcBorders>
            <w:vAlign w:val="bottom"/>
          </w:tcPr>
          <w:p w:rsidR="00D724FA" w:rsidRDefault="00D724FA" w:rsidP="00A858D8">
            <w:pPr>
              <w:pStyle w:val="IASBTableArial"/>
            </w:pPr>
          </w:p>
        </w:tc>
        <w:tc>
          <w:tcPr>
            <w:tcW w:w="216" w:type="dxa"/>
            <w:tcBorders>
              <w:top w:val="nil"/>
              <w:left w:val="nil"/>
            </w:tcBorders>
            <w:vAlign w:val="bottom"/>
          </w:tcPr>
          <w:p w:rsidR="00D724FA" w:rsidRDefault="00D724FA" w:rsidP="00A858D8">
            <w:pPr>
              <w:pStyle w:val="IASBTableArial"/>
            </w:pPr>
          </w:p>
        </w:tc>
        <w:tc>
          <w:tcPr>
            <w:tcW w:w="1058" w:type="dxa"/>
            <w:tcBorders>
              <w:top w:val="nil"/>
              <w:left w:val="nil"/>
            </w:tcBorders>
            <w:vAlign w:val="center"/>
          </w:tcPr>
          <w:p w:rsidR="00D724FA" w:rsidRDefault="00D724FA" w:rsidP="00A858D8">
            <w:pPr>
              <w:pStyle w:val="IASBTableArial"/>
            </w:pPr>
          </w:p>
        </w:tc>
        <w:tc>
          <w:tcPr>
            <w:tcW w:w="216" w:type="dxa"/>
            <w:gridSpan w:val="2"/>
            <w:tcBorders>
              <w:top w:val="nil"/>
              <w:left w:val="nil"/>
            </w:tcBorders>
            <w:vAlign w:val="bottom"/>
          </w:tcPr>
          <w:p w:rsidR="00D724FA" w:rsidRDefault="00D724FA" w:rsidP="00A858D8">
            <w:pPr>
              <w:pStyle w:val="IASBTableArial"/>
            </w:pPr>
          </w:p>
        </w:tc>
        <w:tc>
          <w:tcPr>
            <w:tcW w:w="1058" w:type="dxa"/>
            <w:tcBorders>
              <w:top w:val="nil"/>
              <w:left w:val="nil"/>
            </w:tcBorders>
            <w:vAlign w:val="bottom"/>
          </w:tcPr>
          <w:p w:rsidR="00D724FA" w:rsidRDefault="00D724FA" w:rsidP="00A858D8">
            <w:pPr>
              <w:pStyle w:val="IASBTableArial"/>
            </w:pPr>
          </w:p>
        </w:tc>
      </w:tr>
      <w:tr w:rsidR="00D724FA" w:rsidTr="00A858D8">
        <w:trPr>
          <w:cantSplit/>
        </w:trPr>
        <w:tc>
          <w:tcPr>
            <w:tcW w:w="2747" w:type="dxa"/>
            <w:vMerge/>
            <w:tcBorders>
              <w:top w:val="nil"/>
            </w:tcBorders>
          </w:tcPr>
          <w:p w:rsidR="00D724FA" w:rsidRDefault="00D724FA" w:rsidP="00A858D8">
            <w:pPr>
              <w:widowControl w:val="0"/>
              <w:autoSpaceDE w:val="0"/>
              <w:autoSpaceDN w:val="0"/>
              <w:adjustRightInd w:val="0"/>
              <w:rPr>
                <w:lang w:eastAsia="en-GB"/>
              </w:rPr>
            </w:pPr>
          </w:p>
        </w:tc>
        <w:tc>
          <w:tcPr>
            <w:tcW w:w="216" w:type="dxa"/>
            <w:tcBorders>
              <w:top w:val="nil"/>
            </w:tcBorders>
            <w:vAlign w:val="bottom"/>
          </w:tcPr>
          <w:p w:rsidR="00D724FA" w:rsidRDefault="00D724FA" w:rsidP="00A858D8">
            <w:pPr>
              <w:pStyle w:val="IASBTableArial"/>
              <w:jc w:val="center"/>
            </w:pPr>
          </w:p>
        </w:tc>
        <w:tc>
          <w:tcPr>
            <w:tcW w:w="2605" w:type="dxa"/>
            <w:tcBorders>
              <w:top w:val="nil"/>
              <w:left w:val="nil"/>
            </w:tcBorders>
            <w:vAlign w:val="bottom"/>
          </w:tcPr>
          <w:p w:rsidR="00D724FA" w:rsidRDefault="00D724FA" w:rsidP="00A858D8">
            <w:pPr>
              <w:pStyle w:val="IASBTableArial"/>
              <w:jc w:val="center"/>
            </w:pPr>
            <w:r>
              <w:t>(500 shares × 1.1)</w:t>
            </w:r>
          </w:p>
        </w:tc>
        <w:tc>
          <w:tcPr>
            <w:tcW w:w="1092" w:type="dxa"/>
            <w:tcBorders>
              <w:top w:val="nil"/>
              <w:left w:val="nil"/>
              <w:bottom w:val="double" w:sz="4" w:space="0" w:color="auto"/>
            </w:tcBorders>
            <w:vAlign w:val="bottom"/>
          </w:tcPr>
          <w:p w:rsidR="00D724FA" w:rsidRDefault="00D724FA" w:rsidP="00A858D8">
            <w:pPr>
              <w:pStyle w:val="IASBTableArial"/>
              <w:jc w:val="right"/>
            </w:pPr>
            <w:r>
              <w:t>CU2.00</w:t>
            </w:r>
          </w:p>
        </w:tc>
        <w:tc>
          <w:tcPr>
            <w:tcW w:w="216" w:type="dxa"/>
            <w:tcBorders>
              <w:top w:val="nil"/>
              <w:left w:val="nil"/>
            </w:tcBorders>
            <w:vAlign w:val="bottom"/>
          </w:tcPr>
          <w:p w:rsidR="00D724FA" w:rsidRDefault="00D724FA" w:rsidP="00A858D8">
            <w:pPr>
              <w:pStyle w:val="IASBTableArial"/>
            </w:pPr>
          </w:p>
        </w:tc>
        <w:tc>
          <w:tcPr>
            <w:tcW w:w="1058" w:type="dxa"/>
            <w:tcBorders>
              <w:top w:val="nil"/>
              <w:left w:val="nil"/>
            </w:tcBorders>
            <w:vAlign w:val="center"/>
          </w:tcPr>
          <w:p w:rsidR="00D724FA" w:rsidRDefault="00D724FA" w:rsidP="00A858D8">
            <w:pPr>
              <w:pStyle w:val="IASBTableArial"/>
            </w:pPr>
          </w:p>
        </w:tc>
        <w:tc>
          <w:tcPr>
            <w:tcW w:w="216" w:type="dxa"/>
            <w:gridSpan w:val="2"/>
            <w:tcBorders>
              <w:top w:val="nil"/>
              <w:left w:val="nil"/>
            </w:tcBorders>
            <w:vAlign w:val="bottom"/>
          </w:tcPr>
          <w:p w:rsidR="00D724FA" w:rsidRDefault="00D724FA" w:rsidP="00A858D8">
            <w:pPr>
              <w:pStyle w:val="IASBTableArial"/>
            </w:pPr>
          </w:p>
        </w:tc>
        <w:tc>
          <w:tcPr>
            <w:tcW w:w="1058" w:type="dxa"/>
            <w:tcBorders>
              <w:top w:val="nil"/>
              <w:left w:val="nil"/>
            </w:tcBorders>
            <w:vAlign w:val="bottom"/>
          </w:tcPr>
          <w:p w:rsidR="00D724FA" w:rsidRDefault="00D724FA" w:rsidP="00A858D8">
            <w:pPr>
              <w:pStyle w:val="IASBTableArial"/>
            </w:pPr>
          </w:p>
        </w:tc>
      </w:tr>
      <w:tr w:rsidR="00D724FA" w:rsidTr="00A858D8">
        <w:trPr>
          <w:cantSplit/>
        </w:trPr>
        <w:tc>
          <w:tcPr>
            <w:tcW w:w="2747" w:type="dxa"/>
            <w:vMerge w:val="restart"/>
            <w:tcBorders>
              <w:top w:val="nil"/>
            </w:tcBorders>
          </w:tcPr>
          <w:p w:rsidR="00D724FA" w:rsidRDefault="00D724FA" w:rsidP="00A858D8">
            <w:pPr>
              <w:pStyle w:val="IASBTableArial"/>
            </w:pPr>
            <w:r>
              <w:t>20X1 basic EPS including effects of rights issue:</w:t>
            </w:r>
          </w:p>
        </w:tc>
        <w:tc>
          <w:tcPr>
            <w:tcW w:w="216" w:type="dxa"/>
            <w:tcBorders>
              <w:top w:val="nil"/>
              <w:left w:val="nil"/>
            </w:tcBorders>
            <w:vAlign w:val="bottom"/>
          </w:tcPr>
          <w:p w:rsidR="00D724FA" w:rsidRDefault="00D724FA" w:rsidP="00A858D8">
            <w:pPr>
              <w:pStyle w:val="IASBTableArial"/>
              <w:jc w:val="center"/>
            </w:pPr>
          </w:p>
        </w:tc>
        <w:tc>
          <w:tcPr>
            <w:tcW w:w="3697" w:type="dxa"/>
            <w:gridSpan w:val="2"/>
            <w:tcBorders>
              <w:top w:val="nil"/>
              <w:left w:val="nil"/>
              <w:bottom w:val="single" w:sz="4" w:space="0" w:color="auto"/>
            </w:tcBorders>
            <w:vAlign w:val="bottom"/>
          </w:tcPr>
          <w:p w:rsidR="00D724FA" w:rsidRDefault="00D724FA" w:rsidP="00A858D8">
            <w:pPr>
              <w:pStyle w:val="IASBTableArial"/>
              <w:jc w:val="center"/>
            </w:pPr>
            <w:r>
              <w:t>CU1,500</w:t>
            </w:r>
          </w:p>
        </w:tc>
        <w:tc>
          <w:tcPr>
            <w:tcW w:w="216" w:type="dxa"/>
            <w:tcBorders>
              <w:top w:val="nil"/>
              <w:left w:val="nil"/>
            </w:tcBorders>
            <w:vAlign w:val="bottom"/>
          </w:tcPr>
          <w:p w:rsidR="00D724FA" w:rsidRDefault="00D724FA" w:rsidP="00A858D8">
            <w:pPr>
              <w:pStyle w:val="IASBTableArial"/>
            </w:pPr>
          </w:p>
        </w:tc>
        <w:tc>
          <w:tcPr>
            <w:tcW w:w="1058" w:type="dxa"/>
            <w:tcBorders>
              <w:top w:val="nil"/>
              <w:left w:val="nil"/>
            </w:tcBorders>
            <w:vAlign w:val="bottom"/>
          </w:tcPr>
          <w:p w:rsidR="00D724FA" w:rsidRDefault="00D724FA" w:rsidP="00A858D8">
            <w:pPr>
              <w:pStyle w:val="IASBTableArial"/>
            </w:pPr>
          </w:p>
        </w:tc>
        <w:tc>
          <w:tcPr>
            <w:tcW w:w="216" w:type="dxa"/>
            <w:gridSpan w:val="2"/>
            <w:tcBorders>
              <w:top w:val="nil"/>
              <w:left w:val="nil"/>
            </w:tcBorders>
            <w:vAlign w:val="bottom"/>
          </w:tcPr>
          <w:p w:rsidR="00D724FA" w:rsidRDefault="00D724FA" w:rsidP="00A858D8">
            <w:pPr>
              <w:pStyle w:val="IASBTableArial"/>
            </w:pPr>
          </w:p>
        </w:tc>
        <w:tc>
          <w:tcPr>
            <w:tcW w:w="1058" w:type="dxa"/>
            <w:tcBorders>
              <w:top w:val="nil"/>
              <w:left w:val="nil"/>
            </w:tcBorders>
            <w:vAlign w:val="bottom"/>
          </w:tcPr>
          <w:p w:rsidR="00D724FA" w:rsidRDefault="00D724FA" w:rsidP="00A858D8">
            <w:pPr>
              <w:pStyle w:val="IASBTableArial"/>
            </w:pPr>
          </w:p>
        </w:tc>
      </w:tr>
      <w:tr w:rsidR="00D724FA" w:rsidTr="00A858D8">
        <w:trPr>
          <w:cantSplit/>
        </w:trPr>
        <w:tc>
          <w:tcPr>
            <w:tcW w:w="2747" w:type="dxa"/>
            <w:vMerge/>
            <w:tcBorders>
              <w:top w:val="nil"/>
            </w:tcBorders>
          </w:tcPr>
          <w:p w:rsidR="00D724FA" w:rsidRDefault="00D724FA" w:rsidP="00A858D8">
            <w:pPr>
              <w:widowControl w:val="0"/>
              <w:autoSpaceDE w:val="0"/>
              <w:autoSpaceDN w:val="0"/>
              <w:adjustRightInd w:val="0"/>
              <w:rPr>
                <w:lang w:eastAsia="en-GB"/>
              </w:rPr>
            </w:pPr>
          </w:p>
        </w:tc>
        <w:tc>
          <w:tcPr>
            <w:tcW w:w="216" w:type="dxa"/>
            <w:tcBorders>
              <w:top w:val="nil"/>
            </w:tcBorders>
            <w:vAlign w:val="bottom"/>
          </w:tcPr>
          <w:p w:rsidR="00D724FA" w:rsidRDefault="00D724FA" w:rsidP="00A858D8">
            <w:pPr>
              <w:pStyle w:val="IASBTableArial"/>
              <w:jc w:val="center"/>
            </w:pPr>
          </w:p>
        </w:tc>
        <w:tc>
          <w:tcPr>
            <w:tcW w:w="3697" w:type="dxa"/>
            <w:gridSpan w:val="2"/>
            <w:tcBorders>
              <w:top w:val="nil"/>
              <w:left w:val="nil"/>
            </w:tcBorders>
            <w:vAlign w:val="bottom"/>
          </w:tcPr>
          <w:p w:rsidR="00D724FA" w:rsidRDefault="00D724FA" w:rsidP="00A858D8">
            <w:pPr>
              <w:pStyle w:val="IASBTableArial"/>
              <w:jc w:val="center"/>
            </w:pPr>
            <w:r>
              <w:t xml:space="preserve">(500 × 1.1 × </w:t>
            </w:r>
            <w:r>
              <w:rPr>
                <w:vertAlign w:val="superscript"/>
              </w:rPr>
              <w:t>2</w:t>
            </w:r>
            <w:r>
              <w:t>/</w:t>
            </w:r>
            <w:r>
              <w:rPr>
                <w:vertAlign w:val="subscript"/>
              </w:rPr>
              <w:t>12</w:t>
            </w:r>
            <w:r>
              <w:t xml:space="preserve">) + (600 × </w:t>
            </w:r>
            <w:r>
              <w:rPr>
                <w:vertAlign w:val="superscript"/>
              </w:rPr>
              <w:t>10</w:t>
            </w:r>
            <w:r>
              <w:t>/</w:t>
            </w:r>
            <w:r>
              <w:rPr>
                <w:vertAlign w:val="subscript"/>
              </w:rPr>
              <w:t>12</w:t>
            </w:r>
            <w:r>
              <w:t>)</w:t>
            </w:r>
          </w:p>
        </w:tc>
        <w:tc>
          <w:tcPr>
            <w:tcW w:w="216" w:type="dxa"/>
            <w:tcBorders>
              <w:top w:val="nil"/>
              <w:left w:val="nil"/>
            </w:tcBorders>
            <w:vAlign w:val="bottom"/>
          </w:tcPr>
          <w:p w:rsidR="00D724FA" w:rsidRDefault="00D724FA" w:rsidP="00A858D8">
            <w:pPr>
              <w:pStyle w:val="IASBTableArial"/>
            </w:pPr>
          </w:p>
        </w:tc>
        <w:tc>
          <w:tcPr>
            <w:tcW w:w="1058" w:type="dxa"/>
            <w:tcBorders>
              <w:top w:val="nil"/>
              <w:left w:val="nil"/>
              <w:bottom w:val="double" w:sz="4" w:space="0" w:color="auto"/>
            </w:tcBorders>
            <w:vAlign w:val="bottom"/>
          </w:tcPr>
          <w:p w:rsidR="00D724FA" w:rsidRDefault="00D724FA" w:rsidP="00A858D8">
            <w:pPr>
              <w:pStyle w:val="IASBTableArial"/>
              <w:jc w:val="right"/>
            </w:pPr>
            <w:r>
              <w:t>CU2.54</w:t>
            </w:r>
          </w:p>
        </w:tc>
        <w:tc>
          <w:tcPr>
            <w:tcW w:w="216" w:type="dxa"/>
            <w:gridSpan w:val="2"/>
            <w:tcBorders>
              <w:top w:val="nil"/>
              <w:left w:val="nil"/>
            </w:tcBorders>
            <w:vAlign w:val="bottom"/>
          </w:tcPr>
          <w:p w:rsidR="00D724FA" w:rsidRDefault="00D724FA" w:rsidP="00A858D8">
            <w:pPr>
              <w:pStyle w:val="IASBTableArial"/>
              <w:jc w:val="right"/>
            </w:pPr>
          </w:p>
        </w:tc>
        <w:tc>
          <w:tcPr>
            <w:tcW w:w="1058" w:type="dxa"/>
            <w:tcBorders>
              <w:top w:val="nil"/>
              <w:left w:val="nil"/>
            </w:tcBorders>
            <w:vAlign w:val="bottom"/>
          </w:tcPr>
          <w:p w:rsidR="00D724FA" w:rsidRDefault="00D724FA" w:rsidP="00A858D8">
            <w:pPr>
              <w:pStyle w:val="IASBTableArial"/>
            </w:pPr>
          </w:p>
        </w:tc>
      </w:tr>
      <w:tr w:rsidR="00D724FA" w:rsidTr="00A858D8">
        <w:trPr>
          <w:cantSplit/>
        </w:trPr>
        <w:tc>
          <w:tcPr>
            <w:tcW w:w="2747" w:type="dxa"/>
            <w:tcBorders>
              <w:top w:val="nil"/>
            </w:tcBorders>
          </w:tcPr>
          <w:p w:rsidR="00D724FA" w:rsidRDefault="00D724FA" w:rsidP="00A858D8">
            <w:pPr>
              <w:pStyle w:val="IASBTableArial"/>
            </w:pPr>
            <w:r>
              <w:t>20X2 basic EPS:</w:t>
            </w:r>
          </w:p>
        </w:tc>
        <w:tc>
          <w:tcPr>
            <w:tcW w:w="216" w:type="dxa"/>
            <w:tcBorders>
              <w:top w:val="nil"/>
              <w:left w:val="nil"/>
            </w:tcBorders>
            <w:vAlign w:val="bottom"/>
          </w:tcPr>
          <w:p w:rsidR="00D724FA" w:rsidRDefault="00D724FA" w:rsidP="00A858D8">
            <w:pPr>
              <w:pStyle w:val="IASBTableArial"/>
            </w:pPr>
          </w:p>
        </w:tc>
        <w:tc>
          <w:tcPr>
            <w:tcW w:w="2605" w:type="dxa"/>
            <w:tcBorders>
              <w:top w:val="nil"/>
              <w:left w:val="nil"/>
            </w:tcBorders>
            <w:vAlign w:val="bottom"/>
          </w:tcPr>
          <w:p w:rsidR="00D724FA" w:rsidRDefault="00D724FA" w:rsidP="00A858D8">
            <w:pPr>
              <w:pStyle w:val="IASBTableArial"/>
            </w:pPr>
            <w:r>
              <w:t>CU1,800 ÷ 600 shares</w:t>
            </w:r>
          </w:p>
        </w:tc>
        <w:tc>
          <w:tcPr>
            <w:tcW w:w="1092" w:type="dxa"/>
            <w:tcBorders>
              <w:top w:val="nil"/>
              <w:left w:val="nil"/>
            </w:tcBorders>
            <w:vAlign w:val="bottom"/>
          </w:tcPr>
          <w:p w:rsidR="00D724FA" w:rsidRDefault="00D724FA" w:rsidP="00A858D8">
            <w:pPr>
              <w:pStyle w:val="IASBTableArial"/>
            </w:pPr>
          </w:p>
        </w:tc>
        <w:tc>
          <w:tcPr>
            <w:tcW w:w="216" w:type="dxa"/>
            <w:tcBorders>
              <w:top w:val="nil"/>
              <w:left w:val="nil"/>
            </w:tcBorders>
            <w:vAlign w:val="bottom"/>
          </w:tcPr>
          <w:p w:rsidR="00D724FA" w:rsidRDefault="00D724FA" w:rsidP="00A858D8">
            <w:pPr>
              <w:pStyle w:val="IASBTableArial"/>
            </w:pPr>
          </w:p>
        </w:tc>
        <w:tc>
          <w:tcPr>
            <w:tcW w:w="1058" w:type="dxa"/>
            <w:tcBorders>
              <w:top w:val="nil"/>
              <w:left w:val="nil"/>
            </w:tcBorders>
            <w:vAlign w:val="bottom"/>
          </w:tcPr>
          <w:p w:rsidR="00D724FA" w:rsidRDefault="00D724FA" w:rsidP="00A858D8">
            <w:pPr>
              <w:pStyle w:val="IASBTableArial"/>
            </w:pPr>
          </w:p>
        </w:tc>
        <w:tc>
          <w:tcPr>
            <w:tcW w:w="216" w:type="dxa"/>
            <w:gridSpan w:val="2"/>
            <w:tcBorders>
              <w:top w:val="nil"/>
              <w:left w:val="nil"/>
            </w:tcBorders>
            <w:vAlign w:val="bottom"/>
          </w:tcPr>
          <w:p w:rsidR="00D724FA" w:rsidRDefault="00D724FA" w:rsidP="00A858D8">
            <w:pPr>
              <w:pStyle w:val="IASBTableArial"/>
            </w:pPr>
          </w:p>
        </w:tc>
        <w:tc>
          <w:tcPr>
            <w:tcW w:w="1058" w:type="dxa"/>
            <w:tcBorders>
              <w:top w:val="nil"/>
              <w:left w:val="nil"/>
              <w:bottom w:val="double" w:sz="4" w:space="0" w:color="auto"/>
            </w:tcBorders>
            <w:vAlign w:val="bottom"/>
          </w:tcPr>
          <w:p w:rsidR="00D724FA" w:rsidRDefault="00D724FA" w:rsidP="00A858D8">
            <w:pPr>
              <w:pStyle w:val="IASBTableArial"/>
              <w:jc w:val="right"/>
            </w:pPr>
            <w:r>
              <w:t>CU3.00</w:t>
            </w:r>
          </w:p>
        </w:tc>
      </w:tr>
    </w:tbl>
    <w:p w:rsidR="00D724FA" w:rsidRDefault="00D724FA" w:rsidP="00D724FA">
      <w:pPr>
        <w:pStyle w:val="IASBNormalnpara"/>
      </w:pPr>
    </w:p>
    <w:p w:rsidR="00F609F6" w:rsidRDefault="00F609F6">
      <w:pPr>
        <w:rPr>
          <w:rFonts w:ascii="Arial" w:hAnsi="Arial" w:cs="Arial"/>
          <w:b/>
          <w:sz w:val="26"/>
          <w:szCs w:val="20"/>
        </w:rPr>
      </w:pPr>
      <w:r>
        <w:br w:type="page"/>
      </w:r>
    </w:p>
    <w:p w:rsidR="00D724FA" w:rsidRDefault="00D724FA" w:rsidP="00D724FA">
      <w:pPr>
        <w:pStyle w:val="IASBSectionTitle1NonInd"/>
      </w:pPr>
      <w:r>
        <w:t>Example 5 Effects of share options on diluted earnings per share</w:t>
      </w:r>
    </w:p>
    <w:p w:rsidR="00D724FA" w:rsidRDefault="00D724FA" w:rsidP="00D724FA">
      <w:pPr>
        <w:pStyle w:val="IASBNormal"/>
      </w:pPr>
      <w:r>
        <w:rPr>
          <w:b/>
        </w:rPr>
        <w:t>Reference:</w:t>
      </w:r>
      <w:r w:rsidR="00725E14">
        <w:rPr>
          <w:b/>
        </w:rPr>
        <w:t xml:space="preserve"> AASB 133</w:t>
      </w:r>
      <w:r>
        <w:rPr>
          <w:b/>
        </w:rPr>
        <w:t>, paragraphs 45–47</w:t>
      </w:r>
    </w:p>
    <w:p w:rsidR="00D724FA" w:rsidRDefault="00D724FA" w:rsidP="00D724FA">
      <w:pPr>
        <w:pStyle w:val="IASBNormalnpara"/>
      </w:pPr>
    </w:p>
    <w:tbl>
      <w:tblPr>
        <w:tblW w:w="0" w:type="auto"/>
        <w:tblLayout w:type="fixed"/>
        <w:tblLook w:val="0000" w:firstRow="0" w:lastRow="0" w:firstColumn="0" w:lastColumn="0" w:noHBand="0" w:noVBand="0"/>
        <w:tblCaption w:val="AASB 133 Table 7"/>
      </w:tblPr>
      <w:tblGrid>
        <w:gridCol w:w="3930"/>
        <w:gridCol w:w="2002"/>
        <w:gridCol w:w="1638"/>
        <w:gridCol w:w="1638"/>
      </w:tblGrid>
      <w:tr w:rsidR="00D724FA" w:rsidTr="00A858D8">
        <w:trPr>
          <w:cantSplit/>
        </w:trPr>
        <w:tc>
          <w:tcPr>
            <w:tcW w:w="3930" w:type="dxa"/>
            <w:vAlign w:val="bottom"/>
          </w:tcPr>
          <w:p w:rsidR="00D724FA" w:rsidRDefault="00D724FA" w:rsidP="00A858D8">
            <w:pPr>
              <w:pStyle w:val="IASBTableArial"/>
            </w:pPr>
            <w:r>
              <w:t>Profit attributable to ordinary equity holders of the parent entity for year 20X1</w:t>
            </w:r>
          </w:p>
        </w:tc>
        <w:tc>
          <w:tcPr>
            <w:tcW w:w="2002" w:type="dxa"/>
            <w:tcBorders>
              <w:left w:val="nil"/>
            </w:tcBorders>
            <w:vAlign w:val="bottom"/>
          </w:tcPr>
          <w:p w:rsidR="00D724FA" w:rsidRDefault="00D724FA" w:rsidP="00A858D8">
            <w:pPr>
              <w:pStyle w:val="IASBTableArial"/>
              <w:jc w:val="right"/>
            </w:pPr>
            <w:r>
              <w:t>CU1,200,000</w:t>
            </w:r>
          </w:p>
        </w:tc>
        <w:tc>
          <w:tcPr>
            <w:tcW w:w="3276" w:type="dxa"/>
            <w:gridSpan w:val="2"/>
            <w:tcBorders>
              <w:left w:val="nil"/>
            </w:tcBorders>
            <w:vAlign w:val="bottom"/>
          </w:tcPr>
          <w:p w:rsidR="00D724FA" w:rsidRDefault="00D724FA" w:rsidP="00A858D8">
            <w:pPr>
              <w:pStyle w:val="IASBTableArial"/>
            </w:pPr>
          </w:p>
        </w:tc>
      </w:tr>
      <w:tr w:rsidR="00D724FA" w:rsidTr="00A858D8">
        <w:trPr>
          <w:cantSplit/>
        </w:trPr>
        <w:tc>
          <w:tcPr>
            <w:tcW w:w="3930" w:type="dxa"/>
            <w:tcBorders>
              <w:top w:val="nil"/>
            </w:tcBorders>
            <w:vAlign w:val="bottom"/>
          </w:tcPr>
          <w:p w:rsidR="00D724FA" w:rsidRDefault="00D724FA" w:rsidP="00A858D8">
            <w:pPr>
              <w:pStyle w:val="IASBTableArial"/>
            </w:pPr>
            <w:r>
              <w:t>Weighted average number of ordinary shares outstanding during year 20X1</w:t>
            </w:r>
          </w:p>
        </w:tc>
        <w:tc>
          <w:tcPr>
            <w:tcW w:w="2002" w:type="dxa"/>
            <w:tcBorders>
              <w:top w:val="nil"/>
              <w:left w:val="nil"/>
            </w:tcBorders>
            <w:vAlign w:val="bottom"/>
          </w:tcPr>
          <w:p w:rsidR="00D724FA" w:rsidRDefault="00D724FA" w:rsidP="00A858D8">
            <w:pPr>
              <w:pStyle w:val="IASBTableArial"/>
              <w:jc w:val="right"/>
            </w:pPr>
            <w:r>
              <w:t>500,000 shares</w:t>
            </w:r>
          </w:p>
        </w:tc>
        <w:tc>
          <w:tcPr>
            <w:tcW w:w="3276" w:type="dxa"/>
            <w:gridSpan w:val="2"/>
            <w:tcBorders>
              <w:top w:val="nil"/>
              <w:left w:val="nil"/>
            </w:tcBorders>
            <w:vAlign w:val="bottom"/>
          </w:tcPr>
          <w:p w:rsidR="00D724FA" w:rsidRDefault="00D724FA" w:rsidP="00A858D8">
            <w:pPr>
              <w:pStyle w:val="IASBTableArial"/>
            </w:pPr>
          </w:p>
        </w:tc>
      </w:tr>
      <w:tr w:rsidR="00D724FA" w:rsidTr="00A858D8">
        <w:trPr>
          <w:cantSplit/>
        </w:trPr>
        <w:tc>
          <w:tcPr>
            <w:tcW w:w="3930" w:type="dxa"/>
            <w:tcBorders>
              <w:top w:val="nil"/>
            </w:tcBorders>
            <w:vAlign w:val="bottom"/>
          </w:tcPr>
          <w:p w:rsidR="00D724FA" w:rsidRDefault="00D724FA" w:rsidP="00A858D8">
            <w:pPr>
              <w:pStyle w:val="IASBTableArial"/>
            </w:pPr>
            <w:r>
              <w:t>Average market price of one ordinary share during year 20X1</w:t>
            </w:r>
          </w:p>
        </w:tc>
        <w:tc>
          <w:tcPr>
            <w:tcW w:w="2002" w:type="dxa"/>
            <w:tcBorders>
              <w:top w:val="nil"/>
              <w:left w:val="nil"/>
            </w:tcBorders>
            <w:vAlign w:val="bottom"/>
          </w:tcPr>
          <w:p w:rsidR="00D724FA" w:rsidRDefault="00D724FA" w:rsidP="00A858D8">
            <w:pPr>
              <w:pStyle w:val="IASBTableArial"/>
              <w:jc w:val="right"/>
            </w:pPr>
            <w:r>
              <w:t>CU20.00</w:t>
            </w:r>
          </w:p>
        </w:tc>
        <w:tc>
          <w:tcPr>
            <w:tcW w:w="3276" w:type="dxa"/>
            <w:gridSpan w:val="2"/>
            <w:tcBorders>
              <w:top w:val="nil"/>
              <w:left w:val="nil"/>
            </w:tcBorders>
            <w:vAlign w:val="bottom"/>
          </w:tcPr>
          <w:p w:rsidR="00D724FA" w:rsidRDefault="00D724FA" w:rsidP="00A858D8">
            <w:pPr>
              <w:pStyle w:val="IASBTableArial"/>
            </w:pPr>
          </w:p>
        </w:tc>
      </w:tr>
      <w:tr w:rsidR="00D724FA" w:rsidTr="00A858D8">
        <w:trPr>
          <w:cantSplit/>
        </w:trPr>
        <w:tc>
          <w:tcPr>
            <w:tcW w:w="3930" w:type="dxa"/>
            <w:tcBorders>
              <w:top w:val="nil"/>
            </w:tcBorders>
            <w:vAlign w:val="bottom"/>
          </w:tcPr>
          <w:p w:rsidR="00D724FA" w:rsidRDefault="00D724FA" w:rsidP="00A858D8">
            <w:pPr>
              <w:pStyle w:val="IASBTableArial"/>
            </w:pPr>
            <w:r>
              <w:t>Weighted average number of shares under option during year 20X1</w:t>
            </w:r>
          </w:p>
        </w:tc>
        <w:tc>
          <w:tcPr>
            <w:tcW w:w="2002" w:type="dxa"/>
            <w:tcBorders>
              <w:top w:val="nil"/>
              <w:left w:val="nil"/>
            </w:tcBorders>
            <w:vAlign w:val="bottom"/>
          </w:tcPr>
          <w:p w:rsidR="00D724FA" w:rsidRDefault="00D724FA" w:rsidP="00A858D8">
            <w:pPr>
              <w:pStyle w:val="IASBTableArial"/>
              <w:jc w:val="right"/>
            </w:pPr>
            <w:r>
              <w:t>100,000 shares</w:t>
            </w:r>
          </w:p>
        </w:tc>
        <w:tc>
          <w:tcPr>
            <w:tcW w:w="3276" w:type="dxa"/>
            <w:gridSpan w:val="2"/>
            <w:tcBorders>
              <w:top w:val="nil"/>
              <w:left w:val="nil"/>
            </w:tcBorders>
            <w:vAlign w:val="bottom"/>
          </w:tcPr>
          <w:p w:rsidR="00D724FA" w:rsidRDefault="00D724FA" w:rsidP="00A858D8">
            <w:pPr>
              <w:pStyle w:val="IASBTableArial"/>
            </w:pPr>
          </w:p>
        </w:tc>
      </w:tr>
      <w:tr w:rsidR="00D724FA" w:rsidTr="00A858D8">
        <w:trPr>
          <w:cantSplit/>
        </w:trPr>
        <w:tc>
          <w:tcPr>
            <w:tcW w:w="3930" w:type="dxa"/>
            <w:tcBorders>
              <w:top w:val="nil"/>
            </w:tcBorders>
            <w:vAlign w:val="bottom"/>
          </w:tcPr>
          <w:p w:rsidR="00D724FA" w:rsidRDefault="00D724FA" w:rsidP="00A858D8">
            <w:pPr>
              <w:pStyle w:val="IASBTableArial"/>
            </w:pPr>
            <w:r>
              <w:t>Exercise price for shares under option during year 20X1</w:t>
            </w:r>
          </w:p>
        </w:tc>
        <w:tc>
          <w:tcPr>
            <w:tcW w:w="2002" w:type="dxa"/>
            <w:tcBorders>
              <w:top w:val="nil"/>
              <w:left w:val="nil"/>
            </w:tcBorders>
            <w:vAlign w:val="bottom"/>
          </w:tcPr>
          <w:p w:rsidR="00D724FA" w:rsidRDefault="00D724FA" w:rsidP="00A858D8">
            <w:pPr>
              <w:pStyle w:val="IASBTableArial"/>
              <w:jc w:val="right"/>
            </w:pPr>
            <w:r>
              <w:t>CU15.00</w:t>
            </w:r>
          </w:p>
        </w:tc>
        <w:tc>
          <w:tcPr>
            <w:tcW w:w="3276" w:type="dxa"/>
            <w:gridSpan w:val="2"/>
            <w:tcBorders>
              <w:top w:val="nil"/>
              <w:left w:val="nil"/>
            </w:tcBorders>
            <w:vAlign w:val="bottom"/>
          </w:tcPr>
          <w:p w:rsidR="00D724FA" w:rsidRDefault="00D724FA" w:rsidP="00A858D8">
            <w:pPr>
              <w:pStyle w:val="IASBTableArial"/>
            </w:pPr>
          </w:p>
        </w:tc>
      </w:tr>
      <w:tr w:rsidR="00D724FA" w:rsidTr="00A858D8">
        <w:trPr>
          <w:cantSplit/>
        </w:trPr>
        <w:tc>
          <w:tcPr>
            <w:tcW w:w="9208" w:type="dxa"/>
            <w:gridSpan w:val="4"/>
            <w:tcBorders>
              <w:top w:val="nil"/>
            </w:tcBorders>
            <w:vAlign w:val="bottom"/>
          </w:tcPr>
          <w:p w:rsidR="00D724FA" w:rsidRDefault="00D724FA" w:rsidP="00A858D8">
            <w:pPr>
              <w:pStyle w:val="IASBTableArial"/>
            </w:pPr>
            <w:r>
              <w:rPr>
                <w:b/>
              </w:rPr>
              <w:t>Calculation of earnings per share</w:t>
            </w:r>
          </w:p>
        </w:tc>
      </w:tr>
      <w:tr w:rsidR="00D724FA" w:rsidTr="00A858D8">
        <w:trPr>
          <w:cantSplit/>
        </w:trPr>
        <w:tc>
          <w:tcPr>
            <w:tcW w:w="3930" w:type="dxa"/>
            <w:tcBorders>
              <w:top w:val="nil"/>
            </w:tcBorders>
            <w:vAlign w:val="bottom"/>
          </w:tcPr>
          <w:p w:rsidR="00D724FA" w:rsidRDefault="00D724FA" w:rsidP="00A858D8">
            <w:pPr>
              <w:pStyle w:val="IASBTableArial"/>
            </w:pPr>
          </w:p>
        </w:tc>
        <w:tc>
          <w:tcPr>
            <w:tcW w:w="2002" w:type="dxa"/>
            <w:tcBorders>
              <w:top w:val="nil"/>
              <w:left w:val="nil"/>
            </w:tcBorders>
            <w:vAlign w:val="bottom"/>
          </w:tcPr>
          <w:p w:rsidR="00D724FA" w:rsidRDefault="00D724FA" w:rsidP="00A858D8">
            <w:pPr>
              <w:pStyle w:val="IASBTableArial"/>
              <w:jc w:val="right"/>
            </w:pPr>
            <w:r>
              <w:rPr>
                <w:i/>
              </w:rPr>
              <w:t>Earnings</w:t>
            </w:r>
          </w:p>
        </w:tc>
        <w:tc>
          <w:tcPr>
            <w:tcW w:w="1638" w:type="dxa"/>
            <w:tcBorders>
              <w:top w:val="nil"/>
              <w:left w:val="nil"/>
            </w:tcBorders>
            <w:vAlign w:val="bottom"/>
          </w:tcPr>
          <w:p w:rsidR="00D724FA" w:rsidRDefault="00D724FA" w:rsidP="00A858D8">
            <w:pPr>
              <w:pStyle w:val="IASBTableArial"/>
              <w:jc w:val="right"/>
            </w:pPr>
            <w:r>
              <w:rPr>
                <w:i/>
              </w:rPr>
              <w:t>Shares</w:t>
            </w:r>
          </w:p>
        </w:tc>
        <w:tc>
          <w:tcPr>
            <w:tcW w:w="1638" w:type="dxa"/>
            <w:tcBorders>
              <w:top w:val="nil"/>
              <w:left w:val="nil"/>
            </w:tcBorders>
            <w:vAlign w:val="bottom"/>
          </w:tcPr>
          <w:p w:rsidR="00D724FA" w:rsidRDefault="00D724FA" w:rsidP="00A858D8">
            <w:pPr>
              <w:pStyle w:val="IASBTableArial"/>
              <w:jc w:val="right"/>
            </w:pPr>
            <w:r>
              <w:rPr>
                <w:i/>
              </w:rPr>
              <w:t>Per share</w:t>
            </w:r>
          </w:p>
        </w:tc>
      </w:tr>
      <w:tr w:rsidR="00D724FA" w:rsidTr="00A858D8">
        <w:trPr>
          <w:cantSplit/>
        </w:trPr>
        <w:tc>
          <w:tcPr>
            <w:tcW w:w="3930" w:type="dxa"/>
            <w:tcBorders>
              <w:top w:val="nil"/>
            </w:tcBorders>
            <w:vAlign w:val="bottom"/>
          </w:tcPr>
          <w:p w:rsidR="00D724FA" w:rsidRDefault="00D724FA" w:rsidP="00A858D8">
            <w:pPr>
              <w:pStyle w:val="IASBTableArial"/>
            </w:pPr>
            <w:r>
              <w:t>Profit attributable to ordinary equity holders of the parent entity for year 20X1</w:t>
            </w:r>
          </w:p>
        </w:tc>
        <w:tc>
          <w:tcPr>
            <w:tcW w:w="2002" w:type="dxa"/>
            <w:tcBorders>
              <w:top w:val="nil"/>
              <w:left w:val="nil"/>
            </w:tcBorders>
            <w:vAlign w:val="bottom"/>
          </w:tcPr>
          <w:p w:rsidR="00D724FA" w:rsidRDefault="00D724FA" w:rsidP="00A858D8">
            <w:pPr>
              <w:pStyle w:val="IASBTableArial"/>
              <w:jc w:val="right"/>
            </w:pPr>
            <w:r>
              <w:t>CU1,200,000</w:t>
            </w:r>
          </w:p>
        </w:tc>
        <w:tc>
          <w:tcPr>
            <w:tcW w:w="1638" w:type="dxa"/>
            <w:tcBorders>
              <w:top w:val="nil"/>
              <w:left w:val="nil"/>
            </w:tcBorders>
            <w:vAlign w:val="bottom"/>
          </w:tcPr>
          <w:p w:rsidR="00D724FA" w:rsidRDefault="00D724FA" w:rsidP="00A858D8">
            <w:pPr>
              <w:pStyle w:val="IASBTableArial"/>
            </w:pPr>
          </w:p>
        </w:tc>
        <w:tc>
          <w:tcPr>
            <w:tcW w:w="1638" w:type="dxa"/>
            <w:tcBorders>
              <w:top w:val="nil"/>
              <w:left w:val="nil"/>
            </w:tcBorders>
            <w:vAlign w:val="bottom"/>
          </w:tcPr>
          <w:p w:rsidR="00D724FA" w:rsidRDefault="00D724FA" w:rsidP="00A858D8">
            <w:pPr>
              <w:pStyle w:val="IASBTableArial"/>
            </w:pPr>
          </w:p>
        </w:tc>
      </w:tr>
      <w:tr w:rsidR="00D724FA" w:rsidTr="00A858D8">
        <w:trPr>
          <w:cantSplit/>
        </w:trPr>
        <w:tc>
          <w:tcPr>
            <w:tcW w:w="3930" w:type="dxa"/>
            <w:tcBorders>
              <w:top w:val="nil"/>
            </w:tcBorders>
            <w:vAlign w:val="bottom"/>
          </w:tcPr>
          <w:p w:rsidR="00D724FA" w:rsidRDefault="00D724FA" w:rsidP="00A858D8">
            <w:pPr>
              <w:pStyle w:val="IASBTableArial"/>
            </w:pPr>
            <w:r>
              <w:t>Weighted average shares outstanding during year 20X1</w:t>
            </w:r>
          </w:p>
        </w:tc>
        <w:tc>
          <w:tcPr>
            <w:tcW w:w="2002" w:type="dxa"/>
            <w:tcBorders>
              <w:top w:val="nil"/>
              <w:left w:val="nil"/>
            </w:tcBorders>
            <w:vAlign w:val="bottom"/>
          </w:tcPr>
          <w:p w:rsidR="00D724FA" w:rsidRDefault="00D724FA" w:rsidP="00A858D8">
            <w:pPr>
              <w:pStyle w:val="IASBTableArial"/>
            </w:pPr>
          </w:p>
        </w:tc>
        <w:tc>
          <w:tcPr>
            <w:tcW w:w="1638" w:type="dxa"/>
            <w:tcBorders>
              <w:top w:val="nil"/>
              <w:left w:val="nil"/>
            </w:tcBorders>
            <w:vAlign w:val="bottom"/>
          </w:tcPr>
          <w:p w:rsidR="00D724FA" w:rsidRDefault="00D724FA" w:rsidP="00A858D8">
            <w:pPr>
              <w:pStyle w:val="IASBTableArial"/>
              <w:jc w:val="right"/>
            </w:pPr>
            <w:r>
              <w:t>500,000</w:t>
            </w:r>
          </w:p>
        </w:tc>
        <w:tc>
          <w:tcPr>
            <w:tcW w:w="1638" w:type="dxa"/>
            <w:tcBorders>
              <w:top w:val="nil"/>
              <w:left w:val="nil"/>
            </w:tcBorders>
            <w:vAlign w:val="bottom"/>
          </w:tcPr>
          <w:p w:rsidR="00D724FA" w:rsidRDefault="00D724FA" w:rsidP="00A858D8">
            <w:pPr>
              <w:pStyle w:val="IASBTableArial"/>
            </w:pPr>
          </w:p>
        </w:tc>
      </w:tr>
      <w:tr w:rsidR="00D724FA" w:rsidTr="00A858D8">
        <w:trPr>
          <w:cantSplit/>
        </w:trPr>
        <w:tc>
          <w:tcPr>
            <w:tcW w:w="3930" w:type="dxa"/>
            <w:tcBorders>
              <w:top w:val="nil"/>
            </w:tcBorders>
            <w:vAlign w:val="bottom"/>
          </w:tcPr>
          <w:p w:rsidR="00D724FA" w:rsidRDefault="00D724FA" w:rsidP="00A858D8">
            <w:pPr>
              <w:pStyle w:val="IASBTableArial"/>
            </w:pPr>
            <w:r>
              <w:rPr>
                <w:i/>
              </w:rPr>
              <w:t>Basic earnings per share</w:t>
            </w:r>
          </w:p>
        </w:tc>
        <w:tc>
          <w:tcPr>
            <w:tcW w:w="2002" w:type="dxa"/>
            <w:tcBorders>
              <w:top w:val="nil"/>
              <w:left w:val="nil"/>
            </w:tcBorders>
            <w:vAlign w:val="bottom"/>
          </w:tcPr>
          <w:p w:rsidR="00D724FA" w:rsidRDefault="00D724FA" w:rsidP="00A858D8">
            <w:pPr>
              <w:pStyle w:val="IASBTableArial"/>
            </w:pPr>
          </w:p>
        </w:tc>
        <w:tc>
          <w:tcPr>
            <w:tcW w:w="1638" w:type="dxa"/>
            <w:tcBorders>
              <w:top w:val="nil"/>
              <w:left w:val="nil"/>
            </w:tcBorders>
            <w:vAlign w:val="bottom"/>
          </w:tcPr>
          <w:p w:rsidR="00D724FA" w:rsidRDefault="00D724FA" w:rsidP="00A858D8">
            <w:pPr>
              <w:pStyle w:val="IASBTableArial"/>
            </w:pPr>
          </w:p>
        </w:tc>
        <w:tc>
          <w:tcPr>
            <w:tcW w:w="1638" w:type="dxa"/>
            <w:tcBorders>
              <w:top w:val="nil"/>
              <w:left w:val="nil"/>
            </w:tcBorders>
            <w:vAlign w:val="bottom"/>
          </w:tcPr>
          <w:p w:rsidR="00D724FA" w:rsidRDefault="00D724FA" w:rsidP="00A858D8">
            <w:pPr>
              <w:pStyle w:val="IASBTableArial"/>
              <w:jc w:val="right"/>
            </w:pPr>
            <w:r>
              <w:t>CU2.40</w:t>
            </w:r>
          </w:p>
        </w:tc>
      </w:tr>
      <w:tr w:rsidR="00D724FA" w:rsidTr="00A858D8">
        <w:trPr>
          <w:cantSplit/>
        </w:trPr>
        <w:tc>
          <w:tcPr>
            <w:tcW w:w="3930" w:type="dxa"/>
            <w:tcBorders>
              <w:top w:val="nil"/>
            </w:tcBorders>
            <w:vAlign w:val="bottom"/>
          </w:tcPr>
          <w:p w:rsidR="00D724FA" w:rsidRDefault="00D724FA" w:rsidP="00A858D8">
            <w:pPr>
              <w:pStyle w:val="IASBTableArial"/>
            </w:pPr>
            <w:r>
              <w:t>Weighted average number of shares under option</w:t>
            </w:r>
          </w:p>
        </w:tc>
        <w:tc>
          <w:tcPr>
            <w:tcW w:w="2002" w:type="dxa"/>
            <w:tcBorders>
              <w:top w:val="nil"/>
              <w:left w:val="nil"/>
            </w:tcBorders>
            <w:vAlign w:val="bottom"/>
          </w:tcPr>
          <w:p w:rsidR="00D724FA" w:rsidRDefault="00D724FA" w:rsidP="00A858D8">
            <w:pPr>
              <w:pStyle w:val="IASBTableArial"/>
            </w:pPr>
          </w:p>
        </w:tc>
        <w:tc>
          <w:tcPr>
            <w:tcW w:w="1638" w:type="dxa"/>
            <w:tcBorders>
              <w:top w:val="nil"/>
              <w:left w:val="nil"/>
            </w:tcBorders>
            <w:vAlign w:val="bottom"/>
          </w:tcPr>
          <w:p w:rsidR="00D724FA" w:rsidRDefault="00D724FA" w:rsidP="00A858D8">
            <w:pPr>
              <w:pStyle w:val="IASBTableArial"/>
              <w:jc w:val="right"/>
            </w:pPr>
            <w:r>
              <w:t>100,000</w:t>
            </w:r>
          </w:p>
        </w:tc>
        <w:tc>
          <w:tcPr>
            <w:tcW w:w="1638" w:type="dxa"/>
            <w:tcBorders>
              <w:top w:val="nil"/>
              <w:left w:val="nil"/>
            </w:tcBorders>
            <w:vAlign w:val="bottom"/>
          </w:tcPr>
          <w:p w:rsidR="00D724FA" w:rsidRDefault="00D724FA" w:rsidP="00A858D8">
            <w:pPr>
              <w:pStyle w:val="IASBTableArial"/>
            </w:pPr>
          </w:p>
        </w:tc>
      </w:tr>
      <w:tr w:rsidR="00D724FA" w:rsidTr="00A858D8">
        <w:trPr>
          <w:cantSplit/>
        </w:trPr>
        <w:tc>
          <w:tcPr>
            <w:tcW w:w="3930" w:type="dxa"/>
            <w:tcBorders>
              <w:top w:val="nil"/>
            </w:tcBorders>
            <w:vAlign w:val="bottom"/>
          </w:tcPr>
          <w:p w:rsidR="00D724FA" w:rsidRDefault="00D724FA" w:rsidP="00A858D8">
            <w:pPr>
              <w:pStyle w:val="IASBTableArial"/>
            </w:pPr>
            <w:r>
              <w:t>Weighted average number of shares that would have been issued at average market price: (100,000 × CU15.00) ÷ CU20.00</w:t>
            </w:r>
          </w:p>
        </w:tc>
        <w:tc>
          <w:tcPr>
            <w:tcW w:w="2002" w:type="dxa"/>
            <w:tcBorders>
              <w:top w:val="nil"/>
              <w:left w:val="nil"/>
            </w:tcBorders>
            <w:vAlign w:val="bottom"/>
          </w:tcPr>
          <w:p w:rsidR="00D724FA" w:rsidRDefault="00D724FA" w:rsidP="00A858D8">
            <w:pPr>
              <w:pStyle w:val="IASBTableArial"/>
            </w:pPr>
            <w:r>
              <w:rPr>
                <w:vertAlign w:val="superscript"/>
              </w:rPr>
              <w:t>(a)</w:t>
            </w:r>
          </w:p>
        </w:tc>
        <w:tc>
          <w:tcPr>
            <w:tcW w:w="1638" w:type="dxa"/>
            <w:tcBorders>
              <w:top w:val="nil"/>
              <w:left w:val="nil"/>
            </w:tcBorders>
            <w:vAlign w:val="bottom"/>
          </w:tcPr>
          <w:p w:rsidR="00D724FA" w:rsidRDefault="00D724FA" w:rsidP="00A858D8">
            <w:pPr>
              <w:pStyle w:val="IASBTableArial"/>
              <w:jc w:val="right"/>
            </w:pPr>
            <w:r>
              <w:t>(75,000)</w:t>
            </w:r>
          </w:p>
        </w:tc>
        <w:tc>
          <w:tcPr>
            <w:tcW w:w="1638" w:type="dxa"/>
            <w:tcBorders>
              <w:top w:val="nil"/>
              <w:left w:val="nil"/>
            </w:tcBorders>
            <w:vAlign w:val="bottom"/>
          </w:tcPr>
          <w:p w:rsidR="00D724FA" w:rsidRDefault="00D724FA" w:rsidP="00A858D8">
            <w:pPr>
              <w:pStyle w:val="IASBTableArial"/>
            </w:pPr>
          </w:p>
        </w:tc>
      </w:tr>
      <w:tr w:rsidR="00D724FA" w:rsidTr="00A858D8">
        <w:trPr>
          <w:cantSplit/>
        </w:trPr>
        <w:tc>
          <w:tcPr>
            <w:tcW w:w="3930" w:type="dxa"/>
            <w:tcBorders>
              <w:top w:val="nil"/>
            </w:tcBorders>
            <w:vAlign w:val="bottom"/>
          </w:tcPr>
          <w:p w:rsidR="00D724FA" w:rsidRDefault="00D724FA" w:rsidP="00A858D8">
            <w:pPr>
              <w:pStyle w:val="IASBTableArial"/>
            </w:pPr>
            <w:r>
              <w:rPr>
                <w:i/>
              </w:rPr>
              <w:t>Diluted earnings per share</w:t>
            </w:r>
          </w:p>
        </w:tc>
        <w:tc>
          <w:tcPr>
            <w:tcW w:w="2002" w:type="dxa"/>
            <w:tcBorders>
              <w:top w:val="nil"/>
              <w:left w:val="nil"/>
            </w:tcBorders>
            <w:vAlign w:val="bottom"/>
          </w:tcPr>
          <w:p w:rsidR="00D724FA" w:rsidRDefault="00D724FA" w:rsidP="00A858D8">
            <w:pPr>
              <w:pStyle w:val="IASBTableArial"/>
              <w:jc w:val="right"/>
            </w:pPr>
            <w:r>
              <w:t>CU1,200,000</w:t>
            </w:r>
          </w:p>
        </w:tc>
        <w:tc>
          <w:tcPr>
            <w:tcW w:w="1638" w:type="dxa"/>
            <w:tcBorders>
              <w:top w:val="nil"/>
              <w:left w:val="nil"/>
            </w:tcBorders>
            <w:vAlign w:val="bottom"/>
          </w:tcPr>
          <w:p w:rsidR="00D724FA" w:rsidRDefault="00D724FA" w:rsidP="00A858D8">
            <w:pPr>
              <w:pStyle w:val="IASBTableArial"/>
              <w:jc w:val="right"/>
            </w:pPr>
            <w:r>
              <w:t>525,000</w:t>
            </w:r>
          </w:p>
        </w:tc>
        <w:tc>
          <w:tcPr>
            <w:tcW w:w="1638" w:type="dxa"/>
            <w:tcBorders>
              <w:top w:val="nil"/>
              <w:left w:val="nil"/>
            </w:tcBorders>
            <w:vAlign w:val="bottom"/>
          </w:tcPr>
          <w:p w:rsidR="00D724FA" w:rsidRDefault="00D724FA" w:rsidP="00A858D8">
            <w:pPr>
              <w:pStyle w:val="IASBTableArial"/>
              <w:jc w:val="right"/>
            </w:pPr>
            <w:r>
              <w:t>CU2.29</w:t>
            </w:r>
          </w:p>
        </w:tc>
      </w:tr>
      <w:tr w:rsidR="00D724FA" w:rsidTr="00A858D8">
        <w:trPr>
          <w:cantSplit/>
        </w:trPr>
        <w:tc>
          <w:tcPr>
            <w:tcW w:w="9208" w:type="dxa"/>
            <w:gridSpan w:val="4"/>
            <w:tcBorders>
              <w:top w:val="nil"/>
            </w:tcBorders>
            <w:vAlign w:val="bottom"/>
          </w:tcPr>
          <w:p w:rsidR="00D724FA" w:rsidRDefault="00D724FA" w:rsidP="00A858D8">
            <w:pPr>
              <w:pStyle w:val="IASBTableTNR"/>
              <w:ind w:left="567" w:hanging="567"/>
            </w:pPr>
            <w:r>
              <w:rPr>
                <w:rStyle w:val="FootnoteReference"/>
                <w:sz w:val="16"/>
                <w:vertAlign w:val="baseline"/>
              </w:rPr>
              <w:t>(a)</w:t>
            </w:r>
            <w:r>
              <w:rPr>
                <w:rStyle w:val="FootnoteReference"/>
                <w:sz w:val="16"/>
                <w:vertAlign w:val="baseline"/>
              </w:rPr>
              <w:tab/>
              <w:t>Earnings have not increased because the total number of shares has increased only by the number of shares (25,000) deemed to have been issued for no consideration (see paragraph 46(b) of the Standard).</w:t>
            </w:r>
          </w:p>
        </w:tc>
      </w:tr>
    </w:tbl>
    <w:p w:rsidR="00D724FA" w:rsidRDefault="00D724FA" w:rsidP="00D724FA">
      <w:pPr>
        <w:pStyle w:val="IASBNormalnpara"/>
        <w:ind w:left="567" w:hanging="567"/>
      </w:pPr>
    </w:p>
    <w:p w:rsidR="00D724FA" w:rsidRDefault="00D724FA" w:rsidP="00D724FA">
      <w:pPr>
        <w:pStyle w:val="IASBSectionTitle1NonInd"/>
      </w:pPr>
      <w:r>
        <w:t>Example 5A Determining the exercise price of employee share options</w:t>
      </w:r>
    </w:p>
    <w:p w:rsidR="00D724FA" w:rsidRDefault="00D724FA" w:rsidP="00D724FA">
      <w:pPr>
        <w:pStyle w:val="IASBNormalnpara"/>
      </w:pPr>
    </w:p>
    <w:tbl>
      <w:tblPr>
        <w:tblW w:w="0" w:type="auto"/>
        <w:tblLayout w:type="fixed"/>
        <w:tblLook w:val="0000" w:firstRow="0" w:lastRow="0" w:firstColumn="0" w:lastColumn="0" w:noHBand="0" w:noVBand="0"/>
        <w:tblCaption w:val="AASB 133 Table 8"/>
      </w:tblPr>
      <w:tblGrid>
        <w:gridCol w:w="7388"/>
        <w:gridCol w:w="1820"/>
      </w:tblGrid>
      <w:tr w:rsidR="00D724FA" w:rsidTr="00A858D8">
        <w:trPr>
          <w:cantSplit/>
        </w:trPr>
        <w:tc>
          <w:tcPr>
            <w:tcW w:w="7388" w:type="dxa"/>
            <w:vAlign w:val="bottom"/>
          </w:tcPr>
          <w:p w:rsidR="00D724FA" w:rsidRDefault="00D724FA" w:rsidP="00A858D8">
            <w:pPr>
              <w:pStyle w:val="IASBTableArial"/>
            </w:pPr>
            <w:r>
              <w:t>Weighted average number of unvested share options per employee</w:t>
            </w:r>
          </w:p>
        </w:tc>
        <w:tc>
          <w:tcPr>
            <w:tcW w:w="1820" w:type="dxa"/>
            <w:tcBorders>
              <w:left w:val="nil"/>
            </w:tcBorders>
            <w:vAlign w:val="bottom"/>
          </w:tcPr>
          <w:p w:rsidR="00D724FA" w:rsidRDefault="00D724FA" w:rsidP="00A858D8">
            <w:pPr>
              <w:pStyle w:val="IASBTableArial"/>
              <w:jc w:val="right"/>
            </w:pPr>
            <w:r>
              <w:t>1,000</w:t>
            </w:r>
          </w:p>
        </w:tc>
      </w:tr>
      <w:tr w:rsidR="00D724FA" w:rsidTr="00A858D8">
        <w:trPr>
          <w:cantSplit/>
        </w:trPr>
        <w:tc>
          <w:tcPr>
            <w:tcW w:w="7388" w:type="dxa"/>
            <w:tcBorders>
              <w:top w:val="nil"/>
            </w:tcBorders>
            <w:vAlign w:val="bottom"/>
          </w:tcPr>
          <w:p w:rsidR="00D724FA" w:rsidRDefault="00D724FA" w:rsidP="00A858D8">
            <w:pPr>
              <w:pStyle w:val="IASBTableArial"/>
            </w:pPr>
            <w:r>
              <w:t>Weighted average amount per employee to be recognised over the remainder of the vesting period for employee services to be rendered as consideration for the share options, determined in accordance with</w:t>
            </w:r>
            <w:r w:rsidR="00725E14">
              <w:t xml:space="preserve"> AASB 2</w:t>
            </w:r>
            <w:r>
              <w:t xml:space="preserve"> </w:t>
            </w:r>
            <w:r>
              <w:rPr>
                <w:i/>
              </w:rPr>
              <w:t>Share-based Payment</w:t>
            </w:r>
          </w:p>
        </w:tc>
        <w:tc>
          <w:tcPr>
            <w:tcW w:w="1820" w:type="dxa"/>
            <w:tcBorders>
              <w:top w:val="nil"/>
              <w:left w:val="nil"/>
            </w:tcBorders>
            <w:vAlign w:val="bottom"/>
          </w:tcPr>
          <w:p w:rsidR="00D724FA" w:rsidRDefault="00D724FA" w:rsidP="00A858D8">
            <w:pPr>
              <w:pStyle w:val="IASBTableArial"/>
              <w:jc w:val="right"/>
            </w:pPr>
            <w:r>
              <w:t>CU1,200</w:t>
            </w:r>
          </w:p>
        </w:tc>
      </w:tr>
      <w:tr w:rsidR="00D724FA" w:rsidTr="00A858D8">
        <w:trPr>
          <w:cantSplit/>
        </w:trPr>
        <w:tc>
          <w:tcPr>
            <w:tcW w:w="7388" w:type="dxa"/>
            <w:tcBorders>
              <w:top w:val="nil"/>
            </w:tcBorders>
            <w:vAlign w:val="bottom"/>
          </w:tcPr>
          <w:p w:rsidR="00D724FA" w:rsidRDefault="00D724FA" w:rsidP="00A858D8">
            <w:pPr>
              <w:pStyle w:val="IASBTableArial"/>
            </w:pPr>
            <w:r>
              <w:t>Cash exercise price of unvested share options</w:t>
            </w:r>
          </w:p>
        </w:tc>
        <w:tc>
          <w:tcPr>
            <w:tcW w:w="1820" w:type="dxa"/>
            <w:tcBorders>
              <w:top w:val="nil"/>
              <w:left w:val="nil"/>
            </w:tcBorders>
            <w:vAlign w:val="bottom"/>
          </w:tcPr>
          <w:p w:rsidR="00D724FA" w:rsidRDefault="00D724FA" w:rsidP="00A858D8">
            <w:pPr>
              <w:pStyle w:val="IASBTableArial"/>
              <w:jc w:val="right"/>
            </w:pPr>
            <w:r>
              <w:t>CU15</w:t>
            </w:r>
          </w:p>
        </w:tc>
      </w:tr>
      <w:tr w:rsidR="00D724FA" w:rsidTr="00A858D8">
        <w:trPr>
          <w:cantSplit/>
        </w:trPr>
        <w:tc>
          <w:tcPr>
            <w:tcW w:w="7388" w:type="dxa"/>
            <w:tcBorders>
              <w:top w:val="nil"/>
            </w:tcBorders>
            <w:vAlign w:val="bottom"/>
          </w:tcPr>
          <w:p w:rsidR="00D724FA" w:rsidRDefault="00D724FA" w:rsidP="00A858D8">
            <w:pPr>
              <w:pStyle w:val="IASBTableArial"/>
            </w:pPr>
          </w:p>
        </w:tc>
        <w:tc>
          <w:tcPr>
            <w:tcW w:w="1820" w:type="dxa"/>
            <w:tcBorders>
              <w:top w:val="nil"/>
              <w:left w:val="nil"/>
            </w:tcBorders>
            <w:vAlign w:val="bottom"/>
          </w:tcPr>
          <w:p w:rsidR="00D724FA" w:rsidRDefault="00D724FA" w:rsidP="00A858D8">
            <w:pPr>
              <w:pStyle w:val="IASBTableArial"/>
            </w:pPr>
          </w:p>
        </w:tc>
      </w:tr>
      <w:tr w:rsidR="00D724FA" w:rsidTr="00A858D8">
        <w:trPr>
          <w:cantSplit/>
        </w:trPr>
        <w:tc>
          <w:tcPr>
            <w:tcW w:w="7388" w:type="dxa"/>
            <w:tcBorders>
              <w:top w:val="nil"/>
            </w:tcBorders>
            <w:vAlign w:val="bottom"/>
          </w:tcPr>
          <w:p w:rsidR="00D724FA" w:rsidRDefault="00D724FA" w:rsidP="00A858D8">
            <w:pPr>
              <w:pStyle w:val="IASBTableArial"/>
            </w:pPr>
          </w:p>
        </w:tc>
        <w:tc>
          <w:tcPr>
            <w:tcW w:w="1820" w:type="dxa"/>
            <w:tcBorders>
              <w:top w:val="nil"/>
              <w:left w:val="nil"/>
            </w:tcBorders>
            <w:vAlign w:val="bottom"/>
          </w:tcPr>
          <w:p w:rsidR="00D724FA" w:rsidRDefault="00D724FA" w:rsidP="00A858D8">
            <w:pPr>
              <w:pStyle w:val="IASBTableArial"/>
            </w:pPr>
          </w:p>
        </w:tc>
      </w:tr>
      <w:tr w:rsidR="00D724FA" w:rsidTr="00A858D8">
        <w:trPr>
          <w:cantSplit/>
        </w:trPr>
        <w:tc>
          <w:tcPr>
            <w:tcW w:w="9208" w:type="dxa"/>
            <w:gridSpan w:val="2"/>
            <w:tcBorders>
              <w:top w:val="nil"/>
            </w:tcBorders>
            <w:vAlign w:val="bottom"/>
          </w:tcPr>
          <w:p w:rsidR="00D724FA" w:rsidRDefault="00D724FA" w:rsidP="00A858D8">
            <w:pPr>
              <w:pStyle w:val="IASBTableArial"/>
            </w:pPr>
            <w:r>
              <w:rPr>
                <w:b/>
              </w:rPr>
              <w:t>Calculation of adjusted exercise price</w:t>
            </w:r>
          </w:p>
        </w:tc>
      </w:tr>
      <w:tr w:rsidR="00D724FA" w:rsidTr="00A858D8">
        <w:trPr>
          <w:cantSplit/>
        </w:trPr>
        <w:tc>
          <w:tcPr>
            <w:tcW w:w="7388" w:type="dxa"/>
            <w:tcBorders>
              <w:top w:val="nil"/>
            </w:tcBorders>
            <w:vAlign w:val="bottom"/>
          </w:tcPr>
          <w:p w:rsidR="00D724FA" w:rsidRDefault="00D724FA" w:rsidP="00A858D8">
            <w:pPr>
              <w:pStyle w:val="IASBTableArial"/>
            </w:pPr>
            <w:r>
              <w:t>Fair value of services yet to be rendered per employee:</w:t>
            </w:r>
          </w:p>
        </w:tc>
        <w:tc>
          <w:tcPr>
            <w:tcW w:w="1820" w:type="dxa"/>
            <w:tcBorders>
              <w:top w:val="nil"/>
              <w:left w:val="nil"/>
            </w:tcBorders>
            <w:vAlign w:val="bottom"/>
          </w:tcPr>
          <w:p w:rsidR="00D724FA" w:rsidRDefault="00D724FA" w:rsidP="00A858D8">
            <w:pPr>
              <w:pStyle w:val="IASBTableArial"/>
              <w:jc w:val="right"/>
            </w:pPr>
            <w:r>
              <w:t>CU1,200</w:t>
            </w:r>
          </w:p>
        </w:tc>
      </w:tr>
      <w:tr w:rsidR="00D724FA" w:rsidTr="00A858D8">
        <w:trPr>
          <w:cantSplit/>
        </w:trPr>
        <w:tc>
          <w:tcPr>
            <w:tcW w:w="7388" w:type="dxa"/>
            <w:tcBorders>
              <w:top w:val="nil"/>
            </w:tcBorders>
            <w:vAlign w:val="bottom"/>
          </w:tcPr>
          <w:p w:rsidR="00D724FA" w:rsidRDefault="00D724FA" w:rsidP="00A858D8">
            <w:pPr>
              <w:pStyle w:val="IASBTableArial"/>
            </w:pPr>
            <w:r>
              <w:t>Fair value of services yet to be rendered per option: (CU1,200 ÷ 1,000)</w:t>
            </w:r>
          </w:p>
        </w:tc>
        <w:tc>
          <w:tcPr>
            <w:tcW w:w="1820" w:type="dxa"/>
            <w:tcBorders>
              <w:top w:val="nil"/>
              <w:left w:val="nil"/>
            </w:tcBorders>
            <w:vAlign w:val="bottom"/>
          </w:tcPr>
          <w:p w:rsidR="00D724FA" w:rsidRDefault="00D724FA" w:rsidP="00A858D8">
            <w:pPr>
              <w:pStyle w:val="IASBTableArial"/>
              <w:jc w:val="right"/>
            </w:pPr>
            <w:r>
              <w:t>CU1.20</w:t>
            </w:r>
          </w:p>
        </w:tc>
      </w:tr>
      <w:tr w:rsidR="00D724FA" w:rsidTr="00A858D8">
        <w:trPr>
          <w:cantSplit/>
        </w:trPr>
        <w:tc>
          <w:tcPr>
            <w:tcW w:w="7388" w:type="dxa"/>
            <w:tcBorders>
              <w:top w:val="nil"/>
            </w:tcBorders>
            <w:vAlign w:val="bottom"/>
          </w:tcPr>
          <w:p w:rsidR="00D724FA" w:rsidRDefault="00D724FA" w:rsidP="00A858D8">
            <w:pPr>
              <w:pStyle w:val="IASBTableArial"/>
            </w:pPr>
            <w:r>
              <w:t>Total exercise price of share options: (CU15.00 + CU1.20)</w:t>
            </w:r>
          </w:p>
        </w:tc>
        <w:tc>
          <w:tcPr>
            <w:tcW w:w="1820" w:type="dxa"/>
            <w:tcBorders>
              <w:top w:val="nil"/>
              <w:left w:val="nil"/>
            </w:tcBorders>
            <w:vAlign w:val="bottom"/>
          </w:tcPr>
          <w:p w:rsidR="00D724FA" w:rsidRDefault="00D724FA" w:rsidP="00A858D8">
            <w:pPr>
              <w:pStyle w:val="IASBTableArial"/>
              <w:jc w:val="right"/>
            </w:pPr>
            <w:r>
              <w:t>CU16.20</w:t>
            </w:r>
          </w:p>
        </w:tc>
      </w:tr>
    </w:tbl>
    <w:p w:rsidR="00D724FA" w:rsidRDefault="00D724FA" w:rsidP="00D724FA">
      <w:pPr>
        <w:pStyle w:val="IASBNormalnpara"/>
      </w:pPr>
    </w:p>
    <w:p w:rsidR="00D724FA" w:rsidRDefault="00D724FA" w:rsidP="00D724FA">
      <w:pPr>
        <w:pStyle w:val="IASBSectionTitle1NonInd"/>
      </w:pPr>
      <w:r>
        <w:t>Example 6 Convertible bonds</w:t>
      </w:r>
      <w:r w:rsidRPr="00592251">
        <w:rPr>
          <w:rStyle w:val="FootnoteReference"/>
        </w:rPr>
        <w:footnoteReference w:id="2"/>
      </w:r>
    </w:p>
    <w:p w:rsidR="00D724FA" w:rsidRDefault="00D724FA" w:rsidP="00D724FA">
      <w:pPr>
        <w:pStyle w:val="IASBNormal"/>
      </w:pPr>
      <w:r>
        <w:rPr>
          <w:b/>
        </w:rPr>
        <w:t>Reference:</w:t>
      </w:r>
      <w:r w:rsidR="00725E14">
        <w:rPr>
          <w:b/>
        </w:rPr>
        <w:t xml:space="preserve"> AASB 133</w:t>
      </w:r>
      <w:r>
        <w:rPr>
          <w:b/>
        </w:rPr>
        <w:t>, paragraphs 33, 34, 36 and 49</w:t>
      </w:r>
    </w:p>
    <w:p w:rsidR="00D724FA" w:rsidRDefault="00D724FA" w:rsidP="00D724FA">
      <w:pPr>
        <w:pStyle w:val="IASBNormalnpara"/>
      </w:pPr>
    </w:p>
    <w:tbl>
      <w:tblPr>
        <w:tblW w:w="0" w:type="auto"/>
        <w:tblLayout w:type="fixed"/>
        <w:tblLook w:val="0000" w:firstRow="0" w:lastRow="0" w:firstColumn="0" w:lastColumn="0" w:noHBand="0" w:noVBand="0"/>
        <w:tblCaption w:val="AASB 133 Table 9"/>
      </w:tblPr>
      <w:tblGrid>
        <w:gridCol w:w="6114"/>
        <w:gridCol w:w="1183"/>
        <w:gridCol w:w="273"/>
        <w:gridCol w:w="1638"/>
      </w:tblGrid>
      <w:tr w:rsidR="00D724FA" w:rsidTr="00A858D8">
        <w:trPr>
          <w:cantSplit/>
        </w:trPr>
        <w:tc>
          <w:tcPr>
            <w:tcW w:w="7570" w:type="dxa"/>
            <w:gridSpan w:val="3"/>
            <w:vAlign w:val="bottom"/>
          </w:tcPr>
          <w:p w:rsidR="00D724FA" w:rsidRDefault="00D724FA" w:rsidP="00A858D8">
            <w:pPr>
              <w:pStyle w:val="IASBTableArial"/>
            </w:pPr>
            <w:r>
              <w:t>Profit attributable to ordinary equity holders of the parent entity</w:t>
            </w:r>
          </w:p>
        </w:tc>
        <w:tc>
          <w:tcPr>
            <w:tcW w:w="1638" w:type="dxa"/>
            <w:tcBorders>
              <w:left w:val="nil"/>
            </w:tcBorders>
            <w:vAlign w:val="bottom"/>
          </w:tcPr>
          <w:p w:rsidR="00D724FA" w:rsidRDefault="00D724FA" w:rsidP="00A858D8">
            <w:pPr>
              <w:pStyle w:val="IASBTableArial"/>
              <w:jc w:val="right"/>
            </w:pPr>
            <w:r>
              <w:t>CU1,004</w:t>
            </w:r>
          </w:p>
        </w:tc>
      </w:tr>
      <w:tr w:rsidR="00D724FA" w:rsidTr="00A858D8">
        <w:trPr>
          <w:cantSplit/>
        </w:trPr>
        <w:tc>
          <w:tcPr>
            <w:tcW w:w="7570" w:type="dxa"/>
            <w:gridSpan w:val="3"/>
            <w:tcBorders>
              <w:top w:val="nil"/>
            </w:tcBorders>
            <w:vAlign w:val="bottom"/>
          </w:tcPr>
          <w:p w:rsidR="00D724FA" w:rsidRDefault="00D724FA" w:rsidP="00A858D8">
            <w:pPr>
              <w:pStyle w:val="IASBTableArial"/>
            </w:pPr>
            <w:r>
              <w:t>Ordinary shares outstanding</w:t>
            </w:r>
          </w:p>
        </w:tc>
        <w:tc>
          <w:tcPr>
            <w:tcW w:w="1638" w:type="dxa"/>
            <w:tcBorders>
              <w:top w:val="nil"/>
              <w:left w:val="nil"/>
            </w:tcBorders>
            <w:vAlign w:val="bottom"/>
          </w:tcPr>
          <w:p w:rsidR="00D724FA" w:rsidRDefault="00D724FA" w:rsidP="00A858D8">
            <w:pPr>
              <w:pStyle w:val="IASBTableArial"/>
              <w:jc w:val="right"/>
            </w:pPr>
            <w:r>
              <w:t>1,000</w:t>
            </w:r>
          </w:p>
        </w:tc>
      </w:tr>
      <w:tr w:rsidR="00D724FA" w:rsidTr="00A858D8">
        <w:trPr>
          <w:cantSplit/>
        </w:trPr>
        <w:tc>
          <w:tcPr>
            <w:tcW w:w="7570" w:type="dxa"/>
            <w:gridSpan w:val="3"/>
            <w:tcBorders>
              <w:top w:val="nil"/>
            </w:tcBorders>
            <w:vAlign w:val="bottom"/>
          </w:tcPr>
          <w:p w:rsidR="00D724FA" w:rsidRDefault="00D724FA" w:rsidP="00A858D8">
            <w:pPr>
              <w:pStyle w:val="IASBTableArial"/>
            </w:pPr>
            <w:r>
              <w:t>Basic earnings per share</w:t>
            </w:r>
          </w:p>
        </w:tc>
        <w:tc>
          <w:tcPr>
            <w:tcW w:w="1638" w:type="dxa"/>
            <w:tcBorders>
              <w:top w:val="nil"/>
              <w:left w:val="nil"/>
            </w:tcBorders>
            <w:vAlign w:val="bottom"/>
          </w:tcPr>
          <w:p w:rsidR="00D724FA" w:rsidRDefault="00D724FA" w:rsidP="00A858D8">
            <w:pPr>
              <w:pStyle w:val="IASBTableArial"/>
              <w:jc w:val="right"/>
            </w:pPr>
            <w:r>
              <w:t>CU1.00</w:t>
            </w:r>
          </w:p>
        </w:tc>
      </w:tr>
      <w:tr w:rsidR="00D724FA" w:rsidTr="00A858D8">
        <w:trPr>
          <w:cantSplit/>
        </w:trPr>
        <w:tc>
          <w:tcPr>
            <w:tcW w:w="7570" w:type="dxa"/>
            <w:gridSpan w:val="3"/>
            <w:tcBorders>
              <w:top w:val="nil"/>
            </w:tcBorders>
            <w:vAlign w:val="bottom"/>
          </w:tcPr>
          <w:p w:rsidR="00D724FA" w:rsidRDefault="00D724FA" w:rsidP="00A858D8">
            <w:pPr>
              <w:pStyle w:val="IASBTableArial"/>
            </w:pPr>
            <w:r>
              <w:t>Convertible bonds</w:t>
            </w:r>
          </w:p>
        </w:tc>
        <w:tc>
          <w:tcPr>
            <w:tcW w:w="1638" w:type="dxa"/>
            <w:tcBorders>
              <w:top w:val="nil"/>
              <w:left w:val="nil"/>
            </w:tcBorders>
            <w:vAlign w:val="bottom"/>
          </w:tcPr>
          <w:p w:rsidR="00D724FA" w:rsidRDefault="00D724FA" w:rsidP="00A858D8">
            <w:pPr>
              <w:pStyle w:val="IASBTableArial"/>
              <w:jc w:val="right"/>
            </w:pPr>
            <w:r>
              <w:t>100</w:t>
            </w:r>
          </w:p>
        </w:tc>
      </w:tr>
      <w:tr w:rsidR="00D724FA" w:rsidTr="00A858D8">
        <w:trPr>
          <w:gridAfter w:val="1"/>
          <w:wAfter w:w="1638" w:type="dxa"/>
          <w:cantSplit/>
        </w:trPr>
        <w:tc>
          <w:tcPr>
            <w:tcW w:w="7570" w:type="dxa"/>
            <w:gridSpan w:val="3"/>
            <w:tcBorders>
              <w:top w:val="nil"/>
            </w:tcBorders>
            <w:vAlign w:val="bottom"/>
          </w:tcPr>
          <w:p w:rsidR="00D724FA" w:rsidRDefault="00D724FA" w:rsidP="00A858D8">
            <w:pPr>
              <w:pStyle w:val="IASBTableArial"/>
            </w:pPr>
            <w:r>
              <w:t>Each block of 10 bonds is convertible into three ordinary shares</w:t>
            </w:r>
          </w:p>
        </w:tc>
      </w:tr>
      <w:tr w:rsidR="00D724FA" w:rsidTr="00A858D8">
        <w:trPr>
          <w:cantSplit/>
        </w:trPr>
        <w:tc>
          <w:tcPr>
            <w:tcW w:w="7570" w:type="dxa"/>
            <w:gridSpan w:val="3"/>
            <w:tcBorders>
              <w:top w:val="nil"/>
            </w:tcBorders>
            <w:vAlign w:val="bottom"/>
          </w:tcPr>
          <w:p w:rsidR="00D724FA" w:rsidRDefault="00D724FA" w:rsidP="00A858D8">
            <w:pPr>
              <w:pStyle w:val="IASBTableArial"/>
            </w:pPr>
            <w:r>
              <w:t>Interest expense for the current year relating to the liability component of the convertible bonds</w:t>
            </w:r>
          </w:p>
        </w:tc>
        <w:tc>
          <w:tcPr>
            <w:tcW w:w="1638" w:type="dxa"/>
            <w:tcBorders>
              <w:top w:val="nil"/>
              <w:left w:val="nil"/>
            </w:tcBorders>
            <w:vAlign w:val="bottom"/>
          </w:tcPr>
          <w:p w:rsidR="00D724FA" w:rsidRDefault="00D724FA" w:rsidP="00A858D8">
            <w:pPr>
              <w:pStyle w:val="IASBTableArial"/>
              <w:jc w:val="right"/>
            </w:pPr>
            <w:r>
              <w:t>CU10</w:t>
            </w:r>
          </w:p>
        </w:tc>
      </w:tr>
      <w:tr w:rsidR="00D724FA" w:rsidTr="00A858D8">
        <w:trPr>
          <w:cantSplit/>
        </w:trPr>
        <w:tc>
          <w:tcPr>
            <w:tcW w:w="7570" w:type="dxa"/>
            <w:gridSpan w:val="3"/>
            <w:tcBorders>
              <w:top w:val="nil"/>
            </w:tcBorders>
            <w:vAlign w:val="bottom"/>
          </w:tcPr>
          <w:p w:rsidR="00D724FA" w:rsidRDefault="00D724FA" w:rsidP="00A858D8">
            <w:pPr>
              <w:pStyle w:val="IASBTableArial"/>
            </w:pPr>
            <w:r>
              <w:t>Current and deferred tax relating to that interest expense</w:t>
            </w:r>
          </w:p>
        </w:tc>
        <w:tc>
          <w:tcPr>
            <w:tcW w:w="1638" w:type="dxa"/>
            <w:tcBorders>
              <w:top w:val="nil"/>
              <w:left w:val="nil"/>
            </w:tcBorders>
            <w:vAlign w:val="bottom"/>
          </w:tcPr>
          <w:p w:rsidR="00D724FA" w:rsidRDefault="00D724FA" w:rsidP="00A858D8">
            <w:pPr>
              <w:pStyle w:val="IASBTableArial"/>
              <w:jc w:val="right"/>
            </w:pPr>
            <w:r>
              <w:t>CU4</w:t>
            </w:r>
          </w:p>
        </w:tc>
      </w:tr>
      <w:tr w:rsidR="00D724FA" w:rsidTr="00A858D8">
        <w:trPr>
          <w:gridAfter w:val="1"/>
          <w:wAfter w:w="1638" w:type="dxa"/>
          <w:cantSplit/>
        </w:trPr>
        <w:tc>
          <w:tcPr>
            <w:tcW w:w="7570" w:type="dxa"/>
            <w:gridSpan w:val="3"/>
            <w:tcBorders>
              <w:top w:val="nil"/>
            </w:tcBorders>
            <w:vAlign w:val="bottom"/>
          </w:tcPr>
          <w:p w:rsidR="00D724FA" w:rsidRDefault="00D724FA" w:rsidP="00A858D8">
            <w:pPr>
              <w:pStyle w:val="IASBTableArial"/>
            </w:pPr>
          </w:p>
        </w:tc>
      </w:tr>
      <w:tr w:rsidR="00D724FA" w:rsidTr="00A858D8">
        <w:trPr>
          <w:cantSplit/>
        </w:trPr>
        <w:tc>
          <w:tcPr>
            <w:tcW w:w="9208" w:type="dxa"/>
            <w:gridSpan w:val="4"/>
            <w:tcBorders>
              <w:top w:val="nil"/>
            </w:tcBorders>
            <w:vAlign w:val="bottom"/>
          </w:tcPr>
          <w:p w:rsidR="00D724FA" w:rsidRDefault="00D724FA" w:rsidP="00A858D8">
            <w:pPr>
              <w:pStyle w:val="IASBTableArial"/>
            </w:pPr>
            <w:r>
              <w:rPr>
                <w:i/>
              </w:rPr>
              <w:t>Note: the interest expense includes amortisation of the discount arising on initial recognition of the liability component (see</w:t>
            </w:r>
            <w:r w:rsidR="00725E14">
              <w:t xml:space="preserve"> AASB 132</w:t>
            </w:r>
            <w:r>
              <w:t xml:space="preserve"> Financial Instruments: Presentation</w:t>
            </w:r>
            <w:r>
              <w:rPr>
                <w:i/>
              </w:rPr>
              <w:t>).</w:t>
            </w:r>
          </w:p>
        </w:tc>
      </w:tr>
      <w:tr w:rsidR="00D724FA" w:rsidTr="00A858D8">
        <w:trPr>
          <w:cantSplit/>
        </w:trPr>
        <w:tc>
          <w:tcPr>
            <w:tcW w:w="9208" w:type="dxa"/>
            <w:gridSpan w:val="4"/>
            <w:tcBorders>
              <w:top w:val="nil"/>
            </w:tcBorders>
            <w:vAlign w:val="bottom"/>
          </w:tcPr>
          <w:p w:rsidR="00D724FA" w:rsidRDefault="00D724FA" w:rsidP="00A858D8">
            <w:pPr>
              <w:pStyle w:val="IASBTableArial"/>
            </w:pPr>
          </w:p>
        </w:tc>
      </w:tr>
      <w:tr w:rsidR="00D724FA" w:rsidTr="00A858D8">
        <w:trPr>
          <w:cantSplit/>
        </w:trPr>
        <w:tc>
          <w:tcPr>
            <w:tcW w:w="6114" w:type="dxa"/>
            <w:vMerge w:val="restart"/>
            <w:tcBorders>
              <w:top w:val="nil"/>
            </w:tcBorders>
          </w:tcPr>
          <w:p w:rsidR="00D724FA" w:rsidRDefault="00D724FA" w:rsidP="00A858D8">
            <w:pPr>
              <w:pStyle w:val="IASBTableArial"/>
            </w:pPr>
            <w:r>
              <w:t xml:space="preserve">Adjusted profit attributable to ordinary equity holders </w:t>
            </w:r>
            <w:r>
              <w:br/>
              <w:t>of the parent entity</w:t>
            </w:r>
          </w:p>
        </w:tc>
        <w:tc>
          <w:tcPr>
            <w:tcW w:w="3094" w:type="dxa"/>
            <w:gridSpan w:val="3"/>
            <w:tcBorders>
              <w:top w:val="nil"/>
              <w:left w:val="nil"/>
            </w:tcBorders>
            <w:vAlign w:val="bottom"/>
          </w:tcPr>
          <w:p w:rsidR="00D724FA" w:rsidRDefault="00D724FA" w:rsidP="00A858D8">
            <w:pPr>
              <w:pStyle w:val="IASBTableArial"/>
              <w:jc w:val="right"/>
            </w:pPr>
            <w:r>
              <w:t>CU1,004 + CU10 – CU4</w:t>
            </w:r>
          </w:p>
        </w:tc>
      </w:tr>
      <w:tr w:rsidR="00D724FA" w:rsidTr="00A858D8">
        <w:trPr>
          <w:cantSplit/>
        </w:trPr>
        <w:tc>
          <w:tcPr>
            <w:tcW w:w="6114" w:type="dxa"/>
            <w:vMerge/>
            <w:tcBorders>
              <w:top w:val="nil"/>
            </w:tcBorders>
          </w:tcPr>
          <w:p w:rsidR="00D724FA" w:rsidRDefault="00D724FA" w:rsidP="00A858D8">
            <w:pPr>
              <w:widowControl w:val="0"/>
              <w:autoSpaceDE w:val="0"/>
              <w:autoSpaceDN w:val="0"/>
              <w:adjustRightInd w:val="0"/>
              <w:rPr>
                <w:lang w:eastAsia="en-GB"/>
              </w:rPr>
            </w:pPr>
          </w:p>
        </w:tc>
        <w:tc>
          <w:tcPr>
            <w:tcW w:w="3094" w:type="dxa"/>
            <w:gridSpan w:val="3"/>
            <w:tcBorders>
              <w:top w:val="nil"/>
            </w:tcBorders>
            <w:vAlign w:val="bottom"/>
          </w:tcPr>
          <w:p w:rsidR="00D724FA" w:rsidRDefault="00D724FA" w:rsidP="00A858D8">
            <w:pPr>
              <w:pStyle w:val="IASBTableArial"/>
              <w:jc w:val="right"/>
            </w:pPr>
            <w:r>
              <w:t>= CU1,010</w:t>
            </w:r>
          </w:p>
        </w:tc>
      </w:tr>
      <w:tr w:rsidR="00D724FA" w:rsidTr="00A858D8">
        <w:trPr>
          <w:cantSplit/>
        </w:trPr>
        <w:tc>
          <w:tcPr>
            <w:tcW w:w="6114" w:type="dxa"/>
            <w:tcBorders>
              <w:top w:val="nil"/>
            </w:tcBorders>
            <w:vAlign w:val="bottom"/>
          </w:tcPr>
          <w:p w:rsidR="00D724FA" w:rsidRDefault="00D724FA" w:rsidP="00A858D8">
            <w:pPr>
              <w:pStyle w:val="IASBTableArial"/>
            </w:pPr>
            <w:r>
              <w:t>Number of ordinary shares resulting from conversion of bonds</w:t>
            </w:r>
          </w:p>
        </w:tc>
        <w:tc>
          <w:tcPr>
            <w:tcW w:w="1183" w:type="dxa"/>
            <w:tcBorders>
              <w:top w:val="nil"/>
              <w:left w:val="nil"/>
            </w:tcBorders>
            <w:vAlign w:val="bottom"/>
          </w:tcPr>
          <w:p w:rsidR="00D724FA" w:rsidRDefault="00D724FA" w:rsidP="00A858D8">
            <w:pPr>
              <w:pStyle w:val="IASBTableArial"/>
              <w:jc w:val="right"/>
            </w:pPr>
          </w:p>
        </w:tc>
        <w:tc>
          <w:tcPr>
            <w:tcW w:w="273" w:type="dxa"/>
            <w:tcBorders>
              <w:top w:val="nil"/>
              <w:left w:val="nil"/>
            </w:tcBorders>
            <w:vAlign w:val="bottom"/>
          </w:tcPr>
          <w:p w:rsidR="00D724FA" w:rsidRDefault="00D724FA" w:rsidP="00A858D8">
            <w:pPr>
              <w:pStyle w:val="IASBTableArial"/>
            </w:pPr>
          </w:p>
        </w:tc>
        <w:tc>
          <w:tcPr>
            <w:tcW w:w="1638" w:type="dxa"/>
            <w:tcBorders>
              <w:top w:val="nil"/>
              <w:left w:val="nil"/>
            </w:tcBorders>
            <w:vAlign w:val="bottom"/>
          </w:tcPr>
          <w:p w:rsidR="00D724FA" w:rsidRDefault="00D724FA" w:rsidP="00A858D8">
            <w:pPr>
              <w:pStyle w:val="IASBTableArial"/>
              <w:jc w:val="right"/>
            </w:pPr>
            <w:r>
              <w:t>30</w:t>
            </w:r>
          </w:p>
        </w:tc>
      </w:tr>
      <w:tr w:rsidR="00D724FA" w:rsidTr="00A858D8">
        <w:trPr>
          <w:cantSplit/>
        </w:trPr>
        <w:tc>
          <w:tcPr>
            <w:tcW w:w="6114" w:type="dxa"/>
            <w:tcBorders>
              <w:top w:val="nil"/>
            </w:tcBorders>
            <w:vAlign w:val="bottom"/>
          </w:tcPr>
          <w:p w:rsidR="00D724FA" w:rsidRDefault="00D724FA" w:rsidP="00A858D8">
            <w:pPr>
              <w:pStyle w:val="IASBTableArial"/>
            </w:pPr>
            <w:r>
              <w:t>Number of ordinary shares used to calculate diluted earnings per share</w:t>
            </w:r>
          </w:p>
        </w:tc>
        <w:tc>
          <w:tcPr>
            <w:tcW w:w="3094" w:type="dxa"/>
            <w:gridSpan w:val="3"/>
            <w:tcBorders>
              <w:top w:val="nil"/>
              <w:left w:val="nil"/>
            </w:tcBorders>
            <w:vAlign w:val="bottom"/>
          </w:tcPr>
          <w:p w:rsidR="00D724FA" w:rsidRDefault="00D724FA" w:rsidP="00A858D8">
            <w:pPr>
              <w:pStyle w:val="IASBTableArial"/>
              <w:jc w:val="right"/>
            </w:pPr>
            <w:r>
              <w:t>1,000 + 30 = 1,030</w:t>
            </w:r>
          </w:p>
        </w:tc>
      </w:tr>
      <w:tr w:rsidR="00D724FA" w:rsidTr="00A858D8">
        <w:trPr>
          <w:cantSplit/>
        </w:trPr>
        <w:tc>
          <w:tcPr>
            <w:tcW w:w="6114" w:type="dxa"/>
            <w:vMerge w:val="restart"/>
            <w:tcBorders>
              <w:top w:val="nil"/>
            </w:tcBorders>
          </w:tcPr>
          <w:p w:rsidR="00D724FA" w:rsidRDefault="00D724FA" w:rsidP="00A858D8">
            <w:pPr>
              <w:pStyle w:val="IASBTableArial"/>
            </w:pPr>
            <w:r>
              <w:t>Diluted earnings per share</w:t>
            </w:r>
          </w:p>
        </w:tc>
        <w:tc>
          <w:tcPr>
            <w:tcW w:w="1183" w:type="dxa"/>
            <w:tcBorders>
              <w:top w:val="nil"/>
              <w:left w:val="nil"/>
              <w:bottom w:val="single" w:sz="4" w:space="0" w:color="auto"/>
            </w:tcBorders>
            <w:vAlign w:val="bottom"/>
          </w:tcPr>
          <w:p w:rsidR="00D724FA" w:rsidRDefault="00D724FA" w:rsidP="00A858D8">
            <w:pPr>
              <w:pStyle w:val="IASBTableArial"/>
              <w:jc w:val="center"/>
            </w:pPr>
            <w:r>
              <w:t>CU1,010</w:t>
            </w:r>
          </w:p>
        </w:tc>
        <w:tc>
          <w:tcPr>
            <w:tcW w:w="273" w:type="dxa"/>
            <w:tcBorders>
              <w:top w:val="nil"/>
              <w:left w:val="nil"/>
            </w:tcBorders>
            <w:vAlign w:val="bottom"/>
          </w:tcPr>
          <w:p w:rsidR="00D724FA" w:rsidRDefault="00D724FA" w:rsidP="00A858D8">
            <w:pPr>
              <w:pStyle w:val="IASBTableArial"/>
            </w:pPr>
          </w:p>
        </w:tc>
        <w:tc>
          <w:tcPr>
            <w:tcW w:w="1638" w:type="dxa"/>
            <w:vMerge w:val="restart"/>
            <w:tcBorders>
              <w:top w:val="nil"/>
              <w:left w:val="nil"/>
            </w:tcBorders>
            <w:vAlign w:val="center"/>
          </w:tcPr>
          <w:p w:rsidR="00D724FA" w:rsidRDefault="00D724FA" w:rsidP="00A858D8">
            <w:pPr>
              <w:pStyle w:val="IASBTableArial"/>
            </w:pPr>
            <w:r>
              <w:t>= CU0.98</w:t>
            </w:r>
          </w:p>
        </w:tc>
      </w:tr>
      <w:tr w:rsidR="00D724FA" w:rsidTr="00A858D8">
        <w:trPr>
          <w:cantSplit/>
        </w:trPr>
        <w:tc>
          <w:tcPr>
            <w:tcW w:w="6114" w:type="dxa"/>
            <w:vMerge/>
            <w:tcBorders>
              <w:top w:val="nil"/>
            </w:tcBorders>
          </w:tcPr>
          <w:p w:rsidR="00D724FA" w:rsidRDefault="00D724FA" w:rsidP="00A858D8">
            <w:pPr>
              <w:widowControl w:val="0"/>
              <w:autoSpaceDE w:val="0"/>
              <w:autoSpaceDN w:val="0"/>
              <w:adjustRightInd w:val="0"/>
              <w:rPr>
                <w:lang w:eastAsia="en-GB"/>
              </w:rPr>
            </w:pPr>
          </w:p>
        </w:tc>
        <w:tc>
          <w:tcPr>
            <w:tcW w:w="1183" w:type="dxa"/>
            <w:tcBorders>
              <w:top w:val="nil"/>
            </w:tcBorders>
          </w:tcPr>
          <w:p w:rsidR="00D724FA" w:rsidRDefault="00D724FA" w:rsidP="00A858D8">
            <w:pPr>
              <w:pStyle w:val="IASBTableArial"/>
              <w:jc w:val="center"/>
            </w:pPr>
            <w:r>
              <w:t>1,030</w:t>
            </w:r>
          </w:p>
        </w:tc>
        <w:tc>
          <w:tcPr>
            <w:tcW w:w="273" w:type="dxa"/>
            <w:tcBorders>
              <w:top w:val="nil"/>
              <w:left w:val="nil"/>
            </w:tcBorders>
            <w:vAlign w:val="bottom"/>
          </w:tcPr>
          <w:p w:rsidR="00D724FA" w:rsidRDefault="00D724FA" w:rsidP="00A858D8">
            <w:pPr>
              <w:pStyle w:val="IASBTableArial"/>
            </w:pPr>
          </w:p>
        </w:tc>
        <w:tc>
          <w:tcPr>
            <w:tcW w:w="1638" w:type="dxa"/>
            <w:vMerge/>
            <w:tcBorders>
              <w:top w:val="nil"/>
              <w:left w:val="nil"/>
            </w:tcBorders>
            <w:vAlign w:val="center"/>
          </w:tcPr>
          <w:p w:rsidR="00D724FA" w:rsidRDefault="00D724FA" w:rsidP="00A858D8">
            <w:pPr>
              <w:widowControl w:val="0"/>
              <w:autoSpaceDE w:val="0"/>
              <w:autoSpaceDN w:val="0"/>
              <w:adjustRightInd w:val="0"/>
              <w:rPr>
                <w:lang w:eastAsia="en-GB"/>
              </w:rPr>
            </w:pPr>
          </w:p>
        </w:tc>
      </w:tr>
    </w:tbl>
    <w:p w:rsidR="00D724FA" w:rsidRDefault="00D724FA" w:rsidP="00D724FA">
      <w:pPr>
        <w:pStyle w:val="IASBNormalnpara"/>
      </w:pPr>
    </w:p>
    <w:p w:rsidR="00D724FA" w:rsidRDefault="00D724FA" w:rsidP="00D724FA">
      <w:pPr>
        <w:pStyle w:val="IASBSectionTitle1NonInd"/>
      </w:pPr>
      <w:r>
        <w:t>Example 7 Contingently issuable shares</w:t>
      </w:r>
    </w:p>
    <w:p w:rsidR="00D724FA" w:rsidRDefault="00D724FA" w:rsidP="00D724FA">
      <w:pPr>
        <w:pStyle w:val="IASBNormal"/>
      </w:pPr>
      <w:r>
        <w:rPr>
          <w:b/>
        </w:rPr>
        <w:t>Reference:</w:t>
      </w:r>
      <w:r w:rsidR="00725E14">
        <w:rPr>
          <w:b/>
        </w:rPr>
        <w:t xml:space="preserve"> AASB 133</w:t>
      </w:r>
      <w:r>
        <w:rPr>
          <w:b/>
        </w:rPr>
        <w:t>, paragraphs 19, 24, 36, 37, 41–43 and 52</w:t>
      </w:r>
    </w:p>
    <w:p w:rsidR="00D724FA" w:rsidRDefault="00D724FA" w:rsidP="00D724FA">
      <w:pPr>
        <w:pStyle w:val="IASBNormalnpara"/>
      </w:pPr>
    </w:p>
    <w:tbl>
      <w:tblPr>
        <w:tblW w:w="0" w:type="auto"/>
        <w:tblLayout w:type="fixed"/>
        <w:tblLook w:val="0000" w:firstRow="0" w:lastRow="0" w:firstColumn="0" w:lastColumn="0" w:noHBand="0" w:noVBand="0"/>
        <w:tblCaption w:val="AASB 133 Table 10"/>
      </w:tblPr>
      <w:tblGrid>
        <w:gridCol w:w="4658"/>
        <w:gridCol w:w="4550"/>
      </w:tblGrid>
      <w:tr w:rsidR="00D724FA" w:rsidTr="00A858D8">
        <w:trPr>
          <w:cantSplit/>
        </w:trPr>
        <w:tc>
          <w:tcPr>
            <w:tcW w:w="4658" w:type="dxa"/>
          </w:tcPr>
          <w:p w:rsidR="00D724FA" w:rsidRDefault="00D724FA" w:rsidP="00A858D8">
            <w:pPr>
              <w:pStyle w:val="IASBTableArial"/>
            </w:pPr>
            <w:r>
              <w:t>Ordinary shares outstanding during 20X1</w:t>
            </w:r>
          </w:p>
        </w:tc>
        <w:tc>
          <w:tcPr>
            <w:tcW w:w="4550" w:type="dxa"/>
            <w:tcBorders>
              <w:left w:val="nil"/>
            </w:tcBorders>
          </w:tcPr>
          <w:p w:rsidR="00D724FA" w:rsidRDefault="00D724FA" w:rsidP="00A858D8">
            <w:pPr>
              <w:pStyle w:val="IASBTableArial"/>
            </w:pPr>
            <w:r>
              <w:t>1,000,000 (there were no options, warrants or convertible instruments outstanding during the period)</w:t>
            </w:r>
          </w:p>
        </w:tc>
      </w:tr>
      <w:tr w:rsidR="00D724FA" w:rsidTr="00A858D8">
        <w:trPr>
          <w:cantSplit/>
        </w:trPr>
        <w:tc>
          <w:tcPr>
            <w:tcW w:w="9208" w:type="dxa"/>
            <w:gridSpan w:val="2"/>
            <w:tcBorders>
              <w:top w:val="nil"/>
            </w:tcBorders>
          </w:tcPr>
          <w:p w:rsidR="00D724FA" w:rsidRDefault="00D724FA" w:rsidP="00A858D8">
            <w:pPr>
              <w:pStyle w:val="IASBTableArial"/>
            </w:pPr>
            <w:r>
              <w:t>An agreement related to a recent business combination provides for the issue of additional ordinary shares based on the following conditions:</w:t>
            </w:r>
          </w:p>
        </w:tc>
      </w:tr>
      <w:tr w:rsidR="00D724FA" w:rsidTr="00A858D8">
        <w:trPr>
          <w:cantSplit/>
        </w:trPr>
        <w:tc>
          <w:tcPr>
            <w:tcW w:w="4658" w:type="dxa"/>
            <w:tcBorders>
              <w:top w:val="nil"/>
            </w:tcBorders>
          </w:tcPr>
          <w:p w:rsidR="00D724FA" w:rsidRDefault="00D724FA" w:rsidP="00A858D8">
            <w:pPr>
              <w:pStyle w:val="IASBTableArial"/>
            </w:pPr>
          </w:p>
        </w:tc>
        <w:tc>
          <w:tcPr>
            <w:tcW w:w="4550" w:type="dxa"/>
            <w:tcBorders>
              <w:top w:val="nil"/>
              <w:left w:val="nil"/>
            </w:tcBorders>
          </w:tcPr>
          <w:p w:rsidR="00D724FA" w:rsidRDefault="00D724FA" w:rsidP="00A858D8">
            <w:pPr>
              <w:pStyle w:val="IASBTableArial"/>
            </w:pPr>
            <w:r>
              <w:t>5,000 additional ordinary shares for each new retail site opened during 20X1</w:t>
            </w:r>
          </w:p>
        </w:tc>
      </w:tr>
      <w:tr w:rsidR="00D724FA" w:rsidTr="00A858D8">
        <w:trPr>
          <w:cantSplit/>
        </w:trPr>
        <w:tc>
          <w:tcPr>
            <w:tcW w:w="4658" w:type="dxa"/>
            <w:tcBorders>
              <w:top w:val="nil"/>
            </w:tcBorders>
          </w:tcPr>
          <w:p w:rsidR="00D724FA" w:rsidRDefault="00D724FA" w:rsidP="00A858D8">
            <w:pPr>
              <w:pStyle w:val="IASBTableArial"/>
            </w:pPr>
          </w:p>
        </w:tc>
        <w:tc>
          <w:tcPr>
            <w:tcW w:w="4550" w:type="dxa"/>
            <w:tcBorders>
              <w:top w:val="nil"/>
              <w:left w:val="nil"/>
            </w:tcBorders>
          </w:tcPr>
          <w:p w:rsidR="00D724FA" w:rsidRDefault="00D724FA" w:rsidP="00A858D8">
            <w:pPr>
              <w:pStyle w:val="IASBTableArial"/>
            </w:pPr>
            <w:r>
              <w:t>1,000 additional ordinary shares for each CU1,000 of consolidated profit in excess of CU2,000,000 for the year ended 31 December 20X1</w:t>
            </w:r>
          </w:p>
        </w:tc>
      </w:tr>
      <w:tr w:rsidR="00D724FA" w:rsidTr="00A858D8">
        <w:trPr>
          <w:cantSplit/>
        </w:trPr>
        <w:tc>
          <w:tcPr>
            <w:tcW w:w="4658" w:type="dxa"/>
            <w:tcBorders>
              <w:top w:val="nil"/>
            </w:tcBorders>
          </w:tcPr>
          <w:p w:rsidR="00D724FA" w:rsidRDefault="00D724FA" w:rsidP="00A858D8">
            <w:pPr>
              <w:pStyle w:val="IASBTableArial"/>
            </w:pPr>
            <w:r>
              <w:t>Retail sites opened during the year:</w:t>
            </w:r>
          </w:p>
        </w:tc>
        <w:tc>
          <w:tcPr>
            <w:tcW w:w="4550" w:type="dxa"/>
            <w:tcBorders>
              <w:top w:val="nil"/>
              <w:left w:val="nil"/>
            </w:tcBorders>
          </w:tcPr>
          <w:p w:rsidR="00D724FA" w:rsidRDefault="00D724FA" w:rsidP="00A858D8">
            <w:pPr>
              <w:pStyle w:val="IASBTableArial"/>
            </w:pPr>
            <w:r>
              <w:t>one on 1 May 20X1</w:t>
            </w:r>
          </w:p>
        </w:tc>
      </w:tr>
      <w:tr w:rsidR="00D724FA" w:rsidTr="00A858D8">
        <w:trPr>
          <w:cantSplit/>
        </w:trPr>
        <w:tc>
          <w:tcPr>
            <w:tcW w:w="4658" w:type="dxa"/>
            <w:tcBorders>
              <w:top w:val="nil"/>
            </w:tcBorders>
          </w:tcPr>
          <w:p w:rsidR="00D724FA" w:rsidRDefault="00D724FA" w:rsidP="00A858D8">
            <w:pPr>
              <w:pStyle w:val="IASBTableArial"/>
            </w:pPr>
          </w:p>
        </w:tc>
        <w:tc>
          <w:tcPr>
            <w:tcW w:w="4550" w:type="dxa"/>
            <w:tcBorders>
              <w:top w:val="nil"/>
              <w:left w:val="nil"/>
            </w:tcBorders>
          </w:tcPr>
          <w:p w:rsidR="00D724FA" w:rsidRDefault="00D724FA" w:rsidP="00A858D8">
            <w:pPr>
              <w:pStyle w:val="IASBTableArial"/>
            </w:pPr>
            <w:r>
              <w:t>one on 1 September 20X1</w:t>
            </w:r>
          </w:p>
        </w:tc>
      </w:tr>
      <w:tr w:rsidR="00D724FA" w:rsidTr="00A858D8">
        <w:trPr>
          <w:cantSplit/>
        </w:trPr>
        <w:tc>
          <w:tcPr>
            <w:tcW w:w="4658" w:type="dxa"/>
            <w:tcBorders>
              <w:top w:val="nil"/>
            </w:tcBorders>
          </w:tcPr>
          <w:p w:rsidR="00D724FA" w:rsidRDefault="00D724FA" w:rsidP="00A858D8">
            <w:pPr>
              <w:pStyle w:val="IASBTableArial"/>
            </w:pPr>
            <w:r>
              <w:t>Consolidated year-to-date profit attributable to ordinary equity holders of the parent entity:</w:t>
            </w:r>
          </w:p>
        </w:tc>
        <w:tc>
          <w:tcPr>
            <w:tcW w:w="4550" w:type="dxa"/>
            <w:tcBorders>
              <w:top w:val="nil"/>
              <w:left w:val="nil"/>
            </w:tcBorders>
            <w:vAlign w:val="bottom"/>
          </w:tcPr>
          <w:p w:rsidR="00D724FA" w:rsidRDefault="00D724FA" w:rsidP="00A858D8">
            <w:pPr>
              <w:pStyle w:val="IASBTableArial"/>
            </w:pPr>
            <w:r>
              <w:t>CU1,100,000 as of 31 March 20X1</w:t>
            </w:r>
          </w:p>
        </w:tc>
      </w:tr>
      <w:tr w:rsidR="00D724FA" w:rsidTr="00A858D8">
        <w:trPr>
          <w:cantSplit/>
        </w:trPr>
        <w:tc>
          <w:tcPr>
            <w:tcW w:w="4658" w:type="dxa"/>
            <w:tcBorders>
              <w:top w:val="nil"/>
            </w:tcBorders>
          </w:tcPr>
          <w:p w:rsidR="00D724FA" w:rsidRDefault="00D724FA" w:rsidP="00A858D8">
            <w:pPr>
              <w:pStyle w:val="IASBTableArial"/>
            </w:pPr>
          </w:p>
        </w:tc>
        <w:tc>
          <w:tcPr>
            <w:tcW w:w="4550" w:type="dxa"/>
            <w:tcBorders>
              <w:top w:val="nil"/>
              <w:left w:val="nil"/>
            </w:tcBorders>
          </w:tcPr>
          <w:p w:rsidR="00D724FA" w:rsidRDefault="00D724FA" w:rsidP="00A858D8">
            <w:pPr>
              <w:pStyle w:val="IASBTableArial"/>
            </w:pPr>
            <w:r>
              <w:t>CU2,300,000 as of 30 June 20X1</w:t>
            </w:r>
          </w:p>
        </w:tc>
      </w:tr>
      <w:tr w:rsidR="00D724FA" w:rsidTr="00A858D8">
        <w:trPr>
          <w:cantSplit/>
        </w:trPr>
        <w:tc>
          <w:tcPr>
            <w:tcW w:w="4658" w:type="dxa"/>
            <w:tcBorders>
              <w:top w:val="nil"/>
            </w:tcBorders>
          </w:tcPr>
          <w:p w:rsidR="00D724FA" w:rsidRDefault="00D724FA" w:rsidP="00A858D8">
            <w:pPr>
              <w:pStyle w:val="IASBTableArial"/>
            </w:pPr>
          </w:p>
        </w:tc>
        <w:tc>
          <w:tcPr>
            <w:tcW w:w="4550" w:type="dxa"/>
            <w:tcBorders>
              <w:top w:val="nil"/>
              <w:left w:val="nil"/>
            </w:tcBorders>
          </w:tcPr>
          <w:p w:rsidR="00D724FA" w:rsidRDefault="00D724FA" w:rsidP="00A858D8">
            <w:pPr>
              <w:pStyle w:val="IASBTableArial"/>
            </w:pPr>
            <w:r>
              <w:t>CU1,900,000 as of 30 September 20X1 (including a CU450,000 loss from a discontinued operation)</w:t>
            </w:r>
          </w:p>
        </w:tc>
      </w:tr>
      <w:tr w:rsidR="00D724FA" w:rsidTr="00A858D8">
        <w:trPr>
          <w:cantSplit/>
        </w:trPr>
        <w:tc>
          <w:tcPr>
            <w:tcW w:w="4658" w:type="dxa"/>
            <w:tcBorders>
              <w:top w:val="nil"/>
            </w:tcBorders>
          </w:tcPr>
          <w:p w:rsidR="00D724FA" w:rsidRDefault="00D724FA" w:rsidP="00A858D8">
            <w:pPr>
              <w:pStyle w:val="IASBTableArial"/>
            </w:pPr>
          </w:p>
        </w:tc>
        <w:tc>
          <w:tcPr>
            <w:tcW w:w="4550" w:type="dxa"/>
            <w:tcBorders>
              <w:top w:val="nil"/>
              <w:left w:val="nil"/>
            </w:tcBorders>
          </w:tcPr>
          <w:p w:rsidR="00D724FA" w:rsidRDefault="00D724FA" w:rsidP="00A858D8">
            <w:pPr>
              <w:pStyle w:val="IASBTableArial"/>
            </w:pPr>
            <w:r>
              <w:t>CU2,900,000 as of 31 December 20X1</w:t>
            </w:r>
          </w:p>
        </w:tc>
      </w:tr>
    </w:tbl>
    <w:p w:rsidR="00D724FA" w:rsidRDefault="00D724FA" w:rsidP="00D724FA">
      <w:pPr>
        <w:pStyle w:val="IASBNormalnpara"/>
      </w:pPr>
    </w:p>
    <w:tbl>
      <w:tblPr>
        <w:tblW w:w="0" w:type="auto"/>
        <w:tblLayout w:type="fixed"/>
        <w:tblLook w:val="0000" w:firstRow="0" w:lastRow="0" w:firstColumn="0" w:lastColumn="0" w:noHBand="0" w:noVBand="0"/>
        <w:tblCaption w:val="AASB 133 Table 11"/>
      </w:tblPr>
      <w:tblGrid>
        <w:gridCol w:w="3020"/>
        <w:gridCol w:w="1092"/>
        <w:gridCol w:w="236"/>
        <w:gridCol w:w="1058"/>
        <w:gridCol w:w="236"/>
        <w:gridCol w:w="1058"/>
        <w:gridCol w:w="236"/>
        <w:gridCol w:w="1058"/>
        <w:gridCol w:w="236"/>
        <w:gridCol w:w="1058"/>
      </w:tblGrid>
      <w:tr w:rsidR="00D724FA" w:rsidTr="00A858D8">
        <w:trPr>
          <w:cantSplit/>
          <w:tblHeader/>
        </w:trPr>
        <w:tc>
          <w:tcPr>
            <w:tcW w:w="9208" w:type="dxa"/>
            <w:gridSpan w:val="10"/>
            <w:vAlign w:val="bottom"/>
          </w:tcPr>
          <w:p w:rsidR="00D724FA" w:rsidRDefault="00D724FA" w:rsidP="00A858D8">
            <w:pPr>
              <w:pStyle w:val="IASBTableHeaderArial"/>
            </w:pPr>
            <w:r>
              <w:rPr>
                <w:b/>
              </w:rPr>
              <w:t>Basic earnings per share</w:t>
            </w:r>
          </w:p>
        </w:tc>
      </w:tr>
      <w:tr w:rsidR="00D724FA" w:rsidTr="00A858D8">
        <w:trPr>
          <w:cantSplit/>
          <w:tblHeader/>
        </w:trPr>
        <w:tc>
          <w:tcPr>
            <w:tcW w:w="3020" w:type="dxa"/>
            <w:tcBorders>
              <w:top w:val="nil"/>
            </w:tcBorders>
          </w:tcPr>
          <w:p w:rsidR="00D724FA" w:rsidRDefault="00D724FA" w:rsidP="00A858D8">
            <w:pPr>
              <w:pStyle w:val="IASBTableHeaderArial"/>
            </w:pPr>
          </w:p>
        </w:tc>
        <w:tc>
          <w:tcPr>
            <w:tcW w:w="1092" w:type="dxa"/>
            <w:tcBorders>
              <w:top w:val="nil"/>
              <w:left w:val="nil"/>
            </w:tcBorders>
          </w:tcPr>
          <w:p w:rsidR="00D724FA" w:rsidRDefault="00D724FA" w:rsidP="00A858D8">
            <w:pPr>
              <w:pStyle w:val="IASBTableHeaderArial"/>
              <w:jc w:val="right"/>
            </w:pPr>
            <w:r>
              <w:rPr>
                <w:b/>
                <w:i/>
                <w:sz w:val="15"/>
              </w:rPr>
              <w:t>First quarter</w:t>
            </w:r>
          </w:p>
        </w:tc>
        <w:tc>
          <w:tcPr>
            <w:tcW w:w="216" w:type="dxa"/>
            <w:tcBorders>
              <w:top w:val="nil"/>
              <w:left w:val="nil"/>
            </w:tcBorders>
            <w:vAlign w:val="bottom"/>
          </w:tcPr>
          <w:p w:rsidR="00D724FA" w:rsidRDefault="00D724FA" w:rsidP="00A858D8">
            <w:pPr>
              <w:pStyle w:val="IASBTableHeaderArial"/>
            </w:pPr>
          </w:p>
        </w:tc>
        <w:tc>
          <w:tcPr>
            <w:tcW w:w="1058" w:type="dxa"/>
            <w:tcBorders>
              <w:top w:val="nil"/>
              <w:left w:val="nil"/>
            </w:tcBorders>
          </w:tcPr>
          <w:p w:rsidR="00D724FA" w:rsidRDefault="00D724FA" w:rsidP="00A858D8">
            <w:pPr>
              <w:pStyle w:val="IASBTableHeaderArial"/>
              <w:jc w:val="right"/>
            </w:pPr>
            <w:r>
              <w:rPr>
                <w:b/>
                <w:i/>
                <w:sz w:val="15"/>
              </w:rPr>
              <w:t>Second quarter</w:t>
            </w:r>
          </w:p>
        </w:tc>
        <w:tc>
          <w:tcPr>
            <w:tcW w:w="216" w:type="dxa"/>
            <w:tcBorders>
              <w:top w:val="nil"/>
              <w:left w:val="nil"/>
            </w:tcBorders>
            <w:vAlign w:val="bottom"/>
          </w:tcPr>
          <w:p w:rsidR="00D724FA" w:rsidRDefault="00D724FA" w:rsidP="00A858D8">
            <w:pPr>
              <w:pStyle w:val="IASBTableHeaderArial"/>
            </w:pPr>
          </w:p>
        </w:tc>
        <w:tc>
          <w:tcPr>
            <w:tcW w:w="1058" w:type="dxa"/>
            <w:tcBorders>
              <w:top w:val="nil"/>
              <w:left w:val="nil"/>
            </w:tcBorders>
          </w:tcPr>
          <w:p w:rsidR="00D724FA" w:rsidRDefault="00D724FA" w:rsidP="00A858D8">
            <w:pPr>
              <w:pStyle w:val="IASBTableHeaderArial"/>
              <w:jc w:val="right"/>
            </w:pPr>
            <w:r>
              <w:rPr>
                <w:b/>
                <w:i/>
                <w:sz w:val="15"/>
              </w:rPr>
              <w:t>Third quarter</w:t>
            </w:r>
          </w:p>
        </w:tc>
        <w:tc>
          <w:tcPr>
            <w:tcW w:w="216" w:type="dxa"/>
            <w:tcBorders>
              <w:top w:val="nil"/>
              <w:left w:val="nil"/>
            </w:tcBorders>
            <w:vAlign w:val="bottom"/>
          </w:tcPr>
          <w:p w:rsidR="00D724FA" w:rsidRDefault="00D724FA" w:rsidP="00A858D8">
            <w:pPr>
              <w:pStyle w:val="IASBTableHeaderArial"/>
            </w:pPr>
          </w:p>
        </w:tc>
        <w:tc>
          <w:tcPr>
            <w:tcW w:w="1058" w:type="dxa"/>
            <w:tcBorders>
              <w:top w:val="nil"/>
              <w:left w:val="nil"/>
            </w:tcBorders>
          </w:tcPr>
          <w:p w:rsidR="00D724FA" w:rsidRDefault="00D724FA" w:rsidP="00A858D8">
            <w:pPr>
              <w:pStyle w:val="IASBTableHeaderArial"/>
              <w:jc w:val="right"/>
            </w:pPr>
            <w:r>
              <w:rPr>
                <w:b/>
                <w:i/>
                <w:sz w:val="15"/>
              </w:rPr>
              <w:t>Fourth quarter</w:t>
            </w:r>
          </w:p>
        </w:tc>
        <w:tc>
          <w:tcPr>
            <w:tcW w:w="216" w:type="dxa"/>
            <w:tcBorders>
              <w:top w:val="nil"/>
              <w:left w:val="nil"/>
            </w:tcBorders>
            <w:vAlign w:val="bottom"/>
          </w:tcPr>
          <w:p w:rsidR="00D724FA" w:rsidRDefault="00D724FA" w:rsidP="00A858D8">
            <w:pPr>
              <w:pStyle w:val="IASBTableHeaderArial"/>
            </w:pPr>
          </w:p>
        </w:tc>
        <w:tc>
          <w:tcPr>
            <w:tcW w:w="1058" w:type="dxa"/>
            <w:tcBorders>
              <w:top w:val="nil"/>
              <w:left w:val="nil"/>
            </w:tcBorders>
          </w:tcPr>
          <w:p w:rsidR="00D724FA" w:rsidRDefault="00D724FA" w:rsidP="00A858D8">
            <w:pPr>
              <w:pStyle w:val="IASBTableHeaderArial"/>
              <w:jc w:val="right"/>
            </w:pPr>
            <w:r>
              <w:rPr>
                <w:b/>
                <w:i/>
                <w:sz w:val="15"/>
              </w:rPr>
              <w:t>Full year</w:t>
            </w:r>
          </w:p>
        </w:tc>
      </w:tr>
      <w:tr w:rsidR="00D724FA" w:rsidTr="00A858D8">
        <w:trPr>
          <w:cantSplit/>
        </w:trPr>
        <w:tc>
          <w:tcPr>
            <w:tcW w:w="3020" w:type="dxa"/>
            <w:tcBorders>
              <w:top w:val="nil"/>
            </w:tcBorders>
          </w:tcPr>
          <w:p w:rsidR="00D724FA" w:rsidRDefault="00D724FA" w:rsidP="00A858D8">
            <w:pPr>
              <w:pStyle w:val="IASBTableArial"/>
            </w:pPr>
            <w:r>
              <w:rPr>
                <w:sz w:val="15"/>
              </w:rPr>
              <w:t>Numerator (CU)</w:t>
            </w:r>
          </w:p>
        </w:tc>
        <w:tc>
          <w:tcPr>
            <w:tcW w:w="1092" w:type="dxa"/>
            <w:tcBorders>
              <w:top w:val="nil"/>
              <w:left w:val="nil"/>
            </w:tcBorders>
            <w:vAlign w:val="bottom"/>
          </w:tcPr>
          <w:p w:rsidR="00D724FA" w:rsidRDefault="00D724FA" w:rsidP="00A858D8">
            <w:pPr>
              <w:pStyle w:val="IASBTableArial"/>
              <w:jc w:val="right"/>
            </w:pPr>
            <w:r>
              <w:rPr>
                <w:sz w:val="15"/>
              </w:rPr>
              <w:t>1,100,000</w:t>
            </w:r>
          </w:p>
        </w:tc>
        <w:tc>
          <w:tcPr>
            <w:tcW w:w="216" w:type="dxa"/>
            <w:tcBorders>
              <w:top w:val="nil"/>
              <w:left w:val="nil"/>
            </w:tcBorders>
            <w:vAlign w:val="bottom"/>
          </w:tcPr>
          <w:p w:rsidR="00D724FA" w:rsidRDefault="00D724FA" w:rsidP="00A858D8">
            <w:pPr>
              <w:pStyle w:val="IASBTableArial"/>
            </w:pPr>
          </w:p>
        </w:tc>
        <w:tc>
          <w:tcPr>
            <w:tcW w:w="1058" w:type="dxa"/>
            <w:tcBorders>
              <w:top w:val="nil"/>
              <w:left w:val="nil"/>
            </w:tcBorders>
            <w:vAlign w:val="bottom"/>
          </w:tcPr>
          <w:p w:rsidR="00D724FA" w:rsidRDefault="00D724FA" w:rsidP="00A858D8">
            <w:pPr>
              <w:pStyle w:val="IASBTableArial"/>
              <w:jc w:val="right"/>
            </w:pPr>
            <w:r>
              <w:rPr>
                <w:sz w:val="15"/>
              </w:rPr>
              <w:t>1,200,000</w:t>
            </w:r>
          </w:p>
        </w:tc>
        <w:tc>
          <w:tcPr>
            <w:tcW w:w="216" w:type="dxa"/>
            <w:tcBorders>
              <w:top w:val="nil"/>
              <w:left w:val="nil"/>
            </w:tcBorders>
            <w:vAlign w:val="bottom"/>
          </w:tcPr>
          <w:p w:rsidR="00D724FA" w:rsidRDefault="00D724FA" w:rsidP="00A858D8">
            <w:pPr>
              <w:pStyle w:val="IASBTableArial"/>
            </w:pPr>
          </w:p>
        </w:tc>
        <w:tc>
          <w:tcPr>
            <w:tcW w:w="1058" w:type="dxa"/>
            <w:tcBorders>
              <w:top w:val="nil"/>
              <w:left w:val="nil"/>
            </w:tcBorders>
            <w:vAlign w:val="bottom"/>
          </w:tcPr>
          <w:p w:rsidR="00D724FA" w:rsidRDefault="00D724FA" w:rsidP="00A858D8">
            <w:pPr>
              <w:pStyle w:val="IASBTableArial"/>
              <w:jc w:val="right"/>
            </w:pPr>
            <w:r>
              <w:rPr>
                <w:sz w:val="15"/>
              </w:rPr>
              <w:t>(400,000)</w:t>
            </w:r>
          </w:p>
        </w:tc>
        <w:tc>
          <w:tcPr>
            <w:tcW w:w="216" w:type="dxa"/>
            <w:tcBorders>
              <w:top w:val="nil"/>
              <w:left w:val="nil"/>
            </w:tcBorders>
            <w:vAlign w:val="bottom"/>
          </w:tcPr>
          <w:p w:rsidR="00D724FA" w:rsidRDefault="00D724FA" w:rsidP="00A858D8">
            <w:pPr>
              <w:pStyle w:val="IASBTableArial"/>
            </w:pPr>
          </w:p>
        </w:tc>
        <w:tc>
          <w:tcPr>
            <w:tcW w:w="1058" w:type="dxa"/>
            <w:tcBorders>
              <w:top w:val="nil"/>
              <w:left w:val="nil"/>
            </w:tcBorders>
            <w:vAlign w:val="bottom"/>
          </w:tcPr>
          <w:p w:rsidR="00D724FA" w:rsidRDefault="00D724FA" w:rsidP="00A858D8">
            <w:pPr>
              <w:pStyle w:val="IASBTableArial"/>
              <w:jc w:val="right"/>
            </w:pPr>
            <w:r>
              <w:rPr>
                <w:sz w:val="15"/>
              </w:rPr>
              <w:t>1,000,000</w:t>
            </w:r>
          </w:p>
        </w:tc>
        <w:tc>
          <w:tcPr>
            <w:tcW w:w="216" w:type="dxa"/>
            <w:tcBorders>
              <w:top w:val="nil"/>
              <w:left w:val="nil"/>
            </w:tcBorders>
            <w:vAlign w:val="bottom"/>
          </w:tcPr>
          <w:p w:rsidR="00D724FA" w:rsidRDefault="00D724FA" w:rsidP="00A858D8">
            <w:pPr>
              <w:pStyle w:val="IASBTableArial"/>
            </w:pPr>
          </w:p>
        </w:tc>
        <w:tc>
          <w:tcPr>
            <w:tcW w:w="1058" w:type="dxa"/>
            <w:tcBorders>
              <w:top w:val="nil"/>
              <w:left w:val="nil"/>
            </w:tcBorders>
            <w:vAlign w:val="bottom"/>
          </w:tcPr>
          <w:p w:rsidR="00D724FA" w:rsidRDefault="00D724FA" w:rsidP="00A858D8">
            <w:pPr>
              <w:pStyle w:val="IASBTableArial"/>
              <w:jc w:val="right"/>
            </w:pPr>
            <w:r>
              <w:rPr>
                <w:sz w:val="15"/>
              </w:rPr>
              <w:t>2,900,000</w:t>
            </w:r>
          </w:p>
        </w:tc>
      </w:tr>
      <w:tr w:rsidR="00D724FA" w:rsidTr="00A858D8">
        <w:trPr>
          <w:cantSplit/>
        </w:trPr>
        <w:tc>
          <w:tcPr>
            <w:tcW w:w="3020" w:type="dxa"/>
            <w:tcBorders>
              <w:top w:val="nil"/>
            </w:tcBorders>
          </w:tcPr>
          <w:p w:rsidR="00D724FA" w:rsidRDefault="00D724FA" w:rsidP="00A858D8">
            <w:pPr>
              <w:pStyle w:val="IASBTableArial"/>
            </w:pPr>
            <w:r>
              <w:rPr>
                <w:sz w:val="15"/>
              </w:rPr>
              <w:t>Denominator:</w:t>
            </w:r>
          </w:p>
        </w:tc>
        <w:tc>
          <w:tcPr>
            <w:tcW w:w="1092" w:type="dxa"/>
            <w:tcBorders>
              <w:top w:val="nil"/>
              <w:left w:val="nil"/>
            </w:tcBorders>
            <w:vAlign w:val="bottom"/>
          </w:tcPr>
          <w:p w:rsidR="00D724FA" w:rsidRDefault="00D724FA" w:rsidP="00A858D8">
            <w:pPr>
              <w:pStyle w:val="IASBTableArial"/>
            </w:pPr>
          </w:p>
        </w:tc>
        <w:tc>
          <w:tcPr>
            <w:tcW w:w="216" w:type="dxa"/>
            <w:tcBorders>
              <w:top w:val="nil"/>
              <w:left w:val="nil"/>
            </w:tcBorders>
            <w:vAlign w:val="bottom"/>
          </w:tcPr>
          <w:p w:rsidR="00D724FA" w:rsidRDefault="00D724FA" w:rsidP="00A858D8">
            <w:pPr>
              <w:pStyle w:val="IASBTableArial"/>
            </w:pPr>
          </w:p>
        </w:tc>
        <w:tc>
          <w:tcPr>
            <w:tcW w:w="1058" w:type="dxa"/>
            <w:tcBorders>
              <w:top w:val="nil"/>
              <w:left w:val="nil"/>
            </w:tcBorders>
            <w:vAlign w:val="bottom"/>
          </w:tcPr>
          <w:p w:rsidR="00D724FA" w:rsidRDefault="00D724FA" w:rsidP="00A858D8">
            <w:pPr>
              <w:pStyle w:val="IASBTableArial"/>
            </w:pPr>
          </w:p>
        </w:tc>
        <w:tc>
          <w:tcPr>
            <w:tcW w:w="216" w:type="dxa"/>
            <w:tcBorders>
              <w:top w:val="nil"/>
              <w:left w:val="nil"/>
            </w:tcBorders>
            <w:vAlign w:val="bottom"/>
          </w:tcPr>
          <w:p w:rsidR="00D724FA" w:rsidRDefault="00D724FA" w:rsidP="00A858D8">
            <w:pPr>
              <w:pStyle w:val="IASBTableArial"/>
            </w:pPr>
          </w:p>
        </w:tc>
        <w:tc>
          <w:tcPr>
            <w:tcW w:w="1058" w:type="dxa"/>
            <w:tcBorders>
              <w:top w:val="nil"/>
              <w:left w:val="nil"/>
            </w:tcBorders>
            <w:vAlign w:val="bottom"/>
          </w:tcPr>
          <w:p w:rsidR="00D724FA" w:rsidRDefault="00D724FA" w:rsidP="00A858D8">
            <w:pPr>
              <w:pStyle w:val="IASBTableArial"/>
            </w:pPr>
          </w:p>
        </w:tc>
        <w:tc>
          <w:tcPr>
            <w:tcW w:w="216" w:type="dxa"/>
            <w:tcBorders>
              <w:top w:val="nil"/>
              <w:left w:val="nil"/>
            </w:tcBorders>
            <w:vAlign w:val="bottom"/>
          </w:tcPr>
          <w:p w:rsidR="00D724FA" w:rsidRDefault="00D724FA" w:rsidP="00A858D8">
            <w:pPr>
              <w:pStyle w:val="IASBTableArial"/>
            </w:pPr>
          </w:p>
        </w:tc>
        <w:tc>
          <w:tcPr>
            <w:tcW w:w="1058" w:type="dxa"/>
            <w:tcBorders>
              <w:top w:val="nil"/>
              <w:left w:val="nil"/>
            </w:tcBorders>
            <w:vAlign w:val="bottom"/>
          </w:tcPr>
          <w:p w:rsidR="00D724FA" w:rsidRDefault="00D724FA" w:rsidP="00A858D8">
            <w:pPr>
              <w:pStyle w:val="IASBTableArial"/>
            </w:pPr>
          </w:p>
        </w:tc>
        <w:tc>
          <w:tcPr>
            <w:tcW w:w="216" w:type="dxa"/>
            <w:tcBorders>
              <w:top w:val="nil"/>
              <w:left w:val="nil"/>
            </w:tcBorders>
            <w:vAlign w:val="bottom"/>
          </w:tcPr>
          <w:p w:rsidR="00D724FA" w:rsidRDefault="00D724FA" w:rsidP="00A858D8">
            <w:pPr>
              <w:pStyle w:val="IASBTableArial"/>
            </w:pPr>
          </w:p>
        </w:tc>
        <w:tc>
          <w:tcPr>
            <w:tcW w:w="1058" w:type="dxa"/>
            <w:tcBorders>
              <w:top w:val="nil"/>
              <w:left w:val="nil"/>
            </w:tcBorders>
            <w:vAlign w:val="bottom"/>
          </w:tcPr>
          <w:p w:rsidR="00D724FA" w:rsidRDefault="00D724FA" w:rsidP="00A858D8">
            <w:pPr>
              <w:pStyle w:val="IASBTableArial"/>
            </w:pPr>
          </w:p>
        </w:tc>
      </w:tr>
      <w:tr w:rsidR="00D724FA" w:rsidTr="00A858D8">
        <w:trPr>
          <w:cantSplit/>
        </w:trPr>
        <w:tc>
          <w:tcPr>
            <w:tcW w:w="3020" w:type="dxa"/>
            <w:tcBorders>
              <w:top w:val="nil"/>
            </w:tcBorders>
          </w:tcPr>
          <w:p w:rsidR="00D724FA" w:rsidRDefault="00D724FA" w:rsidP="00A858D8">
            <w:pPr>
              <w:pStyle w:val="IASBTableArial"/>
            </w:pPr>
            <w:r>
              <w:rPr>
                <w:sz w:val="15"/>
              </w:rPr>
              <w:t>Ordinary shares outstanding</w:t>
            </w:r>
          </w:p>
        </w:tc>
        <w:tc>
          <w:tcPr>
            <w:tcW w:w="1092" w:type="dxa"/>
            <w:tcBorders>
              <w:top w:val="nil"/>
              <w:left w:val="nil"/>
            </w:tcBorders>
            <w:vAlign w:val="bottom"/>
          </w:tcPr>
          <w:p w:rsidR="00D724FA" w:rsidRDefault="00D724FA" w:rsidP="00A858D8">
            <w:pPr>
              <w:pStyle w:val="IASBTableArial"/>
              <w:jc w:val="right"/>
            </w:pPr>
            <w:r>
              <w:rPr>
                <w:sz w:val="15"/>
              </w:rPr>
              <w:t>1,000,000</w:t>
            </w:r>
          </w:p>
        </w:tc>
        <w:tc>
          <w:tcPr>
            <w:tcW w:w="216" w:type="dxa"/>
            <w:tcBorders>
              <w:top w:val="nil"/>
              <w:left w:val="nil"/>
            </w:tcBorders>
            <w:vAlign w:val="bottom"/>
          </w:tcPr>
          <w:p w:rsidR="00D724FA" w:rsidRDefault="00D724FA" w:rsidP="00A858D8">
            <w:pPr>
              <w:pStyle w:val="IASBTableArial"/>
            </w:pPr>
          </w:p>
        </w:tc>
        <w:tc>
          <w:tcPr>
            <w:tcW w:w="1058" w:type="dxa"/>
            <w:tcBorders>
              <w:top w:val="nil"/>
              <w:left w:val="nil"/>
            </w:tcBorders>
            <w:vAlign w:val="bottom"/>
          </w:tcPr>
          <w:p w:rsidR="00D724FA" w:rsidRDefault="00D724FA" w:rsidP="00A858D8">
            <w:pPr>
              <w:pStyle w:val="IASBTableArial"/>
              <w:jc w:val="right"/>
            </w:pPr>
            <w:r>
              <w:rPr>
                <w:sz w:val="15"/>
              </w:rPr>
              <w:t>1,000,000</w:t>
            </w:r>
          </w:p>
        </w:tc>
        <w:tc>
          <w:tcPr>
            <w:tcW w:w="216" w:type="dxa"/>
            <w:tcBorders>
              <w:top w:val="nil"/>
              <w:left w:val="nil"/>
            </w:tcBorders>
            <w:vAlign w:val="bottom"/>
          </w:tcPr>
          <w:p w:rsidR="00D724FA" w:rsidRDefault="00D724FA" w:rsidP="00A858D8">
            <w:pPr>
              <w:pStyle w:val="IASBTableArial"/>
            </w:pPr>
          </w:p>
        </w:tc>
        <w:tc>
          <w:tcPr>
            <w:tcW w:w="1058" w:type="dxa"/>
            <w:tcBorders>
              <w:top w:val="nil"/>
              <w:left w:val="nil"/>
            </w:tcBorders>
            <w:vAlign w:val="bottom"/>
          </w:tcPr>
          <w:p w:rsidR="00D724FA" w:rsidRDefault="00D724FA" w:rsidP="00A858D8">
            <w:pPr>
              <w:pStyle w:val="IASBTableArial"/>
              <w:jc w:val="right"/>
            </w:pPr>
            <w:r>
              <w:rPr>
                <w:sz w:val="15"/>
              </w:rPr>
              <w:t>1,000,000</w:t>
            </w:r>
          </w:p>
        </w:tc>
        <w:tc>
          <w:tcPr>
            <w:tcW w:w="216" w:type="dxa"/>
            <w:tcBorders>
              <w:top w:val="nil"/>
              <w:left w:val="nil"/>
            </w:tcBorders>
            <w:vAlign w:val="bottom"/>
          </w:tcPr>
          <w:p w:rsidR="00D724FA" w:rsidRDefault="00D724FA" w:rsidP="00A858D8">
            <w:pPr>
              <w:pStyle w:val="IASBTableArial"/>
              <w:jc w:val="right"/>
            </w:pPr>
          </w:p>
        </w:tc>
        <w:tc>
          <w:tcPr>
            <w:tcW w:w="1058" w:type="dxa"/>
            <w:tcBorders>
              <w:top w:val="nil"/>
              <w:left w:val="nil"/>
            </w:tcBorders>
            <w:vAlign w:val="bottom"/>
          </w:tcPr>
          <w:p w:rsidR="00D724FA" w:rsidRDefault="00D724FA" w:rsidP="00A858D8">
            <w:pPr>
              <w:pStyle w:val="IASBTableArial"/>
              <w:jc w:val="right"/>
            </w:pPr>
            <w:r>
              <w:rPr>
                <w:sz w:val="15"/>
              </w:rPr>
              <w:t>1,000,000</w:t>
            </w:r>
          </w:p>
        </w:tc>
        <w:tc>
          <w:tcPr>
            <w:tcW w:w="216" w:type="dxa"/>
            <w:tcBorders>
              <w:top w:val="nil"/>
              <w:left w:val="nil"/>
            </w:tcBorders>
            <w:vAlign w:val="bottom"/>
          </w:tcPr>
          <w:p w:rsidR="00D724FA" w:rsidRDefault="00D724FA" w:rsidP="00A858D8">
            <w:pPr>
              <w:pStyle w:val="IASBTableArial"/>
            </w:pPr>
          </w:p>
        </w:tc>
        <w:tc>
          <w:tcPr>
            <w:tcW w:w="1058" w:type="dxa"/>
            <w:tcBorders>
              <w:top w:val="nil"/>
              <w:left w:val="nil"/>
            </w:tcBorders>
            <w:vAlign w:val="bottom"/>
          </w:tcPr>
          <w:p w:rsidR="00D724FA" w:rsidRDefault="00D724FA" w:rsidP="00A858D8">
            <w:pPr>
              <w:pStyle w:val="IASBTableArial"/>
              <w:jc w:val="right"/>
            </w:pPr>
            <w:r>
              <w:rPr>
                <w:sz w:val="15"/>
              </w:rPr>
              <w:t>1,000,000</w:t>
            </w:r>
          </w:p>
        </w:tc>
      </w:tr>
      <w:tr w:rsidR="00D724FA" w:rsidTr="00A858D8">
        <w:trPr>
          <w:cantSplit/>
        </w:trPr>
        <w:tc>
          <w:tcPr>
            <w:tcW w:w="3020" w:type="dxa"/>
            <w:tcBorders>
              <w:top w:val="nil"/>
            </w:tcBorders>
          </w:tcPr>
          <w:p w:rsidR="00D724FA" w:rsidRDefault="00D724FA" w:rsidP="00A858D8">
            <w:pPr>
              <w:pStyle w:val="IASBTableArial"/>
            </w:pPr>
            <w:r>
              <w:rPr>
                <w:sz w:val="15"/>
              </w:rPr>
              <w:t>Retail site contingency</w:t>
            </w:r>
          </w:p>
        </w:tc>
        <w:tc>
          <w:tcPr>
            <w:tcW w:w="1092" w:type="dxa"/>
            <w:tcBorders>
              <w:top w:val="nil"/>
              <w:left w:val="nil"/>
            </w:tcBorders>
            <w:vAlign w:val="bottom"/>
          </w:tcPr>
          <w:p w:rsidR="00D724FA" w:rsidRDefault="00D724FA" w:rsidP="00A858D8">
            <w:pPr>
              <w:pStyle w:val="IASBTableArial"/>
              <w:jc w:val="right"/>
            </w:pPr>
            <w:r>
              <w:rPr>
                <w:sz w:val="15"/>
              </w:rPr>
              <w:t>–</w:t>
            </w:r>
          </w:p>
        </w:tc>
        <w:tc>
          <w:tcPr>
            <w:tcW w:w="216" w:type="dxa"/>
            <w:tcBorders>
              <w:top w:val="nil"/>
              <w:left w:val="nil"/>
            </w:tcBorders>
            <w:vAlign w:val="bottom"/>
          </w:tcPr>
          <w:p w:rsidR="00D724FA" w:rsidRDefault="00D724FA" w:rsidP="00A858D8">
            <w:pPr>
              <w:pStyle w:val="IASBTableArial"/>
            </w:pPr>
          </w:p>
        </w:tc>
        <w:tc>
          <w:tcPr>
            <w:tcW w:w="1058" w:type="dxa"/>
            <w:tcBorders>
              <w:top w:val="nil"/>
              <w:left w:val="nil"/>
            </w:tcBorders>
            <w:vAlign w:val="bottom"/>
          </w:tcPr>
          <w:p w:rsidR="00D724FA" w:rsidRDefault="00D724FA" w:rsidP="00A858D8">
            <w:pPr>
              <w:pStyle w:val="IASBTableArial"/>
              <w:jc w:val="right"/>
            </w:pPr>
            <w:r>
              <w:rPr>
                <w:sz w:val="15"/>
              </w:rPr>
              <w:t>3,333</w:t>
            </w:r>
            <w:r>
              <w:rPr>
                <w:vertAlign w:val="superscript"/>
              </w:rPr>
              <w:t>(a)</w:t>
            </w:r>
          </w:p>
        </w:tc>
        <w:tc>
          <w:tcPr>
            <w:tcW w:w="216" w:type="dxa"/>
            <w:tcBorders>
              <w:top w:val="nil"/>
              <w:left w:val="nil"/>
            </w:tcBorders>
          </w:tcPr>
          <w:p w:rsidR="00D724FA" w:rsidRDefault="00D724FA" w:rsidP="00A858D8">
            <w:pPr>
              <w:pStyle w:val="IASBTableArial"/>
            </w:pPr>
          </w:p>
        </w:tc>
        <w:tc>
          <w:tcPr>
            <w:tcW w:w="1058" w:type="dxa"/>
            <w:tcBorders>
              <w:top w:val="nil"/>
              <w:left w:val="nil"/>
            </w:tcBorders>
            <w:vAlign w:val="bottom"/>
          </w:tcPr>
          <w:p w:rsidR="00D724FA" w:rsidRDefault="00D724FA" w:rsidP="00A858D8">
            <w:pPr>
              <w:pStyle w:val="IASBTableArial"/>
              <w:jc w:val="right"/>
            </w:pPr>
            <w:r>
              <w:rPr>
                <w:sz w:val="15"/>
              </w:rPr>
              <w:t>6,667</w:t>
            </w:r>
            <w:r>
              <w:rPr>
                <w:vertAlign w:val="superscript"/>
              </w:rPr>
              <w:t>(b)</w:t>
            </w:r>
          </w:p>
        </w:tc>
        <w:tc>
          <w:tcPr>
            <w:tcW w:w="216" w:type="dxa"/>
            <w:tcBorders>
              <w:top w:val="nil"/>
              <w:left w:val="nil"/>
            </w:tcBorders>
          </w:tcPr>
          <w:p w:rsidR="00D724FA" w:rsidRDefault="00D724FA" w:rsidP="00A858D8">
            <w:pPr>
              <w:pStyle w:val="IASBTableArial"/>
            </w:pPr>
          </w:p>
        </w:tc>
        <w:tc>
          <w:tcPr>
            <w:tcW w:w="1058" w:type="dxa"/>
            <w:tcBorders>
              <w:top w:val="nil"/>
              <w:left w:val="nil"/>
            </w:tcBorders>
            <w:vAlign w:val="bottom"/>
          </w:tcPr>
          <w:p w:rsidR="00D724FA" w:rsidRDefault="00D724FA" w:rsidP="00A858D8">
            <w:pPr>
              <w:pStyle w:val="IASBTableArial"/>
              <w:jc w:val="right"/>
            </w:pPr>
            <w:r>
              <w:rPr>
                <w:sz w:val="15"/>
              </w:rPr>
              <w:t>10,000</w:t>
            </w:r>
          </w:p>
        </w:tc>
        <w:tc>
          <w:tcPr>
            <w:tcW w:w="216" w:type="dxa"/>
            <w:tcBorders>
              <w:top w:val="nil"/>
              <w:left w:val="nil"/>
            </w:tcBorders>
            <w:vAlign w:val="bottom"/>
          </w:tcPr>
          <w:p w:rsidR="00D724FA" w:rsidRDefault="00D724FA" w:rsidP="00A858D8">
            <w:pPr>
              <w:pStyle w:val="IASBTableArial"/>
            </w:pPr>
          </w:p>
        </w:tc>
        <w:tc>
          <w:tcPr>
            <w:tcW w:w="1058" w:type="dxa"/>
            <w:tcBorders>
              <w:top w:val="nil"/>
              <w:left w:val="nil"/>
            </w:tcBorders>
            <w:vAlign w:val="bottom"/>
          </w:tcPr>
          <w:p w:rsidR="00D724FA" w:rsidRDefault="00D724FA" w:rsidP="00A858D8">
            <w:pPr>
              <w:pStyle w:val="IASBTableArial"/>
              <w:jc w:val="right"/>
            </w:pPr>
            <w:r>
              <w:rPr>
                <w:sz w:val="15"/>
              </w:rPr>
              <w:t>5,000</w:t>
            </w:r>
            <w:r>
              <w:rPr>
                <w:vertAlign w:val="superscript"/>
              </w:rPr>
              <w:t>(c)</w:t>
            </w:r>
          </w:p>
        </w:tc>
      </w:tr>
      <w:tr w:rsidR="00D724FA" w:rsidTr="00A858D8">
        <w:trPr>
          <w:cantSplit/>
        </w:trPr>
        <w:tc>
          <w:tcPr>
            <w:tcW w:w="3020" w:type="dxa"/>
            <w:tcBorders>
              <w:top w:val="nil"/>
            </w:tcBorders>
          </w:tcPr>
          <w:p w:rsidR="00D724FA" w:rsidRDefault="00D724FA" w:rsidP="00A858D8">
            <w:pPr>
              <w:pStyle w:val="IASBTableArial"/>
            </w:pPr>
            <w:r>
              <w:rPr>
                <w:sz w:val="15"/>
              </w:rPr>
              <w:t>Earnings contingency</w:t>
            </w:r>
            <w:r>
              <w:rPr>
                <w:vertAlign w:val="superscript"/>
              </w:rPr>
              <w:t>(d)</w:t>
            </w:r>
          </w:p>
        </w:tc>
        <w:tc>
          <w:tcPr>
            <w:tcW w:w="1092" w:type="dxa"/>
            <w:tcBorders>
              <w:top w:val="nil"/>
              <w:left w:val="nil"/>
              <w:bottom w:val="single" w:sz="4" w:space="0" w:color="auto"/>
            </w:tcBorders>
            <w:vAlign w:val="bottom"/>
          </w:tcPr>
          <w:p w:rsidR="00D724FA" w:rsidRDefault="00D724FA" w:rsidP="00A858D8">
            <w:pPr>
              <w:pStyle w:val="IASBTableArial"/>
              <w:jc w:val="right"/>
            </w:pPr>
            <w:r>
              <w:rPr>
                <w:sz w:val="15"/>
              </w:rPr>
              <w:t>–</w:t>
            </w:r>
          </w:p>
        </w:tc>
        <w:tc>
          <w:tcPr>
            <w:tcW w:w="216" w:type="dxa"/>
            <w:tcBorders>
              <w:top w:val="nil"/>
              <w:left w:val="nil"/>
            </w:tcBorders>
            <w:vAlign w:val="bottom"/>
          </w:tcPr>
          <w:p w:rsidR="00D724FA" w:rsidRDefault="00D724FA" w:rsidP="00A858D8">
            <w:pPr>
              <w:pStyle w:val="IASBTableArial"/>
            </w:pPr>
          </w:p>
        </w:tc>
        <w:tc>
          <w:tcPr>
            <w:tcW w:w="1058" w:type="dxa"/>
            <w:tcBorders>
              <w:top w:val="nil"/>
              <w:left w:val="nil"/>
              <w:bottom w:val="single" w:sz="4" w:space="0" w:color="auto"/>
            </w:tcBorders>
            <w:vAlign w:val="bottom"/>
          </w:tcPr>
          <w:p w:rsidR="00D724FA" w:rsidRDefault="00D724FA" w:rsidP="00A858D8">
            <w:pPr>
              <w:pStyle w:val="IASBTableArial"/>
              <w:jc w:val="right"/>
            </w:pPr>
            <w:r>
              <w:rPr>
                <w:sz w:val="15"/>
              </w:rPr>
              <w:t>–</w:t>
            </w:r>
          </w:p>
        </w:tc>
        <w:tc>
          <w:tcPr>
            <w:tcW w:w="216" w:type="dxa"/>
            <w:tcBorders>
              <w:top w:val="nil"/>
              <w:left w:val="nil"/>
            </w:tcBorders>
            <w:vAlign w:val="bottom"/>
          </w:tcPr>
          <w:p w:rsidR="00D724FA" w:rsidRDefault="00D724FA" w:rsidP="00A858D8">
            <w:pPr>
              <w:pStyle w:val="IASBTableArial"/>
              <w:jc w:val="right"/>
            </w:pPr>
          </w:p>
        </w:tc>
        <w:tc>
          <w:tcPr>
            <w:tcW w:w="1058" w:type="dxa"/>
            <w:tcBorders>
              <w:top w:val="nil"/>
              <w:left w:val="nil"/>
              <w:bottom w:val="single" w:sz="4" w:space="0" w:color="auto"/>
            </w:tcBorders>
            <w:vAlign w:val="bottom"/>
          </w:tcPr>
          <w:p w:rsidR="00D724FA" w:rsidRDefault="00D724FA" w:rsidP="00A858D8">
            <w:pPr>
              <w:pStyle w:val="IASBTableArial"/>
              <w:jc w:val="right"/>
            </w:pPr>
            <w:r>
              <w:rPr>
                <w:sz w:val="15"/>
              </w:rPr>
              <w:t>–</w:t>
            </w:r>
          </w:p>
        </w:tc>
        <w:tc>
          <w:tcPr>
            <w:tcW w:w="216" w:type="dxa"/>
            <w:tcBorders>
              <w:top w:val="nil"/>
              <w:left w:val="nil"/>
            </w:tcBorders>
            <w:vAlign w:val="bottom"/>
          </w:tcPr>
          <w:p w:rsidR="00D724FA" w:rsidRDefault="00D724FA" w:rsidP="00A858D8">
            <w:pPr>
              <w:pStyle w:val="IASBTableArial"/>
            </w:pPr>
          </w:p>
        </w:tc>
        <w:tc>
          <w:tcPr>
            <w:tcW w:w="1058" w:type="dxa"/>
            <w:tcBorders>
              <w:top w:val="nil"/>
              <w:left w:val="nil"/>
              <w:bottom w:val="single" w:sz="4" w:space="0" w:color="auto"/>
            </w:tcBorders>
            <w:vAlign w:val="bottom"/>
          </w:tcPr>
          <w:p w:rsidR="00D724FA" w:rsidRDefault="00D724FA" w:rsidP="00A858D8">
            <w:pPr>
              <w:pStyle w:val="IASBTableArial"/>
              <w:jc w:val="right"/>
            </w:pPr>
            <w:r>
              <w:rPr>
                <w:sz w:val="15"/>
              </w:rPr>
              <w:t>–</w:t>
            </w:r>
          </w:p>
        </w:tc>
        <w:tc>
          <w:tcPr>
            <w:tcW w:w="216" w:type="dxa"/>
            <w:tcBorders>
              <w:top w:val="nil"/>
              <w:left w:val="nil"/>
            </w:tcBorders>
            <w:vAlign w:val="bottom"/>
          </w:tcPr>
          <w:p w:rsidR="00D724FA" w:rsidRDefault="00D724FA" w:rsidP="00A858D8">
            <w:pPr>
              <w:pStyle w:val="IASBTableArial"/>
            </w:pPr>
          </w:p>
        </w:tc>
        <w:tc>
          <w:tcPr>
            <w:tcW w:w="1058" w:type="dxa"/>
            <w:tcBorders>
              <w:top w:val="nil"/>
              <w:left w:val="nil"/>
              <w:bottom w:val="single" w:sz="4" w:space="0" w:color="auto"/>
            </w:tcBorders>
            <w:vAlign w:val="bottom"/>
          </w:tcPr>
          <w:p w:rsidR="00D724FA" w:rsidRDefault="00D724FA" w:rsidP="00A858D8">
            <w:pPr>
              <w:pStyle w:val="IASBTableArial"/>
              <w:jc w:val="right"/>
            </w:pPr>
            <w:r>
              <w:rPr>
                <w:sz w:val="15"/>
              </w:rPr>
              <w:t>–</w:t>
            </w:r>
          </w:p>
        </w:tc>
      </w:tr>
      <w:tr w:rsidR="00D724FA" w:rsidTr="00A858D8">
        <w:trPr>
          <w:cantSplit/>
        </w:trPr>
        <w:tc>
          <w:tcPr>
            <w:tcW w:w="3020" w:type="dxa"/>
            <w:tcBorders>
              <w:top w:val="nil"/>
            </w:tcBorders>
          </w:tcPr>
          <w:p w:rsidR="00D724FA" w:rsidRDefault="00D724FA" w:rsidP="00A858D8">
            <w:pPr>
              <w:pStyle w:val="IASBTableArial"/>
            </w:pPr>
            <w:r>
              <w:rPr>
                <w:sz w:val="15"/>
              </w:rPr>
              <w:t>Total shares</w:t>
            </w:r>
          </w:p>
        </w:tc>
        <w:tc>
          <w:tcPr>
            <w:tcW w:w="1092" w:type="dxa"/>
            <w:tcBorders>
              <w:top w:val="nil"/>
              <w:left w:val="nil"/>
              <w:bottom w:val="double" w:sz="4" w:space="0" w:color="auto"/>
            </w:tcBorders>
            <w:vAlign w:val="bottom"/>
          </w:tcPr>
          <w:p w:rsidR="00D724FA" w:rsidRDefault="00D724FA" w:rsidP="00A858D8">
            <w:pPr>
              <w:pStyle w:val="IASBTableArial"/>
              <w:jc w:val="right"/>
            </w:pPr>
            <w:r>
              <w:rPr>
                <w:sz w:val="15"/>
              </w:rPr>
              <w:t>1,000,000</w:t>
            </w:r>
          </w:p>
        </w:tc>
        <w:tc>
          <w:tcPr>
            <w:tcW w:w="216" w:type="dxa"/>
            <w:tcBorders>
              <w:top w:val="nil"/>
              <w:left w:val="nil"/>
            </w:tcBorders>
            <w:vAlign w:val="bottom"/>
          </w:tcPr>
          <w:p w:rsidR="00D724FA" w:rsidRDefault="00D724FA" w:rsidP="00A858D8">
            <w:pPr>
              <w:pStyle w:val="IASBTableArial"/>
            </w:pPr>
          </w:p>
        </w:tc>
        <w:tc>
          <w:tcPr>
            <w:tcW w:w="1058" w:type="dxa"/>
            <w:tcBorders>
              <w:top w:val="nil"/>
              <w:left w:val="nil"/>
              <w:bottom w:val="double" w:sz="4" w:space="0" w:color="auto"/>
            </w:tcBorders>
            <w:vAlign w:val="bottom"/>
          </w:tcPr>
          <w:p w:rsidR="00D724FA" w:rsidRDefault="00D724FA" w:rsidP="00A858D8">
            <w:pPr>
              <w:pStyle w:val="IASBTableArial"/>
              <w:jc w:val="right"/>
            </w:pPr>
            <w:r>
              <w:rPr>
                <w:sz w:val="15"/>
              </w:rPr>
              <w:t>1,003,333</w:t>
            </w:r>
          </w:p>
        </w:tc>
        <w:tc>
          <w:tcPr>
            <w:tcW w:w="216" w:type="dxa"/>
            <w:tcBorders>
              <w:top w:val="nil"/>
              <w:left w:val="nil"/>
            </w:tcBorders>
            <w:vAlign w:val="bottom"/>
          </w:tcPr>
          <w:p w:rsidR="00D724FA" w:rsidRDefault="00D724FA" w:rsidP="00A858D8">
            <w:pPr>
              <w:pStyle w:val="IASBTableArial"/>
            </w:pPr>
          </w:p>
        </w:tc>
        <w:tc>
          <w:tcPr>
            <w:tcW w:w="1058" w:type="dxa"/>
            <w:tcBorders>
              <w:top w:val="nil"/>
              <w:left w:val="nil"/>
              <w:bottom w:val="double" w:sz="4" w:space="0" w:color="auto"/>
            </w:tcBorders>
            <w:vAlign w:val="bottom"/>
          </w:tcPr>
          <w:p w:rsidR="00D724FA" w:rsidRDefault="00D724FA" w:rsidP="00A858D8">
            <w:pPr>
              <w:pStyle w:val="IASBTableArial"/>
              <w:jc w:val="right"/>
            </w:pPr>
            <w:r>
              <w:rPr>
                <w:sz w:val="15"/>
              </w:rPr>
              <w:t>1,006,667</w:t>
            </w:r>
          </w:p>
        </w:tc>
        <w:tc>
          <w:tcPr>
            <w:tcW w:w="216" w:type="dxa"/>
            <w:tcBorders>
              <w:top w:val="nil"/>
              <w:left w:val="nil"/>
            </w:tcBorders>
            <w:vAlign w:val="bottom"/>
          </w:tcPr>
          <w:p w:rsidR="00D724FA" w:rsidRDefault="00D724FA" w:rsidP="00A858D8">
            <w:pPr>
              <w:pStyle w:val="IASBTableArial"/>
            </w:pPr>
          </w:p>
        </w:tc>
        <w:tc>
          <w:tcPr>
            <w:tcW w:w="1058" w:type="dxa"/>
            <w:tcBorders>
              <w:top w:val="nil"/>
              <w:left w:val="nil"/>
              <w:bottom w:val="double" w:sz="4" w:space="0" w:color="auto"/>
            </w:tcBorders>
            <w:vAlign w:val="bottom"/>
          </w:tcPr>
          <w:p w:rsidR="00D724FA" w:rsidRDefault="00D724FA" w:rsidP="00A858D8">
            <w:pPr>
              <w:pStyle w:val="IASBTableArial"/>
              <w:jc w:val="right"/>
            </w:pPr>
            <w:r>
              <w:rPr>
                <w:sz w:val="15"/>
              </w:rPr>
              <w:t>1,010,000</w:t>
            </w:r>
          </w:p>
        </w:tc>
        <w:tc>
          <w:tcPr>
            <w:tcW w:w="216" w:type="dxa"/>
            <w:tcBorders>
              <w:top w:val="nil"/>
              <w:left w:val="nil"/>
            </w:tcBorders>
            <w:vAlign w:val="bottom"/>
          </w:tcPr>
          <w:p w:rsidR="00D724FA" w:rsidRDefault="00D724FA" w:rsidP="00A858D8">
            <w:pPr>
              <w:pStyle w:val="IASBTableArial"/>
            </w:pPr>
          </w:p>
        </w:tc>
        <w:tc>
          <w:tcPr>
            <w:tcW w:w="1058" w:type="dxa"/>
            <w:tcBorders>
              <w:top w:val="nil"/>
              <w:left w:val="nil"/>
              <w:bottom w:val="double" w:sz="4" w:space="0" w:color="auto"/>
            </w:tcBorders>
            <w:vAlign w:val="bottom"/>
          </w:tcPr>
          <w:p w:rsidR="00D724FA" w:rsidRDefault="00D724FA" w:rsidP="00A858D8">
            <w:pPr>
              <w:pStyle w:val="IASBTableArial"/>
              <w:jc w:val="right"/>
            </w:pPr>
            <w:r>
              <w:rPr>
                <w:sz w:val="15"/>
              </w:rPr>
              <w:t>1,005,000</w:t>
            </w:r>
          </w:p>
        </w:tc>
      </w:tr>
      <w:tr w:rsidR="00D724FA" w:rsidTr="00A858D8">
        <w:trPr>
          <w:cantSplit/>
        </w:trPr>
        <w:tc>
          <w:tcPr>
            <w:tcW w:w="3020" w:type="dxa"/>
            <w:tcBorders>
              <w:top w:val="nil"/>
            </w:tcBorders>
          </w:tcPr>
          <w:p w:rsidR="00D724FA" w:rsidRDefault="00D724FA" w:rsidP="00A858D8">
            <w:pPr>
              <w:pStyle w:val="IASBTableArial"/>
            </w:pPr>
            <w:r>
              <w:rPr>
                <w:sz w:val="15"/>
              </w:rPr>
              <w:t>Basic earnings per share (CU)</w:t>
            </w:r>
          </w:p>
        </w:tc>
        <w:tc>
          <w:tcPr>
            <w:tcW w:w="1092" w:type="dxa"/>
            <w:tcBorders>
              <w:top w:val="nil"/>
              <w:left w:val="nil"/>
              <w:bottom w:val="double" w:sz="4" w:space="0" w:color="auto"/>
            </w:tcBorders>
            <w:vAlign w:val="bottom"/>
          </w:tcPr>
          <w:p w:rsidR="00D724FA" w:rsidRDefault="00D724FA" w:rsidP="00A858D8">
            <w:pPr>
              <w:pStyle w:val="IASBTableArial"/>
              <w:jc w:val="right"/>
            </w:pPr>
            <w:r>
              <w:rPr>
                <w:sz w:val="15"/>
              </w:rPr>
              <w:t>1.10</w:t>
            </w:r>
          </w:p>
        </w:tc>
        <w:tc>
          <w:tcPr>
            <w:tcW w:w="216" w:type="dxa"/>
            <w:tcBorders>
              <w:top w:val="nil"/>
              <w:left w:val="nil"/>
            </w:tcBorders>
            <w:vAlign w:val="bottom"/>
          </w:tcPr>
          <w:p w:rsidR="00D724FA" w:rsidRDefault="00D724FA" w:rsidP="00A858D8">
            <w:pPr>
              <w:pStyle w:val="IASBTableArial"/>
            </w:pPr>
          </w:p>
        </w:tc>
        <w:tc>
          <w:tcPr>
            <w:tcW w:w="1058" w:type="dxa"/>
            <w:tcBorders>
              <w:top w:val="nil"/>
              <w:left w:val="nil"/>
              <w:bottom w:val="double" w:sz="4" w:space="0" w:color="auto"/>
            </w:tcBorders>
            <w:vAlign w:val="bottom"/>
          </w:tcPr>
          <w:p w:rsidR="00D724FA" w:rsidRDefault="00D724FA" w:rsidP="00A858D8">
            <w:pPr>
              <w:pStyle w:val="IASBTableArial"/>
              <w:jc w:val="right"/>
            </w:pPr>
            <w:r>
              <w:rPr>
                <w:sz w:val="15"/>
              </w:rPr>
              <w:t>1.20</w:t>
            </w:r>
          </w:p>
        </w:tc>
        <w:tc>
          <w:tcPr>
            <w:tcW w:w="216" w:type="dxa"/>
            <w:tcBorders>
              <w:top w:val="nil"/>
              <w:left w:val="nil"/>
            </w:tcBorders>
            <w:vAlign w:val="bottom"/>
          </w:tcPr>
          <w:p w:rsidR="00D724FA" w:rsidRDefault="00D724FA" w:rsidP="00A858D8">
            <w:pPr>
              <w:pStyle w:val="IASBTableArial"/>
            </w:pPr>
          </w:p>
        </w:tc>
        <w:tc>
          <w:tcPr>
            <w:tcW w:w="1058" w:type="dxa"/>
            <w:tcBorders>
              <w:top w:val="nil"/>
              <w:left w:val="nil"/>
              <w:bottom w:val="double" w:sz="4" w:space="0" w:color="auto"/>
            </w:tcBorders>
            <w:vAlign w:val="bottom"/>
          </w:tcPr>
          <w:p w:rsidR="00D724FA" w:rsidRDefault="00D724FA" w:rsidP="00A858D8">
            <w:pPr>
              <w:pStyle w:val="IASBTableArial"/>
              <w:jc w:val="right"/>
            </w:pPr>
            <w:r>
              <w:rPr>
                <w:sz w:val="15"/>
              </w:rPr>
              <w:t>(0.40)</w:t>
            </w:r>
          </w:p>
        </w:tc>
        <w:tc>
          <w:tcPr>
            <w:tcW w:w="216" w:type="dxa"/>
            <w:tcBorders>
              <w:top w:val="nil"/>
              <w:left w:val="nil"/>
            </w:tcBorders>
            <w:vAlign w:val="bottom"/>
          </w:tcPr>
          <w:p w:rsidR="00D724FA" w:rsidRDefault="00D724FA" w:rsidP="00A858D8">
            <w:pPr>
              <w:pStyle w:val="IASBTableArial"/>
            </w:pPr>
          </w:p>
        </w:tc>
        <w:tc>
          <w:tcPr>
            <w:tcW w:w="1058" w:type="dxa"/>
            <w:tcBorders>
              <w:top w:val="nil"/>
              <w:left w:val="nil"/>
              <w:bottom w:val="double" w:sz="4" w:space="0" w:color="auto"/>
            </w:tcBorders>
            <w:vAlign w:val="bottom"/>
          </w:tcPr>
          <w:p w:rsidR="00D724FA" w:rsidRDefault="00D724FA" w:rsidP="00A858D8">
            <w:pPr>
              <w:pStyle w:val="IASBTableArial"/>
              <w:jc w:val="right"/>
            </w:pPr>
            <w:r>
              <w:rPr>
                <w:sz w:val="15"/>
              </w:rPr>
              <w:t>0.99</w:t>
            </w:r>
          </w:p>
        </w:tc>
        <w:tc>
          <w:tcPr>
            <w:tcW w:w="216" w:type="dxa"/>
            <w:tcBorders>
              <w:top w:val="nil"/>
              <w:left w:val="nil"/>
            </w:tcBorders>
            <w:vAlign w:val="bottom"/>
          </w:tcPr>
          <w:p w:rsidR="00D724FA" w:rsidRDefault="00D724FA" w:rsidP="00A858D8">
            <w:pPr>
              <w:pStyle w:val="IASBTableArial"/>
            </w:pPr>
          </w:p>
        </w:tc>
        <w:tc>
          <w:tcPr>
            <w:tcW w:w="1058" w:type="dxa"/>
            <w:tcBorders>
              <w:top w:val="nil"/>
              <w:left w:val="nil"/>
              <w:bottom w:val="double" w:sz="4" w:space="0" w:color="auto"/>
            </w:tcBorders>
            <w:vAlign w:val="bottom"/>
          </w:tcPr>
          <w:p w:rsidR="00D724FA" w:rsidRDefault="00D724FA" w:rsidP="00A858D8">
            <w:pPr>
              <w:pStyle w:val="IASBTableArial"/>
              <w:jc w:val="right"/>
            </w:pPr>
            <w:r>
              <w:rPr>
                <w:sz w:val="15"/>
              </w:rPr>
              <w:t>2.89</w:t>
            </w:r>
          </w:p>
        </w:tc>
      </w:tr>
      <w:tr w:rsidR="00D724FA" w:rsidTr="00A858D8">
        <w:trPr>
          <w:cantSplit/>
        </w:trPr>
        <w:tc>
          <w:tcPr>
            <w:tcW w:w="9208" w:type="dxa"/>
            <w:gridSpan w:val="10"/>
            <w:tcBorders>
              <w:top w:val="nil"/>
            </w:tcBorders>
            <w:vAlign w:val="bottom"/>
          </w:tcPr>
          <w:p w:rsidR="00D724FA" w:rsidRDefault="00D724FA" w:rsidP="00A858D8">
            <w:pPr>
              <w:pStyle w:val="IASBTableArial"/>
            </w:pPr>
          </w:p>
        </w:tc>
      </w:tr>
      <w:tr w:rsidR="00D724FA" w:rsidTr="00A858D8">
        <w:trPr>
          <w:cantSplit/>
        </w:trPr>
        <w:tc>
          <w:tcPr>
            <w:tcW w:w="9208" w:type="dxa"/>
            <w:gridSpan w:val="10"/>
            <w:tcBorders>
              <w:top w:val="nil"/>
            </w:tcBorders>
            <w:vAlign w:val="bottom"/>
          </w:tcPr>
          <w:p w:rsidR="00D724FA" w:rsidRDefault="00D724FA" w:rsidP="00A858D8">
            <w:pPr>
              <w:pStyle w:val="IASBTableTNR"/>
            </w:pPr>
            <w:r>
              <w:rPr>
                <w:rStyle w:val="FootnoteReference"/>
                <w:sz w:val="16"/>
                <w:vertAlign w:val="baseline"/>
              </w:rPr>
              <w:t>(a)</w:t>
            </w:r>
            <w:r>
              <w:rPr>
                <w:rStyle w:val="FootnoteReference"/>
                <w:sz w:val="16"/>
                <w:vertAlign w:val="baseline"/>
              </w:rPr>
              <w:tab/>
              <w:t xml:space="preserve">5,000 shares × </w:t>
            </w:r>
            <w:r>
              <w:rPr>
                <w:rStyle w:val="FootnoteReference"/>
                <w:sz w:val="16"/>
              </w:rPr>
              <w:t>2</w:t>
            </w:r>
            <w:r>
              <w:rPr>
                <w:rStyle w:val="FootnoteReference"/>
                <w:sz w:val="16"/>
                <w:vertAlign w:val="baseline"/>
              </w:rPr>
              <w:t>/</w:t>
            </w:r>
            <w:r>
              <w:rPr>
                <w:rStyle w:val="FootnoteReference"/>
                <w:sz w:val="16"/>
                <w:vertAlign w:val="subscript"/>
              </w:rPr>
              <w:t>3</w:t>
            </w:r>
          </w:p>
          <w:p w:rsidR="00D724FA" w:rsidRDefault="00D724FA" w:rsidP="00A858D8">
            <w:pPr>
              <w:pStyle w:val="IASBTableTNR"/>
              <w:rPr>
                <w:sz w:val="16"/>
              </w:rPr>
            </w:pPr>
            <w:r>
              <w:rPr>
                <w:rStyle w:val="FootnoteReference"/>
                <w:sz w:val="16"/>
                <w:vertAlign w:val="baseline"/>
              </w:rPr>
              <w:t>(b)</w:t>
            </w:r>
            <w:r>
              <w:rPr>
                <w:rStyle w:val="FootnoteReference"/>
                <w:sz w:val="16"/>
                <w:vertAlign w:val="baseline"/>
              </w:rPr>
              <w:tab/>
              <w:t xml:space="preserve">5,000 shares + (5,000 shares × </w:t>
            </w:r>
            <w:r>
              <w:rPr>
                <w:rStyle w:val="FootnoteReference"/>
                <w:sz w:val="16"/>
              </w:rPr>
              <w:t>1</w:t>
            </w:r>
            <w:r>
              <w:rPr>
                <w:rStyle w:val="FootnoteReference"/>
                <w:sz w:val="16"/>
                <w:vertAlign w:val="baseline"/>
              </w:rPr>
              <w:t>/</w:t>
            </w:r>
            <w:r>
              <w:rPr>
                <w:rStyle w:val="FootnoteReference"/>
                <w:sz w:val="16"/>
                <w:vertAlign w:val="subscript"/>
              </w:rPr>
              <w:t>3</w:t>
            </w:r>
            <w:r>
              <w:rPr>
                <w:rStyle w:val="FootnoteReference"/>
                <w:sz w:val="16"/>
                <w:vertAlign w:val="baseline"/>
              </w:rPr>
              <w:t>)</w:t>
            </w:r>
          </w:p>
          <w:p w:rsidR="00D724FA" w:rsidRDefault="00D724FA" w:rsidP="00A858D8">
            <w:pPr>
              <w:pStyle w:val="IASBTableTNR"/>
            </w:pPr>
            <w:r>
              <w:rPr>
                <w:rStyle w:val="FootnoteReference"/>
                <w:sz w:val="16"/>
                <w:vertAlign w:val="baseline"/>
              </w:rPr>
              <w:t>(c)</w:t>
            </w:r>
            <w:r>
              <w:rPr>
                <w:rStyle w:val="FootnoteReference"/>
                <w:sz w:val="16"/>
                <w:vertAlign w:val="baseline"/>
              </w:rPr>
              <w:tab/>
              <w:t xml:space="preserve">(5,000 shares × </w:t>
            </w:r>
            <w:r>
              <w:rPr>
                <w:rStyle w:val="FootnoteReference"/>
                <w:sz w:val="16"/>
              </w:rPr>
              <w:t>8</w:t>
            </w:r>
            <w:r>
              <w:rPr>
                <w:rStyle w:val="FootnoteReference"/>
                <w:sz w:val="16"/>
                <w:vertAlign w:val="baseline"/>
              </w:rPr>
              <w:t>/</w:t>
            </w:r>
            <w:r>
              <w:rPr>
                <w:rStyle w:val="FootnoteReference"/>
                <w:sz w:val="16"/>
                <w:vertAlign w:val="subscript"/>
              </w:rPr>
              <w:t>12</w:t>
            </w:r>
            <w:r>
              <w:rPr>
                <w:rStyle w:val="FootnoteReference"/>
                <w:sz w:val="16"/>
                <w:vertAlign w:val="baseline"/>
              </w:rPr>
              <w:t xml:space="preserve">) + (5,000 shares × </w:t>
            </w:r>
            <w:r>
              <w:rPr>
                <w:rStyle w:val="FootnoteReference"/>
                <w:sz w:val="16"/>
              </w:rPr>
              <w:t>4</w:t>
            </w:r>
            <w:r>
              <w:rPr>
                <w:rStyle w:val="FootnoteReference"/>
                <w:sz w:val="16"/>
                <w:vertAlign w:val="baseline"/>
              </w:rPr>
              <w:t>/</w:t>
            </w:r>
            <w:r>
              <w:rPr>
                <w:rStyle w:val="FootnoteReference"/>
                <w:sz w:val="16"/>
                <w:vertAlign w:val="subscript"/>
              </w:rPr>
              <w:t>12</w:t>
            </w:r>
            <w:r>
              <w:rPr>
                <w:rStyle w:val="FootnoteReference"/>
                <w:sz w:val="16"/>
                <w:vertAlign w:val="baseline"/>
              </w:rPr>
              <w:t>)</w:t>
            </w:r>
          </w:p>
          <w:p w:rsidR="00D724FA" w:rsidRDefault="00D724FA" w:rsidP="00A858D8">
            <w:pPr>
              <w:pStyle w:val="IASBTableTNR"/>
              <w:ind w:left="709" w:hanging="709"/>
            </w:pPr>
            <w:r>
              <w:rPr>
                <w:rStyle w:val="FootnoteReference"/>
                <w:sz w:val="16"/>
                <w:vertAlign w:val="baseline"/>
              </w:rPr>
              <w:t>(d)</w:t>
            </w:r>
            <w:r>
              <w:rPr>
                <w:rStyle w:val="FootnoteReference"/>
                <w:sz w:val="16"/>
                <w:vertAlign w:val="baseline"/>
              </w:rPr>
              <w:tab/>
              <w:t>The earnings contingency has no effect on basic earnings per share because it is not certain that the condition is satisfied until the end of the contingency period. The effect is negligible for the fourth-quarter and full-year calculations because it is not certain that the condition is met until the last day of the period.</w:t>
            </w:r>
          </w:p>
        </w:tc>
      </w:tr>
    </w:tbl>
    <w:p w:rsidR="00D724FA" w:rsidRDefault="00D724FA" w:rsidP="00D724FA">
      <w:pPr>
        <w:pStyle w:val="IASBNormalnpara"/>
      </w:pPr>
    </w:p>
    <w:tbl>
      <w:tblPr>
        <w:tblW w:w="9288" w:type="dxa"/>
        <w:tblLayout w:type="fixed"/>
        <w:tblLook w:val="0000" w:firstRow="0" w:lastRow="0" w:firstColumn="0" w:lastColumn="0" w:noHBand="0" w:noVBand="0"/>
        <w:tblCaption w:val="AASB 133 Table 12"/>
      </w:tblPr>
      <w:tblGrid>
        <w:gridCol w:w="3020"/>
        <w:gridCol w:w="1092"/>
        <w:gridCol w:w="236"/>
        <w:gridCol w:w="1058"/>
        <w:gridCol w:w="236"/>
        <w:gridCol w:w="1058"/>
        <w:gridCol w:w="236"/>
        <w:gridCol w:w="1058"/>
        <w:gridCol w:w="236"/>
        <w:gridCol w:w="1058"/>
      </w:tblGrid>
      <w:tr w:rsidR="00D724FA" w:rsidTr="00F609F6">
        <w:trPr>
          <w:cantSplit/>
          <w:tblHeader/>
        </w:trPr>
        <w:tc>
          <w:tcPr>
            <w:tcW w:w="9288" w:type="dxa"/>
            <w:gridSpan w:val="10"/>
            <w:vAlign w:val="bottom"/>
          </w:tcPr>
          <w:p w:rsidR="00D724FA" w:rsidRDefault="00D724FA" w:rsidP="00A858D8">
            <w:pPr>
              <w:pStyle w:val="IASBTableHeaderArial"/>
            </w:pPr>
            <w:r>
              <w:rPr>
                <w:b/>
              </w:rPr>
              <w:t>Diluted earnings per share</w:t>
            </w:r>
          </w:p>
        </w:tc>
      </w:tr>
      <w:tr w:rsidR="00D724FA" w:rsidTr="00F609F6">
        <w:trPr>
          <w:cantSplit/>
          <w:tblHeader/>
        </w:trPr>
        <w:tc>
          <w:tcPr>
            <w:tcW w:w="3020" w:type="dxa"/>
            <w:tcBorders>
              <w:top w:val="nil"/>
            </w:tcBorders>
            <w:vAlign w:val="bottom"/>
          </w:tcPr>
          <w:p w:rsidR="00D724FA" w:rsidRDefault="00D724FA" w:rsidP="00A858D8">
            <w:pPr>
              <w:pStyle w:val="IASBTableHeaderArial"/>
            </w:pPr>
          </w:p>
        </w:tc>
        <w:tc>
          <w:tcPr>
            <w:tcW w:w="1092" w:type="dxa"/>
            <w:tcBorders>
              <w:top w:val="nil"/>
              <w:left w:val="nil"/>
            </w:tcBorders>
          </w:tcPr>
          <w:p w:rsidR="00D724FA" w:rsidRDefault="00D724FA" w:rsidP="00A858D8">
            <w:pPr>
              <w:pStyle w:val="IASBTableHeaderArial"/>
              <w:jc w:val="right"/>
            </w:pPr>
            <w:r>
              <w:rPr>
                <w:b/>
                <w:i/>
                <w:sz w:val="15"/>
              </w:rPr>
              <w:t>First quarter</w:t>
            </w:r>
          </w:p>
        </w:tc>
        <w:tc>
          <w:tcPr>
            <w:tcW w:w="236" w:type="dxa"/>
            <w:tcBorders>
              <w:top w:val="nil"/>
              <w:left w:val="nil"/>
            </w:tcBorders>
            <w:vAlign w:val="bottom"/>
          </w:tcPr>
          <w:p w:rsidR="00D724FA" w:rsidRDefault="00D724FA" w:rsidP="00A858D8">
            <w:pPr>
              <w:pStyle w:val="IASBTableHeaderArial"/>
            </w:pPr>
          </w:p>
        </w:tc>
        <w:tc>
          <w:tcPr>
            <w:tcW w:w="1058" w:type="dxa"/>
            <w:tcBorders>
              <w:top w:val="nil"/>
              <w:left w:val="nil"/>
            </w:tcBorders>
          </w:tcPr>
          <w:p w:rsidR="00D724FA" w:rsidRDefault="00D724FA" w:rsidP="00A858D8">
            <w:pPr>
              <w:pStyle w:val="IASBTableHeaderArial"/>
              <w:jc w:val="right"/>
            </w:pPr>
            <w:r>
              <w:rPr>
                <w:b/>
                <w:i/>
                <w:sz w:val="15"/>
              </w:rPr>
              <w:t>Second quarter</w:t>
            </w:r>
          </w:p>
        </w:tc>
        <w:tc>
          <w:tcPr>
            <w:tcW w:w="236" w:type="dxa"/>
            <w:tcBorders>
              <w:top w:val="nil"/>
              <w:left w:val="nil"/>
            </w:tcBorders>
            <w:vAlign w:val="bottom"/>
          </w:tcPr>
          <w:p w:rsidR="00D724FA" w:rsidRDefault="00D724FA" w:rsidP="00A858D8">
            <w:pPr>
              <w:pStyle w:val="IASBTableHeaderArial"/>
            </w:pPr>
          </w:p>
        </w:tc>
        <w:tc>
          <w:tcPr>
            <w:tcW w:w="1058" w:type="dxa"/>
            <w:tcBorders>
              <w:top w:val="nil"/>
              <w:left w:val="nil"/>
            </w:tcBorders>
          </w:tcPr>
          <w:p w:rsidR="00D724FA" w:rsidRDefault="00D724FA" w:rsidP="00A858D8">
            <w:pPr>
              <w:pStyle w:val="IASBTableHeaderArial"/>
              <w:jc w:val="right"/>
            </w:pPr>
            <w:r>
              <w:rPr>
                <w:b/>
                <w:i/>
                <w:sz w:val="15"/>
              </w:rPr>
              <w:t>Third quarter</w:t>
            </w:r>
          </w:p>
        </w:tc>
        <w:tc>
          <w:tcPr>
            <w:tcW w:w="236" w:type="dxa"/>
            <w:tcBorders>
              <w:top w:val="nil"/>
              <w:left w:val="nil"/>
            </w:tcBorders>
            <w:vAlign w:val="bottom"/>
          </w:tcPr>
          <w:p w:rsidR="00D724FA" w:rsidRDefault="00D724FA" w:rsidP="00A858D8">
            <w:pPr>
              <w:pStyle w:val="IASBTableHeaderArial"/>
            </w:pPr>
          </w:p>
        </w:tc>
        <w:tc>
          <w:tcPr>
            <w:tcW w:w="1058" w:type="dxa"/>
            <w:tcBorders>
              <w:top w:val="nil"/>
              <w:left w:val="nil"/>
            </w:tcBorders>
          </w:tcPr>
          <w:p w:rsidR="00D724FA" w:rsidRDefault="00D724FA" w:rsidP="00A858D8">
            <w:pPr>
              <w:pStyle w:val="IASBTableHeaderArial"/>
              <w:jc w:val="right"/>
            </w:pPr>
            <w:r>
              <w:rPr>
                <w:b/>
                <w:i/>
                <w:sz w:val="15"/>
              </w:rPr>
              <w:t>Fourth quarter</w:t>
            </w:r>
          </w:p>
        </w:tc>
        <w:tc>
          <w:tcPr>
            <w:tcW w:w="236" w:type="dxa"/>
            <w:tcBorders>
              <w:top w:val="nil"/>
              <w:left w:val="nil"/>
            </w:tcBorders>
            <w:vAlign w:val="bottom"/>
          </w:tcPr>
          <w:p w:rsidR="00D724FA" w:rsidRDefault="00D724FA" w:rsidP="00A858D8">
            <w:pPr>
              <w:pStyle w:val="IASBTableHeaderArial"/>
            </w:pPr>
          </w:p>
        </w:tc>
        <w:tc>
          <w:tcPr>
            <w:tcW w:w="1058" w:type="dxa"/>
            <w:tcBorders>
              <w:top w:val="nil"/>
              <w:left w:val="nil"/>
            </w:tcBorders>
          </w:tcPr>
          <w:p w:rsidR="00D724FA" w:rsidRDefault="00D724FA" w:rsidP="00A858D8">
            <w:pPr>
              <w:pStyle w:val="IASBTableHeaderArial"/>
              <w:jc w:val="right"/>
            </w:pPr>
            <w:r>
              <w:rPr>
                <w:b/>
                <w:i/>
                <w:sz w:val="15"/>
              </w:rPr>
              <w:t>Full year</w:t>
            </w:r>
          </w:p>
        </w:tc>
      </w:tr>
      <w:tr w:rsidR="00D724FA" w:rsidTr="00F609F6">
        <w:trPr>
          <w:cantSplit/>
        </w:trPr>
        <w:tc>
          <w:tcPr>
            <w:tcW w:w="3020" w:type="dxa"/>
            <w:tcBorders>
              <w:top w:val="nil"/>
            </w:tcBorders>
            <w:vAlign w:val="bottom"/>
          </w:tcPr>
          <w:p w:rsidR="00D724FA" w:rsidRDefault="00D724FA" w:rsidP="00A858D8">
            <w:pPr>
              <w:pStyle w:val="IASBTableArial"/>
            </w:pPr>
            <w:r>
              <w:rPr>
                <w:sz w:val="15"/>
              </w:rPr>
              <w:t>Numerator (CU)</w:t>
            </w:r>
          </w:p>
        </w:tc>
        <w:tc>
          <w:tcPr>
            <w:tcW w:w="1092" w:type="dxa"/>
            <w:tcBorders>
              <w:top w:val="nil"/>
              <w:left w:val="nil"/>
            </w:tcBorders>
            <w:vAlign w:val="bottom"/>
          </w:tcPr>
          <w:p w:rsidR="00D724FA" w:rsidRDefault="00D724FA" w:rsidP="00A858D8">
            <w:pPr>
              <w:pStyle w:val="IASBTableArial"/>
              <w:jc w:val="right"/>
            </w:pPr>
            <w:r>
              <w:rPr>
                <w:sz w:val="15"/>
              </w:rPr>
              <w:t>1,100,000</w:t>
            </w:r>
          </w:p>
        </w:tc>
        <w:tc>
          <w:tcPr>
            <w:tcW w:w="236" w:type="dxa"/>
            <w:tcBorders>
              <w:top w:val="nil"/>
              <w:left w:val="nil"/>
            </w:tcBorders>
            <w:vAlign w:val="bottom"/>
          </w:tcPr>
          <w:p w:rsidR="00D724FA" w:rsidRDefault="00D724FA" w:rsidP="00A858D8">
            <w:pPr>
              <w:pStyle w:val="IASBTableArial"/>
            </w:pPr>
          </w:p>
        </w:tc>
        <w:tc>
          <w:tcPr>
            <w:tcW w:w="1058" w:type="dxa"/>
            <w:tcBorders>
              <w:top w:val="nil"/>
              <w:left w:val="nil"/>
            </w:tcBorders>
            <w:vAlign w:val="center"/>
          </w:tcPr>
          <w:p w:rsidR="00D724FA" w:rsidRDefault="00D724FA" w:rsidP="00A858D8">
            <w:pPr>
              <w:pStyle w:val="IASBTableArial"/>
              <w:jc w:val="right"/>
            </w:pPr>
            <w:r>
              <w:rPr>
                <w:sz w:val="15"/>
              </w:rPr>
              <w:t>1,200,000</w:t>
            </w:r>
          </w:p>
        </w:tc>
        <w:tc>
          <w:tcPr>
            <w:tcW w:w="236" w:type="dxa"/>
            <w:tcBorders>
              <w:top w:val="nil"/>
              <w:left w:val="nil"/>
            </w:tcBorders>
            <w:vAlign w:val="bottom"/>
          </w:tcPr>
          <w:p w:rsidR="00D724FA" w:rsidRDefault="00D724FA" w:rsidP="00A858D8">
            <w:pPr>
              <w:pStyle w:val="IASBTableArial"/>
            </w:pPr>
          </w:p>
        </w:tc>
        <w:tc>
          <w:tcPr>
            <w:tcW w:w="1058" w:type="dxa"/>
            <w:tcBorders>
              <w:top w:val="nil"/>
              <w:left w:val="nil"/>
            </w:tcBorders>
            <w:vAlign w:val="center"/>
          </w:tcPr>
          <w:p w:rsidR="00D724FA" w:rsidRDefault="00D724FA" w:rsidP="00A858D8">
            <w:pPr>
              <w:pStyle w:val="IASBTableArial"/>
              <w:jc w:val="right"/>
            </w:pPr>
            <w:r>
              <w:rPr>
                <w:sz w:val="15"/>
              </w:rPr>
              <w:t>(400,000)</w:t>
            </w:r>
          </w:p>
        </w:tc>
        <w:tc>
          <w:tcPr>
            <w:tcW w:w="236" w:type="dxa"/>
            <w:tcBorders>
              <w:top w:val="nil"/>
              <w:left w:val="nil"/>
            </w:tcBorders>
            <w:vAlign w:val="bottom"/>
          </w:tcPr>
          <w:p w:rsidR="00D724FA" w:rsidRDefault="00D724FA" w:rsidP="00A858D8">
            <w:pPr>
              <w:pStyle w:val="IASBTableArial"/>
            </w:pPr>
          </w:p>
        </w:tc>
        <w:tc>
          <w:tcPr>
            <w:tcW w:w="1058" w:type="dxa"/>
            <w:tcBorders>
              <w:top w:val="nil"/>
              <w:left w:val="nil"/>
            </w:tcBorders>
            <w:vAlign w:val="center"/>
          </w:tcPr>
          <w:p w:rsidR="00D724FA" w:rsidRDefault="00D724FA" w:rsidP="00A858D8">
            <w:pPr>
              <w:pStyle w:val="IASBTableArial"/>
              <w:jc w:val="right"/>
            </w:pPr>
            <w:r>
              <w:rPr>
                <w:sz w:val="15"/>
              </w:rPr>
              <w:t>1,000,000</w:t>
            </w:r>
          </w:p>
        </w:tc>
        <w:tc>
          <w:tcPr>
            <w:tcW w:w="236" w:type="dxa"/>
            <w:tcBorders>
              <w:top w:val="nil"/>
              <w:left w:val="nil"/>
            </w:tcBorders>
            <w:vAlign w:val="bottom"/>
          </w:tcPr>
          <w:p w:rsidR="00D724FA" w:rsidRDefault="00D724FA" w:rsidP="00A858D8">
            <w:pPr>
              <w:pStyle w:val="IASBTableArial"/>
            </w:pPr>
          </w:p>
        </w:tc>
        <w:tc>
          <w:tcPr>
            <w:tcW w:w="1058" w:type="dxa"/>
            <w:tcBorders>
              <w:top w:val="nil"/>
              <w:left w:val="nil"/>
            </w:tcBorders>
            <w:vAlign w:val="center"/>
          </w:tcPr>
          <w:p w:rsidR="00D724FA" w:rsidRDefault="00D724FA" w:rsidP="00A858D8">
            <w:pPr>
              <w:pStyle w:val="IASBTableArial"/>
              <w:jc w:val="right"/>
            </w:pPr>
            <w:r>
              <w:rPr>
                <w:sz w:val="15"/>
              </w:rPr>
              <w:t>2,900,000</w:t>
            </w:r>
          </w:p>
        </w:tc>
      </w:tr>
      <w:tr w:rsidR="00D724FA" w:rsidTr="00F609F6">
        <w:trPr>
          <w:cantSplit/>
        </w:trPr>
        <w:tc>
          <w:tcPr>
            <w:tcW w:w="3020" w:type="dxa"/>
            <w:tcBorders>
              <w:top w:val="nil"/>
            </w:tcBorders>
            <w:vAlign w:val="bottom"/>
          </w:tcPr>
          <w:p w:rsidR="00D724FA" w:rsidRDefault="00D724FA" w:rsidP="00A858D8">
            <w:pPr>
              <w:pStyle w:val="IASBTableArial"/>
            </w:pPr>
            <w:r>
              <w:rPr>
                <w:sz w:val="15"/>
              </w:rPr>
              <w:t>Denominator:</w:t>
            </w:r>
          </w:p>
        </w:tc>
        <w:tc>
          <w:tcPr>
            <w:tcW w:w="1092" w:type="dxa"/>
            <w:tcBorders>
              <w:top w:val="nil"/>
              <w:left w:val="nil"/>
            </w:tcBorders>
            <w:vAlign w:val="bottom"/>
          </w:tcPr>
          <w:p w:rsidR="00D724FA" w:rsidRDefault="00D724FA" w:rsidP="00A858D8">
            <w:pPr>
              <w:pStyle w:val="IASBTableArial"/>
            </w:pPr>
          </w:p>
        </w:tc>
        <w:tc>
          <w:tcPr>
            <w:tcW w:w="236" w:type="dxa"/>
            <w:tcBorders>
              <w:top w:val="nil"/>
              <w:left w:val="nil"/>
            </w:tcBorders>
            <w:vAlign w:val="bottom"/>
          </w:tcPr>
          <w:p w:rsidR="00D724FA" w:rsidRDefault="00D724FA" w:rsidP="00A858D8">
            <w:pPr>
              <w:pStyle w:val="IASBTableArial"/>
            </w:pPr>
          </w:p>
        </w:tc>
        <w:tc>
          <w:tcPr>
            <w:tcW w:w="1058" w:type="dxa"/>
            <w:tcBorders>
              <w:top w:val="nil"/>
              <w:left w:val="nil"/>
            </w:tcBorders>
            <w:vAlign w:val="bottom"/>
          </w:tcPr>
          <w:p w:rsidR="00D724FA" w:rsidRDefault="00D724FA" w:rsidP="00A858D8">
            <w:pPr>
              <w:pStyle w:val="IASBTableArial"/>
            </w:pPr>
          </w:p>
        </w:tc>
        <w:tc>
          <w:tcPr>
            <w:tcW w:w="236" w:type="dxa"/>
            <w:tcBorders>
              <w:top w:val="nil"/>
              <w:left w:val="nil"/>
            </w:tcBorders>
            <w:vAlign w:val="bottom"/>
          </w:tcPr>
          <w:p w:rsidR="00D724FA" w:rsidRDefault="00D724FA" w:rsidP="00A858D8">
            <w:pPr>
              <w:pStyle w:val="IASBTableArial"/>
            </w:pPr>
          </w:p>
        </w:tc>
        <w:tc>
          <w:tcPr>
            <w:tcW w:w="1058" w:type="dxa"/>
            <w:tcBorders>
              <w:top w:val="nil"/>
              <w:left w:val="nil"/>
            </w:tcBorders>
            <w:vAlign w:val="bottom"/>
          </w:tcPr>
          <w:p w:rsidR="00D724FA" w:rsidRDefault="00D724FA" w:rsidP="00A858D8">
            <w:pPr>
              <w:pStyle w:val="IASBTableArial"/>
            </w:pPr>
          </w:p>
        </w:tc>
        <w:tc>
          <w:tcPr>
            <w:tcW w:w="236" w:type="dxa"/>
            <w:tcBorders>
              <w:top w:val="nil"/>
              <w:left w:val="nil"/>
            </w:tcBorders>
            <w:vAlign w:val="bottom"/>
          </w:tcPr>
          <w:p w:rsidR="00D724FA" w:rsidRDefault="00D724FA" w:rsidP="00A858D8">
            <w:pPr>
              <w:pStyle w:val="IASBTableArial"/>
            </w:pPr>
          </w:p>
        </w:tc>
        <w:tc>
          <w:tcPr>
            <w:tcW w:w="1058" w:type="dxa"/>
            <w:tcBorders>
              <w:top w:val="nil"/>
              <w:left w:val="nil"/>
            </w:tcBorders>
            <w:vAlign w:val="bottom"/>
          </w:tcPr>
          <w:p w:rsidR="00D724FA" w:rsidRDefault="00D724FA" w:rsidP="00A858D8">
            <w:pPr>
              <w:pStyle w:val="IASBTableArial"/>
            </w:pPr>
          </w:p>
        </w:tc>
        <w:tc>
          <w:tcPr>
            <w:tcW w:w="236" w:type="dxa"/>
            <w:tcBorders>
              <w:top w:val="nil"/>
              <w:left w:val="nil"/>
            </w:tcBorders>
            <w:vAlign w:val="bottom"/>
          </w:tcPr>
          <w:p w:rsidR="00D724FA" w:rsidRDefault="00D724FA" w:rsidP="00A858D8">
            <w:pPr>
              <w:pStyle w:val="IASBTableArial"/>
            </w:pPr>
          </w:p>
        </w:tc>
        <w:tc>
          <w:tcPr>
            <w:tcW w:w="1058" w:type="dxa"/>
            <w:tcBorders>
              <w:top w:val="nil"/>
              <w:left w:val="nil"/>
            </w:tcBorders>
            <w:vAlign w:val="bottom"/>
          </w:tcPr>
          <w:p w:rsidR="00D724FA" w:rsidRDefault="00D724FA" w:rsidP="00A858D8">
            <w:pPr>
              <w:pStyle w:val="IASBTableArial"/>
            </w:pPr>
          </w:p>
        </w:tc>
      </w:tr>
      <w:tr w:rsidR="00D724FA" w:rsidTr="00F609F6">
        <w:trPr>
          <w:cantSplit/>
        </w:trPr>
        <w:tc>
          <w:tcPr>
            <w:tcW w:w="3020" w:type="dxa"/>
            <w:tcBorders>
              <w:top w:val="nil"/>
            </w:tcBorders>
            <w:vAlign w:val="bottom"/>
          </w:tcPr>
          <w:p w:rsidR="00D724FA" w:rsidRDefault="00D724FA" w:rsidP="00A858D8">
            <w:pPr>
              <w:pStyle w:val="IASBTableArial"/>
            </w:pPr>
            <w:r>
              <w:rPr>
                <w:sz w:val="15"/>
              </w:rPr>
              <w:t>Ordinary shares outstanding</w:t>
            </w:r>
          </w:p>
        </w:tc>
        <w:tc>
          <w:tcPr>
            <w:tcW w:w="1092" w:type="dxa"/>
            <w:tcBorders>
              <w:top w:val="nil"/>
              <w:left w:val="nil"/>
            </w:tcBorders>
            <w:vAlign w:val="bottom"/>
          </w:tcPr>
          <w:p w:rsidR="00D724FA" w:rsidRDefault="00D724FA" w:rsidP="00A858D8">
            <w:pPr>
              <w:pStyle w:val="IASBTableArial"/>
              <w:jc w:val="right"/>
            </w:pPr>
            <w:r>
              <w:rPr>
                <w:sz w:val="15"/>
              </w:rPr>
              <w:t>1,000,000</w:t>
            </w:r>
          </w:p>
        </w:tc>
        <w:tc>
          <w:tcPr>
            <w:tcW w:w="236" w:type="dxa"/>
            <w:tcBorders>
              <w:top w:val="nil"/>
              <w:left w:val="nil"/>
            </w:tcBorders>
            <w:vAlign w:val="bottom"/>
          </w:tcPr>
          <w:p w:rsidR="00D724FA" w:rsidRDefault="00D724FA" w:rsidP="00A858D8">
            <w:pPr>
              <w:pStyle w:val="IASBTableArial"/>
            </w:pPr>
          </w:p>
        </w:tc>
        <w:tc>
          <w:tcPr>
            <w:tcW w:w="1058" w:type="dxa"/>
            <w:tcBorders>
              <w:top w:val="nil"/>
              <w:left w:val="nil"/>
            </w:tcBorders>
            <w:vAlign w:val="bottom"/>
          </w:tcPr>
          <w:p w:rsidR="00D724FA" w:rsidRDefault="00D724FA" w:rsidP="00A858D8">
            <w:pPr>
              <w:pStyle w:val="IASBTableArial"/>
              <w:jc w:val="right"/>
            </w:pPr>
            <w:r>
              <w:rPr>
                <w:sz w:val="15"/>
              </w:rPr>
              <w:t>1,000,000</w:t>
            </w:r>
          </w:p>
        </w:tc>
        <w:tc>
          <w:tcPr>
            <w:tcW w:w="236" w:type="dxa"/>
            <w:tcBorders>
              <w:top w:val="nil"/>
              <w:left w:val="nil"/>
            </w:tcBorders>
            <w:vAlign w:val="bottom"/>
          </w:tcPr>
          <w:p w:rsidR="00D724FA" w:rsidRDefault="00D724FA" w:rsidP="00A858D8">
            <w:pPr>
              <w:pStyle w:val="IASBTableArial"/>
            </w:pPr>
          </w:p>
        </w:tc>
        <w:tc>
          <w:tcPr>
            <w:tcW w:w="1058" w:type="dxa"/>
            <w:tcBorders>
              <w:top w:val="nil"/>
              <w:left w:val="nil"/>
            </w:tcBorders>
            <w:vAlign w:val="bottom"/>
          </w:tcPr>
          <w:p w:rsidR="00D724FA" w:rsidRDefault="00D724FA" w:rsidP="00A858D8">
            <w:pPr>
              <w:pStyle w:val="IASBTableArial"/>
              <w:jc w:val="right"/>
            </w:pPr>
            <w:r>
              <w:rPr>
                <w:sz w:val="15"/>
              </w:rPr>
              <w:t>1,000,000</w:t>
            </w:r>
          </w:p>
        </w:tc>
        <w:tc>
          <w:tcPr>
            <w:tcW w:w="236" w:type="dxa"/>
            <w:tcBorders>
              <w:top w:val="nil"/>
              <w:left w:val="nil"/>
            </w:tcBorders>
            <w:vAlign w:val="bottom"/>
          </w:tcPr>
          <w:p w:rsidR="00D724FA" w:rsidRDefault="00D724FA" w:rsidP="00A858D8">
            <w:pPr>
              <w:pStyle w:val="IASBTableArial"/>
            </w:pPr>
          </w:p>
        </w:tc>
        <w:tc>
          <w:tcPr>
            <w:tcW w:w="1058" w:type="dxa"/>
            <w:tcBorders>
              <w:top w:val="nil"/>
              <w:left w:val="nil"/>
            </w:tcBorders>
            <w:vAlign w:val="bottom"/>
          </w:tcPr>
          <w:p w:rsidR="00D724FA" w:rsidRDefault="00D724FA" w:rsidP="00A858D8">
            <w:pPr>
              <w:pStyle w:val="IASBTableArial"/>
              <w:jc w:val="right"/>
            </w:pPr>
            <w:r>
              <w:rPr>
                <w:sz w:val="15"/>
              </w:rPr>
              <w:t>1,000,000</w:t>
            </w:r>
          </w:p>
        </w:tc>
        <w:tc>
          <w:tcPr>
            <w:tcW w:w="236" w:type="dxa"/>
            <w:tcBorders>
              <w:top w:val="nil"/>
              <w:left w:val="nil"/>
            </w:tcBorders>
            <w:vAlign w:val="bottom"/>
          </w:tcPr>
          <w:p w:rsidR="00D724FA" w:rsidRDefault="00D724FA" w:rsidP="00A858D8">
            <w:pPr>
              <w:pStyle w:val="IASBTableArial"/>
            </w:pPr>
          </w:p>
        </w:tc>
        <w:tc>
          <w:tcPr>
            <w:tcW w:w="1058" w:type="dxa"/>
            <w:tcBorders>
              <w:top w:val="nil"/>
              <w:left w:val="nil"/>
            </w:tcBorders>
            <w:vAlign w:val="bottom"/>
          </w:tcPr>
          <w:p w:rsidR="00D724FA" w:rsidRDefault="00D724FA" w:rsidP="00A858D8">
            <w:pPr>
              <w:pStyle w:val="IASBTableArial"/>
              <w:jc w:val="right"/>
            </w:pPr>
            <w:r>
              <w:rPr>
                <w:sz w:val="15"/>
              </w:rPr>
              <w:t>1,000,000</w:t>
            </w:r>
          </w:p>
        </w:tc>
      </w:tr>
      <w:tr w:rsidR="00D724FA" w:rsidTr="00F609F6">
        <w:trPr>
          <w:cantSplit/>
        </w:trPr>
        <w:tc>
          <w:tcPr>
            <w:tcW w:w="3020" w:type="dxa"/>
            <w:tcBorders>
              <w:top w:val="nil"/>
            </w:tcBorders>
            <w:vAlign w:val="bottom"/>
          </w:tcPr>
          <w:p w:rsidR="00D724FA" w:rsidRDefault="00D724FA" w:rsidP="00A858D8">
            <w:pPr>
              <w:pStyle w:val="IASBTableArial"/>
            </w:pPr>
            <w:r>
              <w:rPr>
                <w:sz w:val="15"/>
              </w:rPr>
              <w:t>Retail site contingency</w:t>
            </w:r>
          </w:p>
        </w:tc>
        <w:tc>
          <w:tcPr>
            <w:tcW w:w="1092" w:type="dxa"/>
            <w:tcBorders>
              <w:top w:val="nil"/>
              <w:left w:val="nil"/>
            </w:tcBorders>
            <w:vAlign w:val="bottom"/>
          </w:tcPr>
          <w:p w:rsidR="00D724FA" w:rsidRDefault="00D724FA" w:rsidP="00A858D8">
            <w:pPr>
              <w:pStyle w:val="IASBTableArial"/>
              <w:jc w:val="right"/>
            </w:pPr>
            <w:r>
              <w:rPr>
                <w:sz w:val="15"/>
              </w:rPr>
              <w:t>–</w:t>
            </w:r>
          </w:p>
        </w:tc>
        <w:tc>
          <w:tcPr>
            <w:tcW w:w="236" w:type="dxa"/>
            <w:tcBorders>
              <w:top w:val="nil"/>
              <w:left w:val="nil"/>
            </w:tcBorders>
            <w:vAlign w:val="bottom"/>
          </w:tcPr>
          <w:p w:rsidR="00D724FA" w:rsidRDefault="00D724FA" w:rsidP="00A858D8">
            <w:pPr>
              <w:pStyle w:val="IASBTableArial"/>
            </w:pPr>
          </w:p>
        </w:tc>
        <w:tc>
          <w:tcPr>
            <w:tcW w:w="1058" w:type="dxa"/>
            <w:tcBorders>
              <w:top w:val="nil"/>
              <w:left w:val="nil"/>
            </w:tcBorders>
            <w:vAlign w:val="bottom"/>
          </w:tcPr>
          <w:p w:rsidR="00D724FA" w:rsidRDefault="00D724FA" w:rsidP="00A858D8">
            <w:pPr>
              <w:pStyle w:val="IASBTableArial"/>
              <w:jc w:val="right"/>
            </w:pPr>
            <w:r>
              <w:rPr>
                <w:sz w:val="15"/>
              </w:rPr>
              <w:t>5,000</w:t>
            </w:r>
          </w:p>
        </w:tc>
        <w:tc>
          <w:tcPr>
            <w:tcW w:w="236" w:type="dxa"/>
            <w:tcBorders>
              <w:top w:val="nil"/>
              <w:left w:val="nil"/>
            </w:tcBorders>
            <w:vAlign w:val="bottom"/>
          </w:tcPr>
          <w:p w:rsidR="00D724FA" w:rsidRDefault="00D724FA" w:rsidP="00A858D8">
            <w:pPr>
              <w:pStyle w:val="IASBTableArial"/>
            </w:pPr>
          </w:p>
        </w:tc>
        <w:tc>
          <w:tcPr>
            <w:tcW w:w="1058" w:type="dxa"/>
            <w:tcBorders>
              <w:top w:val="nil"/>
              <w:left w:val="nil"/>
            </w:tcBorders>
            <w:vAlign w:val="bottom"/>
          </w:tcPr>
          <w:p w:rsidR="00D724FA" w:rsidRDefault="00D724FA" w:rsidP="00A858D8">
            <w:pPr>
              <w:pStyle w:val="IASBTableArial"/>
              <w:jc w:val="right"/>
            </w:pPr>
            <w:r>
              <w:rPr>
                <w:sz w:val="15"/>
              </w:rPr>
              <w:t>10,000</w:t>
            </w:r>
          </w:p>
        </w:tc>
        <w:tc>
          <w:tcPr>
            <w:tcW w:w="236" w:type="dxa"/>
            <w:tcBorders>
              <w:top w:val="nil"/>
              <w:left w:val="nil"/>
            </w:tcBorders>
            <w:vAlign w:val="bottom"/>
          </w:tcPr>
          <w:p w:rsidR="00D724FA" w:rsidRDefault="00D724FA" w:rsidP="00A858D8">
            <w:pPr>
              <w:pStyle w:val="IASBTableArial"/>
            </w:pPr>
          </w:p>
        </w:tc>
        <w:tc>
          <w:tcPr>
            <w:tcW w:w="1058" w:type="dxa"/>
            <w:tcBorders>
              <w:top w:val="nil"/>
              <w:left w:val="nil"/>
            </w:tcBorders>
            <w:vAlign w:val="bottom"/>
          </w:tcPr>
          <w:p w:rsidR="00D724FA" w:rsidRDefault="00D724FA" w:rsidP="00A858D8">
            <w:pPr>
              <w:pStyle w:val="IASBTableArial"/>
              <w:jc w:val="right"/>
            </w:pPr>
            <w:r>
              <w:rPr>
                <w:sz w:val="15"/>
              </w:rPr>
              <w:t>10,000</w:t>
            </w:r>
          </w:p>
        </w:tc>
        <w:tc>
          <w:tcPr>
            <w:tcW w:w="236" w:type="dxa"/>
            <w:tcBorders>
              <w:top w:val="nil"/>
              <w:left w:val="nil"/>
            </w:tcBorders>
            <w:vAlign w:val="bottom"/>
          </w:tcPr>
          <w:p w:rsidR="00D724FA" w:rsidRDefault="00D724FA" w:rsidP="00A858D8">
            <w:pPr>
              <w:pStyle w:val="IASBTableArial"/>
            </w:pPr>
          </w:p>
        </w:tc>
        <w:tc>
          <w:tcPr>
            <w:tcW w:w="1058" w:type="dxa"/>
            <w:tcBorders>
              <w:top w:val="nil"/>
              <w:left w:val="nil"/>
            </w:tcBorders>
            <w:vAlign w:val="bottom"/>
          </w:tcPr>
          <w:p w:rsidR="00D724FA" w:rsidRDefault="00D724FA" w:rsidP="00A858D8">
            <w:pPr>
              <w:pStyle w:val="IASBTableArial"/>
              <w:jc w:val="right"/>
            </w:pPr>
            <w:r>
              <w:rPr>
                <w:sz w:val="15"/>
              </w:rPr>
              <w:t>10,000</w:t>
            </w:r>
          </w:p>
        </w:tc>
      </w:tr>
      <w:tr w:rsidR="00D724FA" w:rsidTr="00F609F6">
        <w:trPr>
          <w:cantSplit/>
        </w:trPr>
        <w:tc>
          <w:tcPr>
            <w:tcW w:w="3020" w:type="dxa"/>
            <w:tcBorders>
              <w:top w:val="nil"/>
            </w:tcBorders>
            <w:vAlign w:val="bottom"/>
          </w:tcPr>
          <w:p w:rsidR="00D724FA" w:rsidRDefault="00D724FA" w:rsidP="00A858D8">
            <w:pPr>
              <w:pStyle w:val="IASBTableArial"/>
            </w:pPr>
            <w:r>
              <w:rPr>
                <w:sz w:val="15"/>
              </w:rPr>
              <w:t>Earnings contingency</w:t>
            </w:r>
          </w:p>
        </w:tc>
        <w:tc>
          <w:tcPr>
            <w:tcW w:w="1092" w:type="dxa"/>
            <w:tcBorders>
              <w:top w:val="nil"/>
              <w:left w:val="nil"/>
              <w:bottom w:val="single" w:sz="4" w:space="0" w:color="auto"/>
            </w:tcBorders>
            <w:vAlign w:val="bottom"/>
          </w:tcPr>
          <w:p w:rsidR="00D724FA" w:rsidRDefault="00D724FA" w:rsidP="00A858D8">
            <w:pPr>
              <w:pStyle w:val="IASBTableArial"/>
              <w:jc w:val="right"/>
            </w:pPr>
            <w:r>
              <w:rPr>
                <w:sz w:val="15"/>
              </w:rPr>
              <w:t>–</w:t>
            </w:r>
            <w:r>
              <w:rPr>
                <w:vertAlign w:val="superscript"/>
              </w:rPr>
              <w:t>(a)</w:t>
            </w:r>
          </w:p>
        </w:tc>
        <w:tc>
          <w:tcPr>
            <w:tcW w:w="236" w:type="dxa"/>
            <w:tcBorders>
              <w:top w:val="nil"/>
              <w:left w:val="nil"/>
            </w:tcBorders>
          </w:tcPr>
          <w:p w:rsidR="00D724FA" w:rsidRDefault="00D724FA" w:rsidP="00A858D8">
            <w:pPr>
              <w:pStyle w:val="IASBTableArial"/>
            </w:pPr>
          </w:p>
        </w:tc>
        <w:tc>
          <w:tcPr>
            <w:tcW w:w="1058" w:type="dxa"/>
            <w:tcBorders>
              <w:top w:val="nil"/>
              <w:left w:val="nil"/>
              <w:bottom w:val="single" w:sz="4" w:space="0" w:color="auto"/>
            </w:tcBorders>
            <w:vAlign w:val="bottom"/>
          </w:tcPr>
          <w:p w:rsidR="00D724FA" w:rsidRDefault="00D724FA" w:rsidP="00A858D8">
            <w:pPr>
              <w:pStyle w:val="IASBTableArial"/>
              <w:jc w:val="right"/>
            </w:pPr>
            <w:r>
              <w:rPr>
                <w:sz w:val="15"/>
              </w:rPr>
              <w:t>300,000</w:t>
            </w:r>
            <w:r>
              <w:rPr>
                <w:vertAlign w:val="superscript"/>
              </w:rPr>
              <w:t>(b)</w:t>
            </w:r>
          </w:p>
        </w:tc>
        <w:tc>
          <w:tcPr>
            <w:tcW w:w="236" w:type="dxa"/>
            <w:tcBorders>
              <w:top w:val="nil"/>
              <w:left w:val="nil"/>
            </w:tcBorders>
          </w:tcPr>
          <w:p w:rsidR="00D724FA" w:rsidRDefault="00D724FA" w:rsidP="00A858D8">
            <w:pPr>
              <w:pStyle w:val="IASBTableArial"/>
            </w:pPr>
          </w:p>
        </w:tc>
        <w:tc>
          <w:tcPr>
            <w:tcW w:w="1058" w:type="dxa"/>
            <w:tcBorders>
              <w:top w:val="nil"/>
              <w:left w:val="nil"/>
              <w:bottom w:val="single" w:sz="4" w:space="0" w:color="auto"/>
            </w:tcBorders>
            <w:vAlign w:val="bottom"/>
          </w:tcPr>
          <w:p w:rsidR="00D724FA" w:rsidRDefault="00D724FA" w:rsidP="00A858D8">
            <w:pPr>
              <w:pStyle w:val="IASBTableArial"/>
              <w:jc w:val="right"/>
            </w:pPr>
            <w:r>
              <w:rPr>
                <w:sz w:val="15"/>
              </w:rPr>
              <w:t>–</w:t>
            </w:r>
            <w:r>
              <w:rPr>
                <w:vertAlign w:val="superscript"/>
              </w:rPr>
              <w:t>(c)</w:t>
            </w:r>
          </w:p>
        </w:tc>
        <w:tc>
          <w:tcPr>
            <w:tcW w:w="236" w:type="dxa"/>
            <w:tcBorders>
              <w:top w:val="nil"/>
              <w:left w:val="nil"/>
            </w:tcBorders>
          </w:tcPr>
          <w:p w:rsidR="00D724FA" w:rsidRDefault="00D724FA" w:rsidP="00A858D8">
            <w:pPr>
              <w:pStyle w:val="IASBTableArial"/>
            </w:pPr>
          </w:p>
        </w:tc>
        <w:tc>
          <w:tcPr>
            <w:tcW w:w="1058" w:type="dxa"/>
            <w:tcBorders>
              <w:top w:val="nil"/>
              <w:left w:val="nil"/>
              <w:bottom w:val="single" w:sz="4" w:space="0" w:color="auto"/>
            </w:tcBorders>
            <w:vAlign w:val="bottom"/>
          </w:tcPr>
          <w:p w:rsidR="00D724FA" w:rsidRDefault="00D724FA" w:rsidP="00A858D8">
            <w:pPr>
              <w:pStyle w:val="IASBTableArial"/>
              <w:jc w:val="right"/>
            </w:pPr>
            <w:r>
              <w:rPr>
                <w:sz w:val="15"/>
              </w:rPr>
              <w:t>900,000</w:t>
            </w:r>
            <w:r>
              <w:rPr>
                <w:vertAlign w:val="superscript"/>
              </w:rPr>
              <w:t>(d)</w:t>
            </w:r>
          </w:p>
        </w:tc>
        <w:tc>
          <w:tcPr>
            <w:tcW w:w="236" w:type="dxa"/>
            <w:tcBorders>
              <w:top w:val="nil"/>
              <w:left w:val="nil"/>
            </w:tcBorders>
          </w:tcPr>
          <w:p w:rsidR="00D724FA" w:rsidRDefault="00D724FA" w:rsidP="00A858D8">
            <w:pPr>
              <w:pStyle w:val="IASBTableArial"/>
            </w:pPr>
          </w:p>
        </w:tc>
        <w:tc>
          <w:tcPr>
            <w:tcW w:w="1058" w:type="dxa"/>
            <w:tcBorders>
              <w:top w:val="nil"/>
              <w:left w:val="nil"/>
              <w:bottom w:val="single" w:sz="4" w:space="0" w:color="auto"/>
            </w:tcBorders>
            <w:vAlign w:val="bottom"/>
          </w:tcPr>
          <w:p w:rsidR="00D724FA" w:rsidRDefault="00D724FA" w:rsidP="00A858D8">
            <w:pPr>
              <w:pStyle w:val="IASBTableArial"/>
              <w:jc w:val="right"/>
            </w:pPr>
            <w:r>
              <w:rPr>
                <w:sz w:val="15"/>
              </w:rPr>
              <w:t>900,000</w:t>
            </w:r>
            <w:r>
              <w:rPr>
                <w:vertAlign w:val="superscript"/>
              </w:rPr>
              <w:t>(d)</w:t>
            </w:r>
          </w:p>
        </w:tc>
      </w:tr>
      <w:tr w:rsidR="00D724FA" w:rsidTr="00F609F6">
        <w:trPr>
          <w:cantSplit/>
        </w:trPr>
        <w:tc>
          <w:tcPr>
            <w:tcW w:w="3020" w:type="dxa"/>
            <w:tcBorders>
              <w:top w:val="nil"/>
            </w:tcBorders>
            <w:vAlign w:val="bottom"/>
          </w:tcPr>
          <w:p w:rsidR="00D724FA" w:rsidRDefault="00D724FA" w:rsidP="00A858D8">
            <w:pPr>
              <w:pStyle w:val="IASBTableArial"/>
            </w:pPr>
            <w:r>
              <w:rPr>
                <w:sz w:val="15"/>
              </w:rPr>
              <w:t>Total shares</w:t>
            </w:r>
          </w:p>
        </w:tc>
        <w:tc>
          <w:tcPr>
            <w:tcW w:w="1092" w:type="dxa"/>
            <w:tcBorders>
              <w:top w:val="nil"/>
              <w:left w:val="nil"/>
              <w:bottom w:val="double" w:sz="4" w:space="0" w:color="auto"/>
            </w:tcBorders>
            <w:vAlign w:val="bottom"/>
          </w:tcPr>
          <w:p w:rsidR="00D724FA" w:rsidRDefault="00D724FA" w:rsidP="00A858D8">
            <w:pPr>
              <w:pStyle w:val="IASBTableArial"/>
              <w:jc w:val="right"/>
            </w:pPr>
            <w:r>
              <w:rPr>
                <w:sz w:val="15"/>
              </w:rPr>
              <w:t>1,000,000</w:t>
            </w:r>
          </w:p>
        </w:tc>
        <w:tc>
          <w:tcPr>
            <w:tcW w:w="236" w:type="dxa"/>
            <w:tcBorders>
              <w:top w:val="nil"/>
              <w:left w:val="nil"/>
            </w:tcBorders>
            <w:vAlign w:val="bottom"/>
          </w:tcPr>
          <w:p w:rsidR="00D724FA" w:rsidRDefault="00D724FA" w:rsidP="00A858D8">
            <w:pPr>
              <w:pStyle w:val="IASBTableArial"/>
            </w:pPr>
          </w:p>
        </w:tc>
        <w:tc>
          <w:tcPr>
            <w:tcW w:w="1058" w:type="dxa"/>
            <w:tcBorders>
              <w:top w:val="nil"/>
              <w:left w:val="nil"/>
              <w:bottom w:val="double" w:sz="4" w:space="0" w:color="auto"/>
            </w:tcBorders>
            <w:vAlign w:val="bottom"/>
          </w:tcPr>
          <w:p w:rsidR="00D724FA" w:rsidRDefault="00D724FA" w:rsidP="00A858D8">
            <w:pPr>
              <w:pStyle w:val="IASBTableArial"/>
              <w:jc w:val="right"/>
            </w:pPr>
            <w:r>
              <w:rPr>
                <w:sz w:val="15"/>
              </w:rPr>
              <w:t>1,305,000</w:t>
            </w:r>
          </w:p>
        </w:tc>
        <w:tc>
          <w:tcPr>
            <w:tcW w:w="236" w:type="dxa"/>
            <w:tcBorders>
              <w:top w:val="nil"/>
              <w:left w:val="nil"/>
            </w:tcBorders>
            <w:vAlign w:val="bottom"/>
          </w:tcPr>
          <w:p w:rsidR="00D724FA" w:rsidRDefault="00D724FA" w:rsidP="00A858D8">
            <w:pPr>
              <w:pStyle w:val="IASBTableArial"/>
            </w:pPr>
          </w:p>
        </w:tc>
        <w:tc>
          <w:tcPr>
            <w:tcW w:w="1058" w:type="dxa"/>
            <w:tcBorders>
              <w:top w:val="nil"/>
              <w:left w:val="nil"/>
              <w:bottom w:val="double" w:sz="4" w:space="0" w:color="auto"/>
            </w:tcBorders>
            <w:vAlign w:val="bottom"/>
          </w:tcPr>
          <w:p w:rsidR="00D724FA" w:rsidRDefault="00D724FA" w:rsidP="00A858D8">
            <w:pPr>
              <w:pStyle w:val="IASBTableArial"/>
              <w:jc w:val="right"/>
            </w:pPr>
            <w:r>
              <w:rPr>
                <w:sz w:val="15"/>
              </w:rPr>
              <w:t>1,010,000</w:t>
            </w:r>
          </w:p>
        </w:tc>
        <w:tc>
          <w:tcPr>
            <w:tcW w:w="236" w:type="dxa"/>
            <w:tcBorders>
              <w:top w:val="nil"/>
              <w:left w:val="nil"/>
            </w:tcBorders>
            <w:vAlign w:val="bottom"/>
          </w:tcPr>
          <w:p w:rsidR="00D724FA" w:rsidRDefault="00D724FA" w:rsidP="00A858D8">
            <w:pPr>
              <w:pStyle w:val="IASBTableArial"/>
            </w:pPr>
          </w:p>
        </w:tc>
        <w:tc>
          <w:tcPr>
            <w:tcW w:w="1058" w:type="dxa"/>
            <w:tcBorders>
              <w:top w:val="nil"/>
              <w:left w:val="nil"/>
              <w:bottom w:val="double" w:sz="4" w:space="0" w:color="auto"/>
            </w:tcBorders>
            <w:vAlign w:val="bottom"/>
          </w:tcPr>
          <w:p w:rsidR="00D724FA" w:rsidRDefault="00D724FA" w:rsidP="00A858D8">
            <w:pPr>
              <w:pStyle w:val="IASBTableArial"/>
              <w:jc w:val="right"/>
            </w:pPr>
            <w:r>
              <w:rPr>
                <w:sz w:val="15"/>
              </w:rPr>
              <w:t>1,910,000</w:t>
            </w:r>
          </w:p>
        </w:tc>
        <w:tc>
          <w:tcPr>
            <w:tcW w:w="236" w:type="dxa"/>
            <w:tcBorders>
              <w:top w:val="nil"/>
              <w:left w:val="nil"/>
            </w:tcBorders>
            <w:vAlign w:val="bottom"/>
          </w:tcPr>
          <w:p w:rsidR="00D724FA" w:rsidRDefault="00D724FA" w:rsidP="00A858D8">
            <w:pPr>
              <w:pStyle w:val="IASBTableArial"/>
            </w:pPr>
          </w:p>
        </w:tc>
        <w:tc>
          <w:tcPr>
            <w:tcW w:w="1058" w:type="dxa"/>
            <w:tcBorders>
              <w:top w:val="nil"/>
              <w:left w:val="nil"/>
              <w:bottom w:val="double" w:sz="4" w:space="0" w:color="auto"/>
            </w:tcBorders>
            <w:vAlign w:val="bottom"/>
          </w:tcPr>
          <w:p w:rsidR="00D724FA" w:rsidRDefault="00D724FA" w:rsidP="00A858D8">
            <w:pPr>
              <w:pStyle w:val="IASBTableArial"/>
              <w:jc w:val="right"/>
            </w:pPr>
            <w:r>
              <w:rPr>
                <w:sz w:val="15"/>
              </w:rPr>
              <w:t>1,910,000</w:t>
            </w:r>
          </w:p>
        </w:tc>
      </w:tr>
      <w:tr w:rsidR="00D724FA" w:rsidTr="00F609F6">
        <w:trPr>
          <w:cantSplit/>
        </w:trPr>
        <w:tc>
          <w:tcPr>
            <w:tcW w:w="3020" w:type="dxa"/>
            <w:tcBorders>
              <w:top w:val="nil"/>
            </w:tcBorders>
            <w:vAlign w:val="bottom"/>
          </w:tcPr>
          <w:p w:rsidR="00D724FA" w:rsidRDefault="00D724FA" w:rsidP="00A858D8">
            <w:pPr>
              <w:pStyle w:val="IASBTableArial"/>
            </w:pPr>
            <w:r>
              <w:rPr>
                <w:sz w:val="15"/>
              </w:rPr>
              <w:t>Diluted earnings per share (CU)</w:t>
            </w:r>
          </w:p>
        </w:tc>
        <w:tc>
          <w:tcPr>
            <w:tcW w:w="1092" w:type="dxa"/>
            <w:tcBorders>
              <w:top w:val="nil"/>
              <w:left w:val="nil"/>
              <w:bottom w:val="double" w:sz="4" w:space="0" w:color="auto"/>
            </w:tcBorders>
            <w:vAlign w:val="bottom"/>
          </w:tcPr>
          <w:p w:rsidR="00D724FA" w:rsidRDefault="00D724FA" w:rsidP="00A858D8">
            <w:pPr>
              <w:pStyle w:val="IASBTableArial"/>
              <w:jc w:val="right"/>
            </w:pPr>
            <w:r>
              <w:rPr>
                <w:sz w:val="15"/>
              </w:rPr>
              <w:t>1.10</w:t>
            </w:r>
          </w:p>
        </w:tc>
        <w:tc>
          <w:tcPr>
            <w:tcW w:w="236" w:type="dxa"/>
            <w:tcBorders>
              <w:top w:val="nil"/>
              <w:left w:val="nil"/>
            </w:tcBorders>
            <w:vAlign w:val="bottom"/>
          </w:tcPr>
          <w:p w:rsidR="00D724FA" w:rsidRDefault="00D724FA" w:rsidP="00A858D8">
            <w:pPr>
              <w:pStyle w:val="IASBTableArial"/>
            </w:pPr>
          </w:p>
        </w:tc>
        <w:tc>
          <w:tcPr>
            <w:tcW w:w="1058" w:type="dxa"/>
            <w:tcBorders>
              <w:top w:val="nil"/>
              <w:left w:val="nil"/>
              <w:bottom w:val="double" w:sz="4" w:space="0" w:color="auto"/>
            </w:tcBorders>
            <w:vAlign w:val="bottom"/>
          </w:tcPr>
          <w:p w:rsidR="00D724FA" w:rsidRDefault="00D724FA" w:rsidP="00A858D8">
            <w:pPr>
              <w:pStyle w:val="IASBTableArial"/>
              <w:jc w:val="right"/>
            </w:pPr>
            <w:r>
              <w:rPr>
                <w:sz w:val="15"/>
              </w:rPr>
              <w:t>0.92</w:t>
            </w:r>
          </w:p>
        </w:tc>
        <w:tc>
          <w:tcPr>
            <w:tcW w:w="236" w:type="dxa"/>
            <w:tcBorders>
              <w:top w:val="nil"/>
              <w:left w:val="nil"/>
            </w:tcBorders>
            <w:vAlign w:val="bottom"/>
          </w:tcPr>
          <w:p w:rsidR="00D724FA" w:rsidRDefault="00D724FA" w:rsidP="00A858D8">
            <w:pPr>
              <w:pStyle w:val="IASBTableArial"/>
            </w:pPr>
          </w:p>
        </w:tc>
        <w:tc>
          <w:tcPr>
            <w:tcW w:w="1058" w:type="dxa"/>
            <w:tcBorders>
              <w:top w:val="nil"/>
              <w:left w:val="nil"/>
              <w:bottom w:val="double" w:sz="4" w:space="0" w:color="auto"/>
            </w:tcBorders>
            <w:vAlign w:val="bottom"/>
          </w:tcPr>
          <w:p w:rsidR="00D724FA" w:rsidRDefault="00D724FA" w:rsidP="00A858D8">
            <w:pPr>
              <w:pStyle w:val="IASBTableArial"/>
              <w:jc w:val="right"/>
            </w:pPr>
            <w:r>
              <w:rPr>
                <w:sz w:val="15"/>
              </w:rPr>
              <w:t>(0.40)</w:t>
            </w:r>
            <w:r>
              <w:rPr>
                <w:vertAlign w:val="superscript"/>
              </w:rPr>
              <w:t>(e)</w:t>
            </w:r>
          </w:p>
        </w:tc>
        <w:tc>
          <w:tcPr>
            <w:tcW w:w="236" w:type="dxa"/>
            <w:tcBorders>
              <w:top w:val="nil"/>
              <w:left w:val="nil"/>
            </w:tcBorders>
            <w:vAlign w:val="bottom"/>
          </w:tcPr>
          <w:p w:rsidR="00D724FA" w:rsidRDefault="00D724FA" w:rsidP="00A858D8">
            <w:pPr>
              <w:pStyle w:val="IASBTableArial"/>
            </w:pPr>
          </w:p>
        </w:tc>
        <w:tc>
          <w:tcPr>
            <w:tcW w:w="1058" w:type="dxa"/>
            <w:tcBorders>
              <w:top w:val="nil"/>
              <w:left w:val="nil"/>
              <w:bottom w:val="double" w:sz="4" w:space="0" w:color="auto"/>
            </w:tcBorders>
            <w:vAlign w:val="bottom"/>
          </w:tcPr>
          <w:p w:rsidR="00D724FA" w:rsidRDefault="00D724FA" w:rsidP="00A858D8">
            <w:pPr>
              <w:pStyle w:val="IASBTableArial"/>
              <w:jc w:val="right"/>
            </w:pPr>
            <w:r>
              <w:rPr>
                <w:sz w:val="15"/>
              </w:rPr>
              <w:t>0.52</w:t>
            </w:r>
          </w:p>
        </w:tc>
        <w:tc>
          <w:tcPr>
            <w:tcW w:w="236" w:type="dxa"/>
            <w:tcBorders>
              <w:top w:val="nil"/>
              <w:left w:val="nil"/>
            </w:tcBorders>
            <w:vAlign w:val="bottom"/>
          </w:tcPr>
          <w:p w:rsidR="00D724FA" w:rsidRDefault="00D724FA" w:rsidP="00A858D8">
            <w:pPr>
              <w:pStyle w:val="IASBTableArial"/>
            </w:pPr>
          </w:p>
        </w:tc>
        <w:tc>
          <w:tcPr>
            <w:tcW w:w="1058" w:type="dxa"/>
            <w:tcBorders>
              <w:top w:val="nil"/>
              <w:left w:val="nil"/>
              <w:bottom w:val="double" w:sz="4" w:space="0" w:color="auto"/>
            </w:tcBorders>
            <w:vAlign w:val="bottom"/>
          </w:tcPr>
          <w:p w:rsidR="00D724FA" w:rsidRDefault="00D724FA" w:rsidP="00A858D8">
            <w:pPr>
              <w:pStyle w:val="IASBTableArial"/>
              <w:jc w:val="right"/>
            </w:pPr>
            <w:r>
              <w:rPr>
                <w:sz w:val="15"/>
              </w:rPr>
              <w:t>1.52</w:t>
            </w:r>
          </w:p>
        </w:tc>
      </w:tr>
      <w:tr w:rsidR="00D724FA" w:rsidTr="00F609F6">
        <w:trPr>
          <w:cantSplit/>
        </w:trPr>
        <w:tc>
          <w:tcPr>
            <w:tcW w:w="9288" w:type="dxa"/>
            <w:gridSpan w:val="10"/>
            <w:tcBorders>
              <w:top w:val="nil"/>
            </w:tcBorders>
            <w:vAlign w:val="bottom"/>
          </w:tcPr>
          <w:p w:rsidR="00D724FA" w:rsidRDefault="00D724FA" w:rsidP="00A858D8">
            <w:pPr>
              <w:pStyle w:val="IASBTableArial"/>
            </w:pPr>
          </w:p>
        </w:tc>
      </w:tr>
      <w:tr w:rsidR="00D724FA" w:rsidTr="00F609F6">
        <w:trPr>
          <w:cantSplit/>
        </w:trPr>
        <w:tc>
          <w:tcPr>
            <w:tcW w:w="9288" w:type="dxa"/>
            <w:gridSpan w:val="10"/>
            <w:tcBorders>
              <w:top w:val="nil"/>
            </w:tcBorders>
            <w:vAlign w:val="bottom"/>
          </w:tcPr>
          <w:p w:rsidR="00D724FA" w:rsidRDefault="00D724FA" w:rsidP="00A858D8">
            <w:pPr>
              <w:pStyle w:val="IASBTableTNR"/>
              <w:numPr>
                <w:ilvl w:val="0"/>
                <w:numId w:val="1"/>
              </w:numPr>
              <w:ind w:left="426" w:hanging="426"/>
              <w:rPr>
                <w:sz w:val="16"/>
              </w:rPr>
            </w:pPr>
            <w:r>
              <w:rPr>
                <w:rStyle w:val="FootnoteReference"/>
                <w:sz w:val="16"/>
                <w:vertAlign w:val="baseline"/>
              </w:rPr>
              <w:t>Company A does not have year-to-date profit exceeding CU2,000,000 at 31 March 20X1. The Standard does not permit projecting future earnings levels and including the related contingent shares.</w:t>
            </w:r>
          </w:p>
          <w:p w:rsidR="00D724FA" w:rsidRDefault="00D724FA" w:rsidP="00A858D8">
            <w:pPr>
              <w:pStyle w:val="IASBTableTNR"/>
              <w:ind w:left="426" w:hanging="426"/>
            </w:pPr>
            <w:r>
              <w:rPr>
                <w:rStyle w:val="FootnoteReference"/>
                <w:sz w:val="16"/>
                <w:vertAlign w:val="baseline"/>
              </w:rPr>
              <w:t>(b)</w:t>
            </w:r>
            <w:r>
              <w:rPr>
                <w:rStyle w:val="FootnoteReference"/>
                <w:sz w:val="16"/>
                <w:vertAlign w:val="baseline"/>
              </w:rPr>
              <w:tab/>
              <w:t>[(CU2,300,000 – CU2,000,000) ÷ 1,000] × 1,000 shares = 300,000 shares.</w:t>
            </w:r>
          </w:p>
          <w:p w:rsidR="00D724FA" w:rsidRDefault="00D724FA" w:rsidP="00A858D8">
            <w:pPr>
              <w:pStyle w:val="IASBTableTNR"/>
              <w:ind w:left="426" w:hanging="426"/>
              <w:rPr>
                <w:sz w:val="16"/>
              </w:rPr>
            </w:pPr>
            <w:r>
              <w:rPr>
                <w:rStyle w:val="FootnoteReference"/>
                <w:sz w:val="16"/>
                <w:vertAlign w:val="baseline"/>
              </w:rPr>
              <w:t>(c)</w:t>
            </w:r>
            <w:r>
              <w:rPr>
                <w:rStyle w:val="FootnoteReference"/>
                <w:sz w:val="16"/>
                <w:vertAlign w:val="baseline"/>
              </w:rPr>
              <w:tab/>
              <w:t>Year-to-date profit is less than CU2,000,000.</w:t>
            </w:r>
          </w:p>
          <w:p w:rsidR="00D724FA" w:rsidRDefault="00D724FA" w:rsidP="00A858D8">
            <w:pPr>
              <w:pStyle w:val="IASBTableTNR"/>
              <w:ind w:left="426" w:hanging="426"/>
            </w:pPr>
            <w:r>
              <w:rPr>
                <w:sz w:val="16"/>
              </w:rPr>
              <w:t>(</w:t>
            </w:r>
            <w:r>
              <w:rPr>
                <w:rStyle w:val="FootnoteReference"/>
                <w:sz w:val="16"/>
                <w:vertAlign w:val="baseline"/>
              </w:rPr>
              <w:t>d)</w:t>
            </w:r>
            <w:r>
              <w:rPr>
                <w:rStyle w:val="FootnoteReference"/>
                <w:sz w:val="16"/>
                <w:vertAlign w:val="baseline"/>
              </w:rPr>
              <w:tab/>
              <w:t>[(CU2,900,000 – CU2,000,000) ÷ 1,000] × 1,000 shares = 900,000 shares.</w:t>
            </w:r>
          </w:p>
          <w:p w:rsidR="00D724FA" w:rsidRDefault="00D724FA" w:rsidP="00A858D8">
            <w:pPr>
              <w:pStyle w:val="IASBTableTNR"/>
              <w:ind w:left="426" w:hanging="426"/>
            </w:pPr>
            <w:r>
              <w:rPr>
                <w:rStyle w:val="FootnoteReference"/>
                <w:sz w:val="16"/>
                <w:vertAlign w:val="baseline"/>
              </w:rPr>
              <w:t>(e)</w:t>
            </w:r>
            <w:r>
              <w:rPr>
                <w:rStyle w:val="FootnoteReference"/>
                <w:sz w:val="16"/>
                <w:vertAlign w:val="baseline"/>
              </w:rPr>
              <w:tab/>
              <w:t xml:space="preserve">Because the loss during the third quarter is attributable to a loss from a discontinued operation, the </w:t>
            </w:r>
            <w:proofErr w:type="spellStart"/>
            <w:r>
              <w:rPr>
                <w:rStyle w:val="FootnoteReference"/>
                <w:sz w:val="16"/>
                <w:vertAlign w:val="baseline"/>
              </w:rPr>
              <w:t>antidilution</w:t>
            </w:r>
            <w:proofErr w:type="spellEnd"/>
            <w:r>
              <w:rPr>
                <w:rStyle w:val="FootnoteReference"/>
                <w:sz w:val="16"/>
                <w:vertAlign w:val="baseline"/>
              </w:rPr>
              <w:t xml:space="preserve"> rules do not apply. The control number (</w:t>
            </w:r>
            <w:proofErr w:type="spellStart"/>
            <w:r>
              <w:rPr>
                <w:rStyle w:val="FootnoteReference"/>
                <w:sz w:val="16"/>
                <w:vertAlign w:val="baseline"/>
              </w:rPr>
              <w:t>ie</w:t>
            </w:r>
            <w:proofErr w:type="spellEnd"/>
            <w:r>
              <w:rPr>
                <w:rStyle w:val="FootnoteReference"/>
                <w:sz w:val="16"/>
                <w:vertAlign w:val="baseline"/>
              </w:rPr>
              <w:t xml:space="preserve"> profit or loss from, continuing operations attributable to the equity holders of the parent entity) is positive. Accordingly, the effect of potential ordinary shares is included in the calculation of diluted earnings per share.</w:t>
            </w:r>
          </w:p>
        </w:tc>
      </w:tr>
    </w:tbl>
    <w:p w:rsidR="00D724FA" w:rsidRDefault="00D724FA" w:rsidP="00D724FA">
      <w:pPr>
        <w:pStyle w:val="IASBNormalnpara"/>
      </w:pPr>
    </w:p>
    <w:p w:rsidR="00F609F6" w:rsidRDefault="00F609F6">
      <w:pPr>
        <w:rPr>
          <w:rFonts w:ascii="Arial" w:hAnsi="Arial" w:cs="Arial"/>
          <w:b/>
          <w:sz w:val="26"/>
          <w:szCs w:val="20"/>
        </w:rPr>
      </w:pPr>
      <w:r>
        <w:br w:type="page"/>
      </w:r>
    </w:p>
    <w:p w:rsidR="00D724FA" w:rsidRDefault="00D724FA" w:rsidP="00D724FA">
      <w:pPr>
        <w:pStyle w:val="IASBSectionTitle1NonInd"/>
      </w:pPr>
      <w:r>
        <w:t>Example 8 Convertible bonds settled in shares or cash at the issuer’s option</w:t>
      </w:r>
    </w:p>
    <w:p w:rsidR="00D724FA" w:rsidRDefault="00D724FA" w:rsidP="00D724FA">
      <w:pPr>
        <w:pStyle w:val="IASBNormal"/>
      </w:pPr>
      <w:r>
        <w:rPr>
          <w:b/>
        </w:rPr>
        <w:t>Reference:</w:t>
      </w:r>
      <w:r w:rsidR="00725E14">
        <w:rPr>
          <w:b/>
        </w:rPr>
        <w:t xml:space="preserve"> AASB 133</w:t>
      </w:r>
      <w:r>
        <w:rPr>
          <w:b/>
        </w:rPr>
        <w:t>, paragraphs 31–33, 36, 58 and 59</w:t>
      </w:r>
    </w:p>
    <w:p w:rsidR="00D724FA" w:rsidRDefault="00D724FA" w:rsidP="00D724FA">
      <w:pPr>
        <w:pStyle w:val="IASBNormal"/>
      </w:pPr>
      <w:r>
        <w:t>An entity issues 2,000 convertible bonds at the beginning of Year 1. The bonds have a three-year term, and are issued at par with a face value of CU1</w:t>
      </w:r>
      <w:proofErr w:type="gramStart"/>
      <w:r>
        <w:t>,000</w:t>
      </w:r>
      <w:proofErr w:type="gramEnd"/>
      <w:r>
        <w:t xml:space="preserve"> per bond, giving total proceeds of CU2,000,000. Interest is payable annually in arrears at a nominal annual interest rate of 6 per cent. Each bond is convertible at any time up to maturity into 250 ordinary shares. The entity has an option to settle the principal amount of the convertible bonds in ordinary shares or in cash.</w:t>
      </w:r>
    </w:p>
    <w:p w:rsidR="00D724FA" w:rsidRDefault="00D724FA" w:rsidP="00D724FA">
      <w:pPr>
        <w:pStyle w:val="IASBNormal"/>
      </w:pPr>
      <w:r>
        <w:t>When the bonds are issued, the prevailing market interest rate for similar debt without a conversion option is 9 per cent. At the issue date, the market price of one ordinary share is CU3. Income tax is ignored.</w:t>
      </w:r>
    </w:p>
    <w:p w:rsidR="00D724FA" w:rsidRDefault="00D724FA" w:rsidP="00D724FA">
      <w:pPr>
        <w:pStyle w:val="IASBNormalnpara"/>
      </w:pPr>
    </w:p>
    <w:tbl>
      <w:tblPr>
        <w:tblW w:w="0" w:type="auto"/>
        <w:tblLayout w:type="fixed"/>
        <w:tblLook w:val="0000" w:firstRow="0" w:lastRow="0" w:firstColumn="0" w:lastColumn="0" w:noHBand="0" w:noVBand="0"/>
        <w:tblCaption w:val="AASB 133 Table 13"/>
      </w:tblPr>
      <w:tblGrid>
        <w:gridCol w:w="7479"/>
        <w:gridCol w:w="1729"/>
      </w:tblGrid>
      <w:tr w:rsidR="00D724FA" w:rsidTr="00A858D8">
        <w:trPr>
          <w:cantSplit/>
        </w:trPr>
        <w:tc>
          <w:tcPr>
            <w:tcW w:w="7479" w:type="dxa"/>
            <w:vAlign w:val="bottom"/>
          </w:tcPr>
          <w:p w:rsidR="00D724FA" w:rsidRDefault="00D724FA" w:rsidP="00A858D8">
            <w:pPr>
              <w:pStyle w:val="IASBTableArial"/>
            </w:pPr>
            <w:r>
              <w:t>Profit attributable to ordinary equity holders of the parent entity Year 1</w:t>
            </w:r>
          </w:p>
        </w:tc>
        <w:tc>
          <w:tcPr>
            <w:tcW w:w="1729" w:type="dxa"/>
            <w:tcBorders>
              <w:left w:val="nil"/>
            </w:tcBorders>
            <w:vAlign w:val="bottom"/>
          </w:tcPr>
          <w:p w:rsidR="00D724FA" w:rsidRDefault="00D724FA" w:rsidP="00A858D8">
            <w:pPr>
              <w:pStyle w:val="IASBTableArial"/>
              <w:jc w:val="right"/>
            </w:pPr>
            <w:r>
              <w:t>CU1,000,000</w:t>
            </w:r>
          </w:p>
        </w:tc>
      </w:tr>
      <w:tr w:rsidR="00D724FA" w:rsidTr="00A858D8">
        <w:trPr>
          <w:cantSplit/>
        </w:trPr>
        <w:tc>
          <w:tcPr>
            <w:tcW w:w="7479" w:type="dxa"/>
            <w:tcBorders>
              <w:top w:val="nil"/>
            </w:tcBorders>
            <w:vAlign w:val="bottom"/>
          </w:tcPr>
          <w:p w:rsidR="00D724FA" w:rsidRDefault="00D724FA" w:rsidP="00A858D8">
            <w:pPr>
              <w:pStyle w:val="IASBTableArial"/>
            </w:pPr>
            <w:r>
              <w:t>Ordinary shares outstanding</w:t>
            </w:r>
          </w:p>
        </w:tc>
        <w:tc>
          <w:tcPr>
            <w:tcW w:w="1729" w:type="dxa"/>
            <w:tcBorders>
              <w:top w:val="nil"/>
              <w:left w:val="nil"/>
            </w:tcBorders>
            <w:vAlign w:val="bottom"/>
          </w:tcPr>
          <w:p w:rsidR="00D724FA" w:rsidRDefault="00D724FA" w:rsidP="00A858D8">
            <w:pPr>
              <w:pStyle w:val="IASBTableArial"/>
              <w:jc w:val="right"/>
            </w:pPr>
            <w:r>
              <w:t>1,200,000</w:t>
            </w:r>
          </w:p>
        </w:tc>
      </w:tr>
      <w:tr w:rsidR="00D724FA" w:rsidTr="00A858D8">
        <w:trPr>
          <w:cantSplit/>
        </w:trPr>
        <w:tc>
          <w:tcPr>
            <w:tcW w:w="7479" w:type="dxa"/>
            <w:tcBorders>
              <w:top w:val="nil"/>
            </w:tcBorders>
            <w:vAlign w:val="bottom"/>
          </w:tcPr>
          <w:p w:rsidR="00D724FA" w:rsidRDefault="00D724FA" w:rsidP="00A858D8">
            <w:pPr>
              <w:pStyle w:val="IASBTableArial"/>
            </w:pPr>
            <w:r>
              <w:t>Convertible bonds outstanding</w:t>
            </w:r>
          </w:p>
        </w:tc>
        <w:tc>
          <w:tcPr>
            <w:tcW w:w="1729" w:type="dxa"/>
            <w:tcBorders>
              <w:top w:val="nil"/>
              <w:left w:val="nil"/>
            </w:tcBorders>
            <w:vAlign w:val="bottom"/>
          </w:tcPr>
          <w:p w:rsidR="00D724FA" w:rsidRDefault="00D724FA" w:rsidP="00A858D8">
            <w:pPr>
              <w:pStyle w:val="IASBTableArial"/>
              <w:jc w:val="right"/>
            </w:pPr>
            <w:r>
              <w:t>2,000</w:t>
            </w:r>
          </w:p>
        </w:tc>
      </w:tr>
      <w:tr w:rsidR="00D724FA" w:rsidTr="00A858D8">
        <w:trPr>
          <w:cantSplit/>
        </w:trPr>
        <w:tc>
          <w:tcPr>
            <w:tcW w:w="7479" w:type="dxa"/>
            <w:tcBorders>
              <w:top w:val="nil"/>
            </w:tcBorders>
            <w:vAlign w:val="bottom"/>
          </w:tcPr>
          <w:p w:rsidR="00D724FA" w:rsidRDefault="00D724FA" w:rsidP="00A858D8">
            <w:pPr>
              <w:pStyle w:val="IASBTableArial"/>
            </w:pPr>
            <w:r>
              <w:t>Allocation of proceeds of the bond issue:</w:t>
            </w:r>
          </w:p>
        </w:tc>
        <w:tc>
          <w:tcPr>
            <w:tcW w:w="1729" w:type="dxa"/>
            <w:tcBorders>
              <w:top w:val="nil"/>
              <w:left w:val="nil"/>
            </w:tcBorders>
            <w:vAlign w:val="bottom"/>
          </w:tcPr>
          <w:p w:rsidR="00D724FA" w:rsidRDefault="00D724FA" w:rsidP="00A858D8">
            <w:pPr>
              <w:pStyle w:val="IASBTableArial"/>
            </w:pPr>
          </w:p>
        </w:tc>
      </w:tr>
      <w:tr w:rsidR="00D724FA" w:rsidTr="00A858D8">
        <w:trPr>
          <w:cantSplit/>
        </w:trPr>
        <w:tc>
          <w:tcPr>
            <w:tcW w:w="7479" w:type="dxa"/>
            <w:tcBorders>
              <w:top w:val="nil"/>
            </w:tcBorders>
            <w:vAlign w:val="bottom"/>
          </w:tcPr>
          <w:p w:rsidR="00D724FA" w:rsidRDefault="00D724FA" w:rsidP="00A858D8">
            <w:pPr>
              <w:pStyle w:val="IASBTableArial"/>
            </w:pPr>
            <w:r>
              <w:t>Liability component</w:t>
            </w:r>
          </w:p>
        </w:tc>
        <w:tc>
          <w:tcPr>
            <w:tcW w:w="1729" w:type="dxa"/>
            <w:tcBorders>
              <w:top w:val="nil"/>
              <w:left w:val="nil"/>
            </w:tcBorders>
            <w:vAlign w:val="bottom"/>
          </w:tcPr>
          <w:p w:rsidR="00D724FA" w:rsidRDefault="00D724FA" w:rsidP="00A858D8">
            <w:pPr>
              <w:pStyle w:val="IASBTableArial"/>
              <w:jc w:val="right"/>
            </w:pPr>
            <w:r>
              <w:t>CU1,848,122</w:t>
            </w:r>
            <w:r>
              <w:rPr>
                <w:vertAlign w:val="superscript"/>
              </w:rPr>
              <w:t>(a)</w:t>
            </w:r>
          </w:p>
        </w:tc>
      </w:tr>
      <w:tr w:rsidR="00D724FA" w:rsidTr="00A858D8">
        <w:trPr>
          <w:cantSplit/>
        </w:trPr>
        <w:tc>
          <w:tcPr>
            <w:tcW w:w="7479" w:type="dxa"/>
            <w:tcBorders>
              <w:top w:val="nil"/>
            </w:tcBorders>
            <w:vAlign w:val="bottom"/>
          </w:tcPr>
          <w:p w:rsidR="00D724FA" w:rsidRDefault="00D724FA" w:rsidP="00A858D8">
            <w:pPr>
              <w:pStyle w:val="IASBTableArial"/>
            </w:pPr>
            <w:r>
              <w:t>Equity component</w:t>
            </w:r>
          </w:p>
        </w:tc>
        <w:tc>
          <w:tcPr>
            <w:tcW w:w="1729" w:type="dxa"/>
            <w:tcBorders>
              <w:top w:val="nil"/>
              <w:left w:val="nil"/>
              <w:bottom w:val="single" w:sz="4" w:space="0" w:color="auto"/>
            </w:tcBorders>
            <w:vAlign w:val="bottom"/>
          </w:tcPr>
          <w:p w:rsidR="00D724FA" w:rsidRDefault="00D724FA" w:rsidP="00A858D8">
            <w:pPr>
              <w:pStyle w:val="IASBTableArial"/>
              <w:jc w:val="right"/>
            </w:pPr>
            <w:r>
              <w:t>CU151,878</w:t>
            </w:r>
          </w:p>
        </w:tc>
      </w:tr>
      <w:tr w:rsidR="00D724FA" w:rsidTr="00A858D8">
        <w:trPr>
          <w:cantSplit/>
        </w:trPr>
        <w:tc>
          <w:tcPr>
            <w:tcW w:w="7479" w:type="dxa"/>
            <w:tcBorders>
              <w:top w:val="nil"/>
            </w:tcBorders>
            <w:vAlign w:val="bottom"/>
          </w:tcPr>
          <w:p w:rsidR="00D724FA" w:rsidRDefault="00D724FA" w:rsidP="00A858D8">
            <w:pPr>
              <w:pStyle w:val="IASBTableArial"/>
            </w:pPr>
          </w:p>
        </w:tc>
        <w:tc>
          <w:tcPr>
            <w:tcW w:w="1729" w:type="dxa"/>
            <w:tcBorders>
              <w:top w:val="nil"/>
              <w:left w:val="nil"/>
              <w:bottom w:val="double" w:sz="4" w:space="0" w:color="auto"/>
            </w:tcBorders>
            <w:vAlign w:val="bottom"/>
          </w:tcPr>
          <w:p w:rsidR="00D724FA" w:rsidRDefault="00D724FA" w:rsidP="00A858D8">
            <w:pPr>
              <w:pStyle w:val="IASBTableArial"/>
              <w:jc w:val="right"/>
            </w:pPr>
            <w:r>
              <w:t>CU2,000,000</w:t>
            </w:r>
          </w:p>
        </w:tc>
      </w:tr>
      <w:tr w:rsidR="00D724FA" w:rsidTr="00A858D8">
        <w:trPr>
          <w:cantSplit/>
        </w:trPr>
        <w:tc>
          <w:tcPr>
            <w:tcW w:w="9208" w:type="dxa"/>
            <w:gridSpan w:val="2"/>
            <w:tcBorders>
              <w:top w:val="nil"/>
            </w:tcBorders>
            <w:vAlign w:val="bottom"/>
          </w:tcPr>
          <w:p w:rsidR="00D724FA" w:rsidRDefault="00D724FA" w:rsidP="00A858D8">
            <w:pPr>
              <w:pStyle w:val="IASBTableTNR"/>
              <w:ind w:left="567" w:hanging="567"/>
            </w:pPr>
            <w:r>
              <w:rPr>
                <w:rStyle w:val="FootnoteReference"/>
                <w:sz w:val="16"/>
                <w:vertAlign w:val="baseline"/>
              </w:rPr>
              <w:t>(a)</w:t>
            </w:r>
            <w:r>
              <w:rPr>
                <w:rStyle w:val="FootnoteReference"/>
                <w:sz w:val="16"/>
                <w:vertAlign w:val="baseline"/>
              </w:rPr>
              <w:tab/>
              <w:t>This represents the present value of the principal and interest discounted at 9% – CU2,000,000 payable at the end of three years; CU120,000 payable annually in arrears for three years.</w:t>
            </w:r>
          </w:p>
        </w:tc>
      </w:tr>
    </w:tbl>
    <w:p w:rsidR="00D724FA" w:rsidRDefault="00D724FA" w:rsidP="00D724FA">
      <w:pPr>
        <w:pStyle w:val="IASBNormalnpara"/>
        <w:ind w:left="567" w:hanging="567"/>
      </w:pPr>
    </w:p>
    <w:p w:rsidR="00D724FA" w:rsidRDefault="00D724FA" w:rsidP="00D724FA">
      <w:pPr>
        <w:pStyle w:val="IASBNormal"/>
      </w:pPr>
      <w:r>
        <w:t>The liability and equity components would be determined in accordance with</w:t>
      </w:r>
      <w:r w:rsidR="00725E14">
        <w:t xml:space="preserve"> AASB 132</w:t>
      </w:r>
      <w:r>
        <w:t xml:space="preserve"> </w:t>
      </w:r>
      <w:r>
        <w:rPr>
          <w:i/>
        </w:rPr>
        <w:t>Financial Instruments: Presentation</w:t>
      </w:r>
      <w:r>
        <w:t>. These amounts are recognised as the initial carrying amounts of the liability and equity components. The amount assigned to the issuer conversion option equity element is an addition to equity and is not adjusted.</w:t>
      </w:r>
    </w:p>
    <w:p w:rsidR="00D724FA" w:rsidRDefault="00D724FA" w:rsidP="00D724FA">
      <w:pPr>
        <w:pStyle w:val="IASBNormalnpara"/>
      </w:pPr>
    </w:p>
    <w:tbl>
      <w:tblPr>
        <w:tblW w:w="0" w:type="auto"/>
        <w:tblLayout w:type="fixed"/>
        <w:tblLook w:val="0000" w:firstRow="0" w:lastRow="0" w:firstColumn="0" w:lastColumn="0" w:noHBand="0" w:noVBand="0"/>
        <w:tblCaption w:val="AASB 133 Table 14"/>
      </w:tblPr>
      <w:tblGrid>
        <w:gridCol w:w="1746"/>
        <w:gridCol w:w="236"/>
        <w:gridCol w:w="7246"/>
      </w:tblGrid>
      <w:tr w:rsidR="00D724FA" w:rsidTr="00A858D8">
        <w:trPr>
          <w:cantSplit/>
        </w:trPr>
        <w:tc>
          <w:tcPr>
            <w:tcW w:w="9208" w:type="dxa"/>
            <w:gridSpan w:val="3"/>
            <w:vAlign w:val="bottom"/>
          </w:tcPr>
          <w:p w:rsidR="00D724FA" w:rsidRDefault="00D724FA" w:rsidP="00A858D8">
            <w:pPr>
              <w:pStyle w:val="IASBTableArial"/>
            </w:pPr>
            <w:r>
              <w:t xml:space="preserve"> </w:t>
            </w:r>
          </w:p>
        </w:tc>
      </w:tr>
      <w:tr w:rsidR="00D724FA" w:rsidTr="00A858D8">
        <w:trPr>
          <w:cantSplit/>
        </w:trPr>
        <w:tc>
          <w:tcPr>
            <w:tcW w:w="9208" w:type="dxa"/>
            <w:gridSpan w:val="3"/>
            <w:tcBorders>
              <w:top w:val="nil"/>
            </w:tcBorders>
            <w:vAlign w:val="bottom"/>
          </w:tcPr>
          <w:p w:rsidR="00D724FA" w:rsidRDefault="00D724FA" w:rsidP="00A858D8">
            <w:pPr>
              <w:pStyle w:val="IASBTableTNR"/>
            </w:pPr>
            <w:r>
              <w:rPr>
                <w:b/>
              </w:rPr>
              <w:t>Basic earnings per share Year 1:</w:t>
            </w:r>
          </w:p>
        </w:tc>
      </w:tr>
      <w:tr w:rsidR="00D724FA" w:rsidTr="00A858D8">
        <w:trPr>
          <w:cantSplit/>
        </w:trPr>
        <w:tc>
          <w:tcPr>
            <w:tcW w:w="1746" w:type="dxa"/>
            <w:tcBorders>
              <w:top w:val="nil"/>
              <w:bottom w:val="single" w:sz="4" w:space="0" w:color="auto"/>
            </w:tcBorders>
            <w:vAlign w:val="bottom"/>
          </w:tcPr>
          <w:p w:rsidR="00D724FA" w:rsidRDefault="00D724FA" w:rsidP="00A858D8">
            <w:pPr>
              <w:pStyle w:val="IASBTableArial"/>
              <w:jc w:val="center"/>
            </w:pPr>
            <w:r>
              <w:t>CU1,000,000</w:t>
            </w:r>
          </w:p>
        </w:tc>
        <w:tc>
          <w:tcPr>
            <w:tcW w:w="216" w:type="dxa"/>
            <w:vMerge w:val="restart"/>
            <w:tcBorders>
              <w:top w:val="nil"/>
              <w:left w:val="nil"/>
            </w:tcBorders>
            <w:vAlign w:val="center"/>
          </w:tcPr>
          <w:p w:rsidR="00D724FA" w:rsidRDefault="00D724FA" w:rsidP="00A858D8">
            <w:pPr>
              <w:pStyle w:val="IASBTableArial"/>
            </w:pPr>
          </w:p>
        </w:tc>
        <w:tc>
          <w:tcPr>
            <w:tcW w:w="7246" w:type="dxa"/>
            <w:vMerge w:val="restart"/>
            <w:tcBorders>
              <w:top w:val="nil"/>
              <w:left w:val="nil"/>
            </w:tcBorders>
            <w:vAlign w:val="center"/>
          </w:tcPr>
          <w:p w:rsidR="00D724FA" w:rsidRDefault="00D724FA" w:rsidP="00A858D8">
            <w:pPr>
              <w:pStyle w:val="IASBTableArial"/>
            </w:pPr>
            <w:r>
              <w:t>= CU0.83 per ordinary share</w:t>
            </w:r>
          </w:p>
        </w:tc>
      </w:tr>
      <w:tr w:rsidR="00D724FA" w:rsidTr="00A858D8">
        <w:trPr>
          <w:cantSplit/>
        </w:trPr>
        <w:tc>
          <w:tcPr>
            <w:tcW w:w="1746" w:type="dxa"/>
            <w:tcBorders>
              <w:top w:val="nil"/>
            </w:tcBorders>
          </w:tcPr>
          <w:p w:rsidR="00D724FA" w:rsidRDefault="00D724FA" w:rsidP="00A858D8">
            <w:pPr>
              <w:pStyle w:val="IASBTableArial"/>
              <w:jc w:val="center"/>
            </w:pPr>
            <w:r>
              <w:t>1,200,000</w:t>
            </w:r>
          </w:p>
        </w:tc>
        <w:tc>
          <w:tcPr>
            <w:tcW w:w="216" w:type="dxa"/>
            <w:vMerge/>
            <w:tcBorders>
              <w:top w:val="nil"/>
              <w:left w:val="nil"/>
            </w:tcBorders>
            <w:vAlign w:val="center"/>
          </w:tcPr>
          <w:p w:rsidR="00D724FA" w:rsidRDefault="00D724FA" w:rsidP="00A858D8">
            <w:pPr>
              <w:widowControl w:val="0"/>
              <w:autoSpaceDE w:val="0"/>
              <w:autoSpaceDN w:val="0"/>
              <w:adjustRightInd w:val="0"/>
              <w:rPr>
                <w:lang w:eastAsia="en-GB"/>
              </w:rPr>
            </w:pPr>
          </w:p>
        </w:tc>
        <w:tc>
          <w:tcPr>
            <w:tcW w:w="7246" w:type="dxa"/>
            <w:vMerge/>
            <w:tcBorders>
              <w:top w:val="nil"/>
              <w:left w:val="nil"/>
            </w:tcBorders>
            <w:vAlign w:val="center"/>
          </w:tcPr>
          <w:p w:rsidR="00D724FA" w:rsidRDefault="00D724FA" w:rsidP="00A858D8">
            <w:pPr>
              <w:widowControl w:val="0"/>
              <w:autoSpaceDE w:val="0"/>
              <w:autoSpaceDN w:val="0"/>
              <w:adjustRightInd w:val="0"/>
              <w:rPr>
                <w:lang w:eastAsia="en-GB"/>
              </w:rPr>
            </w:pPr>
          </w:p>
        </w:tc>
      </w:tr>
    </w:tbl>
    <w:p w:rsidR="00D724FA" w:rsidRDefault="00D724FA" w:rsidP="00D724FA">
      <w:pPr>
        <w:pStyle w:val="IASBNormalnpara"/>
      </w:pPr>
    </w:p>
    <w:p w:rsidR="00D724FA" w:rsidRDefault="00D724FA" w:rsidP="00D724FA">
      <w:pPr>
        <w:pStyle w:val="IASBNormal"/>
      </w:pPr>
      <w:r>
        <w:rPr>
          <w:b/>
        </w:rPr>
        <w:t>Diluted earnings per share Year 1:</w:t>
      </w:r>
    </w:p>
    <w:p w:rsidR="00D724FA" w:rsidRDefault="00D724FA" w:rsidP="00D724FA">
      <w:pPr>
        <w:pStyle w:val="IASBNormal"/>
      </w:pPr>
      <w:r>
        <w:t>It is presumed that the issuer will settle the contract by the issue of ordinary shares. The dilutive effect is therefore calculated in accordance with paragraph 59 of the Standard.</w:t>
      </w:r>
    </w:p>
    <w:p w:rsidR="00D724FA" w:rsidRDefault="00D724FA" w:rsidP="00D724FA">
      <w:pPr>
        <w:pStyle w:val="IASBNormalnpara"/>
      </w:pPr>
    </w:p>
    <w:tbl>
      <w:tblPr>
        <w:tblW w:w="0" w:type="auto"/>
        <w:tblLayout w:type="fixed"/>
        <w:tblLook w:val="0000" w:firstRow="0" w:lastRow="0" w:firstColumn="0" w:lastColumn="0" w:noHBand="0" w:noVBand="0"/>
        <w:tblCaption w:val="AASB 133 Table 15"/>
      </w:tblPr>
      <w:tblGrid>
        <w:gridCol w:w="3293"/>
        <w:gridCol w:w="236"/>
        <w:gridCol w:w="5699"/>
      </w:tblGrid>
      <w:tr w:rsidR="00D724FA" w:rsidTr="00A858D8">
        <w:trPr>
          <w:cantSplit/>
        </w:trPr>
        <w:tc>
          <w:tcPr>
            <w:tcW w:w="3293" w:type="dxa"/>
            <w:tcBorders>
              <w:bottom w:val="single" w:sz="4" w:space="0" w:color="auto"/>
            </w:tcBorders>
            <w:vAlign w:val="bottom"/>
          </w:tcPr>
          <w:p w:rsidR="00D724FA" w:rsidRDefault="00D724FA" w:rsidP="00A858D8">
            <w:pPr>
              <w:pStyle w:val="IASBTableArial"/>
              <w:jc w:val="center"/>
            </w:pPr>
            <w:r>
              <w:t>CU1,000,000 + CU166,331</w:t>
            </w:r>
            <w:r>
              <w:rPr>
                <w:vertAlign w:val="superscript"/>
              </w:rPr>
              <w:t>(a)</w:t>
            </w:r>
          </w:p>
        </w:tc>
        <w:tc>
          <w:tcPr>
            <w:tcW w:w="216" w:type="dxa"/>
            <w:vMerge w:val="restart"/>
            <w:tcBorders>
              <w:left w:val="nil"/>
            </w:tcBorders>
            <w:vAlign w:val="center"/>
          </w:tcPr>
          <w:p w:rsidR="00D724FA" w:rsidRDefault="00D724FA" w:rsidP="00A858D8">
            <w:pPr>
              <w:pStyle w:val="IASBTableArial"/>
            </w:pPr>
          </w:p>
        </w:tc>
        <w:tc>
          <w:tcPr>
            <w:tcW w:w="5699" w:type="dxa"/>
            <w:vMerge w:val="restart"/>
            <w:tcBorders>
              <w:left w:val="nil"/>
            </w:tcBorders>
            <w:vAlign w:val="center"/>
          </w:tcPr>
          <w:p w:rsidR="00D724FA" w:rsidRDefault="00D724FA" w:rsidP="00A858D8">
            <w:pPr>
              <w:pStyle w:val="IASBTableArial"/>
            </w:pPr>
            <w:r>
              <w:t>= CU0.69 per ordinary share</w:t>
            </w:r>
          </w:p>
        </w:tc>
      </w:tr>
      <w:tr w:rsidR="00D724FA" w:rsidTr="00A858D8">
        <w:trPr>
          <w:cantSplit/>
        </w:trPr>
        <w:tc>
          <w:tcPr>
            <w:tcW w:w="3293" w:type="dxa"/>
            <w:tcBorders>
              <w:top w:val="nil"/>
            </w:tcBorders>
          </w:tcPr>
          <w:p w:rsidR="00D724FA" w:rsidRDefault="00D724FA" w:rsidP="00A858D8">
            <w:pPr>
              <w:pStyle w:val="IASBTableArial"/>
              <w:jc w:val="center"/>
            </w:pPr>
            <w:r>
              <w:t>1,200,000 + 500,000</w:t>
            </w:r>
            <w:r>
              <w:rPr>
                <w:vertAlign w:val="superscript"/>
              </w:rPr>
              <w:t>(b)</w:t>
            </w:r>
          </w:p>
        </w:tc>
        <w:tc>
          <w:tcPr>
            <w:tcW w:w="216" w:type="dxa"/>
            <w:vMerge/>
            <w:tcBorders>
              <w:left w:val="nil"/>
            </w:tcBorders>
            <w:vAlign w:val="center"/>
          </w:tcPr>
          <w:p w:rsidR="00D724FA" w:rsidRDefault="00D724FA" w:rsidP="00A858D8">
            <w:pPr>
              <w:widowControl w:val="0"/>
              <w:autoSpaceDE w:val="0"/>
              <w:autoSpaceDN w:val="0"/>
              <w:adjustRightInd w:val="0"/>
              <w:rPr>
                <w:lang w:eastAsia="en-GB"/>
              </w:rPr>
            </w:pPr>
          </w:p>
        </w:tc>
        <w:tc>
          <w:tcPr>
            <w:tcW w:w="5699" w:type="dxa"/>
            <w:vMerge/>
            <w:tcBorders>
              <w:left w:val="nil"/>
            </w:tcBorders>
            <w:vAlign w:val="center"/>
          </w:tcPr>
          <w:p w:rsidR="00D724FA" w:rsidRDefault="00D724FA" w:rsidP="00A858D8">
            <w:pPr>
              <w:widowControl w:val="0"/>
              <w:autoSpaceDE w:val="0"/>
              <w:autoSpaceDN w:val="0"/>
              <w:adjustRightInd w:val="0"/>
              <w:rPr>
                <w:lang w:eastAsia="en-GB"/>
              </w:rPr>
            </w:pPr>
          </w:p>
        </w:tc>
      </w:tr>
      <w:tr w:rsidR="00D724FA" w:rsidTr="00A858D8">
        <w:trPr>
          <w:cantSplit/>
        </w:trPr>
        <w:tc>
          <w:tcPr>
            <w:tcW w:w="9208" w:type="dxa"/>
            <w:gridSpan w:val="3"/>
            <w:tcBorders>
              <w:top w:val="nil"/>
            </w:tcBorders>
          </w:tcPr>
          <w:p w:rsidR="00D724FA" w:rsidRDefault="00D724FA" w:rsidP="00A858D8">
            <w:pPr>
              <w:pStyle w:val="IASBTableArial"/>
              <w:jc w:val="center"/>
            </w:pPr>
          </w:p>
        </w:tc>
      </w:tr>
      <w:tr w:rsidR="00D724FA" w:rsidTr="00A858D8">
        <w:trPr>
          <w:cantSplit/>
        </w:trPr>
        <w:tc>
          <w:tcPr>
            <w:tcW w:w="9208" w:type="dxa"/>
            <w:gridSpan w:val="3"/>
            <w:tcBorders>
              <w:top w:val="nil"/>
            </w:tcBorders>
            <w:vAlign w:val="bottom"/>
          </w:tcPr>
          <w:p w:rsidR="00D724FA" w:rsidRDefault="00D724FA" w:rsidP="00A858D8">
            <w:pPr>
              <w:pStyle w:val="IASBTableTNR"/>
            </w:pPr>
            <w:r>
              <w:rPr>
                <w:sz w:val="16"/>
              </w:rPr>
              <w:t>(</w:t>
            </w:r>
            <w:r>
              <w:rPr>
                <w:rStyle w:val="FootnoteReference"/>
                <w:sz w:val="16"/>
                <w:vertAlign w:val="baseline"/>
              </w:rPr>
              <w:t>a)</w:t>
            </w:r>
            <w:r>
              <w:rPr>
                <w:rStyle w:val="FootnoteReference"/>
                <w:sz w:val="16"/>
                <w:vertAlign w:val="baseline"/>
              </w:rPr>
              <w:tab/>
              <w:t>Profit is adjusted for the accretion of CU166,331 (CU1,848,122 × 9%) of the liability because of the passage of time.</w:t>
            </w:r>
            <w:r>
              <w:br/>
            </w:r>
            <w:r>
              <w:rPr>
                <w:rStyle w:val="FootnoteReference"/>
                <w:sz w:val="16"/>
                <w:vertAlign w:val="baseline"/>
              </w:rPr>
              <w:t>(b)</w:t>
            </w:r>
            <w:r>
              <w:rPr>
                <w:rStyle w:val="FootnoteReference"/>
                <w:sz w:val="16"/>
                <w:vertAlign w:val="baseline"/>
              </w:rPr>
              <w:tab/>
              <w:t>500,000 ordinary shares = 250 ordinary shares × 2,000 convertible bonds</w:t>
            </w:r>
          </w:p>
        </w:tc>
      </w:tr>
    </w:tbl>
    <w:p w:rsidR="00D724FA" w:rsidRDefault="00D724FA" w:rsidP="00D724FA">
      <w:pPr>
        <w:pStyle w:val="IASBNormalnpara"/>
      </w:pPr>
    </w:p>
    <w:p w:rsidR="00F609F6" w:rsidRDefault="00F609F6">
      <w:pPr>
        <w:rPr>
          <w:rFonts w:ascii="Arial" w:hAnsi="Arial" w:cs="Arial"/>
          <w:b/>
          <w:sz w:val="26"/>
          <w:szCs w:val="20"/>
        </w:rPr>
      </w:pPr>
      <w:r>
        <w:br w:type="page"/>
      </w:r>
    </w:p>
    <w:p w:rsidR="00D724FA" w:rsidRDefault="00D724FA" w:rsidP="00D724FA">
      <w:pPr>
        <w:pStyle w:val="IASBSectionTitle1NonInd"/>
      </w:pPr>
      <w:r>
        <w:t>Example 9 Calculation of weighted average number of shares: determining the order in which to include dilutive instruments</w:t>
      </w:r>
      <w:r w:rsidRPr="00592251">
        <w:rPr>
          <w:rStyle w:val="FootnoteReference"/>
        </w:rPr>
        <w:footnoteReference w:id="3"/>
      </w:r>
    </w:p>
    <w:p w:rsidR="00D724FA" w:rsidRDefault="00D724FA" w:rsidP="00D724FA">
      <w:pPr>
        <w:pStyle w:val="IASBNormal"/>
      </w:pPr>
      <w:r>
        <w:rPr>
          <w:b/>
        </w:rPr>
        <w:t>Primary reference:</w:t>
      </w:r>
      <w:r w:rsidR="00725E14">
        <w:rPr>
          <w:b/>
        </w:rPr>
        <w:t xml:space="preserve"> AASB 133</w:t>
      </w:r>
      <w:r>
        <w:rPr>
          <w:b/>
        </w:rPr>
        <w:t>, paragraph 44</w:t>
      </w:r>
    </w:p>
    <w:p w:rsidR="00D724FA" w:rsidRDefault="00D724FA" w:rsidP="00D724FA">
      <w:pPr>
        <w:pStyle w:val="IASBNormal"/>
      </w:pPr>
      <w:r>
        <w:rPr>
          <w:b/>
        </w:rPr>
        <w:t>Secondary reference:</w:t>
      </w:r>
      <w:r w:rsidR="00725E14">
        <w:rPr>
          <w:b/>
        </w:rPr>
        <w:t xml:space="preserve"> AASB 133</w:t>
      </w:r>
      <w:r>
        <w:rPr>
          <w:b/>
        </w:rPr>
        <w:t>, paragraphs 10, 12, 19, 31–33, 36, 41–47, 49 and 50</w:t>
      </w:r>
    </w:p>
    <w:p w:rsidR="00D724FA" w:rsidRDefault="00D724FA" w:rsidP="00D724FA">
      <w:pPr>
        <w:pStyle w:val="IASBNormalnpara"/>
      </w:pPr>
    </w:p>
    <w:tbl>
      <w:tblPr>
        <w:tblW w:w="0" w:type="auto"/>
        <w:tblLayout w:type="fixed"/>
        <w:tblLook w:val="0000" w:firstRow="0" w:lastRow="0" w:firstColumn="0" w:lastColumn="0" w:noHBand="0" w:noVBand="0"/>
        <w:tblCaption w:val="AASB 133 Table 16"/>
      </w:tblPr>
      <w:tblGrid>
        <w:gridCol w:w="7843"/>
        <w:gridCol w:w="1365"/>
      </w:tblGrid>
      <w:tr w:rsidR="00D724FA" w:rsidTr="00A858D8">
        <w:trPr>
          <w:cantSplit/>
          <w:tblHeader/>
        </w:trPr>
        <w:tc>
          <w:tcPr>
            <w:tcW w:w="7843" w:type="dxa"/>
          </w:tcPr>
          <w:p w:rsidR="00D724FA" w:rsidRDefault="00D724FA" w:rsidP="00A858D8">
            <w:pPr>
              <w:pStyle w:val="IASBTableHeaderArial"/>
            </w:pPr>
            <w:r>
              <w:rPr>
                <w:b/>
              </w:rPr>
              <w:t>Earnings</w:t>
            </w:r>
          </w:p>
        </w:tc>
        <w:tc>
          <w:tcPr>
            <w:tcW w:w="1365" w:type="dxa"/>
            <w:tcBorders>
              <w:left w:val="nil"/>
            </w:tcBorders>
          </w:tcPr>
          <w:p w:rsidR="00D724FA" w:rsidRDefault="00D724FA" w:rsidP="00A858D8">
            <w:pPr>
              <w:pStyle w:val="IASBTableHeaderArial"/>
              <w:jc w:val="right"/>
            </w:pPr>
            <w:r>
              <w:rPr>
                <w:b/>
                <w:u w:val="single"/>
              </w:rPr>
              <w:t>CU</w:t>
            </w:r>
          </w:p>
        </w:tc>
      </w:tr>
      <w:tr w:rsidR="00D724FA" w:rsidTr="00A858D8">
        <w:trPr>
          <w:cantSplit/>
        </w:trPr>
        <w:tc>
          <w:tcPr>
            <w:tcW w:w="7843" w:type="dxa"/>
            <w:tcBorders>
              <w:top w:val="nil"/>
            </w:tcBorders>
            <w:vAlign w:val="bottom"/>
          </w:tcPr>
          <w:p w:rsidR="00D724FA" w:rsidRDefault="00D724FA" w:rsidP="00A858D8">
            <w:pPr>
              <w:pStyle w:val="IASBTableArial"/>
            </w:pPr>
            <w:r>
              <w:t>Profit from continuing operations attributable to the parent entity</w:t>
            </w:r>
          </w:p>
        </w:tc>
        <w:tc>
          <w:tcPr>
            <w:tcW w:w="1365" w:type="dxa"/>
            <w:tcBorders>
              <w:top w:val="nil"/>
              <w:left w:val="nil"/>
            </w:tcBorders>
            <w:vAlign w:val="bottom"/>
          </w:tcPr>
          <w:p w:rsidR="00D724FA" w:rsidRDefault="00D724FA" w:rsidP="00A858D8">
            <w:pPr>
              <w:pStyle w:val="IASBTableArial"/>
              <w:jc w:val="right"/>
            </w:pPr>
            <w:r>
              <w:t>16,400,000</w:t>
            </w:r>
          </w:p>
        </w:tc>
      </w:tr>
      <w:tr w:rsidR="00D724FA" w:rsidTr="00A858D8">
        <w:trPr>
          <w:cantSplit/>
        </w:trPr>
        <w:tc>
          <w:tcPr>
            <w:tcW w:w="7843" w:type="dxa"/>
            <w:tcBorders>
              <w:top w:val="nil"/>
            </w:tcBorders>
            <w:vAlign w:val="bottom"/>
          </w:tcPr>
          <w:p w:rsidR="00D724FA" w:rsidRDefault="00D724FA" w:rsidP="00A858D8">
            <w:pPr>
              <w:pStyle w:val="IASBTableArial"/>
            </w:pPr>
            <w:r>
              <w:t>Less dividends on preference shares</w:t>
            </w:r>
          </w:p>
        </w:tc>
        <w:tc>
          <w:tcPr>
            <w:tcW w:w="1365" w:type="dxa"/>
            <w:tcBorders>
              <w:top w:val="nil"/>
              <w:left w:val="nil"/>
              <w:bottom w:val="single" w:sz="4" w:space="0" w:color="auto"/>
            </w:tcBorders>
            <w:vAlign w:val="bottom"/>
          </w:tcPr>
          <w:p w:rsidR="00D724FA" w:rsidRDefault="00D724FA" w:rsidP="00A858D8">
            <w:pPr>
              <w:pStyle w:val="IASBTableArial"/>
              <w:jc w:val="right"/>
            </w:pPr>
            <w:r>
              <w:t>(6,400,000)</w:t>
            </w:r>
          </w:p>
        </w:tc>
      </w:tr>
      <w:tr w:rsidR="00D724FA" w:rsidTr="00A858D8">
        <w:trPr>
          <w:cantSplit/>
        </w:trPr>
        <w:tc>
          <w:tcPr>
            <w:tcW w:w="7843" w:type="dxa"/>
            <w:tcBorders>
              <w:top w:val="nil"/>
            </w:tcBorders>
            <w:vAlign w:val="bottom"/>
          </w:tcPr>
          <w:p w:rsidR="00D724FA" w:rsidRDefault="00D724FA" w:rsidP="00A858D8">
            <w:pPr>
              <w:pStyle w:val="IASBTableArial"/>
            </w:pPr>
            <w:r>
              <w:t>Profit from continuing operations attributable to ordinary equity holders of the parent entity</w:t>
            </w:r>
          </w:p>
        </w:tc>
        <w:tc>
          <w:tcPr>
            <w:tcW w:w="1365" w:type="dxa"/>
            <w:tcBorders>
              <w:top w:val="nil"/>
              <w:left w:val="nil"/>
            </w:tcBorders>
            <w:vAlign w:val="bottom"/>
          </w:tcPr>
          <w:p w:rsidR="00D724FA" w:rsidRDefault="00D724FA" w:rsidP="00A858D8">
            <w:pPr>
              <w:pStyle w:val="IASBTableArial"/>
              <w:jc w:val="right"/>
            </w:pPr>
            <w:r>
              <w:t>10,000,000</w:t>
            </w:r>
          </w:p>
        </w:tc>
      </w:tr>
      <w:tr w:rsidR="00D724FA" w:rsidTr="00A858D8">
        <w:trPr>
          <w:cantSplit/>
        </w:trPr>
        <w:tc>
          <w:tcPr>
            <w:tcW w:w="7843" w:type="dxa"/>
            <w:tcBorders>
              <w:top w:val="nil"/>
            </w:tcBorders>
            <w:vAlign w:val="bottom"/>
          </w:tcPr>
          <w:p w:rsidR="00D724FA" w:rsidRDefault="00D724FA" w:rsidP="00A858D8">
            <w:pPr>
              <w:pStyle w:val="IASBTableArial"/>
            </w:pPr>
            <w:r>
              <w:t>Loss from discontinued operations attributable to the parent entity</w:t>
            </w:r>
          </w:p>
        </w:tc>
        <w:tc>
          <w:tcPr>
            <w:tcW w:w="1365" w:type="dxa"/>
            <w:tcBorders>
              <w:top w:val="nil"/>
              <w:left w:val="nil"/>
              <w:bottom w:val="single" w:sz="4" w:space="0" w:color="auto"/>
            </w:tcBorders>
            <w:vAlign w:val="bottom"/>
          </w:tcPr>
          <w:p w:rsidR="00D724FA" w:rsidRDefault="00D724FA" w:rsidP="00A858D8">
            <w:pPr>
              <w:pStyle w:val="IASBTableArial"/>
              <w:jc w:val="right"/>
            </w:pPr>
            <w:r>
              <w:t>(4,000,000)</w:t>
            </w:r>
          </w:p>
        </w:tc>
      </w:tr>
      <w:tr w:rsidR="00D724FA" w:rsidTr="00A858D8">
        <w:trPr>
          <w:cantSplit/>
        </w:trPr>
        <w:tc>
          <w:tcPr>
            <w:tcW w:w="7843" w:type="dxa"/>
            <w:tcBorders>
              <w:top w:val="nil"/>
            </w:tcBorders>
            <w:vAlign w:val="bottom"/>
          </w:tcPr>
          <w:p w:rsidR="00D724FA" w:rsidRDefault="00D724FA" w:rsidP="00A858D8">
            <w:pPr>
              <w:pStyle w:val="IASBTableArial"/>
            </w:pPr>
            <w:r>
              <w:t>Profit attributable to ordinary equity holders of the parent entity</w:t>
            </w:r>
          </w:p>
        </w:tc>
        <w:tc>
          <w:tcPr>
            <w:tcW w:w="1365" w:type="dxa"/>
            <w:tcBorders>
              <w:top w:val="nil"/>
              <w:left w:val="nil"/>
              <w:bottom w:val="double" w:sz="4" w:space="0" w:color="auto"/>
            </w:tcBorders>
            <w:vAlign w:val="bottom"/>
          </w:tcPr>
          <w:p w:rsidR="00D724FA" w:rsidRDefault="00D724FA" w:rsidP="00A858D8">
            <w:pPr>
              <w:pStyle w:val="IASBTableArial"/>
              <w:jc w:val="right"/>
            </w:pPr>
            <w:r>
              <w:t>6,000,000</w:t>
            </w:r>
          </w:p>
        </w:tc>
      </w:tr>
      <w:tr w:rsidR="00D724FA" w:rsidTr="00A858D8">
        <w:trPr>
          <w:cantSplit/>
        </w:trPr>
        <w:tc>
          <w:tcPr>
            <w:tcW w:w="7843" w:type="dxa"/>
            <w:tcBorders>
              <w:top w:val="nil"/>
            </w:tcBorders>
            <w:vAlign w:val="bottom"/>
          </w:tcPr>
          <w:p w:rsidR="00D724FA" w:rsidRDefault="00D724FA" w:rsidP="00A858D8">
            <w:pPr>
              <w:pStyle w:val="IASBTableArial"/>
            </w:pPr>
            <w:r>
              <w:t>Ordinary shares outstanding</w:t>
            </w:r>
          </w:p>
        </w:tc>
        <w:tc>
          <w:tcPr>
            <w:tcW w:w="1365" w:type="dxa"/>
            <w:tcBorders>
              <w:top w:val="nil"/>
              <w:left w:val="nil"/>
            </w:tcBorders>
            <w:vAlign w:val="bottom"/>
          </w:tcPr>
          <w:p w:rsidR="00D724FA" w:rsidRDefault="00D724FA" w:rsidP="00A858D8">
            <w:pPr>
              <w:pStyle w:val="IASBTableArial"/>
              <w:jc w:val="right"/>
            </w:pPr>
            <w:r>
              <w:t>2,000,000</w:t>
            </w:r>
          </w:p>
        </w:tc>
      </w:tr>
      <w:tr w:rsidR="00D724FA" w:rsidTr="00A858D8">
        <w:trPr>
          <w:cantSplit/>
        </w:trPr>
        <w:tc>
          <w:tcPr>
            <w:tcW w:w="7843" w:type="dxa"/>
            <w:tcBorders>
              <w:top w:val="nil"/>
            </w:tcBorders>
            <w:vAlign w:val="bottom"/>
          </w:tcPr>
          <w:p w:rsidR="00D724FA" w:rsidRDefault="00D724FA" w:rsidP="00A858D8">
            <w:pPr>
              <w:pStyle w:val="IASBTableArial"/>
            </w:pPr>
            <w:r>
              <w:t>Average market price of one ordinary share during year</w:t>
            </w:r>
          </w:p>
        </w:tc>
        <w:tc>
          <w:tcPr>
            <w:tcW w:w="1365" w:type="dxa"/>
            <w:tcBorders>
              <w:top w:val="nil"/>
              <w:left w:val="nil"/>
            </w:tcBorders>
            <w:vAlign w:val="bottom"/>
          </w:tcPr>
          <w:p w:rsidR="00D724FA" w:rsidRDefault="00D724FA" w:rsidP="00A858D8">
            <w:pPr>
              <w:pStyle w:val="IASBTableArial"/>
              <w:jc w:val="right"/>
            </w:pPr>
            <w:r>
              <w:t>CU75.00</w:t>
            </w:r>
          </w:p>
        </w:tc>
      </w:tr>
    </w:tbl>
    <w:p w:rsidR="00D724FA" w:rsidRDefault="00D724FA" w:rsidP="00D724FA">
      <w:pPr>
        <w:pStyle w:val="IASBNormalnpara"/>
      </w:pPr>
    </w:p>
    <w:p w:rsidR="00D724FA" w:rsidRDefault="00D724FA" w:rsidP="00D724FA">
      <w:pPr>
        <w:pStyle w:val="IASBNormalnpara"/>
      </w:pPr>
    </w:p>
    <w:tbl>
      <w:tblPr>
        <w:tblW w:w="0" w:type="auto"/>
        <w:tblLayout w:type="fixed"/>
        <w:tblLook w:val="0000" w:firstRow="0" w:lastRow="0" w:firstColumn="0" w:lastColumn="0" w:noHBand="0" w:noVBand="0"/>
        <w:tblCaption w:val="AASB 133 Table 17"/>
      </w:tblPr>
      <w:tblGrid>
        <w:gridCol w:w="3111"/>
        <w:gridCol w:w="6097"/>
      </w:tblGrid>
      <w:tr w:rsidR="00D724FA" w:rsidTr="00A858D8">
        <w:trPr>
          <w:cantSplit/>
          <w:tblHeader/>
        </w:trPr>
        <w:tc>
          <w:tcPr>
            <w:tcW w:w="9208" w:type="dxa"/>
            <w:gridSpan w:val="2"/>
          </w:tcPr>
          <w:p w:rsidR="00D724FA" w:rsidRDefault="00D724FA" w:rsidP="00A858D8">
            <w:pPr>
              <w:pStyle w:val="IASBTableHeaderArial"/>
            </w:pPr>
            <w:r>
              <w:rPr>
                <w:b/>
              </w:rPr>
              <w:t>Potential ordinary shares</w:t>
            </w:r>
          </w:p>
        </w:tc>
      </w:tr>
      <w:tr w:rsidR="00D724FA" w:rsidTr="00A858D8">
        <w:trPr>
          <w:cantSplit/>
        </w:trPr>
        <w:tc>
          <w:tcPr>
            <w:tcW w:w="3111" w:type="dxa"/>
            <w:tcBorders>
              <w:top w:val="nil"/>
            </w:tcBorders>
          </w:tcPr>
          <w:p w:rsidR="00D724FA" w:rsidRDefault="00D724FA" w:rsidP="00A858D8">
            <w:pPr>
              <w:pStyle w:val="IASBTableArial"/>
            </w:pPr>
            <w:r>
              <w:t>Options</w:t>
            </w:r>
          </w:p>
        </w:tc>
        <w:tc>
          <w:tcPr>
            <w:tcW w:w="6097" w:type="dxa"/>
            <w:tcBorders>
              <w:top w:val="nil"/>
              <w:left w:val="nil"/>
            </w:tcBorders>
          </w:tcPr>
          <w:p w:rsidR="00D724FA" w:rsidRDefault="00D724FA" w:rsidP="00A858D8">
            <w:pPr>
              <w:pStyle w:val="IASBTableArial"/>
            </w:pPr>
            <w:r>
              <w:t>100,000 with exercise price of CU60</w:t>
            </w:r>
          </w:p>
        </w:tc>
      </w:tr>
      <w:tr w:rsidR="00D724FA" w:rsidTr="00A858D8">
        <w:trPr>
          <w:cantSplit/>
        </w:trPr>
        <w:tc>
          <w:tcPr>
            <w:tcW w:w="3111" w:type="dxa"/>
            <w:tcBorders>
              <w:top w:val="nil"/>
            </w:tcBorders>
          </w:tcPr>
          <w:p w:rsidR="00D724FA" w:rsidRDefault="00D724FA" w:rsidP="00A858D8">
            <w:pPr>
              <w:pStyle w:val="IASBTableArial"/>
            </w:pPr>
            <w:r>
              <w:t>Convertible preference shares</w:t>
            </w:r>
          </w:p>
        </w:tc>
        <w:tc>
          <w:tcPr>
            <w:tcW w:w="6097" w:type="dxa"/>
            <w:tcBorders>
              <w:top w:val="nil"/>
              <w:left w:val="nil"/>
            </w:tcBorders>
          </w:tcPr>
          <w:p w:rsidR="00D724FA" w:rsidRDefault="00D724FA" w:rsidP="00A858D8">
            <w:pPr>
              <w:pStyle w:val="IASBTableArial"/>
            </w:pPr>
            <w:r>
              <w:t>800,000 shares with a par value of CU100 entitled to a cumulative dividend of CU8 per share. Each preference share is convertible to two ordinary shares.</w:t>
            </w:r>
          </w:p>
        </w:tc>
      </w:tr>
      <w:tr w:rsidR="00D724FA" w:rsidTr="00A858D8">
        <w:trPr>
          <w:cantSplit/>
        </w:trPr>
        <w:tc>
          <w:tcPr>
            <w:tcW w:w="3111" w:type="dxa"/>
            <w:tcBorders>
              <w:top w:val="nil"/>
            </w:tcBorders>
          </w:tcPr>
          <w:p w:rsidR="00D724FA" w:rsidRDefault="00D724FA" w:rsidP="00A858D8">
            <w:pPr>
              <w:pStyle w:val="IASBTableArial"/>
            </w:pPr>
            <w:r>
              <w:t>5% convertible bonds</w:t>
            </w:r>
          </w:p>
        </w:tc>
        <w:tc>
          <w:tcPr>
            <w:tcW w:w="6097" w:type="dxa"/>
            <w:tcBorders>
              <w:top w:val="nil"/>
              <w:left w:val="nil"/>
            </w:tcBorders>
          </w:tcPr>
          <w:p w:rsidR="00D724FA" w:rsidRDefault="00D724FA" w:rsidP="00A858D8">
            <w:pPr>
              <w:pStyle w:val="IASBTableArial"/>
            </w:pPr>
            <w:r>
              <w:t>Nominal amount CU100</w:t>
            </w:r>
            <w:proofErr w:type="gramStart"/>
            <w:r>
              <w:t>,000,000</w:t>
            </w:r>
            <w:proofErr w:type="gramEnd"/>
            <w:r>
              <w:t>. Each CU1</w:t>
            </w:r>
            <w:proofErr w:type="gramStart"/>
            <w:r>
              <w:t>,000</w:t>
            </w:r>
            <w:proofErr w:type="gramEnd"/>
            <w:r>
              <w:t xml:space="preserve"> bond is convertible to 20 ordinary shares. There is no amortisation of premium or discount affecting the determination of interest expense.</w:t>
            </w:r>
          </w:p>
        </w:tc>
      </w:tr>
      <w:tr w:rsidR="00D724FA" w:rsidTr="00A858D8">
        <w:trPr>
          <w:cantSplit/>
        </w:trPr>
        <w:tc>
          <w:tcPr>
            <w:tcW w:w="3111" w:type="dxa"/>
            <w:tcBorders>
              <w:top w:val="nil"/>
            </w:tcBorders>
          </w:tcPr>
          <w:p w:rsidR="00D724FA" w:rsidRDefault="00D724FA" w:rsidP="00A858D8">
            <w:pPr>
              <w:pStyle w:val="IASBTableArial"/>
            </w:pPr>
            <w:r>
              <w:t>Tax rate</w:t>
            </w:r>
          </w:p>
        </w:tc>
        <w:tc>
          <w:tcPr>
            <w:tcW w:w="6097" w:type="dxa"/>
            <w:tcBorders>
              <w:top w:val="nil"/>
              <w:left w:val="nil"/>
            </w:tcBorders>
          </w:tcPr>
          <w:p w:rsidR="00D724FA" w:rsidRDefault="00D724FA" w:rsidP="00A858D8">
            <w:pPr>
              <w:pStyle w:val="IASBTableArial"/>
            </w:pPr>
            <w:r>
              <w:t>40%</w:t>
            </w:r>
          </w:p>
        </w:tc>
      </w:tr>
    </w:tbl>
    <w:p w:rsidR="00D724FA" w:rsidRDefault="00D724FA" w:rsidP="00D724FA">
      <w:pPr>
        <w:pStyle w:val="IASBNormalnpara"/>
      </w:pPr>
    </w:p>
    <w:tbl>
      <w:tblPr>
        <w:tblW w:w="0" w:type="auto"/>
        <w:tblLayout w:type="fixed"/>
        <w:tblLook w:val="0000" w:firstRow="0" w:lastRow="0" w:firstColumn="0" w:lastColumn="0" w:noHBand="0" w:noVBand="0"/>
        <w:tblCaption w:val="AASB 133 Table 18"/>
      </w:tblPr>
      <w:tblGrid>
        <w:gridCol w:w="3293"/>
        <w:gridCol w:w="1820"/>
        <w:gridCol w:w="1365"/>
        <w:gridCol w:w="1365"/>
        <w:gridCol w:w="1365"/>
      </w:tblGrid>
      <w:tr w:rsidR="00D724FA" w:rsidTr="00A858D8">
        <w:trPr>
          <w:cantSplit/>
          <w:tblHeader/>
        </w:trPr>
        <w:tc>
          <w:tcPr>
            <w:tcW w:w="9208" w:type="dxa"/>
            <w:gridSpan w:val="5"/>
          </w:tcPr>
          <w:p w:rsidR="00D724FA" w:rsidRDefault="00D724FA" w:rsidP="00A858D8">
            <w:pPr>
              <w:pStyle w:val="IASBTableHeaderArial"/>
            </w:pPr>
            <w:r>
              <w:rPr>
                <w:b/>
              </w:rPr>
              <w:t>Increase in earnings attributable to ordinary equity holders on conversion of potential ordinary shares</w:t>
            </w:r>
          </w:p>
        </w:tc>
      </w:tr>
      <w:tr w:rsidR="00D724FA" w:rsidTr="00A858D8">
        <w:trPr>
          <w:cantSplit/>
          <w:tblHeader/>
        </w:trPr>
        <w:tc>
          <w:tcPr>
            <w:tcW w:w="3293" w:type="dxa"/>
            <w:tcBorders>
              <w:top w:val="nil"/>
            </w:tcBorders>
            <w:vAlign w:val="bottom"/>
          </w:tcPr>
          <w:p w:rsidR="00D724FA" w:rsidRDefault="00D724FA" w:rsidP="00A858D8">
            <w:pPr>
              <w:pStyle w:val="IASBTableHeaderArial"/>
            </w:pPr>
          </w:p>
        </w:tc>
        <w:tc>
          <w:tcPr>
            <w:tcW w:w="1820" w:type="dxa"/>
            <w:tcBorders>
              <w:top w:val="nil"/>
              <w:left w:val="nil"/>
            </w:tcBorders>
          </w:tcPr>
          <w:p w:rsidR="00D724FA" w:rsidRDefault="00D724FA" w:rsidP="00A858D8">
            <w:pPr>
              <w:pStyle w:val="IASBTableHeaderArial"/>
            </w:pPr>
          </w:p>
        </w:tc>
        <w:tc>
          <w:tcPr>
            <w:tcW w:w="1365" w:type="dxa"/>
            <w:tcBorders>
              <w:top w:val="nil"/>
              <w:left w:val="nil"/>
            </w:tcBorders>
          </w:tcPr>
          <w:p w:rsidR="00D724FA" w:rsidRDefault="00D724FA" w:rsidP="00A858D8">
            <w:pPr>
              <w:pStyle w:val="IASBTableHeaderArial"/>
              <w:jc w:val="right"/>
            </w:pPr>
            <w:r>
              <w:rPr>
                <w:b/>
                <w:i/>
              </w:rPr>
              <w:t>Increase in earnings</w:t>
            </w:r>
          </w:p>
        </w:tc>
        <w:tc>
          <w:tcPr>
            <w:tcW w:w="1365" w:type="dxa"/>
            <w:tcBorders>
              <w:top w:val="nil"/>
              <w:left w:val="nil"/>
            </w:tcBorders>
          </w:tcPr>
          <w:p w:rsidR="00D724FA" w:rsidRDefault="00D724FA" w:rsidP="00A858D8">
            <w:pPr>
              <w:pStyle w:val="IASBTableHeaderArial"/>
              <w:jc w:val="right"/>
            </w:pPr>
            <w:r>
              <w:rPr>
                <w:b/>
                <w:i/>
              </w:rPr>
              <w:t>Increase in number of ordinary shares</w:t>
            </w:r>
          </w:p>
        </w:tc>
        <w:tc>
          <w:tcPr>
            <w:tcW w:w="1365" w:type="dxa"/>
            <w:tcBorders>
              <w:top w:val="nil"/>
              <w:left w:val="nil"/>
            </w:tcBorders>
          </w:tcPr>
          <w:p w:rsidR="00D724FA" w:rsidRDefault="00D724FA" w:rsidP="00A858D8">
            <w:pPr>
              <w:pStyle w:val="IASBTableHeaderArial"/>
              <w:jc w:val="right"/>
            </w:pPr>
            <w:r>
              <w:rPr>
                <w:b/>
                <w:i/>
              </w:rPr>
              <w:t>Earnings per incremental share</w:t>
            </w:r>
          </w:p>
        </w:tc>
      </w:tr>
      <w:tr w:rsidR="00D724FA" w:rsidTr="00A858D8">
        <w:trPr>
          <w:cantSplit/>
          <w:tblHeader/>
        </w:trPr>
        <w:tc>
          <w:tcPr>
            <w:tcW w:w="3293" w:type="dxa"/>
            <w:tcBorders>
              <w:top w:val="nil"/>
            </w:tcBorders>
            <w:vAlign w:val="bottom"/>
          </w:tcPr>
          <w:p w:rsidR="00D724FA" w:rsidRDefault="00D724FA" w:rsidP="00A858D8">
            <w:pPr>
              <w:pStyle w:val="IASBTableHeaderArial"/>
            </w:pPr>
          </w:p>
        </w:tc>
        <w:tc>
          <w:tcPr>
            <w:tcW w:w="1820" w:type="dxa"/>
            <w:tcBorders>
              <w:top w:val="nil"/>
              <w:left w:val="nil"/>
            </w:tcBorders>
          </w:tcPr>
          <w:p w:rsidR="00D724FA" w:rsidRDefault="00D724FA" w:rsidP="00A858D8">
            <w:pPr>
              <w:pStyle w:val="IASBTableHeaderArial"/>
            </w:pPr>
          </w:p>
        </w:tc>
        <w:tc>
          <w:tcPr>
            <w:tcW w:w="1365" w:type="dxa"/>
            <w:tcBorders>
              <w:top w:val="nil"/>
              <w:left w:val="nil"/>
            </w:tcBorders>
          </w:tcPr>
          <w:p w:rsidR="00D724FA" w:rsidRDefault="00D724FA" w:rsidP="00A858D8">
            <w:pPr>
              <w:pStyle w:val="IASBTableHeaderArial"/>
              <w:jc w:val="right"/>
            </w:pPr>
            <w:r>
              <w:rPr>
                <w:b/>
                <w:u w:val="single"/>
              </w:rPr>
              <w:t>CU</w:t>
            </w:r>
          </w:p>
        </w:tc>
        <w:tc>
          <w:tcPr>
            <w:tcW w:w="1365" w:type="dxa"/>
            <w:tcBorders>
              <w:top w:val="nil"/>
              <w:left w:val="nil"/>
            </w:tcBorders>
          </w:tcPr>
          <w:p w:rsidR="00D724FA" w:rsidRDefault="00D724FA" w:rsidP="00A858D8">
            <w:pPr>
              <w:pStyle w:val="IASBTableHeaderArial"/>
            </w:pPr>
          </w:p>
        </w:tc>
        <w:tc>
          <w:tcPr>
            <w:tcW w:w="1365" w:type="dxa"/>
            <w:tcBorders>
              <w:top w:val="nil"/>
              <w:left w:val="nil"/>
            </w:tcBorders>
          </w:tcPr>
          <w:p w:rsidR="00D724FA" w:rsidRDefault="00D724FA" w:rsidP="00A858D8">
            <w:pPr>
              <w:pStyle w:val="IASBTableHeaderArial"/>
              <w:jc w:val="right"/>
            </w:pPr>
            <w:r>
              <w:rPr>
                <w:b/>
                <w:u w:val="single"/>
              </w:rPr>
              <w:t>CU</w:t>
            </w:r>
          </w:p>
        </w:tc>
      </w:tr>
      <w:tr w:rsidR="00D724FA" w:rsidTr="00A858D8">
        <w:trPr>
          <w:cantSplit/>
        </w:trPr>
        <w:tc>
          <w:tcPr>
            <w:tcW w:w="9208" w:type="dxa"/>
            <w:gridSpan w:val="5"/>
            <w:tcBorders>
              <w:top w:val="nil"/>
            </w:tcBorders>
          </w:tcPr>
          <w:p w:rsidR="00D724FA" w:rsidRDefault="00D724FA" w:rsidP="00A858D8">
            <w:pPr>
              <w:pStyle w:val="IASBTableArial"/>
            </w:pPr>
            <w:r>
              <w:rPr>
                <w:b/>
              </w:rPr>
              <w:t>Options</w:t>
            </w:r>
          </w:p>
        </w:tc>
      </w:tr>
      <w:tr w:rsidR="00D724FA" w:rsidTr="00A858D8">
        <w:trPr>
          <w:cantSplit/>
        </w:trPr>
        <w:tc>
          <w:tcPr>
            <w:tcW w:w="3293" w:type="dxa"/>
            <w:tcBorders>
              <w:top w:val="nil"/>
            </w:tcBorders>
            <w:vAlign w:val="bottom"/>
          </w:tcPr>
          <w:p w:rsidR="00D724FA" w:rsidRDefault="00D724FA" w:rsidP="00A858D8">
            <w:pPr>
              <w:pStyle w:val="IASBTableArial"/>
            </w:pPr>
            <w:r>
              <w:t>Increase in earnings</w:t>
            </w:r>
          </w:p>
        </w:tc>
        <w:tc>
          <w:tcPr>
            <w:tcW w:w="1820" w:type="dxa"/>
            <w:tcBorders>
              <w:top w:val="nil"/>
              <w:left w:val="nil"/>
            </w:tcBorders>
            <w:vAlign w:val="bottom"/>
          </w:tcPr>
          <w:p w:rsidR="00D724FA" w:rsidRDefault="00D724FA" w:rsidP="00A858D8">
            <w:pPr>
              <w:pStyle w:val="IASBTableArial"/>
              <w:jc w:val="right"/>
            </w:pPr>
          </w:p>
        </w:tc>
        <w:tc>
          <w:tcPr>
            <w:tcW w:w="1365" w:type="dxa"/>
            <w:tcBorders>
              <w:top w:val="nil"/>
              <w:left w:val="nil"/>
            </w:tcBorders>
            <w:vAlign w:val="bottom"/>
          </w:tcPr>
          <w:p w:rsidR="00D724FA" w:rsidRDefault="00D724FA" w:rsidP="00A858D8">
            <w:pPr>
              <w:pStyle w:val="IASBTableArial"/>
              <w:jc w:val="right"/>
            </w:pPr>
            <w:r>
              <w:t>Nil</w:t>
            </w:r>
          </w:p>
        </w:tc>
        <w:tc>
          <w:tcPr>
            <w:tcW w:w="1365" w:type="dxa"/>
            <w:tcBorders>
              <w:top w:val="nil"/>
              <w:left w:val="nil"/>
            </w:tcBorders>
            <w:vAlign w:val="bottom"/>
          </w:tcPr>
          <w:p w:rsidR="00D724FA" w:rsidRDefault="00D724FA" w:rsidP="00A858D8">
            <w:pPr>
              <w:pStyle w:val="IASBTableArial"/>
              <w:jc w:val="right"/>
            </w:pPr>
          </w:p>
        </w:tc>
        <w:tc>
          <w:tcPr>
            <w:tcW w:w="1365" w:type="dxa"/>
            <w:tcBorders>
              <w:top w:val="nil"/>
              <w:left w:val="nil"/>
            </w:tcBorders>
            <w:vAlign w:val="bottom"/>
          </w:tcPr>
          <w:p w:rsidR="00D724FA" w:rsidRDefault="00D724FA" w:rsidP="00A858D8">
            <w:pPr>
              <w:pStyle w:val="IASBTableArial"/>
              <w:jc w:val="right"/>
            </w:pPr>
          </w:p>
        </w:tc>
      </w:tr>
      <w:tr w:rsidR="00D724FA" w:rsidTr="00A858D8">
        <w:trPr>
          <w:cantSplit/>
        </w:trPr>
        <w:tc>
          <w:tcPr>
            <w:tcW w:w="3293" w:type="dxa"/>
            <w:tcBorders>
              <w:top w:val="nil"/>
            </w:tcBorders>
          </w:tcPr>
          <w:p w:rsidR="00D724FA" w:rsidRDefault="00D724FA" w:rsidP="00A858D8">
            <w:pPr>
              <w:pStyle w:val="IASBTableArial"/>
            </w:pPr>
            <w:r>
              <w:t>Incremental shares issued for no consideration</w:t>
            </w:r>
          </w:p>
        </w:tc>
        <w:tc>
          <w:tcPr>
            <w:tcW w:w="1820" w:type="dxa"/>
            <w:tcBorders>
              <w:top w:val="nil"/>
              <w:left w:val="nil"/>
            </w:tcBorders>
            <w:vAlign w:val="bottom"/>
          </w:tcPr>
          <w:p w:rsidR="00D724FA" w:rsidRDefault="00D724FA" w:rsidP="00A858D8">
            <w:pPr>
              <w:pStyle w:val="IASBTableArial"/>
              <w:jc w:val="right"/>
            </w:pPr>
            <w:r>
              <w:t>100,000 × (CU75 – CU60) ÷ CU75</w:t>
            </w:r>
          </w:p>
        </w:tc>
        <w:tc>
          <w:tcPr>
            <w:tcW w:w="1365" w:type="dxa"/>
            <w:tcBorders>
              <w:top w:val="nil"/>
              <w:left w:val="nil"/>
            </w:tcBorders>
            <w:vAlign w:val="bottom"/>
          </w:tcPr>
          <w:p w:rsidR="00D724FA" w:rsidRDefault="00D724FA" w:rsidP="00A858D8">
            <w:pPr>
              <w:pStyle w:val="IASBTableArial"/>
              <w:jc w:val="right"/>
            </w:pPr>
          </w:p>
        </w:tc>
        <w:tc>
          <w:tcPr>
            <w:tcW w:w="1365" w:type="dxa"/>
            <w:tcBorders>
              <w:top w:val="nil"/>
              <w:left w:val="nil"/>
            </w:tcBorders>
            <w:vAlign w:val="bottom"/>
          </w:tcPr>
          <w:p w:rsidR="00D724FA" w:rsidRDefault="00D724FA" w:rsidP="00A858D8">
            <w:pPr>
              <w:pStyle w:val="IASBTableArial"/>
              <w:jc w:val="right"/>
            </w:pPr>
            <w:r>
              <w:t>20,000</w:t>
            </w:r>
          </w:p>
        </w:tc>
        <w:tc>
          <w:tcPr>
            <w:tcW w:w="1365" w:type="dxa"/>
            <w:tcBorders>
              <w:top w:val="nil"/>
              <w:left w:val="nil"/>
            </w:tcBorders>
            <w:vAlign w:val="bottom"/>
          </w:tcPr>
          <w:p w:rsidR="00D724FA" w:rsidRDefault="00D724FA" w:rsidP="00A858D8">
            <w:pPr>
              <w:pStyle w:val="IASBTableArial"/>
              <w:jc w:val="right"/>
            </w:pPr>
            <w:r>
              <w:t>Nil</w:t>
            </w:r>
          </w:p>
        </w:tc>
      </w:tr>
      <w:tr w:rsidR="00D724FA" w:rsidTr="00A858D8">
        <w:trPr>
          <w:cantSplit/>
        </w:trPr>
        <w:tc>
          <w:tcPr>
            <w:tcW w:w="9208" w:type="dxa"/>
            <w:gridSpan w:val="5"/>
            <w:tcBorders>
              <w:top w:val="nil"/>
            </w:tcBorders>
          </w:tcPr>
          <w:p w:rsidR="00D724FA" w:rsidRDefault="00D724FA" w:rsidP="00A858D8">
            <w:pPr>
              <w:pStyle w:val="IASBTableArial"/>
            </w:pPr>
            <w:r>
              <w:rPr>
                <w:b/>
              </w:rPr>
              <w:t>Convertible preference shares</w:t>
            </w:r>
          </w:p>
        </w:tc>
      </w:tr>
      <w:tr w:rsidR="00D724FA" w:rsidTr="00A858D8">
        <w:trPr>
          <w:cantSplit/>
        </w:trPr>
        <w:tc>
          <w:tcPr>
            <w:tcW w:w="3293" w:type="dxa"/>
            <w:tcBorders>
              <w:top w:val="nil"/>
            </w:tcBorders>
          </w:tcPr>
          <w:p w:rsidR="00D724FA" w:rsidRDefault="00D724FA" w:rsidP="00A858D8">
            <w:pPr>
              <w:pStyle w:val="IASBTableArial"/>
            </w:pPr>
            <w:r>
              <w:t>Increase in profit</w:t>
            </w:r>
          </w:p>
        </w:tc>
        <w:tc>
          <w:tcPr>
            <w:tcW w:w="1820" w:type="dxa"/>
            <w:tcBorders>
              <w:top w:val="nil"/>
              <w:left w:val="nil"/>
            </w:tcBorders>
            <w:vAlign w:val="bottom"/>
          </w:tcPr>
          <w:p w:rsidR="00D724FA" w:rsidRDefault="00D724FA" w:rsidP="00A858D8">
            <w:pPr>
              <w:pStyle w:val="IASBTableArial"/>
              <w:jc w:val="right"/>
            </w:pPr>
            <w:r>
              <w:t>CU800,000 × 100 × 0.08</w:t>
            </w:r>
          </w:p>
        </w:tc>
        <w:tc>
          <w:tcPr>
            <w:tcW w:w="1365" w:type="dxa"/>
            <w:tcBorders>
              <w:top w:val="nil"/>
              <w:left w:val="nil"/>
            </w:tcBorders>
            <w:vAlign w:val="bottom"/>
          </w:tcPr>
          <w:p w:rsidR="00D724FA" w:rsidRDefault="00D724FA" w:rsidP="00A858D8">
            <w:pPr>
              <w:pStyle w:val="IASBTableArial"/>
              <w:jc w:val="right"/>
            </w:pPr>
            <w:r>
              <w:t>6,400,000</w:t>
            </w:r>
          </w:p>
        </w:tc>
        <w:tc>
          <w:tcPr>
            <w:tcW w:w="1365" w:type="dxa"/>
            <w:tcBorders>
              <w:top w:val="nil"/>
              <w:left w:val="nil"/>
            </w:tcBorders>
            <w:vAlign w:val="bottom"/>
          </w:tcPr>
          <w:p w:rsidR="00D724FA" w:rsidRDefault="00D724FA" w:rsidP="00A858D8">
            <w:pPr>
              <w:pStyle w:val="IASBTableArial"/>
              <w:jc w:val="right"/>
            </w:pPr>
          </w:p>
        </w:tc>
        <w:tc>
          <w:tcPr>
            <w:tcW w:w="1365" w:type="dxa"/>
            <w:tcBorders>
              <w:top w:val="nil"/>
              <w:left w:val="nil"/>
            </w:tcBorders>
            <w:vAlign w:val="bottom"/>
          </w:tcPr>
          <w:p w:rsidR="00D724FA" w:rsidRDefault="00D724FA" w:rsidP="00A858D8">
            <w:pPr>
              <w:pStyle w:val="IASBTableArial"/>
              <w:jc w:val="right"/>
            </w:pPr>
          </w:p>
        </w:tc>
      </w:tr>
      <w:tr w:rsidR="00D724FA" w:rsidTr="00A858D8">
        <w:trPr>
          <w:cantSplit/>
        </w:trPr>
        <w:tc>
          <w:tcPr>
            <w:tcW w:w="3293" w:type="dxa"/>
            <w:tcBorders>
              <w:top w:val="nil"/>
            </w:tcBorders>
            <w:vAlign w:val="bottom"/>
          </w:tcPr>
          <w:p w:rsidR="00D724FA" w:rsidRDefault="00D724FA" w:rsidP="00A858D8">
            <w:pPr>
              <w:pStyle w:val="IASBTableArial"/>
            </w:pPr>
            <w:r>
              <w:t>Incremental shares</w:t>
            </w:r>
          </w:p>
        </w:tc>
        <w:tc>
          <w:tcPr>
            <w:tcW w:w="1820" w:type="dxa"/>
            <w:tcBorders>
              <w:top w:val="nil"/>
              <w:left w:val="nil"/>
            </w:tcBorders>
            <w:vAlign w:val="bottom"/>
          </w:tcPr>
          <w:p w:rsidR="00D724FA" w:rsidRDefault="00D724FA" w:rsidP="00A858D8">
            <w:pPr>
              <w:pStyle w:val="IASBTableArial"/>
              <w:jc w:val="right"/>
            </w:pPr>
            <w:r>
              <w:t>2 × 800,000</w:t>
            </w:r>
          </w:p>
        </w:tc>
        <w:tc>
          <w:tcPr>
            <w:tcW w:w="1365" w:type="dxa"/>
            <w:tcBorders>
              <w:top w:val="nil"/>
              <w:left w:val="nil"/>
            </w:tcBorders>
            <w:vAlign w:val="bottom"/>
          </w:tcPr>
          <w:p w:rsidR="00D724FA" w:rsidRDefault="00D724FA" w:rsidP="00A858D8">
            <w:pPr>
              <w:pStyle w:val="IASBTableArial"/>
              <w:jc w:val="right"/>
            </w:pPr>
          </w:p>
        </w:tc>
        <w:tc>
          <w:tcPr>
            <w:tcW w:w="1365" w:type="dxa"/>
            <w:tcBorders>
              <w:top w:val="nil"/>
              <w:left w:val="nil"/>
            </w:tcBorders>
            <w:vAlign w:val="bottom"/>
          </w:tcPr>
          <w:p w:rsidR="00D724FA" w:rsidRDefault="00D724FA" w:rsidP="00A858D8">
            <w:pPr>
              <w:pStyle w:val="IASBTableArial"/>
              <w:jc w:val="right"/>
            </w:pPr>
            <w:r>
              <w:t>1,600,000</w:t>
            </w:r>
          </w:p>
        </w:tc>
        <w:tc>
          <w:tcPr>
            <w:tcW w:w="1365" w:type="dxa"/>
            <w:tcBorders>
              <w:top w:val="nil"/>
              <w:left w:val="nil"/>
            </w:tcBorders>
            <w:vAlign w:val="bottom"/>
          </w:tcPr>
          <w:p w:rsidR="00D724FA" w:rsidRDefault="00D724FA" w:rsidP="00A858D8">
            <w:pPr>
              <w:pStyle w:val="IASBTableArial"/>
              <w:jc w:val="right"/>
            </w:pPr>
            <w:r>
              <w:t>4.00</w:t>
            </w:r>
          </w:p>
        </w:tc>
      </w:tr>
      <w:tr w:rsidR="00D724FA" w:rsidTr="00A858D8">
        <w:trPr>
          <w:cantSplit/>
        </w:trPr>
        <w:tc>
          <w:tcPr>
            <w:tcW w:w="9208" w:type="dxa"/>
            <w:gridSpan w:val="5"/>
            <w:tcBorders>
              <w:top w:val="nil"/>
            </w:tcBorders>
          </w:tcPr>
          <w:p w:rsidR="00D724FA" w:rsidRDefault="00D724FA" w:rsidP="00A858D8">
            <w:pPr>
              <w:pStyle w:val="IASBTableArial"/>
            </w:pPr>
            <w:r>
              <w:rPr>
                <w:b/>
              </w:rPr>
              <w:t>5% convertible bonds</w:t>
            </w:r>
          </w:p>
        </w:tc>
      </w:tr>
      <w:tr w:rsidR="00D724FA" w:rsidTr="00A858D8">
        <w:trPr>
          <w:cantSplit/>
        </w:trPr>
        <w:tc>
          <w:tcPr>
            <w:tcW w:w="3293" w:type="dxa"/>
            <w:tcBorders>
              <w:top w:val="nil"/>
            </w:tcBorders>
          </w:tcPr>
          <w:p w:rsidR="00D724FA" w:rsidRDefault="00D724FA" w:rsidP="00A858D8">
            <w:pPr>
              <w:pStyle w:val="IASBTableArial"/>
            </w:pPr>
            <w:r>
              <w:t>Increase in profit</w:t>
            </w:r>
          </w:p>
        </w:tc>
        <w:tc>
          <w:tcPr>
            <w:tcW w:w="1820" w:type="dxa"/>
            <w:tcBorders>
              <w:top w:val="nil"/>
              <w:left w:val="nil"/>
            </w:tcBorders>
            <w:vAlign w:val="bottom"/>
          </w:tcPr>
          <w:p w:rsidR="00D724FA" w:rsidRDefault="00D724FA" w:rsidP="00A858D8">
            <w:pPr>
              <w:pStyle w:val="IASBTableArial"/>
              <w:jc w:val="right"/>
            </w:pPr>
            <w:r>
              <w:t>CU100,000,000 × 0.05 ×</w:t>
            </w:r>
            <w:r>
              <w:br/>
              <w:t>(1 – 0.40)</w:t>
            </w:r>
          </w:p>
        </w:tc>
        <w:tc>
          <w:tcPr>
            <w:tcW w:w="1365" w:type="dxa"/>
            <w:tcBorders>
              <w:top w:val="nil"/>
              <w:left w:val="nil"/>
            </w:tcBorders>
            <w:vAlign w:val="bottom"/>
          </w:tcPr>
          <w:p w:rsidR="00D724FA" w:rsidRDefault="00D724FA" w:rsidP="00A858D8">
            <w:pPr>
              <w:pStyle w:val="IASBTableArial"/>
              <w:jc w:val="right"/>
            </w:pPr>
            <w:r>
              <w:t>3,000,000</w:t>
            </w:r>
          </w:p>
        </w:tc>
        <w:tc>
          <w:tcPr>
            <w:tcW w:w="1365" w:type="dxa"/>
            <w:tcBorders>
              <w:top w:val="nil"/>
              <w:left w:val="nil"/>
            </w:tcBorders>
            <w:vAlign w:val="bottom"/>
          </w:tcPr>
          <w:p w:rsidR="00D724FA" w:rsidRDefault="00D724FA" w:rsidP="00A858D8">
            <w:pPr>
              <w:pStyle w:val="IASBTableArial"/>
              <w:jc w:val="right"/>
            </w:pPr>
          </w:p>
        </w:tc>
        <w:tc>
          <w:tcPr>
            <w:tcW w:w="1365" w:type="dxa"/>
            <w:tcBorders>
              <w:top w:val="nil"/>
              <w:left w:val="nil"/>
            </w:tcBorders>
            <w:vAlign w:val="bottom"/>
          </w:tcPr>
          <w:p w:rsidR="00D724FA" w:rsidRDefault="00D724FA" w:rsidP="00A858D8">
            <w:pPr>
              <w:pStyle w:val="IASBTableArial"/>
              <w:jc w:val="right"/>
            </w:pPr>
          </w:p>
        </w:tc>
      </w:tr>
      <w:tr w:rsidR="00D724FA" w:rsidTr="00A858D8">
        <w:trPr>
          <w:cantSplit/>
        </w:trPr>
        <w:tc>
          <w:tcPr>
            <w:tcW w:w="3293" w:type="dxa"/>
            <w:tcBorders>
              <w:top w:val="nil"/>
            </w:tcBorders>
            <w:vAlign w:val="bottom"/>
          </w:tcPr>
          <w:p w:rsidR="00D724FA" w:rsidRDefault="00D724FA" w:rsidP="00A858D8">
            <w:pPr>
              <w:pStyle w:val="IASBTableArial"/>
            </w:pPr>
            <w:r>
              <w:t>Incremental shares</w:t>
            </w:r>
          </w:p>
        </w:tc>
        <w:tc>
          <w:tcPr>
            <w:tcW w:w="1820" w:type="dxa"/>
            <w:tcBorders>
              <w:top w:val="nil"/>
              <w:left w:val="nil"/>
            </w:tcBorders>
            <w:vAlign w:val="bottom"/>
          </w:tcPr>
          <w:p w:rsidR="00D724FA" w:rsidRDefault="00D724FA" w:rsidP="00A858D8">
            <w:pPr>
              <w:pStyle w:val="IASBTableArial"/>
              <w:jc w:val="right"/>
            </w:pPr>
            <w:r>
              <w:t>100,000 × 20</w:t>
            </w:r>
          </w:p>
        </w:tc>
        <w:tc>
          <w:tcPr>
            <w:tcW w:w="1365" w:type="dxa"/>
            <w:tcBorders>
              <w:top w:val="nil"/>
              <w:left w:val="nil"/>
            </w:tcBorders>
            <w:vAlign w:val="bottom"/>
          </w:tcPr>
          <w:p w:rsidR="00D724FA" w:rsidRDefault="00D724FA" w:rsidP="00A858D8">
            <w:pPr>
              <w:pStyle w:val="IASBTableArial"/>
              <w:jc w:val="right"/>
            </w:pPr>
          </w:p>
        </w:tc>
        <w:tc>
          <w:tcPr>
            <w:tcW w:w="1365" w:type="dxa"/>
            <w:tcBorders>
              <w:top w:val="nil"/>
              <w:left w:val="nil"/>
            </w:tcBorders>
            <w:vAlign w:val="bottom"/>
          </w:tcPr>
          <w:p w:rsidR="00D724FA" w:rsidRDefault="00D724FA" w:rsidP="00A858D8">
            <w:pPr>
              <w:pStyle w:val="IASBTableArial"/>
              <w:jc w:val="right"/>
            </w:pPr>
            <w:r>
              <w:t>2,000,000</w:t>
            </w:r>
          </w:p>
        </w:tc>
        <w:tc>
          <w:tcPr>
            <w:tcW w:w="1365" w:type="dxa"/>
            <w:tcBorders>
              <w:top w:val="nil"/>
              <w:left w:val="nil"/>
            </w:tcBorders>
            <w:vAlign w:val="bottom"/>
          </w:tcPr>
          <w:p w:rsidR="00D724FA" w:rsidRDefault="00D724FA" w:rsidP="00A858D8">
            <w:pPr>
              <w:pStyle w:val="IASBTableArial"/>
              <w:jc w:val="right"/>
            </w:pPr>
            <w:r>
              <w:t>1.50</w:t>
            </w:r>
          </w:p>
        </w:tc>
      </w:tr>
    </w:tbl>
    <w:p w:rsidR="00D724FA" w:rsidRDefault="00D724FA" w:rsidP="00D724FA">
      <w:pPr>
        <w:pStyle w:val="IASBNormalnpara"/>
      </w:pPr>
    </w:p>
    <w:p w:rsidR="00D724FA" w:rsidRDefault="00D724FA" w:rsidP="00D724FA">
      <w:pPr>
        <w:pStyle w:val="IASBNormal"/>
      </w:pPr>
      <w:r>
        <w:t>The order in which to include the dilutive instruments is therefore:</w:t>
      </w:r>
    </w:p>
    <w:p w:rsidR="00D724FA" w:rsidRDefault="00D724FA" w:rsidP="00D724FA">
      <w:pPr>
        <w:pStyle w:val="IASBNormalL1"/>
      </w:pPr>
      <w:r>
        <w:t>1</w:t>
      </w:r>
      <w:r>
        <w:tab/>
        <w:t>Options</w:t>
      </w:r>
    </w:p>
    <w:p w:rsidR="00D724FA" w:rsidRDefault="00D724FA" w:rsidP="00D724FA">
      <w:pPr>
        <w:pStyle w:val="IASBNormalL1"/>
      </w:pPr>
      <w:r>
        <w:t>2</w:t>
      </w:r>
      <w:r>
        <w:tab/>
        <w:t>5% convertible bonds</w:t>
      </w:r>
    </w:p>
    <w:p w:rsidR="00D724FA" w:rsidRDefault="00D724FA" w:rsidP="00D724FA">
      <w:pPr>
        <w:pStyle w:val="IASBNormalL1"/>
      </w:pPr>
      <w:r>
        <w:t>3</w:t>
      </w:r>
      <w:r>
        <w:tab/>
        <w:t>Convertible preference shares</w:t>
      </w:r>
    </w:p>
    <w:p w:rsidR="00D724FA" w:rsidRDefault="00D724FA" w:rsidP="00D724FA">
      <w:pPr>
        <w:pStyle w:val="IASBNormalnpara"/>
      </w:pPr>
    </w:p>
    <w:tbl>
      <w:tblPr>
        <w:tblW w:w="0" w:type="auto"/>
        <w:tblLayout w:type="fixed"/>
        <w:tblLook w:val="0000" w:firstRow="0" w:lastRow="0" w:firstColumn="0" w:lastColumn="0" w:noHBand="0" w:noVBand="0"/>
        <w:tblCaption w:val="AASB 133 Table 19"/>
      </w:tblPr>
      <w:tblGrid>
        <w:gridCol w:w="2474"/>
        <w:gridCol w:w="910"/>
        <w:gridCol w:w="1547"/>
        <w:gridCol w:w="273"/>
        <w:gridCol w:w="1547"/>
        <w:gridCol w:w="273"/>
        <w:gridCol w:w="910"/>
        <w:gridCol w:w="1274"/>
      </w:tblGrid>
      <w:tr w:rsidR="00D724FA" w:rsidTr="00A858D8">
        <w:trPr>
          <w:cantSplit/>
          <w:tblHeader/>
        </w:trPr>
        <w:tc>
          <w:tcPr>
            <w:tcW w:w="9208" w:type="dxa"/>
            <w:gridSpan w:val="8"/>
          </w:tcPr>
          <w:p w:rsidR="00D724FA" w:rsidRDefault="00D724FA" w:rsidP="00A858D8">
            <w:pPr>
              <w:pStyle w:val="IASBTableHeaderArial"/>
            </w:pPr>
            <w:r>
              <w:rPr>
                <w:b/>
              </w:rPr>
              <w:t>Calculation of diluted earnings per share</w:t>
            </w:r>
          </w:p>
        </w:tc>
      </w:tr>
      <w:tr w:rsidR="00D724FA" w:rsidTr="00A858D8">
        <w:trPr>
          <w:cantSplit/>
          <w:tblHeader/>
        </w:trPr>
        <w:tc>
          <w:tcPr>
            <w:tcW w:w="2474" w:type="dxa"/>
            <w:tcBorders>
              <w:top w:val="nil"/>
            </w:tcBorders>
            <w:vAlign w:val="bottom"/>
          </w:tcPr>
          <w:p w:rsidR="00D724FA" w:rsidRDefault="00D724FA" w:rsidP="00A858D8">
            <w:pPr>
              <w:pStyle w:val="IASBTableHeaderArial"/>
            </w:pPr>
          </w:p>
        </w:tc>
        <w:tc>
          <w:tcPr>
            <w:tcW w:w="2457" w:type="dxa"/>
            <w:gridSpan w:val="2"/>
            <w:tcBorders>
              <w:top w:val="nil"/>
              <w:left w:val="nil"/>
            </w:tcBorders>
          </w:tcPr>
          <w:p w:rsidR="00D724FA" w:rsidRDefault="00D724FA" w:rsidP="00A858D8">
            <w:pPr>
              <w:pStyle w:val="IASBTableHeaderArial"/>
              <w:jc w:val="right"/>
            </w:pPr>
            <w:r>
              <w:rPr>
                <w:b/>
                <w:i/>
              </w:rPr>
              <w:t>Profit from continuing operations attributable to ordinary equity holders of the parent entity (control number)</w:t>
            </w:r>
          </w:p>
        </w:tc>
        <w:tc>
          <w:tcPr>
            <w:tcW w:w="1820" w:type="dxa"/>
            <w:gridSpan w:val="2"/>
            <w:tcBorders>
              <w:top w:val="nil"/>
              <w:left w:val="nil"/>
            </w:tcBorders>
          </w:tcPr>
          <w:p w:rsidR="00D724FA" w:rsidRDefault="00D724FA" w:rsidP="00A858D8">
            <w:pPr>
              <w:pStyle w:val="IASBTableHeaderArial"/>
              <w:jc w:val="right"/>
            </w:pPr>
            <w:r>
              <w:rPr>
                <w:b/>
                <w:i/>
              </w:rPr>
              <w:t>Ordinary shares</w:t>
            </w:r>
          </w:p>
        </w:tc>
        <w:tc>
          <w:tcPr>
            <w:tcW w:w="1183" w:type="dxa"/>
            <w:gridSpan w:val="2"/>
            <w:tcBorders>
              <w:top w:val="nil"/>
              <w:left w:val="nil"/>
            </w:tcBorders>
          </w:tcPr>
          <w:p w:rsidR="00D724FA" w:rsidRDefault="00D724FA" w:rsidP="00A858D8">
            <w:pPr>
              <w:pStyle w:val="IASBTableHeaderArial"/>
              <w:jc w:val="right"/>
            </w:pPr>
            <w:r>
              <w:rPr>
                <w:b/>
                <w:i/>
              </w:rPr>
              <w:t>Per share</w:t>
            </w:r>
          </w:p>
        </w:tc>
        <w:tc>
          <w:tcPr>
            <w:tcW w:w="1274" w:type="dxa"/>
            <w:tcBorders>
              <w:top w:val="nil"/>
              <w:left w:val="nil"/>
            </w:tcBorders>
            <w:vAlign w:val="bottom"/>
          </w:tcPr>
          <w:p w:rsidR="00D724FA" w:rsidRDefault="00D724FA" w:rsidP="00A858D8">
            <w:pPr>
              <w:pStyle w:val="IASBTableHeaderArial"/>
            </w:pPr>
          </w:p>
        </w:tc>
      </w:tr>
      <w:tr w:rsidR="00D724FA" w:rsidTr="00A858D8">
        <w:trPr>
          <w:cantSplit/>
          <w:tblHeader/>
        </w:trPr>
        <w:tc>
          <w:tcPr>
            <w:tcW w:w="2474" w:type="dxa"/>
            <w:tcBorders>
              <w:top w:val="nil"/>
            </w:tcBorders>
            <w:vAlign w:val="bottom"/>
          </w:tcPr>
          <w:p w:rsidR="00D724FA" w:rsidRDefault="00D724FA" w:rsidP="00A858D8">
            <w:pPr>
              <w:pStyle w:val="IASBTableHeaderArial"/>
            </w:pPr>
          </w:p>
        </w:tc>
        <w:tc>
          <w:tcPr>
            <w:tcW w:w="910" w:type="dxa"/>
            <w:tcBorders>
              <w:top w:val="nil"/>
              <w:left w:val="nil"/>
            </w:tcBorders>
            <w:vAlign w:val="bottom"/>
          </w:tcPr>
          <w:p w:rsidR="00D724FA" w:rsidRDefault="00D724FA" w:rsidP="00A858D8">
            <w:pPr>
              <w:pStyle w:val="IASBTableHeaderArial"/>
            </w:pPr>
          </w:p>
        </w:tc>
        <w:tc>
          <w:tcPr>
            <w:tcW w:w="1547" w:type="dxa"/>
            <w:tcBorders>
              <w:top w:val="nil"/>
              <w:left w:val="nil"/>
            </w:tcBorders>
            <w:vAlign w:val="bottom"/>
          </w:tcPr>
          <w:p w:rsidR="00D724FA" w:rsidRDefault="00D724FA" w:rsidP="00A858D8">
            <w:pPr>
              <w:pStyle w:val="IASBTableHeaderArial"/>
              <w:jc w:val="right"/>
            </w:pPr>
            <w:r>
              <w:rPr>
                <w:b/>
                <w:u w:val="single"/>
              </w:rPr>
              <w:t>CU</w:t>
            </w:r>
          </w:p>
        </w:tc>
        <w:tc>
          <w:tcPr>
            <w:tcW w:w="273" w:type="dxa"/>
            <w:tcBorders>
              <w:top w:val="nil"/>
              <w:left w:val="nil"/>
            </w:tcBorders>
            <w:vAlign w:val="bottom"/>
          </w:tcPr>
          <w:p w:rsidR="00D724FA" w:rsidRDefault="00D724FA" w:rsidP="00A858D8">
            <w:pPr>
              <w:pStyle w:val="IASBTableHeaderArial"/>
            </w:pPr>
          </w:p>
        </w:tc>
        <w:tc>
          <w:tcPr>
            <w:tcW w:w="1547" w:type="dxa"/>
            <w:tcBorders>
              <w:top w:val="nil"/>
              <w:left w:val="nil"/>
            </w:tcBorders>
            <w:vAlign w:val="bottom"/>
          </w:tcPr>
          <w:p w:rsidR="00D724FA" w:rsidRDefault="00D724FA" w:rsidP="00A858D8">
            <w:pPr>
              <w:pStyle w:val="IASBTableHeaderArial"/>
            </w:pPr>
          </w:p>
        </w:tc>
        <w:tc>
          <w:tcPr>
            <w:tcW w:w="273" w:type="dxa"/>
            <w:tcBorders>
              <w:top w:val="nil"/>
              <w:left w:val="nil"/>
            </w:tcBorders>
            <w:vAlign w:val="bottom"/>
          </w:tcPr>
          <w:p w:rsidR="00D724FA" w:rsidRDefault="00D724FA" w:rsidP="00A858D8">
            <w:pPr>
              <w:pStyle w:val="IASBTableHeaderArial"/>
            </w:pPr>
          </w:p>
        </w:tc>
        <w:tc>
          <w:tcPr>
            <w:tcW w:w="910" w:type="dxa"/>
            <w:tcBorders>
              <w:top w:val="nil"/>
              <w:left w:val="nil"/>
            </w:tcBorders>
            <w:vAlign w:val="bottom"/>
          </w:tcPr>
          <w:p w:rsidR="00D724FA" w:rsidRDefault="00D724FA" w:rsidP="00A858D8">
            <w:pPr>
              <w:pStyle w:val="IASBTableHeaderArial"/>
              <w:jc w:val="right"/>
            </w:pPr>
            <w:r>
              <w:rPr>
                <w:b/>
                <w:u w:val="single"/>
              </w:rPr>
              <w:t>CU</w:t>
            </w:r>
          </w:p>
        </w:tc>
        <w:tc>
          <w:tcPr>
            <w:tcW w:w="1274" w:type="dxa"/>
            <w:tcBorders>
              <w:top w:val="nil"/>
              <w:left w:val="nil"/>
            </w:tcBorders>
            <w:vAlign w:val="bottom"/>
          </w:tcPr>
          <w:p w:rsidR="00D724FA" w:rsidRDefault="00D724FA" w:rsidP="00A858D8">
            <w:pPr>
              <w:pStyle w:val="IASBTableHeaderArial"/>
            </w:pPr>
          </w:p>
        </w:tc>
      </w:tr>
      <w:tr w:rsidR="00D724FA" w:rsidTr="00A858D8">
        <w:trPr>
          <w:cantSplit/>
        </w:trPr>
        <w:tc>
          <w:tcPr>
            <w:tcW w:w="2474" w:type="dxa"/>
            <w:tcBorders>
              <w:top w:val="nil"/>
            </w:tcBorders>
            <w:vAlign w:val="bottom"/>
          </w:tcPr>
          <w:p w:rsidR="00D724FA" w:rsidRDefault="00D724FA" w:rsidP="00A858D8">
            <w:pPr>
              <w:pStyle w:val="IASBTableArial"/>
            </w:pPr>
            <w:r>
              <w:t>As reported</w:t>
            </w:r>
          </w:p>
        </w:tc>
        <w:tc>
          <w:tcPr>
            <w:tcW w:w="910" w:type="dxa"/>
            <w:tcBorders>
              <w:top w:val="nil"/>
              <w:left w:val="nil"/>
            </w:tcBorders>
            <w:vAlign w:val="bottom"/>
          </w:tcPr>
          <w:p w:rsidR="00D724FA" w:rsidRDefault="00D724FA" w:rsidP="00A858D8">
            <w:pPr>
              <w:pStyle w:val="IASBTableArial"/>
              <w:jc w:val="right"/>
            </w:pPr>
          </w:p>
        </w:tc>
        <w:tc>
          <w:tcPr>
            <w:tcW w:w="1547" w:type="dxa"/>
            <w:tcBorders>
              <w:top w:val="nil"/>
              <w:left w:val="nil"/>
            </w:tcBorders>
            <w:vAlign w:val="bottom"/>
          </w:tcPr>
          <w:p w:rsidR="00D724FA" w:rsidRDefault="00D724FA" w:rsidP="00A858D8">
            <w:pPr>
              <w:pStyle w:val="IASBTableArial"/>
              <w:jc w:val="right"/>
            </w:pPr>
            <w:r>
              <w:t>10,000,000</w:t>
            </w:r>
          </w:p>
        </w:tc>
        <w:tc>
          <w:tcPr>
            <w:tcW w:w="273" w:type="dxa"/>
            <w:tcBorders>
              <w:top w:val="nil"/>
              <w:left w:val="nil"/>
            </w:tcBorders>
            <w:vAlign w:val="bottom"/>
          </w:tcPr>
          <w:p w:rsidR="00D724FA" w:rsidRDefault="00D724FA" w:rsidP="00A858D8">
            <w:pPr>
              <w:pStyle w:val="IASBTableArial"/>
              <w:jc w:val="right"/>
            </w:pPr>
          </w:p>
        </w:tc>
        <w:tc>
          <w:tcPr>
            <w:tcW w:w="1547" w:type="dxa"/>
            <w:tcBorders>
              <w:top w:val="nil"/>
              <w:left w:val="nil"/>
            </w:tcBorders>
            <w:vAlign w:val="bottom"/>
          </w:tcPr>
          <w:p w:rsidR="00D724FA" w:rsidRDefault="00D724FA" w:rsidP="00A858D8">
            <w:pPr>
              <w:pStyle w:val="IASBTableArial"/>
              <w:jc w:val="right"/>
            </w:pPr>
            <w:r>
              <w:t>2,000,000</w:t>
            </w:r>
          </w:p>
        </w:tc>
        <w:tc>
          <w:tcPr>
            <w:tcW w:w="273" w:type="dxa"/>
            <w:tcBorders>
              <w:top w:val="nil"/>
              <w:left w:val="nil"/>
            </w:tcBorders>
            <w:vAlign w:val="bottom"/>
          </w:tcPr>
          <w:p w:rsidR="00D724FA" w:rsidRDefault="00D724FA" w:rsidP="00A858D8">
            <w:pPr>
              <w:pStyle w:val="IASBTableArial"/>
              <w:jc w:val="right"/>
            </w:pPr>
          </w:p>
        </w:tc>
        <w:tc>
          <w:tcPr>
            <w:tcW w:w="910" w:type="dxa"/>
            <w:tcBorders>
              <w:top w:val="nil"/>
              <w:left w:val="nil"/>
            </w:tcBorders>
            <w:vAlign w:val="bottom"/>
          </w:tcPr>
          <w:p w:rsidR="00D724FA" w:rsidRDefault="00D724FA" w:rsidP="00A858D8">
            <w:pPr>
              <w:pStyle w:val="IASBTableArial"/>
              <w:jc w:val="right"/>
            </w:pPr>
            <w:r>
              <w:t>5.00</w:t>
            </w:r>
          </w:p>
        </w:tc>
        <w:tc>
          <w:tcPr>
            <w:tcW w:w="1274" w:type="dxa"/>
            <w:tcBorders>
              <w:top w:val="nil"/>
              <w:left w:val="nil"/>
            </w:tcBorders>
            <w:vAlign w:val="bottom"/>
          </w:tcPr>
          <w:p w:rsidR="00D724FA" w:rsidRDefault="00D724FA" w:rsidP="00A858D8">
            <w:pPr>
              <w:pStyle w:val="IASBTableArial"/>
            </w:pPr>
          </w:p>
        </w:tc>
      </w:tr>
      <w:tr w:rsidR="00D724FA" w:rsidTr="00A858D8">
        <w:trPr>
          <w:cantSplit/>
        </w:trPr>
        <w:tc>
          <w:tcPr>
            <w:tcW w:w="2474" w:type="dxa"/>
            <w:tcBorders>
              <w:top w:val="nil"/>
            </w:tcBorders>
            <w:vAlign w:val="bottom"/>
          </w:tcPr>
          <w:p w:rsidR="00D724FA" w:rsidRDefault="00D724FA" w:rsidP="00A858D8">
            <w:pPr>
              <w:pStyle w:val="IASBTableArial"/>
            </w:pPr>
            <w:r>
              <w:t>Options</w:t>
            </w:r>
          </w:p>
        </w:tc>
        <w:tc>
          <w:tcPr>
            <w:tcW w:w="910" w:type="dxa"/>
            <w:tcBorders>
              <w:top w:val="nil"/>
              <w:left w:val="nil"/>
            </w:tcBorders>
            <w:vAlign w:val="bottom"/>
          </w:tcPr>
          <w:p w:rsidR="00D724FA" w:rsidRDefault="00D724FA" w:rsidP="00A858D8">
            <w:pPr>
              <w:pStyle w:val="IASBTableArial"/>
              <w:jc w:val="right"/>
            </w:pPr>
          </w:p>
        </w:tc>
        <w:tc>
          <w:tcPr>
            <w:tcW w:w="1547" w:type="dxa"/>
            <w:tcBorders>
              <w:top w:val="nil"/>
              <w:left w:val="nil"/>
              <w:bottom w:val="single" w:sz="4" w:space="0" w:color="auto"/>
            </w:tcBorders>
            <w:vAlign w:val="bottom"/>
          </w:tcPr>
          <w:p w:rsidR="00D724FA" w:rsidRDefault="00D724FA" w:rsidP="00A858D8">
            <w:pPr>
              <w:pStyle w:val="IASBTableArial"/>
              <w:jc w:val="right"/>
            </w:pPr>
            <w:r>
              <w:t>–</w:t>
            </w:r>
          </w:p>
        </w:tc>
        <w:tc>
          <w:tcPr>
            <w:tcW w:w="273" w:type="dxa"/>
            <w:tcBorders>
              <w:top w:val="nil"/>
              <w:left w:val="nil"/>
            </w:tcBorders>
            <w:vAlign w:val="bottom"/>
          </w:tcPr>
          <w:p w:rsidR="00D724FA" w:rsidRDefault="00D724FA" w:rsidP="00A858D8">
            <w:pPr>
              <w:pStyle w:val="IASBTableArial"/>
              <w:jc w:val="right"/>
            </w:pPr>
          </w:p>
        </w:tc>
        <w:tc>
          <w:tcPr>
            <w:tcW w:w="1547" w:type="dxa"/>
            <w:tcBorders>
              <w:top w:val="nil"/>
              <w:left w:val="nil"/>
              <w:bottom w:val="single" w:sz="4" w:space="0" w:color="auto"/>
            </w:tcBorders>
            <w:vAlign w:val="bottom"/>
          </w:tcPr>
          <w:p w:rsidR="00D724FA" w:rsidRDefault="00D724FA" w:rsidP="00A858D8">
            <w:pPr>
              <w:pStyle w:val="IASBTableArial"/>
              <w:jc w:val="right"/>
            </w:pPr>
            <w:r>
              <w:t>20,000</w:t>
            </w:r>
          </w:p>
        </w:tc>
        <w:tc>
          <w:tcPr>
            <w:tcW w:w="273" w:type="dxa"/>
            <w:tcBorders>
              <w:top w:val="nil"/>
              <w:left w:val="nil"/>
            </w:tcBorders>
            <w:vAlign w:val="bottom"/>
          </w:tcPr>
          <w:p w:rsidR="00D724FA" w:rsidRDefault="00D724FA" w:rsidP="00A858D8">
            <w:pPr>
              <w:pStyle w:val="IASBTableArial"/>
            </w:pPr>
          </w:p>
        </w:tc>
        <w:tc>
          <w:tcPr>
            <w:tcW w:w="910" w:type="dxa"/>
            <w:tcBorders>
              <w:top w:val="nil"/>
              <w:left w:val="nil"/>
            </w:tcBorders>
            <w:vAlign w:val="bottom"/>
          </w:tcPr>
          <w:p w:rsidR="00D724FA" w:rsidRDefault="00D724FA" w:rsidP="00A858D8">
            <w:pPr>
              <w:pStyle w:val="IASBTableArial"/>
              <w:jc w:val="right"/>
            </w:pPr>
          </w:p>
        </w:tc>
        <w:tc>
          <w:tcPr>
            <w:tcW w:w="1274" w:type="dxa"/>
            <w:tcBorders>
              <w:top w:val="nil"/>
              <w:left w:val="nil"/>
            </w:tcBorders>
            <w:vAlign w:val="bottom"/>
          </w:tcPr>
          <w:p w:rsidR="00D724FA" w:rsidRDefault="00D724FA" w:rsidP="00A858D8">
            <w:pPr>
              <w:pStyle w:val="IASBTableArial"/>
            </w:pPr>
          </w:p>
        </w:tc>
      </w:tr>
      <w:tr w:rsidR="00D724FA" w:rsidTr="00A858D8">
        <w:trPr>
          <w:cantSplit/>
        </w:trPr>
        <w:tc>
          <w:tcPr>
            <w:tcW w:w="2474" w:type="dxa"/>
            <w:tcBorders>
              <w:top w:val="nil"/>
            </w:tcBorders>
            <w:vAlign w:val="bottom"/>
          </w:tcPr>
          <w:p w:rsidR="00D724FA" w:rsidRDefault="00D724FA" w:rsidP="00A858D8">
            <w:pPr>
              <w:pStyle w:val="IASBTableArial"/>
            </w:pPr>
          </w:p>
        </w:tc>
        <w:tc>
          <w:tcPr>
            <w:tcW w:w="910" w:type="dxa"/>
            <w:tcBorders>
              <w:top w:val="nil"/>
              <w:left w:val="nil"/>
            </w:tcBorders>
            <w:vAlign w:val="bottom"/>
          </w:tcPr>
          <w:p w:rsidR="00D724FA" w:rsidRDefault="00D724FA" w:rsidP="00A858D8">
            <w:pPr>
              <w:pStyle w:val="IASBTableArial"/>
              <w:jc w:val="right"/>
            </w:pPr>
          </w:p>
        </w:tc>
        <w:tc>
          <w:tcPr>
            <w:tcW w:w="1547" w:type="dxa"/>
            <w:tcBorders>
              <w:top w:val="nil"/>
              <w:left w:val="nil"/>
            </w:tcBorders>
            <w:vAlign w:val="bottom"/>
          </w:tcPr>
          <w:p w:rsidR="00D724FA" w:rsidRDefault="00D724FA" w:rsidP="00A858D8">
            <w:pPr>
              <w:pStyle w:val="IASBTableArial"/>
              <w:jc w:val="right"/>
            </w:pPr>
            <w:r>
              <w:t>10,000,000</w:t>
            </w:r>
          </w:p>
        </w:tc>
        <w:tc>
          <w:tcPr>
            <w:tcW w:w="273" w:type="dxa"/>
            <w:tcBorders>
              <w:top w:val="nil"/>
              <w:left w:val="nil"/>
            </w:tcBorders>
            <w:vAlign w:val="bottom"/>
          </w:tcPr>
          <w:p w:rsidR="00D724FA" w:rsidRDefault="00D724FA" w:rsidP="00A858D8">
            <w:pPr>
              <w:pStyle w:val="IASBTableArial"/>
              <w:jc w:val="right"/>
            </w:pPr>
          </w:p>
        </w:tc>
        <w:tc>
          <w:tcPr>
            <w:tcW w:w="1547" w:type="dxa"/>
            <w:tcBorders>
              <w:top w:val="nil"/>
              <w:left w:val="nil"/>
            </w:tcBorders>
            <w:vAlign w:val="bottom"/>
          </w:tcPr>
          <w:p w:rsidR="00D724FA" w:rsidRDefault="00D724FA" w:rsidP="00A858D8">
            <w:pPr>
              <w:pStyle w:val="IASBTableArial"/>
              <w:jc w:val="right"/>
            </w:pPr>
            <w:r>
              <w:t>2,020,000</w:t>
            </w:r>
          </w:p>
        </w:tc>
        <w:tc>
          <w:tcPr>
            <w:tcW w:w="273" w:type="dxa"/>
            <w:tcBorders>
              <w:top w:val="nil"/>
              <w:left w:val="nil"/>
            </w:tcBorders>
            <w:vAlign w:val="bottom"/>
          </w:tcPr>
          <w:p w:rsidR="00D724FA" w:rsidRDefault="00D724FA" w:rsidP="00A858D8">
            <w:pPr>
              <w:pStyle w:val="IASBTableArial"/>
              <w:jc w:val="right"/>
            </w:pPr>
          </w:p>
        </w:tc>
        <w:tc>
          <w:tcPr>
            <w:tcW w:w="910" w:type="dxa"/>
            <w:tcBorders>
              <w:top w:val="nil"/>
              <w:left w:val="nil"/>
            </w:tcBorders>
            <w:vAlign w:val="bottom"/>
          </w:tcPr>
          <w:p w:rsidR="00D724FA" w:rsidRDefault="00D724FA" w:rsidP="00A858D8">
            <w:pPr>
              <w:pStyle w:val="IASBTableArial"/>
              <w:jc w:val="right"/>
            </w:pPr>
            <w:r>
              <w:t>4.95</w:t>
            </w:r>
          </w:p>
        </w:tc>
        <w:tc>
          <w:tcPr>
            <w:tcW w:w="1274" w:type="dxa"/>
            <w:tcBorders>
              <w:top w:val="nil"/>
              <w:left w:val="nil"/>
            </w:tcBorders>
            <w:vAlign w:val="bottom"/>
          </w:tcPr>
          <w:p w:rsidR="00D724FA" w:rsidRDefault="00D724FA" w:rsidP="00A858D8">
            <w:pPr>
              <w:pStyle w:val="IASBTableArial"/>
              <w:jc w:val="right"/>
            </w:pPr>
            <w:r>
              <w:t>Dilutive</w:t>
            </w:r>
          </w:p>
        </w:tc>
      </w:tr>
      <w:tr w:rsidR="00D724FA" w:rsidTr="00A858D8">
        <w:trPr>
          <w:cantSplit/>
        </w:trPr>
        <w:tc>
          <w:tcPr>
            <w:tcW w:w="2474" w:type="dxa"/>
            <w:tcBorders>
              <w:top w:val="nil"/>
            </w:tcBorders>
            <w:vAlign w:val="bottom"/>
          </w:tcPr>
          <w:p w:rsidR="00D724FA" w:rsidRDefault="00D724FA" w:rsidP="00A858D8">
            <w:pPr>
              <w:pStyle w:val="IASBTableArial"/>
            </w:pPr>
          </w:p>
        </w:tc>
        <w:tc>
          <w:tcPr>
            <w:tcW w:w="910" w:type="dxa"/>
            <w:tcBorders>
              <w:top w:val="nil"/>
              <w:left w:val="nil"/>
            </w:tcBorders>
            <w:vAlign w:val="bottom"/>
          </w:tcPr>
          <w:p w:rsidR="00D724FA" w:rsidRDefault="00D724FA" w:rsidP="00A858D8">
            <w:pPr>
              <w:pStyle w:val="IASBTableArial"/>
            </w:pPr>
          </w:p>
        </w:tc>
        <w:tc>
          <w:tcPr>
            <w:tcW w:w="1547" w:type="dxa"/>
            <w:tcBorders>
              <w:top w:val="nil"/>
              <w:left w:val="nil"/>
            </w:tcBorders>
            <w:vAlign w:val="bottom"/>
          </w:tcPr>
          <w:p w:rsidR="00D724FA" w:rsidRDefault="00D724FA" w:rsidP="00A858D8">
            <w:pPr>
              <w:pStyle w:val="IASBTableArial"/>
              <w:jc w:val="right"/>
            </w:pPr>
          </w:p>
        </w:tc>
        <w:tc>
          <w:tcPr>
            <w:tcW w:w="273" w:type="dxa"/>
            <w:tcBorders>
              <w:top w:val="nil"/>
              <w:left w:val="nil"/>
            </w:tcBorders>
            <w:vAlign w:val="bottom"/>
          </w:tcPr>
          <w:p w:rsidR="00D724FA" w:rsidRDefault="00D724FA" w:rsidP="00A858D8">
            <w:pPr>
              <w:pStyle w:val="IASBTableArial"/>
            </w:pPr>
          </w:p>
        </w:tc>
        <w:tc>
          <w:tcPr>
            <w:tcW w:w="1547" w:type="dxa"/>
            <w:tcBorders>
              <w:top w:val="nil"/>
              <w:left w:val="nil"/>
            </w:tcBorders>
            <w:vAlign w:val="bottom"/>
          </w:tcPr>
          <w:p w:rsidR="00D724FA" w:rsidRDefault="00D724FA" w:rsidP="00A858D8">
            <w:pPr>
              <w:pStyle w:val="IASBTableArial"/>
              <w:jc w:val="right"/>
            </w:pPr>
          </w:p>
        </w:tc>
        <w:tc>
          <w:tcPr>
            <w:tcW w:w="273" w:type="dxa"/>
            <w:tcBorders>
              <w:top w:val="nil"/>
              <w:left w:val="nil"/>
            </w:tcBorders>
            <w:vAlign w:val="bottom"/>
          </w:tcPr>
          <w:p w:rsidR="00D724FA" w:rsidRDefault="00D724FA" w:rsidP="00A858D8">
            <w:pPr>
              <w:pStyle w:val="IASBTableArial"/>
            </w:pPr>
          </w:p>
        </w:tc>
        <w:tc>
          <w:tcPr>
            <w:tcW w:w="910" w:type="dxa"/>
            <w:tcBorders>
              <w:top w:val="nil"/>
              <w:left w:val="nil"/>
            </w:tcBorders>
            <w:vAlign w:val="bottom"/>
          </w:tcPr>
          <w:p w:rsidR="00D724FA" w:rsidRDefault="00D724FA" w:rsidP="00A858D8">
            <w:pPr>
              <w:pStyle w:val="IASBTableArial"/>
              <w:jc w:val="right"/>
            </w:pPr>
          </w:p>
        </w:tc>
        <w:tc>
          <w:tcPr>
            <w:tcW w:w="1274" w:type="dxa"/>
            <w:tcBorders>
              <w:top w:val="nil"/>
              <w:left w:val="nil"/>
            </w:tcBorders>
            <w:vAlign w:val="center"/>
          </w:tcPr>
          <w:p w:rsidR="00D724FA" w:rsidRDefault="00D724FA" w:rsidP="00A858D8">
            <w:pPr>
              <w:pStyle w:val="IASBTableArial"/>
            </w:pPr>
          </w:p>
        </w:tc>
      </w:tr>
      <w:tr w:rsidR="00D724FA" w:rsidTr="00A858D8">
        <w:trPr>
          <w:cantSplit/>
        </w:trPr>
        <w:tc>
          <w:tcPr>
            <w:tcW w:w="2474" w:type="dxa"/>
            <w:tcBorders>
              <w:top w:val="nil"/>
            </w:tcBorders>
            <w:vAlign w:val="bottom"/>
          </w:tcPr>
          <w:p w:rsidR="00D724FA" w:rsidRDefault="00D724FA" w:rsidP="00A858D8">
            <w:pPr>
              <w:pStyle w:val="IASBTableArial"/>
            </w:pPr>
            <w:r>
              <w:t>5% convertible bonds</w:t>
            </w:r>
          </w:p>
        </w:tc>
        <w:tc>
          <w:tcPr>
            <w:tcW w:w="910" w:type="dxa"/>
            <w:tcBorders>
              <w:top w:val="nil"/>
              <w:left w:val="nil"/>
            </w:tcBorders>
            <w:vAlign w:val="bottom"/>
          </w:tcPr>
          <w:p w:rsidR="00D724FA" w:rsidRDefault="00D724FA" w:rsidP="00A858D8">
            <w:pPr>
              <w:pStyle w:val="IASBTableArial"/>
              <w:jc w:val="right"/>
            </w:pPr>
          </w:p>
        </w:tc>
        <w:tc>
          <w:tcPr>
            <w:tcW w:w="1547" w:type="dxa"/>
            <w:tcBorders>
              <w:top w:val="nil"/>
              <w:left w:val="nil"/>
              <w:bottom w:val="single" w:sz="4" w:space="0" w:color="auto"/>
            </w:tcBorders>
            <w:vAlign w:val="bottom"/>
          </w:tcPr>
          <w:p w:rsidR="00D724FA" w:rsidRDefault="00D724FA" w:rsidP="00A858D8">
            <w:pPr>
              <w:pStyle w:val="IASBTableArial"/>
              <w:jc w:val="right"/>
            </w:pPr>
            <w:r>
              <w:t>3,000,000</w:t>
            </w:r>
          </w:p>
        </w:tc>
        <w:tc>
          <w:tcPr>
            <w:tcW w:w="273" w:type="dxa"/>
            <w:tcBorders>
              <w:top w:val="nil"/>
              <w:left w:val="nil"/>
            </w:tcBorders>
            <w:vAlign w:val="bottom"/>
          </w:tcPr>
          <w:p w:rsidR="00D724FA" w:rsidRDefault="00D724FA" w:rsidP="00A858D8">
            <w:pPr>
              <w:pStyle w:val="IASBTableArial"/>
              <w:jc w:val="right"/>
            </w:pPr>
          </w:p>
        </w:tc>
        <w:tc>
          <w:tcPr>
            <w:tcW w:w="1547" w:type="dxa"/>
            <w:tcBorders>
              <w:top w:val="nil"/>
              <w:left w:val="nil"/>
              <w:bottom w:val="single" w:sz="4" w:space="0" w:color="auto"/>
            </w:tcBorders>
            <w:vAlign w:val="bottom"/>
          </w:tcPr>
          <w:p w:rsidR="00D724FA" w:rsidRDefault="00D724FA" w:rsidP="00A858D8">
            <w:pPr>
              <w:pStyle w:val="IASBTableArial"/>
              <w:jc w:val="right"/>
            </w:pPr>
            <w:r>
              <w:t>2,000,000</w:t>
            </w:r>
          </w:p>
        </w:tc>
        <w:tc>
          <w:tcPr>
            <w:tcW w:w="273" w:type="dxa"/>
            <w:tcBorders>
              <w:top w:val="nil"/>
              <w:left w:val="nil"/>
            </w:tcBorders>
            <w:vAlign w:val="bottom"/>
          </w:tcPr>
          <w:p w:rsidR="00D724FA" w:rsidRDefault="00D724FA" w:rsidP="00A858D8">
            <w:pPr>
              <w:pStyle w:val="IASBTableArial"/>
            </w:pPr>
          </w:p>
        </w:tc>
        <w:tc>
          <w:tcPr>
            <w:tcW w:w="910" w:type="dxa"/>
            <w:tcBorders>
              <w:top w:val="nil"/>
              <w:left w:val="nil"/>
            </w:tcBorders>
            <w:vAlign w:val="bottom"/>
          </w:tcPr>
          <w:p w:rsidR="00D724FA" w:rsidRDefault="00D724FA" w:rsidP="00A858D8">
            <w:pPr>
              <w:pStyle w:val="IASBTableArial"/>
              <w:jc w:val="right"/>
            </w:pPr>
          </w:p>
        </w:tc>
        <w:tc>
          <w:tcPr>
            <w:tcW w:w="1274" w:type="dxa"/>
            <w:tcBorders>
              <w:top w:val="nil"/>
              <w:left w:val="nil"/>
            </w:tcBorders>
            <w:vAlign w:val="center"/>
          </w:tcPr>
          <w:p w:rsidR="00D724FA" w:rsidRDefault="00D724FA" w:rsidP="00A858D8">
            <w:pPr>
              <w:pStyle w:val="IASBTableArial"/>
            </w:pPr>
          </w:p>
        </w:tc>
      </w:tr>
      <w:tr w:rsidR="00D724FA" w:rsidTr="00A858D8">
        <w:trPr>
          <w:cantSplit/>
        </w:trPr>
        <w:tc>
          <w:tcPr>
            <w:tcW w:w="2474" w:type="dxa"/>
            <w:tcBorders>
              <w:top w:val="nil"/>
            </w:tcBorders>
            <w:vAlign w:val="bottom"/>
          </w:tcPr>
          <w:p w:rsidR="00D724FA" w:rsidRDefault="00D724FA" w:rsidP="00A858D8">
            <w:pPr>
              <w:pStyle w:val="IASBTableArial"/>
            </w:pPr>
          </w:p>
        </w:tc>
        <w:tc>
          <w:tcPr>
            <w:tcW w:w="910" w:type="dxa"/>
            <w:tcBorders>
              <w:top w:val="nil"/>
              <w:left w:val="nil"/>
            </w:tcBorders>
            <w:vAlign w:val="bottom"/>
          </w:tcPr>
          <w:p w:rsidR="00D724FA" w:rsidRDefault="00D724FA" w:rsidP="00A858D8">
            <w:pPr>
              <w:pStyle w:val="IASBTableArial"/>
              <w:jc w:val="right"/>
            </w:pPr>
          </w:p>
        </w:tc>
        <w:tc>
          <w:tcPr>
            <w:tcW w:w="1547" w:type="dxa"/>
            <w:tcBorders>
              <w:top w:val="nil"/>
              <w:left w:val="nil"/>
            </w:tcBorders>
            <w:vAlign w:val="bottom"/>
          </w:tcPr>
          <w:p w:rsidR="00D724FA" w:rsidRDefault="00D724FA" w:rsidP="00A858D8">
            <w:pPr>
              <w:pStyle w:val="IASBTableArial"/>
              <w:jc w:val="right"/>
            </w:pPr>
            <w:r>
              <w:t>13,000,000</w:t>
            </w:r>
          </w:p>
        </w:tc>
        <w:tc>
          <w:tcPr>
            <w:tcW w:w="273" w:type="dxa"/>
            <w:tcBorders>
              <w:top w:val="nil"/>
              <w:left w:val="nil"/>
            </w:tcBorders>
            <w:vAlign w:val="bottom"/>
          </w:tcPr>
          <w:p w:rsidR="00D724FA" w:rsidRDefault="00D724FA" w:rsidP="00A858D8">
            <w:pPr>
              <w:pStyle w:val="IASBTableArial"/>
              <w:jc w:val="right"/>
            </w:pPr>
          </w:p>
        </w:tc>
        <w:tc>
          <w:tcPr>
            <w:tcW w:w="1547" w:type="dxa"/>
            <w:tcBorders>
              <w:top w:val="nil"/>
              <w:left w:val="nil"/>
            </w:tcBorders>
            <w:vAlign w:val="bottom"/>
          </w:tcPr>
          <w:p w:rsidR="00D724FA" w:rsidRDefault="00D724FA" w:rsidP="00A858D8">
            <w:pPr>
              <w:pStyle w:val="IASBTableArial"/>
              <w:jc w:val="right"/>
            </w:pPr>
            <w:r>
              <w:t>4,020,000</w:t>
            </w:r>
          </w:p>
        </w:tc>
        <w:tc>
          <w:tcPr>
            <w:tcW w:w="273" w:type="dxa"/>
            <w:tcBorders>
              <w:top w:val="nil"/>
              <w:left w:val="nil"/>
            </w:tcBorders>
            <w:vAlign w:val="bottom"/>
          </w:tcPr>
          <w:p w:rsidR="00D724FA" w:rsidRDefault="00D724FA" w:rsidP="00A858D8">
            <w:pPr>
              <w:pStyle w:val="IASBTableArial"/>
              <w:jc w:val="right"/>
            </w:pPr>
          </w:p>
        </w:tc>
        <w:tc>
          <w:tcPr>
            <w:tcW w:w="910" w:type="dxa"/>
            <w:tcBorders>
              <w:top w:val="nil"/>
              <w:left w:val="nil"/>
            </w:tcBorders>
            <w:vAlign w:val="bottom"/>
          </w:tcPr>
          <w:p w:rsidR="00D724FA" w:rsidRDefault="00D724FA" w:rsidP="00A858D8">
            <w:pPr>
              <w:pStyle w:val="IASBTableArial"/>
              <w:jc w:val="right"/>
            </w:pPr>
            <w:r>
              <w:t>3.23</w:t>
            </w:r>
          </w:p>
        </w:tc>
        <w:tc>
          <w:tcPr>
            <w:tcW w:w="1274" w:type="dxa"/>
            <w:tcBorders>
              <w:top w:val="nil"/>
              <w:left w:val="nil"/>
            </w:tcBorders>
            <w:vAlign w:val="bottom"/>
          </w:tcPr>
          <w:p w:rsidR="00D724FA" w:rsidRDefault="00D724FA" w:rsidP="00A858D8">
            <w:pPr>
              <w:pStyle w:val="IASBTableArial"/>
              <w:jc w:val="right"/>
            </w:pPr>
            <w:r>
              <w:t>Dilutive</w:t>
            </w:r>
          </w:p>
        </w:tc>
      </w:tr>
      <w:tr w:rsidR="00D724FA" w:rsidTr="00A858D8">
        <w:trPr>
          <w:cantSplit/>
        </w:trPr>
        <w:tc>
          <w:tcPr>
            <w:tcW w:w="2474" w:type="dxa"/>
            <w:tcBorders>
              <w:top w:val="nil"/>
            </w:tcBorders>
            <w:vAlign w:val="bottom"/>
          </w:tcPr>
          <w:p w:rsidR="00D724FA" w:rsidRDefault="00D724FA" w:rsidP="00A858D8">
            <w:pPr>
              <w:pStyle w:val="IASBTableArial"/>
            </w:pPr>
          </w:p>
        </w:tc>
        <w:tc>
          <w:tcPr>
            <w:tcW w:w="910" w:type="dxa"/>
            <w:tcBorders>
              <w:top w:val="nil"/>
              <w:left w:val="nil"/>
            </w:tcBorders>
            <w:vAlign w:val="bottom"/>
          </w:tcPr>
          <w:p w:rsidR="00D724FA" w:rsidRDefault="00D724FA" w:rsidP="00A858D8">
            <w:pPr>
              <w:pStyle w:val="IASBTableArial"/>
            </w:pPr>
          </w:p>
        </w:tc>
        <w:tc>
          <w:tcPr>
            <w:tcW w:w="1547" w:type="dxa"/>
            <w:tcBorders>
              <w:top w:val="nil"/>
              <w:left w:val="nil"/>
            </w:tcBorders>
            <w:vAlign w:val="bottom"/>
          </w:tcPr>
          <w:p w:rsidR="00D724FA" w:rsidRDefault="00D724FA" w:rsidP="00A858D8">
            <w:pPr>
              <w:pStyle w:val="IASBTableArial"/>
              <w:jc w:val="right"/>
            </w:pPr>
          </w:p>
        </w:tc>
        <w:tc>
          <w:tcPr>
            <w:tcW w:w="273" w:type="dxa"/>
            <w:tcBorders>
              <w:top w:val="nil"/>
              <w:left w:val="nil"/>
            </w:tcBorders>
            <w:vAlign w:val="center"/>
          </w:tcPr>
          <w:p w:rsidR="00D724FA" w:rsidRDefault="00D724FA" w:rsidP="00A858D8">
            <w:pPr>
              <w:pStyle w:val="IASBTableArial"/>
            </w:pPr>
          </w:p>
        </w:tc>
        <w:tc>
          <w:tcPr>
            <w:tcW w:w="1547" w:type="dxa"/>
            <w:tcBorders>
              <w:top w:val="nil"/>
              <w:left w:val="nil"/>
            </w:tcBorders>
            <w:vAlign w:val="bottom"/>
          </w:tcPr>
          <w:p w:rsidR="00D724FA" w:rsidRDefault="00D724FA" w:rsidP="00A858D8">
            <w:pPr>
              <w:pStyle w:val="IASBTableArial"/>
            </w:pPr>
          </w:p>
        </w:tc>
        <w:tc>
          <w:tcPr>
            <w:tcW w:w="273" w:type="dxa"/>
            <w:tcBorders>
              <w:top w:val="nil"/>
              <w:left w:val="nil"/>
            </w:tcBorders>
            <w:vAlign w:val="bottom"/>
          </w:tcPr>
          <w:p w:rsidR="00D724FA" w:rsidRDefault="00D724FA" w:rsidP="00A858D8">
            <w:pPr>
              <w:pStyle w:val="IASBTableArial"/>
            </w:pPr>
          </w:p>
        </w:tc>
        <w:tc>
          <w:tcPr>
            <w:tcW w:w="910" w:type="dxa"/>
            <w:tcBorders>
              <w:top w:val="nil"/>
              <w:left w:val="nil"/>
            </w:tcBorders>
            <w:vAlign w:val="bottom"/>
          </w:tcPr>
          <w:p w:rsidR="00D724FA" w:rsidRDefault="00D724FA" w:rsidP="00A858D8">
            <w:pPr>
              <w:pStyle w:val="IASBTableArial"/>
              <w:jc w:val="right"/>
            </w:pPr>
          </w:p>
        </w:tc>
        <w:tc>
          <w:tcPr>
            <w:tcW w:w="1274" w:type="dxa"/>
            <w:tcBorders>
              <w:top w:val="nil"/>
              <w:left w:val="nil"/>
            </w:tcBorders>
            <w:vAlign w:val="center"/>
          </w:tcPr>
          <w:p w:rsidR="00D724FA" w:rsidRDefault="00D724FA" w:rsidP="00A858D8">
            <w:pPr>
              <w:pStyle w:val="IASBTableArial"/>
            </w:pPr>
          </w:p>
        </w:tc>
      </w:tr>
      <w:tr w:rsidR="00D724FA" w:rsidTr="00A858D8">
        <w:trPr>
          <w:cantSplit/>
        </w:trPr>
        <w:tc>
          <w:tcPr>
            <w:tcW w:w="2474" w:type="dxa"/>
            <w:tcBorders>
              <w:top w:val="nil"/>
            </w:tcBorders>
            <w:vAlign w:val="bottom"/>
          </w:tcPr>
          <w:p w:rsidR="00D724FA" w:rsidRDefault="00D724FA" w:rsidP="00A858D8">
            <w:pPr>
              <w:pStyle w:val="IASBTableArial"/>
            </w:pPr>
            <w:r>
              <w:t>Convertible preference shares</w:t>
            </w:r>
          </w:p>
        </w:tc>
        <w:tc>
          <w:tcPr>
            <w:tcW w:w="910" w:type="dxa"/>
            <w:tcBorders>
              <w:top w:val="nil"/>
              <w:left w:val="nil"/>
            </w:tcBorders>
            <w:vAlign w:val="bottom"/>
          </w:tcPr>
          <w:p w:rsidR="00D724FA" w:rsidRDefault="00D724FA" w:rsidP="00A858D8">
            <w:pPr>
              <w:pStyle w:val="IASBTableArial"/>
              <w:jc w:val="right"/>
            </w:pPr>
          </w:p>
        </w:tc>
        <w:tc>
          <w:tcPr>
            <w:tcW w:w="1547" w:type="dxa"/>
            <w:tcBorders>
              <w:top w:val="nil"/>
              <w:left w:val="nil"/>
              <w:bottom w:val="single" w:sz="4" w:space="0" w:color="auto"/>
            </w:tcBorders>
            <w:vAlign w:val="bottom"/>
          </w:tcPr>
          <w:p w:rsidR="00D724FA" w:rsidRDefault="00D724FA" w:rsidP="00A858D8">
            <w:pPr>
              <w:pStyle w:val="IASBTableArial"/>
              <w:jc w:val="right"/>
            </w:pPr>
            <w:r>
              <w:t>6,400,000</w:t>
            </w:r>
          </w:p>
        </w:tc>
        <w:tc>
          <w:tcPr>
            <w:tcW w:w="273" w:type="dxa"/>
            <w:tcBorders>
              <w:top w:val="nil"/>
              <w:left w:val="nil"/>
            </w:tcBorders>
            <w:vAlign w:val="bottom"/>
          </w:tcPr>
          <w:p w:rsidR="00D724FA" w:rsidRDefault="00D724FA" w:rsidP="00A858D8">
            <w:pPr>
              <w:pStyle w:val="IASBTableArial"/>
              <w:jc w:val="right"/>
            </w:pPr>
          </w:p>
        </w:tc>
        <w:tc>
          <w:tcPr>
            <w:tcW w:w="1547" w:type="dxa"/>
            <w:tcBorders>
              <w:top w:val="nil"/>
              <w:left w:val="nil"/>
              <w:bottom w:val="single" w:sz="4" w:space="0" w:color="auto"/>
            </w:tcBorders>
            <w:vAlign w:val="bottom"/>
          </w:tcPr>
          <w:p w:rsidR="00D724FA" w:rsidRDefault="00D724FA" w:rsidP="00A858D8">
            <w:pPr>
              <w:pStyle w:val="IASBTableArial"/>
              <w:jc w:val="right"/>
            </w:pPr>
            <w:r>
              <w:t>1,600,000</w:t>
            </w:r>
          </w:p>
        </w:tc>
        <w:tc>
          <w:tcPr>
            <w:tcW w:w="273" w:type="dxa"/>
            <w:tcBorders>
              <w:top w:val="nil"/>
              <w:left w:val="nil"/>
            </w:tcBorders>
            <w:vAlign w:val="bottom"/>
          </w:tcPr>
          <w:p w:rsidR="00D724FA" w:rsidRDefault="00D724FA" w:rsidP="00A858D8">
            <w:pPr>
              <w:pStyle w:val="IASBTableArial"/>
            </w:pPr>
          </w:p>
        </w:tc>
        <w:tc>
          <w:tcPr>
            <w:tcW w:w="910" w:type="dxa"/>
            <w:tcBorders>
              <w:top w:val="nil"/>
              <w:left w:val="nil"/>
            </w:tcBorders>
            <w:vAlign w:val="bottom"/>
          </w:tcPr>
          <w:p w:rsidR="00D724FA" w:rsidRDefault="00D724FA" w:rsidP="00A858D8">
            <w:pPr>
              <w:pStyle w:val="IASBTableArial"/>
              <w:jc w:val="right"/>
            </w:pPr>
          </w:p>
        </w:tc>
        <w:tc>
          <w:tcPr>
            <w:tcW w:w="1274" w:type="dxa"/>
            <w:tcBorders>
              <w:top w:val="nil"/>
              <w:left w:val="nil"/>
            </w:tcBorders>
            <w:vAlign w:val="center"/>
          </w:tcPr>
          <w:p w:rsidR="00D724FA" w:rsidRDefault="00D724FA" w:rsidP="00A858D8">
            <w:pPr>
              <w:pStyle w:val="IASBTableArial"/>
            </w:pPr>
          </w:p>
        </w:tc>
      </w:tr>
      <w:tr w:rsidR="00D724FA" w:rsidTr="00A858D8">
        <w:trPr>
          <w:cantSplit/>
        </w:trPr>
        <w:tc>
          <w:tcPr>
            <w:tcW w:w="2474" w:type="dxa"/>
            <w:tcBorders>
              <w:top w:val="nil"/>
            </w:tcBorders>
            <w:vAlign w:val="bottom"/>
          </w:tcPr>
          <w:p w:rsidR="00D724FA" w:rsidRDefault="00D724FA" w:rsidP="00A858D8">
            <w:pPr>
              <w:pStyle w:val="IASBTableArial"/>
            </w:pPr>
          </w:p>
        </w:tc>
        <w:tc>
          <w:tcPr>
            <w:tcW w:w="910" w:type="dxa"/>
            <w:tcBorders>
              <w:top w:val="nil"/>
              <w:left w:val="nil"/>
            </w:tcBorders>
            <w:vAlign w:val="bottom"/>
          </w:tcPr>
          <w:p w:rsidR="00D724FA" w:rsidRDefault="00D724FA" w:rsidP="00A858D8">
            <w:pPr>
              <w:pStyle w:val="IASBTableArial"/>
              <w:jc w:val="right"/>
            </w:pPr>
          </w:p>
        </w:tc>
        <w:tc>
          <w:tcPr>
            <w:tcW w:w="1547" w:type="dxa"/>
            <w:tcBorders>
              <w:top w:val="nil"/>
              <w:left w:val="nil"/>
              <w:bottom w:val="double" w:sz="4" w:space="0" w:color="auto"/>
            </w:tcBorders>
            <w:vAlign w:val="bottom"/>
          </w:tcPr>
          <w:p w:rsidR="00D724FA" w:rsidRDefault="00D724FA" w:rsidP="00A858D8">
            <w:pPr>
              <w:pStyle w:val="IASBTableArial"/>
              <w:jc w:val="right"/>
            </w:pPr>
            <w:r>
              <w:t>19,400,000</w:t>
            </w:r>
          </w:p>
        </w:tc>
        <w:tc>
          <w:tcPr>
            <w:tcW w:w="273" w:type="dxa"/>
            <w:tcBorders>
              <w:top w:val="nil"/>
              <w:left w:val="nil"/>
            </w:tcBorders>
            <w:vAlign w:val="bottom"/>
          </w:tcPr>
          <w:p w:rsidR="00D724FA" w:rsidRDefault="00D724FA" w:rsidP="00A858D8">
            <w:pPr>
              <w:pStyle w:val="IASBTableArial"/>
              <w:jc w:val="right"/>
            </w:pPr>
          </w:p>
        </w:tc>
        <w:tc>
          <w:tcPr>
            <w:tcW w:w="1547" w:type="dxa"/>
            <w:tcBorders>
              <w:top w:val="nil"/>
              <w:left w:val="nil"/>
              <w:bottom w:val="double" w:sz="4" w:space="0" w:color="auto"/>
            </w:tcBorders>
            <w:vAlign w:val="bottom"/>
          </w:tcPr>
          <w:p w:rsidR="00D724FA" w:rsidRDefault="00D724FA" w:rsidP="00A858D8">
            <w:pPr>
              <w:pStyle w:val="IASBTableArial"/>
              <w:jc w:val="right"/>
            </w:pPr>
            <w:r>
              <w:t>5,620,000</w:t>
            </w:r>
          </w:p>
        </w:tc>
        <w:tc>
          <w:tcPr>
            <w:tcW w:w="273" w:type="dxa"/>
            <w:tcBorders>
              <w:top w:val="nil"/>
              <w:left w:val="nil"/>
            </w:tcBorders>
            <w:vAlign w:val="bottom"/>
          </w:tcPr>
          <w:p w:rsidR="00D724FA" w:rsidRDefault="00D724FA" w:rsidP="00A858D8">
            <w:pPr>
              <w:pStyle w:val="IASBTableArial"/>
              <w:jc w:val="right"/>
            </w:pPr>
          </w:p>
        </w:tc>
        <w:tc>
          <w:tcPr>
            <w:tcW w:w="910" w:type="dxa"/>
            <w:tcBorders>
              <w:top w:val="nil"/>
              <w:left w:val="nil"/>
            </w:tcBorders>
            <w:vAlign w:val="bottom"/>
          </w:tcPr>
          <w:p w:rsidR="00D724FA" w:rsidRDefault="00D724FA" w:rsidP="00A858D8">
            <w:pPr>
              <w:pStyle w:val="IASBTableArial"/>
              <w:jc w:val="right"/>
            </w:pPr>
            <w:r>
              <w:t>3.45</w:t>
            </w:r>
          </w:p>
        </w:tc>
        <w:tc>
          <w:tcPr>
            <w:tcW w:w="1274" w:type="dxa"/>
            <w:tcBorders>
              <w:top w:val="nil"/>
              <w:left w:val="nil"/>
            </w:tcBorders>
            <w:vAlign w:val="bottom"/>
          </w:tcPr>
          <w:p w:rsidR="00D724FA" w:rsidRDefault="00D724FA" w:rsidP="00A858D8">
            <w:pPr>
              <w:pStyle w:val="IASBTableArial"/>
              <w:jc w:val="right"/>
            </w:pPr>
            <w:r>
              <w:t>Antidilutive</w:t>
            </w:r>
          </w:p>
        </w:tc>
      </w:tr>
    </w:tbl>
    <w:p w:rsidR="00D724FA" w:rsidRDefault="00D724FA" w:rsidP="00D724FA">
      <w:pPr>
        <w:pStyle w:val="IASBNormalnpara"/>
      </w:pPr>
    </w:p>
    <w:p w:rsidR="00D724FA" w:rsidRDefault="00D724FA" w:rsidP="00D724FA">
      <w:pPr>
        <w:pStyle w:val="IASBNormal"/>
      </w:pPr>
      <w:r>
        <w:t>Because diluted earnings per share is increased when taking the convertible preference shares into account (from CU3.23 to CU3.45), the convertible preference shares are antidilutive and are ignored in the calculation of diluted earnings per share. Therefore</w:t>
      </w:r>
      <w:proofErr w:type="gramStart"/>
      <w:r>
        <w:t>, diluted earnings per share for profit from continuing operations is</w:t>
      </w:r>
      <w:proofErr w:type="gramEnd"/>
      <w:r>
        <w:t xml:space="preserve"> CU3.23:</w:t>
      </w:r>
    </w:p>
    <w:p w:rsidR="00D724FA" w:rsidRDefault="00D724FA" w:rsidP="00D724FA">
      <w:pPr>
        <w:pStyle w:val="IASBNormalnpara"/>
      </w:pPr>
    </w:p>
    <w:tbl>
      <w:tblPr>
        <w:tblW w:w="0" w:type="auto"/>
        <w:tblLayout w:type="fixed"/>
        <w:tblLook w:val="0000" w:firstRow="0" w:lastRow="0" w:firstColumn="0" w:lastColumn="0" w:noHBand="0" w:noVBand="0"/>
        <w:tblCaption w:val="AASB 133 Table 20"/>
      </w:tblPr>
      <w:tblGrid>
        <w:gridCol w:w="6478"/>
        <w:gridCol w:w="1365"/>
        <w:gridCol w:w="1365"/>
      </w:tblGrid>
      <w:tr w:rsidR="00D724FA" w:rsidTr="00A858D8">
        <w:trPr>
          <w:cantSplit/>
          <w:tblHeader/>
        </w:trPr>
        <w:tc>
          <w:tcPr>
            <w:tcW w:w="6478" w:type="dxa"/>
            <w:vAlign w:val="bottom"/>
          </w:tcPr>
          <w:p w:rsidR="00D724FA" w:rsidRDefault="00D724FA" w:rsidP="00A858D8">
            <w:pPr>
              <w:pStyle w:val="IASBTableHeaderArial"/>
            </w:pPr>
          </w:p>
        </w:tc>
        <w:tc>
          <w:tcPr>
            <w:tcW w:w="1365" w:type="dxa"/>
            <w:tcBorders>
              <w:left w:val="nil"/>
            </w:tcBorders>
          </w:tcPr>
          <w:p w:rsidR="00D724FA" w:rsidRDefault="00D724FA" w:rsidP="00A858D8">
            <w:pPr>
              <w:pStyle w:val="IASBTableHeaderArial"/>
              <w:jc w:val="right"/>
            </w:pPr>
            <w:r>
              <w:rPr>
                <w:b/>
                <w:i/>
              </w:rPr>
              <w:t>Basic EPS</w:t>
            </w:r>
          </w:p>
        </w:tc>
        <w:tc>
          <w:tcPr>
            <w:tcW w:w="1365" w:type="dxa"/>
            <w:tcBorders>
              <w:left w:val="nil"/>
            </w:tcBorders>
          </w:tcPr>
          <w:p w:rsidR="00D724FA" w:rsidRDefault="00D724FA" w:rsidP="00A858D8">
            <w:pPr>
              <w:pStyle w:val="IASBTableHeaderArial"/>
              <w:jc w:val="right"/>
            </w:pPr>
            <w:r>
              <w:rPr>
                <w:b/>
                <w:i/>
              </w:rPr>
              <w:t>Diluted EPS</w:t>
            </w:r>
          </w:p>
        </w:tc>
      </w:tr>
      <w:tr w:rsidR="00D724FA" w:rsidTr="00A858D8">
        <w:trPr>
          <w:cantSplit/>
          <w:tblHeader/>
        </w:trPr>
        <w:tc>
          <w:tcPr>
            <w:tcW w:w="6478" w:type="dxa"/>
            <w:tcBorders>
              <w:top w:val="nil"/>
            </w:tcBorders>
            <w:vAlign w:val="bottom"/>
          </w:tcPr>
          <w:p w:rsidR="00D724FA" w:rsidRDefault="00D724FA" w:rsidP="00A858D8">
            <w:pPr>
              <w:pStyle w:val="IASBTableHeaderArial"/>
            </w:pPr>
          </w:p>
        </w:tc>
        <w:tc>
          <w:tcPr>
            <w:tcW w:w="1365" w:type="dxa"/>
            <w:tcBorders>
              <w:top w:val="nil"/>
              <w:left w:val="nil"/>
            </w:tcBorders>
            <w:vAlign w:val="center"/>
          </w:tcPr>
          <w:p w:rsidR="00D724FA" w:rsidRDefault="00D724FA" w:rsidP="00A858D8">
            <w:pPr>
              <w:pStyle w:val="IASBTableHeaderArial"/>
              <w:jc w:val="right"/>
            </w:pPr>
            <w:r>
              <w:rPr>
                <w:b/>
                <w:u w:val="single"/>
              </w:rPr>
              <w:t>CU</w:t>
            </w:r>
          </w:p>
        </w:tc>
        <w:tc>
          <w:tcPr>
            <w:tcW w:w="1365" w:type="dxa"/>
            <w:tcBorders>
              <w:top w:val="nil"/>
              <w:left w:val="nil"/>
            </w:tcBorders>
            <w:vAlign w:val="center"/>
          </w:tcPr>
          <w:p w:rsidR="00D724FA" w:rsidRDefault="00D724FA" w:rsidP="00A858D8">
            <w:pPr>
              <w:pStyle w:val="IASBTableHeaderArial"/>
              <w:jc w:val="right"/>
            </w:pPr>
            <w:r>
              <w:rPr>
                <w:b/>
                <w:u w:val="single"/>
              </w:rPr>
              <w:t>CU</w:t>
            </w:r>
          </w:p>
        </w:tc>
      </w:tr>
      <w:tr w:rsidR="00D724FA" w:rsidTr="00A858D8">
        <w:trPr>
          <w:cantSplit/>
        </w:trPr>
        <w:tc>
          <w:tcPr>
            <w:tcW w:w="6478" w:type="dxa"/>
            <w:tcBorders>
              <w:top w:val="nil"/>
            </w:tcBorders>
            <w:vAlign w:val="bottom"/>
          </w:tcPr>
          <w:p w:rsidR="00D724FA" w:rsidRDefault="00D724FA" w:rsidP="00A858D8">
            <w:pPr>
              <w:pStyle w:val="IASBTableArial"/>
            </w:pPr>
            <w:r>
              <w:t>Profit from continuing operations attributable to ordinary equity holders of the parent entity</w:t>
            </w:r>
          </w:p>
        </w:tc>
        <w:tc>
          <w:tcPr>
            <w:tcW w:w="1365" w:type="dxa"/>
            <w:tcBorders>
              <w:top w:val="nil"/>
              <w:left w:val="nil"/>
            </w:tcBorders>
            <w:vAlign w:val="bottom"/>
          </w:tcPr>
          <w:p w:rsidR="00D724FA" w:rsidRDefault="00D724FA" w:rsidP="00A858D8">
            <w:pPr>
              <w:pStyle w:val="IASBTableArial"/>
              <w:jc w:val="right"/>
            </w:pPr>
            <w:r>
              <w:t>5.00</w:t>
            </w:r>
          </w:p>
        </w:tc>
        <w:tc>
          <w:tcPr>
            <w:tcW w:w="1365" w:type="dxa"/>
            <w:tcBorders>
              <w:top w:val="nil"/>
              <w:left w:val="nil"/>
            </w:tcBorders>
            <w:vAlign w:val="bottom"/>
          </w:tcPr>
          <w:p w:rsidR="00D724FA" w:rsidRDefault="00D724FA" w:rsidP="00A858D8">
            <w:pPr>
              <w:pStyle w:val="IASBTableArial"/>
              <w:jc w:val="right"/>
            </w:pPr>
            <w:r>
              <w:t>3.23</w:t>
            </w:r>
          </w:p>
        </w:tc>
      </w:tr>
      <w:tr w:rsidR="00D724FA" w:rsidTr="00A858D8">
        <w:trPr>
          <w:cantSplit/>
        </w:trPr>
        <w:tc>
          <w:tcPr>
            <w:tcW w:w="6478" w:type="dxa"/>
            <w:tcBorders>
              <w:top w:val="nil"/>
            </w:tcBorders>
            <w:vAlign w:val="bottom"/>
          </w:tcPr>
          <w:p w:rsidR="00D724FA" w:rsidRDefault="00D724FA" w:rsidP="00A858D8">
            <w:pPr>
              <w:pStyle w:val="IASBTableArial"/>
            </w:pPr>
            <w:r>
              <w:t>Loss from discontinued operations attributable to ordinary equity holders of the parent entity</w:t>
            </w:r>
          </w:p>
        </w:tc>
        <w:tc>
          <w:tcPr>
            <w:tcW w:w="1365" w:type="dxa"/>
            <w:tcBorders>
              <w:top w:val="nil"/>
              <w:left w:val="nil"/>
            </w:tcBorders>
            <w:vAlign w:val="bottom"/>
          </w:tcPr>
          <w:p w:rsidR="00D724FA" w:rsidRDefault="00D724FA" w:rsidP="00A858D8">
            <w:pPr>
              <w:pStyle w:val="IASBTableArial"/>
              <w:jc w:val="right"/>
            </w:pPr>
            <w:r>
              <w:t>(2.00)</w:t>
            </w:r>
            <w:r>
              <w:rPr>
                <w:vertAlign w:val="superscript"/>
              </w:rPr>
              <w:t>(a)</w:t>
            </w:r>
          </w:p>
        </w:tc>
        <w:tc>
          <w:tcPr>
            <w:tcW w:w="1365" w:type="dxa"/>
            <w:tcBorders>
              <w:top w:val="nil"/>
              <w:left w:val="nil"/>
            </w:tcBorders>
            <w:vAlign w:val="bottom"/>
          </w:tcPr>
          <w:p w:rsidR="00D724FA" w:rsidRDefault="00D724FA" w:rsidP="00A858D8">
            <w:pPr>
              <w:pStyle w:val="IASBTableArial"/>
              <w:jc w:val="right"/>
            </w:pPr>
            <w:r>
              <w:t>(0.99)</w:t>
            </w:r>
            <w:r>
              <w:rPr>
                <w:vertAlign w:val="superscript"/>
              </w:rPr>
              <w:t>(b)</w:t>
            </w:r>
          </w:p>
        </w:tc>
      </w:tr>
      <w:tr w:rsidR="00D724FA" w:rsidTr="00A858D8">
        <w:trPr>
          <w:cantSplit/>
        </w:trPr>
        <w:tc>
          <w:tcPr>
            <w:tcW w:w="6478" w:type="dxa"/>
            <w:tcBorders>
              <w:top w:val="nil"/>
            </w:tcBorders>
            <w:vAlign w:val="bottom"/>
          </w:tcPr>
          <w:p w:rsidR="00D724FA" w:rsidRDefault="00D724FA" w:rsidP="00A858D8">
            <w:pPr>
              <w:pStyle w:val="IASBTableArial"/>
            </w:pPr>
            <w:r>
              <w:t>Profit attributable to ordinary equity holders of the parent entity</w:t>
            </w:r>
          </w:p>
        </w:tc>
        <w:tc>
          <w:tcPr>
            <w:tcW w:w="1365" w:type="dxa"/>
            <w:tcBorders>
              <w:top w:val="nil"/>
              <w:left w:val="nil"/>
            </w:tcBorders>
            <w:vAlign w:val="bottom"/>
          </w:tcPr>
          <w:p w:rsidR="00D724FA" w:rsidRDefault="00D724FA" w:rsidP="00A858D8">
            <w:pPr>
              <w:pStyle w:val="IASBTableArial"/>
              <w:jc w:val="right"/>
            </w:pPr>
            <w:r>
              <w:t>3.00</w:t>
            </w:r>
            <w:r>
              <w:rPr>
                <w:vertAlign w:val="superscript"/>
              </w:rPr>
              <w:t>(c)</w:t>
            </w:r>
          </w:p>
        </w:tc>
        <w:tc>
          <w:tcPr>
            <w:tcW w:w="1365" w:type="dxa"/>
            <w:tcBorders>
              <w:top w:val="nil"/>
              <w:left w:val="nil"/>
            </w:tcBorders>
            <w:vAlign w:val="bottom"/>
          </w:tcPr>
          <w:p w:rsidR="00D724FA" w:rsidRDefault="00D724FA" w:rsidP="00A858D8">
            <w:pPr>
              <w:pStyle w:val="IASBTableArial"/>
              <w:jc w:val="right"/>
            </w:pPr>
            <w:r>
              <w:t>2.24</w:t>
            </w:r>
            <w:r>
              <w:rPr>
                <w:vertAlign w:val="superscript"/>
              </w:rPr>
              <w:t>(d)</w:t>
            </w:r>
          </w:p>
        </w:tc>
      </w:tr>
      <w:tr w:rsidR="00D724FA" w:rsidTr="00A858D8">
        <w:trPr>
          <w:cantSplit/>
        </w:trPr>
        <w:tc>
          <w:tcPr>
            <w:tcW w:w="9208" w:type="dxa"/>
            <w:gridSpan w:val="3"/>
            <w:tcBorders>
              <w:top w:val="nil"/>
            </w:tcBorders>
            <w:vAlign w:val="bottom"/>
          </w:tcPr>
          <w:p w:rsidR="00D724FA" w:rsidRDefault="00D724FA" w:rsidP="00A858D8">
            <w:pPr>
              <w:pStyle w:val="IASBTableTNR"/>
            </w:pPr>
            <w:r>
              <w:rPr>
                <w:rStyle w:val="FootnoteReference"/>
                <w:sz w:val="16"/>
                <w:vertAlign w:val="baseline"/>
              </w:rPr>
              <w:t>(a)</w:t>
            </w:r>
            <w:r>
              <w:rPr>
                <w:rStyle w:val="FootnoteReference"/>
                <w:sz w:val="16"/>
                <w:vertAlign w:val="baseline"/>
              </w:rPr>
              <w:tab/>
              <w:t>(CU4,000,000) ÷ 2,000,000 = (CU2.00)</w:t>
            </w:r>
            <w:r>
              <w:br/>
            </w:r>
            <w:r>
              <w:rPr>
                <w:rStyle w:val="FootnoteReference"/>
                <w:sz w:val="16"/>
                <w:vertAlign w:val="baseline"/>
              </w:rPr>
              <w:t>(b)</w:t>
            </w:r>
            <w:r>
              <w:rPr>
                <w:rStyle w:val="FootnoteReference"/>
                <w:sz w:val="16"/>
                <w:vertAlign w:val="baseline"/>
              </w:rPr>
              <w:tab/>
              <w:t>(CU4,000,000) ÷ 4,020,000 = (CU0.99)</w:t>
            </w:r>
            <w:r>
              <w:br/>
            </w:r>
            <w:r>
              <w:rPr>
                <w:rStyle w:val="FootnoteReference"/>
                <w:sz w:val="16"/>
                <w:vertAlign w:val="baseline"/>
              </w:rPr>
              <w:t>(c)</w:t>
            </w:r>
            <w:r>
              <w:rPr>
                <w:rStyle w:val="FootnoteReference"/>
                <w:sz w:val="16"/>
                <w:vertAlign w:val="baseline"/>
              </w:rPr>
              <w:tab/>
              <w:t>CU6,000,000 ÷ 2,000,000 = CU3.00</w:t>
            </w:r>
            <w:r>
              <w:br/>
            </w:r>
            <w:r>
              <w:rPr>
                <w:rStyle w:val="FootnoteReference"/>
                <w:sz w:val="16"/>
                <w:vertAlign w:val="baseline"/>
              </w:rPr>
              <w:t>(d)</w:t>
            </w:r>
            <w:r>
              <w:rPr>
                <w:rStyle w:val="FootnoteReference"/>
                <w:sz w:val="16"/>
                <w:vertAlign w:val="baseline"/>
              </w:rPr>
              <w:tab/>
              <w:t>(CU6,000,000 + CU3,000,000) ÷ 4,020,000 = CU2.24</w:t>
            </w:r>
          </w:p>
        </w:tc>
      </w:tr>
    </w:tbl>
    <w:p w:rsidR="00D724FA" w:rsidRDefault="00D724FA" w:rsidP="00D724FA">
      <w:pPr>
        <w:pStyle w:val="IASBNormalnpara"/>
      </w:pPr>
    </w:p>
    <w:p w:rsidR="00D724FA" w:rsidRDefault="00D724FA" w:rsidP="00D724FA">
      <w:pPr>
        <w:pStyle w:val="IASBSectionTitle1NonInd"/>
      </w:pPr>
      <w:r>
        <w:t>Example 10 Instruments of a subsidiary: calculation of basic and diluted earnings per share</w:t>
      </w:r>
      <w:r w:rsidRPr="00592251">
        <w:rPr>
          <w:rStyle w:val="FootnoteReference"/>
        </w:rPr>
        <w:footnoteReference w:id="4"/>
      </w:r>
    </w:p>
    <w:p w:rsidR="00D724FA" w:rsidRDefault="00D724FA" w:rsidP="00D724FA">
      <w:pPr>
        <w:pStyle w:val="IASBNormal"/>
      </w:pPr>
      <w:r>
        <w:rPr>
          <w:b/>
        </w:rPr>
        <w:t>Reference:</w:t>
      </w:r>
      <w:r w:rsidR="00725E14">
        <w:rPr>
          <w:b/>
        </w:rPr>
        <w:t xml:space="preserve"> AASB 133</w:t>
      </w:r>
      <w:r>
        <w:rPr>
          <w:b/>
        </w:rPr>
        <w:t>, paragraphs 40, A11 and A12</w:t>
      </w:r>
    </w:p>
    <w:p w:rsidR="00D724FA" w:rsidRDefault="00D724FA" w:rsidP="00D724FA">
      <w:pPr>
        <w:pStyle w:val="IASBNormalnpara"/>
      </w:pPr>
    </w:p>
    <w:tbl>
      <w:tblPr>
        <w:tblW w:w="0" w:type="auto"/>
        <w:tblLayout w:type="fixed"/>
        <w:tblLook w:val="0000" w:firstRow="0" w:lastRow="0" w:firstColumn="0" w:lastColumn="0" w:noHBand="0" w:noVBand="0"/>
        <w:tblCaption w:val="AASB 133 Table 21"/>
      </w:tblPr>
      <w:tblGrid>
        <w:gridCol w:w="4658"/>
        <w:gridCol w:w="4550"/>
      </w:tblGrid>
      <w:tr w:rsidR="00D724FA" w:rsidTr="00A858D8">
        <w:trPr>
          <w:cantSplit/>
        </w:trPr>
        <w:tc>
          <w:tcPr>
            <w:tcW w:w="9208" w:type="dxa"/>
            <w:gridSpan w:val="2"/>
            <w:vAlign w:val="bottom"/>
          </w:tcPr>
          <w:p w:rsidR="00D724FA" w:rsidRDefault="00D724FA" w:rsidP="00A858D8">
            <w:pPr>
              <w:pStyle w:val="IASBTableArial"/>
            </w:pPr>
            <w:r>
              <w:rPr>
                <w:b/>
              </w:rPr>
              <w:t>Parent:</w:t>
            </w:r>
          </w:p>
        </w:tc>
      </w:tr>
      <w:tr w:rsidR="00D724FA" w:rsidTr="00A858D8">
        <w:trPr>
          <w:cantSplit/>
        </w:trPr>
        <w:tc>
          <w:tcPr>
            <w:tcW w:w="4658" w:type="dxa"/>
            <w:tcBorders>
              <w:top w:val="nil"/>
            </w:tcBorders>
          </w:tcPr>
          <w:p w:rsidR="00D724FA" w:rsidRDefault="00D724FA" w:rsidP="00A858D8">
            <w:pPr>
              <w:pStyle w:val="IASBTableArial"/>
            </w:pPr>
            <w:r>
              <w:t>Profit attributable to ordinary equity holders of the parent entity</w:t>
            </w:r>
          </w:p>
        </w:tc>
        <w:tc>
          <w:tcPr>
            <w:tcW w:w="4550" w:type="dxa"/>
            <w:tcBorders>
              <w:top w:val="nil"/>
              <w:left w:val="nil"/>
            </w:tcBorders>
            <w:vAlign w:val="bottom"/>
          </w:tcPr>
          <w:p w:rsidR="00D724FA" w:rsidRDefault="00D724FA" w:rsidP="00A858D8">
            <w:pPr>
              <w:pStyle w:val="IASBTableArial"/>
            </w:pPr>
            <w:r>
              <w:t>CU12,000 (excluding any earnings of, or dividends paid by, the subsidiary)</w:t>
            </w:r>
          </w:p>
        </w:tc>
      </w:tr>
      <w:tr w:rsidR="00D724FA" w:rsidTr="00A858D8">
        <w:trPr>
          <w:cantSplit/>
        </w:trPr>
        <w:tc>
          <w:tcPr>
            <w:tcW w:w="4658" w:type="dxa"/>
            <w:tcBorders>
              <w:top w:val="nil"/>
            </w:tcBorders>
          </w:tcPr>
          <w:p w:rsidR="00D724FA" w:rsidRDefault="00D724FA" w:rsidP="00A858D8">
            <w:pPr>
              <w:pStyle w:val="IASBTableArial"/>
            </w:pPr>
            <w:r>
              <w:t>Ordinary shares outstanding</w:t>
            </w:r>
          </w:p>
        </w:tc>
        <w:tc>
          <w:tcPr>
            <w:tcW w:w="4550" w:type="dxa"/>
            <w:tcBorders>
              <w:top w:val="nil"/>
              <w:left w:val="nil"/>
            </w:tcBorders>
            <w:vAlign w:val="bottom"/>
          </w:tcPr>
          <w:p w:rsidR="00D724FA" w:rsidRDefault="00D724FA" w:rsidP="00A858D8">
            <w:pPr>
              <w:pStyle w:val="IASBTableArial"/>
            </w:pPr>
            <w:r>
              <w:t>10,000</w:t>
            </w:r>
          </w:p>
        </w:tc>
      </w:tr>
      <w:tr w:rsidR="00D724FA" w:rsidTr="00A858D8">
        <w:trPr>
          <w:cantSplit/>
        </w:trPr>
        <w:tc>
          <w:tcPr>
            <w:tcW w:w="4658" w:type="dxa"/>
            <w:vMerge w:val="restart"/>
            <w:tcBorders>
              <w:top w:val="nil"/>
            </w:tcBorders>
          </w:tcPr>
          <w:p w:rsidR="00D724FA" w:rsidRDefault="00D724FA" w:rsidP="00A858D8">
            <w:pPr>
              <w:pStyle w:val="IASBTableArial"/>
            </w:pPr>
            <w:r>
              <w:t>Instruments of subsidiary owned by the parent</w:t>
            </w:r>
          </w:p>
        </w:tc>
        <w:tc>
          <w:tcPr>
            <w:tcW w:w="4550" w:type="dxa"/>
            <w:tcBorders>
              <w:top w:val="nil"/>
              <w:left w:val="nil"/>
            </w:tcBorders>
            <w:vAlign w:val="bottom"/>
          </w:tcPr>
          <w:p w:rsidR="00D724FA" w:rsidRDefault="00D724FA" w:rsidP="00A858D8">
            <w:pPr>
              <w:pStyle w:val="IASBTableArial"/>
            </w:pPr>
            <w:r>
              <w:t>800 ordinary shares</w:t>
            </w:r>
          </w:p>
        </w:tc>
      </w:tr>
      <w:tr w:rsidR="00D724FA" w:rsidTr="00A858D8">
        <w:trPr>
          <w:cantSplit/>
        </w:trPr>
        <w:tc>
          <w:tcPr>
            <w:tcW w:w="4658" w:type="dxa"/>
            <w:vMerge/>
            <w:tcBorders>
              <w:top w:val="nil"/>
            </w:tcBorders>
          </w:tcPr>
          <w:p w:rsidR="00D724FA" w:rsidRDefault="00D724FA" w:rsidP="00A858D8">
            <w:pPr>
              <w:widowControl w:val="0"/>
              <w:autoSpaceDE w:val="0"/>
              <w:autoSpaceDN w:val="0"/>
              <w:adjustRightInd w:val="0"/>
              <w:rPr>
                <w:lang w:eastAsia="en-GB"/>
              </w:rPr>
            </w:pPr>
          </w:p>
        </w:tc>
        <w:tc>
          <w:tcPr>
            <w:tcW w:w="4550" w:type="dxa"/>
            <w:tcBorders>
              <w:top w:val="nil"/>
            </w:tcBorders>
            <w:vAlign w:val="bottom"/>
          </w:tcPr>
          <w:p w:rsidR="00D724FA" w:rsidRDefault="00D724FA" w:rsidP="00A858D8">
            <w:pPr>
              <w:pStyle w:val="IASBTableArial"/>
            </w:pPr>
            <w:r>
              <w:t>30 warrants exercisable to purchase ordinary shares of subsidiary</w:t>
            </w:r>
          </w:p>
        </w:tc>
      </w:tr>
      <w:tr w:rsidR="00D724FA" w:rsidTr="00A858D8">
        <w:trPr>
          <w:cantSplit/>
        </w:trPr>
        <w:tc>
          <w:tcPr>
            <w:tcW w:w="4658" w:type="dxa"/>
            <w:vMerge/>
            <w:tcBorders>
              <w:top w:val="nil"/>
            </w:tcBorders>
          </w:tcPr>
          <w:p w:rsidR="00D724FA" w:rsidRDefault="00D724FA" w:rsidP="00A858D8">
            <w:pPr>
              <w:widowControl w:val="0"/>
              <w:autoSpaceDE w:val="0"/>
              <w:autoSpaceDN w:val="0"/>
              <w:adjustRightInd w:val="0"/>
              <w:rPr>
                <w:lang w:eastAsia="en-GB"/>
              </w:rPr>
            </w:pPr>
          </w:p>
        </w:tc>
        <w:tc>
          <w:tcPr>
            <w:tcW w:w="4550" w:type="dxa"/>
            <w:tcBorders>
              <w:top w:val="nil"/>
            </w:tcBorders>
            <w:vAlign w:val="bottom"/>
          </w:tcPr>
          <w:p w:rsidR="00D724FA" w:rsidRDefault="00D724FA" w:rsidP="00A858D8">
            <w:pPr>
              <w:pStyle w:val="IASBTableArial"/>
            </w:pPr>
            <w:r>
              <w:t>300 convertible preference shares</w:t>
            </w:r>
          </w:p>
        </w:tc>
      </w:tr>
      <w:tr w:rsidR="00D724FA" w:rsidTr="00A858D8">
        <w:trPr>
          <w:cantSplit/>
        </w:trPr>
        <w:tc>
          <w:tcPr>
            <w:tcW w:w="9208" w:type="dxa"/>
            <w:gridSpan w:val="2"/>
            <w:tcBorders>
              <w:top w:val="nil"/>
            </w:tcBorders>
            <w:vAlign w:val="bottom"/>
          </w:tcPr>
          <w:p w:rsidR="00D724FA" w:rsidRDefault="00D724FA" w:rsidP="00A858D8">
            <w:pPr>
              <w:pStyle w:val="IASBTableArial"/>
            </w:pPr>
            <w:r>
              <w:rPr>
                <w:b/>
              </w:rPr>
              <w:t>Subsidiary:</w:t>
            </w:r>
          </w:p>
        </w:tc>
      </w:tr>
      <w:tr w:rsidR="00D724FA" w:rsidTr="00A858D8">
        <w:trPr>
          <w:cantSplit/>
        </w:trPr>
        <w:tc>
          <w:tcPr>
            <w:tcW w:w="4658" w:type="dxa"/>
            <w:tcBorders>
              <w:top w:val="nil"/>
            </w:tcBorders>
          </w:tcPr>
          <w:p w:rsidR="00D724FA" w:rsidRDefault="00D724FA" w:rsidP="00A858D8">
            <w:pPr>
              <w:pStyle w:val="IASBTableArial"/>
            </w:pPr>
            <w:r>
              <w:t>Profit</w:t>
            </w:r>
          </w:p>
        </w:tc>
        <w:tc>
          <w:tcPr>
            <w:tcW w:w="4550" w:type="dxa"/>
            <w:tcBorders>
              <w:top w:val="nil"/>
              <w:left w:val="nil"/>
            </w:tcBorders>
            <w:vAlign w:val="bottom"/>
          </w:tcPr>
          <w:p w:rsidR="00D724FA" w:rsidRDefault="00D724FA" w:rsidP="00A858D8">
            <w:pPr>
              <w:pStyle w:val="IASBTableArial"/>
            </w:pPr>
            <w:r>
              <w:t>CU5,400</w:t>
            </w:r>
          </w:p>
        </w:tc>
      </w:tr>
      <w:tr w:rsidR="00D724FA" w:rsidTr="00A858D8">
        <w:trPr>
          <w:cantSplit/>
        </w:trPr>
        <w:tc>
          <w:tcPr>
            <w:tcW w:w="4658" w:type="dxa"/>
            <w:tcBorders>
              <w:top w:val="nil"/>
            </w:tcBorders>
          </w:tcPr>
          <w:p w:rsidR="00D724FA" w:rsidRDefault="00D724FA" w:rsidP="00A858D8">
            <w:pPr>
              <w:pStyle w:val="IASBTableArial"/>
            </w:pPr>
            <w:r>
              <w:t>Ordinary shares outstanding</w:t>
            </w:r>
          </w:p>
        </w:tc>
        <w:tc>
          <w:tcPr>
            <w:tcW w:w="4550" w:type="dxa"/>
            <w:tcBorders>
              <w:top w:val="nil"/>
              <w:left w:val="nil"/>
            </w:tcBorders>
            <w:vAlign w:val="bottom"/>
          </w:tcPr>
          <w:p w:rsidR="00D724FA" w:rsidRDefault="00D724FA" w:rsidP="00A858D8">
            <w:pPr>
              <w:pStyle w:val="IASBTableArial"/>
            </w:pPr>
            <w:r>
              <w:t>1,000</w:t>
            </w:r>
          </w:p>
        </w:tc>
      </w:tr>
      <w:tr w:rsidR="00D724FA" w:rsidTr="00A858D8">
        <w:trPr>
          <w:cantSplit/>
        </w:trPr>
        <w:tc>
          <w:tcPr>
            <w:tcW w:w="4658" w:type="dxa"/>
            <w:tcBorders>
              <w:top w:val="nil"/>
            </w:tcBorders>
          </w:tcPr>
          <w:p w:rsidR="00D724FA" w:rsidRDefault="00D724FA" w:rsidP="00A858D8">
            <w:pPr>
              <w:pStyle w:val="IASBTableArial"/>
            </w:pPr>
            <w:r>
              <w:t>Warrants</w:t>
            </w:r>
          </w:p>
        </w:tc>
        <w:tc>
          <w:tcPr>
            <w:tcW w:w="4550" w:type="dxa"/>
            <w:tcBorders>
              <w:top w:val="nil"/>
              <w:left w:val="nil"/>
            </w:tcBorders>
            <w:vAlign w:val="bottom"/>
          </w:tcPr>
          <w:p w:rsidR="00D724FA" w:rsidRDefault="00D724FA" w:rsidP="00A858D8">
            <w:pPr>
              <w:pStyle w:val="IASBTableArial"/>
            </w:pPr>
            <w:r>
              <w:t>150, exercisable to purchase ordinary shares of the subsidiary</w:t>
            </w:r>
          </w:p>
        </w:tc>
      </w:tr>
      <w:tr w:rsidR="00D724FA" w:rsidTr="00A858D8">
        <w:trPr>
          <w:cantSplit/>
        </w:trPr>
        <w:tc>
          <w:tcPr>
            <w:tcW w:w="4658" w:type="dxa"/>
            <w:tcBorders>
              <w:top w:val="nil"/>
            </w:tcBorders>
          </w:tcPr>
          <w:p w:rsidR="00D724FA" w:rsidRDefault="00D724FA" w:rsidP="00A858D8">
            <w:pPr>
              <w:pStyle w:val="IASBTableArial"/>
            </w:pPr>
            <w:r>
              <w:t>Exercise price</w:t>
            </w:r>
          </w:p>
        </w:tc>
        <w:tc>
          <w:tcPr>
            <w:tcW w:w="4550" w:type="dxa"/>
            <w:tcBorders>
              <w:top w:val="nil"/>
              <w:left w:val="nil"/>
            </w:tcBorders>
            <w:vAlign w:val="bottom"/>
          </w:tcPr>
          <w:p w:rsidR="00D724FA" w:rsidRDefault="00D724FA" w:rsidP="00A858D8">
            <w:pPr>
              <w:pStyle w:val="IASBTableArial"/>
            </w:pPr>
            <w:r>
              <w:t>CU10</w:t>
            </w:r>
          </w:p>
        </w:tc>
      </w:tr>
      <w:tr w:rsidR="00D724FA" w:rsidTr="00A858D8">
        <w:trPr>
          <w:cantSplit/>
        </w:trPr>
        <w:tc>
          <w:tcPr>
            <w:tcW w:w="4658" w:type="dxa"/>
            <w:tcBorders>
              <w:top w:val="nil"/>
            </w:tcBorders>
          </w:tcPr>
          <w:p w:rsidR="00D724FA" w:rsidRDefault="00D724FA" w:rsidP="00A858D8">
            <w:pPr>
              <w:pStyle w:val="IASBTableArial"/>
            </w:pPr>
            <w:r>
              <w:t>Average market price of one ordinary share</w:t>
            </w:r>
          </w:p>
        </w:tc>
        <w:tc>
          <w:tcPr>
            <w:tcW w:w="4550" w:type="dxa"/>
            <w:tcBorders>
              <w:top w:val="nil"/>
              <w:left w:val="nil"/>
            </w:tcBorders>
            <w:vAlign w:val="bottom"/>
          </w:tcPr>
          <w:p w:rsidR="00D724FA" w:rsidRDefault="00D724FA" w:rsidP="00A858D8">
            <w:pPr>
              <w:pStyle w:val="IASBTableArial"/>
            </w:pPr>
            <w:r>
              <w:t>CU20</w:t>
            </w:r>
          </w:p>
        </w:tc>
      </w:tr>
      <w:tr w:rsidR="00D724FA" w:rsidTr="00A858D8">
        <w:trPr>
          <w:cantSplit/>
        </w:trPr>
        <w:tc>
          <w:tcPr>
            <w:tcW w:w="4658" w:type="dxa"/>
            <w:tcBorders>
              <w:top w:val="nil"/>
            </w:tcBorders>
          </w:tcPr>
          <w:p w:rsidR="00D724FA" w:rsidRDefault="00D724FA" w:rsidP="00A858D8">
            <w:pPr>
              <w:pStyle w:val="IASBTableArial"/>
            </w:pPr>
            <w:r>
              <w:t>Convertible preference shares</w:t>
            </w:r>
          </w:p>
        </w:tc>
        <w:tc>
          <w:tcPr>
            <w:tcW w:w="4550" w:type="dxa"/>
            <w:tcBorders>
              <w:top w:val="nil"/>
              <w:left w:val="nil"/>
            </w:tcBorders>
            <w:vAlign w:val="bottom"/>
          </w:tcPr>
          <w:p w:rsidR="00D724FA" w:rsidRDefault="00D724FA" w:rsidP="00A858D8">
            <w:pPr>
              <w:pStyle w:val="IASBTableArial"/>
            </w:pPr>
            <w:r>
              <w:t>400, each convertible into one ordinary share</w:t>
            </w:r>
          </w:p>
        </w:tc>
      </w:tr>
      <w:tr w:rsidR="00D724FA" w:rsidTr="00A858D8">
        <w:trPr>
          <w:cantSplit/>
        </w:trPr>
        <w:tc>
          <w:tcPr>
            <w:tcW w:w="4658" w:type="dxa"/>
            <w:tcBorders>
              <w:top w:val="nil"/>
            </w:tcBorders>
          </w:tcPr>
          <w:p w:rsidR="00D724FA" w:rsidRDefault="00D724FA" w:rsidP="00A858D8">
            <w:pPr>
              <w:pStyle w:val="IASBTableArial"/>
            </w:pPr>
            <w:r>
              <w:t>Dividends on preference shares</w:t>
            </w:r>
          </w:p>
        </w:tc>
        <w:tc>
          <w:tcPr>
            <w:tcW w:w="4550" w:type="dxa"/>
            <w:tcBorders>
              <w:top w:val="nil"/>
              <w:left w:val="nil"/>
            </w:tcBorders>
            <w:vAlign w:val="bottom"/>
          </w:tcPr>
          <w:p w:rsidR="00D724FA" w:rsidRDefault="00D724FA" w:rsidP="00A858D8">
            <w:pPr>
              <w:pStyle w:val="IASBTableArial"/>
            </w:pPr>
            <w:r>
              <w:t>CU1 per share</w:t>
            </w:r>
          </w:p>
        </w:tc>
      </w:tr>
      <w:tr w:rsidR="00D724FA" w:rsidTr="00A858D8">
        <w:trPr>
          <w:cantSplit/>
        </w:trPr>
        <w:tc>
          <w:tcPr>
            <w:tcW w:w="9208" w:type="dxa"/>
            <w:gridSpan w:val="2"/>
            <w:tcBorders>
              <w:top w:val="nil"/>
            </w:tcBorders>
            <w:vAlign w:val="bottom"/>
          </w:tcPr>
          <w:p w:rsidR="00D724FA" w:rsidRDefault="00D724FA" w:rsidP="00A858D8">
            <w:pPr>
              <w:pStyle w:val="IASBTableArial"/>
            </w:pPr>
            <w:r>
              <w:rPr>
                <w:i/>
              </w:rPr>
              <w:t>No inter-company eliminations or adjustments were necessary except for dividends.</w:t>
            </w:r>
          </w:p>
        </w:tc>
      </w:tr>
      <w:tr w:rsidR="00D724FA" w:rsidTr="00A858D8">
        <w:trPr>
          <w:cantSplit/>
        </w:trPr>
        <w:tc>
          <w:tcPr>
            <w:tcW w:w="9208" w:type="dxa"/>
            <w:gridSpan w:val="2"/>
            <w:tcBorders>
              <w:top w:val="nil"/>
            </w:tcBorders>
            <w:vAlign w:val="bottom"/>
          </w:tcPr>
          <w:p w:rsidR="00D724FA" w:rsidRDefault="00D724FA" w:rsidP="00A858D8">
            <w:pPr>
              <w:pStyle w:val="IASBTableArial"/>
            </w:pPr>
            <w:r>
              <w:rPr>
                <w:i/>
              </w:rPr>
              <w:t>For the purposes of this illustration, income taxes have been ignored.</w:t>
            </w:r>
          </w:p>
        </w:tc>
      </w:tr>
    </w:tbl>
    <w:p w:rsidR="00D724FA" w:rsidRDefault="00D724FA" w:rsidP="00D724FA">
      <w:pPr>
        <w:pStyle w:val="IASBNormalnpara"/>
      </w:pPr>
    </w:p>
    <w:tbl>
      <w:tblPr>
        <w:tblW w:w="0" w:type="auto"/>
        <w:tblLayout w:type="fixed"/>
        <w:tblLook w:val="0000" w:firstRow="0" w:lastRow="0" w:firstColumn="0" w:lastColumn="0" w:noHBand="0" w:noVBand="0"/>
        <w:tblCaption w:val="AASB 133 Table 22"/>
      </w:tblPr>
      <w:tblGrid>
        <w:gridCol w:w="2383"/>
        <w:gridCol w:w="3185"/>
        <w:gridCol w:w="3640"/>
      </w:tblGrid>
      <w:tr w:rsidR="00D724FA" w:rsidTr="00A858D8">
        <w:trPr>
          <w:cantSplit/>
          <w:tblHeader/>
        </w:trPr>
        <w:tc>
          <w:tcPr>
            <w:tcW w:w="9208" w:type="dxa"/>
            <w:gridSpan w:val="3"/>
            <w:vAlign w:val="bottom"/>
          </w:tcPr>
          <w:p w:rsidR="00D724FA" w:rsidRDefault="00D724FA" w:rsidP="00A858D8">
            <w:pPr>
              <w:pStyle w:val="IASBTableHeaderArial"/>
            </w:pPr>
            <w:r>
              <w:rPr>
                <w:b/>
              </w:rPr>
              <w:t>Subsidiary’s earnings per share</w:t>
            </w:r>
          </w:p>
        </w:tc>
      </w:tr>
      <w:tr w:rsidR="00D724FA" w:rsidTr="00A858D8">
        <w:trPr>
          <w:cantSplit/>
        </w:trPr>
        <w:tc>
          <w:tcPr>
            <w:tcW w:w="2383" w:type="dxa"/>
            <w:vMerge w:val="restart"/>
            <w:tcBorders>
              <w:top w:val="nil"/>
            </w:tcBorders>
            <w:vAlign w:val="center"/>
          </w:tcPr>
          <w:p w:rsidR="00D724FA" w:rsidRDefault="00D724FA" w:rsidP="00A858D8">
            <w:pPr>
              <w:pStyle w:val="IASBTableArial"/>
            </w:pPr>
            <w:r>
              <w:t>Basic EPS</w:t>
            </w:r>
          </w:p>
        </w:tc>
        <w:tc>
          <w:tcPr>
            <w:tcW w:w="3185" w:type="dxa"/>
            <w:vMerge w:val="restart"/>
            <w:tcBorders>
              <w:top w:val="nil"/>
              <w:left w:val="nil"/>
            </w:tcBorders>
            <w:vAlign w:val="center"/>
          </w:tcPr>
          <w:p w:rsidR="00D724FA" w:rsidRDefault="00D724FA" w:rsidP="00A858D8">
            <w:pPr>
              <w:pStyle w:val="IASBTableArial"/>
            </w:pPr>
            <w:r>
              <w:t>CU5.00 calculated:</w:t>
            </w:r>
          </w:p>
        </w:tc>
        <w:tc>
          <w:tcPr>
            <w:tcW w:w="3640" w:type="dxa"/>
            <w:tcBorders>
              <w:top w:val="nil"/>
              <w:left w:val="nil"/>
              <w:bottom w:val="single" w:sz="4" w:space="0" w:color="auto"/>
            </w:tcBorders>
            <w:vAlign w:val="bottom"/>
          </w:tcPr>
          <w:p w:rsidR="00D724FA" w:rsidRDefault="00D724FA" w:rsidP="00A858D8">
            <w:pPr>
              <w:pStyle w:val="IASBTableArial"/>
              <w:jc w:val="center"/>
            </w:pPr>
            <w:r>
              <w:t>CU5,400</w:t>
            </w:r>
            <w:r>
              <w:rPr>
                <w:vertAlign w:val="superscript"/>
              </w:rPr>
              <w:t>(a)</w:t>
            </w:r>
            <w:r>
              <w:t xml:space="preserve"> – CU400</w:t>
            </w:r>
            <w:r>
              <w:rPr>
                <w:vertAlign w:val="superscript"/>
              </w:rPr>
              <w:t>(b)</w:t>
            </w:r>
          </w:p>
        </w:tc>
      </w:tr>
      <w:tr w:rsidR="00D724FA" w:rsidTr="00A858D8">
        <w:trPr>
          <w:cantSplit/>
        </w:trPr>
        <w:tc>
          <w:tcPr>
            <w:tcW w:w="2383" w:type="dxa"/>
            <w:vMerge/>
            <w:tcBorders>
              <w:top w:val="nil"/>
            </w:tcBorders>
            <w:vAlign w:val="center"/>
          </w:tcPr>
          <w:p w:rsidR="00D724FA" w:rsidRDefault="00D724FA" w:rsidP="00A858D8">
            <w:pPr>
              <w:widowControl w:val="0"/>
              <w:autoSpaceDE w:val="0"/>
              <w:autoSpaceDN w:val="0"/>
              <w:adjustRightInd w:val="0"/>
              <w:rPr>
                <w:lang w:eastAsia="en-GB"/>
              </w:rPr>
            </w:pPr>
          </w:p>
        </w:tc>
        <w:tc>
          <w:tcPr>
            <w:tcW w:w="3185" w:type="dxa"/>
            <w:vMerge/>
            <w:tcBorders>
              <w:top w:val="nil"/>
              <w:left w:val="nil"/>
            </w:tcBorders>
            <w:vAlign w:val="center"/>
          </w:tcPr>
          <w:p w:rsidR="00D724FA" w:rsidRDefault="00D724FA" w:rsidP="00A858D8">
            <w:pPr>
              <w:widowControl w:val="0"/>
              <w:autoSpaceDE w:val="0"/>
              <w:autoSpaceDN w:val="0"/>
              <w:adjustRightInd w:val="0"/>
              <w:rPr>
                <w:lang w:eastAsia="en-GB"/>
              </w:rPr>
            </w:pPr>
          </w:p>
        </w:tc>
        <w:tc>
          <w:tcPr>
            <w:tcW w:w="3640" w:type="dxa"/>
            <w:tcBorders>
              <w:top w:val="nil"/>
            </w:tcBorders>
            <w:vAlign w:val="bottom"/>
          </w:tcPr>
          <w:p w:rsidR="00D724FA" w:rsidRDefault="00D724FA" w:rsidP="00A858D8">
            <w:pPr>
              <w:pStyle w:val="IASBTableArial"/>
              <w:jc w:val="center"/>
            </w:pPr>
            <w:r>
              <w:t>1,000</w:t>
            </w:r>
            <w:r>
              <w:rPr>
                <w:vertAlign w:val="superscript"/>
              </w:rPr>
              <w:t>(c)</w:t>
            </w:r>
          </w:p>
        </w:tc>
      </w:tr>
      <w:tr w:rsidR="00D724FA" w:rsidTr="00A858D8">
        <w:trPr>
          <w:cantSplit/>
        </w:trPr>
        <w:tc>
          <w:tcPr>
            <w:tcW w:w="9208" w:type="dxa"/>
            <w:gridSpan w:val="3"/>
            <w:tcBorders>
              <w:top w:val="nil"/>
            </w:tcBorders>
            <w:vAlign w:val="bottom"/>
          </w:tcPr>
          <w:p w:rsidR="00D724FA" w:rsidRDefault="00D724FA" w:rsidP="00A858D8">
            <w:pPr>
              <w:pStyle w:val="IASBTableArial"/>
            </w:pPr>
          </w:p>
        </w:tc>
      </w:tr>
      <w:tr w:rsidR="00D724FA" w:rsidTr="00A858D8">
        <w:trPr>
          <w:cantSplit/>
        </w:trPr>
        <w:tc>
          <w:tcPr>
            <w:tcW w:w="2383" w:type="dxa"/>
            <w:vMerge w:val="restart"/>
            <w:tcBorders>
              <w:top w:val="nil"/>
            </w:tcBorders>
            <w:vAlign w:val="center"/>
          </w:tcPr>
          <w:p w:rsidR="00D724FA" w:rsidRDefault="00D724FA" w:rsidP="00A858D8">
            <w:pPr>
              <w:pStyle w:val="IASBTableArial"/>
            </w:pPr>
            <w:r>
              <w:t>Diluted EPS</w:t>
            </w:r>
          </w:p>
        </w:tc>
        <w:tc>
          <w:tcPr>
            <w:tcW w:w="3185" w:type="dxa"/>
            <w:vMerge w:val="restart"/>
            <w:tcBorders>
              <w:top w:val="nil"/>
              <w:left w:val="nil"/>
            </w:tcBorders>
            <w:vAlign w:val="center"/>
          </w:tcPr>
          <w:p w:rsidR="00D724FA" w:rsidRDefault="00D724FA" w:rsidP="00A858D8">
            <w:pPr>
              <w:pStyle w:val="IASBTableArial"/>
            </w:pPr>
            <w:r>
              <w:t>CU3.66 calculated:</w:t>
            </w:r>
          </w:p>
        </w:tc>
        <w:tc>
          <w:tcPr>
            <w:tcW w:w="3640" w:type="dxa"/>
            <w:tcBorders>
              <w:top w:val="nil"/>
              <w:left w:val="nil"/>
              <w:bottom w:val="single" w:sz="4" w:space="0" w:color="auto"/>
            </w:tcBorders>
            <w:vAlign w:val="bottom"/>
          </w:tcPr>
          <w:p w:rsidR="00D724FA" w:rsidRDefault="00D724FA" w:rsidP="00A858D8">
            <w:pPr>
              <w:pStyle w:val="IASBTableArial"/>
              <w:jc w:val="center"/>
            </w:pPr>
            <w:r>
              <w:t>CU5,400</w:t>
            </w:r>
            <w:r>
              <w:rPr>
                <w:vertAlign w:val="superscript"/>
              </w:rPr>
              <w:t>(d)</w:t>
            </w:r>
          </w:p>
        </w:tc>
      </w:tr>
      <w:tr w:rsidR="00D724FA" w:rsidTr="00A858D8">
        <w:trPr>
          <w:cantSplit/>
        </w:trPr>
        <w:tc>
          <w:tcPr>
            <w:tcW w:w="2383" w:type="dxa"/>
            <w:vMerge/>
            <w:tcBorders>
              <w:top w:val="nil"/>
            </w:tcBorders>
            <w:vAlign w:val="center"/>
          </w:tcPr>
          <w:p w:rsidR="00D724FA" w:rsidRDefault="00D724FA" w:rsidP="00A858D8">
            <w:pPr>
              <w:widowControl w:val="0"/>
              <w:autoSpaceDE w:val="0"/>
              <w:autoSpaceDN w:val="0"/>
              <w:adjustRightInd w:val="0"/>
              <w:rPr>
                <w:lang w:eastAsia="en-GB"/>
              </w:rPr>
            </w:pPr>
          </w:p>
        </w:tc>
        <w:tc>
          <w:tcPr>
            <w:tcW w:w="3185" w:type="dxa"/>
            <w:vMerge/>
            <w:tcBorders>
              <w:top w:val="nil"/>
              <w:left w:val="nil"/>
            </w:tcBorders>
            <w:vAlign w:val="center"/>
          </w:tcPr>
          <w:p w:rsidR="00D724FA" w:rsidRDefault="00D724FA" w:rsidP="00A858D8">
            <w:pPr>
              <w:widowControl w:val="0"/>
              <w:autoSpaceDE w:val="0"/>
              <w:autoSpaceDN w:val="0"/>
              <w:adjustRightInd w:val="0"/>
              <w:rPr>
                <w:lang w:eastAsia="en-GB"/>
              </w:rPr>
            </w:pPr>
          </w:p>
        </w:tc>
        <w:tc>
          <w:tcPr>
            <w:tcW w:w="3640" w:type="dxa"/>
            <w:tcBorders>
              <w:top w:val="nil"/>
            </w:tcBorders>
            <w:vAlign w:val="bottom"/>
          </w:tcPr>
          <w:p w:rsidR="00D724FA" w:rsidRDefault="00D724FA" w:rsidP="00A858D8">
            <w:pPr>
              <w:pStyle w:val="IASBTableArial"/>
              <w:jc w:val="center"/>
            </w:pPr>
            <w:r>
              <w:t>(1,000 + 75</w:t>
            </w:r>
            <w:r>
              <w:rPr>
                <w:vertAlign w:val="superscript"/>
              </w:rPr>
              <w:t>(e)</w:t>
            </w:r>
            <w:r>
              <w:t xml:space="preserve"> + 400</w:t>
            </w:r>
            <w:r>
              <w:rPr>
                <w:vertAlign w:val="superscript"/>
              </w:rPr>
              <w:t>(f)</w:t>
            </w:r>
            <w:r>
              <w:t>)</w:t>
            </w:r>
          </w:p>
        </w:tc>
      </w:tr>
      <w:tr w:rsidR="00D724FA" w:rsidTr="00A858D8">
        <w:trPr>
          <w:cantSplit/>
        </w:trPr>
        <w:tc>
          <w:tcPr>
            <w:tcW w:w="9208" w:type="dxa"/>
            <w:gridSpan w:val="3"/>
            <w:tcBorders>
              <w:top w:val="nil"/>
            </w:tcBorders>
            <w:vAlign w:val="bottom"/>
          </w:tcPr>
          <w:p w:rsidR="00D724FA" w:rsidRDefault="00D724FA" w:rsidP="00A858D8">
            <w:pPr>
              <w:pStyle w:val="IASBTableTNR"/>
              <w:ind w:left="567" w:hanging="567"/>
              <w:rPr>
                <w:sz w:val="16"/>
              </w:rPr>
            </w:pPr>
            <w:r>
              <w:rPr>
                <w:rStyle w:val="FootnoteReference"/>
                <w:sz w:val="16"/>
                <w:vertAlign w:val="baseline"/>
              </w:rPr>
              <w:t>(a)</w:t>
            </w:r>
            <w:r>
              <w:rPr>
                <w:rStyle w:val="FootnoteReference"/>
                <w:sz w:val="16"/>
                <w:vertAlign w:val="baseline"/>
              </w:rPr>
              <w:tab/>
              <w:t>Subsidiary's profit attributable to ordinary equity holders.</w:t>
            </w:r>
          </w:p>
          <w:p w:rsidR="00D724FA" w:rsidRDefault="00D724FA" w:rsidP="00A858D8">
            <w:pPr>
              <w:pStyle w:val="IASBTableTNR"/>
              <w:ind w:left="567" w:hanging="567"/>
              <w:rPr>
                <w:sz w:val="16"/>
              </w:rPr>
            </w:pPr>
            <w:r>
              <w:rPr>
                <w:sz w:val="16"/>
              </w:rPr>
              <w:t>(</w:t>
            </w:r>
            <w:r>
              <w:rPr>
                <w:rStyle w:val="FootnoteReference"/>
                <w:sz w:val="16"/>
                <w:vertAlign w:val="baseline"/>
              </w:rPr>
              <w:t>b)</w:t>
            </w:r>
            <w:r>
              <w:rPr>
                <w:rStyle w:val="FootnoteReference"/>
                <w:sz w:val="16"/>
                <w:vertAlign w:val="baseline"/>
              </w:rPr>
              <w:tab/>
              <w:t>Dividends paid by subsidiary on convertible preference shares.</w:t>
            </w:r>
          </w:p>
          <w:p w:rsidR="00D724FA" w:rsidRDefault="00D724FA" w:rsidP="00A858D8">
            <w:pPr>
              <w:pStyle w:val="IASBTableTNR"/>
              <w:ind w:left="567" w:hanging="567"/>
              <w:rPr>
                <w:sz w:val="16"/>
              </w:rPr>
            </w:pPr>
            <w:r>
              <w:rPr>
                <w:rStyle w:val="FootnoteReference"/>
                <w:sz w:val="16"/>
                <w:vertAlign w:val="baseline"/>
              </w:rPr>
              <w:t>(c)</w:t>
            </w:r>
            <w:r>
              <w:rPr>
                <w:rStyle w:val="FootnoteReference"/>
                <w:sz w:val="16"/>
                <w:vertAlign w:val="baseline"/>
              </w:rPr>
              <w:tab/>
              <w:t>Subsidiary's ordinary shares outstanding.</w:t>
            </w:r>
          </w:p>
          <w:p w:rsidR="00D724FA" w:rsidRDefault="00D724FA" w:rsidP="00A858D8">
            <w:pPr>
              <w:pStyle w:val="IASBTableTNR"/>
              <w:ind w:left="567" w:hanging="567"/>
              <w:rPr>
                <w:sz w:val="16"/>
              </w:rPr>
            </w:pPr>
            <w:r>
              <w:rPr>
                <w:rStyle w:val="FootnoteReference"/>
                <w:sz w:val="16"/>
                <w:vertAlign w:val="baseline"/>
              </w:rPr>
              <w:t>(d)</w:t>
            </w:r>
            <w:r>
              <w:rPr>
                <w:rStyle w:val="FootnoteReference"/>
                <w:sz w:val="16"/>
                <w:vertAlign w:val="baseline"/>
              </w:rPr>
              <w:tab/>
              <w:t>Subsidiary's profit attributable to ordinary equity holders (CU5,000) increased by CU400 preference dividends for the purpose of calculating diluted earnings per share.</w:t>
            </w:r>
          </w:p>
          <w:p w:rsidR="00D724FA" w:rsidRDefault="00D724FA" w:rsidP="00A858D8">
            <w:pPr>
              <w:pStyle w:val="IASBTableTNR"/>
              <w:ind w:left="567" w:hanging="567"/>
              <w:rPr>
                <w:sz w:val="16"/>
              </w:rPr>
            </w:pPr>
            <w:r>
              <w:rPr>
                <w:rStyle w:val="FootnoteReference"/>
                <w:sz w:val="16"/>
                <w:vertAlign w:val="baseline"/>
              </w:rPr>
              <w:t>(e)</w:t>
            </w:r>
            <w:r>
              <w:rPr>
                <w:rStyle w:val="FootnoteReference"/>
                <w:sz w:val="16"/>
                <w:vertAlign w:val="baseline"/>
              </w:rPr>
              <w:tab/>
              <w:t>Incremental shares from warrants, calculated: [(CU20 – CU10) ÷ CU20] × 150.</w:t>
            </w:r>
          </w:p>
          <w:p w:rsidR="00D724FA" w:rsidRDefault="00D724FA" w:rsidP="00A858D8">
            <w:pPr>
              <w:pStyle w:val="IASBTableTNR"/>
              <w:ind w:left="567" w:hanging="567"/>
            </w:pPr>
            <w:r>
              <w:rPr>
                <w:rStyle w:val="FootnoteReference"/>
                <w:sz w:val="16"/>
                <w:vertAlign w:val="baseline"/>
              </w:rPr>
              <w:t>(f)</w:t>
            </w:r>
            <w:r>
              <w:rPr>
                <w:rStyle w:val="FootnoteReference"/>
                <w:sz w:val="16"/>
                <w:vertAlign w:val="baseline"/>
              </w:rPr>
              <w:tab/>
              <w:t>Subsidiary's ordinary shares assumed outstanding from conversion of convertible preference shares, calculated: 400 convertible preference shares × conversion factor of 1.</w:t>
            </w:r>
          </w:p>
        </w:tc>
      </w:tr>
    </w:tbl>
    <w:p w:rsidR="00D724FA" w:rsidRDefault="00D724FA" w:rsidP="00D724FA">
      <w:pPr>
        <w:pStyle w:val="IASBNormalnpara"/>
      </w:pPr>
    </w:p>
    <w:tbl>
      <w:tblPr>
        <w:tblW w:w="0" w:type="auto"/>
        <w:tblLayout w:type="fixed"/>
        <w:tblLook w:val="0000" w:firstRow="0" w:lastRow="0" w:firstColumn="0" w:lastColumn="0" w:noHBand="0" w:noVBand="0"/>
        <w:tblCaption w:val="AASB 133 Table 23"/>
      </w:tblPr>
      <w:tblGrid>
        <w:gridCol w:w="1291"/>
        <w:gridCol w:w="2275"/>
        <w:gridCol w:w="5642"/>
      </w:tblGrid>
      <w:tr w:rsidR="00D724FA" w:rsidTr="00A858D8">
        <w:trPr>
          <w:cantSplit/>
          <w:tblHeader/>
        </w:trPr>
        <w:tc>
          <w:tcPr>
            <w:tcW w:w="9208" w:type="dxa"/>
            <w:gridSpan w:val="3"/>
            <w:vAlign w:val="bottom"/>
          </w:tcPr>
          <w:p w:rsidR="00D724FA" w:rsidRDefault="00D724FA" w:rsidP="00A858D8">
            <w:pPr>
              <w:pStyle w:val="IASBTableHeaderArial"/>
            </w:pPr>
            <w:r>
              <w:rPr>
                <w:b/>
              </w:rPr>
              <w:t>Consolidated earnings per share</w:t>
            </w:r>
          </w:p>
        </w:tc>
      </w:tr>
      <w:tr w:rsidR="00D724FA" w:rsidTr="00A858D8">
        <w:trPr>
          <w:cantSplit/>
        </w:trPr>
        <w:tc>
          <w:tcPr>
            <w:tcW w:w="1291" w:type="dxa"/>
            <w:vMerge w:val="restart"/>
            <w:tcBorders>
              <w:top w:val="nil"/>
            </w:tcBorders>
            <w:vAlign w:val="center"/>
          </w:tcPr>
          <w:p w:rsidR="00D724FA" w:rsidRDefault="00D724FA" w:rsidP="00A858D8">
            <w:pPr>
              <w:pStyle w:val="IASBTableArial"/>
            </w:pPr>
            <w:r>
              <w:t>Basic EPS</w:t>
            </w:r>
          </w:p>
        </w:tc>
        <w:tc>
          <w:tcPr>
            <w:tcW w:w="2275" w:type="dxa"/>
            <w:vMerge w:val="restart"/>
            <w:tcBorders>
              <w:top w:val="nil"/>
              <w:left w:val="nil"/>
            </w:tcBorders>
            <w:vAlign w:val="center"/>
          </w:tcPr>
          <w:p w:rsidR="00D724FA" w:rsidRDefault="00D724FA" w:rsidP="00A858D8">
            <w:pPr>
              <w:pStyle w:val="IASBTableArial"/>
            </w:pPr>
            <w:r>
              <w:t>CU1.63 calculated:</w:t>
            </w:r>
          </w:p>
        </w:tc>
        <w:tc>
          <w:tcPr>
            <w:tcW w:w="5642" w:type="dxa"/>
            <w:tcBorders>
              <w:top w:val="nil"/>
              <w:left w:val="nil"/>
              <w:bottom w:val="single" w:sz="4" w:space="0" w:color="auto"/>
            </w:tcBorders>
            <w:vAlign w:val="bottom"/>
          </w:tcPr>
          <w:p w:rsidR="00D724FA" w:rsidRDefault="00D724FA" w:rsidP="00A858D8">
            <w:pPr>
              <w:pStyle w:val="IASBTableArial"/>
              <w:jc w:val="center"/>
            </w:pPr>
            <w:r>
              <w:t>CU12,000</w:t>
            </w:r>
            <w:r>
              <w:rPr>
                <w:vertAlign w:val="superscript"/>
              </w:rPr>
              <w:t>(a)</w:t>
            </w:r>
            <w:r>
              <w:t xml:space="preserve"> + CU4,300</w:t>
            </w:r>
            <w:r>
              <w:rPr>
                <w:vertAlign w:val="superscript"/>
              </w:rPr>
              <w:t>(b)</w:t>
            </w:r>
          </w:p>
        </w:tc>
      </w:tr>
      <w:tr w:rsidR="00D724FA" w:rsidTr="00A858D8">
        <w:trPr>
          <w:cantSplit/>
        </w:trPr>
        <w:tc>
          <w:tcPr>
            <w:tcW w:w="1291" w:type="dxa"/>
            <w:vMerge/>
            <w:tcBorders>
              <w:top w:val="nil"/>
            </w:tcBorders>
            <w:vAlign w:val="center"/>
          </w:tcPr>
          <w:p w:rsidR="00D724FA" w:rsidRDefault="00D724FA" w:rsidP="00A858D8">
            <w:pPr>
              <w:widowControl w:val="0"/>
              <w:autoSpaceDE w:val="0"/>
              <w:autoSpaceDN w:val="0"/>
              <w:adjustRightInd w:val="0"/>
              <w:rPr>
                <w:lang w:eastAsia="en-GB"/>
              </w:rPr>
            </w:pPr>
          </w:p>
        </w:tc>
        <w:tc>
          <w:tcPr>
            <w:tcW w:w="2275" w:type="dxa"/>
            <w:vMerge/>
            <w:tcBorders>
              <w:top w:val="nil"/>
              <w:left w:val="nil"/>
            </w:tcBorders>
            <w:vAlign w:val="center"/>
          </w:tcPr>
          <w:p w:rsidR="00D724FA" w:rsidRDefault="00D724FA" w:rsidP="00A858D8">
            <w:pPr>
              <w:widowControl w:val="0"/>
              <w:autoSpaceDE w:val="0"/>
              <w:autoSpaceDN w:val="0"/>
              <w:adjustRightInd w:val="0"/>
              <w:rPr>
                <w:lang w:eastAsia="en-GB"/>
              </w:rPr>
            </w:pPr>
          </w:p>
        </w:tc>
        <w:tc>
          <w:tcPr>
            <w:tcW w:w="5642" w:type="dxa"/>
            <w:tcBorders>
              <w:top w:val="nil"/>
            </w:tcBorders>
            <w:vAlign w:val="bottom"/>
          </w:tcPr>
          <w:p w:rsidR="00D724FA" w:rsidRDefault="00D724FA" w:rsidP="00A858D8">
            <w:pPr>
              <w:pStyle w:val="IASBTableArial"/>
              <w:jc w:val="center"/>
            </w:pPr>
            <w:r>
              <w:t>10,000</w:t>
            </w:r>
            <w:r>
              <w:rPr>
                <w:vertAlign w:val="superscript"/>
              </w:rPr>
              <w:t>(c)</w:t>
            </w:r>
          </w:p>
        </w:tc>
      </w:tr>
      <w:tr w:rsidR="00D724FA" w:rsidTr="00A858D8">
        <w:trPr>
          <w:cantSplit/>
        </w:trPr>
        <w:tc>
          <w:tcPr>
            <w:tcW w:w="9208" w:type="dxa"/>
            <w:gridSpan w:val="3"/>
            <w:tcBorders>
              <w:top w:val="nil"/>
            </w:tcBorders>
            <w:vAlign w:val="bottom"/>
          </w:tcPr>
          <w:p w:rsidR="00D724FA" w:rsidRDefault="00D724FA" w:rsidP="00A858D8">
            <w:pPr>
              <w:pStyle w:val="IASBTableArial"/>
            </w:pPr>
          </w:p>
        </w:tc>
      </w:tr>
      <w:tr w:rsidR="00D724FA" w:rsidTr="00A858D8">
        <w:trPr>
          <w:cantSplit/>
        </w:trPr>
        <w:tc>
          <w:tcPr>
            <w:tcW w:w="1291" w:type="dxa"/>
            <w:vMerge w:val="restart"/>
            <w:tcBorders>
              <w:top w:val="nil"/>
            </w:tcBorders>
            <w:vAlign w:val="center"/>
          </w:tcPr>
          <w:p w:rsidR="00D724FA" w:rsidRDefault="00D724FA" w:rsidP="00A858D8">
            <w:pPr>
              <w:pStyle w:val="IASBTableArial"/>
            </w:pPr>
            <w:r>
              <w:t>Diluted EPS</w:t>
            </w:r>
          </w:p>
        </w:tc>
        <w:tc>
          <w:tcPr>
            <w:tcW w:w="2275" w:type="dxa"/>
            <w:vMerge w:val="restart"/>
            <w:tcBorders>
              <w:top w:val="nil"/>
              <w:left w:val="nil"/>
            </w:tcBorders>
            <w:vAlign w:val="center"/>
          </w:tcPr>
          <w:p w:rsidR="00D724FA" w:rsidRDefault="00D724FA" w:rsidP="00A858D8">
            <w:pPr>
              <w:pStyle w:val="IASBTableArial"/>
            </w:pPr>
            <w:r>
              <w:t>CU1.61 calculated:</w:t>
            </w:r>
          </w:p>
        </w:tc>
        <w:tc>
          <w:tcPr>
            <w:tcW w:w="5642" w:type="dxa"/>
            <w:tcBorders>
              <w:top w:val="nil"/>
              <w:left w:val="nil"/>
              <w:bottom w:val="single" w:sz="4" w:space="0" w:color="auto"/>
            </w:tcBorders>
            <w:vAlign w:val="bottom"/>
          </w:tcPr>
          <w:p w:rsidR="00D724FA" w:rsidRDefault="00D724FA" w:rsidP="00A858D8">
            <w:pPr>
              <w:pStyle w:val="IASBTableArial"/>
              <w:jc w:val="center"/>
            </w:pPr>
            <w:r>
              <w:t>CU12,000 + CU2,928</w:t>
            </w:r>
            <w:r>
              <w:rPr>
                <w:vertAlign w:val="superscript"/>
              </w:rPr>
              <w:t>(d)</w:t>
            </w:r>
            <w:r>
              <w:t xml:space="preserve"> + CU55</w:t>
            </w:r>
            <w:r>
              <w:rPr>
                <w:vertAlign w:val="superscript"/>
              </w:rPr>
              <w:t>(e)</w:t>
            </w:r>
            <w:r>
              <w:t xml:space="preserve"> + CU1,098</w:t>
            </w:r>
            <w:r>
              <w:rPr>
                <w:vertAlign w:val="superscript"/>
              </w:rPr>
              <w:t>(f)</w:t>
            </w:r>
          </w:p>
        </w:tc>
      </w:tr>
      <w:tr w:rsidR="00D724FA" w:rsidTr="00A858D8">
        <w:trPr>
          <w:cantSplit/>
        </w:trPr>
        <w:tc>
          <w:tcPr>
            <w:tcW w:w="1291" w:type="dxa"/>
            <w:vMerge/>
            <w:tcBorders>
              <w:top w:val="nil"/>
            </w:tcBorders>
            <w:vAlign w:val="center"/>
          </w:tcPr>
          <w:p w:rsidR="00D724FA" w:rsidRDefault="00D724FA" w:rsidP="00A858D8">
            <w:pPr>
              <w:widowControl w:val="0"/>
              <w:autoSpaceDE w:val="0"/>
              <w:autoSpaceDN w:val="0"/>
              <w:adjustRightInd w:val="0"/>
              <w:rPr>
                <w:lang w:eastAsia="en-GB"/>
              </w:rPr>
            </w:pPr>
          </w:p>
        </w:tc>
        <w:tc>
          <w:tcPr>
            <w:tcW w:w="2275" w:type="dxa"/>
            <w:vMerge/>
            <w:tcBorders>
              <w:top w:val="nil"/>
              <w:left w:val="nil"/>
            </w:tcBorders>
            <w:vAlign w:val="center"/>
          </w:tcPr>
          <w:p w:rsidR="00D724FA" w:rsidRDefault="00D724FA" w:rsidP="00A858D8">
            <w:pPr>
              <w:widowControl w:val="0"/>
              <w:autoSpaceDE w:val="0"/>
              <w:autoSpaceDN w:val="0"/>
              <w:adjustRightInd w:val="0"/>
              <w:rPr>
                <w:lang w:eastAsia="en-GB"/>
              </w:rPr>
            </w:pPr>
          </w:p>
        </w:tc>
        <w:tc>
          <w:tcPr>
            <w:tcW w:w="5642" w:type="dxa"/>
            <w:tcBorders>
              <w:top w:val="nil"/>
            </w:tcBorders>
            <w:vAlign w:val="bottom"/>
          </w:tcPr>
          <w:p w:rsidR="00D724FA" w:rsidRDefault="00D724FA" w:rsidP="00A858D8">
            <w:pPr>
              <w:pStyle w:val="IASBTableArial"/>
              <w:jc w:val="center"/>
            </w:pPr>
            <w:r>
              <w:t>10,000</w:t>
            </w:r>
          </w:p>
        </w:tc>
      </w:tr>
      <w:tr w:rsidR="00D724FA" w:rsidTr="00A858D8">
        <w:trPr>
          <w:cantSplit/>
        </w:trPr>
        <w:tc>
          <w:tcPr>
            <w:tcW w:w="9208" w:type="dxa"/>
            <w:gridSpan w:val="3"/>
            <w:tcBorders>
              <w:top w:val="nil"/>
            </w:tcBorders>
            <w:vAlign w:val="bottom"/>
          </w:tcPr>
          <w:p w:rsidR="00D724FA" w:rsidRPr="001B6256" w:rsidRDefault="00D724FA" w:rsidP="00A858D8">
            <w:pPr>
              <w:pStyle w:val="IASBTableTNR"/>
              <w:ind w:left="567" w:hanging="567"/>
              <w:rPr>
                <w:sz w:val="16"/>
                <w:szCs w:val="16"/>
              </w:rPr>
            </w:pPr>
            <w:r w:rsidRPr="001B6256">
              <w:rPr>
                <w:rStyle w:val="FootnoteReference"/>
                <w:sz w:val="16"/>
                <w:szCs w:val="16"/>
                <w:vertAlign w:val="baseline"/>
              </w:rPr>
              <w:t>(a)</w:t>
            </w:r>
            <w:r w:rsidRPr="001B6256">
              <w:rPr>
                <w:rStyle w:val="FootnoteReference"/>
                <w:sz w:val="16"/>
                <w:szCs w:val="16"/>
                <w:vertAlign w:val="baseline"/>
              </w:rPr>
              <w:tab/>
              <w:t>Parent's profit attributable to ordinary equity holders of the parent entity</w:t>
            </w:r>
          </w:p>
          <w:p w:rsidR="00D724FA" w:rsidRPr="001B6256" w:rsidRDefault="00D724FA" w:rsidP="00A858D8">
            <w:pPr>
              <w:pStyle w:val="IASBTableTNR"/>
              <w:ind w:left="567" w:hanging="567"/>
              <w:rPr>
                <w:sz w:val="16"/>
                <w:szCs w:val="16"/>
              </w:rPr>
            </w:pPr>
            <w:r w:rsidRPr="001B6256">
              <w:rPr>
                <w:rStyle w:val="FootnoteReference"/>
                <w:sz w:val="16"/>
                <w:szCs w:val="16"/>
                <w:vertAlign w:val="baseline"/>
              </w:rPr>
              <w:t>(b)</w:t>
            </w:r>
            <w:r w:rsidRPr="001B6256">
              <w:rPr>
                <w:rStyle w:val="FootnoteReference"/>
                <w:sz w:val="16"/>
                <w:szCs w:val="16"/>
                <w:vertAlign w:val="baseline"/>
              </w:rPr>
              <w:tab/>
              <w:t>Portion of subsidiary’s profit to be included in consolidated basic earnings per share, calculated: (800 × CU5.00) + (300 × CU1.00).</w:t>
            </w:r>
          </w:p>
          <w:p w:rsidR="00D724FA" w:rsidRPr="001B6256" w:rsidRDefault="00D724FA" w:rsidP="00A858D8">
            <w:pPr>
              <w:pStyle w:val="IASBTableTNR"/>
              <w:ind w:left="567" w:hanging="567"/>
              <w:rPr>
                <w:sz w:val="16"/>
                <w:szCs w:val="16"/>
              </w:rPr>
            </w:pPr>
            <w:r w:rsidRPr="001B6256">
              <w:rPr>
                <w:rStyle w:val="FootnoteReference"/>
                <w:sz w:val="16"/>
                <w:szCs w:val="16"/>
                <w:vertAlign w:val="baseline"/>
              </w:rPr>
              <w:t>(c)</w:t>
            </w:r>
            <w:r w:rsidRPr="001B6256">
              <w:rPr>
                <w:rStyle w:val="FootnoteReference"/>
                <w:sz w:val="16"/>
                <w:szCs w:val="16"/>
                <w:vertAlign w:val="baseline"/>
              </w:rPr>
              <w:tab/>
              <w:t>Parent’s ordinary shares outstanding.</w:t>
            </w:r>
          </w:p>
          <w:p w:rsidR="00D724FA" w:rsidRPr="001B6256" w:rsidRDefault="00D724FA" w:rsidP="00A858D8">
            <w:pPr>
              <w:pStyle w:val="IASBTableTNR"/>
              <w:ind w:left="567" w:hanging="567"/>
              <w:rPr>
                <w:sz w:val="16"/>
                <w:szCs w:val="16"/>
              </w:rPr>
            </w:pPr>
            <w:r w:rsidRPr="001B6256">
              <w:rPr>
                <w:sz w:val="16"/>
                <w:szCs w:val="16"/>
              </w:rPr>
              <w:t>(d</w:t>
            </w:r>
            <w:r w:rsidRPr="001B6256">
              <w:rPr>
                <w:rStyle w:val="FootnoteReference"/>
                <w:sz w:val="16"/>
                <w:szCs w:val="16"/>
                <w:vertAlign w:val="baseline"/>
              </w:rPr>
              <w:t>)</w:t>
            </w:r>
            <w:r w:rsidRPr="001B6256">
              <w:rPr>
                <w:rStyle w:val="FootnoteReference"/>
                <w:sz w:val="16"/>
                <w:szCs w:val="16"/>
                <w:vertAlign w:val="baseline"/>
              </w:rPr>
              <w:tab/>
              <w:t>Parent’s proportionate interest in subsidiary’s earnings attributable to ordinary shares, calculated: (800 ÷ 1,000) × (1,000 shares × CU3.66 per share).</w:t>
            </w:r>
          </w:p>
          <w:p w:rsidR="00D724FA" w:rsidRPr="001B6256" w:rsidRDefault="00D724FA" w:rsidP="00A858D8">
            <w:pPr>
              <w:pStyle w:val="IASBTableTNR"/>
              <w:ind w:left="567" w:hanging="567"/>
              <w:rPr>
                <w:sz w:val="16"/>
                <w:szCs w:val="16"/>
              </w:rPr>
            </w:pPr>
            <w:r w:rsidRPr="001B6256">
              <w:rPr>
                <w:rStyle w:val="FootnoteReference"/>
                <w:sz w:val="16"/>
                <w:szCs w:val="16"/>
                <w:vertAlign w:val="baseline"/>
              </w:rPr>
              <w:t>(e)</w:t>
            </w:r>
            <w:r w:rsidRPr="001B6256">
              <w:rPr>
                <w:rStyle w:val="FootnoteReference"/>
                <w:sz w:val="16"/>
                <w:szCs w:val="16"/>
                <w:vertAlign w:val="baseline"/>
              </w:rPr>
              <w:tab/>
              <w:t>Parent’s proportionate interest in subsidiary’s earnings attributable to warrants, calculated: (30 ÷ 150) × (75 incremental shares × CU3.66 per share).</w:t>
            </w:r>
          </w:p>
          <w:p w:rsidR="00D724FA" w:rsidRDefault="00D724FA" w:rsidP="00A858D8">
            <w:pPr>
              <w:pStyle w:val="IASBTableTNR"/>
              <w:ind w:left="567" w:hanging="567"/>
            </w:pPr>
            <w:r w:rsidRPr="001B6256">
              <w:rPr>
                <w:rStyle w:val="FootnoteReference"/>
                <w:sz w:val="16"/>
                <w:szCs w:val="16"/>
                <w:vertAlign w:val="baseline"/>
              </w:rPr>
              <w:t>(f)</w:t>
            </w:r>
            <w:r w:rsidRPr="001B6256">
              <w:rPr>
                <w:rStyle w:val="FootnoteReference"/>
                <w:sz w:val="16"/>
                <w:szCs w:val="16"/>
                <w:vertAlign w:val="baseline"/>
              </w:rPr>
              <w:tab/>
              <w:t>Parent’s proportionate interest in subsidiary’s earnings attributable to convertible preference shares, calculated: (300 ÷ 400) × (400 shares from conversion × CU3.66 per share).</w:t>
            </w:r>
          </w:p>
        </w:tc>
      </w:tr>
    </w:tbl>
    <w:p w:rsidR="00F609F6" w:rsidRDefault="00F609F6" w:rsidP="00F609F6">
      <w:pPr>
        <w:pStyle w:val="IASBNormalnpara"/>
      </w:pPr>
    </w:p>
    <w:p w:rsidR="00D724FA" w:rsidRDefault="00D724FA" w:rsidP="00D724FA">
      <w:pPr>
        <w:pStyle w:val="IASBSectionTitle1NonInd"/>
      </w:pPr>
      <w:r>
        <w:t>Example 11 Participating equity instruments and two-class ordinary shares</w:t>
      </w:r>
      <w:r w:rsidRPr="00592251">
        <w:rPr>
          <w:rStyle w:val="FootnoteReference"/>
        </w:rPr>
        <w:footnoteReference w:id="5"/>
      </w:r>
    </w:p>
    <w:p w:rsidR="00D724FA" w:rsidRDefault="00D724FA" w:rsidP="00D724FA">
      <w:pPr>
        <w:pStyle w:val="IASBNormal"/>
      </w:pPr>
      <w:r>
        <w:rPr>
          <w:b/>
        </w:rPr>
        <w:t>Reference:</w:t>
      </w:r>
      <w:r w:rsidR="00725E14">
        <w:rPr>
          <w:b/>
        </w:rPr>
        <w:t xml:space="preserve"> AASB 133</w:t>
      </w:r>
      <w:r>
        <w:rPr>
          <w:b/>
        </w:rPr>
        <w:t>, paragraphs A13 and A14</w:t>
      </w:r>
    </w:p>
    <w:tbl>
      <w:tblPr>
        <w:tblW w:w="0" w:type="auto"/>
        <w:tblLayout w:type="fixed"/>
        <w:tblLook w:val="0000" w:firstRow="0" w:lastRow="0" w:firstColumn="0" w:lastColumn="0" w:noHBand="0" w:noVBand="0"/>
        <w:tblCaption w:val="AASB 133 Table 24"/>
      </w:tblPr>
      <w:tblGrid>
        <w:gridCol w:w="4203"/>
        <w:gridCol w:w="1365"/>
        <w:gridCol w:w="455"/>
        <w:gridCol w:w="1365"/>
        <w:gridCol w:w="455"/>
        <w:gridCol w:w="1365"/>
      </w:tblGrid>
      <w:tr w:rsidR="00D724FA" w:rsidTr="00A858D8">
        <w:trPr>
          <w:cantSplit/>
        </w:trPr>
        <w:tc>
          <w:tcPr>
            <w:tcW w:w="4203" w:type="dxa"/>
            <w:vAlign w:val="bottom"/>
          </w:tcPr>
          <w:p w:rsidR="00D724FA" w:rsidRDefault="00D724FA" w:rsidP="00A858D8">
            <w:pPr>
              <w:pStyle w:val="IASBTableArial"/>
            </w:pPr>
            <w:r>
              <w:t>Profit attributable to equity holders of the parent entity</w:t>
            </w:r>
          </w:p>
        </w:tc>
        <w:tc>
          <w:tcPr>
            <w:tcW w:w="1820" w:type="dxa"/>
            <w:gridSpan w:val="2"/>
            <w:tcBorders>
              <w:left w:val="nil"/>
            </w:tcBorders>
            <w:vAlign w:val="bottom"/>
          </w:tcPr>
          <w:p w:rsidR="00D724FA" w:rsidRDefault="00D724FA" w:rsidP="00A858D8">
            <w:pPr>
              <w:pStyle w:val="IASBTableArial"/>
              <w:jc w:val="right"/>
            </w:pPr>
            <w:r>
              <w:t>CU100,000</w:t>
            </w:r>
          </w:p>
        </w:tc>
        <w:tc>
          <w:tcPr>
            <w:tcW w:w="1365" w:type="dxa"/>
            <w:tcBorders>
              <w:left w:val="nil"/>
            </w:tcBorders>
            <w:vAlign w:val="bottom"/>
          </w:tcPr>
          <w:p w:rsidR="00D724FA" w:rsidRDefault="00D724FA" w:rsidP="00A858D8">
            <w:pPr>
              <w:pStyle w:val="IASBTableArial"/>
            </w:pPr>
          </w:p>
        </w:tc>
        <w:tc>
          <w:tcPr>
            <w:tcW w:w="455" w:type="dxa"/>
            <w:tcBorders>
              <w:left w:val="nil"/>
            </w:tcBorders>
            <w:vAlign w:val="bottom"/>
          </w:tcPr>
          <w:p w:rsidR="00D724FA" w:rsidRDefault="00D724FA" w:rsidP="00A858D8">
            <w:pPr>
              <w:pStyle w:val="IASBTableArial"/>
            </w:pPr>
          </w:p>
        </w:tc>
        <w:tc>
          <w:tcPr>
            <w:tcW w:w="1365" w:type="dxa"/>
            <w:tcBorders>
              <w:left w:val="nil"/>
            </w:tcBorders>
            <w:vAlign w:val="bottom"/>
          </w:tcPr>
          <w:p w:rsidR="00D724FA" w:rsidRDefault="00D724FA" w:rsidP="00A858D8">
            <w:pPr>
              <w:pStyle w:val="IASBTableArial"/>
            </w:pPr>
          </w:p>
        </w:tc>
      </w:tr>
      <w:tr w:rsidR="00D724FA" w:rsidTr="00A858D8">
        <w:trPr>
          <w:cantSplit/>
        </w:trPr>
        <w:tc>
          <w:tcPr>
            <w:tcW w:w="4203" w:type="dxa"/>
            <w:tcBorders>
              <w:top w:val="nil"/>
            </w:tcBorders>
            <w:vAlign w:val="bottom"/>
          </w:tcPr>
          <w:p w:rsidR="00D724FA" w:rsidRDefault="00D724FA" w:rsidP="00A858D8">
            <w:pPr>
              <w:pStyle w:val="IASBTableArial"/>
            </w:pPr>
            <w:r>
              <w:t>Ordinary shares outstanding</w:t>
            </w:r>
          </w:p>
        </w:tc>
        <w:tc>
          <w:tcPr>
            <w:tcW w:w="1820" w:type="dxa"/>
            <w:gridSpan w:val="2"/>
            <w:tcBorders>
              <w:top w:val="nil"/>
              <w:left w:val="nil"/>
            </w:tcBorders>
            <w:vAlign w:val="bottom"/>
          </w:tcPr>
          <w:p w:rsidR="00D724FA" w:rsidRDefault="00D724FA" w:rsidP="00A858D8">
            <w:pPr>
              <w:pStyle w:val="IASBTableArial"/>
              <w:jc w:val="right"/>
            </w:pPr>
            <w:r>
              <w:t>10,000</w:t>
            </w:r>
          </w:p>
        </w:tc>
        <w:tc>
          <w:tcPr>
            <w:tcW w:w="1365" w:type="dxa"/>
            <w:tcBorders>
              <w:top w:val="nil"/>
              <w:left w:val="nil"/>
            </w:tcBorders>
            <w:vAlign w:val="bottom"/>
          </w:tcPr>
          <w:p w:rsidR="00D724FA" w:rsidRDefault="00D724FA" w:rsidP="00A858D8">
            <w:pPr>
              <w:pStyle w:val="IASBTableArial"/>
            </w:pPr>
          </w:p>
        </w:tc>
        <w:tc>
          <w:tcPr>
            <w:tcW w:w="455" w:type="dxa"/>
            <w:tcBorders>
              <w:top w:val="nil"/>
              <w:left w:val="nil"/>
            </w:tcBorders>
            <w:vAlign w:val="bottom"/>
          </w:tcPr>
          <w:p w:rsidR="00D724FA" w:rsidRDefault="00D724FA" w:rsidP="00A858D8">
            <w:pPr>
              <w:pStyle w:val="IASBTableArial"/>
            </w:pPr>
          </w:p>
        </w:tc>
        <w:tc>
          <w:tcPr>
            <w:tcW w:w="1365" w:type="dxa"/>
            <w:tcBorders>
              <w:top w:val="nil"/>
              <w:left w:val="nil"/>
            </w:tcBorders>
            <w:vAlign w:val="bottom"/>
          </w:tcPr>
          <w:p w:rsidR="00D724FA" w:rsidRDefault="00D724FA" w:rsidP="00A858D8">
            <w:pPr>
              <w:pStyle w:val="IASBTableArial"/>
            </w:pPr>
          </w:p>
        </w:tc>
      </w:tr>
      <w:tr w:rsidR="00D724FA" w:rsidTr="00A858D8">
        <w:trPr>
          <w:cantSplit/>
        </w:trPr>
        <w:tc>
          <w:tcPr>
            <w:tcW w:w="4203" w:type="dxa"/>
            <w:tcBorders>
              <w:top w:val="nil"/>
            </w:tcBorders>
            <w:vAlign w:val="bottom"/>
          </w:tcPr>
          <w:p w:rsidR="00D724FA" w:rsidRDefault="00D724FA" w:rsidP="00A858D8">
            <w:pPr>
              <w:pStyle w:val="IASBTableArial"/>
            </w:pPr>
            <w:r>
              <w:t>Non-convertible preference shares</w:t>
            </w:r>
          </w:p>
        </w:tc>
        <w:tc>
          <w:tcPr>
            <w:tcW w:w="1820" w:type="dxa"/>
            <w:gridSpan w:val="2"/>
            <w:tcBorders>
              <w:top w:val="nil"/>
              <w:left w:val="nil"/>
            </w:tcBorders>
            <w:vAlign w:val="bottom"/>
          </w:tcPr>
          <w:p w:rsidR="00D724FA" w:rsidRDefault="00D724FA" w:rsidP="00A858D8">
            <w:pPr>
              <w:pStyle w:val="IASBTableArial"/>
              <w:jc w:val="right"/>
            </w:pPr>
            <w:r>
              <w:t>6,000</w:t>
            </w:r>
          </w:p>
        </w:tc>
        <w:tc>
          <w:tcPr>
            <w:tcW w:w="1365" w:type="dxa"/>
            <w:tcBorders>
              <w:top w:val="nil"/>
              <w:left w:val="nil"/>
            </w:tcBorders>
            <w:vAlign w:val="bottom"/>
          </w:tcPr>
          <w:p w:rsidR="00D724FA" w:rsidRDefault="00D724FA" w:rsidP="00A858D8">
            <w:pPr>
              <w:pStyle w:val="IASBTableArial"/>
            </w:pPr>
          </w:p>
        </w:tc>
        <w:tc>
          <w:tcPr>
            <w:tcW w:w="455" w:type="dxa"/>
            <w:tcBorders>
              <w:top w:val="nil"/>
              <w:left w:val="nil"/>
            </w:tcBorders>
            <w:vAlign w:val="bottom"/>
          </w:tcPr>
          <w:p w:rsidR="00D724FA" w:rsidRDefault="00D724FA" w:rsidP="00A858D8">
            <w:pPr>
              <w:pStyle w:val="IASBTableArial"/>
            </w:pPr>
          </w:p>
        </w:tc>
        <w:tc>
          <w:tcPr>
            <w:tcW w:w="1365" w:type="dxa"/>
            <w:tcBorders>
              <w:top w:val="nil"/>
              <w:left w:val="nil"/>
            </w:tcBorders>
            <w:vAlign w:val="bottom"/>
          </w:tcPr>
          <w:p w:rsidR="00D724FA" w:rsidRDefault="00D724FA" w:rsidP="00A858D8">
            <w:pPr>
              <w:pStyle w:val="IASBTableArial"/>
            </w:pPr>
          </w:p>
        </w:tc>
      </w:tr>
      <w:tr w:rsidR="00D724FA" w:rsidTr="00A858D8">
        <w:trPr>
          <w:cantSplit/>
        </w:trPr>
        <w:tc>
          <w:tcPr>
            <w:tcW w:w="4203" w:type="dxa"/>
            <w:tcBorders>
              <w:top w:val="nil"/>
            </w:tcBorders>
            <w:vAlign w:val="bottom"/>
          </w:tcPr>
          <w:p w:rsidR="00D724FA" w:rsidRDefault="00D724FA" w:rsidP="00A858D8">
            <w:pPr>
              <w:pStyle w:val="IASBTableArial"/>
            </w:pPr>
            <w:r>
              <w:t>Non-cumulative annual dividend on preference shares (before any dividend is paid on ordinary shares)</w:t>
            </w:r>
          </w:p>
        </w:tc>
        <w:tc>
          <w:tcPr>
            <w:tcW w:w="1820" w:type="dxa"/>
            <w:gridSpan w:val="2"/>
            <w:tcBorders>
              <w:top w:val="nil"/>
              <w:left w:val="nil"/>
            </w:tcBorders>
            <w:vAlign w:val="bottom"/>
          </w:tcPr>
          <w:p w:rsidR="00D724FA" w:rsidRDefault="00D724FA" w:rsidP="00A858D8">
            <w:pPr>
              <w:pStyle w:val="IASBTableArial"/>
              <w:jc w:val="right"/>
            </w:pPr>
            <w:r>
              <w:t>CU5.50 per share</w:t>
            </w:r>
          </w:p>
        </w:tc>
        <w:tc>
          <w:tcPr>
            <w:tcW w:w="1365" w:type="dxa"/>
            <w:tcBorders>
              <w:top w:val="nil"/>
              <w:left w:val="nil"/>
            </w:tcBorders>
            <w:vAlign w:val="bottom"/>
          </w:tcPr>
          <w:p w:rsidR="00D724FA" w:rsidRDefault="00D724FA" w:rsidP="00A858D8">
            <w:pPr>
              <w:pStyle w:val="IASBTableArial"/>
            </w:pPr>
          </w:p>
        </w:tc>
        <w:tc>
          <w:tcPr>
            <w:tcW w:w="455" w:type="dxa"/>
            <w:tcBorders>
              <w:top w:val="nil"/>
              <w:left w:val="nil"/>
            </w:tcBorders>
            <w:vAlign w:val="bottom"/>
          </w:tcPr>
          <w:p w:rsidR="00D724FA" w:rsidRDefault="00D724FA" w:rsidP="00A858D8">
            <w:pPr>
              <w:pStyle w:val="IASBTableArial"/>
            </w:pPr>
          </w:p>
        </w:tc>
        <w:tc>
          <w:tcPr>
            <w:tcW w:w="1365" w:type="dxa"/>
            <w:tcBorders>
              <w:top w:val="nil"/>
              <w:left w:val="nil"/>
            </w:tcBorders>
            <w:vAlign w:val="bottom"/>
          </w:tcPr>
          <w:p w:rsidR="00D724FA" w:rsidRDefault="00D724FA" w:rsidP="00A858D8">
            <w:pPr>
              <w:pStyle w:val="IASBTableArial"/>
            </w:pPr>
          </w:p>
        </w:tc>
      </w:tr>
      <w:tr w:rsidR="00D724FA" w:rsidTr="00A858D8">
        <w:trPr>
          <w:cantSplit/>
        </w:trPr>
        <w:tc>
          <w:tcPr>
            <w:tcW w:w="9208" w:type="dxa"/>
            <w:gridSpan w:val="6"/>
            <w:tcBorders>
              <w:top w:val="nil"/>
            </w:tcBorders>
            <w:vAlign w:val="bottom"/>
          </w:tcPr>
          <w:p w:rsidR="00D724FA" w:rsidRDefault="00D724FA" w:rsidP="00A858D8">
            <w:pPr>
              <w:pStyle w:val="IASBTableTNR"/>
            </w:pPr>
            <w:r>
              <w:t>After ordinary shares have been paid a dividend of CU2.10 per share, the preference shares participate in any additional dividends on a 20:80 ratio with ordinary shares (</w:t>
            </w:r>
            <w:proofErr w:type="spellStart"/>
            <w:r>
              <w:t>ie</w:t>
            </w:r>
            <w:proofErr w:type="spellEnd"/>
            <w:r>
              <w:t xml:space="preserve"> after preference and ordinary shares have been paid dividends of CU5.50 and CU2.10 per share, respectively, preference shares participate in any additional dividends at a rate of one-fourth of the amount paid to ordinary shares on a per-share basis).</w:t>
            </w:r>
          </w:p>
        </w:tc>
      </w:tr>
      <w:tr w:rsidR="00D724FA" w:rsidTr="00A858D8">
        <w:trPr>
          <w:cantSplit/>
        </w:trPr>
        <w:tc>
          <w:tcPr>
            <w:tcW w:w="5568" w:type="dxa"/>
            <w:gridSpan w:val="2"/>
            <w:tcBorders>
              <w:top w:val="nil"/>
            </w:tcBorders>
          </w:tcPr>
          <w:p w:rsidR="00D724FA" w:rsidRDefault="00D724FA" w:rsidP="00A858D8">
            <w:pPr>
              <w:pStyle w:val="IASBTableArial"/>
            </w:pPr>
            <w:r>
              <w:t>Dividends on preference shares paid</w:t>
            </w:r>
          </w:p>
        </w:tc>
        <w:tc>
          <w:tcPr>
            <w:tcW w:w="455" w:type="dxa"/>
            <w:tcBorders>
              <w:top w:val="nil"/>
              <w:left w:val="nil"/>
            </w:tcBorders>
            <w:vAlign w:val="bottom"/>
          </w:tcPr>
          <w:p w:rsidR="00D724FA" w:rsidRDefault="00D724FA" w:rsidP="00A858D8">
            <w:pPr>
              <w:pStyle w:val="IASBTableArial"/>
            </w:pPr>
          </w:p>
        </w:tc>
        <w:tc>
          <w:tcPr>
            <w:tcW w:w="1365" w:type="dxa"/>
            <w:tcBorders>
              <w:top w:val="nil"/>
              <w:left w:val="nil"/>
            </w:tcBorders>
          </w:tcPr>
          <w:p w:rsidR="00D724FA" w:rsidRDefault="00D724FA" w:rsidP="00A858D8">
            <w:pPr>
              <w:pStyle w:val="IASBTableArial"/>
              <w:jc w:val="right"/>
            </w:pPr>
            <w:r>
              <w:t>CU33,000</w:t>
            </w:r>
          </w:p>
        </w:tc>
        <w:tc>
          <w:tcPr>
            <w:tcW w:w="455" w:type="dxa"/>
            <w:tcBorders>
              <w:top w:val="nil"/>
              <w:left w:val="nil"/>
            </w:tcBorders>
            <w:vAlign w:val="bottom"/>
          </w:tcPr>
          <w:p w:rsidR="00D724FA" w:rsidRDefault="00D724FA" w:rsidP="00A858D8">
            <w:pPr>
              <w:pStyle w:val="IASBTableArial"/>
            </w:pPr>
          </w:p>
        </w:tc>
        <w:tc>
          <w:tcPr>
            <w:tcW w:w="1365" w:type="dxa"/>
            <w:tcBorders>
              <w:top w:val="nil"/>
              <w:left w:val="nil"/>
            </w:tcBorders>
            <w:vAlign w:val="bottom"/>
          </w:tcPr>
          <w:p w:rsidR="00D724FA" w:rsidRDefault="00D724FA" w:rsidP="00A858D8">
            <w:pPr>
              <w:pStyle w:val="IASBTableArial"/>
              <w:jc w:val="right"/>
            </w:pPr>
            <w:r>
              <w:t>(CU5.50</w:t>
            </w:r>
            <w:r>
              <w:br/>
              <w:t>per share)</w:t>
            </w:r>
          </w:p>
        </w:tc>
      </w:tr>
      <w:tr w:rsidR="00D724FA" w:rsidTr="00A858D8">
        <w:trPr>
          <w:cantSplit/>
        </w:trPr>
        <w:tc>
          <w:tcPr>
            <w:tcW w:w="5568" w:type="dxa"/>
            <w:gridSpan w:val="2"/>
            <w:tcBorders>
              <w:top w:val="nil"/>
            </w:tcBorders>
          </w:tcPr>
          <w:p w:rsidR="00D724FA" w:rsidRDefault="00D724FA" w:rsidP="00A858D8">
            <w:pPr>
              <w:pStyle w:val="IASBTableArial"/>
            </w:pPr>
            <w:r>
              <w:t>Dividends on ordinary shares paid</w:t>
            </w:r>
          </w:p>
        </w:tc>
        <w:tc>
          <w:tcPr>
            <w:tcW w:w="455" w:type="dxa"/>
            <w:tcBorders>
              <w:top w:val="nil"/>
              <w:left w:val="nil"/>
            </w:tcBorders>
            <w:vAlign w:val="bottom"/>
          </w:tcPr>
          <w:p w:rsidR="00D724FA" w:rsidRDefault="00D724FA" w:rsidP="00A858D8">
            <w:pPr>
              <w:pStyle w:val="IASBTableArial"/>
            </w:pPr>
          </w:p>
        </w:tc>
        <w:tc>
          <w:tcPr>
            <w:tcW w:w="1365" w:type="dxa"/>
            <w:tcBorders>
              <w:top w:val="nil"/>
              <w:left w:val="nil"/>
            </w:tcBorders>
          </w:tcPr>
          <w:p w:rsidR="00D724FA" w:rsidRDefault="00D724FA" w:rsidP="00A858D8">
            <w:pPr>
              <w:pStyle w:val="IASBTableArial"/>
              <w:jc w:val="right"/>
            </w:pPr>
            <w:r>
              <w:t>CU21,000</w:t>
            </w:r>
          </w:p>
        </w:tc>
        <w:tc>
          <w:tcPr>
            <w:tcW w:w="455" w:type="dxa"/>
            <w:tcBorders>
              <w:top w:val="nil"/>
              <w:left w:val="nil"/>
            </w:tcBorders>
            <w:vAlign w:val="bottom"/>
          </w:tcPr>
          <w:p w:rsidR="00D724FA" w:rsidRDefault="00D724FA" w:rsidP="00A858D8">
            <w:pPr>
              <w:pStyle w:val="IASBTableArial"/>
            </w:pPr>
          </w:p>
        </w:tc>
        <w:tc>
          <w:tcPr>
            <w:tcW w:w="1365" w:type="dxa"/>
            <w:tcBorders>
              <w:top w:val="nil"/>
              <w:left w:val="nil"/>
            </w:tcBorders>
            <w:vAlign w:val="bottom"/>
          </w:tcPr>
          <w:p w:rsidR="00D724FA" w:rsidRDefault="00D724FA" w:rsidP="00A858D8">
            <w:pPr>
              <w:pStyle w:val="IASBTableArial"/>
              <w:jc w:val="right"/>
            </w:pPr>
            <w:r>
              <w:t>(CU2.10</w:t>
            </w:r>
            <w:r>
              <w:br/>
              <w:t>per share)</w:t>
            </w:r>
          </w:p>
        </w:tc>
      </w:tr>
      <w:tr w:rsidR="00D724FA" w:rsidTr="00A858D8">
        <w:trPr>
          <w:cantSplit/>
        </w:trPr>
        <w:tc>
          <w:tcPr>
            <w:tcW w:w="9208" w:type="dxa"/>
            <w:gridSpan w:val="6"/>
            <w:tcBorders>
              <w:top w:val="nil"/>
            </w:tcBorders>
            <w:vAlign w:val="bottom"/>
          </w:tcPr>
          <w:p w:rsidR="00D724FA" w:rsidRDefault="00D724FA" w:rsidP="00A858D8">
            <w:pPr>
              <w:pStyle w:val="IASBTableArial"/>
            </w:pPr>
            <w:r>
              <w:rPr>
                <w:b/>
              </w:rPr>
              <w:t>Basic earnings per share is calculated as follows:</w:t>
            </w:r>
          </w:p>
        </w:tc>
      </w:tr>
      <w:tr w:rsidR="00D724FA" w:rsidTr="00A858D8">
        <w:trPr>
          <w:cantSplit/>
        </w:trPr>
        <w:tc>
          <w:tcPr>
            <w:tcW w:w="5568" w:type="dxa"/>
            <w:gridSpan w:val="2"/>
            <w:tcBorders>
              <w:top w:val="nil"/>
            </w:tcBorders>
            <w:vAlign w:val="bottom"/>
          </w:tcPr>
          <w:p w:rsidR="00D724FA" w:rsidRDefault="00D724FA" w:rsidP="00A858D8">
            <w:pPr>
              <w:pStyle w:val="IASBTableArial"/>
            </w:pPr>
          </w:p>
        </w:tc>
        <w:tc>
          <w:tcPr>
            <w:tcW w:w="455" w:type="dxa"/>
            <w:tcBorders>
              <w:top w:val="nil"/>
              <w:left w:val="nil"/>
            </w:tcBorders>
            <w:vAlign w:val="bottom"/>
          </w:tcPr>
          <w:p w:rsidR="00D724FA" w:rsidRDefault="00D724FA" w:rsidP="00A858D8">
            <w:pPr>
              <w:pStyle w:val="IASBTableArial"/>
            </w:pPr>
          </w:p>
        </w:tc>
        <w:tc>
          <w:tcPr>
            <w:tcW w:w="1365" w:type="dxa"/>
            <w:tcBorders>
              <w:top w:val="nil"/>
              <w:left w:val="nil"/>
            </w:tcBorders>
            <w:vAlign w:val="bottom"/>
          </w:tcPr>
          <w:p w:rsidR="00D724FA" w:rsidRDefault="00D724FA" w:rsidP="00A858D8">
            <w:pPr>
              <w:pStyle w:val="IASBTableArial"/>
              <w:jc w:val="right"/>
            </w:pPr>
            <w:r>
              <w:rPr>
                <w:u w:val="single"/>
              </w:rPr>
              <w:t>CU</w:t>
            </w:r>
          </w:p>
        </w:tc>
        <w:tc>
          <w:tcPr>
            <w:tcW w:w="455" w:type="dxa"/>
            <w:tcBorders>
              <w:top w:val="nil"/>
              <w:left w:val="nil"/>
            </w:tcBorders>
            <w:vAlign w:val="bottom"/>
          </w:tcPr>
          <w:p w:rsidR="00D724FA" w:rsidRDefault="00D724FA" w:rsidP="00A858D8">
            <w:pPr>
              <w:pStyle w:val="IASBTableArial"/>
            </w:pPr>
          </w:p>
        </w:tc>
        <w:tc>
          <w:tcPr>
            <w:tcW w:w="1365" w:type="dxa"/>
            <w:tcBorders>
              <w:top w:val="nil"/>
              <w:left w:val="nil"/>
            </w:tcBorders>
            <w:vAlign w:val="bottom"/>
          </w:tcPr>
          <w:p w:rsidR="00D724FA" w:rsidRDefault="00D724FA" w:rsidP="00A858D8">
            <w:pPr>
              <w:pStyle w:val="IASBTableArial"/>
              <w:jc w:val="right"/>
            </w:pPr>
            <w:r>
              <w:rPr>
                <w:u w:val="single"/>
              </w:rPr>
              <w:t>CU</w:t>
            </w:r>
          </w:p>
        </w:tc>
      </w:tr>
      <w:tr w:rsidR="00D724FA" w:rsidTr="00A858D8">
        <w:trPr>
          <w:cantSplit/>
        </w:trPr>
        <w:tc>
          <w:tcPr>
            <w:tcW w:w="5568" w:type="dxa"/>
            <w:gridSpan w:val="2"/>
            <w:tcBorders>
              <w:top w:val="nil"/>
            </w:tcBorders>
            <w:vAlign w:val="bottom"/>
          </w:tcPr>
          <w:p w:rsidR="00D724FA" w:rsidRDefault="00D724FA" w:rsidP="00A858D8">
            <w:pPr>
              <w:pStyle w:val="IASBTableArial"/>
            </w:pPr>
            <w:r>
              <w:t>Profit attributable to equity holders of the parent entity</w:t>
            </w:r>
          </w:p>
        </w:tc>
        <w:tc>
          <w:tcPr>
            <w:tcW w:w="455" w:type="dxa"/>
            <w:tcBorders>
              <w:top w:val="nil"/>
              <w:left w:val="nil"/>
            </w:tcBorders>
            <w:vAlign w:val="bottom"/>
          </w:tcPr>
          <w:p w:rsidR="00D724FA" w:rsidRDefault="00D724FA" w:rsidP="00A858D8">
            <w:pPr>
              <w:pStyle w:val="IASBTableArial"/>
            </w:pPr>
          </w:p>
        </w:tc>
        <w:tc>
          <w:tcPr>
            <w:tcW w:w="1365" w:type="dxa"/>
            <w:tcBorders>
              <w:top w:val="nil"/>
              <w:left w:val="nil"/>
            </w:tcBorders>
            <w:vAlign w:val="center"/>
          </w:tcPr>
          <w:p w:rsidR="00D724FA" w:rsidRDefault="00D724FA" w:rsidP="00A858D8">
            <w:pPr>
              <w:pStyle w:val="IASBTableArial"/>
            </w:pPr>
          </w:p>
        </w:tc>
        <w:tc>
          <w:tcPr>
            <w:tcW w:w="455" w:type="dxa"/>
            <w:tcBorders>
              <w:top w:val="nil"/>
              <w:left w:val="nil"/>
            </w:tcBorders>
            <w:vAlign w:val="bottom"/>
          </w:tcPr>
          <w:p w:rsidR="00D724FA" w:rsidRDefault="00D724FA" w:rsidP="00A858D8">
            <w:pPr>
              <w:pStyle w:val="IASBTableArial"/>
            </w:pPr>
          </w:p>
        </w:tc>
        <w:tc>
          <w:tcPr>
            <w:tcW w:w="1365" w:type="dxa"/>
            <w:tcBorders>
              <w:top w:val="nil"/>
              <w:left w:val="nil"/>
            </w:tcBorders>
            <w:vAlign w:val="bottom"/>
          </w:tcPr>
          <w:p w:rsidR="00D724FA" w:rsidRDefault="00D724FA" w:rsidP="00A858D8">
            <w:pPr>
              <w:pStyle w:val="IASBTableArial"/>
              <w:jc w:val="right"/>
            </w:pPr>
            <w:r>
              <w:t>100,000</w:t>
            </w:r>
          </w:p>
        </w:tc>
      </w:tr>
      <w:tr w:rsidR="00D724FA" w:rsidTr="00A858D8">
        <w:trPr>
          <w:cantSplit/>
        </w:trPr>
        <w:tc>
          <w:tcPr>
            <w:tcW w:w="5568" w:type="dxa"/>
            <w:gridSpan w:val="2"/>
            <w:tcBorders>
              <w:top w:val="nil"/>
            </w:tcBorders>
            <w:vAlign w:val="bottom"/>
          </w:tcPr>
          <w:p w:rsidR="00D724FA" w:rsidRDefault="00D724FA" w:rsidP="00A858D8">
            <w:pPr>
              <w:pStyle w:val="IASBTableArial"/>
            </w:pPr>
            <w:r>
              <w:t>Less dividends paid:</w:t>
            </w:r>
          </w:p>
        </w:tc>
        <w:tc>
          <w:tcPr>
            <w:tcW w:w="455" w:type="dxa"/>
            <w:tcBorders>
              <w:top w:val="nil"/>
              <w:left w:val="nil"/>
            </w:tcBorders>
            <w:vAlign w:val="bottom"/>
          </w:tcPr>
          <w:p w:rsidR="00D724FA" w:rsidRDefault="00D724FA" w:rsidP="00A858D8">
            <w:pPr>
              <w:pStyle w:val="IASBTableArial"/>
            </w:pPr>
          </w:p>
        </w:tc>
        <w:tc>
          <w:tcPr>
            <w:tcW w:w="1365" w:type="dxa"/>
            <w:tcBorders>
              <w:top w:val="nil"/>
              <w:left w:val="nil"/>
            </w:tcBorders>
            <w:vAlign w:val="center"/>
          </w:tcPr>
          <w:p w:rsidR="00D724FA" w:rsidRDefault="00D724FA" w:rsidP="00A858D8">
            <w:pPr>
              <w:pStyle w:val="IASBTableArial"/>
            </w:pPr>
          </w:p>
        </w:tc>
        <w:tc>
          <w:tcPr>
            <w:tcW w:w="455" w:type="dxa"/>
            <w:tcBorders>
              <w:top w:val="nil"/>
              <w:left w:val="nil"/>
            </w:tcBorders>
            <w:vAlign w:val="bottom"/>
          </w:tcPr>
          <w:p w:rsidR="00D724FA" w:rsidRDefault="00D724FA" w:rsidP="00A858D8">
            <w:pPr>
              <w:pStyle w:val="IASBTableArial"/>
            </w:pPr>
          </w:p>
        </w:tc>
        <w:tc>
          <w:tcPr>
            <w:tcW w:w="1365" w:type="dxa"/>
            <w:tcBorders>
              <w:top w:val="nil"/>
              <w:left w:val="nil"/>
            </w:tcBorders>
            <w:vAlign w:val="bottom"/>
          </w:tcPr>
          <w:p w:rsidR="00D724FA" w:rsidRDefault="00D724FA" w:rsidP="00A858D8">
            <w:pPr>
              <w:pStyle w:val="IASBTableArial"/>
            </w:pPr>
          </w:p>
        </w:tc>
      </w:tr>
      <w:tr w:rsidR="00D724FA" w:rsidTr="00A858D8">
        <w:trPr>
          <w:cantSplit/>
        </w:trPr>
        <w:tc>
          <w:tcPr>
            <w:tcW w:w="4203" w:type="dxa"/>
            <w:tcBorders>
              <w:top w:val="nil"/>
            </w:tcBorders>
            <w:vAlign w:val="bottom"/>
          </w:tcPr>
          <w:p w:rsidR="00D724FA" w:rsidRDefault="00D724FA" w:rsidP="00A858D8">
            <w:pPr>
              <w:pStyle w:val="IASBTableArial"/>
            </w:pPr>
            <w:r>
              <w:t> </w:t>
            </w:r>
            <w:r>
              <w:t>Preference</w:t>
            </w:r>
          </w:p>
        </w:tc>
        <w:tc>
          <w:tcPr>
            <w:tcW w:w="1365" w:type="dxa"/>
            <w:tcBorders>
              <w:top w:val="nil"/>
              <w:left w:val="nil"/>
            </w:tcBorders>
            <w:vAlign w:val="bottom"/>
          </w:tcPr>
          <w:p w:rsidR="00D724FA" w:rsidRDefault="00D724FA" w:rsidP="00A858D8">
            <w:pPr>
              <w:pStyle w:val="IASBTableArial"/>
            </w:pPr>
          </w:p>
        </w:tc>
        <w:tc>
          <w:tcPr>
            <w:tcW w:w="455" w:type="dxa"/>
            <w:tcBorders>
              <w:top w:val="nil"/>
              <w:left w:val="nil"/>
            </w:tcBorders>
            <w:vAlign w:val="bottom"/>
          </w:tcPr>
          <w:p w:rsidR="00D724FA" w:rsidRDefault="00D724FA" w:rsidP="00A858D8">
            <w:pPr>
              <w:pStyle w:val="IASBTableArial"/>
            </w:pPr>
          </w:p>
        </w:tc>
        <w:tc>
          <w:tcPr>
            <w:tcW w:w="1365" w:type="dxa"/>
            <w:tcBorders>
              <w:top w:val="nil"/>
              <w:left w:val="nil"/>
            </w:tcBorders>
            <w:vAlign w:val="bottom"/>
          </w:tcPr>
          <w:p w:rsidR="00D724FA" w:rsidRDefault="00D724FA" w:rsidP="00A858D8">
            <w:pPr>
              <w:pStyle w:val="IASBTableArial"/>
              <w:jc w:val="right"/>
            </w:pPr>
            <w:r>
              <w:t>33,000</w:t>
            </w:r>
          </w:p>
        </w:tc>
        <w:tc>
          <w:tcPr>
            <w:tcW w:w="455" w:type="dxa"/>
            <w:tcBorders>
              <w:top w:val="nil"/>
              <w:left w:val="nil"/>
            </w:tcBorders>
            <w:vAlign w:val="bottom"/>
          </w:tcPr>
          <w:p w:rsidR="00D724FA" w:rsidRDefault="00D724FA" w:rsidP="00A858D8">
            <w:pPr>
              <w:pStyle w:val="IASBTableArial"/>
            </w:pPr>
          </w:p>
        </w:tc>
        <w:tc>
          <w:tcPr>
            <w:tcW w:w="1365" w:type="dxa"/>
            <w:tcBorders>
              <w:top w:val="nil"/>
              <w:left w:val="nil"/>
            </w:tcBorders>
            <w:vAlign w:val="bottom"/>
          </w:tcPr>
          <w:p w:rsidR="00D724FA" w:rsidRDefault="00D724FA" w:rsidP="00A858D8">
            <w:pPr>
              <w:pStyle w:val="IASBTableArial"/>
            </w:pPr>
          </w:p>
        </w:tc>
      </w:tr>
      <w:tr w:rsidR="00D724FA" w:rsidTr="00A858D8">
        <w:trPr>
          <w:cantSplit/>
        </w:trPr>
        <w:tc>
          <w:tcPr>
            <w:tcW w:w="4203" w:type="dxa"/>
            <w:tcBorders>
              <w:top w:val="nil"/>
            </w:tcBorders>
            <w:vAlign w:val="bottom"/>
          </w:tcPr>
          <w:p w:rsidR="00D724FA" w:rsidRDefault="00D724FA" w:rsidP="00A858D8">
            <w:pPr>
              <w:pStyle w:val="IASBTableArial"/>
            </w:pPr>
            <w:r>
              <w:t> </w:t>
            </w:r>
            <w:r>
              <w:t>Ordinary</w:t>
            </w:r>
          </w:p>
        </w:tc>
        <w:tc>
          <w:tcPr>
            <w:tcW w:w="1365" w:type="dxa"/>
            <w:tcBorders>
              <w:top w:val="nil"/>
              <w:left w:val="nil"/>
            </w:tcBorders>
            <w:vAlign w:val="bottom"/>
          </w:tcPr>
          <w:p w:rsidR="00D724FA" w:rsidRDefault="00D724FA" w:rsidP="00A858D8">
            <w:pPr>
              <w:pStyle w:val="IASBTableArial"/>
            </w:pPr>
          </w:p>
        </w:tc>
        <w:tc>
          <w:tcPr>
            <w:tcW w:w="455" w:type="dxa"/>
            <w:tcBorders>
              <w:top w:val="nil"/>
              <w:left w:val="nil"/>
            </w:tcBorders>
            <w:vAlign w:val="bottom"/>
          </w:tcPr>
          <w:p w:rsidR="00D724FA" w:rsidRDefault="00D724FA" w:rsidP="00A858D8">
            <w:pPr>
              <w:pStyle w:val="IASBTableArial"/>
            </w:pPr>
          </w:p>
        </w:tc>
        <w:tc>
          <w:tcPr>
            <w:tcW w:w="1365" w:type="dxa"/>
            <w:tcBorders>
              <w:top w:val="nil"/>
              <w:left w:val="nil"/>
              <w:bottom w:val="single" w:sz="4" w:space="0" w:color="auto"/>
            </w:tcBorders>
            <w:vAlign w:val="bottom"/>
          </w:tcPr>
          <w:p w:rsidR="00D724FA" w:rsidRDefault="00D724FA" w:rsidP="00A858D8">
            <w:pPr>
              <w:pStyle w:val="IASBTableArial"/>
              <w:jc w:val="right"/>
            </w:pPr>
            <w:r>
              <w:t>21,000</w:t>
            </w:r>
          </w:p>
        </w:tc>
        <w:tc>
          <w:tcPr>
            <w:tcW w:w="455" w:type="dxa"/>
            <w:tcBorders>
              <w:top w:val="nil"/>
              <w:left w:val="nil"/>
            </w:tcBorders>
            <w:vAlign w:val="bottom"/>
          </w:tcPr>
          <w:p w:rsidR="00D724FA" w:rsidRDefault="00D724FA" w:rsidP="00A858D8">
            <w:pPr>
              <w:pStyle w:val="IASBTableArial"/>
            </w:pPr>
          </w:p>
        </w:tc>
        <w:tc>
          <w:tcPr>
            <w:tcW w:w="1365" w:type="dxa"/>
            <w:tcBorders>
              <w:top w:val="nil"/>
              <w:left w:val="nil"/>
            </w:tcBorders>
            <w:vAlign w:val="bottom"/>
          </w:tcPr>
          <w:p w:rsidR="00D724FA" w:rsidRDefault="00D724FA" w:rsidP="00A858D8">
            <w:pPr>
              <w:pStyle w:val="IASBTableArial"/>
            </w:pPr>
          </w:p>
        </w:tc>
      </w:tr>
      <w:tr w:rsidR="00D724FA" w:rsidTr="00A858D8">
        <w:trPr>
          <w:cantSplit/>
        </w:trPr>
        <w:tc>
          <w:tcPr>
            <w:tcW w:w="4203" w:type="dxa"/>
            <w:tcBorders>
              <w:top w:val="nil"/>
            </w:tcBorders>
            <w:vAlign w:val="bottom"/>
          </w:tcPr>
          <w:p w:rsidR="00D724FA" w:rsidRDefault="00D724FA" w:rsidP="00A858D8">
            <w:pPr>
              <w:pStyle w:val="IASBTableArial"/>
            </w:pPr>
          </w:p>
        </w:tc>
        <w:tc>
          <w:tcPr>
            <w:tcW w:w="1365" w:type="dxa"/>
            <w:tcBorders>
              <w:top w:val="nil"/>
              <w:left w:val="nil"/>
            </w:tcBorders>
            <w:vAlign w:val="bottom"/>
          </w:tcPr>
          <w:p w:rsidR="00D724FA" w:rsidRDefault="00D724FA" w:rsidP="00A858D8">
            <w:pPr>
              <w:pStyle w:val="IASBTableArial"/>
            </w:pPr>
          </w:p>
        </w:tc>
        <w:tc>
          <w:tcPr>
            <w:tcW w:w="455" w:type="dxa"/>
            <w:tcBorders>
              <w:top w:val="nil"/>
              <w:left w:val="nil"/>
            </w:tcBorders>
            <w:vAlign w:val="bottom"/>
          </w:tcPr>
          <w:p w:rsidR="00D724FA" w:rsidRDefault="00D724FA" w:rsidP="00A858D8">
            <w:pPr>
              <w:pStyle w:val="IASBTableArial"/>
            </w:pPr>
          </w:p>
        </w:tc>
        <w:tc>
          <w:tcPr>
            <w:tcW w:w="1365" w:type="dxa"/>
            <w:tcBorders>
              <w:top w:val="nil"/>
              <w:left w:val="nil"/>
            </w:tcBorders>
            <w:vAlign w:val="bottom"/>
          </w:tcPr>
          <w:p w:rsidR="00D724FA" w:rsidRDefault="00D724FA" w:rsidP="00A858D8">
            <w:pPr>
              <w:pStyle w:val="IASBTableArial"/>
            </w:pPr>
          </w:p>
        </w:tc>
        <w:tc>
          <w:tcPr>
            <w:tcW w:w="455" w:type="dxa"/>
            <w:tcBorders>
              <w:top w:val="nil"/>
              <w:left w:val="nil"/>
            </w:tcBorders>
            <w:vAlign w:val="bottom"/>
          </w:tcPr>
          <w:p w:rsidR="00D724FA" w:rsidRDefault="00D724FA" w:rsidP="00A858D8">
            <w:pPr>
              <w:pStyle w:val="IASBTableArial"/>
            </w:pPr>
          </w:p>
        </w:tc>
        <w:tc>
          <w:tcPr>
            <w:tcW w:w="1365" w:type="dxa"/>
            <w:tcBorders>
              <w:top w:val="nil"/>
              <w:left w:val="nil"/>
              <w:bottom w:val="single" w:sz="4" w:space="0" w:color="auto"/>
            </w:tcBorders>
            <w:vAlign w:val="bottom"/>
          </w:tcPr>
          <w:p w:rsidR="00D724FA" w:rsidRDefault="00D724FA" w:rsidP="00A858D8">
            <w:pPr>
              <w:pStyle w:val="IASBTableArial"/>
              <w:jc w:val="right"/>
            </w:pPr>
            <w:r>
              <w:t>(54,000)</w:t>
            </w:r>
          </w:p>
        </w:tc>
      </w:tr>
      <w:tr w:rsidR="00D724FA" w:rsidTr="00A858D8">
        <w:trPr>
          <w:cantSplit/>
        </w:trPr>
        <w:tc>
          <w:tcPr>
            <w:tcW w:w="4203" w:type="dxa"/>
            <w:tcBorders>
              <w:top w:val="nil"/>
            </w:tcBorders>
            <w:vAlign w:val="bottom"/>
          </w:tcPr>
          <w:p w:rsidR="00D724FA" w:rsidRDefault="00D724FA" w:rsidP="00A858D8">
            <w:pPr>
              <w:pStyle w:val="IASBTableArial"/>
            </w:pPr>
            <w:r>
              <w:t>Undistributed earnings</w:t>
            </w:r>
          </w:p>
        </w:tc>
        <w:tc>
          <w:tcPr>
            <w:tcW w:w="1365" w:type="dxa"/>
            <w:tcBorders>
              <w:top w:val="nil"/>
              <w:left w:val="nil"/>
            </w:tcBorders>
            <w:vAlign w:val="bottom"/>
          </w:tcPr>
          <w:p w:rsidR="00D724FA" w:rsidRDefault="00D724FA" w:rsidP="00A858D8">
            <w:pPr>
              <w:pStyle w:val="IASBTableArial"/>
            </w:pPr>
          </w:p>
        </w:tc>
        <w:tc>
          <w:tcPr>
            <w:tcW w:w="455" w:type="dxa"/>
            <w:tcBorders>
              <w:top w:val="nil"/>
              <w:left w:val="nil"/>
            </w:tcBorders>
            <w:vAlign w:val="bottom"/>
          </w:tcPr>
          <w:p w:rsidR="00D724FA" w:rsidRDefault="00D724FA" w:rsidP="00A858D8">
            <w:pPr>
              <w:pStyle w:val="IASBTableArial"/>
            </w:pPr>
          </w:p>
        </w:tc>
        <w:tc>
          <w:tcPr>
            <w:tcW w:w="1365" w:type="dxa"/>
            <w:tcBorders>
              <w:top w:val="nil"/>
              <w:left w:val="nil"/>
            </w:tcBorders>
            <w:vAlign w:val="bottom"/>
          </w:tcPr>
          <w:p w:rsidR="00D724FA" w:rsidRDefault="00D724FA" w:rsidP="00A858D8">
            <w:pPr>
              <w:pStyle w:val="IASBTableArial"/>
            </w:pPr>
          </w:p>
        </w:tc>
        <w:tc>
          <w:tcPr>
            <w:tcW w:w="455" w:type="dxa"/>
            <w:tcBorders>
              <w:top w:val="nil"/>
              <w:left w:val="nil"/>
            </w:tcBorders>
            <w:vAlign w:val="bottom"/>
          </w:tcPr>
          <w:p w:rsidR="00D724FA" w:rsidRDefault="00D724FA" w:rsidP="00A858D8">
            <w:pPr>
              <w:pStyle w:val="IASBTableArial"/>
            </w:pPr>
          </w:p>
        </w:tc>
        <w:tc>
          <w:tcPr>
            <w:tcW w:w="1365" w:type="dxa"/>
            <w:tcBorders>
              <w:top w:val="nil"/>
              <w:left w:val="nil"/>
              <w:bottom w:val="double" w:sz="4" w:space="0" w:color="auto"/>
            </w:tcBorders>
            <w:vAlign w:val="bottom"/>
          </w:tcPr>
          <w:p w:rsidR="00D724FA" w:rsidRDefault="00D724FA" w:rsidP="00A858D8">
            <w:pPr>
              <w:pStyle w:val="IASBTableArial"/>
              <w:jc w:val="right"/>
            </w:pPr>
            <w:r>
              <w:t>46,000</w:t>
            </w:r>
          </w:p>
        </w:tc>
      </w:tr>
      <w:tr w:rsidR="00D724FA" w:rsidTr="00A858D8">
        <w:trPr>
          <w:cantSplit/>
        </w:trPr>
        <w:tc>
          <w:tcPr>
            <w:tcW w:w="9208" w:type="dxa"/>
            <w:gridSpan w:val="6"/>
            <w:tcBorders>
              <w:top w:val="nil"/>
            </w:tcBorders>
            <w:vAlign w:val="bottom"/>
          </w:tcPr>
          <w:p w:rsidR="00D724FA" w:rsidRDefault="00D724FA" w:rsidP="00A858D8">
            <w:pPr>
              <w:pStyle w:val="IASBTableArial"/>
            </w:pPr>
            <w:r>
              <w:rPr>
                <w:b/>
              </w:rPr>
              <w:t>Allocation of undistributed earnings:</w:t>
            </w:r>
          </w:p>
        </w:tc>
      </w:tr>
      <w:tr w:rsidR="00D724FA" w:rsidTr="00A858D8">
        <w:trPr>
          <w:cantSplit/>
        </w:trPr>
        <w:tc>
          <w:tcPr>
            <w:tcW w:w="5568" w:type="dxa"/>
            <w:gridSpan w:val="2"/>
            <w:tcBorders>
              <w:top w:val="nil"/>
            </w:tcBorders>
            <w:vAlign w:val="bottom"/>
          </w:tcPr>
          <w:p w:rsidR="00D724FA" w:rsidRDefault="00D724FA" w:rsidP="00A858D8">
            <w:pPr>
              <w:pStyle w:val="IASBTableArial"/>
            </w:pPr>
            <w:r>
              <w:t>Allocation per ordinary share = A</w:t>
            </w:r>
          </w:p>
        </w:tc>
        <w:tc>
          <w:tcPr>
            <w:tcW w:w="455" w:type="dxa"/>
            <w:tcBorders>
              <w:top w:val="nil"/>
              <w:left w:val="nil"/>
            </w:tcBorders>
            <w:vAlign w:val="bottom"/>
          </w:tcPr>
          <w:p w:rsidR="00D724FA" w:rsidRDefault="00D724FA" w:rsidP="00A858D8">
            <w:pPr>
              <w:pStyle w:val="IASBTableArial"/>
            </w:pPr>
          </w:p>
        </w:tc>
        <w:tc>
          <w:tcPr>
            <w:tcW w:w="1365" w:type="dxa"/>
            <w:tcBorders>
              <w:top w:val="nil"/>
              <w:left w:val="nil"/>
            </w:tcBorders>
            <w:vAlign w:val="bottom"/>
          </w:tcPr>
          <w:p w:rsidR="00D724FA" w:rsidRDefault="00D724FA" w:rsidP="00A858D8">
            <w:pPr>
              <w:pStyle w:val="IASBTableArial"/>
            </w:pPr>
          </w:p>
        </w:tc>
        <w:tc>
          <w:tcPr>
            <w:tcW w:w="455" w:type="dxa"/>
            <w:tcBorders>
              <w:top w:val="nil"/>
              <w:left w:val="nil"/>
            </w:tcBorders>
            <w:vAlign w:val="bottom"/>
          </w:tcPr>
          <w:p w:rsidR="00D724FA" w:rsidRDefault="00D724FA" w:rsidP="00A858D8">
            <w:pPr>
              <w:pStyle w:val="IASBTableArial"/>
            </w:pPr>
          </w:p>
        </w:tc>
        <w:tc>
          <w:tcPr>
            <w:tcW w:w="1365" w:type="dxa"/>
            <w:tcBorders>
              <w:top w:val="nil"/>
              <w:left w:val="nil"/>
            </w:tcBorders>
            <w:vAlign w:val="bottom"/>
          </w:tcPr>
          <w:p w:rsidR="00D724FA" w:rsidRDefault="00D724FA" w:rsidP="00A858D8">
            <w:pPr>
              <w:pStyle w:val="IASBTableArial"/>
            </w:pPr>
          </w:p>
        </w:tc>
      </w:tr>
      <w:tr w:rsidR="00D724FA" w:rsidTr="00A858D8">
        <w:trPr>
          <w:cantSplit/>
        </w:trPr>
        <w:tc>
          <w:tcPr>
            <w:tcW w:w="5568" w:type="dxa"/>
            <w:gridSpan w:val="2"/>
            <w:tcBorders>
              <w:top w:val="nil"/>
            </w:tcBorders>
            <w:vAlign w:val="bottom"/>
          </w:tcPr>
          <w:p w:rsidR="00D724FA" w:rsidRDefault="00D724FA" w:rsidP="00A858D8">
            <w:pPr>
              <w:pStyle w:val="IASBTableArial"/>
            </w:pPr>
            <w:r>
              <w:t xml:space="preserve">Allocation per preference share = B; B = </w:t>
            </w:r>
            <w:r>
              <w:rPr>
                <w:vertAlign w:val="superscript"/>
              </w:rPr>
              <w:t>1</w:t>
            </w:r>
            <w:r>
              <w:t>/</w:t>
            </w:r>
            <w:r>
              <w:rPr>
                <w:vertAlign w:val="subscript"/>
              </w:rPr>
              <w:t>4</w:t>
            </w:r>
            <w:r>
              <w:t xml:space="preserve"> A</w:t>
            </w:r>
          </w:p>
        </w:tc>
        <w:tc>
          <w:tcPr>
            <w:tcW w:w="455" w:type="dxa"/>
            <w:tcBorders>
              <w:top w:val="nil"/>
              <w:left w:val="nil"/>
            </w:tcBorders>
            <w:vAlign w:val="bottom"/>
          </w:tcPr>
          <w:p w:rsidR="00D724FA" w:rsidRDefault="00D724FA" w:rsidP="00A858D8">
            <w:pPr>
              <w:pStyle w:val="IASBTableArial"/>
            </w:pPr>
          </w:p>
        </w:tc>
        <w:tc>
          <w:tcPr>
            <w:tcW w:w="1365" w:type="dxa"/>
            <w:tcBorders>
              <w:top w:val="nil"/>
              <w:left w:val="nil"/>
            </w:tcBorders>
            <w:vAlign w:val="bottom"/>
          </w:tcPr>
          <w:p w:rsidR="00D724FA" w:rsidRDefault="00D724FA" w:rsidP="00A858D8">
            <w:pPr>
              <w:pStyle w:val="IASBTableArial"/>
            </w:pPr>
          </w:p>
        </w:tc>
        <w:tc>
          <w:tcPr>
            <w:tcW w:w="455" w:type="dxa"/>
            <w:tcBorders>
              <w:top w:val="nil"/>
              <w:left w:val="nil"/>
            </w:tcBorders>
            <w:vAlign w:val="bottom"/>
          </w:tcPr>
          <w:p w:rsidR="00D724FA" w:rsidRDefault="00D724FA" w:rsidP="00A858D8">
            <w:pPr>
              <w:pStyle w:val="IASBTableArial"/>
            </w:pPr>
          </w:p>
        </w:tc>
        <w:tc>
          <w:tcPr>
            <w:tcW w:w="1365" w:type="dxa"/>
            <w:tcBorders>
              <w:top w:val="nil"/>
              <w:left w:val="nil"/>
            </w:tcBorders>
            <w:vAlign w:val="bottom"/>
          </w:tcPr>
          <w:p w:rsidR="00D724FA" w:rsidRDefault="00D724FA" w:rsidP="00A858D8">
            <w:pPr>
              <w:pStyle w:val="IASBTableArial"/>
            </w:pPr>
          </w:p>
        </w:tc>
      </w:tr>
      <w:tr w:rsidR="00D724FA" w:rsidTr="00A858D8">
        <w:trPr>
          <w:cantSplit/>
        </w:trPr>
        <w:tc>
          <w:tcPr>
            <w:tcW w:w="4203" w:type="dxa"/>
            <w:tcBorders>
              <w:top w:val="nil"/>
            </w:tcBorders>
            <w:vAlign w:val="bottom"/>
          </w:tcPr>
          <w:p w:rsidR="00D724FA" w:rsidRDefault="00D724FA" w:rsidP="00A858D8">
            <w:pPr>
              <w:pStyle w:val="IASBTableArial"/>
            </w:pPr>
          </w:p>
        </w:tc>
        <w:tc>
          <w:tcPr>
            <w:tcW w:w="5005" w:type="dxa"/>
            <w:gridSpan w:val="5"/>
            <w:tcBorders>
              <w:top w:val="nil"/>
              <w:left w:val="nil"/>
            </w:tcBorders>
            <w:vAlign w:val="bottom"/>
          </w:tcPr>
          <w:p w:rsidR="00D724FA" w:rsidRDefault="00D724FA" w:rsidP="00A858D8">
            <w:pPr>
              <w:pStyle w:val="IASBTableArial"/>
            </w:pPr>
            <w:r>
              <w:t>(A × 10,000) + (</w:t>
            </w:r>
            <w:r>
              <w:rPr>
                <w:vertAlign w:val="superscript"/>
              </w:rPr>
              <w:t>1</w:t>
            </w:r>
            <w:r>
              <w:t>/</w:t>
            </w:r>
            <w:r>
              <w:rPr>
                <w:vertAlign w:val="subscript"/>
              </w:rPr>
              <w:t>4</w:t>
            </w:r>
            <w:r>
              <w:t xml:space="preserve"> × A × 6,000) = CU46,000</w:t>
            </w:r>
          </w:p>
        </w:tc>
      </w:tr>
      <w:tr w:rsidR="00D724FA" w:rsidTr="00A858D8">
        <w:trPr>
          <w:cantSplit/>
        </w:trPr>
        <w:tc>
          <w:tcPr>
            <w:tcW w:w="4203" w:type="dxa"/>
            <w:tcBorders>
              <w:top w:val="nil"/>
            </w:tcBorders>
            <w:vAlign w:val="bottom"/>
          </w:tcPr>
          <w:p w:rsidR="00D724FA" w:rsidRDefault="00D724FA" w:rsidP="00A858D8">
            <w:pPr>
              <w:pStyle w:val="IASBTableArial"/>
            </w:pPr>
          </w:p>
        </w:tc>
        <w:tc>
          <w:tcPr>
            <w:tcW w:w="5005" w:type="dxa"/>
            <w:gridSpan w:val="5"/>
            <w:tcBorders>
              <w:top w:val="nil"/>
              <w:left w:val="nil"/>
            </w:tcBorders>
            <w:vAlign w:val="bottom"/>
          </w:tcPr>
          <w:p w:rsidR="00D724FA" w:rsidRDefault="00D724FA" w:rsidP="00A858D8">
            <w:pPr>
              <w:pStyle w:val="IASBTableArial"/>
            </w:pPr>
            <w:r>
              <w:t>A = CU46,000 ÷ (10,000 + 1,500)</w:t>
            </w:r>
          </w:p>
        </w:tc>
      </w:tr>
      <w:tr w:rsidR="00D724FA" w:rsidTr="00A858D8">
        <w:trPr>
          <w:cantSplit/>
        </w:trPr>
        <w:tc>
          <w:tcPr>
            <w:tcW w:w="4203" w:type="dxa"/>
            <w:tcBorders>
              <w:top w:val="nil"/>
            </w:tcBorders>
            <w:vAlign w:val="bottom"/>
          </w:tcPr>
          <w:p w:rsidR="00D724FA" w:rsidRDefault="00D724FA" w:rsidP="00A858D8">
            <w:pPr>
              <w:pStyle w:val="IASBTableArial"/>
            </w:pPr>
          </w:p>
        </w:tc>
        <w:tc>
          <w:tcPr>
            <w:tcW w:w="5005" w:type="dxa"/>
            <w:gridSpan w:val="5"/>
            <w:tcBorders>
              <w:top w:val="nil"/>
              <w:left w:val="nil"/>
            </w:tcBorders>
            <w:vAlign w:val="bottom"/>
          </w:tcPr>
          <w:p w:rsidR="00D724FA" w:rsidRDefault="00D724FA" w:rsidP="00A858D8">
            <w:pPr>
              <w:pStyle w:val="IASBTableArial"/>
            </w:pPr>
            <w:r>
              <w:t>A = CU4.00</w:t>
            </w:r>
          </w:p>
        </w:tc>
      </w:tr>
      <w:tr w:rsidR="00D724FA" w:rsidTr="00A858D8">
        <w:trPr>
          <w:cantSplit/>
        </w:trPr>
        <w:tc>
          <w:tcPr>
            <w:tcW w:w="4203" w:type="dxa"/>
            <w:tcBorders>
              <w:top w:val="nil"/>
            </w:tcBorders>
            <w:vAlign w:val="bottom"/>
          </w:tcPr>
          <w:p w:rsidR="00D724FA" w:rsidRDefault="00D724FA" w:rsidP="00A858D8">
            <w:pPr>
              <w:pStyle w:val="IASBTableArial"/>
            </w:pPr>
          </w:p>
        </w:tc>
        <w:tc>
          <w:tcPr>
            <w:tcW w:w="5005" w:type="dxa"/>
            <w:gridSpan w:val="5"/>
            <w:tcBorders>
              <w:top w:val="nil"/>
              <w:left w:val="nil"/>
            </w:tcBorders>
            <w:vAlign w:val="bottom"/>
          </w:tcPr>
          <w:p w:rsidR="00D724FA" w:rsidRDefault="00D724FA" w:rsidP="00A858D8">
            <w:pPr>
              <w:pStyle w:val="IASBTableArial"/>
            </w:pPr>
            <w:r>
              <w:t xml:space="preserve">B = </w:t>
            </w:r>
            <w:r>
              <w:rPr>
                <w:vertAlign w:val="superscript"/>
              </w:rPr>
              <w:t>1</w:t>
            </w:r>
            <w:r>
              <w:t>/</w:t>
            </w:r>
            <w:r>
              <w:rPr>
                <w:vertAlign w:val="subscript"/>
              </w:rPr>
              <w:t>4</w:t>
            </w:r>
            <w:r>
              <w:t xml:space="preserve"> A</w:t>
            </w:r>
          </w:p>
        </w:tc>
      </w:tr>
      <w:tr w:rsidR="00D724FA" w:rsidTr="00A858D8">
        <w:trPr>
          <w:cantSplit/>
        </w:trPr>
        <w:tc>
          <w:tcPr>
            <w:tcW w:w="4203" w:type="dxa"/>
            <w:tcBorders>
              <w:top w:val="nil"/>
            </w:tcBorders>
            <w:vAlign w:val="bottom"/>
          </w:tcPr>
          <w:p w:rsidR="00D724FA" w:rsidRDefault="00D724FA" w:rsidP="00A858D8">
            <w:pPr>
              <w:pStyle w:val="IASBTableArial"/>
            </w:pPr>
          </w:p>
        </w:tc>
        <w:tc>
          <w:tcPr>
            <w:tcW w:w="5005" w:type="dxa"/>
            <w:gridSpan w:val="5"/>
            <w:tcBorders>
              <w:top w:val="nil"/>
              <w:left w:val="nil"/>
            </w:tcBorders>
            <w:vAlign w:val="bottom"/>
          </w:tcPr>
          <w:p w:rsidR="00D724FA" w:rsidRDefault="00D724FA" w:rsidP="00A858D8">
            <w:pPr>
              <w:pStyle w:val="IASBTableArial"/>
            </w:pPr>
            <w:r>
              <w:t>B = CU1.00</w:t>
            </w:r>
          </w:p>
        </w:tc>
      </w:tr>
    </w:tbl>
    <w:p w:rsidR="00D724FA" w:rsidRDefault="00D724FA" w:rsidP="00D724FA">
      <w:pPr>
        <w:pStyle w:val="IASBNormalnpara"/>
      </w:pPr>
    </w:p>
    <w:tbl>
      <w:tblPr>
        <w:tblW w:w="0" w:type="auto"/>
        <w:tblLayout w:type="fixed"/>
        <w:tblLook w:val="0000" w:firstRow="0" w:lastRow="0" w:firstColumn="0" w:lastColumn="0" w:noHBand="0" w:noVBand="0"/>
        <w:tblCaption w:val="AASB 133 Table 25"/>
      </w:tblPr>
      <w:tblGrid>
        <w:gridCol w:w="6023"/>
        <w:gridCol w:w="1365"/>
        <w:gridCol w:w="455"/>
        <w:gridCol w:w="1365"/>
      </w:tblGrid>
      <w:tr w:rsidR="00D724FA" w:rsidTr="00A858D8">
        <w:trPr>
          <w:cantSplit/>
        </w:trPr>
        <w:tc>
          <w:tcPr>
            <w:tcW w:w="9208" w:type="dxa"/>
            <w:gridSpan w:val="4"/>
            <w:vAlign w:val="bottom"/>
          </w:tcPr>
          <w:p w:rsidR="00D724FA" w:rsidRDefault="00D724FA" w:rsidP="00A858D8">
            <w:pPr>
              <w:pStyle w:val="IASBTableArial"/>
            </w:pPr>
            <w:r>
              <w:rPr>
                <w:b/>
              </w:rPr>
              <w:t>Basic per share amounts:</w:t>
            </w:r>
          </w:p>
        </w:tc>
      </w:tr>
      <w:tr w:rsidR="00D724FA" w:rsidTr="00A858D8">
        <w:trPr>
          <w:cantSplit/>
        </w:trPr>
        <w:tc>
          <w:tcPr>
            <w:tcW w:w="7388" w:type="dxa"/>
            <w:gridSpan w:val="2"/>
            <w:tcBorders>
              <w:top w:val="nil"/>
            </w:tcBorders>
          </w:tcPr>
          <w:p w:rsidR="00D724FA" w:rsidRDefault="00D724FA" w:rsidP="00A858D8">
            <w:pPr>
              <w:pStyle w:val="IASBTableArial"/>
              <w:jc w:val="right"/>
            </w:pPr>
            <w:r>
              <w:rPr>
                <w:i/>
              </w:rPr>
              <w:t>Preference</w:t>
            </w:r>
            <w:r>
              <w:rPr>
                <w:i/>
              </w:rPr>
              <w:br/>
              <w:t>shares</w:t>
            </w:r>
          </w:p>
        </w:tc>
        <w:tc>
          <w:tcPr>
            <w:tcW w:w="1820" w:type="dxa"/>
            <w:gridSpan w:val="2"/>
            <w:tcBorders>
              <w:top w:val="nil"/>
              <w:left w:val="nil"/>
            </w:tcBorders>
          </w:tcPr>
          <w:p w:rsidR="00D724FA" w:rsidRDefault="00D724FA" w:rsidP="00A858D8">
            <w:pPr>
              <w:pStyle w:val="IASBTableArial"/>
              <w:jc w:val="right"/>
            </w:pPr>
            <w:r>
              <w:rPr>
                <w:i/>
              </w:rPr>
              <w:t>Ordinary</w:t>
            </w:r>
            <w:r>
              <w:rPr>
                <w:i/>
              </w:rPr>
              <w:br/>
              <w:t>shares</w:t>
            </w:r>
          </w:p>
        </w:tc>
      </w:tr>
      <w:tr w:rsidR="00D724FA" w:rsidTr="00A858D8">
        <w:trPr>
          <w:cantSplit/>
        </w:trPr>
        <w:tc>
          <w:tcPr>
            <w:tcW w:w="6023" w:type="dxa"/>
            <w:tcBorders>
              <w:top w:val="nil"/>
            </w:tcBorders>
            <w:vAlign w:val="bottom"/>
          </w:tcPr>
          <w:p w:rsidR="00D724FA" w:rsidRDefault="00D724FA" w:rsidP="00A858D8">
            <w:pPr>
              <w:pStyle w:val="IASBTableArial"/>
            </w:pPr>
            <w:r>
              <w:t>Distributed earnings</w:t>
            </w:r>
          </w:p>
        </w:tc>
        <w:tc>
          <w:tcPr>
            <w:tcW w:w="1365" w:type="dxa"/>
            <w:tcBorders>
              <w:top w:val="nil"/>
              <w:left w:val="nil"/>
            </w:tcBorders>
            <w:vAlign w:val="bottom"/>
          </w:tcPr>
          <w:p w:rsidR="00D724FA" w:rsidRDefault="00D724FA" w:rsidP="00A858D8">
            <w:pPr>
              <w:pStyle w:val="IASBTableArial"/>
              <w:jc w:val="right"/>
            </w:pPr>
            <w:r>
              <w:t>CU5.50</w:t>
            </w:r>
          </w:p>
        </w:tc>
        <w:tc>
          <w:tcPr>
            <w:tcW w:w="455" w:type="dxa"/>
            <w:tcBorders>
              <w:top w:val="nil"/>
              <w:left w:val="nil"/>
            </w:tcBorders>
            <w:vAlign w:val="bottom"/>
          </w:tcPr>
          <w:p w:rsidR="00D724FA" w:rsidRDefault="00D724FA" w:rsidP="00A858D8">
            <w:pPr>
              <w:pStyle w:val="IASBTableArial"/>
            </w:pPr>
          </w:p>
        </w:tc>
        <w:tc>
          <w:tcPr>
            <w:tcW w:w="1365" w:type="dxa"/>
            <w:tcBorders>
              <w:top w:val="nil"/>
              <w:left w:val="nil"/>
            </w:tcBorders>
            <w:vAlign w:val="bottom"/>
          </w:tcPr>
          <w:p w:rsidR="00D724FA" w:rsidRDefault="00D724FA" w:rsidP="00A858D8">
            <w:pPr>
              <w:pStyle w:val="IASBTableArial"/>
              <w:jc w:val="right"/>
            </w:pPr>
            <w:r>
              <w:t>CU2.10</w:t>
            </w:r>
          </w:p>
        </w:tc>
      </w:tr>
      <w:tr w:rsidR="00D724FA" w:rsidTr="00A858D8">
        <w:trPr>
          <w:cantSplit/>
        </w:trPr>
        <w:tc>
          <w:tcPr>
            <w:tcW w:w="6023" w:type="dxa"/>
            <w:tcBorders>
              <w:top w:val="nil"/>
            </w:tcBorders>
            <w:vAlign w:val="bottom"/>
          </w:tcPr>
          <w:p w:rsidR="00D724FA" w:rsidRDefault="00D724FA" w:rsidP="00A858D8">
            <w:pPr>
              <w:pStyle w:val="IASBTableArial"/>
            </w:pPr>
            <w:r>
              <w:t>Undistributed earnings</w:t>
            </w:r>
          </w:p>
        </w:tc>
        <w:tc>
          <w:tcPr>
            <w:tcW w:w="1365" w:type="dxa"/>
            <w:tcBorders>
              <w:top w:val="nil"/>
              <w:left w:val="nil"/>
              <w:bottom w:val="single" w:sz="4" w:space="0" w:color="auto"/>
            </w:tcBorders>
            <w:vAlign w:val="bottom"/>
          </w:tcPr>
          <w:p w:rsidR="00D724FA" w:rsidRDefault="00D724FA" w:rsidP="00A858D8">
            <w:pPr>
              <w:pStyle w:val="IASBTableArial"/>
              <w:jc w:val="right"/>
            </w:pPr>
            <w:r>
              <w:t>CU1.00</w:t>
            </w:r>
          </w:p>
        </w:tc>
        <w:tc>
          <w:tcPr>
            <w:tcW w:w="455" w:type="dxa"/>
            <w:tcBorders>
              <w:top w:val="nil"/>
              <w:left w:val="nil"/>
            </w:tcBorders>
            <w:vAlign w:val="bottom"/>
          </w:tcPr>
          <w:p w:rsidR="00D724FA" w:rsidRDefault="00D724FA" w:rsidP="00A858D8">
            <w:pPr>
              <w:pStyle w:val="IASBTableArial"/>
            </w:pPr>
          </w:p>
        </w:tc>
        <w:tc>
          <w:tcPr>
            <w:tcW w:w="1365" w:type="dxa"/>
            <w:tcBorders>
              <w:top w:val="nil"/>
              <w:left w:val="nil"/>
              <w:bottom w:val="single" w:sz="4" w:space="0" w:color="auto"/>
            </w:tcBorders>
            <w:vAlign w:val="bottom"/>
          </w:tcPr>
          <w:p w:rsidR="00D724FA" w:rsidRDefault="00D724FA" w:rsidP="00A858D8">
            <w:pPr>
              <w:pStyle w:val="IASBTableArial"/>
              <w:jc w:val="right"/>
            </w:pPr>
            <w:r>
              <w:t>CU4.00</w:t>
            </w:r>
          </w:p>
        </w:tc>
      </w:tr>
      <w:tr w:rsidR="00D724FA" w:rsidTr="00A858D8">
        <w:trPr>
          <w:cantSplit/>
        </w:trPr>
        <w:tc>
          <w:tcPr>
            <w:tcW w:w="6023" w:type="dxa"/>
            <w:tcBorders>
              <w:top w:val="nil"/>
            </w:tcBorders>
            <w:vAlign w:val="bottom"/>
          </w:tcPr>
          <w:p w:rsidR="00D724FA" w:rsidRDefault="00D724FA" w:rsidP="00A858D8">
            <w:pPr>
              <w:pStyle w:val="IASBTableArial"/>
            </w:pPr>
            <w:r>
              <w:t>Totals</w:t>
            </w:r>
          </w:p>
        </w:tc>
        <w:tc>
          <w:tcPr>
            <w:tcW w:w="1365" w:type="dxa"/>
            <w:tcBorders>
              <w:top w:val="nil"/>
              <w:left w:val="nil"/>
              <w:bottom w:val="double" w:sz="4" w:space="0" w:color="auto"/>
            </w:tcBorders>
            <w:vAlign w:val="bottom"/>
          </w:tcPr>
          <w:p w:rsidR="00D724FA" w:rsidRDefault="00D724FA" w:rsidP="00A858D8">
            <w:pPr>
              <w:pStyle w:val="IASBTableArial"/>
              <w:jc w:val="right"/>
            </w:pPr>
            <w:r>
              <w:t>CU6.50</w:t>
            </w:r>
          </w:p>
        </w:tc>
        <w:tc>
          <w:tcPr>
            <w:tcW w:w="455" w:type="dxa"/>
            <w:tcBorders>
              <w:top w:val="nil"/>
              <w:left w:val="nil"/>
            </w:tcBorders>
            <w:vAlign w:val="bottom"/>
          </w:tcPr>
          <w:p w:rsidR="00D724FA" w:rsidRDefault="00D724FA" w:rsidP="00A858D8">
            <w:pPr>
              <w:pStyle w:val="IASBTableArial"/>
            </w:pPr>
          </w:p>
        </w:tc>
        <w:tc>
          <w:tcPr>
            <w:tcW w:w="1365" w:type="dxa"/>
            <w:tcBorders>
              <w:top w:val="nil"/>
              <w:left w:val="nil"/>
              <w:bottom w:val="double" w:sz="4" w:space="0" w:color="auto"/>
            </w:tcBorders>
            <w:vAlign w:val="bottom"/>
          </w:tcPr>
          <w:p w:rsidR="00D724FA" w:rsidRDefault="00D724FA" w:rsidP="00A858D8">
            <w:pPr>
              <w:pStyle w:val="IASBTableArial"/>
              <w:jc w:val="right"/>
            </w:pPr>
            <w:r>
              <w:t>CU6.10</w:t>
            </w:r>
          </w:p>
        </w:tc>
      </w:tr>
    </w:tbl>
    <w:p w:rsidR="00D724FA" w:rsidRDefault="00D724FA" w:rsidP="00D724FA">
      <w:pPr>
        <w:pStyle w:val="IASBNormalnpara"/>
      </w:pPr>
    </w:p>
    <w:p w:rsidR="00D724FA" w:rsidRDefault="00D724FA" w:rsidP="00D724FA">
      <w:pPr>
        <w:pStyle w:val="IASBSectionTitle1NonInd"/>
      </w:pPr>
      <w:r>
        <w:t>Example 12 Calculation and presentation of basic and diluted earnings per share (comprehensive example)</w:t>
      </w:r>
      <w:r w:rsidRPr="00592251">
        <w:rPr>
          <w:rStyle w:val="FootnoteReference"/>
        </w:rPr>
        <w:footnoteReference w:id="6"/>
      </w:r>
    </w:p>
    <w:p w:rsidR="00D724FA" w:rsidRDefault="00D724FA" w:rsidP="00D724FA">
      <w:pPr>
        <w:pStyle w:val="IASBNormal"/>
      </w:pPr>
      <w:r>
        <w:t>This example illustrates the quarterly and annual calculations of basic and diluted earnings per share in the year 20X1 for Company A, which has a complex capital structure. The control number is profit or loss from continuing operations attributable to the parent entity. Other facts assumed are as follows:</w:t>
      </w:r>
    </w:p>
    <w:p w:rsidR="00D724FA" w:rsidRDefault="00D724FA" w:rsidP="00D724FA">
      <w:pPr>
        <w:pStyle w:val="IASBNormal"/>
      </w:pPr>
      <w:r>
        <w:rPr>
          <w:b/>
        </w:rPr>
        <w:t>Average market price of ordinary shares:</w:t>
      </w:r>
      <w:r>
        <w:t xml:space="preserve"> The average market prices of ordinary shares for the calendar year 20X1 were as follows:</w:t>
      </w:r>
    </w:p>
    <w:p w:rsidR="00D724FA" w:rsidRDefault="00D724FA" w:rsidP="00D724FA">
      <w:pPr>
        <w:pStyle w:val="IASBNormalnpara"/>
      </w:pPr>
    </w:p>
    <w:tbl>
      <w:tblPr>
        <w:tblW w:w="0" w:type="auto"/>
        <w:tblLayout w:type="fixed"/>
        <w:tblLook w:val="0000" w:firstRow="0" w:lastRow="0" w:firstColumn="0" w:lastColumn="0" w:noHBand="0" w:noVBand="0"/>
        <w:tblCaption w:val="AASB 133 Table 26"/>
      </w:tblPr>
      <w:tblGrid>
        <w:gridCol w:w="472"/>
        <w:gridCol w:w="2275"/>
        <w:gridCol w:w="6461"/>
      </w:tblGrid>
      <w:tr w:rsidR="00D724FA" w:rsidTr="00A858D8">
        <w:trPr>
          <w:cantSplit/>
        </w:trPr>
        <w:tc>
          <w:tcPr>
            <w:tcW w:w="472" w:type="dxa"/>
            <w:vAlign w:val="bottom"/>
          </w:tcPr>
          <w:p w:rsidR="00D724FA" w:rsidRDefault="00D724FA" w:rsidP="00A858D8">
            <w:pPr>
              <w:pStyle w:val="IASBTableArial"/>
            </w:pPr>
          </w:p>
        </w:tc>
        <w:tc>
          <w:tcPr>
            <w:tcW w:w="2275" w:type="dxa"/>
            <w:tcBorders>
              <w:left w:val="nil"/>
            </w:tcBorders>
            <w:vAlign w:val="bottom"/>
          </w:tcPr>
          <w:p w:rsidR="00D724FA" w:rsidRDefault="00D724FA" w:rsidP="00A858D8">
            <w:pPr>
              <w:pStyle w:val="IASBTableArial"/>
            </w:pPr>
            <w:r>
              <w:t>First quarter</w:t>
            </w:r>
          </w:p>
        </w:tc>
        <w:tc>
          <w:tcPr>
            <w:tcW w:w="6461" w:type="dxa"/>
            <w:tcBorders>
              <w:left w:val="nil"/>
            </w:tcBorders>
            <w:vAlign w:val="bottom"/>
          </w:tcPr>
          <w:p w:rsidR="00D724FA" w:rsidRDefault="00D724FA" w:rsidP="00A858D8">
            <w:pPr>
              <w:pStyle w:val="IASBTableArial"/>
            </w:pPr>
            <w:r>
              <w:t>CU49</w:t>
            </w:r>
          </w:p>
        </w:tc>
      </w:tr>
      <w:tr w:rsidR="00D724FA" w:rsidTr="00A858D8">
        <w:trPr>
          <w:cantSplit/>
        </w:trPr>
        <w:tc>
          <w:tcPr>
            <w:tcW w:w="472" w:type="dxa"/>
            <w:tcBorders>
              <w:top w:val="nil"/>
            </w:tcBorders>
            <w:vAlign w:val="bottom"/>
          </w:tcPr>
          <w:p w:rsidR="00D724FA" w:rsidRDefault="00D724FA" w:rsidP="00A858D8">
            <w:pPr>
              <w:pStyle w:val="IASBTableArial"/>
            </w:pPr>
          </w:p>
        </w:tc>
        <w:tc>
          <w:tcPr>
            <w:tcW w:w="2275" w:type="dxa"/>
            <w:tcBorders>
              <w:top w:val="nil"/>
              <w:left w:val="nil"/>
            </w:tcBorders>
            <w:vAlign w:val="bottom"/>
          </w:tcPr>
          <w:p w:rsidR="00D724FA" w:rsidRDefault="00D724FA" w:rsidP="00A858D8">
            <w:pPr>
              <w:pStyle w:val="IASBTableArial"/>
            </w:pPr>
            <w:r>
              <w:t>Second quarter</w:t>
            </w:r>
          </w:p>
        </w:tc>
        <w:tc>
          <w:tcPr>
            <w:tcW w:w="6461" w:type="dxa"/>
            <w:tcBorders>
              <w:top w:val="nil"/>
              <w:left w:val="nil"/>
            </w:tcBorders>
            <w:vAlign w:val="bottom"/>
          </w:tcPr>
          <w:p w:rsidR="00D724FA" w:rsidRDefault="00D724FA" w:rsidP="00A858D8">
            <w:pPr>
              <w:pStyle w:val="IASBTableArial"/>
            </w:pPr>
            <w:r>
              <w:t>CU60</w:t>
            </w:r>
          </w:p>
        </w:tc>
      </w:tr>
      <w:tr w:rsidR="00D724FA" w:rsidTr="00A858D8">
        <w:trPr>
          <w:cantSplit/>
        </w:trPr>
        <w:tc>
          <w:tcPr>
            <w:tcW w:w="472" w:type="dxa"/>
            <w:tcBorders>
              <w:top w:val="nil"/>
            </w:tcBorders>
            <w:vAlign w:val="bottom"/>
          </w:tcPr>
          <w:p w:rsidR="00D724FA" w:rsidRDefault="00D724FA" w:rsidP="00A858D8">
            <w:pPr>
              <w:pStyle w:val="IASBTableArial"/>
            </w:pPr>
          </w:p>
        </w:tc>
        <w:tc>
          <w:tcPr>
            <w:tcW w:w="2275" w:type="dxa"/>
            <w:tcBorders>
              <w:top w:val="nil"/>
              <w:left w:val="nil"/>
            </w:tcBorders>
            <w:vAlign w:val="bottom"/>
          </w:tcPr>
          <w:p w:rsidR="00D724FA" w:rsidRDefault="00D724FA" w:rsidP="00A858D8">
            <w:pPr>
              <w:pStyle w:val="IASBTableArial"/>
            </w:pPr>
            <w:r>
              <w:t>Third quarter</w:t>
            </w:r>
          </w:p>
        </w:tc>
        <w:tc>
          <w:tcPr>
            <w:tcW w:w="6461" w:type="dxa"/>
            <w:tcBorders>
              <w:top w:val="nil"/>
              <w:left w:val="nil"/>
            </w:tcBorders>
            <w:vAlign w:val="bottom"/>
          </w:tcPr>
          <w:p w:rsidR="00D724FA" w:rsidRDefault="00D724FA" w:rsidP="00A858D8">
            <w:pPr>
              <w:pStyle w:val="IASBTableArial"/>
            </w:pPr>
            <w:r>
              <w:t>CU67</w:t>
            </w:r>
          </w:p>
        </w:tc>
      </w:tr>
      <w:tr w:rsidR="00D724FA" w:rsidTr="00A858D8">
        <w:trPr>
          <w:cantSplit/>
        </w:trPr>
        <w:tc>
          <w:tcPr>
            <w:tcW w:w="472" w:type="dxa"/>
            <w:tcBorders>
              <w:top w:val="nil"/>
            </w:tcBorders>
            <w:vAlign w:val="bottom"/>
          </w:tcPr>
          <w:p w:rsidR="00D724FA" w:rsidRDefault="00D724FA" w:rsidP="00A858D8">
            <w:pPr>
              <w:pStyle w:val="IASBTableArial"/>
            </w:pPr>
          </w:p>
        </w:tc>
        <w:tc>
          <w:tcPr>
            <w:tcW w:w="2275" w:type="dxa"/>
            <w:tcBorders>
              <w:top w:val="nil"/>
              <w:left w:val="nil"/>
            </w:tcBorders>
            <w:vAlign w:val="bottom"/>
          </w:tcPr>
          <w:p w:rsidR="00D724FA" w:rsidRDefault="00D724FA" w:rsidP="00A858D8">
            <w:pPr>
              <w:pStyle w:val="IASBTableArial"/>
            </w:pPr>
            <w:r>
              <w:t>Fourth quarter</w:t>
            </w:r>
          </w:p>
        </w:tc>
        <w:tc>
          <w:tcPr>
            <w:tcW w:w="6461" w:type="dxa"/>
            <w:tcBorders>
              <w:top w:val="nil"/>
              <w:left w:val="nil"/>
            </w:tcBorders>
            <w:vAlign w:val="bottom"/>
          </w:tcPr>
          <w:p w:rsidR="00D724FA" w:rsidRDefault="00D724FA" w:rsidP="00A858D8">
            <w:pPr>
              <w:pStyle w:val="IASBTableArial"/>
            </w:pPr>
            <w:r>
              <w:t>CU67</w:t>
            </w:r>
          </w:p>
        </w:tc>
      </w:tr>
    </w:tbl>
    <w:p w:rsidR="00D724FA" w:rsidRDefault="00D724FA" w:rsidP="00D724FA">
      <w:pPr>
        <w:pStyle w:val="IASBNormalnpara"/>
      </w:pPr>
    </w:p>
    <w:p w:rsidR="00D724FA" w:rsidRDefault="00D724FA" w:rsidP="00D724FA">
      <w:pPr>
        <w:pStyle w:val="IASBNormal"/>
      </w:pPr>
      <w:r>
        <w:t>The average market price of ordinary shares from 1 July to 1 September 20X1 was CU65.</w:t>
      </w:r>
    </w:p>
    <w:p w:rsidR="00D724FA" w:rsidRDefault="00D724FA" w:rsidP="00D724FA">
      <w:pPr>
        <w:pStyle w:val="IASBNormal"/>
      </w:pPr>
      <w:r>
        <w:rPr>
          <w:b/>
        </w:rPr>
        <w:t>Ordinary shares:</w:t>
      </w:r>
      <w:r>
        <w:t xml:space="preserve"> The number of ordinary shares outstanding at the beginning of 20X1 was 5,000,000. On 1 March 20X1, 200,000 ordinary shares were issued for cash.</w:t>
      </w:r>
    </w:p>
    <w:p w:rsidR="00D724FA" w:rsidRDefault="00D724FA" w:rsidP="00D724FA">
      <w:pPr>
        <w:pStyle w:val="IASBNormal"/>
      </w:pPr>
      <w:r>
        <w:rPr>
          <w:b/>
        </w:rPr>
        <w:t>Convertible bonds:</w:t>
      </w:r>
      <w:r>
        <w:t xml:space="preserve"> In the last quarter of 20X0, 5 per cent convertible bonds with a principal amount of CU12,000,000 due in 20 years were sold for cash at CU1,000 (par). Interest is payable twice a year, on 1 November and 1 May. Each CU1</w:t>
      </w:r>
      <w:proofErr w:type="gramStart"/>
      <w:r>
        <w:t>,000</w:t>
      </w:r>
      <w:proofErr w:type="gramEnd"/>
      <w:r>
        <w:t xml:space="preserve"> bond is convertible into 40 ordinary shares. No bonds were converted in 20X0. The entire issue was converted on 1 April 20X1 because the issue was called by Company A.</w:t>
      </w:r>
    </w:p>
    <w:p w:rsidR="00D724FA" w:rsidRDefault="00D724FA" w:rsidP="00D724FA">
      <w:pPr>
        <w:pStyle w:val="IASBNormal"/>
      </w:pPr>
      <w:r>
        <w:rPr>
          <w:b/>
        </w:rPr>
        <w:t>Convertible preference shares:</w:t>
      </w:r>
      <w:r>
        <w:t xml:space="preserve"> In the second quarter of 20X0, 800,000 convertible preference shares were issued for assets in a purchase transaction. The quarterly dividend on each convertible preference share is CU0.05, payable at the end of the quarter for shares outstanding at that date. Each share is convertible into one ordinary share. Holders of 600,000 convertible preference shares converted their preference shares into ordinary shares on 1 June 20X1.</w:t>
      </w:r>
    </w:p>
    <w:p w:rsidR="00D724FA" w:rsidRDefault="00D724FA" w:rsidP="00D724FA">
      <w:pPr>
        <w:pStyle w:val="IASBNormal"/>
      </w:pPr>
      <w:r>
        <w:rPr>
          <w:b/>
        </w:rPr>
        <w:t>Warrants:</w:t>
      </w:r>
      <w:r>
        <w:t xml:space="preserve"> Warrants to buy 600,000 ordinary shares at CU55 per share for a period of five years were issued on 1 January 20X1. All outstanding warrants were exercised on 1 September 20X1.</w:t>
      </w:r>
    </w:p>
    <w:p w:rsidR="00D724FA" w:rsidRDefault="00D724FA" w:rsidP="00D724FA">
      <w:pPr>
        <w:pStyle w:val="IASBNormal"/>
      </w:pPr>
      <w:r>
        <w:rPr>
          <w:b/>
        </w:rPr>
        <w:t>Options:</w:t>
      </w:r>
      <w:r>
        <w:t xml:space="preserve"> Options to buy 1,500,000 ordinary shares at CU75 per share for a period of 10 years were issued on 1 July 20X1. No options were exercised during 20X1 because the exercise price of the options exceeded the market price of the ordinary shares.</w:t>
      </w:r>
    </w:p>
    <w:p w:rsidR="00D724FA" w:rsidRDefault="00D724FA" w:rsidP="00D724FA">
      <w:pPr>
        <w:pStyle w:val="IASBNormal"/>
      </w:pPr>
      <w:r>
        <w:rPr>
          <w:b/>
        </w:rPr>
        <w:t>Tax rate:</w:t>
      </w:r>
      <w:r>
        <w:t xml:space="preserve"> The tax rate was 40 per cent for 20X1.</w:t>
      </w:r>
    </w:p>
    <w:p w:rsidR="00D724FA" w:rsidRDefault="00D724FA" w:rsidP="00D724FA">
      <w:pPr>
        <w:pStyle w:val="IASBNormalnpara"/>
      </w:pPr>
    </w:p>
    <w:tbl>
      <w:tblPr>
        <w:tblW w:w="0" w:type="auto"/>
        <w:tblLayout w:type="fixed"/>
        <w:tblLook w:val="0000" w:firstRow="0" w:lastRow="0" w:firstColumn="0" w:lastColumn="0" w:noHBand="0" w:noVBand="0"/>
        <w:tblCaption w:val="AASB 133 Table 27"/>
      </w:tblPr>
      <w:tblGrid>
        <w:gridCol w:w="4476"/>
        <w:gridCol w:w="728"/>
        <w:gridCol w:w="1365"/>
        <w:gridCol w:w="273"/>
        <w:gridCol w:w="728"/>
        <w:gridCol w:w="1365"/>
        <w:gridCol w:w="273"/>
      </w:tblGrid>
      <w:tr w:rsidR="00D724FA" w:rsidTr="00A858D8">
        <w:trPr>
          <w:cantSplit/>
          <w:tblHeader/>
        </w:trPr>
        <w:tc>
          <w:tcPr>
            <w:tcW w:w="4476" w:type="dxa"/>
          </w:tcPr>
          <w:p w:rsidR="00D724FA" w:rsidRDefault="00D724FA" w:rsidP="00A858D8">
            <w:pPr>
              <w:pStyle w:val="IASBTableHeaderArial"/>
            </w:pPr>
            <w:r>
              <w:rPr>
                <w:b/>
              </w:rPr>
              <w:t>20X1</w:t>
            </w:r>
          </w:p>
        </w:tc>
        <w:tc>
          <w:tcPr>
            <w:tcW w:w="2093" w:type="dxa"/>
            <w:gridSpan w:val="2"/>
            <w:tcBorders>
              <w:left w:val="nil"/>
            </w:tcBorders>
          </w:tcPr>
          <w:p w:rsidR="00D724FA" w:rsidRDefault="00D724FA" w:rsidP="00A858D8">
            <w:pPr>
              <w:pStyle w:val="IASBTableHeaderArial"/>
              <w:jc w:val="right"/>
            </w:pPr>
            <w:r>
              <w:rPr>
                <w:b/>
                <w:i/>
              </w:rPr>
              <w:t>Profit (loss) from continuing operations attributable to the parent entity</w:t>
            </w:r>
            <w:r>
              <w:rPr>
                <w:b/>
                <w:vertAlign w:val="superscript"/>
              </w:rPr>
              <w:t>(a)</w:t>
            </w:r>
          </w:p>
        </w:tc>
        <w:tc>
          <w:tcPr>
            <w:tcW w:w="273" w:type="dxa"/>
            <w:tcBorders>
              <w:left w:val="nil"/>
            </w:tcBorders>
          </w:tcPr>
          <w:p w:rsidR="00D724FA" w:rsidRDefault="00D724FA" w:rsidP="00A858D8">
            <w:pPr>
              <w:pStyle w:val="IASBTableHeaderArial"/>
            </w:pPr>
          </w:p>
        </w:tc>
        <w:tc>
          <w:tcPr>
            <w:tcW w:w="2093" w:type="dxa"/>
            <w:gridSpan w:val="2"/>
            <w:tcBorders>
              <w:left w:val="nil"/>
            </w:tcBorders>
          </w:tcPr>
          <w:p w:rsidR="00D724FA" w:rsidRDefault="00D724FA" w:rsidP="00A858D8">
            <w:pPr>
              <w:pStyle w:val="IASBTableHeaderArial"/>
              <w:jc w:val="right"/>
            </w:pPr>
            <w:r>
              <w:rPr>
                <w:b/>
                <w:i/>
              </w:rPr>
              <w:t>Profit (loss) attributable to the parent entity</w:t>
            </w:r>
          </w:p>
        </w:tc>
        <w:tc>
          <w:tcPr>
            <w:tcW w:w="273" w:type="dxa"/>
            <w:tcBorders>
              <w:left w:val="nil"/>
            </w:tcBorders>
            <w:vAlign w:val="bottom"/>
          </w:tcPr>
          <w:p w:rsidR="00D724FA" w:rsidRDefault="00D724FA" w:rsidP="00A858D8">
            <w:pPr>
              <w:pStyle w:val="IASBTableHeaderArial"/>
              <w:jc w:val="right"/>
            </w:pPr>
          </w:p>
        </w:tc>
      </w:tr>
      <w:tr w:rsidR="00D724FA" w:rsidTr="00A858D8">
        <w:trPr>
          <w:cantSplit/>
          <w:tblHeader/>
        </w:trPr>
        <w:tc>
          <w:tcPr>
            <w:tcW w:w="4476" w:type="dxa"/>
            <w:tcBorders>
              <w:top w:val="nil"/>
            </w:tcBorders>
          </w:tcPr>
          <w:p w:rsidR="00D724FA" w:rsidRDefault="00D724FA" w:rsidP="00A858D8">
            <w:pPr>
              <w:pStyle w:val="IASBTableHeaderArial"/>
            </w:pPr>
          </w:p>
        </w:tc>
        <w:tc>
          <w:tcPr>
            <w:tcW w:w="728" w:type="dxa"/>
            <w:tcBorders>
              <w:top w:val="nil"/>
              <w:left w:val="nil"/>
            </w:tcBorders>
            <w:vAlign w:val="bottom"/>
          </w:tcPr>
          <w:p w:rsidR="00D724FA" w:rsidRDefault="00D724FA" w:rsidP="00A858D8">
            <w:pPr>
              <w:pStyle w:val="IASBTableHeaderArial"/>
            </w:pPr>
          </w:p>
        </w:tc>
        <w:tc>
          <w:tcPr>
            <w:tcW w:w="1365" w:type="dxa"/>
            <w:tcBorders>
              <w:top w:val="nil"/>
              <w:left w:val="nil"/>
            </w:tcBorders>
          </w:tcPr>
          <w:p w:rsidR="00D724FA" w:rsidRDefault="00D724FA" w:rsidP="00A858D8">
            <w:pPr>
              <w:pStyle w:val="IASBTableHeaderArial"/>
              <w:jc w:val="right"/>
            </w:pPr>
            <w:r>
              <w:rPr>
                <w:b/>
                <w:u w:val="single"/>
              </w:rPr>
              <w:t>CU</w:t>
            </w:r>
          </w:p>
        </w:tc>
        <w:tc>
          <w:tcPr>
            <w:tcW w:w="273" w:type="dxa"/>
            <w:tcBorders>
              <w:top w:val="nil"/>
              <w:left w:val="nil"/>
            </w:tcBorders>
            <w:vAlign w:val="bottom"/>
          </w:tcPr>
          <w:p w:rsidR="00D724FA" w:rsidRDefault="00D724FA" w:rsidP="00A858D8">
            <w:pPr>
              <w:pStyle w:val="IASBTableHeaderArial"/>
            </w:pPr>
          </w:p>
        </w:tc>
        <w:tc>
          <w:tcPr>
            <w:tcW w:w="728" w:type="dxa"/>
            <w:tcBorders>
              <w:top w:val="nil"/>
              <w:left w:val="nil"/>
            </w:tcBorders>
            <w:vAlign w:val="bottom"/>
          </w:tcPr>
          <w:p w:rsidR="00D724FA" w:rsidRDefault="00D724FA" w:rsidP="00A858D8">
            <w:pPr>
              <w:pStyle w:val="IASBTableHeaderArial"/>
            </w:pPr>
          </w:p>
        </w:tc>
        <w:tc>
          <w:tcPr>
            <w:tcW w:w="1365" w:type="dxa"/>
            <w:tcBorders>
              <w:top w:val="nil"/>
              <w:left w:val="nil"/>
            </w:tcBorders>
          </w:tcPr>
          <w:p w:rsidR="00D724FA" w:rsidRDefault="00D724FA" w:rsidP="00A858D8">
            <w:pPr>
              <w:pStyle w:val="IASBTableHeaderArial"/>
              <w:jc w:val="right"/>
            </w:pPr>
            <w:r>
              <w:rPr>
                <w:b/>
                <w:u w:val="single"/>
              </w:rPr>
              <w:t>CU</w:t>
            </w:r>
          </w:p>
        </w:tc>
        <w:tc>
          <w:tcPr>
            <w:tcW w:w="273" w:type="dxa"/>
            <w:tcBorders>
              <w:top w:val="nil"/>
              <w:left w:val="nil"/>
            </w:tcBorders>
            <w:vAlign w:val="bottom"/>
          </w:tcPr>
          <w:p w:rsidR="00D724FA" w:rsidRDefault="00D724FA" w:rsidP="00A858D8">
            <w:pPr>
              <w:pStyle w:val="IASBTableHeaderArial"/>
            </w:pPr>
          </w:p>
        </w:tc>
      </w:tr>
      <w:tr w:rsidR="00D724FA" w:rsidTr="00A858D8">
        <w:trPr>
          <w:cantSplit/>
        </w:trPr>
        <w:tc>
          <w:tcPr>
            <w:tcW w:w="4476" w:type="dxa"/>
            <w:tcBorders>
              <w:top w:val="nil"/>
            </w:tcBorders>
          </w:tcPr>
          <w:p w:rsidR="00D724FA" w:rsidRDefault="00D724FA" w:rsidP="00A858D8">
            <w:pPr>
              <w:pStyle w:val="IASBTableArial"/>
            </w:pPr>
            <w:r>
              <w:t>First quarter</w:t>
            </w:r>
          </w:p>
        </w:tc>
        <w:tc>
          <w:tcPr>
            <w:tcW w:w="728" w:type="dxa"/>
            <w:tcBorders>
              <w:top w:val="nil"/>
              <w:left w:val="nil"/>
            </w:tcBorders>
            <w:vAlign w:val="bottom"/>
          </w:tcPr>
          <w:p w:rsidR="00D724FA" w:rsidRDefault="00D724FA" w:rsidP="00A858D8">
            <w:pPr>
              <w:pStyle w:val="IASBTableArial"/>
              <w:jc w:val="right"/>
            </w:pPr>
          </w:p>
        </w:tc>
        <w:tc>
          <w:tcPr>
            <w:tcW w:w="1365" w:type="dxa"/>
            <w:tcBorders>
              <w:top w:val="nil"/>
              <w:left w:val="nil"/>
            </w:tcBorders>
            <w:vAlign w:val="bottom"/>
          </w:tcPr>
          <w:p w:rsidR="00D724FA" w:rsidRDefault="00D724FA" w:rsidP="00A858D8">
            <w:pPr>
              <w:pStyle w:val="IASBTableArial"/>
              <w:jc w:val="right"/>
            </w:pPr>
            <w:r>
              <w:t>5,000,000</w:t>
            </w:r>
          </w:p>
        </w:tc>
        <w:tc>
          <w:tcPr>
            <w:tcW w:w="273" w:type="dxa"/>
            <w:tcBorders>
              <w:top w:val="nil"/>
              <w:left w:val="nil"/>
            </w:tcBorders>
            <w:vAlign w:val="bottom"/>
          </w:tcPr>
          <w:p w:rsidR="00D724FA" w:rsidRDefault="00D724FA" w:rsidP="00A858D8">
            <w:pPr>
              <w:pStyle w:val="IASBTableArial"/>
            </w:pPr>
          </w:p>
        </w:tc>
        <w:tc>
          <w:tcPr>
            <w:tcW w:w="728" w:type="dxa"/>
            <w:tcBorders>
              <w:top w:val="nil"/>
              <w:left w:val="nil"/>
            </w:tcBorders>
            <w:vAlign w:val="bottom"/>
          </w:tcPr>
          <w:p w:rsidR="00D724FA" w:rsidRDefault="00D724FA" w:rsidP="00A858D8">
            <w:pPr>
              <w:pStyle w:val="IASBTableArial"/>
              <w:jc w:val="right"/>
            </w:pPr>
          </w:p>
        </w:tc>
        <w:tc>
          <w:tcPr>
            <w:tcW w:w="1365" w:type="dxa"/>
            <w:tcBorders>
              <w:top w:val="nil"/>
              <w:left w:val="nil"/>
            </w:tcBorders>
            <w:vAlign w:val="bottom"/>
          </w:tcPr>
          <w:p w:rsidR="00D724FA" w:rsidRDefault="00D724FA" w:rsidP="00A858D8">
            <w:pPr>
              <w:pStyle w:val="IASBTableArial"/>
              <w:jc w:val="right"/>
            </w:pPr>
            <w:r>
              <w:t>5,000,000</w:t>
            </w:r>
          </w:p>
        </w:tc>
        <w:tc>
          <w:tcPr>
            <w:tcW w:w="273" w:type="dxa"/>
            <w:tcBorders>
              <w:top w:val="nil"/>
              <w:left w:val="nil"/>
            </w:tcBorders>
            <w:vAlign w:val="bottom"/>
          </w:tcPr>
          <w:p w:rsidR="00D724FA" w:rsidRDefault="00D724FA" w:rsidP="00A858D8">
            <w:pPr>
              <w:pStyle w:val="IASBTableArial"/>
            </w:pPr>
          </w:p>
        </w:tc>
      </w:tr>
      <w:tr w:rsidR="00D724FA" w:rsidTr="00A858D8">
        <w:trPr>
          <w:cantSplit/>
        </w:trPr>
        <w:tc>
          <w:tcPr>
            <w:tcW w:w="4476" w:type="dxa"/>
            <w:tcBorders>
              <w:top w:val="nil"/>
            </w:tcBorders>
          </w:tcPr>
          <w:p w:rsidR="00D724FA" w:rsidRDefault="00D724FA" w:rsidP="00A858D8">
            <w:pPr>
              <w:pStyle w:val="IASBTableArial"/>
            </w:pPr>
            <w:r>
              <w:t>Second quarter</w:t>
            </w:r>
          </w:p>
        </w:tc>
        <w:tc>
          <w:tcPr>
            <w:tcW w:w="728" w:type="dxa"/>
            <w:tcBorders>
              <w:top w:val="nil"/>
              <w:left w:val="nil"/>
            </w:tcBorders>
            <w:vAlign w:val="bottom"/>
          </w:tcPr>
          <w:p w:rsidR="00D724FA" w:rsidRDefault="00D724FA" w:rsidP="00A858D8">
            <w:pPr>
              <w:pStyle w:val="IASBTableArial"/>
              <w:jc w:val="right"/>
            </w:pPr>
          </w:p>
        </w:tc>
        <w:tc>
          <w:tcPr>
            <w:tcW w:w="1365" w:type="dxa"/>
            <w:tcBorders>
              <w:top w:val="nil"/>
              <w:left w:val="nil"/>
            </w:tcBorders>
            <w:vAlign w:val="bottom"/>
          </w:tcPr>
          <w:p w:rsidR="00D724FA" w:rsidRDefault="00D724FA" w:rsidP="00A858D8">
            <w:pPr>
              <w:pStyle w:val="IASBTableArial"/>
              <w:jc w:val="right"/>
            </w:pPr>
            <w:r>
              <w:t>6,500,000</w:t>
            </w:r>
          </w:p>
        </w:tc>
        <w:tc>
          <w:tcPr>
            <w:tcW w:w="273" w:type="dxa"/>
            <w:tcBorders>
              <w:top w:val="nil"/>
              <w:left w:val="nil"/>
            </w:tcBorders>
            <w:vAlign w:val="bottom"/>
          </w:tcPr>
          <w:p w:rsidR="00D724FA" w:rsidRDefault="00D724FA" w:rsidP="00A858D8">
            <w:pPr>
              <w:pStyle w:val="IASBTableArial"/>
            </w:pPr>
          </w:p>
        </w:tc>
        <w:tc>
          <w:tcPr>
            <w:tcW w:w="728" w:type="dxa"/>
            <w:tcBorders>
              <w:top w:val="nil"/>
              <w:left w:val="nil"/>
            </w:tcBorders>
            <w:vAlign w:val="bottom"/>
          </w:tcPr>
          <w:p w:rsidR="00D724FA" w:rsidRDefault="00D724FA" w:rsidP="00A858D8">
            <w:pPr>
              <w:pStyle w:val="IASBTableArial"/>
              <w:jc w:val="right"/>
            </w:pPr>
          </w:p>
        </w:tc>
        <w:tc>
          <w:tcPr>
            <w:tcW w:w="1365" w:type="dxa"/>
            <w:tcBorders>
              <w:top w:val="nil"/>
              <w:left w:val="nil"/>
            </w:tcBorders>
            <w:vAlign w:val="bottom"/>
          </w:tcPr>
          <w:p w:rsidR="00D724FA" w:rsidRDefault="00D724FA" w:rsidP="00A858D8">
            <w:pPr>
              <w:pStyle w:val="IASBTableArial"/>
              <w:jc w:val="right"/>
            </w:pPr>
            <w:r>
              <w:t>6,500,000</w:t>
            </w:r>
          </w:p>
        </w:tc>
        <w:tc>
          <w:tcPr>
            <w:tcW w:w="273" w:type="dxa"/>
            <w:tcBorders>
              <w:top w:val="nil"/>
              <w:left w:val="nil"/>
            </w:tcBorders>
            <w:vAlign w:val="bottom"/>
          </w:tcPr>
          <w:p w:rsidR="00D724FA" w:rsidRDefault="00D724FA" w:rsidP="00A858D8">
            <w:pPr>
              <w:pStyle w:val="IASBTableArial"/>
            </w:pPr>
          </w:p>
        </w:tc>
      </w:tr>
      <w:tr w:rsidR="00D724FA" w:rsidTr="00A858D8">
        <w:trPr>
          <w:cantSplit/>
        </w:trPr>
        <w:tc>
          <w:tcPr>
            <w:tcW w:w="4476" w:type="dxa"/>
            <w:tcBorders>
              <w:top w:val="nil"/>
            </w:tcBorders>
          </w:tcPr>
          <w:p w:rsidR="00D724FA" w:rsidRDefault="00D724FA" w:rsidP="00A858D8">
            <w:pPr>
              <w:pStyle w:val="IASBTableArial"/>
            </w:pPr>
            <w:r>
              <w:t>Third quarter</w:t>
            </w:r>
          </w:p>
        </w:tc>
        <w:tc>
          <w:tcPr>
            <w:tcW w:w="728" w:type="dxa"/>
            <w:tcBorders>
              <w:top w:val="nil"/>
              <w:left w:val="nil"/>
            </w:tcBorders>
            <w:vAlign w:val="bottom"/>
          </w:tcPr>
          <w:p w:rsidR="00D724FA" w:rsidRDefault="00D724FA" w:rsidP="00A858D8">
            <w:pPr>
              <w:pStyle w:val="IASBTableArial"/>
              <w:jc w:val="right"/>
            </w:pPr>
          </w:p>
        </w:tc>
        <w:tc>
          <w:tcPr>
            <w:tcW w:w="1365" w:type="dxa"/>
            <w:tcBorders>
              <w:top w:val="nil"/>
              <w:left w:val="nil"/>
            </w:tcBorders>
          </w:tcPr>
          <w:p w:rsidR="00D724FA" w:rsidRDefault="00D724FA" w:rsidP="00A858D8">
            <w:pPr>
              <w:pStyle w:val="IASBTableArial"/>
              <w:jc w:val="right"/>
            </w:pPr>
            <w:r>
              <w:t>1,000,000</w:t>
            </w:r>
          </w:p>
        </w:tc>
        <w:tc>
          <w:tcPr>
            <w:tcW w:w="273" w:type="dxa"/>
            <w:tcBorders>
              <w:top w:val="nil"/>
              <w:left w:val="nil"/>
            </w:tcBorders>
            <w:vAlign w:val="bottom"/>
          </w:tcPr>
          <w:p w:rsidR="00D724FA" w:rsidRDefault="00D724FA" w:rsidP="00A858D8">
            <w:pPr>
              <w:pStyle w:val="IASBTableArial"/>
            </w:pPr>
          </w:p>
        </w:tc>
        <w:tc>
          <w:tcPr>
            <w:tcW w:w="728" w:type="dxa"/>
            <w:tcBorders>
              <w:top w:val="nil"/>
              <w:left w:val="nil"/>
            </w:tcBorders>
            <w:vAlign w:val="bottom"/>
          </w:tcPr>
          <w:p w:rsidR="00D724FA" w:rsidRDefault="00D724FA" w:rsidP="00A858D8">
            <w:pPr>
              <w:pStyle w:val="IASBTableArial"/>
              <w:jc w:val="right"/>
            </w:pPr>
          </w:p>
        </w:tc>
        <w:tc>
          <w:tcPr>
            <w:tcW w:w="1365" w:type="dxa"/>
            <w:tcBorders>
              <w:top w:val="nil"/>
              <w:left w:val="nil"/>
            </w:tcBorders>
          </w:tcPr>
          <w:p w:rsidR="00D724FA" w:rsidRDefault="00D724FA" w:rsidP="00A858D8">
            <w:pPr>
              <w:pStyle w:val="IASBTableArial"/>
              <w:jc w:val="right"/>
            </w:pPr>
            <w:r>
              <w:t>(1,000,000)</w:t>
            </w:r>
            <w:r>
              <w:rPr>
                <w:vertAlign w:val="superscript"/>
              </w:rPr>
              <w:t>(b)</w:t>
            </w:r>
          </w:p>
        </w:tc>
        <w:tc>
          <w:tcPr>
            <w:tcW w:w="273" w:type="dxa"/>
            <w:tcBorders>
              <w:top w:val="nil"/>
              <w:left w:val="nil"/>
            </w:tcBorders>
          </w:tcPr>
          <w:p w:rsidR="00D724FA" w:rsidRDefault="00D724FA" w:rsidP="00A858D8">
            <w:pPr>
              <w:pStyle w:val="IASBTableArial"/>
            </w:pPr>
          </w:p>
        </w:tc>
      </w:tr>
      <w:tr w:rsidR="00D724FA" w:rsidTr="00A858D8">
        <w:trPr>
          <w:cantSplit/>
        </w:trPr>
        <w:tc>
          <w:tcPr>
            <w:tcW w:w="4476" w:type="dxa"/>
            <w:tcBorders>
              <w:top w:val="nil"/>
            </w:tcBorders>
          </w:tcPr>
          <w:p w:rsidR="00D724FA" w:rsidRDefault="00D724FA" w:rsidP="00A858D8">
            <w:pPr>
              <w:pStyle w:val="IASBTableArial"/>
            </w:pPr>
            <w:r>
              <w:t>Fourth quarter</w:t>
            </w:r>
          </w:p>
        </w:tc>
        <w:tc>
          <w:tcPr>
            <w:tcW w:w="728" w:type="dxa"/>
            <w:tcBorders>
              <w:top w:val="nil"/>
              <w:left w:val="nil"/>
            </w:tcBorders>
            <w:vAlign w:val="bottom"/>
          </w:tcPr>
          <w:p w:rsidR="00D724FA" w:rsidRDefault="00D724FA" w:rsidP="00A858D8">
            <w:pPr>
              <w:pStyle w:val="IASBTableArial"/>
              <w:jc w:val="right"/>
            </w:pPr>
          </w:p>
        </w:tc>
        <w:tc>
          <w:tcPr>
            <w:tcW w:w="1365" w:type="dxa"/>
            <w:tcBorders>
              <w:top w:val="nil"/>
              <w:left w:val="nil"/>
              <w:bottom w:val="single" w:sz="4" w:space="0" w:color="auto"/>
            </w:tcBorders>
            <w:vAlign w:val="bottom"/>
          </w:tcPr>
          <w:p w:rsidR="00D724FA" w:rsidRDefault="00D724FA" w:rsidP="00A858D8">
            <w:pPr>
              <w:pStyle w:val="IASBTableArial"/>
              <w:jc w:val="right"/>
            </w:pPr>
            <w:r>
              <w:t>(700,000)</w:t>
            </w:r>
          </w:p>
        </w:tc>
        <w:tc>
          <w:tcPr>
            <w:tcW w:w="273" w:type="dxa"/>
            <w:tcBorders>
              <w:top w:val="nil"/>
              <w:left w:val="nil"/>
            </w:tcBorders>
            <w:vAlign w:val="bottom"/>
          </w:tcPr>
          <w:p w:rsidR="00D724FA" w:rsidRDefault="00D724FA" w:rsidP="00A858D8">
            <w:pPr>
              <w:pStyle w:val="IASBTableArial"/>
            </w:pPr>
          </w:p>
        </w:tc>
        <w:tc>
          <w:tcPr>
            <w:tcW w:w="728" w:type="dxa"/>
            <w:tcBorders>
              <w:top w:val="nil"/>
              <w:left w:val="nil"/>
            </w:tcBorders>
            <w:vAlign w:val="bottom"/>
          </w:tcPr>
          <w:p w:rsidR="00D724FA" w:rsidRDefault="00D724FA" w:rsidP="00A858D8">
            <w:pPr>
              <w:pStyle w:val="IASBTableArial"/>
              <w:jc w:val="right"/>
            </w:pPr>
          </w:p>
        </w:tc>
        <w:tc>
          <w:tcPr>
            <w:tcW w:w="1365" w:type="dxa"/>
            <w:tcBorders>
              <w:top w:val="nil"/>
              <w:left w:val="nil"/>
              <w:bottom w:val="single" w:sz="4" w:space="0" w:color="auto"/>
            </w:tcBorders>
            <w:vAlign w:val="bottom"/>
          </w:tcPr>
          <w:p w:rsidR="00D724FA" w:rsidRDefault="00D724FA" w:rsidP="00A858D8">
            <w:pPr>
              <w:pStyle w:val="IASBTableArial"/>
              <w:jc w:val="right"/>
            </w:pPr>
            <w:r>
              <w:t>(700,000)</w:t>
            </w:r>
          </w:p>
        </w:tc>
        <w:tc>
          <w:tcPr>
            <w:tcW w:w="273" w:type="dxa"/>
            <w:tcBorders>
              <w:top w:val="nil"/>
              <w:left w:val="nil"/>
            </w:tcBorders>
            <w:vAlign w:val="bottom"/>
          </w:tcPr>
          <w:p w:rsidR="00D724FA" w:rsidRDefault="00D724FA" w:rsidP="00A858D8">
            <w:pPr>
              <w:pStyle w:val="IASBTableArial"/>
            </w:pPr>
          </w:p>
        </w:tc>
      </w:tr>
      <w:tr w:rsidR="00D724FA" w:rsidTr="00A858D8">
        <w:trPr>
          <w:cantSplit/>
        </w:trPr>
        <w:tc>
          <w:tcPr>
            <w:tcW w:w="4476" w:type="dxa"/>
            <w:tcBorders>
              <w:top w:val="nil"/>
            </w:tcBorders>
          </w:tcPr>
          <w:p w:rsidR="00D724FA" w:rsidRDefault="00D724FA" w:rsidP="00A858D8">
            <w:pPr>
              <w:pStyle w:val="IASBTableArial"/>
            </w:pPr>
            <w:r>
              <w:t>Full year</w:t>
            </w:r>
          </w:p>
        </w:tc>
        <w:tc>
          <w:tcPr>
            <w:tcW w:w="728" w:type="dxa"/>
            <w:tcBorders>
              <w:top w:val="nil"/>
              <w:left w:val="nil"/>
            </w:tcBorders>
            <w:vAlign w:val="bottom"/>
          </w:tcPr>
          <w:p w:rsidR="00D724FA" w:rsidRDefault="00D724FA" w:rsidP="00A858D8">
            <w:pPr>
              <w:pStyle w:val="IASBTableArial"/>
              <w:jc w:val="right"/>
            </w:pPr>
          </w:p>
        </w:tc>
        <w:tc>
          <w:tcPr>
            <w:tcW w:w="1365" w:type="dxa"/>
            <w:tcBorders>
              <w:top w:val="nil"/>
              <w:left w:val="nil"/>
              <w:bottom w:val="double" w:sz="4" w:space="0" w:color="auto"/>
            </w:tcBorders>
            <w:vAlign w:val="bottom"/>
          </w:tcPr>
          <w:p w:rsidR="00D724FA" w:rsidRDefault="00D724FA" w:rsidP="00A858D8">
            <w:pPr>
              <w:pStyle w:val="IASBTableArial"/>
              <w:jc w:val="right"/>
            </w:pPr>
            <w:r>
              <w:t>11,800,000</w:t>
            </w:r>
          </w:p>
        </w:tc>
        <w:tc>
          <w:tcPr>
            <w:tcW w:w="273" w:type="dxa"/>
            <w:tcBorders>
              <w:top w:val="nil"/>
              <w:left w:val="nil"/>
            </w:tcBorders>
            <w:vAlign w:val="bottom"/>
          </w:tcPr>
          <w:p w:rsidR="00D724FA" w:rsidRDefault="00D724FA" w:rsidP="00A858D8">
            <w:pPr>
              <w:pStyle w:val="IASBTableArial"/>
            </w:pPr>
          </w:p>
        </w:tc>
        <w:tc>
          <w:tcPr>
            <w:tcW w:w="728" w:type="dxa"/>
            <w:tcBorders>
              <w:top w:val="nil"/>
              <w:left w:val="nil"/>
            </w:tcBorders>
            <w:vAlign w:val="bottom"/>
          </w:tcPr>
          <w:p w:rsidR="00D724FA" w:rsidRDefault="00D724FA" w:rsidP="00A858D8">
            <w:pPr>
              <w:pStyle w:val="IASBTableArial"/>
              <w:jc w:val="right"/>
            </w:pPr>
          </w:p>
        </w:tc>
        <w:tc>
          <w:tcPr>
            <w:tcW w:w="1365" w:type="dxa"/>
            <w:tcBorders>
              <w:top w:val="nil"/>
              <w:left w:val="nil"/>
              <w:bottom w:val="double" w:sz="4" w:space="0" w:color="auto"/>
            </w:tcBorders>
            <w:vAlign w:val="bottom"/>
          </w:tcPr>
          <w:p w:rsidR="00D724FA" w:rsidRDefault="00D724FA" w:rsidP="00A858D8">
            <w:pPr>
              <w:pStyle w:val="IASBTableArial"/>
              <w:jc w:val="right"/>
            </w:pPr>
            <w:r>
              <w:t>9,800,000</w:t>
            </w:r>
          </w:p>
        </w:tc>
        <w:tc>
          <w:tcPr>
            <w:tcW w:w="273" w:type="dxa"/>
            <w:tcBorders>
              <w:top w:val="nil"/>
              <w:left w:val="nil"/>
            </w:tcBorders>
            <w:vAlign w:val="bottom"/>
          </w:tcPr>
          <w:p w:rsidR="00D724FA" w:rsidRDefault="00D724FA" w:rsidP="00A858D8">
            <w:pPr>
              <w:pStyle w:val="IASBTableArial"/>
            </w:pPr>
          </w:p>
        </w:tc>
      </w:tr>
      <w:tr w:rsidR="00D724FA" w:rsidTr="00A858D8">
        <w:trPr>
          <w:cantSplit/>
        </w:trPr>
        <w:tc>
          <w:tcPr>
            <w:tcW w:w="9208" w:type="dxa"/>
            <w:gridSpan w:val="7"/>
            <w:tcBorders>
              <w:top w:val="nil"/>
            </w:tcBorders>
            <w:vAlign w:val="bottom"/>
          </w:tcPr>
          <w:p w:rsidR="00D724FA" w:rsidRDefault="00D724FA" w:rsidP="00A858D8">
            <w:pPr>
              <w:pStyle w:val="IASBTableArial"/>
            </w:pPr>
          </w:p>
        </w:tc>
      </w:tr>
      <w:tr w:rsidR="00D724FA" w:rsidTr="00A858D8">
        <w:trPr>
          <w:cantSplit/>
        </w:trPr>
        <w:tc>
          <w:tcPr>
            <w:tcW w:w="9208" w:type="dxa"/>
            <w:gridSpan w:val="7"/>
            <w:tcBorders>
              <w:top w:val="nil"/>
            </w:tcBorders>
            <w:vAlign w:val="bottom"/>
          </w:tcPr>
          <w:p w:rsidR="00D724FA" w:rsidRDefault="00D724FA" w:rsidP="00A858D8">
            <w:pPr>
              <w:pStyle w:val="IASBTableTNR"/>
              <w:rPr>
                <w:sz w:val="16"/>
              </w:rPr>
            </w:pPr>
            <w:r>
              <w:rPr>
                <w:rStyle w:val="FootnoteReference"/>
                <w:sz w:val="16"/>
                <w:vertAlign w:val="baseline"/>
              </w:rPr>
              <w:t>(a)</w:t>
            </w:r>
            <w:r>
              <w:rPr>
                <w:rStyle w:val="FootnoteReference"/>
                <w:sz w:val="16"/>
                <w:vertAlign w:val="baseline"/>
              </w:rPr>
              <w:tab/>
              <w:t>This is the control number (before adjusting for preference dividends).</w:t>
            </w:r>
          </w:p>
          <w:p w:rsidR="00D724FA" w:rsidRDefault="00D724FA" w:rsidP="00A858D8">
            <w:pPr>
              <w:pStyle w:val="IASBTableTNR"/>
            </w:pPr>
            <w:r>
              <w:rPr>
                <w:rStyle w:val="FootnoteReference"/>
                <w:sz w:val="16"/>
                <w:vertAlign w:val="baseline"/>
              </w:rPr>
              <w:t>(b)</w:t>
            </w:r>
            <w:r>
              <w:rPr>
                <w:rStyle w:val="FootnoteReference"/>
                <w:sz w:val="16"/>
                <w:vertAlign w:val="baseline"/>
              </w:rPr>
              <w:tab/>
              <w:t>Company A had a CU2,000,000 loss (net of tax) from discontinued operations in the third quarter.</w:t>
            </w:r>
          </w:p>
        </w:tc>
      </w:tr>
    </w:tbl>
    <w:p w:rsidR="00D724FA" w:rsidRDefault="00D724FA" w:rsidP="00D724FA">
      <w:pPr>
        <w:pStyle w:val="IASBNormalnpara"/>
      </w:pPr>
    </w:p>
    <w:tbl>
      <w:tblPr>
        <w:tblW w:w="0" w:type="auto"/>
        <w:tblLayout w:type="fixed"/>
        <w:tblLook w:val="0000" w:firstRow="0" w:lastRow="0" w:firstColumn="0" w:lastColumn="0" w:noHBand="0" w:noVBand="0"/>
        <w:tblCaption w:val="AASB 133 Table 28"/>
      </w:tblPr>
      <w:tblGrid>
        <w:gridCol w:w="563"/>
        <w:gridCol w:w="2730"/>
        <w:gridCol w:w="1365"/>
        <w:gridCol w:w="455"/>
        <w:gridCol w:w="1365"/>
        <w:gridCol w:w="455"/>
        <w:gridCol w:w="455"/>
        <w:gridCol w:w="1638"/>
        <w:gridCol w:w="195"/>
        <w:gridCol w:w="41"/>
      </w:tblGrid>
      <w:tr w:rsidR="00D724FA" w:rsidTr="00A858D8">
        <w:trPr>
          <w:cantSplit/>
        </w:trPr>
        <w:tc>
          <w:tcPr>
            <w:tcW w:w="9026" w:type="dxa"/>
            <w:gridSpan w:val="8"/>
            <w:tcBorders>
              <w:bottom w:val="single" w:sz="4" w:space="0" w:color="auto"/>
            </w:tcBorders>
            <w:vAlign w:val="bottom"/>
          </w:tcPr>
          <w:p w:rsidR="00D724FA" w:rsidRDefault="00D724FA" w:rsidP="00A858D8">
            <w:pPr>
              <w:pStyle w:val="IASBTableArial"/>
            </w:pPr>
            <w:r>
              <w:rPr>
                <w:b/>
              </w:rPr>
              <w:t>First Quarter 20X1</w:t>
            </w:r>
          </w:p>
        </w:tc>
        <w:tc>
          <w:tcPr>
            <w:tcW w:w="216" w:type="dxa"/>
            <w:gridSpan w:val="2"/>
            <w:tcBorders>
              <w:left w:val="nil"/>
              <w:bottom w:val="single" w:sz="4" w:space="0" w:color="auto"/>
            </w:tcBorders>
            <w:vAlign w:val="bottom"/>
          </w:tcPr>
          <w:p w:rsidR="00D724FA" w:rsidRDefault="00D724FA" w:rsidP="00A858D8">
            <w:pPr>
              <w:pStyle w:val="IASBTableArial"/>
            </w:pPr>
          </w:p>
        </w:tc>
      </w:tr>
      <w:tr w:rsidR="00D724FA" w:rsidTr="00A858D8">
        <w:trPr>
          <w:cantSplit/>
        </w:trPr>
        <w:tc>
          <w:tcPr>
            <w:tcW w:w="6933" w:type="dxa"/>
            <w:gridSpan w:val="6"/>
            <w:tcBorders>
              <w:top w:val="nil"/>
            </w:tcBorders>
            <w:vAlign w:val="bottom"/>
          </w:tcPr>
          <w:p w:rsidR="00D724FA" w:rsidRDefault="00D724FA" w:rsidP="00A858D8">
            <w:pPr>
              <w:pStyle w:val="IASBTableArial"/>
            </w:pPr>
            <w:r>
              <w:rPr>
                <w:i/>
              </w:rPr>
              <w:t>Basic EPS calculation</w:t>
            </w:r>
          </w:p>
        </w:tc>
        <w:tc>
          <w:tcPr>
            <w:tcW w:w="455" w:type="dxa"/>
            <w:tcBorders>
              <w:top w:val="nil"/>
              <w:left w:val="nil"/>
            </w:tcBorders>
            <w:vAlign w:val="bottom"/>
          </w:tcPr>
          <w:p w:rsidR="00D724FA" w:rsidRDefault="00D724FA" w:rsidP="00A858D8">
            <w:pPr>
              <w:pStyle w:val="IASBTableArial"/>
              <w:jc w:val="right"/>
            </w:pPr>
          </w:p>
        </w:tc>
        <w:tc>
          <w:tcPr>
            <w:tcW w:w="1638" w:type="dxa"/>
            <w:tcBorders>
              <w:top w:val="nil"/>
              <w:left w:val="nil"/>
            </w:tcBorders>
            <w:vAlign w:val="bottom"/>
          </w:tcPr>
          <w:p w:rsidR="00D724FA" w:rsidRDefault="00D724FA" w:rsidP="00A858D8">
            <w:pPr>
              <w:pStyle w:val="IASBTableArial"/>
              <w:jc w:val="right"/>
            </w:pPr>
            <w:r>
              <w:rPr>
                <w:u w:val="single"/>
              </w:rPr>
              <w:t>CU</w:t>
            </w:r>
          </w:p>
        </w:tc>
        <w:tc>
          <w:tcPr>
            <w:tcW w:w="216" w:type="dxa"/>
            <w:gridSpan w:val="2"/>
            <w:tcBorders>
              <w:top w:val="nil"/>
              <w:left w:val="nil"/>
            </w:tcBorders>
            <w:vAlign w:val="bottom"/>
          </w:tcPr>
          <w:p w:rsidR="00D724FA" w:rsidRDefault="00D724FA" w:rsidP="00A858D8">
            <w:pPr>
              <w:pStyle w:val="IASBTableArial"/>
            </w:pPr>
          </w:p>
        </w:tc>
      </w:tr>
      <w:tr w:rsidR="00D724FA" w:rsidTr="00A858D8">
        <w:trPr>
          <w:cantSplit/>
        </w:trPr>
        <w:tc>
          <w:tcPr>
            <w:tcW w:w="6933" w:type="dxa"/>
            <w:gridSpan w:val="6"/>
            <w:tcBorders>
              <w:top w:val="nil"/>
            </w:tcBorders>
            <w:vAlign w:val="bottom"/>
          </w:tcPr>
          <w:p w:rsidR="00D724FA" w:rsidRDefault="00D724FA" w:rsidP="00A858D8">
            <w:pPr>
              <w:pStyle w:val="IASBTableArial"/>
            </w:pPr>
            <w:r>
              <w:t>Profit from continuing operations attributable to the parent entity</w:t>
            </w:r>
          </w:p>
        </w:tc>
        <w:tc>
          <w:tcPr>
            <w:tcW w:w="455" w:type="dxa"/>
            <w:tcBorders>
              <w:top w:val="nil"/>
              <w:left w:val="nil"/>
            </w:tcBorders>
            <w:vAlign w:val="bottom"/>
          </w:tcPr>
          <w:p w:rsidR="00D724FA" w:rsidRDefault="00D724FA" w:rsidP="00A858D8">
            <w:pPr>
              <w:pStyle w:val="IASBTableArial"/>
              <w:jc w:val="right"/>
            </w:pPr>
          </w:p>
        </w:tc>
        <w:tc>
          <w:tcPr>
            <w:tcW w:w="1638" w:type="dxa"/>
            <w:tcBorders>
              <w:top w:val="nil"/>
              <w:left w:val="nil"/>
            </w:tcBorders>
            <w:vAlign w:val="bottom"/>
          </w:tcPr>
          <w:p w:rsidR="00D724FA" w:rsidRDefault="00D724FA" w:rsidP="00A858D8">
            <w:pPr>
              <w:pStyle w:val="IASBTableArial"/>
              <w:jc w:val="right"/>
            </w:pPr>
            <w:r>
              <w:t>5,000,000</w:t>
            </w:r>
          </w:p>
        </w:tc>
        <w:tc>
          <w:tcPr>
            <w:tcW w:w="216" w:type="dxa"/>
            <w:gridSpan w:val="2"/>
            <w:tcBorders>
              <w:top w:val="nil"/>
              <w:left w:val="nil"/>
            </w:tcBorders>
            <w:vAlign w:val="bottom"/>
          </w:tcPr>
          <w:p w:rsidR="00D724FA" w:rsidRDefault="00D724FA" w:rsidP="00A858D8">
            <w:pPr>
              <w:pStyle w:val="IASBTableArial"/>
            </w:pPr>
          </w:p>
        </w:tc>
      </w:tr>
      <w:tr w:rsidR="00D724FA" w:rsidTr="00A858D8">
        <w:trPr>
          <w:cantSplit/>
        </w:trPr>
        <w:tc>
          <w:tcPr>
            <w:tcW w:w="6933" w:type="dxa"/>
            <w:gridSpan w:val="6"/>
            <w:tcBorders>
              <w:top w:val="nil"/>
            </w:tcBorders>
            <w:vAlign w:val="bottom"/>
          </w:tcPr>
          <w:p w:rsidR="00D724FA" w:rsidRDefault="00D724FA" w:rsidP="00A858D8">
            <w:pPr>
              <w:pStyle w:val="IASBTableArial"/>
            </w:pPr>
            <w:r>
              <w:t>Less: preference share dividends</w:t>
            </w:r>
          </w:p>
        </w:tc>
        <w:tc>
          <w:tcPr>
            <w:tcW w:w="455" w:type="dxa"/>
            <w:tcBorders>
              <w:top w:val="nil"/>
              <w:left w:val="nil"/>
            </w:tcBorders>
            <w:vAlign w:val="bottom"/>
          </w:tcPr>
          <w:p w:rsidR="00D724FA" w:rsidRDefault="00D724FA" w:rsidP="00A858D8">
            <w:pPr>
              <w:pStyle w:val="IASBTableArial"/>
              <w:jc w:val="right"/>
            </w:pPr>
          </w:p>
        </w:tc>
        <w:tc>
          <w:tcPr>
            <w:tcW w:w="1638" w:type="dxa"/>
            <w:tcBorders>
              <w:top w:val="nil"/>
              <w:left w:val="nil"/>
              <w:bottom w:val="single" w:sz="4" w:space="0" w:color="auto"/>
            </w:tcBorders>
            <w:vAlign w:val="bottom"/>
          </w:tcPr>
          <w:p w:rsidR="00D724FA" w:rsidRDefault="00D724FA" w:rsidP="00A858D8">
            <w:pPr>
              <w:pStyle w:val="IASBTableArial"/>
              <w:jc w:val="right"/>
            </w:pPr>
            <w:r>
              <w:t>(40,000)</w:t>
            </w:r>
            <w:r>
              <w:rPr>
                <w:vertAlign w:val="superscript"/>
              </w:rPr>
              <w:t>(a)</w:t>
            </w:r>
          </w:p>
        </w:tc>
        <w:tc>
          <w:tcPr>
            <w:tcW w:w="216" w:type="dxa"/>
            <w:gridSpan w:val="2"/>
            <w:tcBorders>
              <w:top w:val="nil"/>
              <w:left w:val="nil"/>
            </w:tcBorders>
            <w:vAlign w:val="bottom"/>
          </w:tcPr>
          <w:p w:rsidR="00D724FA" w:rsidRDefault="00D724FA" w:rsidP="00A858D8">
            <w:pPr>
              <w:pStyle w:val="IASBTableArial"/>
            </w:pPr>
          </w:p>
        </w:tc>
      </w:tr>
      <w:tr w:rsidR="00D724FA" w:rsidTr="00A858D8">
        <w:trPr>
          <w:cantSplit/>
        </w:trPr>
        <w:tc>
          <w:tcPr>
            <w:tcW w:w="6933" w:type="dxa"/>
            <w:gridSpan w:val="6"/>
            <w:tcBorders>
              <w:top w:val="nil"/>
            </w:tcBorders>
            <w:vAlign w:val="bottom"/>
          </w:tcPr>
          <w:p w:rsidR="00D724FA" w:rsidRDefault="00D724FA" w:rsidP="00A858D8">
            <w:pPr>
              <w:pStyle w:val="IASBTableArial"/>
            </w:pPr>
            <w:r>
              <w:rPr>
                <w:b/>
              </w:rPr>
              <w:t>Profit attributable to ordinary equity holders of the parent entity</w:t>
            </w:r>
          </w:p>
        </w:tc>
        <w:tc>
          <w:tcPr>
            <w:tcW w:w="455" w:type="dxa"/>
            <w:tcBorders>
              <w:top w:val="nil"/>
              <w:left w:val="nil"/>
            </w:tcBorders>
            <w:vAlign w:val="bottom"/>
          </w:tcPr>
          <w:p w:rsidR="00D724FA" w:rsidRDefault="00D724FA" w:rsidP="00A858D8">
            <w:pPr>
              <w:pStyle w:val="IASBTableArial"/>
              <w:jc w:val="right"/>
            </w:pPr>
          </w:p>
        </w:tc>
        <w:tc>
          <w:tcPr>
            <w:tcW w:w="1638" w:type="dxa"/>
            <w:tcBorders>
              <w:top w:val="nil"/>
              <w:left w:val="nil"/>
              <w:bottom w:val="double" w:sz="4" w:space="0" w:color="auto"/>
            </w:tcBorders>
            <w:vAlign w:val="bottom"/>
          </w:tcPr>
          <w:p w:rsidR="00D724FA" w:rsidRDefault="00D724FA" w:rsidP="00A858D8">
            <w:pPr>
              <w:pStyle w:val="IASBTableArial"/>
              <w:jc w:val="right"/>
            </w:pPr>
            <w:r>
              <w:t>4,960,000</w:t>
            </w:r>
          </w:p>
        </w:tc>
        <w:tc>
          <w:tcPr>
            <w:tcW w:w="216" w:type="dxa"/>
            <w:gridSpan w:val="2"/>
            <w:tcBorders>
              <w:top w:val="nil"/>
              <w:left w:val="nil"/>
            </w:tcBorders>
            <w:vAlign w:val="bottom"/>
          </w:tcPr>
          <w:p w:rsidR="00D724FA" w:rsidRDefault="00D724FA" w:rsidP="00A858D8">
            <w:pPr>
              <w:pStyle w:val="IASBTableArial"/>
            </w:pPr>
          </w:p>
        </w:tc>
      </w:tr>
      <w:tr w:rsidR="00D724FA" w:rsidTr="00A858D8">
        <w:trPr>
          <w:cantSplit/>
        </w:trPr>
        <w:tc>
          <w:tcPr>
            <w:tcW w:w="563" w:type="dxa"/>
            <w:tcBorders>
              <w:top w:val="nil"/>
            </w:tcBorders>
            <w:vAlign w:val="bottom"/>
          </w:tcPr>
          <w:p w:rsidR="00D724FA" w:rsidRDefault="00D724FA" w:rsidP="00A858D8">
            <w:pPr>
              <w:pStyle w:val="IASBTableArial"/>
            </w:pPr>
          </w:p>
        </w:tc>
        <w:tc>
          <w:tcPr>
            <w:tcW w:w="2730" w:type="dxa"/>
            <w:tcBorders>
              <w:top w:val="nil"/>
              <w:left w:val="nil"/>
            </w:tcBorders>
          </w:tcPr>
          <w:p w:rsidR="00D724FA" w:rsidRDefault="00D724FA" w:rsidP="00A858D8">
            <w:pPr>
              <w:pStyle w:val="IASBTableArial"/>
            </w:pPr>
          </w:p>
        </w:tc>
        <w:tc>
          <w:tcPr>
            <w:tcW w:w="1365" w:type="dxa"/>
            <w:tcBorders>
              <w:top w:val="nil"/>
              <w:left w:val="nil"/>
            </w:tcBorders>
          </w:tcPr>
          <w:p w:rsidR="00D724FA" w:rsidRDefault="00D724FA" w:rsidP="00A858D8">
            <w:pPr>
              <w:pStyle w:val="IASBTableArial"/>
            </w:pPr>
          </w:p>
        </w:tc>
        <w:tc>
          <w:tcPr>
            <w:tcW w:w="455" w:type="dxa"/>
            <w:tcBorders>
              <w:top w:val="nil"/>
              <w:left w:val="nil"/>
            </w:tcBorders>
          </w:tcPr>
          <w:p w:rsidR="00D724FA" w:rsidRDefault="00D724FA" w:rsidP="00A858D8">
            <w:pPr>
              <w:pStyle w:val="IASBTableArial"/>
            </w:pPr>
          </w:p>
        </w:tc>
        <w:tc>
          <w:tcPr>
            <w:tcW w:w="1365" w:type="dxa"/>
            <w:tcBorders>
              <w:top w:val="nil"/>
              <w:left w:val="nil"/>
            </w:tcBorders>
          </w:tcPr>
          <w:p w:rsidR="00D724FA" w:rsidRDefault="00D724FA" w:rsidP="00A858D8">
            <w:pPr>
              <w:pStyle w:val="IASBTableArial"/>
            </w:pPr>
          </w:p>
        </w:tc>
        <w:tc>
          <w:tcPr>
            <w:tcW w:w="455" w:type="dxa"/>
            <w:tcBorders>
              <w:top w:val="nil"/>
              <w:left w:val="nil"/>
            </w:tcBorders>
          </w:tcPr>
          <w:p w:rsidR="00D724FA" w:rsidRDefault="00D724FA" w:rsidP="00A858D8">
            <w:pPr>
              <w:pStyle w:val="IASBTableArial"/>
            </w:pPr>
          </w:p>
        </w:tc>
        <w:tc>
          <w:tcPr>
            <w:tcW w:w="455" w:type="dxa"/>
            <w:tcBorders>
              <w:top w:val="nil"/>
              <w:left w:val="nil"/>
            </w:tcBorders>
            <w:vAlign w:val="bottom"/>
          </w:tcPr>
          <w:p w:rsidR="00D724FA" w:rsidRDefault="00D724FA" w:rsidP="00A858D8">
            <w:pPr>
              <w:pStyle w:val="IASBTableArial"/>
            </w:pPr>
          </w:p>
        </w:tc>
        <w:tc>
          <w:tcPr>
            <w:tcW w:w="1638" w:type="dxa"/>
            <w:tcBorders>
              <w:top w:val="nil"/>
              <w:left w:val="nil"/>
            </w:tcBorders>
            <w:vAlign w:val="bottom"/>
          </w:tcPr>
          <w:p w:rsidR="00D724FA" w:rsidRDefault="00D724FA" w:rsidP="00A858D8">
            <w:pPr>
              <w:pStyle w:val="IASBTableArial"/>
            </w:pPr>
          </w:p>
        </w:tc>
        <w:tc>
          <w:tcPr>
            <w:tcW w:w="216" w:type="dxa"/>
            <w:gridSpan w:val="2"/>
            <w:tcBorders>
              <w:top w:val="nil"/>
              <w:left w:val="nil"/>
            </w:tcBorders>
            <w:vAlign w:val="bottom"/>
          </w:tcPr>
          <w:p w:rsidR="00D724FA" w:rsidRDefault="00D724FA" w:rsidP="00A858D8">
            <w:pPr>
              <w:pStyle w:val="IASBTableArial"/>
            </w:pPr>
          </w:p>
        </w:tc>
      </w:tr>
      <w:tr w:rsidR="00D724FA" w:rsidTr="00A858D8">
        <w:trPr>
          <w:cantSplit/>
        </w:trPr>
        <w:tc>
          <w:tcPr>
            <w:tcW w:w="3293" w:type="dxa"/>
            <w:gridSpan w:val="2"/>
            <w:tcBorders>
              <w:top w:val="nil"/>
            </w:tcBorders>
          </w:tcPr>
          <w:p w:rsidR="00D724FA" w:rsidRDefault="00D724FA" w:rsidP="00A858D8">
            <w:pPr>
              <w:pStyle w:val="IASBTableArial"/>
            </w:pPr>
            <w:r>
              <w:rPr>
                <w:i/>
              </w:rPr>
              <w:t>Dates</w:t>
            </w:r>
          </w:p>
        </w:tc>
        <w:tc>
          <w:tcPr>
            <w:tcW w:w="1365" w:type="dxa"/>
            <w:tcBorders>
              <w:top w:val="nil"/>
              <w:left w:val="nil"/>
            </w:tcBorders>
          </w:tcPr>
          <w:p w:rsidR="00D724FA" w:rsidRDefault="00D724FA" w:rsidP="00A858D8">
            <w:pPr>
              <w:pStyle w:val="IASBTableArial"/>
              <w:jc w:val="right"/>
            </w:pPr>
            <w:r>
              <w:rPr>
                <w:i/>
              </w:rPr>
              <w:t>Shares outstanding</w:t>
            </w:r>
          </w:p>
        </w:tc>
        <w:tc>
          <w:tcPr>
            <w:tcW w:w="455" w:type="dxa"/>
            <w:tcBorders>
              <w:top w:val="nil"/>
              <w:left w:val="nil"/>
            </w:tcBorders>
            <w:vAlign w:val="bottom"/>
          </w:tcPr>
          <w:p w:rsidR="00D724FA" w:rsidRDefault="00D724FA" w:rsidP="00A858D8">
            <w:pPr>
              <w:pStyle w:val="IASBTableArial"/>
              <w:jc w:val="right"/>
            </w:pPr>
          </w:p>
        </w:tc>
        <w:tc>
          <w:tcPr>
            <w:tcW w:w="1365" w:type="dxa"/>
            <w:tcBorders>
              <w:top w:val="nil"/>
              <w:left w:val="nil"/>
            </w:tcBorders>
          </w:tcPr>
          <w:p w:rsidR="00D724FA" w:rsidRDefault="00D724FA" w:rsidP="00A858D8">
            <w:pPr>
              <w:pStyle w:val="IASBTableArial"/>
              <w:jc w:val="right"/>
            </w:pPr>
            <w:r>
              <w:rPr>
                <w:i/>
              </w:rPr>
              <w:t>Fraction of period</w:t>
            </w:r>
          </w:p>
        </w:tc>
        <w:tc>
          <w:tcPr>
            <w:tcW w:w="455" w:type="dxa"/>
            <w:tcBorders>
              <w:top w:val="nil"/>
              <w:left w:val="nil"/>
            </w:tcBorders>
          </w:tcPr>
          <w:p w:rsidR="00D724FA" w:rsidRDefault="00D724FA" w:rsidP="00A858D8">
            <w:pPr>
              <w:pStyle w:val="IASBTableArial"/>
            </w:pPr>
          </w:p>
        </w:tc>
        <w:tc>
          <w:tcPr>
            <w:tcW w:w="455" w:type="dxa"/>
            <w:tcBorders>
              <w:top w:val="nil"/>
              <w:left w:val="nil"/>
            </w:tcBorders>
            <w:vAlign w:val="bottom"/>
          </w:tcPr>
          <w:p w:rsidR="00D724FA" w:rsidRDefault="00D724FA" w:rsidP="00A858D8">
            <w:pPr>
              <w:pStyle w:val="IASBTableArial"/>
              <w:jc w:val="right"/>
            </w:pPr>
          </w:p>
        </w:tc>
        <w:tc>
          <w:tcPr>
            <w:tcW w:w="1638" w:type="dxa"/>
            <w:tcBorders>
              <w:top w:val="nil"/>
              <w:left w:val="nil"/>
            </w:tcBorders>
          </w:tcPr>
          <w:p w:rsidR="00D724FA" w:rsidRDefault="00D724FA" w:rsidP="00A858D8">
            <w:pPr>
              <w:pStyle w:val="IASBTableArial"/>
              <w:jc w:val="right"/>
            </w:pPr>
            <w:r>
              <w:rPr>
                <w:i/>
              </w:rPr>
              <w:t>Weighted-average shares</w:t>
            </w:r>
          </w:p>
        </w:tc>
        <w:tc>
          <w:tcPr>
            <w:tcW w:w="216" w:type="dxa"/>
            <w:gridSpan w:val="2"/>
            <w:tcBorders>
              <w:top w:val="nil"/>
              <w:left w:val="nil"/>
            </w:tcBorders>
          </w:tcPr>
          <w:p w:rsidR="00D724FA" w:rsidRDefault="00D724FA" w:rsidP="00A858D8">
            <w:pPr>
              <w:pStyle w:val="IASBTableArial"/>
            </w:pPr>
          </w:p>
        </w:tc>
      </w:tr>
      <w:tr w:rsidR="00D724FA" w:rsidTr="00A858D8">
        <w:trPr>
          <w:cantSplit/>
        </w:trPr>
        <w:tc>
          <w:tcPr>
            <w:tcW w:w="3293" w:type="dxa"/>
            <w:gridSpan w:val="2"/>
            <w:tcBorders>
              <w:top w:val="nil"/>
            </w:tcBorders>
          </w:tcPr>
          <w:p w:rsidR="00D724FA" w:rsidRDefault="00D724FA" w:rsidP="00A858D8">
            <w:pPr>
              <w:pStyle w:val="IASBTableArial"/>
            </w:pPr>
            <w:r>
              <w:t>1 January–28 February</w:t>
            </w:r>
          </w:p>
        </w:tc>
        <w:tc>
          <w:tcPr>
            <w:tcW w:w="1365" w:type="dxa"/>
            <w:tcBorders>
              <w:top w:val="nil"/>
              <w:left w:val="nil"/>
            </w:tcBorders>
            <w:vAlign w:val="bottom"/>
          </w:tcPr>
          <w:p w:rsidR="00D724FA" w:rsidRDefault="00D724FA" w:rsidP="00A858D8">
            <w:pPr>
              <w:pStyle w:val="IASBTableArial"/>
              <w:jc w:val="right"/>
            </w:pPr>
            <w:r>
              <w:t>5,000,000</w:t>
            </w:r>
          </w:p>
        </w:tc>
        <w:tc>
          <w:tcPr>
            <w:tcW w:w="455" w:type="dxa"/>
            <w:tcBorders>
              <w:top w:val="nil"/>
              <w:left w:val="nil"/>
            </w:tcBorders>
            <w:vAlign w:val="bottom"/>
          </w:tcPr>
          <w:p w:rsidR="00D724FA" w:rsidRDefault="00D724FA" w:rsidP="00A858D8">
            <w:pPr>
              <w:pStyle w:val="IASBTableArial"/>
              <w:jc w:val="right"/>
            </w:pPr>
          </w:p>
        </w:tc>
        <w:tc>
          <w:tcPr>
            <w:tcW w:w="1365" w:type="dxa"/>
            <w:tcBorders>
              <w:top w:val="nil"/>
              <w:left w:val="nil"/>
            </w:tcBorders>
            <w:vAlign w:val="bottom"/>
          </w:tcPr>
          <w:p w:rsidR="00D724FA" w:rsidRDefault="00D724FA" w:rsidP="00A858D8">
            <w:pPr>
              <w:pStyle w:val="IASBTableArial"/>
              <w:jc w:val="right"/>
            </w:pPr>
            <w:r>
              <w:rPr>
                <w:vertAlign w:val="superscript"/>
              </w:rPr>
              <w:t>2</w:t>
            </w:r>
            <w:r>
              <w:t>/</w:t>
            </w:r>
            <w:r>
              <w:rPr>
                <w:vertAlign w:val="subscript"/>
              </w:rPr>
              <w:t>3</w:t>
            </w:r>
          </w:p>
        </w:tc>
        <w:tc>
          <w:tcPr>
            <w:tcW w:w="455" w:type="dxa"/>
            <w:tcBorders>
              <w:top w:val="nil"/>
              <w:left w:val="nil"/>
            </w:tcBorders>
            <w:vAlign w:val="bottom"/>
          </w:tcPr>
          <w:p w:rsidR="00D724FA" w:rsidRDefault="00D724FA" w:rsidP="00A858D8">
            <w:pPr>
              <w:pStyle w:val="IASBTableArial"/>
            </w:pPr>
          </w:p>
        </w:tc>
        <w:tc>
          <w:tcPr>
            <w:tcW w:w="455" w:type="dxa"/>
            <w:tcBorders>
              <w:top w:val="nil"/>
              <w:left w:val="nil"/>
            </w:tcBorders>
            <w:vAlign w:val="bottom"/>
          </w:tcPr>
          <w:p w:rsidR="00D724FA" w:rsidRDefault="00D724FA" w:rsidP="00A858D8">
            <w:pPr>
              <w:pStyle w:val="IASBTableArial"/>
              <w:jc w:val="right"/>
            </w:pPr>
          </w:p>
        </w:tc>
        <w:tc>
          <w:tcPr>
            <w:tcW w:w="1638" w:type="dxa"/>
            <w:tcBorders>
              <w:top w:val="nil"/>
              <w:left w:val="nil"/>
            </w:tcBorders>
            <w:vAlign w:val="bottom"/>
          </w:tcPr>
          <w:p w:rsidR="00D724FA" w:rsidRDefault="00D724FA" w:rsidP="00A858D8">
            <w:pPr>
              <w:pStyle w:val="IASBTableArial"/>
              <w:jc w:val="right"/>
            </w:pPr>
            <w:r>
              <w:t>3,333,333</w:t>
            </w:r>
          </w:p>
        </w:tc>
        <w:tc>
          <w:tcPr>
            <w:tcW w:w="216" w:type="dxa"/>
            <w:gridSpan w:val="2"/>
            <w:tcBorders>
              <w:top w:val="nil"/>
              <w:left w:val="nil"/>
            </w:tcBorders>
            <w:vAlign w:val="bottom"/>
          </w:tcPr>
          <w:p w:rsidR="00D724FA" w:rsidRDefault="00D724FA" w:rsidP="00A858D8">
            <w:pPr>
              <w:pStyle w:val="IASBTableArial"/>
            </w:pPr>
          </w:p>
        </w:tc>
      </w:tr>
      <w:tr w:rsidR="00D724FA" w:rsidTr="00A858D8">
        <w:trPr>
          <w:cantSplit/>
        </w:trPr>
        <w:tc>
          <w:tcPr>
            <w:tcW w:w="3293" w:type="dxa"/>
            <w:gridSpan w:val="2"/>
            <w:tcBorders>
              <w:top w:val="nil"/>
            </w:tcBorders>
          </w:tcPr>
          <w:p w:rsidR="00D724FA" w:rsidRDefault="00D724FA" w:rsidP="00A858D8">
            <w:pPr>
              <w:pStyle w:val="IASBTableArial"/>
            </w:pPr>
            <w:r>
              <w:rPr>
                <w:i/>
              </w:rPr>
              <w:t>Issue of ordinary shares on 1 March</w:t>
            </w:r>
          </w:p>
        </w:tc>
        <w:tc>
          <w:tcPr>
            <w:tcW w:w="1365" w:type="dxa"/>
            <w:tcBorders>
              <w:top w:val="nil"/>
              <w:left w:val="nil"/>
            </w:tcBorders>
            <w:vAlign w:val="bottom"/>
          </w:tcPr>
          <w:p w:rsidR="00D724FA" w:rsidRDefault="00D724FA" w:rsidP="00A858D8">
            <w:pPr>
              <w:pStyle w:val="IASBTableArial"/>
            </w:pPr>
          </w:p>
        </w:tc>
        <w:tc>
          <w:tcPr>
            <w:tcW w:w="455" w:type="dxa"/>
            <w:tcBorders>
              <w:top w:val="nil"/>
              <w:left w:val="nil"/>
            </w:tcBorders>
            <w:vAlign w:val="bottom"/>
          </w:tcPr>
          <w:p w:rsidR="00D724FA" w:rsidRDefault="00D724FA" w:rsidP="00A858D8">
            <w:pPr>
              <w:pStyle w:val="IASBTableArial"/>
            </w:pPr>
          </w:p>
        </w:tc>
        <w:tc>
          <w:tcPr>
            <w:tcW w:w="1365" w:type="dxa"/>
            <w:tcBorders>
              <w:top w:val="nil"/>
              <w:left w:val="nil"/>
            </w:tcBorders>
            <w:vAlign w:val="bottom"/>
          </w:tcPr>
          <w:p w:rsidR="00D724FA" w:rsidRDefault="00D724FA" w:rsidP="00A858D8">
            <w:pPr>
              <w:pStyle w:val="IASBTableArial"/>
            </w:pPr>
          </w:p>
        </w:tc>
        <w:tc>
          <w:tcPr>
            <w:tcW w:w="455" w:type="dxa"/>
            <w:tcBorders>
              <w:top w:val="nil"/>
              <w:left w:val="nil"/>
            </w:tcBorders>
            <w:vAlign w:val="bottom"/>
          </w:tcPr>
          <w:p w:rsidR="00D724FA" w:rsidRDefault="00D724FA" w:rsidP="00A858D8">
            <w:pPr>
              <w:pStyle w:val="IASBTableArial"/>
            </w:pPr>
          </w:p>
        </w:tc>
        <w:tc>
          <w:tcPr>
            <w:tcW w:w="455" w:type="dxa"/>
            <w:tcBorders>
              <w:top w:val="nil"/>
              <w:left w:val="nil"/>
            </w:tcBorders>
            <w:vAlign w:val="bottom"/>
          </w:tcPr>
          <w:p w:rsidR="00D724FA" w:rsidRDefault="00D724FA" w:rsidP="00A858D8">
            <w:pPr>
              <w:pStyle w:val="IASBTableArial"/>
            </w:pPr>
          </w:p>
        </w:tc>
        <w:tc>
          <w:tcPr>
            <w:tcW w:w="1638" w:type="dxa"/>
            <w:tcBorders>
              <w:top w:val="nil"/>
              <w:left w:val="nil"/>
            </w:tcBorders>
            <w:vAlign w:val="bottom"/>
          </w:tcPr>
          <w:p w:rsidR="00D724FA" w:rsidRDefault="00D724FA" w:rsidP="00A858D8">
            <w:pPr>
              <w:pStyle w:val="IASBTableArial"/>
            </w:pPr>
          </w:p>
        </w:tc>
        <w:tc>
          <w:tcPr>
            <w:tcW w:w="216" w:type="dxa"/>
            <w:gridSpan w:val="2"/>
            <w:tcBorders>
              <w:top w:val="nil"/>
              <w:left w:val="nil"/>
            </w:tcBorders>
            <w:vAlign w:val="bottom"/>
          </w:tcPr>
          <w:p w:rsidR="00D724FA" w:rsidRDefault="00D724FA" w:rsidP="00A858D8">
            <w:pPr>
              <w:pStyle w:val="IASBTableArial"/>
            </w:pPr>
          </w:p>
        </w:tc>
      </w:tr>
      <w:tr w:rsidR="00D724FA" w:rsidTr="00A858D8">
        <w:trPr>
          <w:cantSplit/>
        </w:trPr>
        <w:tc>
          <w:tcPr>
            <w:tcW w:w="3293" w:type="dxa"/>
            <w:gridSpan w:val="2"/>
            <w:tcBorders>
              <w:top w:val="nil"/>
            </w:tcBorders>
          </w:tcPr>
          <w:p w:rsidR="00D724FA" w:rsidRDefault="00D724FA" w:rsidP="00A858D8">
            <w:pPr>
              <w:pStyle w:val="IASBTableArial"/>
            </w:pPr>
            <w:r>
              <w:t>1 March–31 March</w:t>
            </w:r>
          </w:p>
        </w:tc>
        <w:tc>
          <w:tcPr>
            <w:tcW w:w="1365" w:type="dxa"/>
            <w:tcBorders>
              <w:top w:val="nil"/>
              <w:left w:val="nil"/>
              <w:bottom w:val="single" w:sz="4" w:space="0" w:color="auto"/>
            </w:tcBorders>
            <w:vAlign w:val="bottom"/>
          </w:tcPr>
          <w:p w:rsidR="00D724FA" w:rsidRDefault="00D724FA" w:rsidP="00A858D8">
            <w:pPr>
              <w:pStyle w:val="IASBTableArial"/>
              <w:jc w:val="right"/>
            </w:pPr>
            <w:r>
              <w:t>200,000</w:t>
            </w:r>
          </w:p>
        </w:tc>
        <w:tc>
          <w:tcPr>
            <w:tcW w:w="455" w:type="dxa"/>
            <w:tcBorders>
              <w:top w:val="nil"/>
              <w:left w:val="nil"/>
            </w:tcBorders>
            <w:vAlign w:val="bottom"/>
          </w:tcPr>
          <w:p w:rsidR="00D724FA" w:rsidRDefault="00D724FA" w:rsidP="00A858D8">
            <w:pPr>
              <w:pStyle w:val="IASBTableArial"/>
              <w:jc w:val="right"/>
            </w:pPr>
          </w:p>
        </w:tc>
        <w:tc>
          <w:tcPr>
            <w:tcW w:w="1365" w:type="dxa"/>
            <w:tcBorders>
              <w:top w:val="nil"/>
              <w:left w:val="nil"/>
            </w:tcBorders>
            <w:vAlign w:val="bottom"/>
          </w:tcPr>
          <w:p w:rsidR="00D724FA" w:rsidRDefault="00D724FA" w:rsidP="00A858D8">
            <w:pPr>
              <w:pStyle w:val="IASBTableArial"/>
              <w:jc w:val="right"/>
            </w:pPr>
            <w:r>
              <w:rPr>
                <w:vertAlign w:val="superscript"/>
              </w:rPr>
              <w:t>1</w:t>
            </w:r>
            <w:r>
              <w:t>/</w:t>
            </w:r>
            <w:r>
              <w:rPr>
                <w:vertAlign w:val="subscript"/>
              </w:rPr>
              <w:t>3</w:t>
            </w:r>
          </w:p>
        </w:tc>
        <w:tc>
          <w:tcPr>
            <w:tcW w:w="455" w:type="dxa"/>
            <w:tcBorders>
              <w:top w:val="nil"/>
              <w:left w:val="nil"/>
            </w:tcBorders>
            <w:vAlign w:val="bottom"/>
          </w:tcPr>
          <w:p w:rsidR="00D724FA" w:rsidRDefault="00D724FA" w:rsidP="00A858D8">
            <w:pPr>
              <w:pStyle w:val="IASBTableArial"/>
            </w:pPr>
          </w:p>
        </w:tc>
        <w:tc>
          <w:tcPr>
            <w:tcW w:w="455" w:type="dxa"/>
            <w:tcBorders>
              <w:top w:val="nil"/>
              <w:left w:val="nil"/>
            </w:tcBorders>
            <w:vAlign w:val="bottom"/>
          </w:tcPr>
          <w:p w:rsidR="00D724FA" w:rsidRDefault="00D724FA" w:rsidP="00A858D8">
            <w:pPr>
              <w:pStyle w:val="IASBTableArial"/>
              <w:jc w:val="right"/>
            </w:pPr>
          </w:p>
        </w:tc>
        <w:tc>
          <w:tcPr>
            <w:tcW w:w="1638" w:type="dxa"/>
            <w:tcBorders>
              <w:top w:val="nil"/>
              <w:left w:val="nil"/>
              <w:bottom w:val="single" w:sz="4" w:space="0" w:color="auto"/>
            </w:tcBorders>
            <w:vAlign w:val="bottom"/>
          </w:tcPr>
          <w:p w:rsidR="00D724FA" w:rsidRDefault="00D724FA" w:rsidP="00A858D8">
            <w:pPr>
              <w:pStyle w:val="IASBTableArial"/>
              <w:jc w:val="right"/>
            </w:pPr>
            <w:r>
              <w:t>1,733,333</w:t>
            </w:r>
          </w:p>
        </w:tc>
        <w:tc>
          <w:tcPr>
            <w:tcW w:w="216" w:type="dxa"/>
            <w:gridSpan w:val="2"/>
            <w:tcBorders>
              <w:top w:val="nil"/>
              <w:left w:val="nil"/>
            </w:tcBorders>
            <w:vAlign w:val="bottom"/>
          </w:tcPr>
          <w:p w:rsidR="00D724FA" w:rsidRDefault="00D724FA" w:rsidP="00A858D8">
            <w:pPr>
              <w:pStyle w:val="IASBTableArial"/>
            </w:pPr>
          </w:p>
        </w:tc>
      </w:tr>
      <w:tr w:rsidR="00D724FA" w:rsidTr="00A858D8">
        <w:trPr>
          <w:cantSplit/>
        </w:trPr>
        <w:tc>
          <w:tcPr>
            <w:tcW w:w="3293" w:type="dxa"/>
            <w:gridSpan w:val="2"/>
            <w:tcBorders>
              <w:top w:val="nil"/>
            </w:tcBorders>
          </w:tcPr>
          <w:p w:rsidR="00D724FA" w:rsidRDefault="00D724FA" w:rsidP="00A858D8">
            <w:pPr>
              <w:pStyle w:val="IASBTableArial"/>
            </w:pPr>
            <w:r>
              <w:rPr>
                <w:b/>
              </w:rPr>
              <w:t>Weighted-average shares</w:t>
            </w:r>
          </w:p>
        </w:tc>
        <w:tc>
          <w:tcPr>
            <w:tcW w:w="1365" w:type="dxa"/>
            <w:tcBorders>
              <w:top w:val="nil"/>
              <w:left w:val="nil"/>
            </w:tcBorders>
            <w:vAlign w:val="bottom"/>
          </w:tcPr>
          <w:p w:rsidR="00D724FA" w:rsidRDefault="00D724FA" w:rsidP="00A858D8">
            <w:pPr>
              <w:pStyle w:val="IASBTableArial"/>
              <w:jc w:val="right"/>
            </w:pPr>
            <w:r>
              <w:t>5,200,000</w:t>
            </w:r>
          </w:p>
        </w:tc>
        <w:tc>
          <w:tcPr>
            <w:tcW w:w="455" w:type="dxa"/>
            <w:tcBorders>
              <w:top w:val="nil"/>
              <w:left w:val="nil"/>
            </w:tcBorders>
            <w:vAlign w:val="bottom"/>
          </w:tcPr>
          <w:p w:rsidR="00D724FA" w:rsidRDefault="00D724FA" w:rsidP="00A858D8">
            <w:pPr>
              <w:pStyle w:val="IASBTableArial"/>
              <w:jc w:val="right"/>
            </w:pPr>
          </w:p>
        </w:tc>
        <w:tc>
          <w:tcPr>
            <w:tcW w:w="1365" w:type="dxa"/>
            <w:tcBorders>
              <w:top w:val="nil"/>
              <w:left w:val="nil"/>
            </w:tcBorders>
            <w:vAlign w:val="bottom"/>
          </w:tcPr>
          <w:p w:rsidR="00D724FA" w:rsidRDefault="00D724FA" w:rsidP="00A858D8">
            <w:pPr>
              <w:pStyle w:val="IASBTableArial"/>
            </w:pPr>
          </w:p>
        </w:tc>
        <w:tc>
          <w:tcPr>
            <w:tcW w:w="455" w:type="dxa"/>
            <w:tcBorders>
              <w:top w:val="nil"/>
              <w:left w:val="nil"/>
            </w:tcBorders>
            <w:vAlign w:val="bottom"/>
          </w:tcPr>
          <w:p w:rsidR="00D724FA" w:rsidRDefault="00D724FA" w:rsidP="00A858D8">
            <w:pPr>
              <w:pStyle w:val="IASBTableArial"/>
            </w:pPr>
          </w:p>
        </w:tc>
        <w:tc>
          <w:tcPr>
            <w:tcW w:w="455" w:type="dxa"/>
            <w:tcBorders>
              <w:top w:val="nil"/>
              <w:left w:val="nil"/>
            </w:tcBorders>
            <w:vAlign w:val="bottom"/>
          </w:tcPr>
          <w:p w:rsidR="00D724FA" w:rsidRDefault="00D724FA" w:rsidP="00A858D8">
            <w:pPr>
              <w:pStyle w:val="IASBTableArial"/>
              <w:jc w:val="right"/>
            </w:pPr>
          </w:p>
        </w:tc>
        <w:tc>
          <w:tcPr>
            <w:tcW w:w="1638" w:type="dxa"/>
            <w:tcBorders>
              <w:top w:val="nil"/>
              <w:left w:val="nil"/>
              <w:bottom w:val="double" w:sz="4" w:space="0" w:color="auto"/>
            </w:tcBorders>
            <w:vAlign w:val="bottom"/>
          </w:tcPr>
          <w:p w:rsidR="00D724FA" w:rsidRDefault="00D724FA" w:rsidP="00A858D8">
            <w:pPr>
              <w:pStyle w:val="IASBTableArial"/>
              <w:jc w:val="right"/>
            </w:pPr>
            <w:r>
              <w:t>5,066,666</w:t>
            </w:r>
          </w:p>
        </w:tc>
        <w:tc>
          <w:tcPr>
            <w:tcW w:w="216" w:type="dxa"/>
            <w:gridSpan w:val="2"/>
            <w:tcBorders>
              <w:top w:val="nil"/>
              <w:left w:val="nil"/>
            </w:tcBorders>
            <w:vAlign w:val="bottom"/>
          </w:tcPr>
          <w:p w:rsidR="00D724FA" w:rsidRDefault="00D724FA" w:rsidP="00A858D8">
            <w:pPr>
              <w:pStyle w:val="IASBTableArial"/>
            </w:pPr>
          </w:p>
        </w:tc>
      </w:tr>
      <w:tr w:rsidR="00D724FA" w:rsidTr="00A858D8">
        <w:trPr>
          <w:cantSplit/>
        </w:trPr>
        <w:tc>
          <w:tcPr>
            <w:tcW w:w="3293" w:type="dxa"/>
            <w:gridSpan w:val="2"/>
            <w:tcBorders>
              <w:top w:val="nil"/>
            </w:tcBorders>
          </w:tcPr>
          <w:p w:rsidR="00D724FA" w:rsidRDefault="00D724FA" w:rsidP="00A858D8">
            <w:pPr>
              <w:pStyle w:val="IASBTableArial"/>
            </w:pPr>
            <w:r>
              <w:rPr>
                <w:b/>
                <w:i/>
              </w:rPr>
              <w:t>Basic EPS</w:t>
            </w:r>
          </w:p>
        </w:tc>
        <w:tc>
          <w:tcPr>
            <w:tcW w:w="1365" w:type="dxa"/>
            <w:tcBorders>
              <w:top w:val="nil"/>
              <w:left w:val="nil"/>
            </w:tcBorders>
            <w:vAlign w:val="bottom"/>
          </w:tcPr>
          <w:p w:rsidR="00D724FA" w:rsidRDefault="00D724FA" w:rsidP="00A858D8">
            <w:pPr>
              <w:pStyle w:val="IASBTableArial"/>
            </w:pPr>
          </w:p>
        </w:tc>
        <w:tc>
          <w:tcPr>
            <w:tcW w:w="455" w:type="dxa"/>
            <w:tcBorders>
              <w:top w:val="nil"/>
              <w:left w:val="nil"/>
            </w:tcBorders>
            <w:vAlign w:val="bottom"/>
          </w:tcPr>
          <w:p w:rsidR="00D724FA" w:rsidRDefault="00D724FA" w:rsidP="00A858D8">
            <w:pPr>
              <w:pStyle w:val="IASBTableArial"/>
            </w:pPr>
          </w:p>
        </w:tc>
        <w:tc>
          <w:tcPr>
            <w:tcW w:w="1365" w:type="dxa"/>
            <w:tcBorders>
              <w:top w:val="nil"/>
              <w:left w:val="nil"/>
            </w:tcBorders>
            <w:vAlign w:val="bottom"/>
          </w:tcPr>
          <w:p w:rsidR="00D724FA" w:rsidRDefault="00D724FA" w:rsidP="00A858D8">
            <w:pPr>
              <w:pStyle w:val="IASBTableArial"/>
            </w:pPr>
          </w:p>
        </w:tc>
        <w:tc>
          <w:tcPr>
            <w:tcW w:w="455" w:type="dxa"/>
            <w:tcBorders>
              <w:top w:val="nil"/>
              <w:left w:val="nil"/>
            </w:tcBorders>
            <w:vAlign w:val="bottom"/>
          </w:tcPr>
          <w:p w:rsidR="00D724FA" w:rsidRDefault="00D724FA" w:rsidP="00A858D8">
            <w:pPr>
              <w:pStyle w:val="IASBTableArial"/>
            </w:pPr>
          </w:p>
        </w:tc>
        <w:tc>
          <w:tcPr>
            <w:tcW w:w="455" w:type="dxa"/>
            <w:tcBorders>
              <w:top w:val="nil"/>
              <w:left w:val="nil"/>
            </w:tcBorders>
            <w:vAlign w:val="bottom"/>
          </w:tcPr>
          <w:p w:rsidR="00D724FA" w:rsidRDefault="00D724FA" w:rsidP="00A858D8">
            <w:pPr>
              <w:pStyle w:val="IASBTableArial"/>
              <w:jc w:val="right"/>
            </w:pPr>
          </w:p>
        </w:tc>
        <w:tc>
          <w:tcPr>
            <w:tcW w:w="1638" w:type="dxa"/>
            <w:tcBorders>
              <w:top w:val="nil"/>
              <w:left w:val="nil"/>
              <w:bottom w:val="double" w:sz="4" w:space="0" w:color="auto"/>
            </w:tcBorders>
            <w:vAlign w:val="bottom"/>
          </w:tcPr>
          <w:p w:rsidR="00D724FA" w:rsidRDefault="00D724FA" w:rsidP="00A858D8">
            <w:pPr>
              <w:pStyle w:val="IASBTableArial"/>
              <w:jc w:val="right"/>
            </w:pPr>
            <w:r>
              <w:rPr>
                <w:b/>
                <w:i/>
              </w:rPr>
              <w:t>CU0.98</w:t>
            </w:r>
          </w:p>
        </w:tc>
        <w:tc>
          <w:tcPr>
            <w:tcW w:w="216" w:type="dxa"/>
            <w:gridSpan w:val="2"/>
            <w:tcBorders>
              <w:top w:val="nil"/>
              <w:left w:val="nil"/>
            </w:tcBorders>
            <w:vAlign w:val="bottom"/>
          </w:tcPr>
          <w:p w:rsidR="00D724FA" w:rsidRDefault="00D724FA" w:rsidP="00A858D8">
            <w:pPr>
              <w:pStyle w:val="IASBTableArial"/>
            </w:pPr>
          </w:p>
        </w:tc>
      </w:tr>
      <w:tr w:rsidR="00D724FA" w:rsidTr="00A858D8">
        <w:trPr>
          <w:cantSplit/>
        </w:trPr>
        <w:tc>
          <w:tcPr>
            <w:tcW w:w="563" w:type="dxa"/>
            <w:tcBorders>
              <w:top w:val="nil"/>
            </w:tcBorders>
            <w:vAlign w:val="bottom"/>
          </w:tcPr>
          <w:p w:rsidR="00D724FA" w:rsidRDefault="00D724FA" w:rsidP="00A858D8">
            <w:pPr>
              <w:pStyle w:val="IASBTableArial"/>
            </w:pPr>
          </w:p>
        </w:tc>
        <w:tc>
          <w:tcPr>
            <w:tcW w:w="2730" w:type="dxa"/>
            <w:tcBorders>
              <w:top w:val="nil"/>
              <w:left w:val="nil"/>
            </w:tcBorders>
          </w:tcPr>
          <w:p w:rsidR="00D724FA" w:rsidRDefault="00D724FA" w:rsidP="00A858D8">
            <w:pPr>
              <w:pStyle w:val="IASBTableArial"/>
            </w:pPr>
          </w:p>
        </w:tc>
        <w:tc>
          <w:tcPr>
            <w:tcW w:w="1365" w:type="dxa"/>
            <w:tcBorders>
              <w:top w:val="nil"/>
              <w:left w:val="nil"/>
            </w:tcBorders>
          </w:tcPr>
          <w:p w:rsidR="00D724FA" w:rsidRDefault="00D724FA" w:rsidP="00A858D8">
            <w:pPr>
              <w:pStyle w:val="IASBTableArial"/>
            </w:pPr>
          </w:p>
        </w:tc>
        <w:tc>
          <w:tcPr>
            <w:tcW w:w="455" w:type="dxa"/>
            <w:tcBorders>
              <w:top w:val="nil"/>
              <w:left w:val="nil"/>
            </w:tcBorders>
          </w:tcPr>
          <w:p w:rsidR="00D724FA" w:rsidRDefault="00D724FA" w:rsidP="00A858D8">
            <w:pPr>
              <w:pStyle w:val="IASBTableArial"/>
            </w:pPr>
          </w:p>
        </w:tc>
        <w:tc>
          <w:tcPr>
            <w:tcW w:w="1365" w:type="dxa"/>
            <w:tcBorders>
              <w:top w:val="nil"/>
              <w:left w:val="nil"/>
            </w:tcBorders>
          </w:tcPr>
          <w:p w:rsidR="00D724FA" w:rsidRDefault="00D724FA" w:rsidP="00A858D8">
            <w:pPr>
              <w:pStyle w:val="IASBTableArial"/>
            </w:pPr>
          </w:p>
        </w:tc>
        <w:tc>
          <w:tcPr>
            <w:tcW w:w="455" w:type="dxa"/>
            <w:tcBorders>
              <w:top w:val="nil"/>
              <w:left w:val="nil"/>
            </w:tcBorders>
            <w:vAlign w:val="bottom"/>
          </w:tcPr>
          <w:p w:rsidR="00D724FA" w:rsidRDefault="00D724FA" w:rsidP="00A858D8">
            <w:pPr>
              <w:pStyle w:val="IASBTableArial"/>
            </w:pPr>
          </w:p>
        </w:tc>
        <w:tc>
          <w:tcPr>
            <w:tcW w:w="455" w:type="dxa"/>
            <w:tcBorders>
              <w:top w:val="nil"/>
              <w:left w:val="nil"/>
            </w:tcBorders>
            <w:vAlign w:val="bottom"/>
          </w:tcPr>
          <w:p w:rsidR="00D724FA" w:rsidRDefault="00D724FA" w:rsidP="00A858D8">
            <w:pPr>
              <w:pStyle w:val="IASBTableArial"/>
            </w:pPr>
          </w:p>
        </w:tc>
        <w:tc>
          <w:tcPr>
            <w:tcW w:w="1638" w:type="dxa"/>
            <w:tcBorders>
              <w:top w:val="nil"/>
              <w:left w:val="nil"/>
            </w:tcBorders>
            <w:vAlign w:val="bottom"/>
          </w:tcPr>
          <w:p w:rsidR="00D724FA" w:rsidRDefault="00D724FA" w:rsidP="00A858D8">
            <w:pPr>
              <w:pStyle w:val="IASBTableArial"/>
            </w:pPr>
          </w:p>
        </w:tc>
        <w:tc>
          <w:tcPr>
            <w:tcW w:w="216" w:type="dxa"/>
            <w:gridSpan w:val="2"/>
            <w:tcBorders>
              <w:top w:val="nil"/>
              <w:left w:val="nil"/>
            </w:tcBorders>
            <w:vAlign w:val="bottom"/>
          </w:tcPr>
          <w:p w:rsidR="00D724FA" w:rsidRDefault="00D724FA" w:rsidP="00A858D8">
            <w:pPr>
              <w:pStyle w:val="IASBTableArial"/>
            </w:pPr>
          </w:p>
        </w:tc>
      </w:tr>
      <w:tr w:rsidR="00D724FA" w:rsidTr="00A858D8">
        <w:trPr>
          <w:cantSplit/>
        </w:trPr>
        <w:tc>
          <w:tcPr>
            <w:tcW w:w="5113" w:type="dxa"/>
            <w:gridSpan w:val="4"/>
            <w:tcBorders>
              <w:top w:val="nil"/>
            </w:tcBorders>
            <w:vAlign w:val="bottom"/>
          </w:tcPr>
          <w:p w:rsidR="00D724FA" w:rsidRDefault="00D724FA" w:rsidP="00A858D8">
            <w:pPr>
              <w:pStyle w:val="IASBTableArial"/>
            </w:pPr>
            <w:r>
              <w:rPr>
                <w:i/>
              </w:rPr>
              <w:t>Diluted EPS calculation</w:t>
            </w:r>
          </w:p>
        </w:tc>
        <w:tc>
          <w:tcPr>
            <w:tcW w:w="1365" w:type="dxa"/>
            <w:tcBorders>
              <w:top w:val="nil"/>
              <w:left w:val="nil"/>
            </w:tcBorders>
            <w:vAlign w:val="bottom"/>
          </w:tcPr>
          <w:p w:rsidR="00D724FA" w:rsidRDefault="00D724FA" w:rsidP="00A858D8">
            <w:pPr>
              <w:pStyle w:val="IASBTableArial"/>
            </w:pPr>
          </w:p>
        </w:tc>
        <w:tc>
          <w:tcPr>
            <w:tcW w:w="455" w:type="dxa"/>
            <w:tcBorders>
              <w:top w:val="nil"/>
              <w:left w:val="nil"/>
            </w:tcBorders>
            <w:vAlign w:val="bottom"/>
          </w:tcPr>
          <w:p w:rsidR="00D724FA" w:rsidRDefault="00D724FA" w:rsidP="00A858D8">
            <w:pPr>
              <w:pStyle w:val="IASBTableArial"/>
            </w:pPr>
          </w:p>
        </w:tc>
        <w:tc>
          <w:tcPr>
            <w:tcW w:w="455" w:type="dxa"/>
            <w:tcBorders>
              <w:top w:val="nil"/>
              <w:left w:val="nil"/>
            </w:tcBorders>
            <w:vAlign w:val="bottom"/>
          </w:tcPr>
          <w:p w:rsidR="00D724FA" w:rsidRDefault="00D724FA" w:rsidP="00A858D8">
            <w:pPr>
              <w:pStyle w:val="IASBTableArial"/>
            </w:pPr>
          </w:p>
        </w:tc>
        <w:tc>
          <w:tcPr>
            <w:tcW w:w="1638" w:type="dxa"/>
            <w:tcBorders>
              <w:top w:val="nil"/>
              <w:left w:val="nil"/>
            </w:tcBorders>
            <w:vAlign w:val="bottom"/>
          </w:tcPr>
          <w:p w:rsidR="00D724FA" w:rsidRDefault="00D724FA" w:rsidP="00A858D8">
            <w:pPr>
              <w:pStyle w:val="IASBTableArial"/>
            </w:pPr>
          </w:p>
        </w:tc>
        <w:tc>
          <w:tcPr>
            <w:tcW w:w="216" w:type="dxa"/>
            <w:gridSpan w:val="2"/>
            <w:tcBorders>
              <w:top w:val="nil"/>
              <w:left w:val="nil"/>
            </w:tcBorders>
            <w:vAlign w:val="bottom"/>
          </w:tcPr>
          <w:p w:rsidR="00D724FA" w:rsidRDefault="00D724FA" w:rsidP="00A858D8">
            <w:pPr>
              <w:pStyle w:val="IASBTableArial"/>
            </w:pPr>
          </w:p>
        </w:tc>
      </w:tr>
      <w:tr w:rsidR="00D724FA" w:rsidTr="00A858D8">
        <w:trPr>
          <w:cantSplit/>
        </w:trPr>
        <w:tc>
          <w:tcPr>
            <w:tcW w:w="5113" w:type="dxa"/>
            <w:gridSpan w:val="4"/>
            <w:tcBorders>
              <w:top w:val="nil"/>
            </w:tcBorders>
            <w:vAlign w:val="bottom"/>
          </w:tcPr>
          <w:p w:rsidR="00D724FA" w:rsidRDefault="00D724FA" w:rsidP="00A858D8">
            <w:pPr>
              <w:pStyle w:val="IASBTableArial"/>
            </w:pPr>
            <w:r>
              <w:rPr>
                <w:b/>
              </w:rPr>
              <w:t>Profit attributable to ordinary equity holders of the parent entity</w:t>
            </w:r>
          </w:p>
        </w:tc>
        <w:tc>
          <w:tcPr>
            <w:tcW w:w="1365" w:type="dxa"/>
            <w:tcBorders>
              <w:top w:val="nil"/>
              <w:left w:val="nil"/>
            </w:tcBorders>
            <w:vAlign w:val="bottom"/>
          </w:tcPr>
          <w:p w:rsidR="00D724FA" w:rsidRDefault="00D724FA" w:rsidP="00A858D8">
            <w:pPr>
              <w:pStyle w:val="IASBTableArial"/>
            </w:pPr>
          </w:p>
        </w:tc>
        <w:tc>
          <w:tcPr>
            <w:tcW w:w="455" w:type="dxa"/>
            <w:tcBorders>
              <w:top w:val="nil"/>
              <w:left w:val="nil"/>
            </w:tcBorders>
            <w:vAlign w:val="bottom"/>
          </w:tcPr>
          <w:p w:rsidR="00D724FA" w:rsidRDefault="00D724FA" w:rsidP="00A858D8">
            <w:pPr>
              <w:pStyle w:val="IASBTableArial"/>
            </w:pPr>
          </w:p>
        </w:tc>
        <w:tc>
          <w:tcPr>
            <w:tcW w:w="455" w:type="dxa"/>
            <w:tcBorders>
              <w:top w:val="nil"/>
              <w:left w:val="nil"/>
            </w:tcBorders>
            <w:vAlign w:val="bottom"/>
          </w:tcPr>
          <w:p w:rsidR="00D724FA" w:rsidRDefault="00D724FA" w:rsidP="00A858D8">
            <w:pPr>
              <w:pStyle w:val="IASBTableArial"/>
              <w:jc w:val="right"/>
            </w:pPr>
          </w:p>
        </w:tc>
        <w:tc>
          <w:tcPr>
            <w:tcW w:w="1638" w:type="dxa"/>
            <w:tcBorders>
              <w:top w:val="nil"/>
              <w:left w:val="nil"/>
            </w:tcBorders>
            <w:vAlign w:val="bottom"/>
          </w:tcPr>
          <w:p w:rsidR="00D724FA" w:rsidRDefault="00D724FA" w:rsidP="00A858D8">
            <w:pPr>
              <w:pStyle w:val="IASBTableArial"/>
              <w:jc w:val="right"/>
            </w:pPr>
            <w:r>
              <w:t>CU4,960,000</w:t>
            </w:r>
          </w:p>
        </w:tc>
        <w:tc>
          <w:tcPr>
            <w:tcW w:w="216" w:type="dxa"/>
            <w:gridSpan w:val="2"/>
            <w:tcBorders>
              <w:top w:val="nil"/>
              <w:left w:val="nil"/>
            </w:tcBorders>
            <w:vAlign w:val="bottom"/>
          </w:tcPr>
          <w:p w:rsidR="00D724FA" w:rsidRDefault="00D724FA" w:rsidP="00A858D8">
            <w:pPr>
              <w:pStyle w:val="IASBTableArial"/>
            </w:pPr>
          </w:p>
        </w:tc>
      </w:tr>
      <w:tr w:rsidR="00D724FA" w:rsidTr="00A858D8">
        <w:trPr>
          <w:cantSplit/>
        </w:trPr>
        <w:tc>
          <w:tcPr>
            <w:tcW w:w="5113" w:type="dxa"/>
            <w:gridSpan w:val="4"/>
            <w:tcBorders>
              <w:top w:val="nil"/>
            </w:tcBorders>
            <w:vAlign w:val="bottom"/>
          </w:tcPr>
          <w:p w:rsidR="00D724FA" w:rsidRDefault="00D724FA" w:rsidP="00A858D8">
            <w:pPr>
              <w:pStyle w:val="IASBTableArial"/>
            </w:pPr>
            <w:r>
              <w:t>Plus: profit impact of assumed conversions</w:t>
            </w:r>
          </w:p>
        </w:tc>
        <w:tc>
          <w:tcPr>
            <w:tcW w:w="1365" w:type="dxa"/>
            <w:tcBorders>
              <w:top w:val="nil"/>
              <w:left w:val="nil"/>
            </w:tcBorders>
            <w:vAlign w:val="bottom"/>
          </w:tcPr>
          <w:p w:rsidR="00D724FA" w:rsidRDefault="00D724FA" w:rsidP="00A858D8">
            <w:pPr>
              <w:pStyle w:val="IASBTableArial"/>
            </w:pPr>
          </w:p>
        </w:tc>
        <w:tc>
          <w:tcPr>
            <w:tcW w:w="455" w:type="dxa"/>
            <w:tcBorders>
              <w:top w:val="nil"/>
              <w:left w:val="nil"/>
            </w:tcBorders>
            <w:vAlign w:val="bottom"/>
          </w:tcPr>
          <w:p w:rsidR="00D724FA" w:rsidRDefault="00D724FA" w:rsidP="00A858D8">
            <w:pPr>
              <w:pStyle w:val="IASBTableArial"/>
            </w:pPr>
          </w:p>
        </w:tc>
        <w:tc>
          <w:tcPr>
            <w:tcW w:w="455" w:type="dxa"/>
            <w:tcBorders>
              <w:top w:val="nil"/>
              <w:left w:val="nil"/>
            </w:tcBorders>
            <w:vAlign w:val="bottom"/>
          </w:tcPr>
          <w:p w:rsidR="00D724FA" w:rsidRDefault="00D724FA" w:rsidP="00A858D8">
            <w:pPr>
              <w:pStyle w:val="IASBTableArial"/>
            </w:pPr>
          </w:p>
        </w:tc>
        <w:tc>
          <w:tcPr>
            <w:tcW w:w="1638" w:type="dxa"/>
            <w:tcBorders>
              <w:top w:val="nil"/>
              <w:left w:val="nil"/>
            </w:tcBorders>
            <w:vAlign w:val="bottom"/>
          </w:tcPr>
          <w:p w:rsidR="00D724FA" w:rsidRDefault="00D724FA" w:rsidP="00A858D8">
            <w:pPr>
              <w:pStyle w:val="IASBTableArial"/>
            </w:pPr>
          </w:p>
        </w:tc>
        <w:tc>
          <w:tcPr>
            <w:tcW w:w="216" w:type="dxa"/>
            <w:gridSpan w:val="2"/>
            <w:tcBorders>
              <w:top w:val="nil"/>
              <w:left w:val="nil"/>
            </w:tcBorders>
            <w:vAlign w:val="bottom"/>
          </w:tcPr>
          <w:p w:rsidR="00D724FA" w:rsidRDefault="00D724FA" w:rsidP="00A858D8">
            <w:pPr>
              <w:pStyle w:val="IASBTableArial"/>
            </w:pPr>
          </w:p>
        </w:tc>
      </w:tr>
      <w:tr w:rsidR="00D724FA" w:rsidTr="00A858D8">
        <w:trPr>
          <w:cantSplit/>
        </w:trPr>
        <w:tc>
          <w:tcPr>
            <w:tcW w:w="563" w:type="dxa"/>
            <w:tcBorders>
              <w:top w:val="nil"/>
            </w:tcBorders>
            <w:vAlign w:val="bottom"/>
          </w:tcPr>
          <w:p w:rsidR="00D724FA" w:rsidRDefault="00D724FA" w:rsidP="00A858D8">
            <w:pPr>
              <w:pStyle w:val="IASBTableArial"/>
            </w:pPr>
          </w:p>
        </w:tc>
        <w:tc>
          <w:tcPr>
            <w:tcW w:w="4550" w:type="dxa"/>
            <w:gridSpan w:val="3"/>
            <w:tcBorders>
              <w:top w:val="nil"/>
              <w:left w:val="nil"/>
            </w:tcBorders>
            <w:vAlign w:val="bottom"/>
          </w:tcPr>
          <w:p w:rsidR="00D724FA" w:rsidRDefault="00D724FA" w:rsidP="00A858D8">
            <w:pPr>
              <w:pStyle w:val="IASBTableArial"/>
            </w:pPr>
            <w:r>
              <w:t>Preference share dividends</w:t>
            </w:r>
          </w:p>
        </w:tc>
        <w:tc>
          <w:tcPr>
            <w:tcW w:w="1365" w:type="dxa"/>
            <w:tcBorders>
              <w:top w:val="nil"/>
              <w:left w:val="nil"/>
            </w:tcBorders>
            <w:vAlign w:val="bottom"/>
          </w:tcPr>
          <w:p w:rsidR="00D724FA" w:rsidRDefault="00D724FA" w:rsidP="00A858D8">
            <w:pPr>
              <w:pStyle w:val="IASBTableArial"/>
              <w:jc w:val="right"/>
            </w:pPr>
            <w:r>
              <w:t>CU40,000</w:t>
            </w:r>
          </w:p>
        </w:tc>
        <w:tc>
          <w:tcPr>
            <w:tcW w:w="455" w:type="dxa"/>
            <w:tcBorders>
              <w:top w:val="nil"/>
              <w:left w:val="nil"/>
            </w:tcBorders>
            <w:vAlign w:val="bottom"/>
          </w:tcPr>
          <w:p w:rsidR="00D724FA" w:rsidRDefault="00D724FA" w:rsidP="00A858D8">
            <w:pPr>
              <w:pStyle w:val="IASBTableArial"/>
            </w:pPr>
            <w:r>
              <w:rPr>
                <w:vertAlign w:val="superscript"/>
              </w:rPr>
              <w:t>(a)</w:t>
            </w:r>
          </w:p>
        </w:tc>
        <w:tc>
          <w:tcPr>
            <w:tcW w:w="455" w:type="dxa"/>
            <w:tcBorders>
              <w:top w:val="nil"/>
              <w:left w:val="nil"/>
            </w:tcBorders>
            <w:vAlign w:val="bottom"/>
          </w:tcPr>
          <w:p w:rsidR="00D724FA" w:rsidRDefault="00D724FA" w:rsidP="00A858D8">
            <w:pPr>
              <w:pStyle w:val="IASBTableArial"/>
            </w:pPr>
          </w:p>
        </w:tc>
        <w:tc>
          <w:tcPr>
            <w:tcW w:w="1638" w:type="dxa"/>
            <w:tcBorders>
              <w:top w:val="nil"/>
              <w:left w:val="nil"/>
            </w:tcBorders>
            <w:vAlign w:val="bottom"/>
          </w:tcPr>
          <w:p w:rsidR="00D724FA" w:rsidRDefault="00D724FA" w:rsidP="00A858D8">
            <w:pPr>
              <w:pStyle w:val="IASBTableArial"/>
            </w:pPr>
          </w:p>
        </w:tc>
        <w:tc>
          <w:tcPr>
            <w:tcW w:w="216" w:type="dxa"/>
            <w:gridSpan w:val="2"/>
            <w:tcBorders>
              <w:top w:val="nil"/>
              <w:left w:val="nil"/>
            </w:tcBorders>
            <w:vAlign w:val="bottom"/>
          </w:tcPr>
          <w:p w:rsidR="00D724FA" w:rsidRDefault="00D724FA" w:rsidP="00A858D8">
            <w:pPr>
              <w:pStyle w:val="IASBTableArial"/>
            </w:pPr>
          </w:p>
        </w:tc>
      </w:tr>
      <w:tr w:rsidR="00D724FA" w:rsidTr="00A858D8">
        <w:trPr>
          <w:cantSplit/>
        </w:trPr>
        <w:tc>
          <w:tcPr>
            <w:tcW w:w="563" w:type="dxa"/>
            <w:tcBorders>
              <w:top w:val="nil"/>
            </w:tcBorders>
            <w:vAlign w:val="bottom"/>
          </w:tcPr>
          <w:p w:rsidR="00D724FA" w:rsidRDefault="00D724FA" w:rsidP="00A858D8">
            <w:pPr>
              <w:pStyle w:val="IASBTableArial"/>
            </w:pPr>
            <w:r>
              <w:t> </w:t>
            </w:r>
          </w:p>
        </w:tc>
        <w:tc>
          <w:tcPr>
            <w:tcW w:w="4550" w:type="dxa"/>
            <w:gridSpan w:val="3"/>
            <w:tcBorders>
              <w:top w:val="nil"/>
              <w:left w:val="nil"/>
            </w:tcBorders>
            <w:vAlign w:val="bottom"/>
          </w:tcPr>
          <w:p w:rsidR="00D724FA" w:rsidRDefault="00D724FA" w:rsidP="00A858D8">
            <w:pPr>
              <w:pStyle w:val="IASBTableArial"/>
            </w:pPr>
            <w:r>
              <w:t>Interest on 5% convertible bonds</w:t>
            </w:r>
          </w:p>
        </w:tc>
        <w:tc>
          <w:tcPr>
            <w:tcW w:w="1365" w:type="dxa"/>
            <w:tcBorders>
              <w:top w:val="nil"/>
              <w:left w:val="nil"/>
              <w:bottom w:val="single" w:sz="4" w:space="0" w:color="auto"/>
            </w:tcBorders>
            <w:vAlign w:val="bottom"/>
          </w:tcPr>
          <w:p w:rsidR="00D724FA" w:rsidRDefault="00D724FA" w:rsidP="00A858D8">
            <w:pPr>
              <w:pStyle w:val="IASBTableArial"/>
              <w:jc w:val="right"/>
            </w:pPr>
            <w:r>
              <w:t>CU90,000</w:t>
            </w:r>
          </w:p>
        </w:tc>
        <w:tc>
          <w:tcPr>
            <w:tcW w:w="455" w:type="dxa"/>
            <w:tcBorders>
              <w:top w:val="nil"/>
              <w:left w:val="nil"/>
            </w:tcBorders>
            <w:vAlign w:val="bottom"/>
          </w:tcPr>
          <w:p w:rsidR="00D724FA" w:rsidRDefault="00D724FA" w:rsidP="00A858D8">
            <w:pPr>
              <w:pStyle w:val="IASBTableArial"/>
            </w:pPr>
            <w:r>
              <w:rPr>
                <w:vertAlign w:val="superscript"/>
              </w:rPr>
              <w:t>(b)</w:t>
            </w:r>
          </w:p>
        </w:tc>
        <w:tc>
          <w:tcPr>
            <w:tcW w:w="455" w:type="dxa"/>
            <w:tcBorders>
              <w:top w:val="nil"/>
              <w:left w:val="nil"/>
            </w:tcBorders>
            <w:vAlign w:val="bottom"/>
          </w:tcPr>
          <w:p w:rsidR="00D724FA" w:rsidRDefault="00D724FA" w:rsidP="00A858D8">
            <w:pPr>
              <w:pStyle w:val="IASBTableArial"/>
            </w:pPr>
          </w:p>
        </w:tc>
        <w:tc>
          <w:tcPr>
            <w:tcW w:w="1638" w:type="dxa"/>
            <w:tcBorders>
              <w:top w:val="nil"/>
              <w:left w:val="nil"/>
            </w:tcBorders>
            <w:vAlign w:val="bottom"/>
          </w:tcPr>
          <w:p w:rsidR="00D724FA" w:rsidRDefault="00D724FA" w:rsidP="00A858D8">
            <w:pPr>
              <w:pStyle w:val="IASBTableArial"/>
            </w:pPr>
          </w:p>
        </w:tc>
        <w:tc>
          <w:tcPr>
            <w:tcW w:w="216" w:type="dxa"/>
            <w:gridSpan w:val="2"/>
            <w:tcBorders>
              <w:top w:val="nil"/>
              <w:left w:val="nil"/>
            </w:tcBorders>
            <w:vAlign w:val="bottom"/>
          </w:tcPr>
          <w:p w:rsidR="00D724FA" w:rsidRDefault="00D724FA" w:rsidP="00A858D8">
            <w:pPr>
              <w:pStyle w:val="IASBTableArial"/>
            </w:pPr>
          </w:p>
        </w:tc>
      </w:tr>
      <w:tr w:rsidR="00D724FA" w:rsidTr="00A858D8">
        <w:trPr>
          <w:cantSplit/>
        </w:trPr>
        <w:tc>
          <w:tcPr>
            <w:tcW w:w="5113" w:type="dxa"/>
            <w:gridSpan w:val="4"/>
            <w:tcBorders>
              <w:top w:val="nil"/>
            </w:tcBorders>
            <w:vAlign w:val="bottom"/>
          </w:tcPr>
          <w:p w:rsidR="00D724FA" w:rsidRDefault="00D724FA" w:rsidP="00A858D8">
            <w:pPr>
              <w:pStyle w:val="IASBTableArial"/>
            </w:pPr>
            <w:r>
              <w:rPr>
                <w:b/>
              </w:rPr>
              <w:t>Effect of assumed conversions</w:t>
            </w:r>
          </w:p>
        </w:tc>
        <w:tc>
          <w:tcPr>
            <w:tcW w:w="1365" w:type="dxa"/>
            <w:tcBorders>
              <w:top w:val="nil"/>
              <w:left w:val="nil"/>
            </w:tcBorders>
            <w:vAlign w:val="bottom"/>
          </w:tcPr>
          <w:p w:rsidR="00D724FA" w:rsidRDefault="00D724FA" w:rsidP="00A858D8">
            <w:pPr>
              <w:pStyle w:val="IASBTableArial"/>
            </w:pPr>
          </w:p>
        </w:tc>
        <w:tc>
          <w:tcPr>
            <w:tcW w:w="455" w:type="dxa"/>
            <w:tcBorders>
              <w:top w:val="nil"/>
              <w:left w:val="nil"/>
            </w:tcBorders>
            <w:vAlign w:val="bottom"/>
          </w:tcPr>
          <w:p w:rsidR="00D724FA" w:rsidRDefault="00D724FA" w:rsidP="00A858D8">
            <w:pPr>
              <w:pStyle w:val="IASBTableArial"/>
            </w:pPr>
          </w:p>
        </w:tc>
        <w:tc>
          <w:tcPr>
            <w:tcW w:w="455" w:type="dxa"/>
            <w:tcBorders>
              <w:top w:val="nil"/>
              <w:left w:val="nil"/>
            </w:tcBorders>
            <w:vAlign w:val="bottom"/>
          </w:tcPr>
          <w:p w:rsidR="00D724FA" w:rsidRDefault="00D724FA" w:rsidP="00A858D8">
            <w:pPr>
              <w:pStyle w:val="IASBTableArial"/>
              <w:jc w:val="right"/>
            </w:pPr>
          </w:p>
        </w:tc>
        <w:tc>
          <w:tcPr>
            <w:tcW w:w="1638" w:type="dxa"/>
            <w:tcBorders>
              <w:top w:val="nil"/>
              <w:left w:val="nil"/>
              <w:bottom w:val="single" w:sz="4" w:space="0" w:color="auto"/>
            </w:tcBorders>
            <w:vAlign w:val="bottom"/>
          </w:tcPr>
          <w:p w:rsidR="00D724FA" w:rsidRDefault="00D724FA" w:rsidP="00A858D8">
            <w:pPr>
              <w:pStyle w:val="IASBTableArial"/>
              <w:jc w:val="right"/>
            </w:pPr>
            <w:r>
              <w:t>CU130,000</w:t>
            </w:r>
          </w:p>
        </w:tc>
        <w:tc>
          <w:tcPr>
            <w:tcW w:w="216" w:type="dxa"/>
            <w:gridSpan w:val="2"/>
            <w:tcBorders>
              <w:top w:val="nil"/>
              <w:left w:val="nil"/>
            </w:tcBorders>
            <w:vAlign w:val="bottom"/>
          </w:tcPr>
          <w:p w:rsidR="00D724FA" w:rsidRDefault="00D724FA" w:rsidP="00A858D8">
            <w:pPr>
              <w:pStyle w:val="IASBTableArial"/>
            </w:pPr>
          </w:p>
        </w:tc>
      </w:tr>
      <w:tr w:rsidR="00D724FA" w:rsidTr="00A858D8">
        <w:trPr>
          <w:cantSplit/>
        </w:trPr>
        <w:tc>
          <w:tcPr>
            <w:tcW w:w="5113" w:type="dxa"/>
            <w:gridSpan w:val="4"/>
            <w:tcBorders>
              <w:top w:val="nil"/>
            </w:tcBorders>
            <w:vAlign w:val="bottom"/>
          </w:tcPr>
          <w:p w:rsidR="00D724FA" w:rsidRDefault="00D724FA" w:rsidP="00A858D8">
            <w:pPr>
              <w:pStyle w:val="IASBTableArial"/>
            </w:pPr>
            <w:r>
              <w:t>Profit attributable to ordinary equity holders of the parent entity including assumed conversions</w:t>
            </w:r>
          </w:p>
        </w:tc>
        <w:tc>
          <w:tcPr>
            <w:tcW w:w="1365" w:type="dxa"/>
            <w:tcBorders>
              <w:top w:val="nil"/>
              <w:left w:val="nil"/>
            </w:tcBorders>
            <w:vAlign w:val="bottom"/>
          </w:tcPr>
          <w:p w:rsidR="00D724FA" w:rsidRDefault="00D724FA" w:rsidP="00A858D8">
            <w:pPr>
              <w:pStyle w:val="IASBTableArial"/>
            </w:pPr>
          </w:p>
        </w:tc>
        <w:tc>
          <w:tcPr>
            <w:tcW w:w="455" w:type="dxa"/>
            <w:tcBorders>
              <w:top w:val="nil"/>
              <w:left w:val="nil"/>
            </w:tcBorders>
            <w:vAlign w:val="bottom"/>
          </w:tcPr>
          <w:p w:rsidR="00D724FA" w:rsidRDefault="00D724FA" w:rsidP="00A858D8">
            <w:pPr>
              <w:pStyle w:val="IASBTableArial"/>
            </w:pPr>
          </w:p>
        </w:tc>
        <w:tc>
          <w:tcPr>
            <w:tcW w:w="455" w:type="dxa"/>
            <w:tcBorders>
              <w:top w:val="nil"/>
              <w:left w:val="nil"/>
            </w:tcBorders>
            <w:vAlign w:val="bottom"/>
          </w:tcPr>
          <w:p w:rsidR="00D724FA" w:rsidRDefault="00D724FA" w:rsidP="00A858D8">
            <w:pPr>
              <w:pStyle w:val="IASBTableArial"/>
              <w:jc w:val="right"/>
            </w:pPr>
          </w:p>
        </w:tc>
        <w:tc>
          <w:tcPr>
            <w:tcW w:w="1638" w:type="dxa"/>
            <w:tcBorders>
              <w:top w:val="nil"/>
              <w:left w:val="nil"/>
              <w:bottom w:val="double" w:sz="4" w:space="0" w:color="auto"/>
            </w:tcBorders>
            <w:vAlign w:val="bottom"/>
          </w:tcPr>
          <w:p w:rsidR="00D724FA" w:rsidRDefault="00D724FA" w:rsidP="00A858D8">
            <w:pPr>
              <w:pStyle w:val="IASBTableArial"/>
              <w:jc w:val="right"/>
            </w:pPr>
            <w:r>
              <w:t>CU5,090,000</w:t>
            </w:r>
          </w:p>
        </w:tc>
        <w:tc>
          <w:tcPr>
            <w:tcW w:w="216" w:type="dxa"/>
            <w:gridSpan w:val="2"/>
            <w:tcBorders>
              <w:top w:val="nil"/>
              <w:left w:val="nil"/>
            </w:tcBorders>
            <w:vAlign w:val="bottom"/>
          </w:tcPr>
          <w:p w:rsidR="00D724FA" w:rsidRDefault="00D724FA" w:rsidP="00A858D8">
            <w:pPr>
              <w:pStyle w:val="IASBTableArial"/>
            </w:pPr>
          </w:p>
        </w:tc>
      </w:tr>
      <w:tr w:rsidR="00D724FA" w:rsidTr="00A858D8">
        <w:trPr>
          <w:cantSplit/>
        </w:trPr>
        <w:tc>
          <w:tcPr>
            <w:tcW w:w="7388" w:type="dxa"/>
            <w:gridSpan w:val="7"/>
            <w:tcBorders>
              <w:top w:val="nil"/>
            </w:tcBorders>
            <w:vAlign w:val="bottom"/>
          </w:tcPr>
          <w:p w:rsidR="00D724FA" w:rsidRDefault="00D724FA" w:rsidP="00A858D8">
            <w:pPr>
              <w:pStyle w:val="IASBTableArial"/>
            </w:pPr>
          </w:p>
        </w:tc>
        <w:tc>
          <w:tcPr>
            <w:tcW w:w="1638" w:type="dxa"/>
            <w:tcBorders>
              <w:top w:val="nil"/>
              <w:left w:val="nil"/>
            </w:tcBorders>
            <w:vAlign w:val="bottom"/>
          </w:tcPr>
          <w:p w:rsidR="00D724FA" w:rsidRDefault="00D724FA" w:rsidP="00A858D8">
            <w:pPr>
              <w:pStyle w:val="IASBTableArial"/>
            </w:pPr>
          </w:p>
        </w:tc>
        <w:tc>
          <w:tcPr>
            <w:tcW w:w="216" w:type="dxa"/>
            <w:gridSpan w:val="2"/>
            <w:tcBorders>
              <w:top w:val="nil"/>
              <w:left w:val="nil"/>
            </w:tcBorders>
            <w:vAlign w:val="bottom"/>
          </w:tcPr>
          <w:p w:rsidR="00D724FA" w:rsidRDefault="00D724FA" w:rsidP="00A858D8">
            <w:pPr>
              <w:pStyle w:val="IASBTableArial"/>
            </w:pPr>
          </w:p>
        </w:tc>
      </w:tr>
      <w:tr w:rsidR="00D724FA" w:rsidTr="00A858D8">
        <w:trPr>
          <w:cantSplit/>
        </w:trPr>
        <w:tc>
          <w:tcPr>
            <w:tcW w:w="5113" w:type="dxa"/>
            <w:gridSpan w:val="4"/>
            <w:tcBorders>
              <w:top w:val="nil"/>
            </w:tcBorders>
            <w:vAlign w:val="bottom"/>
          </w:tcPr>
          <w:p w:rsidR="00D724FA" w:rsidRDefault="00D724FA" w:rsidP="00A858D8">
            <w:pPr>
              <w:pStyle w:val="IASBTableArial"/>
            </w:pPr>
            <w:r>
              <w:rPr>
                <w:b/>
              </w:rPr>
              <w:t>Weighted-average shares</w:t>
            </w:r>
          </w:p>
        </w:tc>
        <w:tc>
          <w:tcPr>
            <w:tcW w:w="1365" w:type="dxa"/>
            <w:tcBorders>
              <w:top w:val="nil"/>
              <w:left w:val="nil"/>
            </w:tcBorders>
            <w:vAlign w:val="bottom"/>
          </w:tcPr>
          <w:p w:rsidR="00D724FA" w:rsidRDefault="00D724FA" w:rsidP="00A858D8">
            <w:pPr>
              <w:pStyle w:val="IASBTableArial"/>
            </w:pPr>
          </w:p>
        </w:tc>
        <w:tc>
          <w:tcPr>
            <w:tcW w:w="455" w:type="dxa"/>
            <w:tcBorders>
              <w:top w:val="nil"/>
              <w:left w:val="nil"/>
            </w:tcBorders>
            <w:vAlign w:val="bottom"/>
          </w:tcPr>
          <w:p w:rsidR="00D724FA" w:rsidRDefault="00D724FA" w:rsidP="00A858D8">
            <w:pPr>
              <w:pStyle w:val="IASBTableArial"/>
            </w:pPr>
          </w:p>
        </w:tc>
        <w:tc>
          <w:tcPr>
            <w:tcW w:w="455" w:type="dxa"/>
            <w:tcBorders>
              <w:top w:val="nil"/>
              <w:left w:val="nil"/>
            </w:tcBorders>
            <w:vAlign w:val="bottom"/>
          </w:tcPr>
          <w:p w:rsidR="00D724FA" w:rsidRDefault="00D724FA" w:rsidP="00A858D8">
            <w:pPr>
              <w:pStyle w:val="IASBTableArial"/>
              <w:jc w:val="right"/>
            </w:pPr>
          </w:p>
        </w:tc>
        <w:tc>
          <w:tcPr>
            <w:tcW w:w="1638" w:type="dxa"/>
            <w:tcBorders>
              <w:top w:val="nil"/>
              <w:left w:val="nil"/>
            </w:tcBorders>
            <w:vAlign w:val="bottom"/>
          </w:tcPr>
          <w:p w:rsidR="00D724FA" w:rsidRDefault="00D724FA" w:rsidP="00A858D8">
            <w:pPr>
              <w:pStyle w:val="IASBTableArial"/>
              <w:jc w:val="right"/>
            </w:pPr>
            <w:r>
              <w:t>5,066,666</w:t>
            </w:r>
          </w:p>
        </w:tc>
        <w:tc>
          <w:tcPr>
            <w:tcW w:w="216" w:type="dxa"/>
            <w:gridSpan w:val="2"/>
            <w:tcBorders>
              <w:top w:val="nil"/>
              <w:left w:val="nil"/>
            </w:tcBorders>
            <w:vAlign w:val="bottom"/>
          </w:tcPr>
          <w:p w:rsidR="00D724FA" w:rsidRDefault="00D724FA" w:rsidP="00A858D8">
            <w:pPr>
              <w:pStyle w:val="IASBTableArial"/>
            </w:pPr>
          </w:p>
        </w:tc>
      </w:tr>
      <w:tr w:rsidR="00D724FA" w:rsidTr="00A858D8">
        <w:trPr>
          <w:cantSplit/>
        </w:trPr>
        <w:tc>
          <w:tcPr>
            <w:tcW w:w="6478" w:type="dxa"/>
            <w:gridSpan w:val="5"/>
            <w:tcBorders>
              <w:top w:val="nil"/>
            </w:tcBorders>
            <w:vAlign w:val="bottom"/>
          </w:tcPr>
          <w:p w:rsidR="00D724FA" w:rsidRDefault="00D724FA" w:rsidP="00A858D8">
            <w:pPr>
              <w:pStyle w:val="IASBTableArial"/>
            </w:pPr>
            <w:r>
              <w:t>Plus: incremental shares from assumed conversions</w:t>
            </w:r>
          </w:p>
        </w:tc>
        <w:tc>
          <w:tcPr>
            <w:tcW w:w="455" w:type="dxa"/>
            <w:tcBorders>
              <w:top w:val="nil"/>
              <w:left w:val="nil"/>
            </w:tcBorders>
            <w:vAlign w:val="bottom"/>
          </w:tcPr>
          <w:p w:rsidR="00D724FA" w:rsidRDefault="00D724FA" w:rsidP="00A858D8">
            <w:pPr>
              <w:pStyle w:val="IASBTableArial"/>
            </w:pPr>
          </w:p>
        </w:tc>
        <w:tc>
          <w:tcPr>
            <w:tcW w:w="455" w:type="dxa"/>
            <w:tcBorders>
              <w:top w:val="nil"/>
              <w:left w:val="nil"/>
            </w:tcBorders>
            <w:vAlign w:val="bottom"/>
          </w:tcPr>
          <w:p w:rsidR="00D724FA" w:rsidRDefault="00D724FA" w:rsidP="00A858D8">
            <w:pPr>
              <w:pStyle w:val="IASBTableArial"/>
            </w:pPr>
          </w:p>
        </w:tc>
        <w:tc>
          <w:tcPr>
            <w:tcW w:w="1638" w:type="dxa"/>
            <w:tcBorders>
              <w:top w:val="nil"/>
              <w:left w:val="nil"/>
            </w:tcBorders>
            <w:vAlign w:val="bottom"/>
          </w:tcPr>
          <w:p w:rsidR="00D724FA" w:rsidRDefault="00D724FA" w:rsidP="00A858D8">
            <w:pPr>
              <w:pStyle w:val="IASBTableArial"/>
            </w:pPr>
          </w:p>
        </w:tc>
        <w:tc>
          <w:tcPr>
            <w:tcW w:w="216" w:type="dxa"/>
            <w:gridSpan w:val="2"/>
            <w:tcBorders>
              <w:top w:val="nil"/>
              <w:left w:val="nil"/>
            </w:tcBorders>
            <w:vAlign w:val="bottom"/>
          </w:tcPr>
          <w:p w:rsidR="00D724FA" w:rsidRDefault="00D724FA" w:rsidP="00A858D8">
            <w:pPr>
              <w:pStyle w:val="IASBTableArial"/>
            </w:pPr>
          </w:p>
        </w:tc>
      </w:tr>
      <w:tr w:rsidR="00D724FA" w:rsidTr="00A858D8">
        <w:trPr>
          <w:cantSplit/>
        </w:trPr>
        <w:tc>
          <w:tcPr>
            <w:tcW w:w="563" w:type="dxa"/>
            <w:tcBorders>
              <w:top w:val="nil"/>
            </w:tcBorders>
            <w:vAlign w:val="bottom"/>
          </w:tcPr>
          <w:p w:rsidR="00D724FA" w:rsidRDefault="00D724FA" w:rsidP="00A858D8">
            <w:pPr>
              <w:pStyle w:val="IASBTableArial"/>
            </w:pPr>
            <w:r>
              <w:t> </w:t>
            </w:r>
          </w:p>
        </w:tc>
        <w:tc>
          <w:tcPr>
            <w:tcW w:w="4550" w:type="dxa"/>
            <w:gridSpan w:val="3"/>
            <w:tcBorders>
              <w:top w:val="nil"/>
              <w:left w:val="nil"/>
            </w:tcBorders>
            <w:vAlign w:val="bottom"/>
          </w:tcPr>
          <w:p w:rsidR="00D724FA" w:rsidRDefault="00D724FA" w:rsidP="00A858D8">
            <w:pPr>
              <w:pStyle w:val="IASBTableArial"/>
            </w:pPr>
            <w:r>
              <w:t>Warrants</w:t>
            </w:r>
          </w:p>
        </w:tc>
        <w:tc>
          <w:tcPr>
            <w:tcW w:w="1365" w:type="dxa"/>
            <w:tcBorders>
              <w:top w:val="nil"/>
              <w:left w:val="nil"/>
            </w:tcBorders>
          </w:tcPr>
          <w:p w:rsidR="00D724FA" w:rsidRDefault="00D724FA" w:rsidP="00A858D8">
            <w:pPr>
              <w:pStyle w:val="IASBTableArial"/>
              <w:jc w:val="right"/>
            </w:pPr>
            <w:r>
              <w:t>0</w:t>
            </w:r>
          </w:p>
        </w:tc>
        <w:tc>
          <w:tcPr>
            <w:tcW w:w="455" w:type="dxa"/>
            <w:tcBorders>
              <w:top w:val="nil"/>
              <w:left w:val="nil"/>
            </w:tcBorders>
            <w:vAlign w:val="bottom"/>
          </w:tcPr>
          <w:p w:rsidR="00D724FA" w:rsidRDefault="00D724FA" w:rsidP="00A858D8">
            <w:pPr>
              <w:pStyle w:val="IASBTableArial"/>
            </w:pPr>
            <w:r>
              <w:rPr>
                <w:vertAlign w:val="superscript"/>
              </w:rPr>
              <w:t>(c)</w:t>
            </w:r>
          </w:p>
        </w:tc>
        <w:tc>
          <w:tcPr>
            <w:tcW w:w="455" w:type="dxa"/>
            <w:tcBorders>
              <w:top w:val="nil"/>
              <w:left w:val="nil"/>
            </w:tcBorders>
            <w:vAlign w:val="bottom"/>
          </w:tcPr>
          <w:p w:rsidR="00D724FA" w:rsidRDefault="00D724FA" w:rsidP="00A858D8">
            <w:pPr>
              <w:pStyle w:val="IASBTableArial"/>
            </w:pPr>
          </w:p>
        </w:tc>
        <w:tc>
          <w:tcPr>
            <w:tcW w:w="1638" w:type="dxa"/>
            <w:tcBorders>
              <w:top w:val="nil"/>
              <w:left w:val="nil"/>
            </w:tcBorders>
            <w:vAlign w:val="bottom"/>
          </w:tcPr>
          <w:p w:rsidR="00D724FA" w:rsidRDefault="00D724FA" w:rsidP="00A858D8">
            <w:pPr>
              <w:pStyle w:val="IASBTableArial"/>
            </w:pPr>
          </w:p>
        </w:tc>
        <w:tc>
          <w:tcPr>
            <w:tcW w:w="216" w:type="dxa"/>
            <w:gridSpan w:val="2"/>
            <w:tcBorders>
              <w:top w:val="nil"/>
              <w:left w:val="nil"/>
            </w:tcBorders>
            <w:vAlign w:val="bottom"/>
          </w:tcPr>
          <w:p w:rsidR="00D724FA" w:rsidRDefault="00D724FA" w:rsidP="00A858D8">
            <w:pPr>
              <w:pStyle w:val="IASBTableArial"/>
            </w:pPr>
          </w:p>
        </w:tc>
      </w:tr>
      <w:tr w:rsidR="00D724FA" w:rsidTr="00A858D8">
        <w:trPr>
          <w:cantSplit/>
        </w:trPr>
        <w:tc>
          <w:tcPr>
            <w:tcW w:w="563" w:type="dxa"/>
            <w:tcBorders>
              <w:top w:val="nil"/>
            </w:tcBorders>
            <w:vAlign w:val="bottom"/>
          </w:tcPr>
          <w:p w:rsidR="00D724FA" w:rsidRDefault="00D724FA" w:rsidP="00A858D8">
            <w:pPr>
              <w:pStyle w:val="IASBTableArial"/>
            </w:pPr>
            <w:r>
              <w:t> </w:t>
            </w:r>
          </w:p>
        </w:tc>
        <w:tc>
          <w:tcPr>
            <w:tcW w:w="4550" w:type="dxa"/>
            <w:gridSpan w:val="3"/>
            <w:tcBorders>
              <w:top w:val="nil"/>
              <w:left w:val="nil"/>
            </w:tcBorders>
            <w:vAlign w:val="bottom"/>
          </w:tcPr>
          <w:p w:rsidR="00D724FA" w:rsidRDefault="00D724FA" w:rsidP="00A858D8">
            <w:pPr>
              <w:pStyle w:val="IASBTableArial"/>
            </w:pPr>
            <w:r>
              <w:t>Convertible preference shares</w:t>
            </w:r>
          </w:p>
        </w:tc>
        <w:tc>
          <w:tcPr>
            <w:tcW w:w="1365" w:type="dxa"/>
            <w:tcBorders>
              <w:top w:val="nil"/>
              <w:left w:val="nil"/>
            </w:tcBorders>
            <w:vAlign w:val="bottom"/>
          </w:tcPr>
          <w:p w:rsidR="00D724FA" w:rsidRDefault="00D724FA" w:rsidP="00A858D8">
            <w:pPr>
              <w:pStyle w:val="IASBTableArial"/>
              <w:jc w:val="right"/>
            </w:pPr>
            <w:r>
              <w:t>800,000</w:t>
            </w:r>
          </w:p>
        </w:tc>
        <w:tc>
          <w:tcPr>
            <w:tcW w:w="455" w:type="dxa"/>
            <w:tcBorders>
              <w:top w:val="nil"/>
              <w:left w:val="nil"/>
            </w:tcBorders>
            <w:vAlign w:val="bottom"/>
          </w:tcPr>
          <w:p w:rsidR="00D724FA" w:rsidRDefault="00D724FA" w:rsidP="00A858D8">
            <w:pPr>
              <w:pStyle w:val="IASBTableArial"/>
            </w:pPr>
          </w:p>
        </w:tc>
        <w:tc>
          <w:tcPr>
            <w:tcW w:w="455" w:type="dxa"/>
            <w:tcBorders>
              <w:top w:val="nil"/>
              <w:left w:val="nil"/>
            </w:tcBorders>
            <w:vAlign w:val="bottom"/>
          </w:tcPr>
          <w:p w:rsidR="00D724FA" w:rsidRDefault="00D724FA" w:rsidP="00A858D8">
            <w:pPr>
              <w:pStyle w:val="IASBTableArial"/>
            </w:pPr>
          </w:p>
        </w:tc>
        <w:tc>
          <w:tcPr>
            <w:tcW w:w="1638" w:type="dxa"/>
            <w:tcBorders>
              <w:top w:val="nil"/>
              <w:left w:val="nil"/>
            </w:tcBorders>
            <w:vAlign w:val="bottom"/>
          </w:tcPr>
          <w:p w:rsidR="00D724FA" w:rsidRDefault="00D724FA" w:rsidP="00A858D8">
            <w:pPr>
              <w:pStyle w:val="IASBTableArial"/>
            </w:pPr>
          </w:p>
        </w:tc>
        <w:tc>
          <w:tcPr>
            <w:tcW w:w="216" w:type="dxa"/>
            <w:gridSpan w:val="2"/>
            <w:tcBorders>
              <w:top w:val="nil"/>
              <w:left w:val="nil"/>
            </w:tcBorders>
            <w:vAlign w:val="bottom"/>
          </w:tcPr>
          <w:p w:rsidR="00D724FA" w:rsidRDefault="00D724FA" w:rsidP="00A858D8">
            <w:pPr>
              <w:pStyle w:val="IASBTableArial"/>
            </w:pPr>
          </w:p>
        </w:tc>
      </w:tr>
      <w:tr w:rsidR="00D724FA" w:rsidTr="00A858D8">
        <w:trPr>
          <w:cantSplit/>
        </w:trPr>
        <w:tc>
          <w:tcPr>
            <w:tcW w:w="563" w:type="dxa"/>
            <w:tcBorders>
              <w:top w:val="nil"/>
            </w:tcBorders>
            <w:vAlign w:val="bottom"/>
          </w:tcPr>
          <w:p w:rsidR="00D724FA" w:rsidRDefault="00D724FA" w:rsidP="00A858D8">
            <w:pPr>
              <w:pStyle w:val="IASBTableArial"/>
            </w:pPr>
            <w:r>
              <w:t> </w:t>
            </w:r>
          </w:p>
        </w:tc>
        <w:tc>
          <w:tcPr>
            <w:tcW w:w="4550" w:type="dxa"/>
            <w:gridSpan w:val="3"/>
            <w:tcBorders>
              <w:top w:val="nil"/>
              <w:left w:val="nil"/>
            </w:tcBorders>
            <w:vAlign w:val="bottom"/>
          </w:tcPr>
          <w:p w:rsidR="00D724FA" w:rsidRDefault="00D724FA" w:rsidP="00A858D8">
            <w:pPr>
              <w:pStyle w:val="IASBTableArial"/>
            </w:pPr>
            <w:r>
              <w:t>5% convertible bonds</w:t>
            </w:r>
          </w:p>
        </w:tc>
        <w:tc>
          <w:tcPr>
            <w:tcW w:w="1365" w:type="dxa"/>
            <w:tcBorders>
              <w:top w:val="nil"/>
              <w:left w:val="nil"/>
              <w:bottom w:val="single" w:sz="4" w:space="0" w:color="auto"/>
            </w:tcBorders>
            <w:vAlign w:val="bottom"/>
          </w:tcPr>
          <w:p w:rsidR="00D724FA" w:rsidRDefault="00D724FA" w:rsidP="00A858D8">
            <w:pPr>
              <w:pStyle w:val="IASBTableArial"/>
              <w:jc w:val="right"/>
            </w:pPr>
            <w:r>
              <w:t>480,000</w:t>
            </w:r>
          </w:p>
        </w:tc>
        <w:tc>
          <w:tcPr>
            <w:tcW w:w="455" w:type="dxa"/>
            <w:tcBorders>
              <w:top w:val="nil"/>
              <w:left w:val="nil"/>
            </w:tcBorders>
            <w:vAlign w:val="bottom"/>
          </w:tcPr>
          <w:p w:rsidR="00D724FA" w:rsidRDefault="00D724FA" w:rsidP="00A858D8">
            <w:pPr>
              <w:pStyle w:val="IASBTableArial"/>
            </w:pPr>
          </w:p>
        </w:tc>
        <w:tc>
          <w:tcPr>
            <w:tcW w:w="455" w:type="dxa"/>
            <w:tcBorders>
              <w:top w:val="nil"/>
              <w:left w:val="nil"/>
            </w:tcBorders>
            <w:vAlign w:val="bottom"/>
          </w:tcPr>
          <w:p w:rsidR="00D724FA" w:rsidRDefault="00D724FA" w:rsidP="00A858D8">
            <w:pPr>
              <w:pStyle w:val="IASBTableArial"/>
            </w:pPr>
          </w:p>
        </w:tc>
        <w:tc>
          <w:tcPr>
            <w:tcW w:w="1638" w:type="dxa"/>
            <w:tcBorders>
              <w:top w:val="nil"/>
              <w:left w:val="nil"/>
            </w:tcBorders>
            <w:vAlign w:val="bottom"/>
          </w:tcPr>
          <w:p w:rsidR="00D724FA" w:rsidRDefault="00D724FA" w:rsidP="00A858D8">
            <w:pPr>
              <w:pStyle w:val="IASBTableArial"/>
            </w:pPr>
          </w:p>
        </w:tc>
        <w:tc>
          <w:tcPr>
            <w:tcW w:w="216" w:type="dxa"/>
            <w:gridSpan w:val="2"/>
            <w:tcBorders>
              <w:top w:val="nil"/>
              <w:left w:val="nil"/>
            </w:tcBorders>
            <w:vAlign w:val="bottom"/>
          </w:tcPr>
          <w:p w:rsidR="00D724FA" w:rsidRDefault="00D724FA" w:rsidP="00A858D8">
            <w:pPr>
              <w:pStyle w:val="IASBTableArial"/>
            </w:pPr>
          </w:p>
        </w:tc>
      </w:tr>
      <w:tr w:rsidR="00D724FA" w:rsidTr="00A858D8">
        <w:trPr>
          <w:cantSplit/>
        </w:trPr>
        <w:tc>
          <w:tcPr>
            <w:tcW w:w="5113" w:type="dxa"/>
            <w:gridSpan w:val="4"/>
            <w:tcBorders>
              <w:top w:val="nil"/>
            </w:tcBorders>
            <w:vAlign w:val="bottom"/>
          </w:tcPr>
          <w:p w:rsidR="00D724FA" w:rsidRDefault="00D724FA" w:rsidP="00A858D8">
            <w:pPr>
              <w:pStyle w:val="IASBTableArial"/>
            </w:pPr>
            <w:r>
              <w:rPr>
                <w:b/>
              </w:rPr>
              <w:t>Dilutive potential ordinary shares</w:t>
            </w:r>
          </w:p>
        </w:tc>
        <w:tc>
          <w:tcPr>
            <w:tcW w:w="1365" w:type="dxa"/>
            <w:tcBorders>
              <w:top w:val="nil"/>
              <w:left w:val="nil"/>
            </w:tcBorders>
            <w:vAlign w:val="bottom"/>
          </w:tcPr>
          <w:p w:rsidR="00D724FA" w:rsidRDefault="00D724FA" w:rsidP="00A858D8">
            <w:pPr>
              <w:pStyle w:val="IASBTableArial"/>
            </w:pPr>
          </w:p>
        </w:tc>
        <w:tc>
          <w:tcPr>
            <w:tcW w:w="455" w:type="dxa"/>
            <w:tcBorders>
              <w:top w:val="nil"/>
              <w:left w:val="nil"/>
            </w:tcBorders>
            <w:vAlign w:val="bottom"/>
          </w:tcPr>
          <w:p w:rsidR="00D724FA" w:rsidRDefault="00D724FA" w:rsidP="00A858D8">
            <w:pPr>
              <w:pStyle w:val="IASBTableArial"/>
            </w:pPr>
          </w:p>
        </w:tc>
        <w:tc>
          <w:tcPr>
            <w:tcW w:w="455" w:type="dxa"/>
            <w:tcBorders>
              <w:top w:val="nil"/>
              <w:left w:val="nil"/>
            </w:tcBorders>
            <w:vAlign w:val="bottom"/>
          </w:tcPr>
          <w:p w:rsidR="00D724FA" w:rsidRDefault="00D724FA" w:rsidP="00A858D8">
            <w:pPr>
              <w:pStyle w:val="IASBTableArial"/>
              <w:jc w:val="right"/>
            </w:pPr>
          </w:p>
        </w:tc>
        <w:tc>
          <w:tcPr>
            <w:tcW w:w="1638" w:type="dxa"/>
            <w:tcBorders>
              <w:top w:val="nil"/>
              <w:left w:val="nil"/>
              <w:bottom w:val="single" w:sz="4" w:space="0" w:color="auto"/>
            </w:tcBorders>
            <w:vAlign w:val="bottom"/>
          </w:tcPr>
          <w:p w:rsidR="00D724FA" w:rsidRDefault="00D724FA" w:rsidP="00A858D8">
            <w:pPr>
              <w:pStyle w:val="IASBTableArial"/>
              <w:jc w:val="right"/>
            </w:pPr>
            <w:r>
              <w:t>1,280,000</w:t>
            </w:r>
          </w:p>
        </w:tc>
        <w:tc>
          <w:tcPr>
            <w:tcW w:w="216" w:type="dxa"/>
            <w:gridSpan w:val="2"/>
            <w:tcBorders>
              <w:top w:val="nil"/>
              <w:left w:val="nil"/>
            </w:tcBorders>
            <w:vAlign w:val="bottom"/>
          </w:tcPr>
          <w:p w:rsidR="00D724FA" w:rsidRDefault="00D724FA" w:rsidP="00A858D8">
            <w:pPr>
              <w:pStyle w:val="IASBTableArial"/>
            </w:pPr>
          </w:p>
        </w:tc>
      </w:tr>
      <w:tr w:rsidR="00D724FA" w:rsidTr="00A858D8">
        <w:trPr>
          <w:cantSplit/>
        </w:trPr>
        <w:tc>
          <w:tcPr>
            <w:tcW w:w="5113" w:type="dxa"/>
            <w:gridSpan w:val="4"/>
            <w:tcBorders>
              <w:top w:val="nil"/>
            </w:tcBorders>
            <w:vAlign w:val="bottom"/>
          </w:tcPr>
          <w:p w:rsidR="00D724FA" w:rsidRDefault="00D724FA" w:rsidP="00A858D8">
            <w:pPr>
              <w:pStyle w:val="IASBTableArial"/>
            </w:pPr>
            <w:r>
              <w:t>Adjusted weighted-average shares</w:t>
            </w:r>
          </w:p>
        </w:tc>
        <w:tc>
          <w:tcPr>
            <w:tcW w:w="1365" w:type="dxa"/>
            <w:tcBorders>
              <w:top w:val="nil"/>
              <w:left w:val="nil"/>
            </w:tcBorders>
            <w:vAlign w:val="bottom"/>
          </w:tcPr>
          <w:p w:rsidR="00D724FA" w:rsidRDefault="00D724FA" w:rsidP="00A858D8">
            <w:pPr>
              <w:pStyle w:val="IASBTableArial"/>
            </w:pPr>
          </w:p>
        </w:tc>
        <w:tc>
          <w:tcPr>
            <w:tcW w:w="455" w:type="dxa"/>
            <w:tcBorders>
              <w:top w:val="nil"/>
              <w:left w:val="nil"/>
            </w:tcBorders>
            <w:vAlign w:val="bottom"/>
          </w:tcPr>
          <w:p w:rsidR="00D724FA" w:rsidRDefault="00D724FA" w:rsidP="00A858D8">
            <w:pPr>
              <w:pStyle w:val="IASBTableArial"/>
            </w:pPr>
          </w:p>
        </w:tc>
        <w:tc>
          <w:tcPr>
            <w:tcW w:w="455" w:type="dxa"/>
            <w:tcBorders>
              <w:top w:val="nil"/>
              <w:left w:val="nil"/>
            </w:tcBorders>
            <w:vAlign w:val="bottom"/>
          </w:tcPr>
          <w:p w:rsidR="00D724FA" w:rsidRDefault="00D724FA" w:rsidP="00A858D8">
            <w:pPr>
              <w:pStyle w:val="IASBTableArial"/>
              <w:jc w:val="right"/>
            </w:pPr>
          </w:p>
        </w:tc>
        <w:tc>
          <w:tcPr>
            <w:tcW w:w="1638" w:type="dxa"/>
            <w:tcBorders>
              <w:top w:val="nil"/>
              <w:left w:val="nil"/>
              <w:bottom w:val="double" w:sz="4" w:space="0" w:color="auto"/>
            </w:tcBorders>
            <w:vAlign w:val="bottom"/>
          </w:tcPr>
          <w:p w:rsidR="00D724FA" w:rsidRDefault="00D724FA" w:rsidP="00A858D8">
            <w:pPr>
              <w:pStyle w:val="IASBTableArial"/>
              <w:jc w:val="right"/>
            </w:pPr>
            <w:r>
              <w:t>6,346,666</w:t>
            </w:r>
          </w:p>
        </w:tc>
        <w:tc>
          <w:tcPr>
            <w:tcW w:w="216" w:type="dxa"/>
            <w:gridSpan w:val="2"/>
            <w:tcBorders>
              <w:top w:val="nil"/>
              <w:left w:val="nil"/>
            </w:tcBorders>
            <w:vAlign w:val="bottom"/>
          </w:tcPr>
          <w:p w:rsidR="00D724FA" w:rsidRDefault="00D724FA" w:rsidP="00A858D8">
            <w:pPr>
              <w:pStyle w:val="IASBTableArial"/>
            </w:pPr>
          </w:p>
        </w:tc>
      </w:tr>
      <w:tr w:rsidR="00D724FA" w:rsidTr="00A858D8">
        <w:trPr>
          <w:cantSplit/>
        </w:trPr>
        <w:tc>
          <w:tcPr>
            <w:tcW w:w="5113" w:type="dxa"/>
            <w:gridSpan w:val="4"/>
            <w:tcBorders>
              <w:top w:val="nil"/>
            </w:tcBorders>
            <w:vAlign w:val="bottom"/>
          </w:tcPr>
          <w:p w:rsidR="00D724FA" w:rsidRDefault="00D724FA" w:rsidP="00A858D8">
            <w:pPr>
              <w:pStyle w:val="IASBTableArial"/>
            </w:pPr>
            <w:r>
              <w:rPr>
                <w:b/>
                <w:i/>
              </w:rPr>
              <w:t>Diluted EPS</w:t>
            </w:r>
          </w:p>
        </w:tc>
        <w:tc>
          <w:tcPr>
            <w:tcW w:w="1365" w:type="dxa"/>
            <w:tcBorders>
              <w:top w:val="nil"/>
              <w:left w:val="nil"/>
            </w:tcBorders>
            <w:vAlign w:val="bottom"/>
          </w:tcPr>
          <w:p w:rsidR="00D724FA" w:rsidRDefault="00D724FA" w:rsidP="00A858D8">
            <w:pPr>
              <w:pStyle w:val="IASBTableArial"/>
            </w:pPr>
          </w:p>
        </w:tc>
        <w:tc>
          <w:tcPr>
            <w:tcW w:w="455" w:type="dxa"/>
            <w:tcBorders>
              <w:top w:val="nil"/>
              <w:left w:val="nil"/>
            </w:tcBorders>
            <w:vAlign w:val="bottom"/>
          </w:tcPr>
          <w:p w:rsidR="00D724FA" w:rsidRDefault="00D724FA" w:rsidP="00A858D8">
            <w:pPr>
              <w:pStyle w:val="IASBTableArial"/>
            </w:pPr>
          </w:p>
        </w:tc>
        <w:tc>
          <w:tcPr>
            <w:tcW w:w="455" w:type="dxa"/>
            <w:tcBorders>
              <w:top w:val="nil"/>
              <w:left w:val="nil"/>
            </w:tcBorders>
            <w:vAlign w:val="bottom"/>
          </w:tcPr>
          <w:p w:rsidR="00D724FA" w:rsidRDefault="00D724FA" w:rsidP="00A858D8">
            <w:pPr>
              <w:pStyle w:val="IASBTableArial"/>
              <w:jc w:val="right"/>
            </w:pPr>
          </w:p>
        </w:tc>
        <w:tc>
          <w:tcPr>
            <w:tcW w:w="1638" w:type="dxa"/>
            <w:tcBorders>
              <w:top w:val="nil"/>
              <w:left w:val="nil"/>
              <w:bottom w:val="double" w:sz="4" w:space="0" w:color="auto"/>
            </w:tcBorders>
            <w:vAlign w:val="bottom"/>
          </w:tcPr>
          <w:p w:rsidR="00D724FA" w:rsidRDefault="00D724FA" w:rsidP="00A858D8">
            <w:pPr>
              <w:pStyle w:val="IASBTableArial"/>
              <w:jc w:val="right"/>
            </w:pPr>
            <w:r>
              <w:rPr>
                <w:b/>
                <w:i/>
              </w:rPr>
              <w:t>CU0.80</w:t>
            </w:r>
          </w:p>
        </w:tc>
        <w:tc>
          <w:tcPr>
            <w:tcW w:w="216" w:type="dxa"/>
            <w:gridSpan w:val="2"/>
            <w:tcBorders>
              <w:top w:val="nil"/>
              <w:left w:val="nil"/>
            </w:tcBorders>
            <w:vAlign w:val="bottom"/>
          </w:tcPr>
          <w:p w:rsidR="00D724FA" w:rsidRDefault="00D724FA" w:rsidP="00A858D8">
            <w:pPr>
              <w:pStyle w:val="IASBTableArial"/>
            </w:pPr>
          </w:p>
        </w:tc>
      </w:tr>
      <w:tr w:rsidR="00D724FA" w:rsidTr="00A858D8">
        <w:trPr>
          <w:gridAfter w:val="1"/>
          <w:wAfter w:w="34" w:type="dxa"/>
          <w:cantSplit/>
        </w:trPr>
        <w:tc>
          <w:tcPr>
            <w:tcW w:w="9208" w:type="dxa"/>
            <w:gridSpan w:val="9"/>
            <w:tcBorders>
              <w:top w:val="nil"/>
            </w:tcBorders>
            <w:vAlign w:val="bottom"/>
          </w:tcPr>
          <w:p w:rsidR="00D724FA" w:rsidRDefault="00D724FA" w:rsidP="00A858D8">
            <w:pPr>
              <w:pStyle w:val="IASBTableTNR"/>
              <w:ind w:left="567" w:hanging="567"/>
            </w:pPr>
            <w:r>
              <w:rPr>
                <w:rStyle w:val="FootnoteReference"/>
                <w:sz w:val="16"/>
                <w:vertAlign w:val="baseline"/>
              </w:rPr>
              <w:t>(a)</w:t>
            </w:r>
            <w:r>
              <w:rPr>
                <w:rStyle w:val="FootnoteReference"/>
                <w:sz w:val="16"/>
                <w:vertAlign w:val="baseline"/>
              </w:rPr>
              <w:tab/>
              <w:t>800,000 shares × CU0.05</w:t>
            </w:r>
          </w:p>
          <w:p w:rsidR="00D724FA" w:rsidRDefault="00D724FA" w:rsidP="00A858D8">
            <w:pPr>
              <w:pStyle w:val="IASBTableTNR"/>
              <w:ind w:left="567" w:hanging="567"/>
            </w:pPr>
            <w:r>
              <w:rPr>
                <w:rStyle w:val="FootnoteReference"/>
                <w:sz w:val="16"/>
                <w:vertAlign w:val="baseline"/>
              </w:rPr>
              <w:t>(b)</w:t>
            </w:r>
            <w:r>
              <w:rPr>
                <w:rStyle w:val="FootnoteReference"/>
                <w:sz w:val="16"/>
                <w:vertAlign w:val="baseline"/>
              </w:rPr>
              <w:tab/>
              <w:t>(CU12,000,000 × 5%) ÷ 4; less taxes at 40%</w:t>
            </w:r>
          </w:p>
          <w:p w:rsidR="00D724FA" w:rsidRDefault="00D724FA" w:rsidP="00A858D8">
            <w:pPr>
              <w:pStyle w:val="IASBTableTNR"/>
              <w:ind w:left="567" w:hanging="567"/>
            </w:pPr>
            <w:r>
              <w:t>(</w:t>
            </w:r>
            <w:r>
              <w:rPr>
                <w:rStyle w:val="FootnoteReference"/>
                <w:sz w:val="16"/>
                <w:vertAlign w:val="baseline"/>
              </w:rPr>
              <w:t>c)</w:t>
            </w:r>
            <w:r>
              <w:rPr>
                <w:rStyle w:val="FootnoteReference"/>
                <w:sz w:val="16"/>
                <w:vertAlign w:val="baseline"/>
              </w:rPr>
              <w:tab/>
              <w:t>The warrants were not assumed to be exercised because they were antidilutive in the period (CU55 [exercise price] &gt; CU49 [average price]).</w:t>
            </w:r>
          </w:p>
        </w:tc>
      </w:tr>
    </w:tbl>
    <w:p w:rsidR="00D724FA" w:rsidRDefault="00D724FA" w:rsidP="00D724FA">
      <w:pPr>
        <w:pStyle w:val="IASBNormalnpara"/>
      </w:pPr>
    </w:p>
    <w:tbl>
      <w:tblPr>
        <w:tblW w:w="0" w:type="auto"/>
        <w:tblLayout w:type="fixed"/>
        <w:tblLook w:val="0000" w:firstRow="0" w:lastRow="0" w:firstColumn="0" w:lastColumn="0" w:noHBand="0" w:noVBand="0"/>
        <w:tblCaption w:val="AASB 133 Table 29"/>
      </w:tblPr>
      <w:tblGrid>
        <w:gridCol w:w="563"/>
        <w:gridCol w:w="3003"/>
        <w:gridCol w:w="1365"/>
        <w:gridCol w:w="455"/>
        <w:gridCol w:w="1365"/>
        <w:gridCol w:w="455"/>
        <w:gridCol w:w="455"/>
        <w:gridCol w:w="1365"/>
        <w:gridCol w:w="195"/>
        <w:gridCol w:w="41"/>
      </w:tblGrid>
      <w:tr w:rsidR="00D724FA" w:rsidTr="00A858D8">
        <w:trPr>
          <w:cantSplit/>
        </w:trPr>
        <w:tc>
          <w:tcPr>
            <w:tcW w:w="9026" w:type="dxa"/>
            <w:gridSpan w:val="8"/>
            <w:tcBorders>
              <w:bottom w:val="single" w:sz="4" w:space="0" w:color="auto"/>
            </w:tcBorders>
            <w:vAlign w:val="bottom"/>
          </w:tcPr>
          <w:p w:rsidR="00D724FA" w:rsidRDefault="00D724FA" w:rsidP="00A858D8">
            <w:pPr>
              <w:pStyle w:val="IASBTableArial"/>
            </w:pPr>
            <w:r>
              <w:rPr>
                <w:b/>
              </w:rPr>
              <w:t>Second Quarter 20X1</w:t>
            </w:r>
          </w:p>
        </w:tc>
        <w:tc>
          <w:tcPr>
            <w:tcW w:w="216" w:type="dxa"/>
            <w:gridSpan w:val="2"/>
            <w:tcBorders>
              <w:left w:val="nil"/>
              <w:bottom w:val="single" w:sz="4" w:space="0" w:color="auto"/>
            </w:tcBorders>
            <w:vAlign w:val="bottom"/>
          </w:tcPr>
          <w:p w:rsidR="00D724FA" w:rsidRDefault="00D724FA" w:rsidP="00A858D8">
            <w:pPr>
              <w:pStyle w:val="IASBTableArial"/>
            </w:pPr>
          </w:p>
        </w:tc>
      </w:tr>
      <w:tr w:rsidR="00D724FA" w:rsidTr="00A858D8">
        <w:trPr>
          <w:cantSplit/>
        </w:trPr>
        <w:tc>
          <w:tcPr>
            <w:tcW w:w="7206" w:type="dxa"/>
            <w:gridSpan w:val="6"/>
            <w:tcBorders>
              <w:top w:val="nil"/>
            </w:tcBorders>
            <w:vAlign w:val="bottom"/>
          </w:tcPr>
          <w:p w:rsidR="00D724FA" w:rsidRDefault="00D724FA" w:rsidP="00A858D8">
            <w:pPr>
              <w:pStyle w:val="IASBTableArial"/>
            </w:pPr>
            <w:r>
              <w:rPr>
                <w:i/>
              </w:rPr>
              <w:t>Basic EPS calculation</w:t>
            </w:r>
          </w:p>
        </w:tc>
        <w:tc>
          <w:tcPr>
            <w:tcW w:w="1820" w:type="dxa"/>
            <w:gridSpan w:val="2"/>
            <w:tcBorders>
              <w:top w:val="nil"/>
              <w:left w:val="nil"/>
            </w:tcBorders>
            <w:vAlign w:val="bottom"/>
          </w:tcPr>
          <w:p w:rsidR="00D724FA" w:rsidRDefault="00D724FA" w:rsidP="00A858D8">
            <w:pPr>
              <w:pStyle w:val="IASBTableArial"/>
              <w:jc w:val="right"/>
            </w:pPr>
            <w:r>
              <w:t>CU</w:t>
            </w:r>
          </w:p>
        </w:tc>
        <w:tc>
          <w:tcPr>
            <w:tcW w:w="216" w:type="dxa"/>
            <w:gridSpan w:val="2"/>
            <w:tcBorders>
              <w:top w:val="nil"/>
              <w:left w:val="nil"/>
            </w:tcBorders>
            <w:vAlign w:val="bottom"/>
          </w:tcPr>
          <w:p w:rsidR="00D724FA" w:rsidRDefault="00D724FA" w:rsidP="00A858D8">
            <w:pPr>
              <w:pStyle w:val="IASBTableArial"/>
            </w:pPr>
          </w:p>
        </w:tc>
      </w:tr>
      <w:tr w:rsidR="00D724FA" w:rsidTr="00A858D8">
        <w:trPr>
          <w:cantSplit/>
        </w:trPr>
        <w:tc>
          <w:tcPr>
            <w:tcW w:w="7206" w:type="dxa"/>
            <w:gridSpan w:val="6"/>
            <w:tcBorders>
              <w:top w:val="nil"/>
            </w:tcBorders>
            <w:vAlign w:val="bottom"/>
          </w:tcPr>
          <w:p w:rsidR="00D724FA" w:rsidRDefault="00D724FA" w:rsidP="00A858D8">
            <w:pPr>
              <w:pStyle w:val="IASBTableArial"/>
            </w:pPr>
            <w:r>
              <w:t>Profit from continuing operations attributable to the parent entity</w:t>
            </w:r>
          </w:p>
        </w:tc>
        <w:tc>
          <w:tcPr>
            <w:tcW w:w="1820" w:type="dxa"/>
            <w:gridSpan w:val="2"/>
            <w:tcBorders>
              <w:top w:val="nil"/>
              <w:left w:val="nil"/>
            </w:tcBorders>
            <w:vAlign w:val="bottom"/>
          </w:tcPr>
          <w:p w:rsidR="00D724FA" w:rsidRDefault="00D724FA" w:rsidP="00A858D8">
            <w:pPr>
              <w:pStyle w:val="IASBTableArial"/>
              <w:jc w:val="right"/>
            </w:pPr>
            <w:r>
              <w:t>6,500,000</w:t>
            </w:r>
          </w:p>
        </w:tc>
        <w:tc>
          <w:tcPr>
            <w:tcW w:w="216" w:type="dxa"/>
            <w:gridSpan w:val="2"/>
            <w:tcBorders>
              <w:top w:val="nil"/>
              <w:left w:val="nil"/>
            </w:tcBorders>
            <w:vAlign w:val="bottom"/>
          </w:tcPr>
          <w:p w:rsidR="00D724FA" w:rsidRDefault="00D724FA" w:rsidP="00A858D8">
            <w:pPr>
              <w:pStyle w:val="IASBTableArial"/>
            </w:pPr>
          </w:p>
        </w:tc>
      </w:tr>
      <w:tr w:rsidR="00D724FA" w:rsidTr="00A858D8">
        <w:trPr>
          <w:cantSplit/>
        </w:trPr>
        <w:tc>
          <w:tcPr>
            <w:tcW w:w="7206" w:type="dxa"/>
            <w:gridSpan w:val="6"/>
            <w:tcBorders>
              <w:top w:val="nil"/>
            </w:tcBorders>
            <w:vAlign w:val="bottom"/>
          </w:tcPr>
          <w:p w:rsidR="00D724FA" w:rsidRDefault="00D724FA" w:rsidP="00A858D8">
            <w:pPr>
              <w:pStyle w:val="IASBTableArial"/>
            </w:pPr>
            <w:r>
              <w:t>Less: preference share dividends</w:t>
            </w:r>
          </w:p>
        </w:tc>
        <w:tc>
          <w:tcPr>
            <w:tcW w:w="1820" w:type="dxa"/>
            <w:gridSpan w:val="2"/>
            <w:tcBorders>
              <w:top w:val="nil"/>
              <w:left w:val="nil"/>
              <w:bottom w:val="single" w:sz="4" w:space="0" w:color="auto"/>
            </w:tcBorders>
            <w:vAlign w:val="bottom"/>
          </w:tcPr>
          <w:p w:rsidR="00D724FA" w:rsidRDefault="00D724FA" w:rsidP="00A858D8">
            <w:pPr>
              <w:pStyle w:val="IASBTableArial"/>
              <w:jc w:val="right"/>
            </w:pPr>
            <w:r>
              <w:t>(10,000)</w:t>
            </w:r>
            <w:r>
              <w:rPr>
                <w:vertAlign w:val="superscript"/>
              </w:rPr>
              <w:t>(a)</w:t>
            </w:r>
          </w:p>
        </w:tc>
        <w:tc>
          <w:tcPr>
            <w:tcW w:w="216" w:type="dxa"/>
            <w:gridSpan w:val="2"/>
            <w:tcBorders>
              <w:top w:val="nil"/>
              <w:left w:val="nil"/>
            </w:tcBorders>
            <w:vAlign w:val="bottom"/>
          </w:tcPr>
          <w:p w:rsidR="00D724FA" w:rsidRDefault="00D724FA" w:rsidP="00A858D8">
            <w:pPr>
              <w:pStyle w:val="IASBTableArial"/>
            </w:pPr>
          </w:p>
        </w:tc>
      </w:tr>
      <w:tr w:rsidR="00D724FA" w:rsidTr="00A858D8">
        <w:trPr>
          <w:cantSplit/>
        </w:trPr>
        <w:tc>
          <w:tcPr>
            <w:tcW w:w="7206" w:type="dxa"/>
            <w:gridSpan w:val="6"/>
            <w:tcBorders>
              <w:top w:val="nil"/>
            </w:tcBorders>
            <w:vAlign w:val="bottom"/>
          </w:tcPr>
          <w:p w:rsidR="00D724FA" w:rsidRDefault="00D724FA" w:rsidP="00A858D8">
            <w:pPr>
              <w:pStyle w:val="IASBTableArial"/>
            </w:pPr>
            <w:r>
              <w:rPr>
                <w:b/>
              </w:rPr>
              <w:t>Profit attributable to ordinary equity holders of the parent entity</w:t>
            </w:r>
          </w:p>
        </w:tc>
        <w:tc>
          <w:tcPr>
            <w:tcW w:w="1820" w:type="dxa"/>
            <w:gridSpan w:val="2"/>
            <w:tcBorders>
              <w:top w:val="nil"/>
              <w:left w:val="nil"/>
              <w:bottom w:val="double" w:sz="4" w:space="0" w:color="auto"/>
            </w:tcBorders>
            <w:vAlign w:val="bottom"/>
          </w:tcPr>
          <w:p w:rsidR="00D724FA" w:rsidRDefault="00D724FA" w:rsidP="00A858D8">
            <w:pPr>
              <w:pStyle w:val="IASBTableArial"/>
              <w:jc w:val="right"/>
            </w:pPr>
            <w:r>
              <w:t>6,490,000</w:t>
            </w:r>
          </w:p>
        </w:tc>
        <w:tc>
          <w:tcPr>
            <w:tcW w:w="216" w:type="dxa"/>
            <w:gridSpan w:val="2"/>
            <w:tcBorders>
              <w:top w:val="nil"/>
              <w:left w:val="nil"/>
            </w:tcBorders>
            <w:vAlign w:val="bottom"/>
          </w:tcPr>
          <w:p w:rsidR="00D724FA" w:rsidRDefault="00D724FA" w:rsidP="00A858D8">
            <w:pPr>
              <w:pStyle w:val="IASBTableArial"/>
            </w:pPr>
          </w:p>
        </w:tc>
      </w:tr>
      <w:tr w:rsidR="00D724FA" w:rsidTr="00A858D8">
        <w:trPr>
          <w:cantSplit/>
        </w:trPr>
        <w:tc>
          <w:tcPr>
            <w:tcW w:w="563" w:type="dxa"/>
            <w:tcBorders>
              <w:top w:val="nil"/>
            </w:tcBorders>
            <w:vAlign w:val="bottom"/>
          </w:tcPr>
          <w:p w:rsidR="00D724FA" w:rsidRDefault="00D724FA" w:rsidP="00A858D8">
            <w:pPr>
              <w:pStyle w:val="IASBTableArial"/>
            </w:pPr>
          </w:p>
        </w:tc>
        <w:tc>
          <w:tcPr>
            <w:tcW w:w="3003" w:type="dxa"/>
            <w:tcBorders>
              <w:top w:val="nil"/>
              <w:left w:val="nil"/>
            </w:tcBorders>
          </w:tcPr>
          <w:p w:rsidR="00D724FA" w:rsidRDefault="00D724FA" w:rsidP="00A858D8">
            <w:pPr>
              <w:pStyle w:val="IASBTableArial"/>
            </w:pPr>
          </w:p>
        </w:tc>
        <w:tc>
          <w:tcPr>
            <w:tcW w:w="1365" w:type="dxa"/>
            <w:tcBorders>
              <w:top w:val="nil"/>
              <w:left w:val="nil"/>
            </w:tcBorders>
          </w:tcPr>
          <w:p w:rsidR="00D724FA" w:rsidRDefault="00D724FA" w:rsidP="00A858D8">
            <w:pPr>
              <w:pStyle w:val="IASBTableArial"/>
            </w:pPr>
          </w:p>
        </w:tc>
        <w:tc>
          <w:tcPr>
            <w:tcW w:w="455" w:type="dxa"/>
            <w:tcBorders>
              <w:top w:val="nil"/>
              <w:left w:val="nil"/>
            </w:tcBorders>
          </w:tcPr>
          <w:p w:rsidR="00D724FA" w:rsidRDefault="00D724FA" w:rsidP="00A858D8">
            <w:pPr>
              <w:pStyle w:val="IASBTableArial"/>
            </w:pPr>
          </w:p>
        </w:tc>
        <w:tc>
          <w:tcPr>
            <w:tcW w:w="1365" w:type="dxa"/>
            <w:tcBorders>
              <w:top w:val="nil"/>
              <w:left w:val="nil"/>
            </w:tcBorders>
          </w:tcPr>
          <w:p w:rsidR="00D724FA" w:rsidRDefault="00D724FA" w:rsidP="00A858D8">
            <w:pPr>
              <w:pStyle w:val="IASBTableArial"/>
            </w:pPr>
          </w:p>
        </w:tc>
        <w:tc>
          <w:tcPr>
            <w:tcW w:w="455" w:type="dxa"/>
            <w:tcBorders>
              <w:top w:val="nil"/>
              <w:left w:val="nil"/>
            </w:tcBorders>
          </w:tcPr>
          <w:p w:rsidR="00D724FA" w:rsidRDefault="00D724FA" w:rsidP="00A858D8">
            <w:pPr>
              <w:pStyle w:val="IASBTableArial"/>
            </w:pPr>
          </w:p>
        </w:tc>
        <w:tc>
          <w:tcPr>
            <w:tcW w:w="455" w:type="dxa"/>
            <w:tcBorders>
              <w:top w:val="nil"/>
              <w:left w:val="nil"/>
            </w:tcBorders>
            <w:vAlign w:val="bottom"/>
          </w:tcPr>
          <w:p w:rsidR="00D724FA" w:rsidRDefault="00D724FA" w:rsidP="00A858D8">
            <w:pPr>
              <w:pStyle w:val="IASBTableArial"/>
            </w:pPr>
          </w:p>
        </w:tc>
        <w:tc>
          <w:tcPr>
            <w:tcW w:w="1365" w:type="dxa"/>
            <w:tcBorders>
              <w:top w:val="nil"/>
              <w:left w:val="nil"/>
            </w:tcBorders>
            <w:vAlign w:val="bottom"/>
          </w:tcPr>
          <w:p w:rsidR="00D724FA" w:rsidRDefault="00D724FA" w:rsidP="00A858D8">
            <w:pPr>
              <w:pStyle w:val="IASBTableArial"/>
            </w:pPr>
          </w:p>
        </w:tc>
        <w:tc>
          <w:tcPr>
            <w:tcW w:w="216" w:type="dxa"/>
            <w:gridSpan w:val="2"/>
            <w:tcBorders>
              <w:top w:val="nil"/>
              <w:left w:val="nil"/>
            </w:tcBorders>
            <w:vAlign w:val="bottom"/>
          </w:tcPr>
          <w:p w:rsidR="00D724FA" w:rsidRDefault="00D724FA" w:rsidP="00A858D8">
            <w:pPr>
              <w:pStyle w:val="IASBTableArial"/>
            </w:pPr>
          </w:p>
        </w:tc>
      </w:tr>
      <w:tr w:rsidR="00D724FA" w:rsidTr="00A858D8">
        <w:trPr>
          <w:cantSplit/>
        </w:trPr>
        <w:tc>
          <w:tcPr>
            <w:tcW w:w="3566" w:type="dxa"/>
            <w:gridSpan w:val="2"/>
            <w:tcBorders>
              <w:top w:val="nil"/>
            </w:tcBorders>
          </w:tcPr>
          <w:p w:rsidR="00D724FA" w:rsidRDefault="00D724FA" w:rsidP="00A858D8">
            <w:pPr>
              <w:pStyle w:val="IASBTableArial"/>
            </w:pPr>
            <w:r>
              <w:rPr>
                <w:i/>
              </w:rPr>
              <w:t>Dates</w:t>
            </w:r>
          </w:p>
        </w:tc>
        <w:tc>
          <w:tcPr>
            <w:tcW w:w="1365" w:type="dxa"/>
            <w:tcBorders>
              <w:top w:val="nil"/>
              <w:left w:val="nil"/>
            </w:tcBorders>
          </w:tcPr>
          <w:p w:rsidR="00D724FA" w:rsidRDefault="00D724FA" w:rsidP="00A858D8">
            <w:pPr>
              <w:pStyle w:val="IASBTableArial"/>
              <w:jc w:val="right"/>
            </w:pPr>
            <w:r>
              <w:rPr>
                <w:i/>
              </w:rPr>
              <w:t>Shares outstanding</w:t>
            </w:r>
          </w:p>
        </w:tc>
        <w:tc>
          <w:tcPr>
            <w:tcW w:w="455" w:type="dxa"/>
            <w:tcBorders>
              <w:top w:val="nil"/>
              <w:left w:val="nil"/>
            </w:tcBorders>
            <w:vAlign w:val="bottom"/>
          </w:tcPr>
          <w:p w:rsidR="00D724FA" w:rsidRDefault="00D724FA" w:rsidP="00A858D8">
            <w:pPr>
              <w:pStyle w:val="IASBTableArial"/>
              <w:jc w:val="right"/>
            </w:pPr>
          </w:p>
        </w:tc>
        <w:tc>
          <w:tcPr>
            <w:tcW w:w="1365" w:type="dxa"/>
            <w:tcBorders>
              <w:top w:val="nil"/>
              <w:left w:val="nil"/>
            </w:tcBorders>
          </w:tcPr>
          <w:p w:rsidR="00D724FA" w:rsidRDefault="00D724FA" w:rsidP="00A858D8">
            <w:pPr>
              <w:pStyle w:val="IASBTableArial"/>
              <w:jc w:val="right"/>
            </w:pPr>
            <w:r>
              <w:rPr>
                <w:i/>
              </w:rPr>
              <w:t>Fraction of period</w:t>
            </w:r>
          </w:p>
        </w:tc>
        <w:tc>
          <w:tcPr>
            <w:tcW w:w="455" w:type="dxa"/>
            <w:tcBorders>
              <w:top w:val="nil"/>
              <w:left w:val="nil"/>
            </w:tcBorders>
          </w:tcPr>
          <w:p w:rsidR="00D724FA" w:rsidRDefault="00D724FA" w:rsidP="00A858D8">
            <w:pPr>
              <w:pStyle w:val="IASBTableArial"/>
            </w:pPr>
          </w:p>
        </w:tc>
        <w:tc>
          <w:tcPr>
            <w:tcW w:w="455" w:type="dxa"/>
            <w:tcBorders>
              <w:top w:val="nil"/>
              <w:left w:val="nil"/>
            </w:tcBorders>
            <w:vAlign w:val="bottom"/>
          </w:tcPr>
          <w:p w:rsidR="00D724FA" w:rsidRDefault="00D724FA" w:rsidP="00A858D8">
            <w:pPr>
              <w:pStyle w:val="IASBTableArial"/>
              <w:jc w:val="right"/>
            </w:pPr>
          </w:p>
        </w:tc>
        <w:tc>
          <w:tcPr>
            <w:tcW w:w="1365" w:type="dxa"/>
            <w:tcBorders>
              <w:top w:val="nil"/>
              <w:left w:val="nil"/>
            </w:tcBorders>
          </w:tcPr>
          <w:p w:rsidR="00D724FA" w:rsidRDefault="00D724FA" w:rsidP="00A858D8">
            <w:pPr>
              <w:pStyle w:val="IASBTableArial"/>
            </w:pPr>
            <w:r>
              <w:rPr>
                <w:i/>
              </w:rPr>
              <w:t>Weighted-average shares</w:t>
            </w:r>
          </w:p>
        </w:tc>
        <w:tc>
          <w:tcPr>
            <w:tcW w:w="216" w:type="dxa"/>
            <w:gridSpan w:val="2"/>
            <w:tcBorders>
              <w:top w:val="nil"/>
              <w:left w:val="nil"/>
            </w:tcBorders>
          </w:tcPr>
          <w:p w:rsidR="00D724FA" w:rsidRDefault="00D724FA" w:rsidP="00A858D8">
            <w:pPr>
              <w:pStyle w:val="IASBTableArial"/>
            </w:pPr>
          </w:p>
        </w:tc>
      </w:tr>
      <w:tr w:rsidR="00D724FA" w:rsidTr="00A858D8">
        <w:trPr>
          <w:cantSplit/>
        </w:trPr>
        <w:tc>
          <w:tcPr>
            <w:tcW w:w="3566" w:type="dxa"/>
            <w:gridSpan w:val="2"/>
            <w:tcBorders>
              <w:top w:val="nil"/>
            </w:tcBorders>
          </w:tcPr>
          <w:p w:rsidR="00D724FA" w:rsidRDefault="00D724FA" w:rsidP="00A858D8">
            <w:pPr>
              <w:pStyle w:val="IASBTableArial"/>
            </w:pPr>
            <w:r>
              <w:t>1 April</w:t>
            </w:r>
          </w:p>
        </w:tc>
        <w:tc>
          <w:tcPr>
            <w:tcW w:w="1365" w:type="dxa"/>
            <w:tcBorders>
              <w:top w:val="nil"/>
              <w:left w:val="nil"/>
            </w:tcBorders>
            <w:vAlign w:val="bottom"/>
          </w:tcPr>
          <w:p w:rsidR="00D724FA" w:rsidRDefault="00D724FA" w:rsidP="00A858D8">
            <w:pPr>
              <w:pStyle w:val="IASBTableArial"/>
              <w:jc w:val="right"/>
            </w:pPr>
            <w:r>
              <w:t>5,200,000</w:t>
            </w:r>
          </w:p>
        </w:tc>
        <w:tc>
          <w:tcPr>
            <w:tcW w:w="455" w:type="dxa"/>
            <w:tcBorders>
              <w:top w:val="nil"/>
              <w:left w:val="nil"/>
            </w:tcBorders>
            <w:vAlign w:val="center"/>
          </w:tcPr>
          <w:p w:rsidR="00D724FA" w:rsidRDefault="00D724FA" w:rsidP="00A858D8">
            <w:pPr>
              <w:pStyle w:val="IASBTableArial"/>
            </w:pPr>
          </w:p>
        </w:tc>
        <w:tc>
          <w:tcPr>
            <w:tcW w:w="1365" w:type="dxa"/>
            <w:tcBorders>
              <w:top w:val="nil"/>
              <w:left w:val="nil"/>
            </w:tcBorders>
            <w:vAlign w:val="bottom"/>
          </w:tcPr>
          <w:p w:rsidR="00D724FA" w:rsidRDefault="00D724FA" w:rsidP="00A858D8">
            <w:pPr>
              <w:pStyle w:val="IASBTableArial"/>
            </w:pPr>
          </w:p>
        </w:tc>
        <w:tc>
          <w:tcPr>
            <w:tcW w:w="455" w:type="dxa"/>
            <w:tcBorders>
              <w:top w:val="nil"/>
              <w:left w:val="nil"/>
            </w:tcBorders>
            <w:vAlign w:val="bottom"/>
          </w:tcPr>
          <w:p w:rsidR="00D724FA" w:rsidRDefault="00D724FA" w:rsidP="00A858D8">
            <w:pPr>
              <w:pStyle w:val="IASBTableArial"/>
            </w:pPr>
          </w:p>
        </w:tc>
        <w:tc>
          <w:tcPr>
            <w:tcW w:w="1820" w:type="dxa"/>
            <w:gridSpan w:val="2"/>
            <w:tcBorders>
              <w:top w:val="nil"/>
              <w:left w:val="nil"/>
            </w:tcBorders>
            <w:vAlign w:val="bottom"/>
          </w:tcPr>
          <w:p w:rsidR="00D724FA" w:rsidRDefault="00D724FA" w:rsidP="00A858D8">
            <w:pPr>
              <w:pStyle w:val="IASBTableArial"/>
            </w:pPr>
          </w:p>
        </w:tc>
        <w:tc>
          <w:tcPr>
            <w:tcW w:w="216" w:type="dxa"/>
            <w:gridSpan w:val="2"/>
            <w:tcBorders>
              <w:top w:val="nil"/>
              <w:left w:val="nil"/>
            </w:tcBorders>
            <w:vAlign w:val="bottom"/>
          </w:tcPr>
          <w:p w:rsidR="00D724FA" w:rsidRDefault="00D724FA" w:rsidP="00A858D8">
            <w:pPr>
              <w:pStyle w:val="IASBTableArial"/>
            </w:pPr>
          </w:p>
        </w:tc>
      </w:tr>
      <w:tr w:rsidR="00D724FA" w:rsidTr="00A858D8">
        <w:trPr>
          <w:cantSplit/>
        </w:trPr>
        <w:tc>
          <w:tcPr>
            <w:tcW w:w="3566" w:type="dxa"/>
            <w:gridSpan w:val="2"/>
            <w:tcBorders>
              <w:top w:val="nil"/>
            </w:tcBorders>
          </w:tcPr>
          <w:p w:rsidR="00D724FA" w:rsidRDefault="00D724FA" w:rsidP="00A858D8">
            <w:pPr>
              <w:pStyle w:val="IASBTableArial"/>
            </w:pPr>
            <w:r>
              <w:rPr>
                <w:i/>
              </w:rPr>
              <w:t>Conversion of 5% bonds on 1 April</w:t>
            </w:r>
          </w:p>
        </w:tc>
        <w:tc>
          <w:tcPr>
            <w:tcW w:w="1365" w:type="dxa"/>
            <w:tcBorders>
              <w:top w:val="nil"/>
              <w:left w:val="nil"/>
              <w:bottom w:val="single" w:sz="4" w:space="0" w:color="auto"/>
            </w:tcBorders>
            <w:vAlign w:val="bottom"/>
          </w:tcPr>
          <w:p w:rsidR="00D724FA" w:rsidRDefault="00D724FA" w:rsidP="00A858D8">
            <w:pPr>
              <w:pStyle w:val="IASBTableArial"/>
              <w:jc w:val="right"/>
            </w:pPr>
            <w:r>
              <w:t>480,000</w:t>
            </w:r>
          </w:p>
        </w:tc>
        <w:tc>
          <w:tcPr>
            <w:tcW w:w="455" w:type="dxa"/>
            <w:tcBorders>
              <w:top w:val="nil"/>
              <w:left w:val="nil"/>
            </w:tcBorders>
            <w:vAlign w:val="center"/>
          </w:tcPr>
          <w:p w:rsidR="00D724FA" w:rsidRDefault="00D724FA" w:rsidP="00A858D8">
            <w:pPr>
              <w:pStyle w:val="IASBTableArial"/>
            </w:pPr>
          </w:p>
        </w:tc>
        <w:tc>
          <w:tcPr>
            <w:tcW w:w="1365" w:type="dxa"/>
            <w:tcBorders>
              <w:top w:val="nil"/>
              <w:left w:val="nil"/>
            </w:tcBorders>
            <w:vAlign w:val="bottom"/>
          </w:tcPr>
          <w:p w:rsidR="00D724FA" w:rsidRDefault="00D724FA" w:rsidP="00A858D8">
            <w:pPr>
              <w:pStyle w:val="IASBTableArial"/>
            </w:pPr>
          </w:p>
        </w:tc>
        <w:tc>
          <w:tcPr>
            <w:tcW w:w="455" w:type="dxa"/>
            <w:tcBorders>
              <w:top w:val="nil"/>
              <w:left w:val="nil"/>
            </w:tcBorders>
            <w:vAlign w:val="bottom"/>
          </w:tcPr>
          <w:p w:rsidR="00D724FA" w:rsidRDefault="00D724FA" w:rsidP="00A858D8">
            <w:pPr>
              <w:pStyle w:val="IASBTableArial"/>
            </w:pPr>
          </w:p>
        </w:tc>
        <w:tc>
          <w:tcPr>
            <w:tcW w:w="1820" w:type="dxa"/>
            <w:gridSpan w:val="2"/>
            <w:tcBorders>
              <w:top w:val="nil"/>
              <w:left w:val="nil"/>
            </w:tcBorders>
            <w:vAlign w:val="bottom"/>
          </w:tcPr>
          <w:p w:rsidR="00D724FA" w:rsidRDefault="00D724FA" w:rsidP="00A858D8">
            <w:pPr>
              <w:pStyle w:val="IASBTableArial"/>
            </w:pPr>
          </w:p>
        </w:tc>
        <w:tc>
          <w:tcPr>
            <w:tcW w:w="216" w:type="dxa"/>
            <w:gridSpan w:val="2"/>
            <w:tcBorders>
              <w:top w:val="nil"/>
              <w:left w:val="nil"/>
            </w:tcBorders>
            <w:vAlign w:val="bottom"/>
          </w:tcPr>
          <w:p w:rsidR="00D724FA" w:rsidRDefault="00D724FA" w:rsidP="00A858D8">
            <w:pPr>
              <w:pStyle w:val="IASBTableArial"/>
            </w:pPr>
          </w:p>
        </w:tc>
      </w:tr>
      <w:tr w:rsidR="00D724FA" w:rsidTr="00A858D8">
        <w:trPr>
          <w:cantSplit/>
        </w:trPr>
        <w:tc>
          <w:tcPr>
            <w:tcW w:w="3566" w:type="dxa"/>
            <w:gridSpan w:val="2"/>
            <w:tcBorders>
              <w:top w:val="nil"/>
            </w:tcBorders>
          </w:tcPr>
          <w:p w:rsidR="00D724FA" w:rsidRDefault="00D724FA" w:rsidP="00A858D8">
            <w:pPr>
              <w:pStyle w:val="IASBTableArial"/>
            </w:pPr>
            <w:r>
              <w:t>1 April–31 May</w:t>
            </w:r>
          </w:p>
        </w:tc>
        <w:tc>
          <w:tcPr>
            <w:tcW w:w="1365" w:type="dxa"/>
            <w:tcBorders>
              <w:top w:val="nil"/>
              <w:left w:val="nil"/>
            </w:tcBorders>
          </w:tcPr>
          <w:p w:rsidR="00D724FA" w:rsidRDefault="00D724FA" w:rsidP="00A858D8">
            <w:pPr>
              <w:pStyle w:val="IASBTableArial"/>
              <w:jc w:val="right"/>
            </w:pPr>
            <w:r>
              <w:t>5,680,000</w:t>
            </w:r>
          </w:p>
        </w:tc>
        <w:tc>
          <w:tcPr>
            <w:tcW w:w="455" w:type="dxa"/>
            <w:tcBorders>
              <w:top w:val="nil"/>
              <w:left w:val="nil"/>
            </w:tcBorders>
            <w:vAlign w:val="bottom"/>
          </w:tcPr>
          <w:p w:rsidR="00D724FA" w:rsidRDefault="00D724FA" w:rsidP="00A858D8">
            <w:pPr>
              <w:pStyle w:val="IASBTableArial"/>
              <w:jc w:val="right"/>
            </w:pPr>
          </w:p>
        </w:tc>
        <w:tc>
          <w:tcPr>
            <w:tcW w:w="1365" w:type="dxa"/>
            <w:tcBorders>
              <w:top w:val="nil"/>
              <w:left w:val="nil"/>
            </w:tcBorders>
            <w:vAlign w:val="bottom"/>
          </w:tcPr>
          <w:p w:rsidR="00D724FA" w:rsidRDefault="00D724FA" w:rsidP="00A858D8">
            <w:pPr>
              <w:pStyle w:val="IASBTableArial"/>
              <w:jc w:val="right"/>
            </w:pPr>
            <w:r>
              <w:rPr>
                <w:vertAlign w:val="superscript"/>
              </w:rPr>
              <w:t>2</w:t>
            </w:r>
            <w:r>
              <w:t>/</w:t>
            </w:r>
            <w:r>
              <w:rPr>
                <w:vertAlign w:val="subscript"/>
              </w:rPr>
              <w:t>3</w:t>
            </w:r>
          </w:p>
        </w:tc>
        <w:tc>
          <w:tcPr>
            <w:tcW w:w="455" w:type="dxa"/>
            <w:tcBorders>
              <w:top w:val="nil"/>
              <w:left w:val="nil"/>
            </w:tcBorders>
            <w:vAlign w:val="bottom"/>
          </w:tcPr>
          <w:p w:rsidR="00D724FA" w:rsidRDefault="00D724FA" w:rsidP="00A858D8">
            <w:pPr>
              <w:pStyle w:val="IASBTableArial"/>
            </w:pPr>
          </w:p>
        </w:tc>
        <w:tc>
          <w:tcPr>
            <w:tcW w:w="1820" w:type="dxa"/>
            <w:gridSpan w:val="2"/>
            <w:tcBorders>
              <w:top w:val="nil"/>
              <w:left w:val="nil"/>
              <w:bottom w:val="single" w:sz="4" w:space="0" w:color="auto"/>
            </w:tcBorders>
            <w:vAlign w:val="bottom"/>
          </w:tcPr>
          <w:p w:rsidR="00D724FA" w:rsidRDefault="00D724FA" w:rsidP="00A858D8">
            <w:pPr>
              <w:pStyle w:val="IASBTableArial"/>
              <w:jc w:val="right"/>
            </w:pPr>
            <w:r>
              <w:t>3,786,666</w:t>
            </w:r>
          </w:p>
        </w:tc>
        <w:tc>
          <w:tcPr>
            <w:tcW w:w="216" w:type="dxa"/>
            <w:gridSpan w:val="2"/>
            <w:tcBorders>
              <w:top w:val="nil"/>
              <w:left w:val="nil"/>
            </w:tcBorders>
            <w:vAlign w:val="bottom"/>
          </w:tcPr>
          <w:p w:rsidR="00D724FA" w:rsidRDefault="00D724FA" w:rsidP="00A858D8">
            <w:pPr>
              <w:pStyle w:val="IASBTableArial"/>
            </w:pPr>
          </w:p>
        </w:tc>
      </w:tr>
      <w:tr w:rsidR="00D724FA" w:rsidTr="00A858D8">
        <w:trPr>
          <w:cantSplit/>
        </w:trPr>
        <w:tc>
          <w:tcPr>
            <w:tcW w:w="3566" w:type="dxa"/>
            <w:gridSpan w:val="2"/>
            <w:tcBorders>
              <w:top w:val="nil"/>
            </w:tcBorders>
          </w:tcPr>
          <w:p w:rsidR="00D724FA" w:rsidRDefault="00D724FA" w:rsidP="00A858D8">
            <w:pPr>
              <w:pStyle w:val="IASBTableArial"/>
            </w:pPr>
            <w:r>
              <w:rPr>
                <w:i/>
              </w:rPr>
              <w:t>Conversion of preference shares 1 June</w:t>
            </w:r>
          </w:p>
        </w:tc>
        <w:tc>
          <w:tcPr>
            <w:tcW w:w="1365" w:type="dxa"/>
            <w:tcBorders>
              <w:top w:val="nil"/>
              <w:left w:val="nil"/>
              <w:bottom w:val="single" w:sz="4" w:space="0" w:color="auto"/>
            </w:tcBorders>
            <w:vAlign w:val="bottom"/>
          </w:tcPr>
          <w:p w:rsidR="00D724FA" w:rsidRDefault="00D724FA" w:rsidP="00A858D8">
            <w:pPr>
              <w:pStyle w:val="IASBTableArial"/>
              <w:jc w:val="right"/>
            </w:pPr>
            <w:r>
              <w:t>600,000</w:t>
            </w:r>
          </w:p>
        </w:tc>
        <w:tc>
          <w:tcPr>
            <w:tcW w:w="455" w:type="dxa"/>
            <w:tcBorders>
              <w:top w:val="nil"/>
              <w:left w:val="nil"/>
            </w:tcBorders>
            <w:vAlign w:val="center"/>
          </w:tcPr>
          <w:p w:rsidR="00D724FA" w:rsidRDefault="00D724FA" w:rsidP="00A858D8">
            <w:pPr>
              <w:pStyle w:val="IASBTableArial"/>
            </w:pPr>
          </w:p>
        </w:tc>
        <w:tc>
          <w:tcPr>
            <w:tcW w:w="1365" w:type="dxa"/>
            <w:tcBorders>
              <w:top w:val="nil"/>
              <w:left w:val="nil"/>
            </w:tcBorders>
            <w:vAlign w:val="center"/>
          </w:tcPr>
          <w:p w:rsidR="00D724FA" w:rsidRDefault="00D724FA" w:rsidP="00A858D8">
            <w:pPr>
              <w:pStyle w:val="IASBTableArial"/>
            </w:pPr>
          </w:p>
        </w:tc>
        <w:tc>
          <w:tcPr>
            <w:tcW w:w="455" w:type="dxa"/>
            <w:tcBorders>
              <w:top w:val="nil"/>
              <w:left w:val="nil"/>
            </w:tcBorders>
            <w:vAlign w:val="bottom"/>
          </w:tcPr>
          <w:p w:rsidR="00D724FA" w:rsidRDefault="00D724FA" w:rsidP="00A858D8">
            <w:pPr>
              <w:pStyle w:val="IASBTableArial"/>
            </w:pPr>
          </w:p>
        </w:tc>
        <w:tc>
          <w:tcPr>
            <w:tcW w:w="1820" w:type="dxa"/>
            <w:gridSpan w:val="2"/>
            <w:tcBorders>
              <w:top w:val="nil"/>
              <w:left w:val="nil"/>
            </w:tcBorders>
            <w:vAlign w:val="bottom"/>
          </w:tcPr>
          <w:p w:rsidR="00D724FA" w:rsidRDefault="00D724FA" w:rsidP="00A858D8">
            <w:pPr>
              <w:pStyle w:val="IASBTableArial"/>
            </w:pPr>
          </w:p>
        </w:tc>
        <w:tc>
          <w:tcPr>
            <w:tcW w:w="216" w:type="dxa"/>
            <w:gridSpan w:val="2"/>
            <w:tcBorders>
              <w:top w:val="nil"/>
              <w:left w:val="nil"/>
            </w:tcBorders>
            <w:vAlign w:val="bottom"/>
          </w:tcPr>
          <w:p w:rsidR="00D724FA" w:rsidRDefault="00D724FA" w:rsidP="00A858D8">
            <w:pPr>
              <w:pStyle w:val="IASBTableArial"/>
            </w:pPr>
          </w:p>
        </w:tc>
      </w:tr>
      <w:tr w:rsidR="00D724FA" w:rsidTr="00A858D8">
        <w:trPr>
          <w:cantSplit/>
        </w:trPr>
        <w:tc>
          <w:tcPr>
            <w:tcW w:w="3566" w:type="dxa"/>
            <w:gridSpan w:val="2"/>
            <w:tcBorders>
              <w:top w:val="nil"/>
            </w:tcBorders>
          </w:tcPr>
          <w:p w:rsidR="00D724FA" w:rsidRDefault="00D724FA" w:rsidP="00A858D8">
            <w:pPr>
              <w:pStyle w:val="IASBTableArial"/>
            </w:pPr>
            <w:r>
              <w:t>1 June–30 June</w:t>
            </w:r>
          </w:p>
        </w:tc>
        <w:tc>
          <w:tcPr>
            <w:tcW w:w="1365" w:type="dxa"/>
            <w:tcBorders>
              <w:top w:val="nil"/>
              <w:left w:val="nil"/>
            </w:tcBorders>
            <w:vAlign w:val="bottom"/>
          </w:tcPr>
          <w:p w:rsidR="00D724FA" w:rsidRDefault="00D724FA" w:rsidP="00A858D8">
            <w:pPr>
              <w:pStyle w:val="IASBTableArial"/>
              <w:jc w:val="right"/>
            </w:pPr>
            <w:r>
              <w:t>6,280,000</w:t>
            </w:r>
          </w:p>
        </w:tc>
        <w:tc>
          <w:tcPr>
            <w:tcW w:w="455" w:type="dxa"/>
            <w:tcBorders>
              <w:top w:val="nil"/>
              <w:left w:val="nil"/>
            </w:tcBorders>
            <w:vAlign w:val="bottom"/>
          </w:tcPr>
          <w:p w:rsidR="00D724FA" w:rsidRDefault="00D724FA" w:rsidP="00A858D8">
            <w:pPr>
              <w:pStyle w:val="IASBTableArial"/>
              <w:jc w:val="right"/>
            </w:pPr>
          </w:p>
        </w:tc>
        <w:tc>
          <w:tcPr>
            <w:tcW w:w="1365" w:type="dxa"/>
            <w:tcBorders>
              <w:top w:val="nil"/>
              <w:left w:val="nil"/>
            </w:tcBorders>
            <w:vAlign w:val="bottom"/>
          </w:tcPr>
          <w:p w:rsidR="00D724FA" w:rsidRDefault="00D724FA" w:rsidP="00A858D8">
            <w:pPr>
              <w:pStyle w:val="IASBTableArial"/>
              <w:jc w:val="right"/>
            </w:pPr>
            <w:r>
              <w:rPr>
                <w:vertAlign w:val="superscript"/>
              </w:rPr>
              <w:t>1</w:t>
            </w:r>
            <w:r>
              <w:t>/</w:t>
            </w:r>
            <w:r>
              <w:rPr>
                <w:vertAlign w:val="subscript"/>
              </w:rPr>
              <w:t>3</w:t>
            </w:r>
          </w:p>
        </w:tc>
        <w:tc>
          <w:tcPr>
            <w:tcW w:w="455" w:type="dxa"/>
            <w:tcBorders>
              <w:top w:val="nil"/>
              <w:left w:val="nil"/>
            </w:tcBorders>
            <w:vAlign w:val="bottom"/>
          </w:tcPr>
          <w:p w:rsidR="00D724FA" w:rsidRDefault="00D724FA" w:rsidP="00A858D8">
            <w:pPr>
              <w:pStyle w:val="IASBTableArial"/>
            </w:pPr>
          </w:p>
        </w:tc>
        <w:tc>
          <w:tcPr>
            <w:tcW w:w="1820" w:type="dxa"/>
            <w:gridSpan w:val="2"/>
            <w:tcBorders>
              <w:top w:val="nil"/>
              <w:left w:val="nil"/>
              <w:bottom w:val="single" w:sz="4" w:space="0" w:color="auto"/>
            </w:tcBorders>
            <w:vAlign w:val="bottom"/>
          </w:tcPr>
          <w:p w:rsidR="00D724FA" w:rsidRDefault="00D724FA" w:rsidP="00A858D8">
            <w:pPr>
              <w:pStyle w:val="IASBTableArial"/>
              <w:jc w:val="right"/>
            </w:pPr>
            <w:r>
              <w:t>2,093,333</w:t>
            </w:r>
          </w:p>
        </w:tc>
        <w:tc>
          <w:tcPr>
            <w:tcW w:w="216" w:type="dxa"/>
            <w:gridSpan w:val="2"/>
            <w:tcBorders>
              <w:top w:val="nil"/>
              <w:left w:val="nil"/>
            </w:tcBorders>
            <w:vAlign w:val="bottom"/>
          </w:tcPr>
          <w:p w:rsidR="00D724FA" w:rsidRDefault="00D724FA" w:rsidP="00A858D8">
            <w:pPr>
              <w:pStyle w:val="IASBTableArial"/>
            </w:pPr>
          </w:p>
        </w:tc>
      </w:tr>
      <w:tr w:rsidR="00D724FA" w:rsidTr="00A858D8">
        <w:trPr>
          <w:cantSplit/>
        </w:trPr>
        <w:tc>
          <w:tcPr>
            <w:tcW w:w="7206" w:type="dxa"/>
            <w:gridSpan w:val="6"/>
            <w:tcBorders>
              <w:top w:val="nil"/>
            </w:tcBorders>
            <w:vAlign w:val="bottom"/>
          </w:tcPr>
          <w:p w:rsidR="00D724FA" w:rsidRDefault="00D724FA" w:rsidP="00A858D8">
            <w:pPr>
              <w:pStyle w:val="IASBTableArial"/>
            </w:pPr>
            <w:r>
              <w:rPr>
                <w:b/>
              </w:rPr>
              <w:t>Weighted-average shares</w:t>
            </w:r>
          </w:p>
        </w:tc>
        <w:tc>
          <w:tcPr>
            <w:tcW w:w="1820" w:type="dxa"/>
            <w:gridSpan w:val="2"/>
            <w:tcBorders>
              <w:top w:val="nil"/>
              <w:left w:val="nil"/>
              <w:bottom w:val="double" w:sz="4" w:space="0" w:color="auto"/>
            </w:tcBorders>
            <w:vAlign w:val="bottom"/>
          </w:tcPr>
          <w:p w:rsidR="00D724FA" w:rsidRDefault="00D724FA" w:rsidP="00A858D8">
            <w:pPr>
              <w:pStyle w:val="IASBTableArial"/>
              <w:jc w:val="right"/>
            </w:pPr>
            <w:r>
              <w:t>5,880,000</w:t>
            </w:r>
          </w:p>
        </w:tc>
        <w:tc>
          <w:tcPr>
            <w:tcW w:w="216" w:type="dxa"/>
            <w:gridSpan w:val="2"/>
            <w:tcBorders>
              <w:top w:val="nil"/>
              <w:left w:val="nil"/>
            </w:tcBorders>
            <w:vAlign w:val="bottom"/>
          </w:tcPr>
          <w:p w:rsidR="00D724FA" w:rsidRDefault="00D724FA" w:rsidP="00A858D8">
            <w:pPr>
              <w:pStyle w:val="IASBTableArial"/>
            </w:pPr>
          </w:p>
        </w:tc>
      </w:tr>
      <w:tr w:rsidR="00D724FA" w:rsidTr="00A858D8">
        <w:trPr>
          <w:cantSplit/>
        </w:trPr>
        <w:tc>
          <w:tcPr>
            <w:tcW w:w="7206" w:type="dxa"/>
            <w:gridSpan w:val="6"/>
            <w:tcBorders>
              <w:top w:val="nil"/>
            </w:tcBorders>
            <w:vAlign w:val="bottom"/>
          </w:tcPr>
          <w:p w:rsidR="00D724FA" w:rsidRDefault="00D724FA" w:rsidP="00A858D8">
            <w:pPr>
              <w:pStyle w:val="IASBTableArial"/>
            </w:pPr>
            <w:r>
              <w:rPr>
                <w:b/>
                <w:i/>
              </w:rPr>
              <w:t>Basic EPS</w:t>
            </w:r>
          </w:p>
        </w:tc>
        <w:tc>
          <w:tcPr>
            <w:tcW w:w="1820" w:type="dxa"/>
            <w:gridSpan w:val="2"/>
            <w:tcBorders>
              <w:top w:val="nil"/>
              <w:left w:val="nil"/>
              <w:bottom w:val="double" w:sz="4" w:space="0" w:color="auto"/>
            </w:tcBorders>
            <w:vAlign w:val="bottom"/>
          </w:tcPr>
          <w:p w:rsidR="00D724FA" w:rsidRDefault="00D724FA" w:rsidP="00A858D8">
            <w:pPr>
              <w:pStyle w:val="IASBTableArial"/>
              <w:jc w:val="right"/>
            </w:pPr>
            <w:r>
              <w:rPr>
                <w:b/>
                <w:i/>
              </w:rPr>
              <w:t>CU1.10</w:t>
            </w:r>
          </w:p>
        </w:tc>
        <w:tc>
          <w:tcPr>
            <w:tcW w:w="216" w:type="dxa"/>
            <w:gridSpan w:val="2"/>
            <w:tcBorders>
              <w:top w:val="nil"/>
              <w:left w:val="nil"/>
            </w:tcBorders>
            <w:vAlign w:val="bottom"/>
          </w:tcPr>
          <w:p w:rsidR="00D724FA" w:rsidRDefault="00D724FA" w:rsidP="00A858D8">
            <w:pPr>
              <w:pStyle w:val="IASBTableArial"/>
            </w:pPr>
          </w:p>
        </w:tc>
      </w:tr>
      <w:tr w:rsidR="00D724FA" w:rsidTr="00A858D8">
        <w:trPr>
          <w:cantSplit/>
        </w:trPr>
        <w:tc>
          <w:tcPr>
            <w:tcW w:w="5386" w:type="dxa"/>
            <w:gridSpan w:val="4"/>
            <w:tcBorders>
              <w:top w:val="nil"/>
            </w:tcBorders>
            <w:vAlign w:val="bottom"/>
          </w:tcPr>
          <w:p w:rsidR="00D724FA" w:rsidRDefault="00D724FA" w:rsidP="00E310D3">
            <w:pPr>
              <w:pStyle w:val="IASBTableArial"/>
              <w:pageBreakBefore/>
            </w:pPr>
            <w:r>
              <w:rPr>
                <w:i/>
              </w:rPr>
              <w:t>Diluted EPS calculation</w:t>
            </w:r>
          </w:p>
        </w:tc>
        <w:tc>
          <w:tcPr>
            <w:tcW w:w="1365" w:type="dxa"/>
            <w:tcBorders>
              <w:top w:val="nil"/>
              <w:left w:val="nil"/>
            </w:tcBorders>
            <w:vAlign w:val="bottom"/>
          </w:tcPr>
          <w:p w:rsidR="00D724FA" w:rsidRDefault="00D724FA" w:rsidP="00A858D8">
            <w:pPr>
              <w:pStyle w:val="IASBTableArial"/>
            </w:pPr>
          </w:p>
        </w:tc>
        <w:tc>
          <w:tcPr>
            <w:tcW w:w="455" w:type="dxa"/>
            <w:tcBorders>
              <w:top w:val="nil"/>
              <w:left w:val="nil"/>
            </w:tcBorders>
            <w:vAlign w:val="bottom"/>
          </w:tcPr>
          <w:p w:rsidR="00D724FA" w:rsidRDefault="00D724FA" w:rsidP="00A858D8">
            <w:pPr>
              <w:pStyle w:val="IASBTableArial"/>
            </w:pPr>
          </w:p>
        </w:tc>
        <w:tc>
          <w:tcPr>
            <w:tcW w:w="455" w:type="dxa"/>
            <w:tcBorders>
              <w:top w:val="nil"/>
              <w:left w:val="nil"/>
            </w:tcBorders>
            <w:vAlign w:val="bottom"/>
          </w:tcPr>
          <w:p w:rsidR="00D724FA" w:rsidRDefault="00D724FA" w:rsidP="00A858D8">
            <w:pPr>
              <w:pStyle w:val="IASBTableArial"/>
            </w:pPr>
          </w:p>
        </w:tc>
        <w:tc>
          <w:tcPr>
            <w:tcW w:w="1365" w:type="dxa"/>
            <w:tcBorders>
              <w:top w:val="nil"/>
              <w:left w:val="nil"/>
            </w:tcBorders>
            <w:vAlign w:val="center"/>
          </w:tcPr>
          <w:p w:rsidR="00D724FA" w:rsidRDefault="00D724FA" w:rsidP="00A858D8">
            <w:pPr>
              <w:pStyle w:val="IASBTableArial"/>
            </w:pPr>
          </w:p>
        </w:tc>
        <w:tc>
          <w:tcPr>
            <w:tcW w:w="216" w:type="dxa"/>
            <w:gridSpan w:val="2"/>
            <w:tcBorders>
              <w:top w:val="nil"/>
              <w:left w:val="nil"/>
            </w:tcBorders>
            <w:vAlign w:val="bottom"/>
          </w:tcPr>
          <w:p w:rsidR="00D724FA" w:rsidRDefault="00D724FA" w:rsidP="00A858D8">
            <w:pPr>
              <w:pStyle w:val="IASBTableArial"/>
            </w:pPr>
          </w:p>
        </w:tc>
      </w:tr>
      <w:tr w:rsidR="00D724FA" w:rsidTr="00A858D8">
        <w:trPr>
          <w:cantSplit/>
        </w:trPr>
        <w:tc>
          <w:tcPr>
            <w:tcW w:w="5386" w:type="dxa"/>
            <w:gridSpan w:val="4"/>
            <w:tcBorders>
              <w:top w:val="nil"/>
            </w:tcBorders>
            <w:vAlign w:val="bottom"/>
          </w:tcPr>
          <w:p w:rsidR="00D724FA" w:rsidRDefault="00D724FA" w:rsidP="00A858D8">
            <w:pPr>
              <w:pStyle w:val="IASBTableArial"/>
            </w:pPr>
            <w:r>
              <w:rPr>
                <w:b/>
              </w:rPr>
              <w:t>Profit attributable to ordinary equity holders of the parent entity</w:t>
            </w:r>
          </w:p>
        </w:tc>
        <w:tc>
          <w:tcPr>
            <w:tcW w:w="1365" w:type="dxa"/>
            <w:tcBorders>
              <w:top w:val="nil"/>
              <w:left w:val="nil"/>
            </w:tcBorders>
            <w:vAlign w:val="bottom"/>
          </w:tcPr>
          <w:p w:rsidR="00D724FA" w:rsidRDefault="00D724FA" w:rsidP="00A858D8">
            <w:pPr>
              <w:pStyle w:val="IASBTableArial"/>
            </w:pPr>
          </w:p>
        </w:tc>
        <w:tc>
          <w:tcPr>
            <w:tcW w:w="455" w:type="dxa"/>
            <w:tcBorders>
              <w:top w:val="nil"/>
              <w:left w:val="nil"/>
            </w:tcBorders>
            <w:vAlign w:val="bottom"/>
          </w:tcPr>
          <w:p w:rsidR="00D724FA" w:rsidRDefault="00D724FA" w:rsidP="00A858D8">
            <w:pPr>
              <w:pStyle w:val="IASBTableArial"/>
            </w:pPr>
          </w:p>
        </w:tc>
        <w:tc>
          <w:tcPr>
            <w:tcW w:w="1820" w:type="dxa"/>
            <w:gridSpan w:val="2"/>
            <w:tcBorders>
              <w:top w:val="nil"/>
              <w:left w:val="nil"/>
            </w:tcBorders>
            <w:vAlign w:val="bottom"/>
          </w:tcPr>
          <w:p w:rsidR="00D724FA" w:rsidRDefault="00D724FA" w:rsidP="00A858D8">
            <w:pPr>
              <w:pStyle w:val="IASBTableArial"/>
              <w:jc w:val="right"/>
            </w:pPr>
            <w:r>
              <w:t>CU6,490,000</w:t>
            </w:r>
          </w:p>
        </w:tc>
        <w:tc>
          <w:tcPr>
            <w:tcW w:w="216" w:type="dxa"/>
            <w:gridSpan w:val="2"/>
            <w:tcBorders>
              <w:top w:val="nil"/>
              <w:left w:val="nil"/>
            </w:tcBorders>
            <w:vAlign w:val="bottom"/>
          </w:tcPr>
          <w:p w:rsidR="00D724FA" w:rsidRDefault="00D724FA" w:rsidP="00A858D8">
            <w:pPr>
              <w:pStyle w:val="IASBTableArial"/>
            </w:pPr>
          </w:p>
        </w:tc>
      </w:tr>
      <w:tr w:rsidR="00D724FA" w:rsidTr="00A858D8">
        <w:trPr>
          <w:cantSplit/>
        </w:trPr>
        <w:tc>
          <w:tcPr>
            <w:tcW w:w="5386" w:type="dxa"/>
            <w:gridSpan w:val="4"/>
            <w:tcBorders>
              <w:top w:val="nil"/>
            </w:tcBorders>
            <w:vAlign w:val="bottom"/>
          </w:tcPr>
          <w:p w:rsidR="00D724FA" w:rsidRDefault="00D724FA" w:rsidP="00A858D8">
            <w:pPr>
              <w:pStyle w:val="IASBTableArial"/>
            </w:pPr>
            <w:r>
              <w:t>Plus: profit impact of assumed conversions</w:t>
            </w:r>
          </w:p>
        </w:tc>
        <w:tc>
          <w:tcPr>
            <w:tcW w:w="1365" w:type="dxa"/>
            <w:tcBorders>
              <w:top w:val="nil"/>
              <w:left w:val="nil"/>
            </w:tcBorders>
            <w:vAlign w:val="bottom"/>
          </w:tcPr>
          <w:p w:rsidR="00D724FA" w:rsidRDefault="00D724FA" w:rsidP="00A858D8">
            <w:pPr>
              <w:pStyle w:val="IASBTableArial"/>
            </w:pPr>
          </w:p>
        </w:tc>
        <w:tc>
          <w:tcPr>
            <w:tcW w:w="455" w:type="dxa"/>
            <w:tcBorders>
              <w:top w:val="nil"/>
              <w:left w:val="nil"/>
            </w:tcBorders>
            <w:vAlign w:val="bottom"/>
          </w:tcPr>
          <w:p w:rsidR="00D724FA" w:rsidRDefault="00D724FA" w:rsidP="00A858D8">
            <w:pPr>
              <w:pStyle w:val="IASBTableArial"/>
            </w:pPr>
          </w:p>
        </w:tc>
        <w:tc>
          <w:tcPr>
            <w:tcW w:w="455" w:type="dxa"/>
            <w:tcBorders>
              <w:top w:val="nil"/>
              <w:left w:val="nil"/>
            </w:tcBorders>
            <w:vAlign w:val="bottom"/>
          </w:tcPr>
          <w:p w:rsidR="00D724FA" w:rsidRDefault="00D724FA" w:rsidP="00A858D8">
            <w:pPr>
              <w:pStyle w:val="IASBTableArial"/>
            </w:pPr>
          </w:p>
        </w:tc>
        <w:tc>
          <w:tcPr>
            <w:tcW w:w="1365" w:type="dxa"/>
            <w:tcBorders>
              <w:top w:val="nil"/>
              <w:left w:val="nil"/>
            </w:tcBorders>
            <w:vAlign w:val="center"/>
          </w:tcPr>
          <w:p w:rsidR="00D724FA" w:rsidRDefault="00D724FA" w:rsidP="00A858D8">
            <w:pPr>
              <w:pStyle w:val="IASBTableArial"/>
            </w:pPr>
          </w:p>
        </w:tc>
        <w:tc>
          <w:tcPr>
            <w:tcW w:w="216" w:type="dxa"/>
            <w:gridSpan w:val="2"/>
            <w:tcBorders>
              <w:top w:val="nil"/>
              <w:left w:val="nil"/>
            </w:tcBorders>
            <w:vAlign w:val="bottom"/>
          </w:tcPr>
          <w:p w:rsidR="00D724FA" w:rsidRDefault="00D724FA" w:rsidP="00A858D8">
            <w:pPr>
              <w:pStyle w:val="IASBTableArial"/>
            </w:pPr>
          </w:p>
        </w:tc>
      </w:tr>
      <w:tr w:rsidR="00D724FA" w:rsidTr="00A858D8">
        <w:trPr>
          <w:cantSplit/>
        </w:trPr>
        <w:tc>
          <w:tcPr>
            <w:tcW w:w="563" w:type="dxa"/>
            <w:tcBorders>
              <w:top w:val="nil"/>
            </w:tcBorders>
            <w:vAlign w:val="bottom"/>
          </w:tcPr>
          <w:p w:rsidR="00D724FA" w:rsidRDefault="00D724FA" w:rsidP="00A858D8">
            <w:pPr>
              <w:pStyle w:val="IASBTableArial"/>
            </w:pPr>
          </w:p>
        </w:tc>
        <w:tc>
          <w:tcPr>
            <w:tcW w:w="4823" w:type="dxa"/>
            <w:gridSpan w:val="3"/>
            <w:tcBorders>
              <w:top w:val="nil"/>
              <w:left w:val="nil"/>
            </w:tcBorders>
            <w:vAlign w:val="bottom"/>
          </w:tcPr>
          <w:p w:rsidR="00D724FA" w:rsidRDefault="00D724FA" w:rsidP="00A858D8">
            <w:pPr>
              <w:pStyle w:val="IASBTableArial"/>
            </w:pPr>
            <w:r>
              <w:t>Preference share dividends</w:t>
            </w:r>
          </w:p>
        </w:tc>
        <w:tc>
          <w:tcPr>
            <w:tcW w:w="1365" w:type="dxa"/>
            <w:tcBorders>
              <w:top w:val="nil"/>
              <w:left w:val="nil"/>
            </w:tcBorders>
          </w:tcPr>
          <w:p w:rsidR="00D724FA" w:rsidRDefault="00D724FA" w:rsidP="00A858D8">
            <w:pPr>
              <w:pStyle w:val="IASBTableArial"/>
              <w:jc w:val="right"/>
            </w:pPr>
            <w:r>
              <w:t>CU10,000</w:t>
            </w:r>
            <w:r>
              <w:rPr>
                <w:vertAlign w:val="superscript"/>
              </w:rPr>
              <w:t>(a)</w:t>
            </w:r>
          </w:p>
        </w:tc>
        <w:tc>
          <w:tcPr>
            <w:tcW w:w="455" w:type="dxa"/>
            <w:tcBorders>
              <w:top w:val="nil"/>
              <w:left w:val="nil"/>
            </w:tcBorders>
            <w:vAlign w:val="bottom"/>
          </w:tcPr>
          <w:p w:rsidR="00D724FA" w:rsidRDefault="00D724FA" w:rsidP="00A858D8">
            <w:pPr>
              <w:pStyle w:val="IASBTableArial"/>
            </w:pPr>
          </w:p>
        </w:tc>
        <w:tc>
          <w:tcPr>
            <w:tcW w:w="455" w:type="dxa"/>
            <w:tcBorders>
              <w:top w:val="nil"/>
              <w:left w:val="nil"/>
            </w:tcBorders>
            <w:vAlign w:val="bottom"/>
          </w:tcPr>
          <w:p w:rsidR="00D724FA" w:rsidRDefault="00D724FA" w:rsidP="00A858D8">
            <w:pPr>
              <w:pStyle w:val="IASBTableArial"/>
            </w:pPr>
          </w:p>
        </w:tc>
        <w:tc>
          <w:tcPr>
            <w:tcW w:w="1365" w:type="dxa"/>
            <w:tcBorders>
              <w:top w:val="nil"/>
              <w:left w:val="nil"/>
            </w:tcBorders>
            <w:vAlign w:val="center"/>
          </w:tcPr>
          <w:p w:rsidR="00D724FA" w:rsidRDefault="00D724FA" w:rsidP="00A858D8">
            <w:pPr>
              <w:pStyle w:val="IASBTableArial"/>
            </w:pPr>
          </w:p>
        </w:tc>
        <w:tc>
          <w:tcPr>
            <w:tcW w:w="216" w:type="dxa"/>
            <w:gridSpan w:val="2"/>
            <w:tcBorders>
              <w:top w:val="nil"/>
              <w:left w:val="nil"/>
            </w:tcBorders>
            <w:vAlign w:val="bottom"/>
          </w:tcPr>
          <w:p w:rsidR="00D724FA" w:rsidRDefault="00D724FA" w:rsidP="00A858D8">
            <w:pPr>
              <w:pStyle w:val="IASBTableArial"/>
            </w:pPr>
          </w:p>
        </w:tc>
      </w:tr>
      <w:tr w:rsidR="00D724FA" w:rsidTr="00A858D8">
        <w:trPr>
          <w:cantSplit/>
        </w:trPr>
        <w:tc>
          <w:tcPr>
            <w:tcW w:w="5386" w:type="dxa"/>
            <w:gridSpan w:val="4"/>
            <w:tcBorders>
              <w:top w:val="nil"/>
            </w:tcBorders>
            <w:vAlign w:val="bottom"/>
          </w:tcPr>
          <w:p w:rsidR="00D724FA" w:rsidRDefault="00D724FA" w:rsidP="00A858D8">
            <w:pPr>
              <w:pStyle w:val="IASBTableArial"/>
            </w:pPr>
            <w:r>
              <w:rPr>
                <w:b/>
              </w:rPr>
              <w:t>Effect of assumed conversions</w:t>
            </w:r>
          </w:p>
        </w:tc>
        <w:tc>
          <w:tcPr>
            <w:tcW w:w="1365" w:type="dxa"/>
            <w:tcBorders>
              <w:top w:val="nil"/>
              <w:left w:val="nil"/>
            </w:tcBorders>
            <w:vAlign w:val="bottom"/>
          </w:tcPr>
          <w:p w:rsidR="00D724FA" w:rsidRDefault="00D724FA" w:rsidP="00A858D8">
            <w:pPr>
              <w:pStyle w:val="IASBTableArial"/>
            </w:pPr>
          </w:p>
        </w:tc>
        <w:tc>
          <w:tcPr>
            <w:tcW w:w="455" w:type="dxa"/>
            <w:tcBorders>
              <w:top w:val="nil"/>
              <w:left w:val="nil"/>
            </w:tcBorders>
            <w:vAlign w:val="bottom"/>
          </w:tcPr>
          <w:p w:rsidR="00D724FA" w:rsidRDefault="00D724FA" w:rsidP="00A858D8">
            <w:pPr>
              <w:pStyle w:val="IASBTableArial"/>
            </w:pPr>
          </w:p>
        </w:tc>
        <w:tc>
          <w:tcPr>
            <w:tcW w:w="1820" w:type="dxa"/>
            <w:gridSpan w:val="2"/>
            <w:tcBorders>
              <w:top w:val="nil"/>
              <w:left w:val="nil"/>
              <w:bottom w:val="single" w:sz="4" w:space="0" w:color="auto"/>
            </w:tcBorders>
            <w:vAlign w:val="bottom"/>
          </w:tcPr>
          <w:p w:rsidR="00D724FA" w:rsidRDefault="00D724FA" w:rsidP="00A858D8">
            <w:pPr>
              <w:pStyle w:val="IASBTableArial"/>
              <w:jc w:val="right"/>
            </w:pPr>
            <w:r>
              <w:t>CU10,000</w:t>
            </w:r>
          </w:p>
        </w:tc>
        <w:tc>
          <w:tcPr>
            <w:tcW w:w="216" w:type="dxa"/>
            <w:gridSpan w:val="2"/>
            <w:tcBorders>
              <w:top w:val="nil"/>
              <w:left w:val="nil"/>
            </w:tcBorders>
            <w:vAlign w:val="bottom"/>
          </w:tcPr>
          <w:p w:rsidR="00D724FA" w:rsidRDefault="00D724FA" w:rsidP="00A858D8">
            <w:pPr>
              <w:pStyle w:val="IASBTableArial"/>
            </w:pPr>
          </w:p>
        </w:tc>
      </w:tr>
      <w:tr w:rsidR="00D724FA" w:rsidTr="00A858D8">
        <w:trPr>
          <w:cantSplit/>
        </w:trPr>
        <w:tc>
          <w:tcPr>
            <w:tcW w:w="5386" w:type="dxa"/>
            <w:gridSpan w:val="4"/>
            <w:tcBorders>
              <w:top w:val="nil"/>
            </w:tcBorders>
            <w:vAlign w:val="bottom"/>
          </w:tcPr>
          <w:p w:rsidR="00D724FA" w:rsidRDefault="00D724FA" w:rsidP="00A858D8">
            <w:pPr>
              <w:pStyle w:val="IASBTableArial"/>
            </w:pPr>
            <w:r>
              <w:t>Profit attributable to ordinary equity holders of the parent entity including assumed conversions</w:t>
            </w:r>
          </w:p>
        </w:tc>
        <w:tc>
          <w:tcPr>
            <w:tcW w:w="1365" w:type="dxa"/>
            <w:tcBorders>
              <w:top w:val="nil"/>
              <w:left w:val="nil"/>
            </w:tcBorders>
            <w:vAlign w:val="bottom"/>
          </w:tcPr>
          <w:p w:rsidR="00D724FA" w:rsidRDefault="00D724FA" w:rsidP="00A858D8">
            <w:pPr>
              <w:pStyle w:val="IASBTableArial"/>
            </w:pPr>
          </w:p>
        </w:tc>
        <w:tc>
          <w:tcPr>
            <w:tcW w:w="455" w:type="dxa"/>
            <w:tcBorders>
              <w:top w:val="nil"/>
              <w:left w:val="nil"/>
            </w:tcBorders>
            <w:vAlign w:val="bottom"/>
          </w:tcPr>
          <w:p w:rsidR="00D724FA" w:rsidRDefault="00D724FA" w:rsidP="00A858D8">
            <w:pPr>
              <w:pStyle w:val="IASBTableArial"/>
            </w:pPr>
          </w:p>
        </w:tc>
        <w:tc>
          <w:tcPr>
            <w:tcW w:w="1820" w:type="dxa"/>
            <w:gridSpan w:val="2"/>
            <w:tcBorders>
              <w:top w:val="nil"/>
              <w:left w:val="nil"/>
              <w:bottom w:val="double" w:sz="4" w:space="0" w:color="auto"/>
            </w:tcBorders>
            <w:vAlign w:val="bottom"/>
          </w:tcPr>
          <w:p w:rsidR="00D724FA" w:rsidRDefault="00D724FA" w:rsidP="00A858D8">
            <w:pPr>
              <w:pStyle w:val="IASBTableArial"/>
              <w:jc w:val="right"/>
            </w:pPr>
            <w:r>
              <w:t>CU6,500,000</w:t>
            </w:r>
          </w:p>
        </w:tc>
        <w:tc>
          <w:tcPr>
            <w:tcW w:w="216" w:type="dxa"/>
            <w:gridSpan w:val="2"/>
            <w:tcBorders>
              <w:top w:val="nil"/>
              <w:left w:val="nil"/>
            </w:tcBorders>
            <w:vAlign w:val="bottom"/>
          </w:tcPr>
          <w:p w:rsidR="00D724FA" w:rsidRDefault="00D724FA" w:rsidP="00A858D8">
            <w:pPr>
              <w:pStyle w:val="IASBTableArial"/>
            </w:pPr>
          </w:p>
        </w:tc>
      </w:tr>
      <w:tr w:rsidR="00D724FA" w:rsidTr="00A858D8">
        <w:trPr>
          <w:cantSplit/>
        </w:trPr>
        <w:tc>
          <w:tcPr>
            <w:tcW w:w="9026" w:type="dxa"/>
            <w:gridSpan w:val="8"/>
            <w:tcBorders>
              <w:top w:val="nil"/>
            </w:tcBorders>
            <w:vAlign w:val="bottom"/>
          </w:tcPr>
          <w:p w:rsidR="00D724FA" w:rsidRDefault="00D724FA" w:rsidP="00A858D8">
            <w:pPr>
              <w:pStyle w:val="IASBTableArial"/>
            </w:pPr>
          </w:p>
        </w:tc>
        <w:tc>
          <w:tcPr>
            <w:tcW w:w="216" w:type="dxa"/>
            <w:gridSpan w:val="2"/>
            <w:tcBorders>
              <w:top w:val="nil"/>
              <w:left w:val="nil"/>
            </w:tcBorders>
            <w:vAlign w:val="bottom"/>
          </w:tcPr>
          <w:p w:rsidR="00D724FA" w:rsidRDefault="00D724FA" w:rsidP="00A858D8">
            <w:pPr>
              <w:pStyle w:val="IASBTableArial"/>
            </w:pPr>
          </w:p>
        </w:tc>
      </w:tr>
      <w:tr w:rsidR="00D724FA" w:rsidTr="00A858D8">
        <w:trPr>
          <w:cantSplit/>
        </w:trPr>
        <w:tc>
          <w:tcPr>
            <w:tcW w:w="5386" w:type="dxa"/>
            <w:gridSpan w:val="4"/>
            <w:tcBorders>
              <w:top w:val="nil"/>
            </w:tcBorders>
            <w:vAlign w:val="bottom"/>
          </w:tcPr>
          <w:p w:rsidR="00D724FA" w:rsidRDefault="00D724FA" w:rsidP="00A858D8">
            <w:pPr>
              <w:pStyle w:val="IASBTableArial"/>
            </w:pPr>
            <w:r>
              <w:rPr>
                <w:b/>
              </w:rPr>
              <w:t>Weighted-average shares</w:t>
            </w:r>
          </w:p>
        </w:tc>
        <w:tc>
          <w:tcPr>
            <w:tcW w:w="1365" w:type="dxa"/>
            <w:tcBorders>
              <w:top w:val="nil"/>
              <w:left w:val="nil"/>
            </w:tcBorders>
            <w:vAlign w:val="bottom"/>
          </w:tcPr>
          <w:p w:rsidR="00D724FA" w:rsidRDefault="00D724FA" w:rsidP="00A858D8">
            <w:pPr>
              <w:pStyle w:val="IASBTableArial"/>
            </w:pPr>
          </w:p>
        </w:tc>
        <w:tc>
          <w:tcPr>
            <w:tcW w:w="455" w:type="dxa"/>
            <w:tcBorders>
              <w:top w:val="nil"/>
              <w:left w:val="nil"/>
            </w:tcBorders>
            <w:vAlign w:val="bottom"/>
          </w:tcPr>
          <w:p w:rsidR="00D724FA" w:rsidRDefault="00D724FA" w:rsidP="00A858D8">
            <w:pPr>
              <w:pStyle w:val="IASBTableArial"/>
            </w:pPr>
          </w:p>
        </w:tc>
        <w:tc>
          <w:tcPr>
            <w:tcW w:w="1820" w:type="dxa"/>
            <w:gridSpan w:val="2"/>
            <w:tcBorders>
              <w:top w:val="nil"/>
              <w:left w:val="nil"/>
            </w:tcBorders>
            <w:vAlign w:val="bottom"/>
          </w:tcPr>
          <w:p w:rsidR="00D724FA" w:rsidRDefault="00D724FA" w:rsidP="00A858D8">
            <w:pPr>
              <w:pStyle w:val="IASBTableArial"/>
              <w:jc w:val="right"/>
            </w:pPr>
            <w:r>
              <w:t>5,880,000</w:t>
            </w:r>
          </w:p>
        </w:tc>
        <w:tc>
          <w:tcPr>
            <w:tcW w:w="216" w:type="dxa"/>
            <w:gridSpan w:val="2"/>
            <w:tcBorders>
              <w:top w:val="nil"/>
              <w:left w:val="nil"/>
            </w:tcBorders>
            <w:vAlign w:val="bottom"/>
          </w:tcPr>
          <w:p w:rsidR="00D724FA" w:rsidRDefault="00D724FA" w:rsidP="00A858D8">
            <w:pPr>
              <w:pStyle w:val="IASBTableArial"/>
            </w:pPr>
          </w:p>
        </w:tc>
      </w:tr>
      <w:tr w:rsidR="00D724FA" w:rsidTr="00A858D8">
        <w:trPr>
          <w:cantSplit/>
        </w:trPr>
        <w:tc>
          <w:tcPr>
            <w:tcW w:w="5386" w:type="dxa"/>
            <w:gridSpan w:val="4"/>
            <w:tcBorders>
              <w:top w:val="nil"/>
            </w:tcBorders>
            <w:vAlign w:val="bottom"/>
          </w:tcPr>
          <w:p w:rsidR="00D724FA" w:rsidRDefault="00D724FA" w:rsidP="00A858D8">
            <w:pPr>
              <w:pStyle w:val="IASBTableArial"/>
            </w:pPr>
            <w:r>
              <w:t>Plus: incremental shares from assumed conversions</w:t>
            </w:r>
          </w:p>
        </w:tc>
        <w:tc>
          <w:tcPr>
            <w:tcW w:w="1365" w:type="dxa"/>
            <w:tcBorders>
              <w:top w:val="nil"/>
              <w:left w:val="nil"/>
            </w:tcBorders>
            <w:vAlign w:val="bottom"/>
          </w:tcPr>
          <w:p w:rsidR="00D724FA" w:rsidRDefault="00D724FA" w:rsidP="00A858D8">
            <w:pPr>
              <w:pStyle w:val="IASBTableArial"/>
            </w:pPr>
          </w:p>
        </w:tc>
        <w:tc>
          <w:tcPr>
            <w:tcW w:w="455" w:type="dxa"/>
            <w:tcBorders>
              <w:top w:val="nil"/>
              <w:left w:val="nil"/>
            </w:tcBorders>
            <w:vAlign w:val="bottom"/>
          </w:tcPr>
          <w:p w:rsidR="00D724FA" w:rsidRDefault="00D724FA" w:rsidP="00A858D8">
            <w:pPr>
              <w:pStyle w:val="IASBTableArial"/>
            </w:pPr>
          </w:p>
        </w:tc>
        <w:tc>
          <w:tcPr>
            <w:tcW w:w="455" w:type="dxa"/>
            <w:tcBorders>
              <w:top w:val="nil"/>
              <w:left w:val="nil"/>
            </w:tcBorders>
            <w:vAlign w:val="bottom"/>
          </w:tcPr>
          <w:p w:rsidR="00D724FA" w:rsidRDefault="00D724FA" w:rsidP="00A858D8">
            <w:pPr>
              <w:pStyle w:val="IASBTableArial"/>
            </w:pPr>
          </w:p>
        </w:tc>
        <w:tc>
          <w:tcPr>
            <w:tcW w:w="1365" w:type="dxa"/>
            <w:tcBorders>
              <w:top w:val="nil"/>
              <w:left w:val="nil"/>
            </w:tcBorders>
            <w:vAlign w:val="bottom"/>
          </w:tcPr>
          <w:p w:rsidR="00D724FA" w:rsidRDefault="00D724FA" w:rsidP="00A858D8">
            <w:pPr>
              <w:pStyle w:val="IASBTableArial"/>
            </w:pPr>
          </w:p>
        </w:tc>
        <w:tc>
          <w:tcPr>
            <w:tcW w:w="216" w:type="dxa"/>
            <w:gridSpan w:val="2"/>
            <w:tcBorders>
              <w:top w:val="nil"/>
              <w:left w:val="nil"/>
            </w:tcBorders>
            <w:vAlign w:val="bottom"/>
          </w:tcPr>
          <w:p w:rsidR="00D724FA" w:rsidRDefault="00D724FA" w:rsidP="00A858D8">
            <w:pPr>
              <w:pStyle w:val="IASBTableArial"/>
            </w:pPr>
          </w:p>
        </w:tc>
      </w:tr>
      <w:tr w:rsidR="00D724FA" w:rsidTr="00A858D8">
        <w:trPr>
          <w:cantSplit/>
        </w:trPr>
        <w:tc>
          <w:tcPr>
            <w:tcW w:w="563" w:type="dxa"/>
            <w:tcBorders>
              <w:top w:val="nil"/>
            </w:tcBorders>
            <w:vAlign w:val="bottom"/>
          </w:tcPr>
          <w:p w:rsidR="00D724FA" w:rsidRDefault="00D724FA" w:rsidP="00A858D8">
            <w:pPr>
              <w:pStyle w:val="IASBTableArial"/>
            </w:pPr>
            <w:r>
              <w:t> </w:t>
            </w:r>
          </w:p>
        </w:tc>
        <w:tc>
          <w:tcPr>
            <w:tcW w:w="4823" w:type="dxa"/>
            <w:gridSpan w:val="3"/>
            <w:tcBorders>
              <w:top w:val="nil"/>
              <w:left w:val="nil"/>
            </w:tcBorders>
            <w:vAlign w:val="bottom"/>
          </w:tcPr>
          <w:p w:rsidR="00D724FA" w:rsidRDefault="00D724FA" w:rsidP="00A858D8">
            <w:pPr>
              <w:pStyle w:val="IASBTableArial"/>
            </w:pPr>
            <w:r>
              <w:t>Warrants</w:t>
            </w:r>
          </w:p>
        </w:tc>
        <w:tc>
          <w:tcPr>
            <w:tcW w:w="1365" w:type="dxa"/>
            <w:tcBorders>
              <w:top w:val="nil"/>
              <w:left w:val="nil"/>
            </w:tcBorders>
          </w:tcPr>
          <w:p w:rsidR="00D724FA" w:rsidRDefault="00D724FA" w:rsidP="00A858D8">
            <w:pPr>
              <w:pStyle w:val="IASBTableArial"/>
              <w:jc w:val="right"/>
            </w:pPr>
            <w:r>
              <w:t>50,000</w:t>
            </w:r>
            <w:r>
              <w:rPr>
                <w:vertAlign w:val="superscript"/>
              </w:rPr>
              <w:t>(b)</w:t>
            </w:r>
          </w:p>
        </w:tc>
        <w:tc>
          <w:tcPr>
            <w:tcW w:w="455" w:type="dxa"/>
            <w:tcBorders>
              <w:top w:val="nil"/>
              <w:left w:val="nil"/>
            </w:tcBorders>
            <w:vAlign w:val="bottom"/>
          </w:tcPr>
          <w:p w:rsidR="00D724FA" w:rsidRDefault="00D724FA" w:rsidP="00A858D8">
            <w:pPr>
              <w:pStyle w:val="IASBTableArial"/>
            </w:pPr>
          </w:p>
        </w:tc>
        <w:tc>
          <w:tcPr>
            <w:tcW w:w="455" w:type="dxa"/>
            <w:tcBorders>
              <w:top w:val="nil"/>
              <w:left w:val="nil"/>
            </w:tcBorders>
            <w:vAlign w:val="bottom"/>
          </w:tcPr>
          <w:p w:rsidR="00D724FA" w:rsidRDefault="00D724FA" w:rsidP="00A858D8">
            <w:pPr>
              <w:pStyle w:val="IASBTableArial"/>
            </w:pPr>
          </w:p>
        </w:tc>
        <w:tc>
          <w:tcPr>
            <w:tcW w:w="1365" w:type="dxa"/>
            <w:tcBorders>
              <w:top w:val="nil"/>
              <w:left w:val="nil"/>
            </w:tcBorders>
            <w:vAlign w:val="bottom"/>
          </w:tcPr>
          <w:p w:rsidR="00D724FA" w:rsidRDefault="00D724FA" w:rsidP="00A858D8">
            <w:pPr>
              <w:pStyle w:val="IASBTableArial"/>
            </w:pPr>
          </w:p>
        </w:tc>
        <w:tc>
          <w:tcPr>
            <w:tcW w:w="216" w:type="dxa"/>
            <w:gridSpan w:val="2"/>
            <w:tcBorders>
              <w:top w:val="nil"/>
              <w:left w:val="nil"/>
            </w:tcBorders>
            <w:vAlign w:val="bottom"/>
          </w:tcPr>
          <w:p w:rsidR="00D724FA" w:rsidRDefault="00D724FA" w:rsidP="00A858D8">
            <w:pPr>
              <w:pStyle w:val="IASBTableArial"/>
            </w:pPr>
          </w:p>
        </w:tc>
      </w:tr>
      <w:tr w:rsidR="00D724FA" w:rsidTr="00A858D8">
        <w:trPr>
          <w:cantSplit/>
        </w:trPr>
        <w:tc>
          <w:tcPr>
            <w:tcW w:w="563" w:type="dxa"/>
            <w:tcBorders>
              <w:top w:val="nil"/>
            </w:tcBorders>
            <w:vAlign w:val="bottom"/>
          </w:tcPr>
          <w:p w:rsidR="00D724FA" w:rsidRDefault="00D724FA" w:rsidP="00A858D8">
            <w:pPr>
              <w:pStyle w:val="IASBTableArial"/>
            </w:pPr>
          </w:p>
        </w:tc>
        <w:tc>
          <w:tcPr>
            <w:tcW w:w="4823" w:type="dxa"/>
            <w:gridSpan w:val="3"/>
            <w:tcBorders>
              <w:top w:val="nil"/>
              <w:left w:val="nil"/>
            </w:tcBorders>
            <w:vAlign w:val="bottom"/>
          </w:tcPr>
          <w:p w:rsidR="00D724FA" w:rsidRDefault="00D724FA" w:rsidP="00A858D8">
            <w:pPr>
              <w:pStyle w:val="IASBTableArial"/>
            </w:pPr>
            <w:r>
              <w:t>Convertible preference shares</w:t>
            </w:r>
          </w:p>
        </w:tc>
        <w:tc>
          <w:tcPr>
            <w:tcW w:w="1365" w:type="dxa"/>
            <w:tcBorders>
              <w:top w:val="nil"/>
              <w:left w:val="nil"/>
              <w:bottom w:val="single" w:sz="4" w:space="0" w:color="auto"/>
            </w:tcBorders>
          </w:tcPr>
          <w:p w:rsidR="00D724FA" w:rsidRDefault="00D724FA" w:rsidP="00A858D8">
            <w:pPr>
              <w:pStyle w:val="IASBTableArial"/>
              <w:jc w:val="right"/>
            </w:pPr>
            <w:r>
              <w:t>600,000</w:t>
            </w:r>
            <w:r>
              <w:rPr>
                <w:vertAlign w:val="superscript"/>
              </w:rPr>
              <w:t>(c)</w:t>
            </w:r>
          </w:p>
        </w:tc>
        <w:tc>
          <w:tcPr>
            <w:tcW w:w="455" w:type="dxa"/>
            <w:tcBorders>
              <w:top w:val="nil"/>
              <w:left w:val="nil"/>
            </w:tcBorders>
          </w:tcPr>
          <w:p w:rsidR="00D724FA" w:rsidRDefault="00D724FA" w:rsidP="00A858D8">
            <w:pPr>
              <w:pStyle w:val="IASBTableArial"/>
            </w:pPr>
          </w:p>
        </w:tc>
        <w:tc>
          <w:tcPr>
            <w:tcW w:w="455" w:type="dxa"/>
            <w:tcBorders>
              <w:top w:val="nil"/>
              <w:left w:val="nil"/>
            </w:tcBorders>
            <w:vAlign w:val="bottom"/>
          </w:tcPr>
          <w:p w:rsidR="00D724FA" w:rsidRDefault="00D724FA" w:rsidP="00A858D8">
            <w:pPr>
              <w:pStyle w:val="IASBTableArial"/>
            </w:pPr>
          </w:p>
        </w:tc>
        <w:tc>
          <w:tcPr>
            <w:tcW w:w="1365" w:type="dxa"/>
            <w:tcBorders>
              <w:top w:val="nil"/>
              <w:left w:val="nil"/>
            </w:tcBorders>
            <w:vAlign w:val="bottom"/>
          </w:tcPr>
          <w:p w:rsidR="00D724FA" w:rsidRDefault="00D724FA" w:rsidP="00A858D8">
            <w:pPr>
              <w:pStyle w:val="IASBTableArial"/>
            </w:pPr>
          </w:p>
        </w:tc>
        <w:tc>
          <w:tcPr>
            <w:tcW w:w="216" w:type="dxa"/>
            <w:gridSpan w:val="2"/>
            <w:tcBorders>
              <w:top w:val="nil"/>
              <w:left w:val="nil"/>
            </w:tcBorders>
            <w:vAlign w:val="bottom"/>
          </w:tcPr>
          <w:p w:rsidR="00D724FA" w:rsidRDefault="00D724FA" w:rsidP="00A858D8">
            <w:pPr>
              <w:pStyle w:val="IASBTableArial"/>
            </w:pPr>
          </w:p>
        </w:tc>
      </w:tr>
      <w:tr w:rsidR="00D724FA" w:rsidTr="00A858D8">
        <w:trPr>
          <w:cantSplit/>
        </w:trPr>
        <w:tc>
          <w:tcPr>
            <w:tcW w:w="5386" w:type="dxa"/>
            <w:gridSpan w:val="4"/>
            <w:tcBorders>
              <w:top w:val="nil"/>
            </w:tcBorders>
            <w:vAlign w:val="bottom"/>
          </w:tcPr>
          <w:p w:rsidR="00D724FA" w:rsidRDefault="00D724FA" w:rsidP="00A858D8">
            <w:pPr>
              <w:pStyle w:val="IASBTableArial"/>
            </w:pPr>
            <w:r>
              <w:rPr>
                <w:b/>
              </w:rPr>
              <w:t>Dilutive potential ordinary shares</w:t>
            </w:r>
          </w:p>
        </w:tc>
        <w:tc>
          <w:tcPr>
            <w:tcW w:w="1365" w:type="dxa"/>
            <w:tcBorders>
              <w:top w:val="nil"/>
              <w:left w:val="nil"/>
            </w:tcBorders>
            <w:vAlign w:val="bottom"/>
          </w:tcPr>
          <w:p w:rsidR="00D724FA" w:rsidRDefault="00D724FA" w:rsidP="00A858D8">
            <w:pPr>
              <w:pStyle w:val="IASBTableArial"/>
            </w:pPr>
          </w:p>
        </w:tc>
        <w:tc>
          <w:tcPr>
            <w:tcW w:w="455" w:type="dxa"/>
            <w:tcBorders>
              <w:top w:val="nil"/>
              <w:left w:val="nil"/>
            </w:tcBorders>
          </w:tcPr>
          <w:p w:rsidR="00D724FA" w:rsidRDefault="00D724FA" w:rsidP="00A858D8">
            <w:pPr>
              <w:pStyle w:val="IASBTableArial"/>
            </w:pPr>
          </w:p>
        </w:tc>
        <w:tc>
          <w:tcPr>
            <w:tcW w:w="1820" w:type="dxa"/>
            <w:gridSpan w:val="2"/>
            <w:tcBorders>
              <w:top w:val="nil"/>
              <w:left w:val="nil"/>
              <w:bottom w:val="single" w:sz="4" w:space="0" w:color="auto"/>
            </w:tcBorders>
            <w:vAlign w:val="bottom"/>
          </w:tcPr>
          <w:p w:rsidR="00D724FA" w:rsidRDefault="00D724FA" w:rsidP="00A858D8">
            <w:pPr>
              <w:pStyle w:val="IASBTableArial"/>
              <w:jc w:val="right"/>
            </w:pPr>
            <w:r>
              <w:t>650,000</w:t>
            </w:r>
          </w:p>
        </w:tc>
        <w:tc>
          <w:tcPr>
            <w:tcW w:w="216" w:type="dxa"/>
            <w:gridSpan w:val="2"/>
            <w:tcBorders>
              <w:top w:val="nil"/>
              <w:left w:val="nil"/>
            </w:tcBorders>
            <w:vAlign w:val="bottom"/>
          </w:tcPr>
          <w:p w:rsidR="00D724FA" w:rsidRDefault="00D724FA" w:rsidP="00A858D8">
            <w:pPr>
              <w:pStyle w:val="IASBTableArial"/>
            </w:pPr>
          </w:p>
        </w:tc>
      </w:tr>
      <w:tr w:rsidR="00D724FA" w:rsidTr="00A858D8">
        <w:trPr>
          <w:cantSplit/>
        </w:trPr>
        <w:tc>
          <w:tcPr>
            <w:tcW w:w="5386" w:type="dxa"/>
            <w:gridSpan w:val="4"/>
            <w:tcBorders>
              <w:top w:val="nil"/>
            </w:tcBorders>
            <w:vAlign w:val="bottom"/>
          </w:tcPr>
          <w:p w:rsidR="00D724FA" w:rsidRDefault="00D724FA" w:rsidP="00A858D8">
            <w:pPr>
              <w:pStyle w:val="IASBTableArial"/>
            </w:pPr>
            <w:r>
              <w:t>Adjusted weighted-average shares</w:t>
            </w:r>
          </w:p>
        </w:tc>
        <w:tc>
          <w:tcPr>
            <w:tcW w:w="1365" w:type="dxa"/>
            <w:tcBorders>
              <w:top w:val="nil"/>
              <w:left w:val="nil"/>
            </w:tcBorders>
            <w:vAlign w:val="bottom"/>
          </w:tcPr>
          <w:p w:rsidR="00D724FA" w:rsidRDefault="00D724FA" w:rsidP="00A858D8">
            <w:pPr>
              <w:pStyle w:val="IASBTableArial"/>
            </w:pPr>
          </w:p>
        </w:tc>
        <w:tc>
          <w:tcPr>
            <w:tcW w:w="455" w:type="dxa"/>
            <w:tcBorders>
              <w:top w:val="nil"/>
              <w:left w:val="nil"/>
            </w:tcBorders>
            <w:vAlign w:val="bottom"/>
          </w:tcPr>
          <w:p w:rsidR="00D724FA" w:rsidRDefault="00D724FA" w:rsidP="00A858D8">
            <w:pPr>
              <w:pStyle w:val="IASBTableArial"/>
            </w:pPr>
          </w:p>
        </w:tc>
        <w:tc>
          <w:tcPr>
            <w:tcW w:w="1820" w:type="dxa"/>
            <w:gridSpan w:val="2"/>
            <w:tcBorders>
              <w:top w:val="nil"/>
              <w:left w:val="nil"/>
              <w:bottom w:val="double" w:sz="4" w:space="0" w:color="auto"/>
            </w:tcBorders>
            <w:vAlign w:val="bottom"/>
          </w:tcPr>
          <w:p w:rsidR="00D724FA" w:rsidRDefault="00D724FA" w:rsidP="00A858D8">
            <w:pPr>
              <w:pStyle w:val="IASBTableArial"/>
              <w:jc w:val="right"/>
            </w:pPr>
            <w:r>
              <w:t>6,530,000</w:t>
            </w:r>
          </w:p>
        </w:tc>
        <w:tc>
          <w:tcPr>
            <w:tcW w:w="216" w:type="dxa"/>
            <w:gridSpan w:val="2"/>
            <w:tcBorders>
              <w:top w:val="nil"/>
              <w:left w:val="nil"/>
            </w:tcBorders>
            <w:vAlign w:val="bottom"/>
          </w:tcPr>
          <w:p w:rsidR="00D724FA" w:rsidRDefault="00D724FA" w:rsidP="00A858D8">
            <w:pPr>
              <w:pStyle w:val="IASBTableArial"/>
            </w:pPr>
          </w:p>
        </w:tc>
      </w:tr>
      <w:tr w:rsidR="00D724FA" w:rsidTr="00A858D8">
        <w:trPr>
          <w:cantSplit/>
        </w:trPr>
        <w:tc>
          <w:tcPr>
            <w:tcW w:w="5386" w:type="dxa"/>
            <w:gridSpan w:val="4"/>
            <w:tcBorders>
              <w:top w:val="nil"/>
            </w:tcBorders>
            <w:vAlign w:val="bottom"/>
          </w:tcPr>
          <w:p w:rsidR="00D724FA" w:rsidRDefault="00D724FA" w:rsidP="00A858D8">
            <w:pPr>
              <w:pStyle w:val="IASBTableArial"/>
            </w:pPr>
            <w:r>
              <w:rPr>
                <w:b/>
                <w:i/>
              </w:rPr>
              <w:t>Diluted EPS</w:t>
            </w:r>
          </w:p>
        </w:tc>
        <w:tc>
          <w:tcPr>
            <w:tcW w:w="1365" w:type="dxa"/>
            <w:tcBorders>
              <w:top w:val="nil"/>
              <w:left w:val="nil"/>
            </w:tcBorders>
            <w:vAlign w:val="bottom"/>
          </w:tcPr>
          <w:p w:rsidR="00D724FA" w:rsidRDefault="00D724FA" w:rsidP="00A858D8">
            <w:pPr>
              <w:pStyle w:val="IASBTableArial"/>
            </w:pPr>
          </w:p>
        </w:tc>
        <w:tc>
          <w:tcPr>
            <w:tcW w:w="455" w:type="dxa"/>
            <w:tcBorders>
              <w:top w:val="nil"/>
              <w:left w:val="nil"/>
            </w:tcBorders>
            <w:vAlign w:val="bottom"/>
          </w:tcPr>
          <w:p w:rsidR="00D724FA" w:rsidRDefault="00D724FA" w:rsidP="00A858D8">
            <w:pPr>
              <w:pStyle w:val="IASBTableArial"/>
            </w:pPr>
          </w:p>
        </w:tc>
        <w:tc>
          <w:tcPr>
            <w:tcW w:w="1820" w:type="dxa"/>
            <w:gridSpan w:val="2"/>
            <w:tcBorders>
              <w:top w:val="nil"/>
              <w:left w:val="nil"/>
              <w:bottom w:val="double" w:sz="4" w:space="0" w:color="auto"/>
            </w:tcBorders>
            <w:vAlign w:val="bottom"/>
          </w:tcPr>
          <w:p w:rsidR="00D724FA" w:rsidRDefault="00D724FA" w:rsidP="00A858D8">
            <w:pPr>
              <w:pStyle w:val="IASBTableArial"/>
              <w:jc w:val="right"/>
            </w:pPr>
            <w:r>
              <w:rPr>
                <w:b/>
                <w:i/>
              </w:rPr>
              <w:t>CU1.00</w:t>
            </w:r>
          </w:p>
        </w:tc>
        <w:tc>
          <w:tcPr>
            <w:tcW w:w="216" w:type="dxa"/>
            <w:gridSpan w:val="2"/>
            <w:tcBorders>
              <w:top w:val="nil"/>
              <w:left w:val="nil"/>
            </w:tcBorders>
            <w:vAlign w:val="bottom"/>
          </w:tcPr>
          <w:p w:rsidR="00D724FA" w:rsidRDefault="00D724FA" w:rsidP="00A858D8">
            <w:pPr>
              <w:pStyle w:val="IASBTableArial"/>
            </w:pPr>
          </w:p>
        </w:tc>
      </w:tr>
      <w:tr w:rsidR="00D724FA" w:rsidTr="00A858D8">
        <w:trPr>
          <w:gridAfter w:val="1"/>
          <w:wAfter w:w="34" w:type="dxa"/>
          <w:cantSplit/>
        </w:trPr>
        <w:tc>
          <w:tcPr>
            <w:tcW w:w="9208" w:type="dxa"/>
            <w:gridSpan w:val="9"/>
            <w:tcBorders>
              <w:top w:val="nil"/>
            </w:tcBorders>
            <w:vAlign w:val="bottom"/>
          </w:tcPr>
          <w:p w:rsidR="00D724FA" w:rsidRDefault="00D724FA" w:rsidP="00A858D8">
            <w:pPr>
              <w:pStyle w:val="IASBTableTNR"/>
              <w:ind w:left="567" w:hanging="567"/>
            </w:pPr>
            <w:r>
              <w:rPr>
                <w:rStyle w:val="FootnoteReference"/>
                <w:sz w:val="16"/>
                <w:vertAlign w:val="baseline"/>
              </w:rPr>
              <w:t>(a)</w:t>
            </w:r>
            <w:r>
              <w:rPr>
                <w:rStyle w:val="FootnoteReference"/>
                <w:sz w:val="16"/>
                <w:vertAlign w:val="baseline"/>
              </w:rPr>
              <w:tab/>
              <w:t>200,000 shares × CU0.05</w:t>
            </w:r>
          </w:p>
          <w:p w:rsidR="00D724FA" w:rsidRDefault="00D724FA" w:rsidP="00A858D8">
            <w:pPr>
              <w:pStyle w:val="IASBTableTNR"/>
              <w:ind w:left="567" w:hanging="567"/>
              <w:rPr>
                <w:sz w:val="16"/>
              </w:rPr>
            </w:pPr>
            <w:r>
              <w:rPr>
                <w:rStyle w:val="FootnoteReference"/>
                <w:sz w:val="16"/>
                <w:vertAlign w:val="baseline"/>
              </w:rPr>
              <w:t>(b)</w:t>
            </w:r>
            <w:r>
              <w:rPr>
                <w:rStyle w:val="FootnoteReference"/>
                <w:sz w:val="16"/>
                <w:vertAlign w:val="baseline"/>
              </w:rPr>
              <w:tab/>
              <w:t>CU55 × 600,000 = CU33,000,000; CU33,000,000 ÷ CU60 = 550,000; 600,000 – 550,000 = 50,000 shares OR [(CU60 – CU55) ÷ CU60] × 600,000 shares = 50,000 shares</w:t>
            </w:r>
          </w:p>
          <w:p w:rsidR="00D724FA" w:rsidRDefault="00D724FA" w:rsidP="00A858D8">
            <w:pPr>
              <w:pStyle w:val="IASBTableTNR"/>
              <w:ind w:left="567" w:hanging="567"/>
            </w:pPr>
            <w:r>
              <w:rPr>
                <w:rStyle w:val="FootnoteReference"/>
                <w:sz w:val="16"/>
                <w:vertAlign w:val="baseline"/>
              </w:rPr>
              <w:t>(c)</w:t>
            </w:r>
            <w:r>
              <w:rPr>
                <w:rStyle w:val="FootnoteReference"/>
                <w:sz w:val="16"/>
                <w:vertAlign w:val="baseline"/>
              </w:rPr>
              <w:tab/>
              <w:t xml:space="preserve">(800,000 shares × </w:t>
            </w:r>
            <w:r>
              <w:rPr>
                <w:rStyle w:val="FootnoteReference"/>
                <w:sz w:val="16"/>
              </w:rPr>
              <w:t>2</w:t>
            </w:r>
            <w:r>
              <w:rPr>
                <w:rStyle w:val="FootnoteReference"/>
                <w:sz w:val="16"/>
                <w:vertAlign w:val="baseline"/>
              </w:rPr>
              <w:t>/</w:t>
            </w:r>
            <w:r>
              <w:rPr>
                <w:rStyle w:val="FootnoteReference"/>
                <w:sz w:val="16"/>
                <w:vertAlign w:val="subscript"/>
              </w:rPr>
              <w:t>3</w:t>
            </w:r>
            <w:r>
              <w:rPr>
                <w:rStyle w:val="FootnoteReference"/>
                <w:sz w:val="16"/>
                <w:vertAlign w:val="baseline"/>
              </w:rPr>
              <w:t xml:space="preserve">) + (200,000 shares × </w:t>
            </w:r>
            <w:r>
              <w:rPr>
                <w:rStyle w:val="FootnoteReference"/>
                <w:sz w:val="16"/>
              </w:rPr>
              <w:t>1</w:t>
            </w:r>
            <w:r>
              <w:rPr>
                <w:rStyle w:val="FootnoteReference"/>
                <w:sz w:val="16"/>
                <w:vertAlign w:val="baseline"/>
              </w:rPr>
              <w:t>/</w:t>
            </w:r>
            <w:r>
              <w:rPr>
                <w:rStyle w:val="FootnoteReference"/>
                <w:sz w:val="16"/>
                <w:vertAlign w:val="subscript"/>
              </w:rPr>
              <w:t>3</w:t>
            </w:r>
            <w:r>
              <w:rPr>
                <w:rStyle w:val="FootnoteReference"/>
                <w:sz w:val="16"/>
                <w:vertAlign w:val="baseline"/>
              </w:rPr>
              <w:t>)</w:t>
            </w:r>
          </w:p>
        </w:tc>
      </w:tr>
    </w:tbl>
    <w:p w:rsidR="00D724FA" w:rsidRDefault="00D724FA" w:rsidP="00D724FA">
      <w:pPr>
        <w:pStyle w:val="IASBNormalnpara"/>
      </w:pPr>
    </w:p>
    <w:tbl>
      <w:tblPr>
        <w:tblW w:w="0" w:type="auto"/>
        <w:tblLayout w:type="fixed"/>
        <w:tblLook w:val="0000" w:firstRow="0" w:lastRow="0" w:firstColumn="0" w:lastColumn="0" w:noHBand="0" w:noVBand="0"/>
        <w:tblCaption w:val="AASB 133 Table 30"/>
      </w:tblPr>
      <w:tblGrid>
        <w:gridCol w:w="563"/>
        <w:gridCol w:w="3185"/>
        <w:gridCol w:w="1365"/>
        <w:gridCol w:w="455"/>
        <w:gridCol w:w="1365"/>
        <w:gridCol w:w="273"/>
        <w:gridCol w:w="195"/>
        <w:gridCol w:w="41"/>
        <w:gridCol w:w="1786"/>
      </w:tblGrid>
      <w:tr w:rsidR="00D724FA" w:rsidTr="00A858D8">
        <w:trPr>
          <w:cantSplit/>
        </w:trPr>
        <w:tc>
          <w:tcPr>
            <w:tcW w:w="9208" w:type="dxa"/>
            <w:gridSpan w:val="9"/>
            <w:tcBorders>
              <w:bottom w:val="single" w:sz="4" w:space="0" w:color="auto"/>
            </w:tcBorders>
            <w:vAlign w:val="bottom"/>
          </w:tcPr>
          <w:p w:rsidR="00D724FA" w:rsidRDefault="00D724FA" w:rsidP="00A858D8">
            <w:pPr>
              <w:pStyle w:val="IASBTableArial"/>
            </w:pPr>
            <w:r>
              <w:rPr>
                <w:b/>
              </w:rPr>
              <w:t>Third Quarter 20X1</w:t>
            </w:r>
          </w:p>
        </w:tc>
      </w:tr>
      <w:tr w:rsidR="00D724FA" w:rsidTr="00A858D8">
        <w:trPr>
          <w:cantSplit/>
        </w:trPr>
        <w:tc>
          <w:tcPr>
            <w:tcW w:w="7388" w:type="dxa"/>
            <w:gridSpan w:val="7"/>
            <w:tcBorders>
              <w:top w:val="nil"/>
            </w:tcBorders>
            <w:vAlign w:val="bottom"/>
          </w:tcPr>
          <w:p w:rsidR="00D724FA" w:rsidRDefault="00D724FA" w:rsidP="00A858D8">
            <w:pPr>
              <w:pStyle w:val="IASBTableArial"/>
            </w:pPr>
            <w:r>
              <w:rPr>
                <w:i/>
              </w:rPr>
              <w:t>Basic EPS calculation</w:t>
            </w:r>
          </w:p>
        </w:tc>
        <w:tc>
          <w:tcPr>
            <w:tcW w:w="1820" w:type="dxa"/>
            <w:gridSpan w:val="2"/>
            <w:tcBorders>
              <w:top w:val="nil"/>
              <w:left w:val="nil"/>
            </w:tcBorders>
            <w:vAlign w:val="bottom"/>
          </w:tcPr>
          <w:p w:rsidR="00D724FA" w:rsidRDefault="00D724FA" w:rsidP="00A858D8">
            <w:pPr>
              <w:pStyle w:val="IASBTableArial"/>
              <w:jc w:val="right"/>
            </w:pPr>
            <w:r>
              <w:rPr>
                <w:u w:val="single"/>
              </w:rPr>
              <w:t>CU</w:t>
            </w:r>
          </w:p>
        </w:tc>
      </w:tr>
      <w:tr w:rsidR="00D724FA" w:rsidTr="00A858D8">
        <w:trPr>
          <w:cantSplit/>
        </w:trPr>
        <w:tc>
          <w:tcPr>
            <w:tcW w:w="7388" w:type="dxa"/>
            <w:gridSpan w:val="7"/>
            <w:tcBorders>
              <w:top w:val="nil"/>
            </w:tcBorders>
            <w:vAlign w:val="bottom"/>
          </w:tcPr>
          <w:p w:rsidR="00D724FA" w:rsidRDefault="00D724FA" w:rsidP="00A858D8">
            <w:pPr>
              <w:pStyle w:val="IASBTableArial"/>
            </w:pPr>
            <w:r>
              <w:t>Profit from continuing operations attributable to the parent entity</w:t>
            </w:r>
          </w:p>
        </w:tc>
        <w:tc>
          <w:tcPr>
            <w:tcW w:w="1820" w:type="dxa"/>
            <w:gridSpan w:val="2"/>
            <w:tcBorders>
              <w:top w:val="nil"/>
              <w:left w:val="nil"/>
            </w:tcBorders>
            <w:vAlign w:val="bottom"/>
          </w:tcPr>
          <w:p w:rsidR="00D724FA" w:rsidRDefault="00D724FA" w:rsidP="00A858D8">
            <w:pPr>
              <w:pStyle w:val="IASBTableArial"/>
              <w:jc w:val="right"/>
            </w:pPr>
            <w:r>
              <w:t>1,000,000</w:t>
            </w:r>
          </w:p>
        </w:tc>
      </w:tr>
      <w:tr w:rsidR="00D724FA" w:rsidTr="00A858D8">
        <w:trPr>
          <w:cantSplit/>
        </w:trPr>
        <w:tc>
          <w:tcPr>
            <w:tcW w:w="7388" w:type="dxa"/>
            <w:gridSpan w:val="7"/>
            <w:tcBorders>
              <w:top w:val="nil"/>
            </w:tcBorders>
            <w:vAlign w:val="bottom"/>
          </w:tcPr>
          <w:p w:rsidR="00D724FA" w:rsidRDefault="00D724FA" w:rsidP="00A858D8">
            <w:pPr>
              <w:pStyle w:val="IASBTableArial"/>
            </w:pPr>
            <w:r>
              <w:t>Less: preference share dividends</w:t>
            </w:r>
          </w:p>
        </w:tc>
        <w:tc>
          <w:tcPr>
            <w:tcW w:w="1820" w:type="dxa"/>
            <w:gridSpan w:val="2"/>
            <w:tcBorders>
              <w:top w:val="nil"/>
              <w:left w:val="nil"/>
              <w:bottom w:val="single" w:sz="4" w:space="0" w:color="auto"/>
            </w:tcBorders>
            <w:vAlign w:val="bottom"/>
          </w:tcPr>
          <w:p w:rsidR="00D724FA" w:rsidRDefault="00D724FA" w:rsidP="00A858D8">
            <w:pPr>
              <w:pStyle w:val="IASBTableArial"/>
              <w:jc w:val="right"/>
            </w:pPr>
            <w:r>
              <w:t>(10,000)</w:t>
            </w:r>
          </w:p>
        </w:tc>
      </w:tr>
      <w:tr w:rsidR="00D724FA" w:rsidTr="00A858D8">
        <w:trPr>
          <w:cantSplit/>
        </w:trPr>
        <w:tc>
          <w:tcPr>
            <w:tcW w:w="7388" w:type="dxa"/>
            <w:gridSpan w:val="7"/>
            <w:tcBorders>
              <w:top w:val="nil"/>
            </w:tcBorders>
            <w:vAlign w:val="bottom"/>
          </w:tcPr>
          <w:p w:rsidR="00D724FA" w:rsidRDefault="00D724FA" w:rsidP="00A858D8">
            <w:pPr>
              <w:pStyle w:val="IASBTableArial"/>
            </w:pPr>
            <w:r>
              <w:rPr>
                <w:b/>
              </w:rPr>
              <w:t>Profit from continuing operations attributable to ordinary equity holders of the parent entity</w:t>
            </w:r>
          </w:p>
        </w:tc>
        <w:tc>
          <w:tcPr>
            <w:tcW w:w="1820" w:type="dxa"/>
            <w:gridSpan w:val="2"/>
            <w:tcBorders>
              <w:top w:val="nil"/>
              <w:left w:val="nil"/>
            </w:tcBorders>
            <w:vAlign w:val="bottom"/>
          </w:tcPr>
          <w:p w:rsidR="00D724FA" w:rsidRDefault="00D724FA" w:rsidP="00A858D8">
            <w:pPr>
              <w:pStyle w:val="IASBTableArial"/>
              <w:jc w:val="right"/>
            </w:pPr>
            <w:r>
              <w:t>990,000</w:t>
            </w:r>
          </w:p>
        </w:tc>
      </w:tr>
      <w:tr w:rsidR="00D724FA" w:rsidTr="00A858D8">
        <w:trPr>
          <w:cantSplit/>
        </w:trPr>
        <w:tc>
          <w:tcPr>
            <w:tcW w:w="7388" w:type="dxa"/>
            <w:gridSpan w:val="7"/>
            <w:tcBorders>
              <w:top w:val="nil"/>
            </w:tcBorders>
            <w:vAlign w:val="bottom"/>
          </w:tcPr>
          <w:p w:rsidR="00D724FA" w:rsidRDefault="00D724FA" w:rsidP="00A858D8">
            <w:pPr>
              <w:pStyle w:val="IASBTableArial"/>
            </w:pPr>
            <w:r>
              <w:t>Loss from discontinued operations attributable to the parent entity</w:t>
            </w:r>
          </w:p>
        </w:tc>
        <w:tc>
          <w:tcPr>
            <w:tcW w:w="1820" w:type="dxa"/>
            <w:gridSpan w:val="2"/>
            <w:tcBorders>
              <w:top w:val="nil"/>
              <w:left w:val="nil"/>
              <w:bottom w:val="single" w:sz="4" w:space="0" w:color="auto"/>
            </w:tcBorders>
            <w:vAlign w:val="bottom"/>
          </w:tcPr>
          <w:p w:rsidR="00D724FA" w:rsidRDefault="00D724FA" w:rsidP="00A858D8">
            <w:pPr>
              <w:pStyle w:val="IASBTableArial"/>
              <w:jc w:val="right"/>
            </w:pPr>
            <w:r>
              <w:t>(2,000,000)</w:t>
            </w:r>
          </w:p>
        </w:tc>
      </w:tr>
      <w:tr w:rsidR="00D724FA" w:rsidTr="00A858D8">
        <w:trPr>
          <w:cantSplit/>
        </w:trPr>
        <w:tc>
          <w:tcPr>
            <w:tcW w:w="7388" w:type="dxa"/>
            <w:gridSpan w:val="7"/>
            <w:tcBorders>
              <w:top w:val="nil"/>
            </w:tcBorders>
            <w:vAlign w:val="bottom"/>
          </w:tcPr>
          <w:p w:rsidR="00D724FA" w:rsidRDefault="00D724FA" w:rsidP="00A858D8">
            <w:pPr>
              <w:pStyle w:val="IASBTableArial"/>
            </w:pPr>
            <w:r>
              <w:t>Loss attributable to ordinary equity holders of the parent entity</w:t>
            </w:r>
          </w:p>
        </w:tc>
        <w:tc>
          <w:tcPr>
            <w:tcW w:w="1820" w:type="dxa"/>
            <w:gridSpan w:val="2"/>
            <w:tcBorders>
              <w:top w:val="nil"/>
              <w:left w:val="nil"/>
              <w:bottom w:val="double" w:sz="4" w:space="0" w:color="auto"/>
            </w:tcBorders>
            <w:vAlign w:val="bottom"/>
          </w:tcPr>
          <w:p w:rsidR="00D724FA" w:rsidRDefault="00D724FA" w:rsidP="00A858D8">
            <w:pPr>
              <w:pStyle w:val="IASBTableArial"/>
              <w:jc w:val="right"/>
            </w:pPr>
            <w:r>
              <w:t>(1,010,000)</w:t>
            </w:r>
          </w:p>
        </w:tc>
      </w:tr>
      <w:tr w:rsidR="00D724FA" w:rsidTr="00A858D8">
        <w:trPr>
          <w:cantSplit/>
        </w:trPr>
        <w:tc>
          <w:tcPr>
            <w:tcW w:w="9208" w:type="dxa"/>
            <w:gridSpan w:val="9"/>
            <w:tcBorders>
              <w:top w:val="nil"/>
            </w:tcBorders>
            <w:vAlign w:val="bottom"/>
          </w:tcPr>
          <w:p w:rsidR="00D724FA" w:rsidRDefault="00D724FA" w:rsidP="00A858D8">
            <w:pPr>
              <w:pStyle w:val="IASBTableArial"/>
            </w:pPr>
          </w:p>
        </w:tc>
      </w:tr>
      <w:tr w:rsidR="00D724FA" w:rsidTr="00A858D8">
        <w:trPr>
          <w:cantSplit/>
        </w:trPr>
        <w:tc>
          <w:tcPr>
            <w:tcW w:w="3748" w:type="dxa"/>
            <w:gridSpan w:val="2"/>
            <w:tcBorders>
              <w:top w:val="nil"/>
            </w:tcBorders>
          </w:tcPr>
          <w:p w:rsidR="00D724FA" w:rsidRDefault="00D724FA" w:rsidP="00A858D8">
            <w:pPr>
              <w:pStyle w:val="IASBTableArial"/>
            </w:pPr>
            <w:r>
              <w:rPr>
                <w:i/>
              </w:rPr>
              <w:t>Dates</w:t>
            </w:r>
          </w:p>
        </w:tc>
        <w:tc>
          <w:tcPr>
            <w:tcW w:w="1365" w:type="dxa"/>
            <w:tcBorders>
              <w:top w:val="nil"/>
              <w:left w:val="nil"/>
            </w:tcBorders>
          </w:tcPr>
          <w:p w:rsidR="00D724FA" w:rsidRDefault="00D724FA" w:rsidP="00A858D8">
            <w:pPr>
              <w:pStyle w:val="IASBTableArial"/>
              <w:jc w:val="right"/>
            </w:pPr>
            <w:r>
              <w:rPr>
                <w:i/>
              </w:rPr>
              <w:t>Shares outstanding</w:t>
            </w:r>
          </w:p>
        </w:tc>
        <w:tc>
          <w:tcPr>
            <w:tcW w:w="455" w:type="dxa"/>
            <w:tcBorders>
              <w:top w:val="nil"/>
              <w:left w:val="nil"/>
            </w:tcBorders>
            <w:vAlign w:val="bottom"/>
          </w:tcPr>
          <w:p w:rsidR="00D724FA" w:rsidRDefault="00D724FA" w:rsidP="00A858D8">
            <w:pPr>
              <w:pStyle w:val="IASBTableArial"/>
              <w:jc w:val="right"/>
            </w:pPr>
          </w:p>
        </w:tc>
        <w:tc>
          <w:tcPr>
            <w:tcW w:w="1365" w:type="dxa"/>
            <w:tcBorders>
              <w:top w:val="nil"/>
              <w:left w:val="nil"/>
            </w:tcBorders>
          </w:tcPr>
          <w:p w:rsidR="00D724FA" w:rsidRDefault="00D724FA" w:rsidP="00A858D8">
            <w:pPr>
              <w:pStyle w:val="IASBTableArial"/>
              <w:jc w:val="right"/>
            </w:pPr>
            <w:r>
              <w:rPr>
                <w:i/>
              </w:rPr>
              <w:t>Fraction of period</w:t>
            </w:r>
          </w:p>
        </w:tc>
        <w:tc>
          <w:tcPr>
            <w:tcW w:w="273" w:type="dxa"/>
            <w:tcBorders>
              <w:top w:val="nil"/>
              <w:left w:val="nil"/>
            </w:tcBorders>
          </w:tcPr>
          <w:p w:rsidR="00D724FA" w:rsidRDefault="00D724FA" w:rsidP="00A858D8">
            <w:pPr>
              <w:pStyle w:val="IASBTableArial"/>
            </w:pPr>
          </w:p>
        </w:tc>
        <w:tc>
          <w:tcPr>
            <w:tcW w:w="216" w:type="dxa"/>
            <w:gridSpan w:val="2"/>
            <w:tcBorders>
              <w:top w:val="nil"/>
              <w:left w:val="nil"/>
            </w:tcBorders>
            <w:vAlign w:val="bottom"/>
          </w:tcPr>
          <w:p w:rsidR="00D724FA" w:rsidRDefault="00D724FA" w:rsidP="00A858D8">
            <w:pPr>
              <w:pStyle w:val="IASBTableArial"/>
              <w:jc w:val="right"/>
            </w:pPr>
          </w:p>
        </w:tc>
        <w:tc>
          <w:tcPr>
            <w:tcW w:w="1786" w:type="dxa"/>
            <w:tcBorders>
              <w:top w:val="nil"/>
              <w:left w:val="nil"/>
            </w:tcBorders>
          </w:tcPr>
          <w:p w:rsidR="00D724FA" w:rsidRDefault="00D724FA" w:rsidP="00A858D8">
            <w:pPr>
              <w:pStyle w:val="IASBTableArial"/>
              <w:jc w:val="right"/>
            </w:pPr>
            <w:r>
              <w:rPr>
                <w:i/>
              </w:rPr>
              <w:t>Weighted-average shares</w:t>
            </w:r>
          </w:p>
        </w:tc>
      </w:tr>
      <w:tr w:rsidR="00D724FA" w:rsidTr="00A858D8">
        <w:trPr>
          <w:cantSplit/>
        </w:trPr>
        <w:tc>
          <w:tcPr>
            <w:tcW w:w="3748" w:type="dxa"/>
            <w:gridSpan w:val="2"/>
            <w:tcBorders>
              <w:top w:val="nil"/>
            </w:tcBorders>
          </w:tcPr>
          <w:p w:rsidR="00D724FA" w:rsidRDefault="00D724FA" w:rsidP="00A858D8">
            <w:pPr>
              <w:pStyle w:val="IASBTableArial"/>
            </w:pPr>
            <w:r>
              <w:t>1 July–31 August</w:t>
            </w:r>
          </w:p>
        </w:tc>
        <w:tc>
          <w:tcPr>
            <w:tcW w:w="1365" w:type="dxa"/>
            <w:tcBorders>
              <w:top w:val="nil"/>
              <w:left w:val="nil"/>
            </w:tcBorders>
            <w:vAlign w:val="bottom"/>
          </w:tcPr>
          <w:p w:rsidR="00D724FA" w:rsidRDefault="00D724FA" w:rsidP="00A858D8">
            <w:pPr>
              <w:pStyle w:val="IASBTableArial"/>
              <w:jc w:val="right"/>
            </w:pPr>
            <w:r>
              <w:t>6,280,000</w:t>
            </w:r>
          </w:p>
        </w:tc>
        <w:tc>
          <w:tcPr>
            <w:tcW w:w="455" w:type="dxa"/>
            <w:tcBorders>
              <w:top w:val="nil"/>
              <w:left w:val="nil"/>
            </w:tcBorders>
            <w:vAlign w:val="bottom"/>
          </w:tcPr>
          <w:p w:rsidR="00D724FA" w:rsidRDefault="00D724FA" w:rsidP="00A858D8">
            <w:pPr>
              <w:pStyle w:val="IASBTableArial"/>
              <w:jc w:val="right"/>
            </w:pPr>
          </w:p>
        </w:tc>
        <w:tc>
          <w:tcPr>
            <w:tcW w:w="1365" w:type="dxa"/>
            <w:tcBorders>
              <w:top w:val="nil"/>
              <w:left w:val="nil"/>
            </w:tcBorders>
            <w:vAlign w:val="bottom"/>
          </w:tcPr>
          <w:p w:rsidR="00D724FA" w:rsidRDefault="00D724FA" w:rsidP="00A858D8">
            <w:pPr>
              <w:pStyle w:val="IASBTableArial"/>
              <w:jc w:val="right"/>
            </w:pPr>
            <w:r>
              <w:rPr>
                <w:vertAlign w:val="superscript"/>
              </w:rPr>
              <w:t>2</w:t>
            </w:r>
            <w:r>
              <w:t>/</w:t>
            </w:r>
            <w:r>
              <w:rPr>
                <w:vertAlign w:val="subscript"/>
              </w:rPr>
              <w:t>3</w:t>
            </w:r>
          </w:p>
        </w:tc>
        <w:tc>
          <w:tcPr>
            <w:tcW w:w="273" w:type="dxa"/>
            <w:tcBorders>
              <w:top w:val="nil"/>
              <w:left w:val="nil"/>
            </w:tcBorders>
            <w:vAlign w:val="bottom"/>
          </w:tcPr>
          <w:p w:rsidR="00D724FA" w:rsidRDefault="00D724FA" w:rsidP="00A858D8">
            <w:pPr>
              <w:pStyle w:val="IASBTableArial"/>
            </w:pPr>
          </w:p>
        </w:tc>
        <w:tc>
          <w:tcPr>
            <w:tcW w:w="216" w:type="dxa"/>
            <w:gridSpan w:val="2"/>
            <w:tcBorders>
              <w:top w:val="nil"/>
              <w:left w:val="nil"/>
            </w:tcBorders>
            <w:vAlign w:val="bottom"/>
          </w:tcPr>
          <w:p w:rsidR="00D724FA" w:rsidRDefault="00D724FA" w:rsidP="00A858D8">
            <w:pPr>
              <w:pStyle w:val="IASBTableArial"/>
              <w:jc w:val="right"/>
            </w:pPr>
          </w:p>
        </w:tc>
        <w:tc>
          <w:tcPr>
            <w:tcW w:w="1786" w:type="dxa"/>
            <w:tcBorders>
              <w:top w:val="nil"/>
              <w:left w:val="nil"/>
            </w:tcBorders>
            <w:vAlign w:val="bottom"/>
          </w:tcPr>
          <w:p w:rsidR="00D724FA" w:rsidRDefault="00D724FA" w:rsidP="00A858D8">
            <w:pPr>
              <w:pStyle w:val="IASBTableArial"/>
              <w:jc w:val="right"/>
            </w:pPr>
            <w:r>
              <w:t>4,186,666</w:t>
            </w:r>
          </w:p>
        </w:tc>
      </w:tr>
      <w:tr w:rsidR="00D724FA" w:rsidTr="00A858D8">
        <w:trPr>
          <w:cantSplit/>
        </w:trPr>
        <w:tc>
          <w:tcPr>
            <w:tcW w:w="3748" w:type="dxa"/>
            <w:gridSpan w:val="2"/>
            <w:tcBorders>
              <w:top w:val="nil"/>
            </w:tcBorders>
          </w:tcPr>
          <w:p w:rsidR="00D724FA" w:rsidRDefault="00D724FA" w:rsidP="00A858D8">
            <w:pPr>
              <w:pStyle w:val="IASBTableArial"/>
            </w:pPr>
            <w:r>
              <w:rPr>
                <w:i/>
              </w:rPr>
              <w:t>Exercise of warrants on 1 September</w:t>
            </w:r>
          </w:p>
        </w:tc>
        <w:tc>
          <w:tcPr>
            <w:tcW w:w="1365" w:type="dxa"/>
            <w:tcBorders>
              <w:top w:val="nil"/>
              <w:left w:val="nil"/>
              <w:bottom w:val="single" w:sz="4" w:space="0" w:color="auto"/>
            </w:tcBorders>
            <w:vAlign w:val="bottom"/>
          </w:tcPr>
          <w:p w:rsidR="00D724FA" w:rsidRDefault="00D724FA" w:rsidP="00A858D8">
            <w:pPr>
              <w:pStyle w:val="IASBTableArial"/>
              <w:jc w:val="right"/>
            </w:pPr>
            <w:r>
              <w:t>600,000</w:t>
            </w:r>
          </w:p>
        </w:tc>
        <w:tc>
          <w:tcPr>
            <w:tcW w:w="455" w:type="dxa"/>
            <w:tcBorders>
              <w:top w:val="nil"/>
              <w:left w:val="nil"/>
            </w:tcBorders>
            <w:vAlign w:val="center"/>
          </w:tcPr>
          <w:p w:rsidR="00D724FA" w:rsidRDefault="00D724FA" w:rsidP="00A858D8">
            <w:pPr>
              <w:pStyle w:val="IASBTableArial"/>
            </w:pPr>
          </w:p>
        </w:tc>
        <w:tc>
          <w:tcPr>
            <w:tcW w:w="1365" w:type="dxa"/>
            <w:tcBorders>
              <w:top w:val="nil"/>
              <w:left w:val="nil"/>
            </w:tcBorders>
            <w:vAlign w:val="center"/>
          </w:tcPr>
          <w:p w:rsidR="00D724FA" w:rsidRDefault="00D724FA" w:rsidP="00A858D8">
            <w:pPr>
              <w:pStyle w:val="IASBTableArial"/>
            </w:pPr>
          </w:p>
        </w:tc>
        <w:tc>
          <w:tcPr>
            <w:tcW w:w="273" w:type="dxa"/>
            <w:tcBorders>
              <w:top w:val="nil"/>
              <w:left w:val="nil"/>
            </w:tcBorders>
            <w:vAlign w:val="bottom"/>
          </w:tcPr>
          <w:p w:rsidR="00D724FA" w:rsidRDefault="00D724FA" w:rsidP="00A858D8">
            <w:pPr>
              <w:pStyle w:val="IASBTableArial"/>
            </w:pPr>
          </w:p>
        </w:tc>
        <w:tc>
          <w:tcPr>
            <w:tcW w:w="216" w:type="dxa"/>
            <w:gridSpan w:val="2"/>
            <w:tcBorders>
              <w:top w:val="nil"/>
              <w:left w:val="nil"/>
            </w:tcBorders>
            <w:vAlign w:val="bottom"/>
          </w:tcPr>
          <w:p w:rsidR="00D724FA" w:rsidRDefault="00D724FA" w:rsidP="00A858D8">
            <w:pPr>
              <w:pStyle w:val="IASBTableArial"/>
            </w:pPr>
          </w:p>
        </w:tc>
        <w:tc>
          <w:tcPr>
            <w:tcW w:w="1786" w:type="dxa"/>
            <w:tcBorders>
              <w:top w:val="nil"/>
              <w:left w:val="nil"/>
            </w:tcBorders>
            <w:vAlign w:val="center"/>
          </w:tcPr>
          <w:p w:rsidR="00D724FA" w:rsidRDefault="00D724FA" w:rsidP="00A858D8">
            <w:pPr>
              <w:pStyle w:val="IASBTableArial"/>
            </w:pPr>
          </w:p>
        </w:tc>
      </w:tr>
      <w:tr w:rsidR="00D724FA" w:rsidTr="00A858D8">
        <w:trPr>
          <w:cantSplit/>
        </w:trPr>
        <w:tc>
          <w:tcPr>
            <w:tcW w:w="3748" w:type="dxa"/>
            <w:gridSpan w:val="2"/>
            <w:tcBorders>
              <w:top w:val="nil"/>
            </w:tcBorders>
          </w:tcPr>
          <w:p w:rsidR="00D724FA" w:rsidRDefault="00D724FA" w:rsidP="00A858D8">
            <w:pPr>
              <w:pStyle w:val="IASBTableArial"/>
            </w:pPr>
            <w:r>
              <w:t>1 September–30 September</w:t>
            </w:r>
          </w:p>
        </w:tc>
        <w:tc>
          <w:tcPr>
            <w:tcW w:w="1365" w:type="dxa"/>
            <w:tcBorders>
              <w:top w:val="nil"/>
              <w:left w:val="nil"/>
            </w:tcBorders>
            <w:vAlign w:val="bottom"/>
          </w:tcPr>
          <w:p w:rsidR="00D724FA" w:rsidRDefault="00D724FA" w:rsidP="00A858D8">
            <w:pPr>
              <w:pStyle w:val="IASBTableArial"/>
              <w:jc w:val="right"/>
            </w:pPr>
            <w:r>
              <w:t>6,880,000</w:t>
            </w:r>
          </w:p>
        </w:tc>
        <w:tc>
          <w:tcPr>
            <w:tcW w:w="455" w:type="dxa"/>
            <w:tcBorders>
              <w:top w:val="nil"/>
              <w:left w:val="nil"/>
            </w:tcBorders>
            <w:vAlign w:val="bottom"/>
          </w:tcPr>
          <w:p w:rsidR="00D724FA" w:rsidRDefault="00D724FA" w:rsidP="00A858D8">
            <w:pPr>
              <w:pStyle w:val="IASBTableArial"/>
              <w:jc w:val="right"/>
            </w:pPr>
          </w:p>
        </w:tc>
        <w:tc>
          <w:tcPr>
            <w:tcW w:w="1365" w:type="dxa"/>
            <w:tcBorders>
              <w:top w:val="nil"/>
              <w:left w:val="nil"/>
            </w:tcBorders>
            <w:vAlign w:val="bottom"/>
          </w:tcPr>
          <w:p w:rsidR="00D724FA" w:rsidRDefault="00D724FA" w:rsidP="00A858D8">
            <w:pPr>
              <w:pStyle w:val="IASBTableArial"/>
              <w:jc w:val="right"/>
            </w:pPr>
            <w:r>
              <w:rPr>
                <w:vertAlign w:val="superscript"/>
              </w:rPr>
              <w:t>1</w:t>
            </w:r>
            <w:r>
              <w:t>/</w:t>
            </w:r>
            <w:r>
              <w:rPr>
                <w:vertAlign w:val="subscript"/>
              </w:rPr>
              <w:t>3</w:t>
            </w:r>
          </w:p>
        </w:tc>
        <w:tc>
          <w:tcPr>
            <w:tcW w:w="273" w:type="dxa"/>
            <w:tcBorders>
              <w:top w:val="nil"/>
              <w:left w:val="nil"/>
            </w:tcBorders>
            <w:vAlign w:val="bottom"/>
          </w:tcPr>
          <w:p w:rsidR="00D724FA" w:rsidRDefault="00D724FA" w:rsidP="00A858D8">
            <w:pPr>
              <w:pStyle w:val="IASBTableArial"/>
            </w:pPr>
          </w:p>
        </w:tc>
        <w:tc>
          <w:tcPr>
            <w:tcW w:w="216" w:type="dxa"/>
            <w:gridSpan w:val="2"/>
            <w:tcBorders>
              <w:top w:val="nil"/>
              <w:left w:val="nil"/>
            </w:tcBorders>
            <w:vAlign w:val="bottom"/>
          </w:tcPr>
          <w:p w:rsidR="00D724FA" w:rsidRDefault="00D724FA" w:rsidP="00A858D8">
            <w:pPr>
              <w:pStyle w:val="IASBTableArial"/>
              <w:jc w:val="right"/>
            </w:pPr>
          </w:p>
        </w:tc>
        <w:tc>
          <w:tcPr>
            <w:tcW w:w="1786" w:type="dxa"/>
            <w:tcBorders>
              <w:top w:val="nil"/>
              <w:left w:val="nil"/>
              <w:bottom w:val="single" w:sz="4" w:space="0" w:color="auto"/>
            </w:tcBorders>
            <w:vAlign w:val="bottom"/>
          </w:tcPr>
          <w:p w:rsidR="00D724FA" w:rsidRDefault="00D724FA" w:rsidP="00A858D8">
            <w:pPr>
              <w:pStyle w:val="IASBTableArial"/>
              <w:jc w:val="right"/>
            </w:pPr>
            <w:r>
              <w:t>2,293,333</w:t>
            </w:r>
          </w:p>
        </w:tc>
      </w:tr>
      <w:tr w:rsidR="00D724FA" w:rsidTr="00A858D8">
        <w:trPr>
          <w:cantSplit/>
        </w:trPr>
        <w:tc>
          <w:tcPr>
            <w:tcW w:w="5113" w:type="dxa"/>
            <w:gridSpan w:val="3"/>
            <w:tcBorders>
              <w:top w:val="nil"/>
            </w:tcBorders>
            <w:vAlign w:val="bottom"/>
          </w:tcPr>
          <w:p w:rsidR="00D724FA" w:rsidRDefault="00D724FA" w:rsidP="00A858D8">
            <w:pPr>
              <w:pStyle w:val="IASBTableArial"/>
            </w:pPr>
            <w:r>
              <w:rPr>
                <w:b/>
              </w:rPr>
              <w:t>Weighted-average shares</w:t>
            </w:r>
          </w:p>
        </w:tc>
        <w:tc>
          <w:tcPr>
            <w:tcW w:w="455" w:type="dxa"/>
            <w:tcBorders>
              <w:top w:val="nil"/>
              <w:left w:val="nil"/>
            </w:tcBorders>
            <w:vAlign w:val="bottom"/>
          </w:tcPr>
          <w:p w:rsidR="00D724FA" w:rsidRDefault="00D724FA" w:rsidP="00A858D8">
            <w:pPr>
              <w:pStyle w:val="IASBTableArial"/>
            </w:pPr>
          </w:p>
        </w:tc>
        <w:tc>
          <w:tcPr>
            <w:tcW w:w="1365" w:type="dxa"/>
            <w:tcBorders>
              <w:top w:val="nil"/>
              <w:left w:val="nil"/>
            </w:tcBorders>
            <w:vAlign w:val="bottom"/>
          </w:tcPr>
          <w:p w:rsidR="00D724FA" w:rsidRDefault="00D724FA" w:rsidP="00A858D8">
            <w:pPr>
              <w:pStyle w:val="IASBTableArial"/>
            </w:pPr>
          </w:p>
        </w:tc>
        <w:tc>
          <w:tcPr>
            <w:tcW w:w="273" w:type="dxa"/>
            <w:tcBorders>
              <w:top w:val="nil"/>
              <w:left w:val="nil"/>
            </w:tcBorders>
            <w:vAlign w:val="bottom"/>
          </w:tcPr>
          <w:p w:rsidR="00D724FA" w:rsidRDefault="00D724FA" w:rsidP="00A858D8">
            <w:pPr>
              <w:pStyle w:val="IASBTableArial"/>
            </w:pPr>
          </w:p>
        </w:tc>
        <w:tc>
          <w:tcPr>
            <w:tcW w:w="216" w:type="dxa"/>
            <w:gridSpan w:val="2"/>
            <w:tcBorders>
              <w:top w:val="nil"/>
              <w:left w:val="nil"/>
            </w:tcBorders>
            <w:vAlign w:val="bottom"/>
          </w:tcPr>
          <w:p w:rsidR="00D724FA" w:rsidRDefault="00D724FA" w:rsidP="00A858D8">
            <w:pPr>
              <w:pStyle w:val="IASBTableArial"/>
              <w:jc w:val="right"/>
            </w:pPr>
          </w:p>
        </w:tc>
        <w:tc>
          <w:tcPr>
            <w:tcW w:w="1786" w:type="dxa"/>
            <w:tcBorders>
              <w:top w:val="nil"/>
              <w:left w:val="nil"/>
              <w:bottom w:val="double" w:sz="4" w:space="0" w:color="auto"/>
            </w:tcBorders>
            <w:vAlign w:val="bottom"/>
          </w:tcPr>
          <w:p w:rsidR="00D724FA" w:rsidRDefault="00D724FA" w:rsidP="00A858D8">
            <w:pPr>
              <w:pStyle w:val="IASBTableArial"/>
              <w:jc w:val="right"/>
            </w:pPr>
            <w:r>
              <w:t>6,480,000</w:t>
            </w:r>
          </w:p>
        </w:tc>
      </w:tr>
      <w:tr w:rsidR="00D724FA" w:rsidTr="00A858D8">
        <w:trPr>
          <w:cantSplit/>
        </w:trPr>
        <w:tc>
          <w:tcPr>
            <w:tcW w:w="6933" w:type="dxa"/>
            <w:gridSpan w:val="5"/>
            <w:tcBorders>
              <w:top w:val="nil"/>
            </w:tcBorders>
            <w:vAlign w:val="bottom"/>
          </w:tcPr>
          <w:p w:rsidR="00D724FA" w:rsidRDefault="00D724FA" w:rsidP="00A858D8">
            <w:pPr>
              <w:pStyle w:val="IASBTableArial"/>
            </w:pPr>
            <w:r>
              <w:rPr>
                <w:b/>
                <w:i/>
              </w:rPr>
              <w:t>Basic EPS</w:t>
            </w:r>
          </w:p>
        </w:tc>
        <w:tc>
          <w:tcPr>
            <w:tcW w:w="273" w:type="dxa"/>
            <w:tcBorders>
              <w:top w:val="nil"/>
              <w:left w:val="nil"/>
            </w:tcBorders>
            <w:vAlign w:val="bottom"/>
          </w:tcPr>
          <w:p w:rsidR="00D724FA" w:rsidRDefault="00D724FA" w:rsidP="00A858D8">
            <w:pPr>
              <w:pStyle w:val="IASBTableArial"/>
            </w:pPr>
          </w:p>
        </w:tc>
        <w:tc>
          <w:tcPr>
            <w:tcW w:w="216" w:type="dxa"/>
            <w:gridSpan w:val="2"/>
            <w:tcBorders>
              <w:top w:val="nil"/>
              <w:left w:val="nil"/>
            </w:tcBorders>
            <w:vAlign w:val="bottom"/>
          </w:tcPr>
          <w:p w:rsidR="00D724FA" w:rsidRDefault="00D724FA" w:rsidP="00A858D8">
            <w:pPr>
              <w:pStyle w:val="IASBTableArial"/>
            </w:pPr>
          </w:p>
        </w:tc>
        <w:tc>
          <w:tcPr>
            <w:tcW w:w="1786" w:type="dxa"/>
            <w:tcBorders>
              <w:top w:val="nil"/>
              <w:left w:val="nil"/>
            </w:tcBorders>
            <w:vAlign w:val="bottom"/>
          </w:tcPr>
          <w:p w:rsidR="00D724FA" w:rsidRDefault="00D724FA" w:rsidP="00A858D8">
            <w:pPr>
              <w:pStyle w:val="IASBTableArial"/>
            </w:pPr>
          </w:p>
        </w:tc>
      </w:tr>
      <w:tr w:rsidR="00D724FA" w:rsidTr="00A858D8">
        <w:trPr>
          <w:cantSplit/>
        </w:trPr>
        <w:tc>
          <w:tcPr>
            <w:tcW w:w="5568" w:type="dxa"/>
            <w:gridSpan w:val="4"/>
            <w:tcBorders>
              <w:top w:val="nil"/>
            </w:tcBorders>
            <w:vAlign w:val="bottom"/>
          </w:tcPr>
          <w:p w:rsidR="00D724FA" w:rsidRDefault="00D724FA" w:rsidP="00A858D8">
            <w:pPr>
              <w:pStyle w:val="IASBTableArial"/>
            </w:pPr>
            <w:r>
              <w:t>Profit from continuing operations</w:t>
            </w:r>
          </w:p>
        </w:tc>
        <w:tc>
          <w:tcPr>
            <w:tcW w:w="1365" w:type="dxa"/>
            <w:tcBorders>
              <w:top w:val="nil"/>
              <w:left w:val="nil"/>
            </w:tcBorders>
            <w:vAlign w:val="bottom"/>
          </w:tcPr>
          <w:p w:rsidR="00D724FA" w:rsidRDefault="00D724FA" w:rsidP="00A858D8">
            <w:pPr>
              <w:pStyle w:val="IASBTableArial"/>
            </w:pPr>
          </w:p>
        </w:tc>
        <w:tc>
          <w:tcPr>
            <w:tcW w:w="273" w:type="dxa"/>
            <w:tcBorders>
              <w:top w:val="nil"/>
              <w:left w:val="nil"/>
            </w:tcBorders>
            <w:vAlign w:val="bottom"/>
          </w:tcPr>
          <w:p w:rsidR="00D724FA" w:rsidRDefault="00D724FA" w:rsidP="00A858D8">
            <w:pPr>
              <w:pStyle w:val="IASBTableArial"/>
            </w:pPr>
          </w:p>
        </w:tc>
        <w:tc>
          <w:tcPr>
            <w:tcW w:w="216" w:type="dxa"/>
            <w:gridSpan w:val="2"/>
            <w:tcBorders>
              <w:top w:val="nil"/>
              <w:left w:val="nil"/>
            </w:tcBorders>
            <w:vAlign w:val="bottom"/>
          </w:tcPr>
          <w:p w:rsidR="00D724FA" w:rsidRDefault="00D724FA" w:rsidP="00A858D8">
            <w:pPr>
              <w:pStyle w:val="IASBTableArial"/>
              <w:jc w:val="right"/>
            </w:pPr>
          </w:p>
        </w:tc>
        <w:tc>
          <w:tcPr>
            <w:tcW w:w="1786" w:type="dxa"/>
            <w:tcBorders>
              <w:top w:val="nil"/>
              <w:left w:val="nil"/>
            </w:tcBorders>
            <w:vAlign w:val="bottom"/>
          </w:tcPr>
          <w:p w:rsidR="00D724FA" w:rsidRDefault="00D724FA" w:rsidP="00A858D8">
            <w:pPr>
              <w:pStyle w:val="IASBTableArial"/>
              <w:jc w:val="right"/>
            </w:pPr>
            <w:r>
              <w:rPr>
                <w:b/>
                <w:i/>
              </w:rPr>
              <w:t>CU0.15</w:t>
            </w:r>
          </w:p>
        </w:tc>
      </w:tr>
      <w:tr w:rsidR="00D724FA" w:rsidTr="00A858D8">
        <w:trPr>
          <w:cantSplit/>
        </w:trPr>
        <w:tc>
          <w:tcPr>
            <w:tcW w:w="5568" w:type="dxa"/>
            <w:gridSpan w:val="4"/>
            <w:tcBorders>
              <w:top w:val="nil"/>
            </w:tcBorders>
            <w:vAlign w:val="bottom"/>
          </w:tcPr>
          <w:p w:rsidR="00D724FA" w:rsidRDefault="00D724FA" w:rsidP="00A858D8">
            <w:pPr>
              <w:pStyle w:val="IASBTableArial"/>
            </w:pPr>
            <w:r>
              <w:t>Loss from discontinued operations</w:t>
            </w:r>
          </w:p>
        </w:tc>
        <w:tc>
          <w:tcPr>
            <w:tcW w:w="1365" w:type="dxa"/>
            <w:tcBorders>
              <w:top w:val="nil"/>
              <w:left w:val="nil"/>
            </w:tcBorders>
            <w:vAlign w:val="bottom"/>
          </w:tcPr>
          <w:p w:rsidR="00D724FA" w:rsidRDefault="00D724FA" w:rsidP="00A858D8">
            <w:pPr>
              <w:pStyle w:val="IASBTableArial"/>
            </w:pPr>
          </w:p>
        </w:tc>
        <w:tc>
          <w:tcPr>
            <w:tcW w:w="273" w:type="dxa"/>
            <w:tcBorders>
              <w:top w:val="nil"/>
              <w:left w:val="nil"/>
            </w:tcBorders>
            <w:vAlign w:val="bottom"/>
          </w:tcPr>
          <w:p w:rsidR="00D724FA" w:rsidRDefault="00D724FA" w:rsidP="00A858D8">
            <w:pPr>
              <w:pStyle w:val="IASBTableArial"/>
            </w:pPr>
          </w:p>
        </w:tc>
        <w:tc>
          <w:tcPr>
            <w:tcW w:w="216" w:type="dxa"/>
            <w:gridSpan w:val="2"/>
            <w:tcBorders>
              <w:top w:val="nil"/>
              <w:left w:val="nil"/>
            </w:tcBorders>
            <w:vAlign w:val="bottom"/>
          </w:tcPr>
          <w:p w:rsidR="00D724FA" w:rsidRDefault="00D724FA" w:rsidP="00A858D8">
            <w:pPr>
              <w:pStyle w:val="IASBTableArial"/>
              <w:jc w:val="right"/>
            </w:pPr>
          </w:p>
        </w:tc>
        <w:tc>
          <w:tcPr>
            <w:tcW w:w="1786" w:type="dxa"/>
            <w:tcBorders>
              <w:top w:val="nil"/>
              <w:left w:val="nil"/>
              <w:bottom w:val="single" w:sz="4" w:space="0" w:color="auto"/>
            </w:tcBorders>
            <w:vAlign w:val="bottom"/>
          </w:tcPr>
          <w:p w:rsidR="00D724FA" w:rsidRDefault="00D724FA" w:rsidP="00A858D8">
            <w:pPr>
              <w:pStyle w:val="IASBTableArial"/>
              <w:jc w:val="right"/>
            </w:pPr>
            <w:r>
              <w:rPr>
                <w:b/>
                <w:i/>
              </w:rPr>
              <w:t>(CU0.31)</w:t>
            </w:r>
          </w:p>
        </w:tc>
      </w:tr>
      <w:tr w:rsidR="00D724FA" w:rsidTr="00A858D8">
        <w:trPr>
          <w:cantSplit/>
        </w:trPr>
        <w:tc>
          <w:tcPr>
            <w:tcW w:w="5568" w:type="dxa"/>
            <w:gridSpan w:val="4"/>
            <w:tcBorders>
              <w:top w:val="nil"/>
            </w:tcBorders>
            <w:vAlign w:val="bottom"/>
          </w:tcPr>
          <w:p w:rsidR="00D724FA" w:rsidRDefault="00D724FA" w:rsidP="00A858D8">
            <w:pPr>
              <w:pStyle w:val="IASBTableArial"/>
            </w:pPr>
            <w:r>
              <w:t>Loss</w:t>
            </w:r>
          </w:p>
        </w:tc>
        <w:tc>
          <w:tcPr>
            <w:tcW w:w="1365" w:type="dxa"/>
            <w:tcBorders>
              <w:top w:val="nil"/>
              <w:left w:val="nil"/>
            </w:tcBorders>
            <w:vAlign w:val="bottom"/>
          </w:tcPr>
          <w:p w:rsidR="00D724FA" w:rsidRDefault="00D724FA" w:rsidP="00A858D8">
            <w:pPr>
              <w:pStyle w:val="IASBTableArial"/>
            </w:pPr>
          </w:p>
        </w:tc>
        <w:tc>
          <w:tcPr>
            <w:tcW w:w="273" w:type="dxa"/>
            <w:tcBorders>
              <w:top w:val="nil"/>
              <w:left w:val="nil"/>
            </w:tcBorders>
            <w:vAlign w:val="bottom"/>
          </w:tcPr>
          <w:p w:rsidR="00D724FA" w:rsidRDefault="00D724FA" w:rsidP="00A858D8">
            <w:pPr>
              <w:pStyle w:val="IASBTableArial"/>
            </w:pPr>
          </w:p>
        </w:tc>
        <w:tc>
          <w:tcPr>
            <w:tcW w:w="216" w:type="dxa"/>
            <w:gridSpan w:val="2"/>
            <w:tcBorders>
              <w:top w:val="nil"/>
              <w:left w:val="nil"/>
            </w:tcBorders>
            <w:vAlign w:val="bottom"/>
          </w:tcPr>
          <w:p w:rsidR="00D724FA" w:rsidRDefault="00D724FA" w:rsidP="00A858D8">
            <w:pPr>
              <w:pStyle w:val="IASBTableArial"/>
              <w:jc w:val="right"/>
            </w:pPr>
          </w:p>
        </w:tc>
        <w:tc>
          <w:tcPr>
            <w:tcW w:w="1786" w:type="dxa"/>
            <w:tcBorders>
              <w:top w:val="nil"/>
              <w:left w:val="nil"/>
              <w:bottom w:val="double" w:sz="4" w:space="0" w:color="auto"/>
            </w:tcBorders>
            <w:vAlign w:val="bottom"/>
          </w:tcPr>
          <w:p w:rsidR="00D724FA" w:rsidRDefault="00D724FA" w:rsidP="00A858D8">
            <w:pPr>
              <w:pStyle w:val="IASBTableArial"/>
              <w:jc w:val="right"/>
            </w:pPr>
            <w:r>
              <w:rPr>
                <w:b/>
                <w:i/>
              </w:rPr>
              <w:t>(CU0.16)</w:t>
            </w:r>
          </w:p>
        </w:tc>
      </w:tr>
      <w:tr w:rsidR="00D724FA" w:rsidTr="00A858D8">
        <w:trPr>
          <w:cantSplit/>
        </w:trPr>
        <w:tc>
          <w:tcPr>
            <w:tcW w:w="9208" w:type="dxa"/>
            <w:gridSpan w:val="9"/>
            <w:tcBorders>
              <w:top w:val="nil"/>
            </w:tcBorders>
            <w:vAlign w:val="bottom"/>
          </w:tcPr>
          <w:p w:rsidR="00D724FA" w:rsidRDefault="00D724FA" w:rsidP="00A858D8">
            <w:pPr>
              <w:pStyle w:val="IASBTableArial"/>
            </w:pPr>
          </w:p>
        </w:tc>
      </w:tr>
      <w:tr w:rsidR="00D724FA" w:rsidTr="00A858D8">
        <w:trPr>
          <w:cantSplit/>
        </w:trPr>
        <w:tc>
          <w:tcPr>
            <w:tcW w:w="6933" w:type="dxa"/>
            <w:gridSpan w:val="5"/>
            <w:tcBorders>
              <w:top w:val="nil"/>
            </w:tcBorders>
            <w:vAlign w:val="bottom"/>
          </w:tcPr>
          <w:p w:rsidR="00D724FA" w:rsidRDefault="00D724FA" w:rsidP="00E310D3">
            <w:pPr>
              <w:pStyle w:val="IASBTableArial"/>
              <w:pageBreakBefore/>
            </w:pPr>
            <w:r>
              <w:rPr>
                <w:i/>
              </w:rPr>
              <w:t>Diluted EPS calculation</w:t>
            </w:r>
          </w:p>
        </w:tc>
        <w:tc>
          <w:tcPr>
            <w:tcW w:w="273" w:type="dxa"/>
            <w:tcBorders>
              <w:top w:val="nil"/>
              <w:left w:val="nil"/>
            </w:tcBorders>
            <w:vAlign w:val="bottom"/>
          </w:tcPr>
          <w:p w:rsidR="00D724FA" w:rsidRDefault="00D724FA" w:rsidP="00A858D8">
            <w:pPr>
              <w:pStyle w:val="IASBTableArial"/>
            </w:pPr>
          </w:p>
        </w:tc>
        <w:tc>
          <w:tcPr>
            <w:tcW w:w="216" w:type="dxa"/>
            <w:gridSpan w:val="2"/>
            <w:tcBorders>
              <w:top w:val="nil"/>
              <w:left w:val="nil"/>
            </w:tcBorders>
            <w:vAlign w:val="bottom"/>
          </w:tcPr>
          <w:p w:rsidR="00D724FA" w:rsidRDefault="00D724FA" w:rsidP="00A858D8">
            <w:pPr>
              <w:pStyle w:val="IASBTableArial"/>
            </w:pPr>
          </w:p>
        </w:tc>
        <w:tc>
          <w:tcPr>
            <w:tcW w:w="1786" w:type="dxa"/>
            <w:tcBorders>
              <w:top w:val="nil"/>
              <w:left w:val="nil"/>
            </w:tcBorders>
            <w:vAlign w:val="bottom"/>
          </w:tcPr>
          <w:p w:rsidR="00D724FA" w:rsidRDefault="00D724FA" w:rsidP="00A858D8">
            <w:pPr>
              <w:pStyle w:val="IASBTableArial"/>
            </w:pPr>
          </w:p>
        </w:tc>
      </w:tr>
      <w:tr w:rsidR="00D724FA" w:rsidTr="00A858D8">
        <w:trPr>
          <w:cantSplit/>
        </w:trPr>
        <w:tc>
          <w:tcPr>
            <w:tcW w:w="5568" w:type="dxa"/>
            <w:gridSpan w:val="4"/>
            <w:tcBorders>
              <w:top w:val="nil"/>
            </w:tcBorders>
            <w:vAlign w:val="bottom"/>
          </w:tcPr>
          <w:p w:rsidR="00D724FA" w:rsidRDefault="00D724FA" w:rsidP="00A858D8">
            <w:pPr>
              <w:pStyle w:val="IASBTableArial"/>
            </w:pPr>
            <w:r>
              <w:rPr>
                <w:b/>
              </w:rPr>
              <w:t>Profit from continuing operations attributable to ordinary equity holders of the parent entity</w:t>
            </w:r>
          </w:p>
        </w:tc>
        <w:tc>
          <w:tcPr>
            <w:tcW w:w="1365" w:type="dxa"/>
            <w:tcBorders>
              <w:top w:val="nil"/>
              <w:left w:val="nil"/>
            </w:tcBorders>
            <w:vAlign w:val="bottom"/>
          </w:tcPr>
          <w:p w:rsidR="00D724FA" w:rsidRDefault="00D724FA" w:rsidP="00A858D8">
            <w:pPr>
              <w:pStyle w:val="IASBTableArial"/>
            </w:pPr>
          </w:p>
        </w:tc>
        <w:tc>
          <w:tcPr>
            <w:tcW w:w="273" w:type="dxa"/>
            <w:tcBorders>
              <w:top w:val="nil"/>
              <w:left w:val="nil"/>
            </w:tcBorders>
            <w:vAlign w:val="bottom"/>
          </w:tcPr>
          <w:p w:rsidR="00D724FA" w:rsidRDefault="00D724FA" w:rsidP="00A858D8">
            <w:pPr>
              <w:pStyle w:val="IASBTableArial"/>
            </w:pPr>
          </w:p>
        </w:tc>
        <w:tc>
          <w:tcPr>
            <w:tcW w:w="216" w:type="dxa"/>
            <w:gridSpan w:val="2"/>
            <w:tcBorders>
              <w:top w:val="nil"/>
              <w:left w:val="nil"/>
            </w:tcBorders>
            <w:vAlign w:val="bottom"/>
          </w:tcPr>
          <w:p w:rsidR="00D724FA" w:rsidRDefault="00D724FA" w:rsidP="00A858D8">
            <w:pPr>
              <w:pStyle w:val="IASBTableArial"/>
              <w:jc w:val="right"/>
            </w:pPr>
          </w:p>
        </w:tc>
        <w:tc>
          <w:tcPr>
            <w:tcW w:w="1786" w:type="dxa"/>
            <w:tcBorders>
              <w:top w:val="nil"/>
              <w:left w:val="nil"/>
            </w:tcBorders>
            <w:vAlign w:val="bottom"/>
          </w:tcPr>
          <w:p w:rsidR="00D724FA" w:rsidRDefault="00D724FA" w:rsidP="00A858D8">
            <w:pPr>
              <w:pStyle w:val="IASBTableArial"/>
              <w:jc w:val="right"/>
            </w:pPr>
            <w:r>
              <w:t>CU990,000</w:t>
            </w:r>
          </w:p>
        </w:tc>
      </w:tr>
      <w:tr w:rsidR="00D724FA" w:rsidTr="00A858D8">
        <w:trPr>
          <w:cantSplit/>
        </w:trPr>
        <w:tc>
          <w:tcPr>
            <w:tcW w:w="6933" w:type="dxa"/>
            <w:gridSpan w:val="5"/>
            <w:tcBorders>
              <w:top w:val="nil"/>
            </w:tcBorders>
            <w:vAlign w:val="bottom"/>
          </w:tcPr>
          <w:p w:rsidR="00D724FA" w:rsidRDefault="00D724FA" w:rsidP="00A858D8">
            <w:pPr>
              <w:pStyle w:val="IASBTableArial"/>
            </w:pPr>
            <w:r>
              <w:t>Plus: profit impact of assumed conversions</w:t>
            </w:r>
          </w:p>
        </w:tc>
        <w:tc>
          <w:tcPr>
            <w:tcW w:w="273" w:type="dxa"/>
            <w:tcBorders>
              <w:top w:val="nil"/>
              <w:left w:val="nil"/>
            </w:tcBorders>
            <w:vAlign w:val="bottom"/>
          </w:tcPr>
          <w:p w:rsidR="00D724FA" w:rsidRDefault="00D724FA" w:rsidP="00A858D8">
            <w:pPr>
              <w:pStyle w:val="IASBTableArial"/>
            </w:pPr>
          </w:p>
        </w:tc>
        <w:tc>
          <w:tcPr>
            <w:tcW w:w="216" w:type="dxa"/>
            <w:gridSpan w:val="2"/>
            <w:tcBorders>
              <w:top w:val="nil"/>
              <w:left w:val="nil"/>
            </w:tcBorders>
            <w:vAlign w:val="center"/>
          </w:tcPr>
          <w:p w:rsidR="00D724FA" w:rsidRDefault="00D724FA" w:rsidP="00A858D8">
            <w:pPr>
              <w:pStyle w:val="IASBTableArial"/>
            </w:pPr>
          </w:p>
        </w:tc>
        <w:tc>
          <w:tcPr>
            <w:tcW w:w="1786" w:type="dxa"/>
            <w:tcBorders>
              <w:top w:val="nil"/>
              <w:left w:val="nil"/>
            </w:tcBorders>
            <w:vAlign w:val="center"/>
          </w:tcPr>
          <w:p w:rsidR="00D724FA" w:rsidRDefault="00D724FA" w:rsidP="00A858D8">
            <w:pPr>
              <w:pStyle w:val="IASBTableArial"/>
            </w:pPr>
          </w:p>
        </w:tc>
      </w:tr>
      <w:tr w:rsidR="00D724FA" w:rsidTr="00A858D8">
        <w:trPr>
          <w:cantSplit/>
        </w:trPr>
        <w:tc>
          <w:tcPr>
            <w:tcW w:w="563" w:type="dxa"/>
            <w:tcBorders>
              <w:top w:val="nil"/>
            </w:tcBorders>
            <w:vAlign w:val="bottom"/>
          </w:tcPr>
          <w:p w:rsidR="00D724FA" w:rsidRDefault="00D724FA" w:rsidP="00A858D8">
            <w:pPr>
              <w:pStyle w:val="IASBTableArial"/>
            </w:pPr>
            <w:r>
              <w:t> </w:t>
            </w:r>
          </w:p>
        </w:tc>
        <w:tc>
          <w:tcPr>
            <w:tcW w:w="5005" w:type="dxa"/>
            <w:gridSpan w:val="3"/>
            <w:tcBorders>
              <w:top w:val="nil"/>
              <w:left w:val="nil"/>
            </w:tcBorders>
            <w:vAlign w:val="bottom"/>
          </w:tcPr>
          <w:p w:rsidR="00D724FA" w:rsidRDefault="00D724FA" w:rsidP="00A858D8">
            <w:pPr>
              <w:pStyle w:val="IASBTableArial"/>
            </w:pPr>
            <w:r>
              <w:t>Preference share dividends</w:t>
            </w:r>
          </w:p>
        </w:tc>
        <w:tc>
          <w:tcPr>
            <w:tcW w:w="1365" w:type="dxa"/>
            <w:tcBorders>
              <w:top w:val="nil"/>
              <w:left w:val="nil"/>
            </w:tcBorders>
            <w:vAlign w:val="bottom"/>
          </w:tcPr>
          <w:p w:rsidR="00D724FA" w:rsidRDefault="00D724FA" w:rsidP="00A858D8">
            <w:pPr>
              <w:pStyle w:val="IASBTableArial"/>
              <w:jc w:val="right"/>
            </w:pPr>
            <w:r>
              <w:t>CU10,000</w:t>
            </w:r>
          </w:p>
        </w:tc>
        <w:tc>
          <w:tcPr>
            <w:tcW w:w="273" w:type="dxa"/>
            <w:tcBorders>
              <w:top w:val="nil"/>
              <w:left w:val="nil"/>
            </w:tcBorders>
            <w:vAlign w:val="bottom"/>
          </w:tcPr>
          <w:p w:rsidR="00D724FA" w:rsidRDefault="00D724FA" w:rsidP="00A858D8">
            <w:pPr>
              <w:pStyle w:val="IASBTableArial"/>
            </w:pPr>
          </w:p>
        </w:tc>
        <w:tc>
          <w:tcPr>
            <w:tcW w:w="216" w:type="dxa"/>
            <w:gridSpan w:val="2"/>
            <w:tcBorders>
              <w:top w:val="nil"/>
              <w:left w:val="nil"/>
            </w:tcBorders>
            <w:vAlign w:val="bottom"/>
          </w:tcPr>
          <w:p w:rsidR="00D724FA" w:rsidRDefault="00D724FA" w:rsidP="00A858D8">
            <w:pPr>
              <w:pStyle w:val="IASBTableArial"/>
            </w:pPr>
          </w:p>
        </w:tc>
        <w:tc>
          <w:tcPr>
            <w:tcW w:w="1786" w:type="dxa"/>
            <w:tcBorders>
              <w:top w:val="nil"/>
              <w:left w:val="nil"/>
            </w:tcBorders>
            <w:vAlign w:val="center"/>
          </w:tcPr>
          <w:p w:rsidR="00D724FA" w:rsidRDefault="00D724FA" w:rsidP="00A858D8">
            <w:pPr>
              <w:pStyle w:val="IASBTableArial"/>
            </w:pPr>
          </w:p>
        </w:tc>
      </w:tr>
      <w:tr w:rsidR="00D724FA" w:rsidTr="00A858D8">
        <w:trPr>
          <w:cantSplit/>
        </w:trPr>
        <w:tc>
          <w:tcPr>
            <w:tcW w:w="5568" w:type="dxa"/>
            <w:gridSpan w:val="4"/>
            <w:tcBorders>
              <w:top w:val="nil"/>
            </w:tcBorders>
            <w:vAlign w:val="bottom"/>
          </w:tcPr>
          <w:p w:rsidR="00D724FA" w:rsidRDefault="00D724FA" w:rsidP="00A858D8">
            <w:pPr>
              <w:pStyle w:val="IASBTableArial"/>
            </w:pPr>
            <w:r>
              <w:rPr>
                <w:b/>
              </w:rPr>
              <w:t>Effect of assumed conversions</w:t>
            </w:r>
          </w:p>
        </w:tc>
        <w:tc>
          <w:tcPr>
            <w:tcW w:w="1365" w:type="dxa"/>
            <w:tcBorders>
              <w:top w:val="nil"/>
              <w:left w:val="nil"/>
            </w:tcBorders>
            <w:vAlign w:val="bottom"/>
          </w:tcPr>
          <w:p w:rsidR="00D724FA" w:rsidRDefault="00D724FA" w:rsidP="00A858D8">
            <w:pPr>
              <w:pStyle w:val="IASBTableArial"/>
            </w:pPr>
          </w:p>
        </w:tc>
        <w:tc>
          <w:tcPr>
            <w:tcW w:w="273" w:type="dxa"/>
            <w:tcBorders>
              <w:top w:val="nil"/>
              <w:left w:val="nil"/>
            </w:tcBorders>
            <w:vAlign w:val="bottom"/>
          </w:tcPr>
          <w:p w:rsidR="00D724FA" w:rsidRDefault="00D724FA" w:rsidP="00A858D8">
            <w:pPr>
              <w:pStyle w:val="IASBTableArial"/>
            </w:pPr>
          </w:p>
        </w:tc>
        <w:tc>
          <w:tcPr>
            <w:tcW w:w="216" w:type="dxa"/>
            <w:gridSpan w:val="2"/>
            <w:tcBorders>
              <w:top w:val="nil"/>
              <w:left w:val="nil"/>
            </w:tcBorders>
            <w:vAlign w:val="bottom"/>
          </w:tcPr>
          <w:p w:rsidR="00D724FA" w:rsidRDefault="00D724FA" w:rsidP="00A858D8">
            <w:pPr>
              <w:pStyle w:val="IASBTableArial"/>
              <w:jc w:val="right"/>
            </w:pPr>
          </w:p>
        </w:tc>
        <w:tc>
          <w:tcPr>
            <w:tcW w:w="1786" w:type="dxa"/>
            <w:tcBorders>
              <w:top w:val="nil"/>
              <w:left w:val="nil"/>
              <w:bottom w:val="single" w:sz="4" w:space="0" w:color="auto"/>
            </w:tcBorders>
            <w:vAlign w:val="bottom"/>
          </w:tcPr>
          <w:p w:rsidR="00D724FA" w:rsidRDefault="00D724FA" w:rsidP="00A858D8">
            <w:pPr>
              <w:pStyle w:val="IASBTableArial"/>
              <w:jc w:val="right"/>
            </w:pPr>
            <w:r>
              <w:t>CU10,000</w:t>
            </w:r>
          </w:p>
        </w:tc>
      </w:tr>
      <w:tr w:rsidR="00D724FA" w:rsidTr="00A858D8">
        <w:trPr>
          <w:cantSplit/>
        </w:trPr>
        <w:tc>
          <w:tcPr>
            <w:tcW w:w="5568" w:type="dxa"/>
            <w:gridSpan w:val="4"/>
            <w:tcBorders>
              <w:top w:val="nil"/>
            </w:tcBorders>
            <w:vAlign w:val="bottom"/>
          </w:tcPr>
          <w:p w:rsidR="00D724FA" w:rsidRDefault="00D724FA" w:rsidP="00A858D8">
            <w:pPr>
              <w:pStyle w:val="IASBTableArial"/>
            </w:pPr>
            <w:r>
              <w:t>Profit from continuing operations attributable to ordinary equity holders of the parent entity including assumed conversions</w:t>
            </w:r>
          </w:p>
        </w:tc>
        <w:tc>
          <w:tcPr>
            <w:tcW w:w="1365" w:type="dxa"/>
            <w:tcBorders>
              <w:top w:val="nil"/>
              <w:left w:val="nil"/>
            </w:tcBorders>
            <w:vAlign w:val="bottom"/>
          </w:tcPr>
          <w:p w:rsidR="00D724FA" w:rsidRDefault="00D724FA" w:rsidP="00A858D8">
            <w:pPr>
              <w:pStyle w:val="IASBTableArial"/>
            </w:pPr>
          </w:p>
        </w:tc>
        <w:tc>
          <w:tcPr>
            <w:tcW w:w="273" w:type="dxa"/>
            <w:tcBorders>
              <w:top w:val="nil"/>
              <w:left w:val="nil"/>
            </w:tcBorders>
            <w:vAlign w:val="bottom"/>
          </w:tcPr>
          <w:p w:rsidR="00D724FA" w:rsidRDefault="00D724FA" w:rsidP="00A858D8">
            <w:pPr>
              <w:pStyle w:val="IASBTableArial"/>
            </w:pPr>
          </w:p>
        </w:tc>
        <w:tc>
          <w:tcPr>
            <w:tcW w:w="216" w:type="dxa"/>
            <w:gridSpan w:val="2"/>
            <w:tcBorders>
              <w:top w:val="nil"/>
              <w:left w:val="nil"/>
            </w:tcBorders>
            <w:vAlign w:val="bottom"/>
          </w:tcPr>
          <w:p w:rsidR="00D724FA" w:rsidRDefault="00D724FA" w:rsidP="00A858D8">
            <w:pPr>
              <w:pStyle w:val="IASBTableArial"/>
              <w:jc w:val="right"/>
            </w:pPr>
          </w:p>
        </w:tc>
        <w:tc>
          <w:tcPr>
            <w:tcW w:w="1786" w:type="dxa"/>
            <w:tcBorders>
              <w:top w:val="nil"/>
              <w:left w:val="nil"/>
            </w:tcBorders>
            <w:vAlign w:val="bottom"/>
          </w:tcPr>
          <w:p w:rsidR="00D724FA" w:rsidRDefault="00D724FA" w:rsidP="00A858D8">
            <w:pPr>
              <w:pStyle w:val="IASBTableArial"/>
              <w:jc w:val="right"/>
            </w:pPr>
            <w:r>
              <w:t>CU1,000,000</w:t>
            </w:r>
          </w:p>
        </w:tc>
      </w:tr>
      <w:tr w:rsidR="00D724FA" w:rsidTr="00A858D8">
        <w:trPr>
          <w:cantSplit/>
        </w:trPr>
        <w:tc>
          <w:tcPr>
            <w:tcW w:w="5568" w:type="dxa"/>
            <w:gridSpan w:val="4"/>
            <w:tcBorders>
              <w:top w:val="nil"/>
            </w:tcBorders>
            <w:vAlign w:val="bottom"/>
          </w:tcPr>
          <w:p w:rsidR="00D724FA" w:rsidRDefault="00D724FA" w:rsidP="00A858D8">
            <w:pPr>
              <w:pStyle w:val="IASBTableArial"/>
            </w:pPr>
            <w:r>
              <w:t>Loss from discontinued operations attributable to the parent entity</w:t>
            </w:r>
          </w:p>
        </w:tc>
        <w:tc>
          <w:tcPr>
            <w:tcW w:w="1365" w:type="dxa"/>
            <w:tcBorders>
              <w:top w:val="nil"/>
              <w:left w:val="nil"/>
            </w:tcBorders>
            <w:vAlign w:val="bottom"/>
          </w:tcPr>
          <w:p w:rsidR="00D724FA" w:rsidRDefault="00D724FA" w:rsidP="00A858D8">
            <w:pPr>
              <w:pStyle w:val="IASBTableArial"/>
            </w:pPr>
          </w:p>
        </w:tc>
        <w:tc>
          <w:tcPr>
            <w:tcW w:w="273" w:type="dxa"/>
            <w:tcBorders>
              <w:top w:val="nil"/>
              <w:left w:val="nil"/>
            </w:tcBorders>
            <w:vAlign w:val="bottom"/>
          </w:tcPr>
          <w:p w:rsidR="00D724FA" w:rsidRDefault="00D724FA" w:rsidP="00A858D8">
            <w:pPr>
              <w:pStyle w:val="IASBTableArial"/>
              <w:jc w:val="right"/>
            </w:pPr>
          </w:p>
        </w:tc>
        <w:tc>
          <w:tcPr>
            <w:tcW w:w="216" w:type="dxa"/>
            <w:gridSpan w:val="2"/>
            <w:tcBorders>
              <w:top w:val="nil"/>
              <w:left w:val="nil"/>
            </w:tcBorders>
            <w:vAlign w:val="bottom"/>
          </w:tcPr>
          <w:p w:rsidR="00D724FA" w:rsidRDefault="00D724FA" w:rsidP="00A858D8">
            <w:pPr>
              <w:pStyle w:val="IASBTableArial"/>
              <w:jc w:val="right"/>
            </w:pPr>
          </w:p>
        </w:tc>
        <w:tc>
          <w:tcPr>
            <w:tcW w:w="1786" w:type="dxa"/>
            <w:tcBorders>
              <w:top w:val="nil"/>
              <w:left w:val="nil"/>
              <w:bottom w:val="single" w:sz="4" w:space="0" w:color="auto"/>
            </w:tcBorders>
            <w:vAlign w:val="bottom"/>
          </w:tcPr>
          <w:p w:rsidR="00D724FA" w:rsidRDefault="00D724FA" w:rsidP="00A858D8">
            <w:pPr>
              <w:pStyle w:val="IASBTableArial"/>
              <w:jc w:val="right"/>
            </w:pPr>
            <w:r>
              <w:t>(CU2,000,000)</w:t>
            </w:r>
          </w:p>
        </w:tc>
      </w:tr>
      <w:tr w:rsidR="00D724FA" w:rsidTr="00A858D8">
        <w:trPr>
          <w:cantSplit/>
        </w:trPr>
        <w:tc>
          <w:tcPr>
            <w:tcW w:w="5568" w:type="dxa"/>
            <w:gridSpan w:val="4"/>
            <w:tcBorders>
              <w:top w:val="nil"/>
            </w:tcBorders>
            <w:vAlign w:val="bottom"/>
          </w:tcPr>
          <w:p w:rsidR="00D724FA" w:rsidRDefault="00D724FA" w:rsidP="00A858D8">
            <w:pPr>
              <w:pStyle w:val="IASBTableArial"/>
            </w:pPr>
            <w:r>
              <w:t>Loss attributable to ordinary equity holders of the parent entity including assumed conversions</w:t>
            </w:r>
          </w:p>
        </w:tc>
        <w:tc>
          <w:tcPr>
            <w:tcW w:w="1365" w:type="dxa"/>
            <w:tcBorders>
              <w:top w:val="nil"/>
              <w:left w:val="nil"/>
            </w:tcBorders>
            <w:vAlign w:val="bottom"/>
          </w:tcPr>
          <w:p w:rsidR="00D724FA" w:rsidRDefault="00D724FA" w:rsidP="00A858D8">
            <w:pPr>
              <w:pStyle w:val="IASBTableArial"/>
            </w:pPr>
          </w:p>
        </w:tc>
        <w:tc>
          <w:tcPr>
            <w:tcW w:w="273" w:type="dxa"/>
            <w:tcBorders>
              <w:top w:val="nil"/>
              <w:left w:val="nil"/>
            </w:tcBorders>
            <w:vAlign w:val="bottom"/>
          </w:tcPr>
          <w:p w:rsidR="00D724FA" w:rsidRDefault="00D724FA" w:rsidP="00A858D8">
            <w:pPr>
              <w:pStyle w:val="IASBTableArial"/>
              <w:jc w:val="right"/>
            </w:pPr>
          </w:p>
        </w:tc>
        <w:tc>
          <w:tcPr>
            <w:tcW w:w="216" w:type="dxa"/>
            <w:gridSpan w:val="2"/>
            <w:tcBorders>
              <w:top w:val="nil"/>
              <w:left w:val="nil"/>
            </w:tcBorders>
            <w:vAlign w:val="bottom"/>
          </w:tcPr>
          <w:p w:rsidR="00D724FA" w:rsidRDefault="00D724FA" w:rsidP="00A858D8">
            <w:pPr>
              <w:pStyle w:val="IASBTableArial"/>
              <w:jc w:val="right"/>
            </w:pPr>
          </w:p>
        </w:tc>
        <w:tc>
          <w:tcPr>
            <w:tcW w:w="1786" w:type="dxa"/>
            <w:tcBorders>
              <w:top w:val="nil"/>
              <w:left w:val="nil"/>
              <w:bottom w:val="double" w:sz="4" w:space="0" w:color="auto"/>
            </w:tcBorders>
            <w:vAlign w:val="bottom"/>
          </w:tcPr>
          <w:p w:rsidR="00D724FA" w:rsidRDefault="00D724FA" w:rsidP="00A858D8">
            <w:pPr>
              <w:pStyle w:val="IASBTableArial"/>
              <w:jc w:val="right"/>
            </w:pPr>
            <w:r>
              <w:t>(CU1,000,000)</w:t>
            </w:r>
          </w:p>
        </w:tc>
      </w:tr>
      <w:tr w:rsidR="00D724FA" w:rsidTr="00A858D8">
        <w:trPr>
          <w:cantSplit/>
        </w:trPr>
        <w:tc>
          <w:tcPr>
            <w:tcW w:w="5568" w:type="dxa"/>
            <w:gridSpan w:val="4"/>
            <w:tcBorders>
              <w:top w:val="nil"/>
            </w:tcBorders>
            <w:vAlign w:val="bottom"/>
          </w:tcPr>
          <w:p w:rsidR="00D724FA" w:rsidRDefault="00D724FA" w:rsidP="00A858D8">
            <w:pPr>
              <w:pStyle w:val="IASBTableArial"/>
            </w:pPr>
            <w:r>
              <w:rPr>
                <w:b/>
              </w:rPr>
              <w:t>Weighted-average shares</w:t>
            </w:r>
          </w:p>
        </w:tc>
        <w:tc>
          <w:tcPr>
            <w:tcW w:w="1365" w:type="dxa"/>
            <w:tcBorders>
              <w:top w:val="nil"/>
              <w:left w:val="nil"/>
            </w:tcBorders>
            <w:vAlign w:val="bottom"/>
          </w:tcPr>
          <w:p w:rsidR="00D724FA" w:rsidRDefault="00D724FA" w:rsidP="00A858D8">
            <w:pPr>
              <w:pStyle w:val="IASBTableArial"/>
            </w:pPr>
          </w:p>
        </w:tc>
        <w:tc>
          <w:tcPr>
            <w:tcW w:w="273" w:type="dxa"/>
            <w:tcBorders>
              <w:top w:val="nil"/>
              <w:left w:val="nil"/>
            </w:tcBorders>
            <w:vAlign w:val="bottom"/>
          </w:tcPr>
          <w:p w:rsidR="00D724FA" w:rsidRDefault="00D724FA" w:rsidP="00A858D8">
            <w:pPr>
              <w:pStyle w:val="IASBTableArial"/>
            </w:pPr>
          </w:p>
        </w:tc>
        <w:tc>
          <w:tcPr>
            <w:tcW w:w="216" w:type="dxa"/>
            <w:gridSpan w:val="2"/>
            <w:tcBorders>
              <w:top w:val="nil"/>
              <w:left w:val="nil"/>
            </w:tcBorders>
            <w:vAlign w:val="bottom"/>
          </w:tcPr>
          <w:p w:rsidR="00D724FA" w:rsidRDefault="00D724FA" w:rsidP="00A858D8">
            <w:pPr>
              <w:pStyle w:val="IASBTableArial"/>
              <w:jc w:val="right"/>
            </w:pPr>
          </w:p>
        </w:tc>
        <w:tc>
          <w:tcPr>
            <w:tcW w:w="1786" w:type="dxa"/>
            <w:tcBorders>
              <w:top w:val="nil"/>
              <w:left w:val="nil"/>
            </w:tcBorders>
            <w:vAlign w:val="bottom"/>
          </w:tcPr>
          <w:p w:rsidR="00D724FA" w:rsidRDefault="00D724FA" w:rsidP="00A858D8">
            <w:pPr>
              <w:pStyle w:val="IASBTableArial"/>
              <w:jc w:val="right"/>
            </w:pPr>
            <w:r>
              <w:t>6,480,000</w:t>
            </w:r>
          </w:p>
        </w:tc>
      </w:tr>
      <w:tr w:rsidR="00D724FA" w:rsidTr="00A858D8">
        <w:trPr>
          <w:cantSplit/>
        </w:trPr>
        <w:tc>
          <w:tcPr>
            <w:tcW w:w="5568" w:type="dxa"/>
            <w:gridSpan w:val="4"/>
            <w:tcBorders>
              <w:top w:val="nil"/>
            </w:tcBorders>
            <w:vAlign w:val="bottom"/>
          </w:tcPr>
          <w:p w:rsidR="00D724FA" w:rsidRDefault="00D724FA" w:rsidP="00A858D8">
            <w:pPr>
              <w:pStyle w:val="IASBTableArial"/>
            </w:pPr>
            <w:r>
              <w:t>Plus: incremental shares from assumed conversions</w:t>
            </w:r>
          </w:p>
        </w:tc>
        <w:tc>
          <w:tcPr>
            <w:tcW w:w="1365" w:type="dxa"/>
            <w:tcBorders>
              <w:top w:val="nil"/>
              <w:left w:val="nil"/>
            </w:tcBorders>
            <w:vAlign w:val="bottom"/>
          </w:tcPr>
          <w:p w:rsidR="00D724FA" w:rsidRDefault="00D724FA" w:rsidP="00A858D8">
            <w:pPr>
              <w:pStyle w:val="IASBTableArial"/>
            </w:pPr>
          </w:p>
        </w:tc>
        <w:tc>
          <w:tcPr>
            <w:tcW w:w="273" w:type="dxa"/>
            <w:tcBorders>
              <w:top w:val="nil"/>
              <w:left w:val="nil"/>
            </w:tcBorders>
            <w:vAlign w:val="bottom"/>
          </w:tcPr>
          <w:p w:rsidR="00D724FA" w:rsidRDefault="00D724FA" w:rsidP="00A858D8">
            <w:pPr>
              <w:pStyle w:val="IASBTableArial"/>
            </w:pPr>
          </w:p>
        </w:tc>
        <w:tc>
          <w:tcPr>
            <w:tcW w:w="216" w:type="dxa"/>
            <w:gridSpan w:val="2"/>
            <w:tcBorders>
              <w:top w:val="nil"/>
              <w:left w:val="nil"/>
            </w:tcBorders>
            <w:vAlign w:val="bottom"/>
          </w:tcPr>
          <w:p w:rsidR="00D724FA" w:rsidRDefault="00D724FA" w:rsidP="00A858D8">
            <w:pPr>
              <w:pStyle w:val="IASBTableArial"/>
            </w:pPr>
          </w:p>
        </w:tc>
        <w:tc>
          <w:tcPr>
            <w:tcW w:w="1786" w:type="dxa"/>
            <w:tcBorders>
              <w:top w:val="nil"/>
              <w:left w:val="nil"/>
            </w:tcBorders>
            <w:vAlign w:val="bottom"/>
          </w:tcPr>
          <w:p w:rsidR="00D724FA" w:rsidRDefault="00D724FA" w:rsidP="00A858D8">
            <w:pPr>
              <w:pStyle w:val="IASBTableArial"/>
            </w:pPr>
          </w:p>
        </w:tc>
      </w:tr>
      <w:tr w:rsidR="00D724FA" w:rsidTr="00A858D8">
        <w:trPr>
          <w:cantSplit/>
        </w:trPr>
        <w:tc>
          <w:tcPr>
            <w:tcW w:w="563" w:type="dxa"/>
            <w:tcBorders>
              <w:top w:val="nil"/>
            </w:tcBorders>
            <w:vAlign w:val="bottom"/>
          </w:tcPr>
          <w:p w:rsidR="00D724FA" w:rsidRDefault="00D724FA" w:rsidP="00A858D8">
            <w:pPr>
              <w:pStyle w:val="IASBTableArial"/>
            </w:pPr>
            <w:r>
              <w:t> </w:t>
            </w:r>
          </w:p>
        </w:tc>
        <w:tc>
          <w:tcPr>
            <w:tcW w:w="5005" w:type="dxa"/>
            <w:gridSpan w:val="3"/>
            <w:tcBorders>
              <w:top w:val="nil"/>
              <w:left w:val="nil"/>
            </w:tcBorders>
            <w:vAlign w:val="bottom"/>
          </w:tcPr>
          <w:p w:rsidR="00D724FA" w:rsidRDefault="00D724FA" w:rsidP="00A858D8">
            <w:pPr>
              <w:pStyle w:val="IASBTableArial"/>
            </w:pPr>
            <w:r>
              <w:t>Warrants</w:t>
            </w:r>
          </w:p>
        </w:tc>
        <w:tc>
          <w:tcPr>
            <w:tcW w:w="1365" w:type="dxa"/>
            <w:tcBorders>
              <w:top w:val="nil"/>
              <w:left w:val="nil"/>
            </w:tcBorders>
            <w:vAlign w:val="bottom"/>
          </w:tcPr>
          <w:p w:rsidR="00D724FA" w:rsidRDefault="00D724FA" w:rsidP="00A858D8">
            <w:pPr>
              <w:pStyle w:val="IASBTableArial"/>
              <w:jc w:val="right"/>
            </w:pPr>
            <w:r>
              <w:t>61,538</w:t>
            </w:r>
            <w:r>
              <w:rPr>
                <w:vertAlign w:val="superscript"/>
              </w:rPr>
              <w:t>(a)</w:t>
            </w:r>
          </w:p>
        </w:tc>
        <w:tc>
          <w:tcPr>
            <w:tcW w:w="455" w:type="dxa"/>
            <w:gridSpan w:val="2"/>
            <w:tcBorders>
              <w:top w:val="nil"/>
              <w:left w:val="nil"/>
            </w:tcBorders>
          </w:tcPr>
          <w:p w:rsidR="00D724FA" w:rsidRDefault="00D724FA" w:rsidP="00A858D8">
            <w:pPr>
              <w:pStyle w:val="IASBTableArial"/>
            </w:pPr>
          </w:p>
        </w:tc>
        <w:tc>
          <w:tcPr>
            <w:tcW w:w="1820" w:type="dxa"/>
            <w:gridSpan w:val="2"/>
            <w:tcBorders>
              <w:top w:val="nil"/>
              <w:left w:val="nil"/>
            </w:tcBorders>
            <w:vAlign w:val="bottom"/>
          </w:tcPr>
          <w:p w:rsidR="00D724FA" w:rsidRDefault="00D724FA" w:rsidP="00A858D8">
            <w:pPr>
              <w:pStyle w:val="IASBTableArial"/>
            </w:pPr>
          </w:p>
        </w:tc>
      </w:tr>
      <w:tr w:rsidR="00D724FA" w:rsidTr="00A858D8">
        <w:trPr>
          <w:cantSplit/>
        </w:trPr>
        <w:tc>
          <w:tcPr>
            <w:tcW w:w="563" w:type="dxa"/>
            <w:tcBorders>
              <w:top w:val="nil"/>
            </w:tcBorders>
            <w:vAlign w:val="bottom"/>
          </w:tcPr>
          <w:p w:rsidR="00D724FA" w:rsidRDefault="00D724FA" w:rsidP="00A858D8">
            <w:pPr>
              <w:pStyle w:val="IASBTableArial"/>
            </w:pPr>
            <w:r>
              <w:t> </w:t>
            </w:r>
          </w:p>
        </w:tc>
        <w:tc>
          <w:tcPr>
            <w:tcW w:w="5005" w:type="dxa"/>
            <w:gridSpan w:val="3"/>
            <w:tcBorders>
              <w:top w:val="nil"/>
              <w:left w:val="nil"/>
            </w:tcBorders>
            <w:vAlign w:val="bottom"/>
          </w:tcPr>
          <w:p w:rsidR="00D724FA" w:rsidRDefault="00D724FA" w:rsidP="00A858D8">
            <w:pPr>
              <w:pStyle w:val="IASBTableArial"/>
            </w:pPr>
            <w:r>
              <w:t>Convertible preference shares</w:t>
            </w:r>
          </w:p>
        </w:tc>
        <w:tc>
          <w:tcPr>
            <w:tcW w:w="1365" w:type="dxa"/>
            <w:tcBorders>
              <w:top w:val="nil"/>
              <w:left w:val="nil"/>
              <w:bottom w:val="single" w:sz="4" w:space="0" w:color="auto"/>
            </w:tcBorders>
            <w:vAlign w:val="bottom"/>
          </w:tcPr>
          <w:p w:rsidR="00D724FA" w:rsidRDefault="00D724FA" w:rsidP="00A858D8">
            <w:pPr>
              <w:pStyle w:val="IASBTableArial"/>
              <w:jc w:val="right"/>
            </w:pPr>
            <w:r>
              <w:t>200,000</w:t>
            </w:r>
          </w:p>
        </w:tc>
        <w:tc>
          <w:tcPr>
            <w:tcW w:w="273" w:type="dxa"/>
            <w:tcBorders>
              <w:top w:val="nil"/>
              <w:left w:val="nil"/>
            </w:tcBorders>
            <w:vAlign w:val="bottom"/>
          </w:tcPr>
          <w:p w:rsidR="00D724FA" w:rsidRDefault="00D724FA" w:rsidP="00A858D8">
            <w:pPr>
              <w:pStyle w:val="IASBTableArial"/>
            </w:pPr>
          </w:p>
        </w:tc>
        <w:tc>
          <w:tcPr>
            <w:tcW w:w="216" w:type="dxa"/>
            <w:gridSpan w:val="2"/>
            <w:tcBorders>
              <w:top w:val="nil"/>
              <w:left w:val="nil"/>
            </w:tcBorders>
            <w:vAlign w:val="bottom"/>
          </w:tcPr>
          <w:p w:rsidR="00D724FA" w:rsidRDefault="00D724FA" w:rsidP="00A858D8">
            <w:pPr>
              <w:pStyle w:val="IASBTableArial"/>
            </w:pPr>
          </w:p>
        </w:tc>
        <w:tc>
          <w:tcPr>
            <w:tcW w:w="1786" w:type="dxa"/>
            <w:tcBorders>
              <w:top w:val="nil"/>
              <w:left w:val="nil"/>
            </w:tcBorders>
            <w:vAlign w:val="bottom"/>
          </w:tcPr>
          <w:p w:rsidR="00D724FA" w:rsidRDefault="00D724FA" w:rsidP="00A858D8">
            <w:pPr>
              <w:pStyle w:val="IASBTableArial"/>
            </w:pPr>
          </w:p>
        </w:tc>
      </w:tr>
      <w:tr w:rsidR="00D724FA" w:rsidTr="00A858D8">
        <w:trPr>
          <w:cantSplit/>
        </w:trPr>
        <w:tc>
          <w:tcPr>
            <w:tcW w:w="6933" w:type="dxa"/>
            <w:gridSpan w:val="5"/>
            <w:tcBorders>
              <w:top w:val="nil"/>
            </w:tcBorders>
            <w:vAlign w:val="bottom"/>
          </w:tcPr>
          <w:p w:rsidR="00D724FA" w:rsidRDefault="00D724FA" w:rsidP="00A858D8">
            <w:pPr>
              <w:pStyle w:val="IASBTableArial"/>
            </w:pPr>
            <w:r>
              <w:rPr>
                <w:b/>
              </w:rPr>
              <w:t>Dilutive potential ordinary shares</w:t>
            </w:r>
          </w:p>
        </w:tc>
        <w:tc>
          <w:tcPr>
            <w:tcW w:w="273" w:type="dxa"/>
            <w:tcBorders>
              <w:top w:val="nil"/>
              <w:left w:val="nil"/>
            </w:tcBorders>
            <w:vAlign w:val="bottom"/>
          </w:tcPr>
          <w:p w:rsidR="00D724FA" w:rsidRDefault="00D724FA" w:rsidP="00A858D8">
            <w:pPr>
              <w:pStyle w:val="IASBTableArial"/>
            </w:pPr>
          </w:p>
        </w:tc>
        <w:tc>
          <w:tcPr>
            <w:tcW w:w="216" w:type="dxa"/>
            <w:gridSpan w:val="2"/>
            <w:tcBorders>
              <w:top w:val="nil"/>
              <w:left w:val="nil"/>
            </w:tcBorders>
            <w:vAlign w:val="bottom"/>
          </w:tcPr>
          <w:p w:rsidR="00D724FA" w:rsidRDefault="00D724FA" w:rsidP="00A858D8">
            <w:pPr>
              <w:pStyle w:val="IASBTableArial"/>
              <w:jc w:val="right"/>
            </w:pPr>
          </w:p>
        </w:tc>
        <w:tc>
          <w:tcPr>
            <w:tcW w:w="1786" w:type="dxa"/>
            <w:tcBorders>
              <w:top w:val="nil"/>
              <w:left w:val="nil"/>
              <w:bottom w:val="single" w:sz="4" w:space="0" w:color="auto"/>
            </w:tcBorders>
            <w:vAlign w:val="bottom"/>
          </w:tcPr>
          <w:p w:rsidR="00D724FA" w:rsidRDefault="00D724FA" w:rsidP="00A858D8">
            <w:pPr>
              <w:pStyle w:val="IASBTableArial"/>
              <w:jc w:val="right"/>
            </w:pPr>
            <w:r>
              <w:t>261,538</w:t>
            </w:r>
          </w:p>
        </w:tc>
      </w:tr>
      <w:tr w:rsidR="00D724FA" w:rsidTr="00A858D8">
        <w:trPr>
          <w:cantSplit/>
        </w:trPr>
        <w:tc>
          <w:tcPr>
            <w:tcW w:w="6933" w:type="dxa"/>
            <w:gridSpan w:val="5"/>
            <w:tcBorders>
              <w:top w:val="nil"/>
            </w:tcBorders>
            <w:vAlign w:val="bottom"/>
          </w:tcPr>
          <w:p w:rsidR="00D724FA" w:rsidRDefault="00D724FA" w:rsidP="00A858D8">
            <w:pPr>
              <w:pStyle w:val="IASBTableArial"/>
            </w:pPr>
            <w:r>
              <w:t>Adjusted weighted-average shares</w:t>
            </w:r>
          </w:p>
        </w:tc>
        <w:tc>
          <w:tcPr>
            <w:tcW w:w="273" w:type="dxa"/>
            <w:tcBorders>
              <w:top w:val="nil"/>
              <w:left w:val="nil"/>
            </w:tcBorders>
            <w:vAlign w:val="bottom"/>
          </w:tcPr>
          <w:p w:rsidR="00D724FA" w:rsidRDefault="00D724FA" w:rsidP="00A858D8">
            <w:pPr>
              <w:pStyle w:val="IASBTableArial"/>
            </w:pPr>
          </w:p>
        </w:tc>
        <w:tc>
          <w:tcPr>
            <w:tcW w:w="216" w:type="dxa"/>
            <w:gridSpan w:val="2"/>
            <w:tcBorders>
              <w:top w:val="nil"/>
              <w:left w:val="nil"/>
            </w:tcBorders>
            <w:vAlign w:val="bottom"/>
          </w:tcPr>
          <w:p w:rsidR="00D724FA" w:rsidRDefault="00D724FA" w:rsidP="00A858D8">
            <w:pPr>
              <w:pStyle w:val="IASBTableArial"/>
              <w:jc w:val="right"/>
            </w:pPr>
          </w:p>
        </w:tc>
        <w:tc>
          <w:tcPr>
            <w:tcW w:w="1786" w:type="dxa"/>
            <w:tcBorders>
              <w:top w:val="nil"/>
              <w:left w:val="nil"/>
              <w:bottom w:val="double" w:sz="4" w:space="0" w:color="auto"/>
            </w:tcBorders>
            <w:vAlign w:val="bottom"/>
          </w:tcPr>
          <w:p w:rsidR="00D724FA" w:rsidRDefault="00D724FA" w:rsidP="00A858D8">
            <w:pPr>
              <w:pStyle w:val="IASBTableArial"/>
              <w:jc w:val="right"/>
            </w:pPr>
            <w:r>
              <w:t>6,741,538</w:t>
            </w:r>
          </w:p>
        </w:tc>
      </w:tr>
      <w:tr w:rsidR="00D724FA" w:rsidTr="00A858D8">
        <w:trPr>
          <w:cantSplit/>
        </w:trPr>
        <w:tc>
          <w:tcPr>
            <w:tcW w:w="9208" w:type="dxa"/>
            <w:gridSpan w:val="9"/>
            <w:tcBorders>
              <w:top w:val="nil"/>
            </w:tcBorders>
            <w:vAlign w:val="bottom"/>
          </w:tcPr>
          <w:p w:rsidR="00D724FA" w:rsidRDefault="00D724FA" w:rsidP="00A858D8">
            <w:pPr>
              <w:pStyle w:val="IASBTableArial"/>
            </w:pPr>
          </w:p>
        </w:tc>
      </w:tr>
      <w:tr w:rsidR="00D724FA" w:rsidTr="00A858D8">
        <w:trPr>
          <w:cantSplit/>
        </w:trPr>
        <w:tc>
          <w:tcPr>
            <w:tcW w:w="6933" w:type="dxa"/>
            <w:gridSpan w:val="5"/>
            <w:tcBorders>
              <w:top w:val="nil"/>
            </w:tcBorders>
            <w:vAlign w:val="bottom"/>
          </w:tcPr>
          <w:p w:rsidR="00D724FA" w:rsidRDefault="00D724FA" w:rsidP="00A858D8">
            <w:pPr>
              <w:pStyle w:val="IASBTableArial"/>
            </w:pPr>
            <w:r>
              <w:rPr>
                <w:b/>
                <w:i/>
              </w:rPr>
              <w:t>Diluted EPS</w:t>
            </w:r>
          </w:p>
        </w:tc>
        <w:tc>
          <w:tcPr>
            <w:tcW w:w="273" w:type="dxa"/>
            <w:tcBorders>
              <w:top w:val="nil"/>
              <w:left w:val="nil"/>
            </w:tcBorders>
            <w:vAlign w:val="bottom"/>
          </w:tcPr>
          <w:p w:rsidR="00D724FA" w:rsidRDefault="00D724FA" w:rsidP="00A858D8">
            <w:pPr>
              <w:pStyle w:val="IASBTableArial"/>
            </w:pPr>
          </w:p>
        </w:tc>
        <w:tc>
          <w:tcPr>
            <w:tcW w:w="216" w:type="dxa"/>
            <w:gridSpan w:val="2"/>
            <w:tcBorders>
              <w:top w:val="nil"/>
              <w:left w:val="nil"/>
            </w:tcBorders>
            <w:vAlign w:val="bottom"/>
          </w:tcPr>
          <w:p w:rsidR="00D724FA" w:rsidRDefault="00D724FA" w:rsidP="00A858D8">
            <w:pPr>
              <w:pStyle w:val="IASBTableArial"/>
            </w:pPr>
          </w:p>
        </w:tc>
        <w:tc>
          <w:tcPr>
            <w:tcW w:w="1786" w:type="dxa"/>
            <w:tcBorders>
              <w:top w:val="nil"/>
              <w:left w:val="nil"/>
            </w:tcBorders>
            <w:vAlign w:val="bottom"/>
          </w:tcPr>
          <w:p w:rsidR="00D724FA" w:rsidRDefault="00D724FA" w:rsidP="00A858D8">
            <w:pPr>
              <w:pStyle w:val="IASBTableArial"/>
            </w:pPr>
          </w:p>
        </w:tc>
      </w:tr>
      <w:tr w:rsidR="00D724FA" w:rsidTr="00A858D8">
        <w:trPr>
          <w:cantSplit/>
        </w:trPr>
        <w:tc>
          <w:tcPr>
            <w:tcW w:w="6933" w:type="dxa"/>
            <w:gridSpan w:val="5"/>
            <w:tcBorders>
              <w:top w:val="nil"/>
            </w:tcBorders>
            <w:vAlign w:val="bottom"/>
          </w:tcPr>
          <w:p w:rsidR="00D724FA" w:rsidRDefault="00D724FA" w:rsidP="00A858D8">
            <w:pPr>
              <w:pStyle w:val="IASBTableArial"/>
            </w:pPr>
            <w:r>
              <w:t>Profit from continuing operations</w:t>
            </w:r>
          </w:p>
        </w:tc>
        <w:tc>
          <w:tcPr>
            <w:tcW w:w="273" w:type="dxa"/>
            <w:tcBorders>
              <w:top w:val="nil"/>
              <w:left w:val="nil"/>
            </w:tcBorders>
            <w:vAlign w:val="bottom"/>
          </w:tcPr>
          <w:p w:rsidR="00D724FA" w:rsidRDefault="00D724FA" w:rsidP="00A858D8">
            <w:pPr>
              <w:pStyle w:val="IASBTableArial"/>
            </w:pPr>
          </w:p>
        </w:tc>
        <w:tc>
          <w:tcPr>
            <w:tcW w:w="216" w:type="dxa"/>
            <w:gridSpan w:val="2"/>
            <w:tcBorders>
              <w:top w:val="nil"/>
              <w:left w:val="nil"/>
            </w:tcBorders>
            <w:vAlign w:val="bottom"/>
          </w:tcPr>
          <w:p w:rsidR="00D724FA" w:rsidRDefault="00D724FA" w:rsidP="00A858D8">
            <w:pPr>
              <w:pStyle w:val="IASBTableArial"/>
              <w:jc w:val="right"/>
            </w:pPr>
          </w:p>
        </w:tc>
        <w:tc>
          <w:tcPr>
            <w:tcW w:w="1786" w:type="dxa"/>
            <w:tcBorders>
              <w:top w:val="nil"/>
              <w:left w:val="nil"/>
            </w:tcBorders>
            <w:vAlign w:val="bottom"/>
          </w:tcPr>
          <w:p w:rsidR="00D724FA" w:rsidRDefault="00D724FA" w:rsidP="00A858D8">
            <w:pPr>
              <w:pStyle w:val="IASBTableArial"/>
              <w:jc w:val="right"/>
            </w:pPr>
            <w:r>
              <w:rPr>
                <w:b/>
                <w:i/>
              </w:rPr>
              <w:t>CU0.15</w:t>
            </w:r>
          </w:p>
        </w:tc>
      </w:tr>
      <w:tr w:rsidR="00D724FA" w:rsidTr="00A858D8">
        <w:trPr>
          <w:cantSplit/>
        </w:trPr>
        <w:tc>
          <w:tcPr>
            <w:tcW w:w="6933" w:type="dxa"/>
            <w:gridSpan w:val="5"/>
            <w:tcBorders>
              <w:top w:val="nil"/>
            </w:tcBorders>
            <w:vAlign w:val="bottom"/>
          </w:tcPr>
          <w:p w:rsidR="00D724FA" w:rsidRDefault="00D724FA" w:rsidP="00A858D8">
            <w:pPr>
              <w:pStyle w:val="IASBTableArial"/>
            </w:pPr>
            <w:r>
              <w:t>Loss from discontinued operations</w:t>
            </w:r>
          </w:p>
        </w:tc>
        <w:tc>
          <w:tcPr>
            <w:tcW w:w="273" w:type="dxa"/>
            <w:tcBorders>
              <w:top w:val="nil"/>
              <w:left w:val="nil"/>
            </w:tcBorders>
            <w:vAlign w:val="bottom"/>
          </w:tcPr>
          <w:p w:rsidR="00D724FA" w:rsidRDefault="00D724FA" w:rsidP="00A858D8">
            <w:pPr>
              <w:pStyle w:val="IASBTableArial"/>
            </w:pPr>
          </w:p>
        </w:tc>
        <w:tc>
          <w:tcPr>
            <w:tcW w:w="216" w:type="dxa"/>
            <w:gridSpan w:val="2"/>
            <w:tcBorders>
              <w:top w:val="nil"/>
              <w:left w:val="nil"/>
            </w:tcBorders>
            <w:vAlign w:val="bottom"/>
          </w:tcPr>
          <w:p w:rsidR="00D724FA" w:rsidRDefault="00D724FA" w:rsidP="00A858D8">
            <w:pPr>
              <w:pStyle w:val="IASBTableArial"/>
              <w:jc w:val="right"/>
            </w:pPr>
          </w:p>
        </w:tc>
        <w:tc>
          <w:tcPr>
            <w:tcW w:w="1786" w:type="dxa"/>
            <w:tcBorders>
              <w:top w:val="nil"/>
              <w:left w:val="nil"/>
              <w:bottom w:val="single" w:sz="4" w:space="0" w:color="auto"/>
            </w:tcBorders>
            <w:vAlign w:val="bottom"/>
          </w:tcPr>
          <w:p w:rsidR="00D724FA" w:rsidRDefault="00D724FA" w:rsidP="00A858D8">
            <w:pPr>
              <w:pStyle w:val="IASBTableArial"/>
              <w:jc w:val="right"/>
            </w:pPr>
            <w:r>
              <w:rPr>
                <w:b/>
                <w:i/>
              </w:rPr>
              <w:t>(CU0.30)</w:t>
            </w:r>
          </w:p>
        </w:tc>
      </w:tr>
      <w:tr w:rsidR="00D724FA" w:rsidTr="00A858D8">
        <w:trPr>
          <w:cantSplit/>
        </w:trPr>
        <w:tc>
          <w:tcPr>
            <w:tcW w:w="6933" w:type="dxa"/>
            <w:gridSpan w:val="5"/>
            <w:tcBorders>
              <w:top w:val="nil"/>
            </w:tcBorders>
            <w:vAlign w:val="bottom"/>
          </w:tcPr>
          <w:p w:rsidR="00D724FA" w:rsidRDefault="00D724FA" w:rsidP="00A858D8">
            <w:pPr>
              <w:pStyle w:val="IASBTableArial"/>
            </w:pPr>
            <w:r>
              <w:t>Loss</w:t>
            </w:r>
          </w:p>
        </w:tc>
        <w:tc>
          <w:tcPr>
            <w:tcW w:w="273" w:type="dxa"/>
            <w:tcBorders>
              <w:top w:val="nil"/>
              <w:left w:val="nil"/>
            </w:tcBorders>
            <w:vAlign w:val="bottom"/>
          </w:tcPr>
          <w:p w:rsidR="00D724FA" w:rsidRDefault="00D724FA" w:rsidP="00A858D8">
            <w:pPr>
              <w:pStyle w:val="IASBTableArial"/>
            </w:pPr>
          </w:p>
        </w:tc>
        <w:tc>
          <w:tcPr>
            <w:tcW w:w="216" w:type="dxa"/>
            <w:gridSpan w:val="2"/>
            <w:tcBorders>
              <w:top w:val="nil"/>
              <w:left w:val="nil"/>
            </w:tcBorders>
            <w:vAlign w:val="bottom"/>
          </w:tcPr>
          <w:p w:rsidR="00D724FA" w:rsidRDefault="00D724FA" w:rsidP="00A858D8">
            <w:pPr>
              <w:pStyle w:val="IASBTableArial"/>
              <w:jc w:val="right"/>
            </w:pPr>
          </w:p>
        </w:tc>
        <w:tc>
          <w:tcPr>
            <w:tcW w:w="1786" w:type="dxa"/>
            <w:tcBorders>
              <w:top w:val="nil"/>
              <w:left w:val="nil"/>
              <w:bottom w:val="double" w:sz="4" w:space="0" w:color="auto"/>
            </w:tcBorders>
            <w:vAlign w:val="bottom"/>
          </w:tcPr>
          <w:p w:rsidR="00D724FA" w:rsidRDefault="00D724FA" w:rsidP="00A858D8">
            <w:pPr>
              <w:pStyle w:val="IASBTableArial"/>
              <w:jc w:val="right"/>
            </w:pPr>
            <w:r>
              <w:rPr>
                <w:b/>
                <w:i/>
              </w:rPr>
              <w:t>(CU0.15)</w:t>
            </w:r>
          </w:p>
        </w:tc>
      </w:tr>
      <w:tr w:rsidR="00D724FA" w:rsidTr="00A858D8">
        <w:trPr>
          <w:cantSplit/>
        </w:trPr>
        <w:tc>
          <w:tcPr>
            <w:tcW w:w="9208" w:type="dxa"/>
            <w:gridSpan w:val="9"/>
            <w:tcBorders>
              <w:top w:val="nil"/>
            </w:tcBorders>
            <w:vAlign w:val="bottom"/>
          </w:tcPr>
          <w:p w:rsidR="00D724FA" w:rsidRDefault="00D724FA" w:rsidP="00A858D8">
            <w:pPr>
              <w:pStyle w:val="IASBTableTNR"/>
            </w:pPr>
            <w:r>
              <w:rPr>
                <w:rStyle w:val="FootnoteReference"/>
                <w:sz w:val="16"/>
                <w:vertAlign w:val="baseline"/>
              </w:rPr>
              <w:t>(a)</w:t>
            </w:r>
            <w:r>
              <w:rPr>
                <w:rStyle w:val="FootnoteReference"/>
                <w:sz w:val="16"/>
                <w:vertAlign w:val="baseline"/>
              </w:rPr>
              <w:tab/>
              <w:t xml:space="preserve">[(CU65 − CU55) ÷ CU65] × 600,000 = 92,308 shares; 92,308 × </w:t>
            </w:r>
            <w:r>
              <w:rPr>
                <w:rStyle w:val="FootnoteReference"/>
                <w:sz w:val="16"/>
              </w:rPr>
              <w:t>2</w:t>
            </w:r>
            <w:r>
              <w:rPr>
                <w:rStyle w:val="FootnoteReference"/>
                <w:sz w:val="16"/>
                <w:vertAlign w:val="baseline"/>
              </w:rPr>
              <w:t>/</w:t>
            </w:r>
            <w:r>
              <w:rPr>
                <w:rStyle w:val="FootnoteReference"/>
                <w:sz w:val="16"/>
                <w:vertAlign w:val="subscript"/>
              </w:rPr>
              <w:t>3</w:t>
            </w:r>
            <w:r>
              <w:rPr>
                <w:rStyle w:val="FootnoteReference"/>
                <w:sz w:val="16"/>
                <w:vertAlign w:val="baseline"/>
              </w:rPr>
              <w:t xml:space="preserve"> = 61,538 shares</w:t>
            </w:r>
          </w:p>
        </w:tc>
      </w:tr>
    </w:tbl>
    <w:p w:rsidR="00D724FA" w:rsidRDefault="00D724FA" w:rsidP="00D724FA">
      <w:pPr>
        <w:pStyle w:val="IASBNormalnpara"/>
      </w:pPr>
    </w:p>
    <w:p w:rsidR="00D724FA" w:rsidRDefault="00D724FA" w:rsidP="00D724FA">
      <w:pPr>
        <w:pStyle w:val="IASBNormal"/>
      </w:pPr>
      <w:r>
        <w:t>Note: The incremental shares from assumed conversions are included in calculating the diluted per-share amounts for the loss from discontinued operations and loss even though they are antidilutive. This is because the control number (profit from continuing operations attributable to ordinary equity holders of the parent entity, adjusted for preference dividends) was positive (</w:t>
      </w:r>
      <w:proofErr w:type="spellStart"/>
      <w:r>
        <w:t>ie</w:t>
      </w:r>
      <w:proofErr w:type="spellEnd"/>
      <w:r>
        <w:t xml:space="preserve"> profit, rather than loss).</w:t>
      </w:r>
    </w:p>
    <w:p w:rsidR="00D724FA" w:rsidRDefault="00D724FA" w:rsidP="00D724FA">
      <w:pPr>
        <w:pStyle w:val="IASBNormalnpara"/>
      </w:pPr>
    </w:p>
    <w:tbl>
      <w:tblPr>
        <w:tblW w:w="0" w:type="auto"/>
        <w:tblLayout w:type="fixed"/>
        <w:tblLook w:val="0000" w:firstRow="0" w:lastRow="0" w:firstColumn="0" w:lastColumn="0" w:noHBand="0" w:noVBand="0"/>
        <w:tblCaption w:val="AASB 133 Table 31"/>
      </w:tblPr>
      <w:tblGrid>
        <w:gridCol w:w="4203"/>
        <w:gridCol w:w="1820"/>
        <w:gridCol w:w="1456"/>
        <w:gridCol w:w="273"/>
        <w:gridCol w:w="1456"/>
      </w:tblGrid>
      <w:tr w:rsidR="00D724FA" w:rsidTr="00A858D8">
        <w:trPr>
          <w:cantSplit/>
        </w:trPr>
        <w:tc>
          <w:tcPr>
            <w:tcW w:w="9208" w:type="dxa"/>
            <w:gridSpan w:val="5"/>
            <w:tcBorders>
              <w:bottom w:val="single" w:sz="4" w:space="0" w:color="auto"/>
            </w:tcBorders>
            <w:vAlign w:val="bottom"/>
          </w:tcPr>
          <w:p w:rsidR="00D724FA" w:rsidRDefault="00D724FA" w:rsidP="00A858D8">
            <w:pPr>
              <w:pStyle w:val="IASBTableArial"/>
            </w:pPr>
            <w:r>
              <w:rPr>
                <w:b/>
              </w:rPr>
              <w:t>Fourth Quarter 20X1</w:t>
            </w:r>
          </w:p>
        </w:tc>
      </w:tr>
      <w:tr w:rsidR="00D724FA" w:rsidTr="00A858D8">
        <w:trPr>
          <w:cantSplit/>
        </w:trPr>
        <w:tc>
          <w:tcPr>
            <w:tcW w:w="6023" w:type="dxa"/>
            <w:gridSpan w:val="2"/>
            <w:tcBorders>
              <w:top w:val="nil"/>
            </w:tcBorders>
            <w:vAlign w:val="bottom"/>
          </w:tcPr>
          <w:p w:rsidR="00D724FA" w:rsidRDefault="00D724FA" w:rsidP="00A858D8">
            <w:pPr>
              <w:pStyle w:val="IASBTableArial"/>
            </w:pPr>
            <w:r>
              <w:rPr>
                <w:i/>
              </w:rPr>
              <w:t>Basic EPS calculation</w:t>
            </w:r>
          </w:p>
        </w:tc>
        <w:tc>
          <w:tcPr>
            <w:tcW w:w="1456" w:type="dxa"/>
            <w:tcBorders>
              <w:top w:val="nil"/>
              <w:left w:val="nil"/>
            </w:tcBorders>
            <w:vAlign w:val="bottom"/>
          </w:tcPr>
          <w:p w:rsidR="00D724FA" w:rsidRDefault="00D724FA" w:rsidP="00A858D8">
            <w:pPr>
              <w:pStyle w:val="IASBTableArial"/>
            </w:pPr>
          </w:p>
        </w:tc>
        <w:tc>
          <w:tcPr>
            <w:tcW w:w="273" w:type="dxa"/>
            <w:tcBorders>
              <w:top w:val="nil"/>
              <w:left w:val="nil"/>
            </w:tcBorders>
            <w:vAlign w:val="bottom"/>
          </w:tcPr>
          <w:p w:rsidR="00D724FA" w:rsidRDefault="00D724FA" w:rsidP="00A858D8">
            <w:pPr>
              <w:pStyle w:val="IASBTableArial"/>
            </w:pPr>
          </w:p>
        </w:tc>
        <w:tc>
          <w:tcPr>
            <w:tcW w:w="1456" w:type="dxa"/>
            <w:tcBorders>
              <w:top w:val="nil"/>
              <w:left w:val="nil"/>
            </w:tcBorders>
            <w:vAlign w:val="bottom"/>
          </w:tcPr>
          <w:p w:rsidR="00D724FA" w:rsidRDefault="00D724FA" w:rsidP="00A858D8">
            <w:pPr>
              <w:pStyle w:val="IASBTableArial"/>
              <w:jc w:val="right"/>
            </w:pPr>
            <w:r>
              <w:rPr>
                <w:u w:val="single"/>
              </w:rPr>
              <w:t>CU</w:t>
            </w:r>
          </w:p>
        </w:tc>
      </w:tr>
      <w:tr w:rsidR="00D724FA" w:rsidTr="00A858D8">
        <w:trPr>
          <w:cantSplit/>
        </w:trPr>
        <w:tc>
          <w:tcPr>
            <w:tcW w:w="7479" w:type="dxa"/>
            <w:gridSpan w:val="3"/>
            <w:tcBorders>
              <w:top w:val="nil"/>
            </w:tcBorders>
            <w:vAlign w:val="bottom"/>
          </w:tcPr>
          <w:p w:rsidR="00D724FA" w:rsidRDefault="00D724FA" w:rsidP="00A858D8">
            <w:pPr>
              <w:pStyle w:val="IASBTableArial"/>
            </w:pPr>
            <w:r>
              <w:t>Loss from continuing operations attributable to the parent entity</w:t>
            </w:r>
          </w:p>
        </w:tc>
        <w:tc>
          <w:tcPr>
            <w:tcW w:w="273" w:type="dxa"/>
            <w:tcBorders>
              <w:top w:val="nil"/>
              <w:left w:val="nil"/>
            </w:tcBorders>
            <w:vAlign w:val="bottom"/>
          </w:tcPr>
          <w:p w:rsidR="00D724FA" w:rsidRDefault="00D724FA" w:rsidP="00A858D8">
            <w:pPr>
              <w:pStyle w:val="IASBTableArial"/>
            </w:pPr>
          </w:p>
        </w:tc>
        <w:tc>
          <w:tcPr>
            <w:tcW w:w="1456" w:type="dxa"/>
            <w:tcBorders>
              <w:top w:val="nil"/>
              <w:left w:val="nil"/>
            </w:tcBorders>
            <w:vAlign w:val="bottom"/>
          </w:tcPr>
          <w:p w:rsidR="00D724FA" w:rsidRDefault="00D724FA" w:rsidP="00A858D8">
            <w:pPr>
              <w:pStyle w:val="IASBTableArial"/>
              <w:jc w:val="right"/>
            </w:pPr>
            <w:r>
              <w:t>(700,000)</w:t>
            </w:r>
          </w:p>
        </w:tc>
      </w:tr>
      <w:tr w:rsidR="00D724FA" w:rsidTr="00A858D8">
        <w:trPr>
          <w:cantSplit/>
        </w:trPr>
        <w:tc>
          <w:tcPr>
            <w:tcW w:w="7479" w:type="dxa"/>
            <w:gridSpan w:val="3"/>
            <w:tcBorders>
              <w:top w:val="nil"/>
            </w:tcBorders>
            <w:vAlign w:val="bottom"/>
          </w:tcPr>
          <w:p w:rsidR="00D724FA" w:rsidRDefault="00D724FA" w:rsidP="00A858D8">
            <w:pPr>
              <w:pStyle w:val="IASBTableArial"/>
            </w:pPr>
            <w:r>
              <w:t>Add: preference share dividends</w:t>
            </w:r>
          </w:p>
        </w:tc>
        <w:tc>
          <w:tcPr>
            <w:tcW w:w="273" w:type="dxa"/>
            <w:tcBorders>
              <w:top w:val="nil"/>
              <w:left w:val="nil"/>
            </w:tcBorders>
            <w:vAlign w:val="bottom"/>
          </w:tcPr>
          <w:p w:rsidR="00D724FA" w:rsidRDefault="00D724FA" w:rsidP="00A858D8">
            <w:pPr>
              <w:pStyle w:val="IASBTableArial"/>
            </w:pPr>
          </w:p>
        </w:tc>
        <w:tc>
          <w:tcPr>
            <w:tcW w:w="1456" w:type="dxa"/>
            <w:tcBorders>
              <w:top w:val="nil"/>
              <w:left w:val="nil"/>
              <w:bottom w:val="single" w:sz="4" w:space="0" w:color="auto"/>
            </w:tcBorders>
            <w:vAlign w:val="bottom"/>
          </w:tcPr>
          <w:p w:rsidR="00D724FA" w:rsidRDefault="00D724FA" w:rsidP="00A858D8">
            <w:pPr>
              <w:pStyle w:val="IASBTableArial"/>
              <w:jc w:val="right"/>
            </w:pPr>
            <w:r>
              <w:t>(10,000)</w:t>
            </w:r>
          </w:p>
        </w:tc>
      </w:tr>
      <w:tr w:rsidR="00D724FA" w:rsidTr="00A858D8">
        <w:trPr>
          <w:cantSplit/>
        </w:trPr>
        <w:tc>
          <w:tcPr>
            <w:tcW w:w="7479" w:type="dxa"/>
            <w:gridSpan w:val="3"/>
            <w:tcBorders>
              <w:top w:val="nil"/>
            </w:tcBorders>
            <w:vAlign w:val="bottom"/>
          </w:tcPr>
          <w:p w:rsidR="00D724FA" w:rsidRDefault="00D724FA" w:rsidP="00A858D8">
            <w:pPr>
              <w:pStyle w:val="IASBTableArial"/>
            </w:pPr>
            <w:r>
              <w:rPr>
                <w:b/>
              </w:rPr>
              <w:t>Loss attributable to ordinary equity holders of the parent entity</w:t>
            </w:r>
          </w:p>
        </w:tc>
        <w:tc>
          <w:tcPr>
            <w:tcW w:w="273" w:type="dxa"/>
            <w:tcBorders>
              <w:top w:val="nil"/>
              <w:left w:val="nil"/>
            </w:tcBorders>
            <w:vAlign w:val="bottom"/>
          </w:tcPr>
          <w:p w:rsidR="00D724FA" w:rsidRDefault="00D724FA" w:rsidP="00A858D8">
            <w:pPr>
              <w:pStyle w:val="IASBTableArial"/>
            </w:pPr>
          </w:p>
        </w:tc>
        <w:tc>
          <w:tcPr>
            <w:tcW w:w="1456" w:type="dxa"/>
            <w:tcBorders>
              <w:top w:val="nil"/>
              <w:left w:val="nil"/>
              <w:bottom w:val="double" w:sz="4" w:space="0" w:color="auto"/>
            </w:tcBorders>
            <w:vAlign w:val="bottom"/>
          </w:tcPr>
          <w:p w:rsidR="00D724FA" w:rsidRDefault="00D724FA" w:rsidP="00A858D8">
            <w:pPr>
              <w:pStyle w:val="IASBTableArial"/>
              <w:jc w:val="right"/>
            </w:pPr>
            <w:r>
              <w:t>(710,000)</w:t>
            </w:r>
          </w:p>
        </w:tc>
      </w:tr>
      <w:tr w:rsidR="00D724FA" w:rsidTr="00A858D8">
        <w:trPr>
          <w:cantSplit/>
        </w:trPr>
        <w:tc>
          <w:tcPr>
            <w:tcW w:w="4203" w:type="dxa"/>
            <w:tcBorders>
              <w:top w:val="nil"/>
            </w:tcBorders>
          </w:tcPr>
          <w:p w:rsidR="00D724FA" w:rsidRDefault="00D724FA" w:rsidP="00A858D8">
            <w:pPr>
              <w:pStyle w:val="IASBTableArial"/>
            </w:pPr>
          </w:p>
        </w:tc>
        <w:tc>
          <w:tcPr>
            <w:tcW w:w="1820" w:type="dxa"/>
            <w:tcBorders>
              <w:top w:val="nil"/>
              <w:left w:val="nil"/>
            </w:tcBorders>
          </w:tcPr>
          <w:p w:rsidR="00D724FA" w:rsidRDefault="00D724FA" w:rsidP="00A858D8">
            <w:pPr>
              <w:pStyle w:val="IASBTableArial"/>
            </w:pPr>
          </w:p>
        </w:tc>
        <w:tc>
          <w:tcPr>
            <w:tcW w:w="1456" w:type="dxa"/>
            <w:tcBorders>
              <w:top w:val="nil"/>
              <w:left w:val="nil"/>
            </w:tcBorders>
          </w:tcPr>
          <w:p w:rsidR="00D724FA" w:rsidRDefault="00D724FA" w:rsidP="00A858D8">
            <w:pPr>
              <w:pStyle w:val="IASBTableArial"/>
            </w:pPr>
          </w:p>
        </w:tc>
        <w:tc>
          <w:tcPr>
            <w:tcW w:w="273" w:type="dxa"/>
            <w:tcBorders>
              <w:top w:val="nil"/>
              <w:left w:val="nil"/>
            </w:tcBorders>
          </w:tcPr>
          <w:p w:rsidR="00D724FA" w:rsidRDefault="00D724FA" w:rsidP="00A858D8">
            <w:pPr>
              <w:pStyle w:val="IASBTableArial"/>
            </w:pPr>
          </w:p>
        </w:tc>
        <w:tc>
          <w:tcPr>
            <w:tcW w:w="1456" w:type="dxa"/>
            <w:tcBorders>
              <w:top w:val="nil"/>
              <w:left w:val="nil"/>
            </w:tcBorders>
          </w:tcPr>
          <w:p w:rsidR="00D724FA" w:rsidRDefault="00D724FA" w:rsidP="00A858D8">
            <w:pPr>
              <w:pStyle w:val="IASBTableArial"/>
            </w:pPr>
          </w:p>
        </w:tc>
      </w:tr>
      <w:tr w:rsidR="00D724FA" w:rsidTr="00A858D8">
        <w:trPr>
          <w:cantSplit/>
        </w:trPr>
        <w:tc>
          <w:tcPr>
            <w:tcW w:w="4203" w:type="dxa"/>
            <w:tcBorders>
              <w:top w:val="nil"/>
            </w:tcBorders>
          </w:tcPr>
          <w:p w:rsidR="00D724FA" w:rsidRDefault="00D724FA" w:rsidP="00A858D8">
            <w:pPr>
              <w:pStyle w:val="IASBTableArial"/>
            </w:pPr>
            <w:r>
              <w:rPr>
                <w:i/>
              </w:rPr>
              <w:t>Dates</w:t>
            </w:r>
          </w:p>
        </w:tc>
        <w:tc>
          <w:tcPr>
            <w:tcW w:w="1820" w:type="dxa"/>
            <w:tcBorders>
              <w:top w:val="nil"/>
              <w:left w:val="nil"/>
            </w:tcBorders>
          </w:tcPr>
          <w:p w:rsidR="00D724FA" w:rsidRDefault="00D724FA" w:rsidP="00A858D8">
            <w:pPr>
              <w:pStyle w:val="IASBTableArial"/>
              <w:jc w:val="right"/>
            </w:pPr>
            <w:r>
              <w:rPr>
                <w:i/>
              </w:rPr>
              <w:t>Shares outstanding</w:t>
            </w:r>
          </w:p>
        </w:tc>
        <w:tc>
          <w:tcPr>
            <w:tcW w:w="1456" w:type="dxa"/>
            <w:tcBorders>
              <w:top w:val="nil"/>
              <w:left w:val="nil"/>
            </w:tcBorders>
          </w:tcPr>
          <w:p w:rsidR="00D724FA" w:rsidRDefault="00D724FA" w:rsidP="00A858D8">
            <w:pPr>
              <w:pStyle w:val="IASBTableArial"/>
              <w:jc w:val="right"/>
            </w:pPr>
            <w:r>
              <w:rPr>
                <w:i/>
              </w:rPr>
              <w:t>Fraction of period</w:t>
            </w:r>
          </w:p>
        </w:tc>
        <w:tc>
          <w:tcPr>
            <w:tcW w:w="273" w:type="dxa"/>
            <w:tcBorders>
              <w:top w:val="nil"/>
              <w:left w:val="nil"/>
            </w:tcBorders>
          </w:tcPr>
          <w:p w:rsidR="00D724FA" w:rsidRDefault="00D724FA" w:rsidP="00A858D8">
            <w:pPr>
              <w:pStyle w:val="IASBTableArial"/>
            </w:pPr>
          </w:p>
        </w:tc>
        <w:tc>
          <w:tcPr>
            <w:tcW w:w="1456" w:type="dxa"/>
            <w:tcBorders>
              <w:top w:val="nil"/>
              <w:left w:val="nil"/>
            </w:tcBorders>
          </w:tcPr>
          <w:p w:rsidR="00D724FA" w:rsidRDefault="00D724FA" w:rsidP="00A858D8">
            <w:pPr>
              <w:pStyle w:val="IASBTableArial"/>
              <w:jc w:val="right"/>
            </w:pPr>
            <w:r>
              <w:rPr>
                <w:i/>
              </w:rPr>
              <w:t>Weighted-average shares</w:t>
            </w:r>
          </w:p>
        </w:tc>
      </w:tr>
      <w:tr w:rsidR="00D724FA" w:rsidTr="00A858D8">
        <w:trPr>
          <w:cantSplit/>
        </w:trPr>
        <w:tc>
          <w:tcPr>
            <w:tcW w:w="4203" w:type="dxa"/>
            <w:tcBorders>
              <w:top w:val="nil"/>
            </w:tcBorders>
          </w:tcPr>
          <w:p w:rsidR="00D724FA" w:rsidRDefault="00D724FA" w:rsidP="00A858D8">
            <w:pPr>
              <w:pStyle w:val="IASBTableArial"/>
            </w:pPr>
            <w:r>
              <w:t>1 October–31 December</w:t>
            </w:r>
          </w:p>
        </w:tc>
        <w:tc>
          <w:tcPr>
            <w:tcW w:w="1820" w:type="dxa"/>
            <w:tcBorders>
              <w:top w:val="nil"/>
              <w:left w:val="nil"/>
            </w:tcBorders>
            <w:vAlign w:val="bottom"/>
          </w:tcPr>
          <w:p w:rsidR="00D724FA" w:rsidRDefault="00D724FA" w:rsidP="00A858D8">
            <w:pPr>
              <w:pStyle w:val="IASBTableArial"/>
              <w:jc w:val="right"/>
            </w:pPr>
            <w:r>
              <w:t>6,880,000</w:t>
            </w:r>
          </w:p>
        </w:tc>
        <w:tc>
          <w:tcPr>
            <w:tcW w:w="1456" w:type="dxa"/>
            <w:tcBorders>
              <w:top w:val="nil"/>
              <w:left w:val="nil"/>
            </w:tcBorders>
            <w:vAlign w:val="bottom"/>
          </w:tcPr>
          <w:p w:rsidR="00D724FA" w:rsidRDefault="00D724FA" w:rsidP="00A858D8">
            <w:pPr>
              <w:pStyle w:val="IASBTableArial"/>
              <w:jc w:val="right"/>
            </w:pPr>
            <w:r>
              <w:rPr>
                <w:vertAlign w:val="superscript"/>
              </w:rPr>
              <w:t>3</w:t>
            </w:r>
            <w:r>
              <w:t>/</w:t>
            </w:r>
            <w:r>
              <w:rPr>
                <w:vertAlign w:val="subscript"/>
              </w:rPr>
              <w:t>3</w:t>
            </w:r>
          </w:p>
        </w:tc>
        <w:tc>
          <w:tcPr>
            <w:tcW w:w="273" w:type="dxa"/>
            <w:tcBorders>
              <w:top w:val="nil"/>
              <w:left w:val="nil"/>
            </w:tcBorders>
            <w:vAlign w:val="bottom"/>
          </w:tcPr>
          <w:p w:rsidR="00D724FA" w:rsidRDefault="00D724FA" w:rsidP="00A858D8">
            <w:pPr>
              <w:pStyle w:val="IASBTableArial"/>
            </w:pPr>
          </w:p>
        </w:tc>
        <w:tc>
          <w:tcPr>
            <w:tcW w:w="1456" w:type="dxa"/>
            <w:tcBorders>
              <w:top w:val="nil"/>
              <w:left w:val="nil"/>
              <w:bottom w:val="single" w:sz="4" w:space="0" w:color="auto"/>
            </w:tcBorders>
            <w:vAlign w:val="bottom"/>
          </w:tcPr>
          <w:p w:rsidR="00D724FA" w:rsidRDefault="00D724FA" w:rsidP="00A858D8">
            <w:pPr>
              <w:pStyle w:val="IASBTableArial"/>
              <w:jc w:val="right"/>
            </w:pPr>
            <w:r>
              <w:t>6,880,000</w:t>
            </w:r>
          </w:p>
        </w:tc>
      </w:tr>
      <w:tr w:rsidR="00D724FA" w:rsidTr="00A858D8">
        <w:trPr>
          <w:cantSplit/>
        </w:trPr>
        <w:tc>
          <w:tcPr>
            <w:tcW w:w="4203" w:type="dxa"/>
            <w:tcBorders>
              <w:top w:val="nil"/>
            </w:tcBorders>
          </w:tcPr>
          <w:p w:rsidR="00D724FA" w:rsidRDefault="00D724FA" w:rsidP="00A858D8">
            <w:pPr>
              <w:pStyle w:val="IASBTableArial"/>
            </w:pPr>
            <w:r>
              <w:rPr>
                <w:b/>
              </w:rPr>
              <w:t>Weighted-average shares</w:t>
            </w:r>
          </w:p>
        </w:tc>
        <w:tc>
          <w:tcPr>
            <w:tcW w:w="1820" w:type="dxa"/>
            <w:tcBorders>
              <w:top w:val="nil"/>
              <w:left w:val="nil"/>
            </w:tcBorders>
            <w:vAlign w:val="bottom"/>
          </w:tcPr>
          <w:p w:rsidR="00D724FA" w:rsidRDefault="00D724FA" w:rsidP="00A858D8">
            <w:pPr>
              <w:pStyle w:val="IASBTableArial"/>
            </w:pPr>
          </w:p>
        </w:tc>
        <w:tc>
          <w:tcPr>
            <w:tcW w:w="1456" w:type="dxa"/>
            <w:tcBorders>
              <w:top w:val="nil"/>
              <w:left w:val="nil"/>
            </w:tcBorders>
            <w:vAlign w:val="bottom"/>
          </w:tcPr>
          <w:p w:rsidR="00D724FA" w:rsidRDefault="00D724FA" w:rsidP="00A858D8">
            <w:pPr>
              <w:pStyle w:val="IASBTableArial"/>
            </w:pPr>
          </w:p>
        </w:tc>
        <w:tc>
          <w:tcPr>
            <w:tcW w:w="273" w:type="dxa"/>
            <w:tcBorders>
              <w:top w:val="nil"/>
              <w:left w:val="nil"/>
            </w:tcBorders>
            <w:vAlign w:val="bottom"/>
          </w:tcPr>
          <w:p w:rsidR="00D724FA" w:rsidRDefault="00D724FA" w:rsidP="00A858D8">
            <w:pPr>
              <w:pStyle w:val="IASBTableArial"/>
            </w:pPr>
          </w:p>
        </w:tc>
        <w:tc>
          <w:tcPr>
            <w:tcW w:w="1456" w:type="dxa"/>
            <w:tcBorders>
              <w:top w:val="nil"/>
              <w:left w:val="nil"/>
              <w:bottom w:val="double" w:sz="4" w:space="0" w:color="auto"/>
            </w:tcBorders>
            <w:vAlign w:val="bottom"/>
          </w:tcPr>
          <w:p w:rsidR="00D724FA" w:rsidRDefault="00D724FA" w:rsidP="00A858D8">
            <w:pPr>
              <w:pStyle w:val="IASBTableArial"/>
              <w:jc w:val="right"/>
            </w:pPr>
            <w:r>
              <w:t>6,880,000</w:t>
            </w:r>
          </w:p>
        </w:tc>
      </w:tr>
      <w:tr w:rsidR="00D724FA" w:rsidTr="00A858D8">
        <w:trPr>
          <w:cantSplit/>
        </w:trPr>
        <w:tc>
          <w:tcPr>
            <w:tcW w:w="4203" w:type="dxa"/>
            <w:tcBorders>
              <w:top w:val="nil"/>
            </w:tcBorders>
          </w:tcPr>
          <w:p w:rsidR="00D724FA" w:rsidRDefault="00D724FA" w:rsidP="00A858D8">
            <w:pPr>
              <w:pStyle w:val="IASBTableArial"/>
            </w:pPr>
          </w:p>
        </w:tc>
        <w:tc>
          <w:tcPr>
            <w:tcW w:w="1820" w:type="dxa"/>
            <w:tcBorders>
              <w:top w:val="nil"/>
              <w:left w:val="nil"/>
            </w:tcBorders>
          </w:tcPr>
          <w:p w:rsidR="00D724FA" w:rsidRDefault="00D724FA" w:rsidP="00A858D8">
            <w:pPr>
              <w:pStyle w:val="IASBTableArial"/>
            </w:pPr>
          </w:p>
        </w:tc>
        <w:tc>
          <w:tcPr>
            <w:tcW w:w="1456" w:type="dxa"/>
            <w:tcBorders>
              <w:top w:val="nil"/>
              <w:left w:val="nil"/>
            </w:tcBorders>
          </w:tcPr>
          <w:p w:rsidR="00D724FA" w:rsidRDefault="00D724FA" w:rsidP="00A858D8">
            <w:pPr>
              <w:pStyle w:val="IASBTableArial"/>
            </w:pPr>
          </w:p>
        </w:tc>
        <w:tc>
          <w:tcPr>
            <w:tcW w:w="273" w:type="dxa"/>
            <w:tcBorders>
              <w:top w:val="nil"/>
              <w:left w:val="nil"/>
            </w:tcBorders>
          </w:tcPr>
          <w:p w:rsidR="00D724FA" w:rsidRDefault="00D724FA" w:rsidP="00A858D8">
            <w:pPr>
              <w:pStyle w:val="IASBTableArial"/>
            </w:pPr>
          </w:p>
        </w:tc>
        <w:tc>
          <w:tcPr>
            <w:tcW w:w="1456" w:type="dxa"/>
            <w:tcBorders>
              <w:top w:val="nil"/>
              <w:left w:val="nil"/>
            </w:tcBorders>
          </w:tcPr>
          <w:p w:rsidR="00D724FA" w:rsidRDefault="00D724FA" w:rsidP="00A858D8">
            <w:pPr>
              <w:pStyle w:val="IASBTableArial"/>
            </w:pPr>
          </w:p>
        </w:tc>
      </w:tr>
      <w:tr w:rsidR="00D724FA" w:rsidTr="00A858D8">
        <w:trPr>
          <w:cantSplit/>
        </w:trPr>
        <w:tc>
          <w:tcPr>
            <w:tcW w:w="7479" w:type="dxa"/>
            <w:gridSpan w:val="3"/>
            <w:tcBorders>
              <w:top w:val="nil"/>
            </w:tcBorders>
            <w:vAlign w:val="bottom"/>
          </w:tcPr>
          <w:p w:rsidR="00D724FA" w:rsidRDefault="00D724FA" w:rsidP="00A858D8">
            <w:pPr>
              <w:pStyle w:val="IASBTableArial"/>
            </w:pPr>
            <w:r>
              <w:rPr>
                <w:b/>
                <w:i/>
              </w:rPr>
              <w:t>Basic and diluted EPS</w:t>
            </w:r>
          </w:p>
        </w:tc>
        <w:tc>
          <w:tcPr>
            <w:tcW w:w="273" w:type="dxa"/>
            <w:tcBorders>
              <w:top w:val="nil"/>
              <w:left w:val="nil"/>
            </w:tcBorders>
            <w:vAlign w:val="bottom"/>
          </w:tcPr>
          <w:p w:rsidR="00D724FA" w:rsidRDefault="00D724FA" w:rsidP="00A858D8">
            <w:pPr>
              <w:pStyle w:val="IASBTableArial"/>
            </w:pPr>
          </w:p>
        </w:tc>
        <w:tc>
          <w:tcPr>
            <w:tcW w:w="1456" w:type="dxa"/>
            <w:tcBorders>
              <w:top w:val="nil"/>
              <w:left w:val="nil"/>
            </w:tcBorders>
            <w:vAlign w:val="center"/>
          </w:tcPr>
          <w:p w:rsidR="00D724FA" w:rsidRDefault="00D724FA" w:rsidP="00A858D8">
            <w:pPr>
              <w:pStyle w:val="IASBTableArial"/>
            </w:pPr>
          </w:p>
        </w:tc>
      </w:tr>
      <w:tr w:rsidR="00D724FA" w:rsidTr="00A858D8">
        <w:trPr>
          <w:cantSplit/>
        </w:trPr>
        <w:tc>
          <w:tcPr>
            <w:tcW w:w="7479" w:type="dxa"/>
            <w:gridSpan w:val="3"/>
            <w:tcBorders>
              <w:top w:val="nil"/>
            </w:tcBorders>
            <w:vAlign w:val="bottom"/>
          </w:tcPr>
          <w:p w:rsidR="00D724FA" w:rsidRDefault="00D724FA" w:rsidP="00A858D8">
            <w:pPr>
              <w:pStyle w:val="IASBTableArial"/>
            </w:pPr>
            <w:r>
              <w:t>Loss attributable to ordinary equity holders of the parent entity</w:t>
            </w:r>
          </w:p>
        </w:tc>
        <w:tc>
          <w:tcPr>
            <w:tcW w:w="273" w:type="dxa"/>
            <w:tcBorders>
              <w:top w:val="nil"/>
              <w:left w:val="nil"/>
            </w:tcBorders>
            <w:vAlign w:val="bottom"/>
          </w:tcPr>
          <w:p w:rsidR="00D724FA" w:rsidRDefault="00D724FA" w:rsidP="00A858D8">
            <w:pPr>
              <w:pStyle w:val="IASBTableArial"/>
            </w:pPr>
          </w:p>
        </w:tc>
        <w:tc>
          <w:tcPr>
            <w:tcW w:w="1456" w:type="dxa"/>
            <w:tcBorders>
              <w:top w:val="nil"/>
              <w:left w:val="nil"/>
              <w:bottom w:val="double" w:sz="4" w:space="0" w:color="auto"/>
            </w:tcBorders>
            <w:vAlign w:val="bottom"/>
          </w:tcPr>
          <w:p w:rsidR="00D724FA" w:rsidRDefault="00D724FA" w:rsidP="00A858D8">
            <w:pPr>
              <w:pStyle w:val="IASBTableArial"/>
              <w:jc w:val="right"/>
            </w:pPr>
            <w:r>
              <w:rPr>
                <w:b/>
                <w:i/>
              </w:rPr>
              <w:t>(CU0.10)</w:t>
            </w:r>
          </w:p>
        </w:tc>
      </w:tr>
    </w:tbl>
    <w:p w:rsidR="00D724FA" w:rsidRDefault="00D724FA" w:rsidP="00D724FA">
      <w:pPr>
        <w:pStyle w:val="IASBNormalnpara"/>
      </w:pPr>
    </w:p>
    <w:p w:rsidR="00D724FA" w:rsidRDefault="00D724FA" w:rsidP="00D724FA">
      <w:pPr>
        <w:pStyle w:val="IASBNormal"/>
      </w:pPr>
      <w:r>
        <w:t>Note: The incremental shares from assumed conversions are not included in calculating the diluted per-share amounts because the control number (loss from continuing operations attributable to ordinary equity holders of the parent entity adjusted for preference dividends) was negative (</w:t>
      </w:r>
      <w:proofErr w:type="spellStart"/>
      <w:r>
        <w:t>ie</w:t>
      </w:r>
      <w:proofErr w:type="spellEnd"/>
      <w:r>
        <w:t xml:space="preserve"> a loss, rather than profit).</w:t>
      </w:r>
    </w:p>
    <w:p w:rsidR="00D724FA" w:rsidRDefault="00D724FA" w:rsidP="00D724FA">
      <w:pPr>
        <w:pStyle w:val="IASBNormalnpara"/>
      </w:pPr>
    </w:p>
    <w:tbl>
      <w:tblPr>
        <w:tblW w:w="0" w:type="auto"/>
        <w:tblLayout w:type="fixed"/>
        <w:tblLook w:val="0000" w:firstRow="0" w:lastRow="0" w:firstColumn="0" w:lastColumn="0" w:noHBand="0" w:noVBand="0"/>
        <w:tblCaption w:val="AASB 133 Table 32"/>
      </w:tblPr>
      <w:tblGrid>
        <w:gridCol w:w="472"/>
        <w:gridCol w:w="2821"/>
        <w:gridCol w:w="1547"/>
        <w:gridCol w:w="195"/>
        <w:gridCol w:w="41"/>
        <w:gridCol w:w="1513"/>
        <w:gridCol w:w="236"/>
        <w:gridCol w:w="239"/>
        <w:gridCol w:w="1638"/>
      </w:tblGrid>
      <w:tr w:rsidR="00D724FA" w:rsidTr="00A858D8">
        <w:trPr>
          <w:cantSplit/>
        </w:trPr>
        <w:tc>
          <w:tcPr>
            <w:tcW w:w="8662" w:type="dxa"/>
            <w:gridSpan w:val="9"/>
            <w:tcBorders>
              <w:bottom w:val="single" w:sz="4" w:space="0" w:color="auto"/>
            </w:tcBorders>
            <w:vAlign w:val="bottom"/>
          </w:tcPr>
          <w:p w:rsidR="00D724FA" w:rsidRDefault="00D724FA" w:rsidP="00A858D8">
            <w:pPr>
              <w:pStyle w:val="IASBTableArial"/>
            </w:pPr>
            <w:r>
              <w:rPr>
                <w:b/>
              </w:rPr>
              <w:t>Full Year 20X1</w:t>
            </w:r>
          </w:p>
        </w:tc>
      </w:tr>
      <w:tr w:rsidR="00D724FA" w:rsidTr="00A858D8">
        <w:trPr>
          <w:cantSplit/>
        </w:trPr>
        <w:tc>
          <w:tcPr>
            <w:tcW w:w="7024" w:type="dxa"/>
            <w:gridSpan w:val="8"/>
            <w:tcBorders>
              <w:top w:val="nil"/>
            </w:tcBorders>
            <w:vAlign w:val="bottom"/>
          </w:tcPr>
          <w:p w:rsidR="00D724FA" w:rsidRDefault="00D724FA" w:rsidP="00A858D8">
            <w:pPr>
              <w:pStyle w:val="IASBTableArial"/>
            </w:pPr>
            <w:r>
              <w:rPr>
                <w:i/>
              </w:rPr>
              <w:t>Basic EPS calculation</w:t>
            </w:r>
          </w:p>
        </w:tc>
        <w:tc>
          <w:tcPr>
            <w:tcW w:w="1638" w:type="dxa"/>
            <w:tcBorders>
              <w:top w:val="nil"/>
              <w:left w:val="nil"/>
            </w:tcBorders>
            <w:vAlign w:val="bottom"/>
          </w:tcPr>
          <w:p w:rsidR="00D724FA" w:rsidRDefault="00D724FA" w:rsidP="00A858D8">
            <w:pPr>
              <w:pStyle w:val="IASBTableArial"/>
              <w:jc w:val="right"/>
            </w:pPr>
            <w:r>
              <w:rPr>
                <w:u w:val="single"/>
              </w:rPr>
              <w:t>CU</w:t>
            </w:r>
          </w:p>
        </w:tc>
      </w:tr>
      <w:tr w:rsidR="00D724FA" w:rsidTr="00A858D8">
        <w:trPr>
          <w:cantSplit/>
        </w:trPr>
        <w:tc>
          <w:tcPr>
            <w:tcW w:w="7024" w:type="dxa"/>
            <w:gridSpan w:val="8"/>
            <w:tcBorders>
              <w:top w:val="nil"/>
            </w:tcBorders>
            <w:vAlign w:val="bottom"/>
          </w:tcPr>
          <w:p w:rsidR="00D724FA" w:rsidRDefault="00D724FA" w:rsidP="00A858D8">
            <w:pPr>
              <w:pStyle w:val="IASBTableArial"/>
            </w:pPr>
            <w:r>
              <w:t>Profit from continuing operations attributable to the parent entity</w:t>
            </w:r>
          </w:p>
        </w:tc>
        <w:tc>
          <w:tcPr>
            <w:tcW w:w="1638" w:type="dxa"/>
            <w:tcBorders>
              <w:top w:val="nil"/>
              <w:left w:val="nil"/>
            </w:tcBorders>
            <w:vAlign w:val="bottom"/>
          </w:tcPr>
          <w:p w:rsidR="00D724FA" w:rsidRDefault="00D724FA" w:rsidP="00A858D8">
            <w:pPr>
              <w:pStyle w:val="IASBTableArial"/>
              <w:jc w:val="right"/>
            </w:pPr>
            <w:r>
              <w:t>11,800,000</w:t>
            </w:r>
          </w:p>
        </w:tc>
      </w:tr>
      <w:tr w:rsidR="00D724FA" w:rsidTr="00A858D8">
        <w:trPr>
          <w:cantSplit/>
        </w:trPr>
        <w:tc>
          <w:tcPr>
            <w:tcW w:w="7024" w:type="dxa"/>
            <w:gridSpan w:val="8"/>
            <w:tcBorders>
              <w:top w:val="nil"/>
            </w:tcBorders>
            <w:vAlign w:val="bottom"/>
          </w:tcPr>
          <w:p w:rsidR="00D724FA" w:rsidRDefault="00D724FA" w:rsidP="00A858D8">
            <w:pPr>
              <w:pStyle w:val="IASBTableArial"/>
            </w:pPr>
            <w:r>
              <w:t>Less: preference share dividends</w:t>
            </w:r>
          </w:p>
        </w:tc>
        <w:tc>
          <w:tcPr>
            <w:tcW w:w="1638" w:type="dxa"/>
            <w:tcBorders>
              <w:top w:val="nil"/>
              <w:left w:val="nil"/>
              <w:bottom w:val="single" w:sz="4" w:space="0" w:color="auto"/>
            </w:tcBorders>
            <w:vAlign w:val="bottom"/>
          </w:tcPr>
          <w:p w:rsidR="00D724FA" w:rsidRDefault="00D724FA" w:rsidP="00A858D8">
            <w:pPr>
              <w:pStyle w:val="IASBTableArial"/>
              <w:jc w:val="right"/>
            </w:pPr>
            <w:r>
              <w:t>(70,000)</w:t>
            </w:r>
          </w:p>
        </w:tc>
      </w:tr>
      <w:tr w:rsidR="00D724FA" w:rsidTr="00A858D8">
        <w:trPr>
          <w:cantSplit/>
        </w:trPr>
        <w:tc>
          <w:tcPr>
            <w:tcW w:w="6569" w:type="dxa"/>
            <w:gridSpan w:val="6"/>
            <w:tcBorders>
              <w:top w:val="nil"/>
            </w:tcBorders>
            <w:vAlign w:val="bottom"/>
          </w:tcPr>
          <w:p w:rsidR="00D724FA" w:rsidRDefault="00D724FA" w:rsidP="00A858D8">
            <w:pPr>
              <w:pStyle w:val="IASBTableArial"/>
            </w:pPr>
            <w:r>
              <w:rPr>
                <w:b/>
              </w:rPr>
              <w:t>Profit from continuing operations attributable to ordinary equity holders of the parent entity</w:t>
            </w:r>
          </w:p>
        </w:tc>
        <w:tc>
          <w:tcPr>
            <w:tcW w:w="216" w:type="dxa"/>
            <w:tcBorders>
              <w:top w:val="nil"/>
              <w:left w:val="nil"/>
            </w:tcBorders>
            <w:vAlign w:val="bottom"/>
          </w:tcPr>
          <w:p w:rsidR="00D724FA" w:rsidRDefault="00D724FA" w:rsidP="00A858D8">
            <w:pPr>
              <w:pStyle w:val="IASBTableArial"/>
            </w:pPr>
          </w:p>
        </w:tc>
        <w:tc>
          <w:tcPr>
            <w:tcW w:w="239" w:type="dxa"/>
            <w:tcBorders>
              <w:top w:val="nil"/>
              <w:left w:val="nil"/>
            </w:tcBorders>
            <w:vAlign w:val="bottom"/>
          </w:tcPr>
          <w:p w:rsidR="00D724FA" w:rsidRDefault="00D724FA" w:rsidP="00A858D8">
            <w:pPr>
              <w:pStyle w:val="IASBTableArial"/>
              <w:jc w:val="right"/>
            </w:pPr>
          </w:p>
        </w:tc>
        <w:tc>
          <w:tcPr>
            <w:tcW w:w="1638" w:type="dxa"/>
            <w:tcBorders>
              <w:top w:val="nil"/>
              <w:left w:val="nil"/>
            </w:tcBorders>
            <w:vAlign w:val="bottom"/>
          </w:tcPr>
          <w:p w:rsidR="00D724FA" w:rsidRDefault="00D724FA" w:rsidP="00A858D8">
            <w:pPr>
              <w:pStyle w:val="IASBTableArial"/>
              <w:jc w:val="right"/>
            </w:pPr>
            <w:r>
              <w:t>11,730,000</w:t>
            </w:r>
          </w:p>
        </w:tc>
      </w:tr>
      <w:tr w:rsidR="00D724FA" w:rsidTr="00A858D8">
        <w:trPr>
          <w:cantSplit/>
        </w:trPr>
        <w:tc>
          <w:tcPr>
            <w:tcW w:w="6569" w:type="dxa"/>
            <w:gridSpan w:val="6"/>
            <w:tcBorders>
              <w:top w:val="nil"/>
            </w:tcBorders>
            <w:vAlign w:val="bottom"/>
          </w:tcPr>
          <w:p w:rsidR="00D724FA" w:rsidRDefault="00D724FA" w:rsidP="00A858D8">
            <w:pPr>
              <w:pStyle w:val="IASBTableArial"/>
            </w:pPr>
            <w:r>
              <w:t>Loss from discontinued operations attributable to the parent entity</w:t>
            </w:r>
          </w:p>
        </w:tc>
        <w:tc>
          <w:tcPr>
            <w:tcW w:w="216" w:type="dxa"/>
            <w:tcBorders>
              <w:top w:val="nil"/>
              <w:left w:val="nil"/>
            </w:tcBorders>
            <w:vAlign w:val="bottom"/>
          </w:tcPr>
          <w:p w:rsidR="00D724FA" w:rsidRDefault="00D724FA" w:rsidP="00A858D8">
            <w:pPr>
              <w:pStyle w:val="IASBTableArial"/>
            </w:pPr>
          </w:p>
        </w:tc>
        <w:tc>
          <w:tcPr>
            <w:tcW w:w="239" w:type="dxa"/>
            <w:tcBorders>
              <w:top w:val="nil"/>
              <w:left w:val="nil"/>
            </w:tcBorders>
            <w:vAlign w:val="bottom"/>
          </w:tcPr>
          <w:p w:rsidR="00D724FA" w:rsidRDefault="00D724FA" w:rsidP="00A858D8">
            <w:pPr>
              <w:pStyle w:val="IASBTableArial"/>
              <w:jc w:val="right"/>
            </w:pPr>
          </w:p>
        </w:tc>
        <w:tc>
          <w:tcPr>
            <w:tcW w:w="1638" w:type="dxa"/>
            <w:tcBorders>
              <w:top w:val="nil"/>
              <w:left w:val="nil"/>
              <w:bottom w:val="single" w:sz="4" w:space="0" w:color="auto"/>
            </w:tcBorders>
            <w:vAlign w:val="bottom"/>
          </w:tcPr>
          <w:p w:rsidR="00D724FA" w:rsidRDefault="00D724FA" w:rsidP="00A858D8">
            <w:pPr>
              <w:pStyle w:val="IASBTableArial"/>
              <w:jc w:val="right"/>
            </w:pPr>
            <w:r>
              <w:t>(2,000,000)</w:t>
            </w:r>
          </w:p>
        </w:tc>
      </w:tr>
      <w:tr w:rsidR="00D724FA" w:rsidTr="00A858D8">
        <w:trPr>
          <w:cantSplit/>
        </w:trPr>
        <w:tc>
          <w:tcPr>
            <w:tcW w:w="6569" w:type="dxa"/>
            <w:gridSpan w:val="6"/>
            <w:tcBorders>
              <w:top w:val="nil"/>
            </w:tcBorders>
            <w:vAlign w:val="bottom"/>
          </w:tcPr>
          <w:p w:rsidR="00D724FA" w:rsidRDefault="00D724FA" w:rsidP="00A858D8">
            <w:pPr>
              <w:pStyle w:val="IASBTableArial"/>
            </w:pPr>
            <w:r>
              <w:t>Profit attributable to ordinary equity holders of the parent entity</w:t>
            </w:r>
          </w:p>
        </w:tc>
        <w:tc>
          <w:tcPr>
            <w:tcW w:w="216" w:type="dxa"/>
            <w:tcBorders>
              <w:top w:val="nil"/>
              <w:left w:val="nil"/>
            </w:tcBorders>
            <w:vAlign w:val="bottom"/>
          </w:tcPr>
          <w:p w:rsidR="00D724FA" w:rsidRDefault="00D724FA" w:rsidP="00A858D8">
            <w:pPr>
              <w:pStyle w:val="IASBTableArial"/>
            </w:pPr>
          </w:p>
        </w:tc>
        <w:tc>
          <w:tcPr>
            <w:tcW w:w="239" w:type="dxa"/>
            <w:tcBorders>
              <w:top w:val="nil"/>
              <w:left w:val="nil"/>
            </w:tcBorders>
            <w:vAlign w:val="bottom"/>
          </w:tcPr>
          <w:p w:rsidR="00D724FA" w:rsidRDefault="00D724FA" w:rsidP="00A858D8">
            <w:pPr>
              <w:pStyle w:val="IASBTableArial"/>
              <w:jc w:val="right"/>
            </w:pPr>
          </w:p>
        </w:tc>
        <w:tc>
          <w:tcPr>
            <w:tcW w:w="1638" w:type="dxa"/>
            <w:tcBorders>
              <w:top w:val="nil"/>
              <w:left w:val="nil"/>
              <w:bottom w:val="double" w:sz="4" w:space="0" w:color="auto"/>
            </w:tcBorders>
            <w:vAlign w:val="bottom"/>
          </w:tcPr>
          <w:p w:rsidR="00D724FA" w:rsidRDefault="00D724FA" w:rsidP="00A858D8">
            <w:pPr>
              <w:pStyle w:val="IASBTableArial"/>
              <w:jc w:val="right"/>
            </w:pPr>
            <w:r>
              <w:t>9,730,000</w:t>
            </w:r>
          </w:p>
        </w:tc>
      </w:tr>
      <w:tr w:rsidR="00D724FA" w:rsidTr="00A858D8">
        <w:trPr>
          <w:cantSplit/>
        </w:trPr>
        <w:tc>
          <w:tcPr>
            <w:tcW w:w="472" w:type="dxa"/>
            <w:tcBorders>
              <w:top w:val="nil"/>
            </w:tcBorders>
            <w:vAlign w:val="bottom"/>
          </w:tcPr>
          <w:p w:rsidR="00D724FA" w:rsidRDefault="00D724FA" w:rsidP="00A858D8">
            <w:pPr>
              <w:pStyle w:val="IASBTableArial"/>
            </w:pPr>
          </w:p>
        </w:tc>
        <w:tc>
          <w:tcPr>
            <w:tcW w:w="2821" w:type="dxa"/>
            <w:tcBorders>
              <w:top w:val="nil"/>
              <w:left w:val="nil"/>
            </w:tcBorders>
          </w:tcPr>
          <w:p w:rsidR="00D724FA" w:rsidRDefault="00D724FA" w:rsidP="00A858D8">
            <w:pPr>
              <w:pStyle w:val="IASBTableArial"/>
            </w:pPr>
          </w:p>
        </w:tc>
        <w:tc>
          <w:tcPr>
            <w:tcW w:w="1547" w:type="dxa"/>
            <w:tcBorders>
              <w:top w:val="nil"/>
              <w:left w:val="nil"/>
            </w:tcBorders>
          </w:tcPr>
          <w:p w:rsidR="00D724FA" w:rsidRDefault="00D724FA" w:rsidP="00A858D8">
            <w:pPr>
              <w:pStyle w:val="IASBTableArial"/>
            </w:pPr>
          </w:p>
        </w:tc>
        <w:tc>
          <w:tcPr>
            <w:tcW w:w="216" w:type="dxa"/>
            <w:gridSpan w:val="2"/>
            <w:tcBorders>
              <w:top w:val="nil"/>
              <w:left w:val="nil"/>
            </w:tcBorders>
          </w:tcPr>
          <w:p w:rsidR="00D724FA" w:rsidRDefault="00D724FA" w:rsidP="00A858D8">
            <w:pPr>
              <w:pStyle w:val="IASBTableArial"/>
            </w:pPr>
          </w:p>
        </w:tc>
        <w:tc>
          <w:tcPr>
            <w:tcW w:w="1513" w:type="dxa"/>
            <w:tcBorders>
              <w:top w:val="nil"/>
              <w:left w:val="nil"/>
            </w:tcBorders>
          </w:tcPr>
          <w:p w:rsidR="00D724FA" w:rsidRDefault="00D724FA" w:rsidP="00A858D8">
            <w:pPr>
              <w:pStyle w:val="IASBTableArial"/>
            </w:pPr>
          </w:p>
        </w:tc>
        <w:tc>
          <w:tcPr>
            <w:tcW w:w="216" w:type="dxa"/>
            <w:tcBorders>
              <w:top w:val="nil"/>
              <w:left w:val="nil"/>
            </w:tcBorders>
            <w:vAlign w:val="bottom"/>
          </w:tcPr>
          <w:p w:rsidR="00D724FA" w:rsidRDefault="00D724FA" w:rsidP="00A858D8">
            <w:pPr>
              <w:pStyle w:val="IASBTableArial"/>
            </w:pPr>
          </w:p>
        </w:tc>
        <w:tc>
          <w:tcPr>
            <w:tcW w:w="239" w:type="dxa"/>
            <w:tcBorders>
              <w:top w:val="nil"/>
              <w:left w:val="nil"/>
            </w:tcBorders>
          </w:tcPr>
          <w:p w:rsidR="00D724FA" w:rsidRDefault="00D724FA" w:rsidP="00A858D8">
            <w:pPr>
              <w:pStyle w:val="IASBTableArial"/>
            </w:pPr>
          </w:p>
        </w:tc>
        <w:tc>
          <w:tcPr>
            <w:tcW w:w="1638" w:type="dxa"/>
            <w:tcBorders>
              <w:top w:val="nil"/>
              <w:left w:val="nil"/>
            </w:tcBorders>
          </w:tcPr>
          <w:p w:rsidR="00D724FA" w:rsidRDefault="00D724FA" w:rsidP="00A858D8">
            <w:pPr>
              <w:pStyle w:val="IASBTableArial"/>
            </w:pPr>
          </w:p>
        </w:tc>
      </w:tr>
      <w:tr w:rsidR="00D724FA" w:rsidTr="00A858D8">
        <w:trPr>
          <w:cantSplit/>
        </w:trPr>
        <w:tc>
          <w:tcPr>
            <w:tcW w:w="3293" w:type="dxa"/>
            <w:gridSpan w:val="2"/>
            <w:tcBorders>
              <w:top w:val="nil"/>
            </w:tcBorders>
          </w:tcPr>
          <w:p w:rsidR="00D724FA" w:rsidRDefault="00D724FA" w:rsidP="00A858D8">
            <w:pPr>
              <w:pStyle w:val="IASBTableArial"/>
            </w:pPr>
            <w:r>
              <w:rPr>
                <w:i/>
              </w:rPr>
              <w:t>Dates</w:t>
            </w:r>
          </w:p>
        </w:tc>
        <w:tc>
          <w:tcPr>
            <w:tcW w:w="1547" w:type="dxa"/>
            <w:tcBorders>
              <w:top w:val="nil"/>
              <w:left w:val="nil"/>
            </w:tcBorders>
          </w:tcPr>
          <w:p w:rsidR="00D724FA" w:rsidRDefault="00D724FA" w:rsidP="00A858D8">
            <w:pPr>
              <w:pStyle w:val="IASBTableArial"/>
              <w:jc w:val="right"/>
            </w:pPr>
            <w:r>
              <w:rPr>
                <w:i/>
              </w:rPr>
              <w:t>Shares outstanding</w:t>
            </w:r>
          </w:p>
        </w:tc>
        <w:tc>
          <w:tcPr>
            <w:tcW w:w="216" w:type="dxa"/>
            <w:gridSpan w:val="2"/>
            <w:tcBorders>
              <w:top w:val="nil"/>
              <w:left w:val="nil"/>
            </w:tcBorders>
            <w:vAlign w:val="bottom"/>
          </w:tcPr>
          <w:p w:rsidR="00D724FA" w:rsidRDefault="00D724FA" w:rsidP="00A858D8">
            <w:pPr>
              <w:pStyle w:val="IASBTableArial"/>
              <w:jc w:val="right"/>
            </w:pPr>
          </w:p>
        </w:tc>
        <w:tc>
          <w:tcPr>
            <w:tcW w:w="1513" w:type="dxa"/>
            <w:tcBorders>
              <w:top w:val="nil"/>
              <w:left w:val="nil"/>
            </w:tcBorders>
          </w:tcPr>
          <w:p w:rsidR="00D724FA" w:rsidRDefault="00D724FA" w:rsidP="00A858D8">
            <w:pPr>
              <w:pStyle w:val="IASBTableArial"/>
              <w:jc w:val="right"/>
            </w:pPr>
            <w:r>
              <w:rPr>
                <w:i/>
              </w:rPr>
              <w:t>Fraction of period</w:t>
            </w:r>
          </w:p>
        </w:tc>
        <w:tc>
          <w:tcPr>
            <w:tcW w:w="216" w:type="dxa"/>
            <w:tcBorders>
              <w:top w:val="nil"/>
              <w:left w:val="nil"/>
            </w:tcBorders>
          </w:tcPr>
          <w:p w:rsidR="00D724FA" w:rsidRDefault="00D724FA" w:rsidP="00A858D8">
            <w:pPr>
              <w:pStyle w:val="IASBTableArial"/>
            </w:pPr>
          </w:p>
        </w:tc>
        <w:tc>
          <w:tcPr>
            <w:tcW w:w="1877" w:type="dxa"/>
            <w:gridSpan w:val="2"/>
            <w:tcBorders>
              <w:top w:val="nil"/>
              <w:left w:val="nil"/>
            </w:tcBorders>
          </w:tcPr>
          <w:p w:rsidR="00D724FA" w:rsidRDefault="00D724FA" w:rsidP="00A858D8">
            <w:pPr>
              <w:pStyle w:val="IASBTableArial"/>
              <w:jc w:val="right"/>
            </w:pPr>
            <w:r>
              <w:rPr>
                <w:i/>
              </w:rPr>
              <w:t>Weighted-average shares</w:t>
            </w:r>
          </w:p>
        </w:tc>
      </w:tr>
      <w:tr w:rsidR="00D724FA" w:rsidTr="00A858D8">
        <w:trPr>
          <w:cantSplit/>
        </w:trPr>
        <w:tc>
          <w:tcPr>
            <w:tcW w:w="3293" w:type="dxa"/>
            <w:gridSpan w:val="2"/>
            <w:tcBorders>
              <w:top w:val="nil"/>
            </w:tcBorders>
          </w:tcPr>
          <w:p w:rsidR="00D724FA" w:rsidRDefault="00D724FA" w:rsidP="00A858D8">
            <w:pPr>
              <w:pStyle w:val="IASBTableArial"/>
            </w:pPr>
            <w:r>
              <w:t>1 January–28 February</w:t>
            </w:r>
          </w:p>
        </w:tc>
        <w:tc>
          <w:tcPr>
            <w:tcW w:w="1547" w:type="dxa"/>
            <w:tcBorders>
              <w:top w:val="nil"/>
              <w:left w:val="nil"/>
            </w:tcBorders>
            <w:vAlign w:val="bottom"/>
          </w:tcPr>
          <w:p w:rsidR="00D724FA" w:rsidRDefault="00D724FA" w:rsidP="00A858D8">
            <w:pPr>
              <w:pStyle w:val="IASBTableArial"/>
              <w:jc w:val="right"/>
            </w:pPr>
            <w:r>
              <w:t>5,000,000</w:t>
            </w:r>
          </w:p>
        </w:tc>
        <w:tc>
          <w:tcPr>
            <w:tcW w:w="216" w:type="dxa"/>
            <w:gridSpan w:val="2"/>
            <w:tcBorders>
              <w:top w:val="nil"/>
              <w:left w:val="nil"/>
            </w:tcBorders>
            <w:vAlign w:val="bottom"/>
          </w:tcPr>
          <w:p w:rsidR="00D724FA" w:rsidRDefault="00D724FA" w:rsidP="00A858D8">
            <w:pPr>
              <w:pStyle w:val="IASBTableArial"/>
              <w:jc w:val="right"/>
            </w:pPr>
          </w:p>
        </w:tc>
        <w:tc>
          <w:tcPr>
            <w:tcW w:w="1513" w:type="dxa"/>
            <w:tcBorders>
              <w:top w:val="nil"/>
              <w:left w:val="nil"/>
            </w:tcBorders>
            <w:vAlign w:val="bottom"/>
          </w:tcPr>
          <w:p w:rsidR="00D724FA" w:rsidRDefault="00D724FA" w:rsidP="00A858D8">
            <w:pPr>
              <w:pStyle w:val="IASBTableArial"/>
              <w:jc w:val="right"/>
            </w:pPr>
            <w:r>
              <w:rPr>
                <w:vertAlign w:val="superscript"/>
              </w:rPr>
              <w:t>2</w:t>
            </w:r>
            <w:r>
              <w:t>/</w:t>
            </w:r>
            <w:r>
              <w:rPr>
                <w:vertAlign w:val="subscript"/>
              </w:rPr>
              <w:t>12</w:t>
            </w:r>
          </w:p>
        </w:tc>
        <w:tc>
          <w:tcPr>
            <w:tcW w:w="216" w:type="dxa"/>
            <w:tcBorders>
              <w:top w:val="nil"/>
              <w:left w:val="nil"/>
            </w:tcBorders>
            <w:vAlign w:val="bottom"/>
          </w:tcPr>
          <w:p w:rsidR="00D724FA" w:rsidRDefault="00D724FA" w:rsidP="00A858D8">
            <w:pPr>
              <w:pStyle w:val="IASBTableArial"/>
            </w:pPr>
          </w:p>
        </w:tc>
        <w:tc>
          <w:tcPr>
            <w:tcW w:w="239" w:type="dxa"/>
            <w:tcBorders>
              <w:top w:val="nil"/>
              <w:left w:val="nil"/>
            </w:tcBorders>
            <w:vAlign w:val="bottom"/>
          </w:tcPr>
          <w:p w:rsidR="00D724FA" w:rsidRDefault="00D724FA" w:rsidP="00A858D8">
            <w:pPr>
              <w:pStyle w:val="IASBTableArial"/>
              <w:jc w:val="right"/>
            </w:pPr>
          </w:p>
        </w:tc>
        <w:tc>
          <w:tcPr>
            <w:tcW w:w="1638" w:type="dxa"/>
            <w:tcBorders>
              <w:top w:val="nil"/>
              <w:left w:val="nil"/>
            </w:tcBorders>
            <w:vAlign w:val="bottom"/>
          </w:tcPr>
          <w:p w:rsidR="00D724FA" w:rsidRDefault="00D724FA" w:rsidP="00A858D8">
            <w:pPr>
              <w:pStyle w:val="IASBTableArial"/>
              <w:jc w:val="right"/>
            </w:pPr>
            <w:r>
              <w:t>833,333</w:t>
            </w:r>
          </w:p>
        </w:tc>
      </w:tr>
      <w:tr w:rsidR="00D724FA" w:rsidTr="00A858D8">
        <w:trPr>
          <w:cantSplit/>
        </w:trPr>
        <w:tc>
          <w:tcPr>
            <w:tcW w:w="3293" w:type="dxa"/>
            <w:gridSpan w:val="2"/>
            <w:tcBorders>
              <w:top w:val="nil"/>
            </w:tcBorders>
          </w:tcPr>
          <w:p w:rsidR="00D724FA" w:rsidRDefault="00D724FA" w:rsidP="00A858D8">
            <w:pPr>
              <w:pStyle w:val="IASBTableArial"/>
            </w:pPr>
            <w:r>
              <w:rPr>
                <w:i/>
              </w:rPr>
              <w:t>Issue of ordinary shares on 1 March</w:t>
            </w:r>
          </w:p>
        </w:tc>
        <w:tc>
          <w:tcPr>
            <w:tcW w:w="1547" w:type="dxa"/>
            <w:tcBorders>
              <w:top w:val="nil"/>
              <w:left w:val="nil"/>
              <w:bottom w:val="single" w:sz="4" w:space="0" w:color="auto"/>
            </w:tcBorders>
            <w:vAlign w:val="bottom"/>
          </w:tcPr>
          <w:p w:rsidR="00D724FA" w:rsidRDefault="00D724FA" w:rsidP="00A858D8">
            <w:pPr>
              <w:pStyle w:val="IASBTableArial"/>
              <w:jc w:val="right"/>
            </w:pPr>
            <w:r>
              <w:t>200,000</w:t>
            </w:r>
          </w:p>
        </w:tc>
        <w:tc>
          <w:tcPr>
            <w:tcW w:w="216" w:type="dxa"/>
            <w:gridSpan w:val="2"/>
            <w:tcBorders>
              <w:top w:val="nil"/>
              <w:left w:val="nil"/>
            </w:tcBorders>
            <w:vAlign w:val="center"/>
          </w:tcPr>
          <w:p w:rsidR="00D724FA" w:rsidRDefault="00D724FA" w:rsidP="00A858D8">
            <w:pPr>
              <w:pStyle w:val="IASBTableArial"/>
            </w:pPr>
          </w:p>
        </w:tc>
        <w:tc>
          <w:tcPr>
            <w:tcW w:w="1513" w:type="dxa"/>
            <w:tcBorders>
              <w:top w:val="nil"/>
              <w:left w:val="nil"/>
            </w:tcBorders>
            <w:vAlign w:val="bottom"/>
          </w:tcPr>
          <w:p w:rsidR="00D724FA" w:rsidRDefault="00D724FA" w:rsidP="00A858D8">
            <w:pPr>
              <w:pStyle w:val="IASBTableArial"/>
            </w:pPr>
          </w:p>
        </w:tc>
        <w:tc>
          <w:tcPr>
            <w:tcW w:w="216" w:type="dxa"/>
            <w:tcBorders>
              <w:top w:val="nil"/>
              <w:left w:val="nil"/>
            </w:tcBorders>
            <w:vAlign w:val="bottom"/>
          </w:tcPr>
          <w:p w:rsidR="00D724FA" w:rsidRDefault="00D724FA" w:rsidP="00A858D8">
            <w:pPr>
              <w:pStyle w:val="IASBTableArial"/>
            </w:pPr>
          </w:p>
        </w:tc>
        <w:tc>
          <w:tcPr>
            <w:tcW w:w="239" w:type="dxa"/>
            <w:tcBorders>
              <w:top w:val="nil"/>
              <w:left w:val="nil"/>
            </w:tcBorders>
            <w:vAlign w:val="bottom"/>
          </w:tcPr>
          <w:p w:rsidR="00D724FA" w:rsidRDefault="00D724FA" w:rsidP="00A858D8">
            <w:pPr>
              <w:pStyle w:val="IASBTableArial"/>
            </w:pPr>
          </w:p>
        </w:tc>
        <w:tc>
          <w:tcPr>
            <w:tcW w:w="1638" w:type="dxa"/>
            <w:tcBorders>
              <w:top w:val="nil"/>
              <w:left w:val="nil"/>
            </w:tcBorders>
            <w:vAlign w:val="center"/>
          </w:tcPr>
          <w:p w:rsidR="00D724FA" w:rsidRDefault="00D724FA" w:rsidP="00A858D8">
            <w:pPr>
              <w:pStyle w:val="IASBTableArial"/>
            </w:pPr>
          </w:p>
        </w:tc>
      </w:tr>
      <w:tr w:rsidR="00D724FA" w:rsidTr="00A858D8">
        <w:trPr>
          <w:cantSplit/>
        </w:trPr>
        <w:tc>
          <w:tcPr>
            <w:tcW w:w="3293" w:type="dxa"/>
            <w:gridSpan w:val="2"/>
            <w:tcBorders>
              <w:top w:val="nil"/>
            </w:tcBorders>
          </w:tcPr>
          <w:p w:rsidR="00D724FA" w:rsidRDefault="00D724FA" w:rsidP="00A858D8">
            <w:pPr>
              <w:pStyle w:val="IASBTableArial"/>
            </w:pPr>
            <w:r>
              <w:t>1 March–31 March</w:t>
            </w:r>
          </w:p>
        </w:tc>
        <w:tc>
          <w:tcPr>
            <w:tcW w:w="1547" w:type="dxa"/>
            <w:tcBorders>
              <w:top w:val="nil"/>
              <w:left w:val="nil"/>
            </w:tcBorders>
            <w:vAlign w:val="bottom"/>
          </w:tcPr>
          <w:p w:rsidR="00D724FA" w:rsidRDefault="00D724FA" w:rsidP="00A858D8">
            <w:pPr>
              <w:pStyle w:val="IASBTableArial"/>
              <w:jc w:val="right"/>
            </w:pPr>
            <w:r>
              <w:t>5,200,000</w:t>
            </w:r>
          </w:p>
        </w:tc>
        <w:tc>
          <w:tcPr>
            <w:tcW w:w="216" w:type="dxa"/>
            <w:gridSpan w:val="2"/>
            <w:tcBorders>
              <w:top w:val="nil"/>
              <w:left w:val="nil"/>
            </w:tcBorders>
            <w:vAlign w:val="bottom"/>
          </w:tcPr>
          <w:p w:rsidR="00D724FA" w:rsidRDefault="00D724FA" w:rsidP="00A858D8">
            <w:pPr>
              <w:pStyle w:val="IASBTableArial"/>
              <w:jc w:val="right"/>
            </w:pPr>
          </w:p>
        </w:tc>
        <w:tc>
          <w:tcPr>
            <w:tcW w:w="1513" w:type="dxa"/>
            <w:tcBorders>
              <w:top w:val="nil"/>
              <w:left w:val="nil"/>
            </w:tcBorders>
            <w:vAlign w:val="bottom"/>
          </w:tcPr>
          <w:p w:rsidR="00D724FA" w:rsidRDefault="00D724FA" w:rsidP="00A858D8">
            <w:pPr>
              <w:pStyle w:val="IASBTableArial"/>
              <w:jc w:val="right"/>
            </w:pPr>
            <w:r>
              <w:rPr>
                <w:vertAlign w:val="superscript"/>
              </w:rPr>
              <w:t>1</w:t>
            </w:r>
            <w:r>
              <w:t>/</w:t>
            </w:r>
            <w:r>
              <w:rPr>
                <w:vertAlign w:val="subscript"/>
              </w:rPr>
              <w:t>12</w:t>
            </w:r>
          </w:p>
        </w:tc>
        <w:tc>
          <w:tcPr>
            <w:tcW w:w="216" w:type="dxa"/>
            <w:tcBorders>
              <w:top w:val="nil"/>
              <w:left w:val="nil"/>
            </w:tcBorders>
            <w:vAlign w:val="bottom"/>
          </w:tcPr>
          <w:p w:rsidR="00D724FA" w:rsidRDefault="00D724FA" w:rsidP="00A858D8">
            <w:pPr>
              <w:pStyle w:val="IASBTableArial"/>
            </w:pPr>
          </w:p>
        </w:tc>
        <w:tc>
          <w:tcPr>
            <w:tcW w:w="239" w:type="dxa"/>
            <w:tcBorders>
              <w:top w:val="nil"/>
              <w:left w:val="nil"/>
            </w:tcBorders>
            <w:vAlign w:val="bottom"/>
          </w:tcPr>
          <w:p w:rsidR="00D724FA" w:rsidRDefault="00D724FA" w:rsidP="00A858D8">
            <w:pPr>
              <w:pStyle w:val="IASBTableArial"/>
              <w:jc w:val="right"/>
            </w:pPr>
          </w:p>
        </w:tc>
        <w:tc>
          <w:tcPr>
            <w:tcW w:w="1638" w:type="dxa"/>
            <w:tcBorders>
              <w:top w:val="nil"/>
              <w:left w:val="nil"/>
            </w:tcBorders>
            <w:vAlign w:val="bottom"/>
          </w:tcPr>
          <w:p w:rsidR="00D724FA" w:rsidRDefault="00D724FA" w:rsidP="00A858D8">
            <w:pPr>
              <w:pStyle w:val="IASBTableArial"/>
              <w:jc w:val="right"/>
            </w:pPr>
            <w:r>
              <w:t>433,333</w:t>
            </w:r>
          </w:p>
        </w:tc>
      </w:tr>
      <w:tr w:rsidR="00D724FA" w:rsidTr="00A858D8">
        <w:trPr>
          <w:cantSplit/>
        </w:trPr>
        <w:tc>
          <w:tcPr>
            <w:tcW w:w="3293" w:type="dxa"/>
            <w:gridSpan w:val="2"/>
            <w:tcBorders>
              <w:top w:val="nil"/>
            </w:tcBorders>
          </w:tcPr>
          <w:p w:rsidR="00D724FA" w:rsidRDefault="00D724FA" w:rsidP="00A858D8">
            <w:pPr>
              <w:pStyle w:val="IASBTableArial"/>
            </w:pPr>
            <w:r>
              <w:rPr>
                <w:i/>
              </w:rPr>
              <w:t>Conversion of 5% bonds on 1 April</w:t>
            </w:r>
          </w:p>
        </w:tc>
        <w:tc>
          <w:tcPr>
            <w:tcW w:w="1547" w:type="dxa"/>
            <w:tcBorders>
              <w:top w:val="nil"/>
              <w:left w:val="nil"/>
              <w:bottom w:val="single" w:sz="4" w:space="0" w:color="auto"/>
            </w:tcBorders>
            <w:vAlign w:val="bottom"/>
          </w:tcPr>
          <w:p w:rsidR="00D724FA" w:rsidRDefault="00D724FA" w:rsidP="00A858D8">
            <w:pPr>
              <w:pStyle w:val="IASBTableArial"/>
              <w:jc w:val="right"/>
            </w:pPr>
            <w:r>
              <w:t>480,000</w:t>
            </w:r>
          </w:p>
        </w:tc>
        <w:tc>
          <w:tcPr>
            <w:tcW w:w="216" w:type="dxa"/>
            <w:gridSpan w:val="2"/>
            <w:tcBorders>
              <w:top w:val="nil"/>
              <w:left w:val="nil"/>
            </w:tcBorders>
            <w:vAlign w:val="center"/>
          </w:tcPr>
          <w:p w:rsidR="00D724FA" w:rsidRDefault="00D724FA" w:rsidP="00A858D8">
            <w:pPr>
              <w:pStyle w:val="IASBTableArial"/>
            </w:pPr>
          </w:p>
        </w:tc>
        <w:tc>
          <w:tcPr>
            <w:tcW w:w="1513" w:type="dxa"/>
            <w:tcBorders>
              <w:top w:val="nil"/>
              <w:left w:val="nil"/>
            </w:tcBorders>
            <w:vAlign w:val="bottom"/>
          </w:tcPr>
          <w:p w:rsidR="00D724FA" w:rsidRDefault="00D724FA" w:rsidP="00A858D8">
            <w:pPr>
              <w:pStyle w:val="IASBTableArial"/>
            </w:pPr>
          </w:p>
        </w:tc>
        <w:tc>
          <w:tcPr>
            <w:tcW w:w="216" w:type="dxa"/>
            <w:tcBorders>
              <w:top w:val="nil"/>
              <w:left w:val="nil"/>
            </w:tcBorders>
            <w:vAlign w:val="bottom"/>
          </w:tcPr>
          <w:p w:rsidR="00D724FA" w:rsidRDefault="00D724FA" w:rsidP="00A858D8">
            <w:pPr>
              <w:pStyle w:val="IASBTableArial"/>
            </w:pPr>
          </w:p>
        </w:tc>
        <w:tc>
          <w:tcPr>
            <w:tcW w:w="239" w:type="dxa"/>
            <w:tcBorders>
              <w:top w:val="nil"/>
              <w:left w:val="nil"/>
            </w:tcBorders>
            <w:vAlign w:val="bottom"/>
          </w:tcPr>
          <w:p w:rsidR="00D724FA" w:rsidRDefault="00D724FA" w:rsidP="00A858D8">
            <w:pPr>
              <w:pStyle w:val="IASBTableArial"/>
            </w:pPr>
          </w:p>
        </w:tc>
        <w:tc>
          <w:tcPr>
            <w:tcW w:w="1638" w:type="dxa"/>
            <w:tcBorders>
              <w:top w:val="nil"/>
              <w:left w:val="nil"/>
            </w:tcBorders>
            <w:vAlign w:val="center"/>
          </w:tcPr>
          <w:p w:rsidR="00D724FA" w:rsidRDefault="00D724FA" w:rsidP="00A858D8">
            <w:pPr>
              <w:pStyle w:val="IASBTableArial"/>
            </w:pPr>
          </w:p>
        </w:tc>
      </w:tr>
      <w:tr w:rsidR="00D724FA" w:rsidTr="00A858D8">
        <w:trPr>
          <w:cantSplit/>
        </w:trPr>
        <w:tc>
          <w:tcPr>
            <w:tcW w:w="3293" w:type="dxa"/>
            <w:gridSpan w:val="2"/>
            <w:tcBorders>
              <w:top w:val="nil"/>
            </w:tcBorders>
          </w:tcPr>
          <w:p w:rsidR="00D724FA" w:rsidRDefault="00D724FA" w:rsidP="00A858D8">
            <w:pPr>
              <w:pStyle w:val="IASBTableArial"/>
            </w:pPr>
            <w:r>
              <w:t>1 April–31 May</w:t>
            </w:r>
          </w:p>
        </w:tc>
        <w:tc>
          <w:tcPr>
            <w:tcW w:w="1547" w:type="dxa"/>
            <w:tcBorders>
              <w:top w:val="nil"/>
              <w:left w:val="nil"/>
            </w:tcBorders>
            <w:vAlign w:val="bottom"/>
          </w:tcPr>
          <w:p w:rsidR="00D724FA" w:rsidRDefault="00D724FA" w:rsidP="00A858D8">
            <w:pPr>
              <w:pStyle w:val="IASBTableArial"/>
              <w:jc w:val="right"/>
            </w:pPr>
            <w:r>
              <w:t>5,680,000</w:t>
            </w:r>
          </w:p>
        </w:tc>
        <w:tc>
          <w:tcPr>
            <w:tcW w:w="216" w:type="dxa"/>
            <w:gridSpan w:val="2"/>
            <w:tcBorders>
              <w:top w:val="nil"/>
              <w:left w:val="nil"/>
            </w:tcBorders>
            <w:vAlign w:val="bottom"/>
          </w:tcPr>
          <w:p w:rsidR="00D724FA" w:rsidRDefault="00D724FA" w:rsidP="00A858D8">
            <w:pPr>
              <w:pStyle w:val="IASBTableArial"/>
              <w:jc w:val="right"/>
            </w:pPr>
          </w:p>
        </w:tc>
        <w:tc>
          <w:tcPr>
            <w:tcW w:w="1513" w:type="dxa"/>
            <w:tcBorders>
              <w:top w:val="nil"/>
              <w:left w:val="nil"/>
            </w:tcBorders>
            <w:vAlign w:val="bottom"/>
          </w:tcPr>
          <w:p w:rsidR="00D724FA" w:rsidRDefault="00D724FA" w:rsidP="00A858D8">
            <w:pPr>
              <w:pStyle w:val="IASBTableArial"/>
              <w:jc w:val="right"/>
            </w:pPr>
            <w:r>
              <w:rPr>
                <w:vertAlign w:val="superscript"/>
              </w:rPr>
              <w:t>2</w:t>
            </w:r>
            <w:r>
              <w:t>/</w:t>
            </w:r>
            <w:r>
              <w:rPr>
                <w:vertAlign w:val="subscript"/>
              </w:rPr>
              <w:t>12</w:t>
            </w:r>
          </w:p>
        </w:tc>
        <w:tc>
          <w:tcPr>
            <w:tcW w:w="216" w:type="dxa"/>
            <w:tcBorders>
              <w:top w:val="nil"/>
              <w:left w:val="nil"/>
            </w:tcBorders>
            <w:vAlign w:val="bottom"/>
          </w:tcPr>
          <w:p w:rsidR="00D724FA" w:rsidRDefault="00D724FA" w:rsidP="00A858D8">
            <w:pPr>
              <w:pStyle w:val="IASBTableArial"/>
            </w:pPr>
          </w:p>
        </w:tc>
        <w:tc>
          <w:tcPr>
            <w:tcW w:w="239" w:type="dxa"/>
            <w:tcBorders>
              <w:top w:val="nil"/>
              <w:left w:val="nil"/>
            </w:tcBorders>
            <w:vAlign w:val="bottom"/>
          </w:tcPr>
          <w:p w:rsidR="00D724FA" w:rsidRDefault="00D724FA" w:rsidP="00A858D8">
            <w:pPr>
              <w:pStyle w:val="IASBTableArial"/>
              <w:jc w:val="right"/>
            </w:pPr>
          </w:p>
        </w:tc>
        <w:tc>
          <w:tcPr>
            <w:tcW w:w="1638" w:type="dxa"/>
            <w:tcBorders>
              <w:top w:val="nil"/>
              <w:left w:val="nil"/>
            </w:tcBorders>
            <w:vAlign w:val="bottom"/>
          </w:tcPr>
          <w:p w:rsidR="00D724FA" w:rsidRDefault="00D724FA" w:rsidP="00A858D8">
            <w:pPr>
              <w:pStyle w:val="IASBTableArial"/>
              <w:jc w:val="right"/>
            </w:pPr>
            <w:r>
              <w:t>946,667</w:t>
            </w:r>
          </w:p>
        </w:tc>
      </w:tr>
      <w:tr w:rsidR="00D724FA" w:rsidTr="00A858D8">
        <w:trPr>
          <w:cantSplit/>
        </w:trPr>
        <w:tc>
          <w:tcPr>
            <w:tcW w:w="3293" w:type="dxa"/>
            <w:gridSpan w:val="2"/>
            <w:tcBorders>
              <w:top w:val="nil"/>
            </w:tcBorders>
          </w:tcPr>
          <w:p w:rsidR="00D724FA" w:rsidRDefault="00D724FA" w:rsidP="00A858D8">
            <w:pPr>
              <w:pStyle w:val="IASBTableArial"/>
            </w:pPr>
            <w:r>
              <w:rPr>
                <w:i/>
              </w:rPr>
              <w:t>Conversion of preference shares on 1 June</w:t>
            </w:r>
          </w:p>
        </w:tc>
        <w:tc>
          <w:tcPr>
            <w:tcW w:w="1547" w:type="dxa"/>
            <w:tcBorders>
              <w:top w:val="nil"/>
              <w:left w:val="nil"/>
              <w:bottom w:val="single" w:sz="4" w:space="0" w:color="auto"/>
            </w:tcBorders>
            <w:vAlign w:val="bottom"/>
          </w:tcPr>
          <w:p w:rsidR="00D724FA" w:rsidRDefault="00D724FA" w:rsidP="00A858D8">
            <w:pPr>
              <w:pStyle w:val="IASBTableArial"/>
              <w:jc w:val="right"/>
            </w:pPr>
            <w:r>
              <w:t>600,000</w:t>
            </w:r>
          </w:p>
        </w:tc>
        <w:tc>
          <w:tcPr>
            <w:tcW w:w="216" w:type="dxa"/>
            <w:gridSpan w:val="2"/>
            <w:tcBorders>
              <w:top w:val="nil"/>
              <w:left w:val="nil"/>
            </w:tcBorders>
            <w:vAlign w:val="bottom"/>
          </w:tcPr>
          <w:p w:rsidR="00D724FA" w:rsidRDefault="00D724FA" w:rsidP="00A858D8">
            <w:pPr>
              <w:pStyle w:val="IASBTableArial"/>
            </w:pPr>
          </w:p>
        </w:tc>
        <w:tc>
          <w:tcPr>
            <w:tcW w:w="1513" w:type="dxa"/>
            <w:tcBorders>
              <w:top w:val="nil"/>
              <w:left w:val="nil"/>
            </w:tcBorders>
            <w:vAlign w:val="bottom"/>
          </w:tcPr>
          <w:p w:rsidR="00D724FA" w:rsidRDefault="00D724FA" w:rsidP="00A858D8">
            <w:pPr>
              <w:pStyle w:val="IASBTableArial"/>
            </w:pPr>
          </w:p>
        </w:tc>
        <w:tc>
          <w:tcPr>
            <w:tcW w:w="216" w:type="dxa"/>
            <w:tcBorders>
              <w:top w:val="nil"/>
              <w:left w:val="nil"/>
            </w:tcBorders>
            <w:vAlign w:val="bottom"/>
          </w:tcPr>
          <w:p w:rsidR="00D724FA" w:rsidRDefault="00D724FA" w:rsidP="00A858D8">
            <w:pPr>
              <w:pStyle w:val="IASBTableArial"/>
            </w:pPr>
          </w:p>
        </w:tc>
        <w:tc>
          <w:tcPr>
            <w:tcW w:w="239" w:type="dxa"/>
            <w:tcBorders>
              <w:top w:val="nil"/>
              <w:left w:val="nil"/>
            </w:tcBorders>
            <w:vAlign w:val="bottom"/>
          </w:tcPr>
          <w:p w:rsidR="00D724FA" w:rsidRDefault="00D724FA" w:rsidP="00A858D8">
            <w:pPr>
              <w:pStyle w:val="IASBTableArial"/>
            </w:pPr>
          </w:p>
        </w:tc>
        <w:tc>
          <w:tcPr>
            <w:tcW w:w="1638" w:type="dxa"/>
            <w:tcBorders>
              <w:top w:val="nil"/>
              <w:left w:val="nil"/>
            </w:tcBorders>
            <w:vAlign w:val="center"/>
          </w:tcPr>
          <w:p w:rsidR="00D724FA" w:rsidRDefault="00D724FA" w:rsidP="00A858D8">
            <w:pPr>
              <w:pStyle w:val="IASBTableArial"/>
            </w:pPr>
          </w:p>
        </w:tc>
      </w:tr>
      <w:tr w:rsidR="00D724FA" w:rsidTr="00A858D8">
        <w:trPr>
          <w:cantSplit/>
        </w:trPr>
        <w:tc>
          <w:tcPr>
            <w:tcW w:w="3293" w:type="dxa"/>
            <w:gridSpan w:val="2"/>
            <w:tcBorders>
              <w:top w:val="nil"/>
            </w:tcBorders>
          </w:tcPr>
          <w:p w:rsidR="00D724FA" w:rsidRDefault="00D724FA" w:rsidP="00A858D8">
            <w:pPr>
              <w:pStyle w:val="IASBTableArial"/>
            </w:pPr>
            <w:r>
              <w:t>1 June–31 August</w:t>
            </w:r>
          </w:p>
        </w:tc>
        <w:tc>
          <w:tcPr>
            <w:tcW w:w="1547" w:type="dxa"/>
            <w:tcBorders>
              <w:top w:val="nil"/>
              <w:left w:val="nil"/>
            </w:tcBorders>
            <w:vAlign w:val="bottom"/>
          </w:tcPr>
          <w:p w:rsidR="00D724FA" w:rsidRDefault="00D724FA" w:rsidP="00A858D8">
            <w:pPr>
              <w:pStyle w:val="IASBTableArial"/>
              <w:jc w:val="right"/>
            </w:pPr>
            <w:r>
              <w:t>6,280,000</w:t>
            </w:r>
          </w:p>
        </w:tc>
        <w:tc>
          <w:tcPr>
            <w:tcW w:w="216" w:type="dxa"/>
            <w:gridSpan w:val="2"/>
            <w:tcBorders>
              <w:top w:val="nil"/>
              <w:left w:val="nil"/>
            </w:tcBorders>
            <w:vAlign w:val="bottom"/>
          </w:tcPr>
          <w:p w:rsidR="00D724FA" w:rsidRDefault="00D724FA" w:rsidP="00A858D8">
            <w:pPr>
              <w:pStyle w:val="IASBTableArial"/>
              <w:jc w:val="right"/>
            </w:pPr>
          </w:p>
        </w:tc>
        <w:tc>
          <w:tcPr>
            <w:tcW w:w="1513" w:type="dxa"/>
            <w:tcBorders>
              <w:top w:val="nil"/>
              <w:left w:val="nil"/>
            </w:tcBorders>
            <w:vAlign w:val="bottom"/>
          </w:tcPr>
          <w:p w:rsidR="00D724FA" w:rsidRDefault="00D724FA" w:rsidP="00A858D8">
            <w:pPr>
              <w:pStyle w:val="IASBTableArial"/>
              <w:jc w:val="right"/>
            </w:pPr>
            <w:r>
              <w:rPr>
                <w:vertAlign w:val="superscript"/>
              </w:rPr>
              <w:t>3</w:t>
            </w:r>
            <w:r>
              <w:t>/</w:t>
            </w:r>
            <w:r>
              <w:rPr>
                <w:vertAlign w:val="subscript"/>
              </w:rPr>
              <w:t>12</w:t>
            </w:r>
          </w:p>
        </w:tc>
        <w:tc>
          <w:tcPr>
            <w:tcW w:w="216" w:type="dxa"/>
            <w:tcBorders>
              <w:top w:val="nil"/>
              <w:left w:val="nil"/>
            </w:tcBorders>
            <w:vAlign w:val="bottom"/>
          </w:tcPr>
          <w:p w:rsidR="00D724FA" w:rsidRDefault="00D724FA" w:rsidP="00A858D8">
            <w:pPr>
              <w:pStyle w:val="IASBTableArial"/>
            </w:pPr>
          </w:p>
        </w:tc>
        <w:tc>
          <w:tcPr>
            <w:tcW w:w="239" w:type="dxa"/>
            <w:tcBorders>
              <w:top w:val="nil"/>
              <w:left w:val="nil"/>
            </w:tcBorders>
            <w:vAlign w:val="bottom"/>
          </w:tcPr>
          <w:p w:rsidR="00D724FA" w:rsidRDefault="00D724FA" w:rsidP="00A858D8">
            <w:pPr>
              <w:pStyle w:val="IASBTableArial"/>
              <w:jc w:val="right"/>
            </w:pPr>
          </w:p>
        </w:tc>
        <w:tc>
          <w:tcPr>
            <w:tcW w:w="1638" w:type="dxa"/>
            <w:tcBorders>
              <w:top w:val="nil"/>
              <w:left w:val="nil"/>
            </w:tcBorders>
            <w:vAlign w:val="bottom"/>
          </w:tcPr>
          <w:p w:rsidR="00D724FA" w:rsidRDefault="00D724FA" w:rsidP="00A858D8">
            <w:pPr>
              <w:pStyle w:val="IASBTableArial"/>
              <w:jc w:val="right"/>
            </w:pPr>
            <w:r>
              <w:t>1,570,000</w:t>
            </w:r>
          </w:p>
        </w:tc>
      </w:tr>
      <w:tr w:rsidR="00D724FA" w:rsidTr="00A858D8">
        <w:trPr>
          <w:cantSplit/>
        </w:trPr>
        <w:tc>
          <w:tcPr>
            <w:tcW w:w="3293" w:type="dxa"/>
            <w:gridSpan w:val="2"/>
            <w:tcBorders>
              <w:top w:val="nil"/>
            </w:tcBorders>
          </w:tcPr>
          <w:p w:rsidR="00D724FA" w:rsidRDefault="00D724FA" w:rsidP="00A858D8">
            <w:pPr>
              <w:pStyle w:val="IASBTableArial"/>
            </w:pPr>
            <w:r>
              <w:rPr>
                <w:i/>
              </w:rPr>
              <w:t>Exercise of warrants on 1 September</w:t>
            </w:r>
          </w:p>
        </w:tc>
        <w:tc>
          <w:tcPr>
            <w:tcW w:w="1547" w:type="dxa"/>
            <w:tcBorders>
              <w:top w:val="nil"/>
              <w:left w:val="nil"/>
              <w:bottom w:val="single" w:sz="4" w:space="0" w:color="auto"/>
            </w:tcBorders>
            <w:vAlign w:val="bottom"/>
          </w:tcPr>
          <w:p w:rsidR="00D724FA" w:rsidRDefault="00D724FA" w:rsidP="00A858D8">
            <w:pPr>
              <w:pStyle w:val="IASBTableArial"/>
              <w:jc w:val="right"/>
            </w:pPr>
            <w:r>
              <w:t>600,000</w:t>
            </w:r>
          </w:p>
        </w:tc>
        <w:tc>
          <w:tcPr>
            <w:tcW w:w="216" w:type="dxa"/>
            <w:gridSpan w:val="2"/>
            <w:tcBorders>
              <w:top w:val="nil"/>
              <w:left w:val="nil"/>
            </w:tcBorders>
            <w:vAlign w:val="center"/>
          </w:tcPr>
          <w:p w:rsidR="00D724FA" w:rsidRDefault="00D724FA" w:rsidP="00A858D8">
            <w:pPr>
              <w:pStyle w:val="IASBTableArial"/>
            </w:pPr>
          </w:p>
        </w:tc>
        <w:tc>
          <w:tcPr>
            <w:tcW w:w="1513" w:type="dxa"/>
            <w:tcBorders>
              <w:top w:val="nil"/>
              <w:left w:val="nil"/>
            </w:tcBorders>
            <w:vAlign w:val="bottom"/>
          </w:tcPr>
          <w:p w:rsidR="00D724FA" w:rsidRDefault="00D724FA" w:rsidP="00A858D8">
            <w:pPr>
              <w:pStyle w:val="IASBTableArial"/>
            </w:pPr>
          </w:p>
        </w:tc>
        <w:tc>
          <w:tcPr>
            <w:tcW w:w="216" w:type="dxa"/>
            <w:tcBorders>
              <w:top w:val="nil"/>
              <w:left w:val="nil"/>
            </w:tcBorders>
            <w:vAlign w:val="bottom"/>
          </w:tcPr>
          <w:p w:rsidR="00D724FA" w:rsidRDefault="00D724FA" w:rsidP="00A858D8">
            <w:pPr>
              <w:pStyle w:val="IASBTableArial"/>
            </w:pPr>
          </w:p>
        </w:tc>
        <w:tc>
          <w:tcPr>
            <w:tcW w:w="239" w:type="dxa"/>
            <w:tcBorders>
              <w:top w:val="nil"/>
              <w:left w:val="nil"/>
            </w:tcBorders>
            <w:vAlign w:val="bottom"/>
          </w:tcPr>
          <w:p w:rsidR="00D724FA" w:rsidRDefault="00D724FA" w:rsidP="00A858D8">
            <w:pPr>
              <w:pStyle w:val="IASBTableArial"/>
            </w:pPr>
          </w:p>
        </w:tc>
        <w:tc>
          <w:tcPr>
            <w:tcW w:w="1638" w:type="dxa"/>
            <w:tcBorders>
              <w:top w:val="nil"/>
              <w:left w:val="nil"/>
            </w:tcBorders>
            <w:vAlign w:val="center"/>
          </w:tcPr>
          <w:p w:rsidR="00D724FA" w:rsidRDefault="00D724FA" w:rsidP="00A858D8">
            <w:pPr>
              <w:pStyle w:val="IASBTableArial"/>
            </w:pPr>
          </w:p>
        </w:tc>
      </w:tr>
      <w:tr w:rsidR="00D724FA" w:rsidTr="00A858D8">
        <w:trPr>
          <w:cantSplit/>
        </w:trPr>
        <w:tc>
          <w:tcPr>
            <w:tcW w:w="3293" w:type="dxa"/>
            <w:gridSpan w:val="2"/>
            <w:tcBorders>
              <w:top w:val="nil"/>
            </w:tcBorders>
          </w:tcPr>
          <w:p w:rsidR="00D724FA" w:rsidRDefault="00D724FA" w:rsidP="00A858D8">
            <w:pPr>
              <w:pStyle w:val="IASBTableArial"/>
            </w:pPr>
            <w:r>
              <w:t>1 September–31 December</w:t>
            </w:r>
          </w:p>
        </w:tc>
        <w:tc>
          <w:tcPr>
            <w:tcW w:w="1547" w:type="dxa"/>
            <w:tcBorders>
              <w:top w:val="nil"/>
              <w:left w:val="nil"/>
            </w:tcBorders>
            <w:vAlign w:val="bottom"/>
          </w:tcPr>
          <w:p w:rsidR="00D724FA" w:rsidRDefault="00D724FA" w:rsidP="00A858D8">
            <w:pPr>
              <w:pStyle w:val="IASBTableArial"/>
              <w:jc w:val="right"/>
            </w:pPr>
            <w:r>
              <w:t>6,880,000</w:t>
            </w:r>
          </w:p>
        </w:tc>
        <w:tc>
          <w:tcPr>
            <w:tcW w:w="216" w:type="dxa"/>
            <w:gridSpan w:val="2"/>
            <w:tcBorders>
              <w:top w:val="nil"/>
              <w:left w:val="nil"/>
            </w:tcBorders>
            <w:vAlign w:val="bottom"/>
          </w:tcPr>
          <w:p w:rsidR="00D724FA" w:rsidRDefault="00D724FA" w:rsidP="00A858D8">
            <w:pPr>
              <w:pStyle w:val="IASBTableArial"/>
              <w:jc w:val="right"/>
            </w:pPr>
          </w:p>
        </w:tc>
        <w:tc>
          <w:tcPr>
            <w:tcW w:w="1513" w:type="dxa"/>
            <w:tcBorders>
              <w:top w:val="nil"/>
              <w:left w:val="nil"/>
            </w:tcBorders>
            <w:vAlign w:val="bottom"/>
          </w:tcPr>
          <w:p w:rsidR="00D724FA" w:rsidRDefault="00D724FA" w:rsidP="00A858D8">
            <w:pPr>
              <w:pStyle w:val="IASBTableArial"/>
              <w:jc w:val="right"/>
            </w:pPr>
            <w:r>
              <w:rPr>
                <w:vertAlign w:val="superscript"/>
              </w:rPr>
              <w:t>4</w:t>
            </w:r>
            <w:r>
              <w:t>/</w:t>
            </w:r>
            <w:r>
              <w:rPr>
                <w:vertAlign w:val="subscript"/>
              </w:rPr>
              <w:t>12</w:t>
            </w:r>
          </w:p>
        </w:tc>
        <w:tc>
          <w:tcPr>
            <w:tcW w:w="216" w:type="dxa"/>
            <w:tcBorders>
              <w:top w:val="nil"/>
              <w:left w:val="nil"/>
            </w:tcBorders>
            <w:vAlign w:val="bottom"/>
          </w:tcPr>
          <w:p w:rsidR="00D724FA" w:rsidRDefault="00D724FA" w:rsidP="00A858D8">
            <w:pPr>
              <w:pStyle w:val="IASBTableArial"/>
            </w:pPr>
          </w:p>
        </w:tc>
        <w:tc>
          <w:tcPr>
            <w:tcW w:w="239" w:type="dxa"/>
            <w:tcBorders>
              <w:top w:val="nil"/>
              <w:left w:val="nil"/>
            </w:tcBorders>
            <w:vAlign w:val="bottom"/>
          </w:tcPr>
          <w:p w:rsidR="00D724FA" w:rsidRDefault="00D724FA" w:rsidP="00A858D8">
            <w:pPr>
              <w:pStyle w:val="IASBTableArial"/>
              <w:jc w:val="right"/>
            </w:pPr>
          </w:p>
        </w:tc>
        <w:tc>
          <w:tcPr>
            <w:tcW w:w="1638" w:type="dxa"/>
            <w:tcBorders>
              <w:top w:val="nil"/>
              <w:left w:val="nil"/>
              <w:bottom w:val="single" w:sz="4" w:space="0" w:color="auto"/>
            </w:tcBorders>
            <w:vAlign w:val="bottom"/>
          </w:tcPr>
          <w:p w:rsidR="00D724FA" w:rsidRDefault="00D724FA" w:rsidP="00A858D8">
            <w:pPr>
              <w:pStyle w:val="IASBTableArial"/>
              <w:jc w:val="right"/>
            </w:pPr>
            <w:r>
              <w:t>2,293,333</w:t>
            </w:r>
          </w:p>
        </w:tc>
      </w:tr>
      <w:tr w:rsidR="00D724FA" w:rsidTr="00A858D8">
        <w:trPr>
          <w:cantSplit/>
        </w:trPr>
        <w:tc>
          <w:tcPr>
            <w:tcW w:w="3293" w:type="dxa"/>
            <w:gridSpan w:val="2"/>
            <w:tcBorders>
              <w:top w:val="nil"/>
            </w:tcBorders>
          </w:tcPr>
          <w:p w:rsidR="00D724FA" w:rsidRDefault="00D724FA" w:rsidP="00A858D8">
            <w:pPr>
              <w:pStyle w:val="IASBTableArial"/>
            </w:pPr>
            <w:r>
              <w:rPr>
                <w:b/>
              </w:rPr>
              <w:t>Weighted-average shares</w:t>
            </w:r>
          </w:p>
        </w:tc>
        <w:tc>
          <w:tcPr>
            <w:tcW w:w="1547" w:type="dxa"/>
            <w:tcBorders>
              <w:top w:val="nil"/>
              <w:left w:val="nil"/>
            </w:tcBorders>
            <w:vAlign w:val="bottom"/>
          </w:tcPr>
          <w:p w:rsidR="00D724FA" w:rsidRDefault="00D724FA" w:rsidP="00A858D8">
            <w:pPr>
              <w:pStyle w:val="IASBTableArial"/>
            </w:pPr>
          </w:p>
        </w:tc>
        <w:tc>
          <w:tcPr>
            <w:tcW w:w="216" w:type="dxa"/>
            <w:gridSpan w:val="2"/>
            <w:tcBorders>
              <w:top w:val="nil"/>
              <w:left w:val="nil"/>
            </w:tcBorders>
            <w:vAlign w:val="bottom"/>
          </w:tcPr>
          <w:p w:rsidR="00D724FA" w:rsidRDefault="00D724FA" w:rsidP="00A858D8">
            <w:pPr>
              <w:pStyle w:val="IASBTableArial"/>
            </w:pPr>
          </w:p>
        </w:tc>
        <w:tc>
          <w:tcPr>
            <w:tcW w:w="1513" w:type="dxa"/>
            <w:tcBorders>
              <w:top w:val="nil"/>
              <w:left w:val="nil"/>
            </w:tcBorders>
            <w:vAlign w:val="bottom"/>
          </w:tcPr>
          <w:p w:rsidR="00D724FA" w:rsidRDefault="00D724FA" w:rsidP="00A858D8">
            <w:pPr>
              <w:pStyle w:val="IASBTableArial"/>
            </w:pPr>
          </w:p>
        </w:tc>
        <w:tc>
          <w:tcPr>
            <w:tcW w:w="216" w:type="dxa"/>
            <w:tcBorders>
              <w:top w:val="nil"/>
              <w:left w:val="nil"/>
            </w:tcBorders>
            <w:vAlign w:val="bottom"/>
          </w:tcPr>
          <w:p w:rsidR="00D724FA" w:rsidRDefault="00D724FA" w:rsidP="00A858D8">
            <w:pPr>
              <w:pStyle w:val="IASBTableArial"/>
            </w:pPr>
          </w:p>
        </w:tc>
        <w:tc>
          <w:tcPr>
            <w:tcW w:w="239" w:type="dxa"/>
            <w:tcBorders>
              <w:top w:val="nil"/>
              <w:left w:val="nil"/>
            </w:tcBorders>
            <w:vAlign w:val="bottom"/>
          </w:tcPr>
          <w:p w:rsidR="00D724FA" w:rsidRDefault="00D724FA" w:rsidP="00A858D8">
            <w:pPr>
              <w:pStyle w:val="IASBTableArial"/>
              <w:jc w:val="right"/>
            </w:pPr>
          </w:p>
        </w:tc>
        <w:tc>
          <w:tcPr>
            <w:tcW w:w="1638" w:type="dxa"/>
            <w:tcBorders>
              <w:top w:val="nil"/>
              <w:left w:val="nil"/>
              <w:bottom w:val="double" w:sz="4" w:space="0" w:color="auto"/>
            </w:tcBorders>
            <w:vAlign w:val="bottom"/>
          </w:tcPr>
          <w:p w:rsidR="00D724FA" w:rsidRDefault="00D724FA" w:rsidP="00A858D8">
            <w:pPr>
              <w:pStyle w:val="IASBTableArial"/>
              <w:jc w:val="right"/>
            </w:pPr>
            <w:r>
              <w:t>6,076,667</w:t>
            </w:r>
          </w:p>
        </w:tc>
      </w:tr>
      <w:tr w:rsidR="00D724FA" w:rsidTr="00A858D8">
        <w:trPr>
          <w:cantSplit/>
        </w:trPr>
        <w:tc>
          <w:tcPr>
            <w:tcW w:w="6569" w:type="dxa"/>
            <w:gridSpan w:val="6"/>
            <w:tcBorders>
              <w:top w:val="nil"/>
            </w:tcBorders>
            <w:vAlign w:val="bottom"/>
          </w:tcPr>
          <w:p w:rsidR="00D724FA" w:rsidRDefault="00D724FA" w:rsidP="00A858D8">
            <w:pPr>
              <w:pStyle w:val="IASBTableArial"/>
            </w:pPr>
            <w:r>
              <w:rPr>
                <w:b/>
                <w:i/>
              </w:rPr>
              <w:t>Basic EPS</w:t>
            </w:r>
          </w:p>
        </w:tc>
        <w:tc>
          <w:tcPr>
            <w:tcW w:w="216" w:type="dxa"/>
            <w:tcBorders>
              <w:top w:val="nil"/>
              <w:left w:val="nil"/>
            </w:tcBorders>
            <w:vAlign w:val="bottom"/>
          </w:tcPr>
          <w:p w:rsidR="00D724FA" w:rsidRDefault="00D724FA" w:rsidP="00A858D8">
            <w:pPr>
              <w:pStyle w:val="IASBTableArial"/>
            </w:pPr>
          </w:p>
        </w:tc>
        <w:tc>
          <w:tcPr>
            <w:tcW w:w="239" w:type="dxa"/>
            <w:tcBorders>
              <w:top w:val="nil"/>
              <w:left w:val="nil"/>
            </w:tcBorders>
            <w:vAlign w:val="bottom"/>
          </w:tcPr>
          <w:p w:rsidR="00D724FA" w:rsidRDefault="00D724FA" w:rsidP="00A858D8">
            <w:pPr>
              <w:pStyle w:val="IASBTableArial"/>
            </w:pPr>
          </w:p>
        </w:tc>
        <w:tc>
          <w:tcPr>
            <w:tcW w:w="1638" w:type="dxa"/>
            <w:tcBorders>
              <w:top w:val="nil"/>
              <w:left w:val="nil"/>
            </w:tcBorders>
            <w:vAlign w:val="center"/>
          </w:tcPr>
          <w:p w:rsidR="00D724FA" w:rsidRDefault="00D724FA" w:rsidP="00A858D8">
            <w:pPr>
              <w:pStyle w:val="IASBTableArial"/>
            </w:pPr>
          </w:p>
        </w:tc>
      </w:tr>
      <w:tr w:rsidR="00D724FA" w:rsidTr="00A858D8">
        <w:trPr>
          <w:cantSplit/>
        </w:trPr>
        <w:tc>
          <w:tcPr>
            <w:tcW w:w="4840" w:type="dxa"/>
            <w:gridSpan w:val="3"/>
            <w:tcBorders>
              <w:top w:val="nil"/>
            </w:tcBorders>
            <w:vAlign w:val="bottom"/>
          </w:tcPr>
          <w:p w:rsidR="00D724FA" w:rsidRDefault="00D724FA" w:rsidP="00A858D8">
            <w:pPr>
              <w:pStyle w:val="IASBTableArial"/>
            </w:pPr>
            <w:r>
              <w:t>Profit from continuing operations</w:t>
            </w:r>
          </w:p>
        </w:tc>
        <w:tc>
          <w:tcPr>
            <w:tcW w:w="216" w:type="dxa"/>
            <w:gridSpan w:val="2"/>
            <w:tcBorders>
              <w:top w:val="nil"/>
              <w:left w:val="nil"/>
            </w:tcBorders>
            <w:vAlign w:val="bottom"/>
          </w:tcPr>
          <w:p w:rsidR="00D724FA" w:rsidRDefault="00D724FA" w:rsidP="00A858D8">
            <w:pPr>
              <w:pStyle w:val="IASBTableArial"/>
            </w:pPr>
          </w:p>
        </w:tc>
        <w:tc>
          <w:tcPr>
            <w:tcW w:w="1513" w:type="dxa"/>
            <w:tcBorders>
              <w:top w:val="nil"/>
              <w:left w:val="nil"/>
            </w:tcBorders>
            <w:vAlign w:val="bottom"/>
          </w:tcPr>
          <w:p w:rsidR="00D724FA" w:rsidRDefault="00D724FA" w:rsidP="00A858D8">
            <w:pPr>
              <w:pStyle w:val="IASBTableArial"/>
            </w:pPr>
          </w:p>
        </w:tc>
        <w:tc>
          <w:tcPr>
            <w:tcW w:w="216" w:type="dxa"/>
            <w:tcBorders>
              <w:top w:val="nil"/>
              <w:left w:val="nil"/>
            </w:tcBorders>
            <w:vAlign w:val="bottom"/>
          </w:tcPr>
          <w:p w:rsidR="00D724FA" w:rsidRDefault="00D724FA" w:rsidP="00A858D8">
            <w:pPr>
              <w:pStyle w:val="IASBTableArial"/>
            </w:pPr>
          </w:p>
        </w:tc>
        <w:tc>
          <w:tcPr>
            <w:tcW w:w="239" w:type="dxa"/>
            <w:tcBorders>
              <w:top w:val="nil"/>
              <w:left w:val="nil"/>
            </w:tcBorders>
            <w:vAlign w:val="bottom"/>
          </w:tcPr>
          <w:p w:rsidR="00D724FA" w:rsidRDefault="00D724FA" w:rsidP="00A858D8">
            <w:pPr>
              <w:pStyle w:val="IASBTableArial"/>
              <w:jc w:val="right"/>
            </w:pPr>
          </w:p>
        </w:tc>
        <w:tc>
          <w:tcPr>
            <w:tcW w:w="1638" w:type="dxa"/>
            <w:tcBorders>
              <w:top w:val="nil"/>
              <w:left w:val="nil"/>
            </w:tcBorders>
            <w:vAlign w:val="bottom"/>
          </w:tcPr>
          <w:p w:rsidR="00D724FA" w:rsidRDefault="00D724FA" w:rsidP="00A858D8">
            <w:pPr>
              <w:pStyle w:val="IASBTableArial"/>
              <w:jc w:val="right"/>
            </w:pPr>
            <w:r>
              <w:rPr>
                <w:b/>
                <w:i/>
              </w:rPr>
              <w:t>CU1.93</w:t>
            </w:r>
          </w:p>
        </w:tc>
      </w:tr>
      <w:tr w:rsidR="00D724FA" w:rsidTr="00A858D8">
        <w:trPr>
          <w:cantSplit/>
        </w:trPr>
        <w:tc>
          <w:tcPr>
            <w:tcW w:w="4840" w:type="dxa"/>
            <w:gridSpan w:val="3"/>
            <w:tcBorders>
              <w:top w:val="nil"/>
            </w:tcBorders>
            <w:vAlign w:val="bottom"/>
          </w:tcPr>
          <w:p w:rsidR="00D724FA" w:rsidRDefault="00D724FA" w:rsidP="00A858D8">
            <w:pPr>
              <w:pStyle w:val="IASBTableArial"/>
            </w:pPr>
            <w:r>
              <w:t>Loss from discontinued operations</w:t>
            </w:r>
          </w:p>
        </w:tc>
        <w:tc>
          <w:tcPr>
            <w:tcW w:w="216" w:type="dxa"/>
            <w:gridSpan w:val="2"/>
            <w:tcBorders>
              <w:top w:val="nil"/>
              <w:left w:val="nil"/>
            </w:tcBorders>
            <w:vAlign w:val="bottom"/>
          </w:tcPr>
          <w:p w:rsidR="00D724FA" w:rsidRDefault="00D724FA" w:rsidP="00A858D8">
            <w:pPr>
              <w:pStyle w:val="IASBTableArial"/>
            </w:pPr>
          </w:p>
        </w:tc>
        <w:tc>
          <w:tcPr>
            <w:tcW w:w="1513" w:type="dxa"/>
            <w:tcBorders>
              <w:top w:val="nil"/>
              <w:left w:val="nil"/>
            </w:tcBorders>
            <w:vAlign w:val="bottom"/>
          </w:tcPr>
          <w:p w:rsidR="00D724FA" w:rsidRDefault="00D724FA" w:rsidP="00A858D8">
            <w:pPr>
              <w:pStyle w:val="IASBTableArial"/>
            </w:pPr>
          </w:p>
        </w:tc>
        <w:tc>
          <w:tcPr>
            <w:tcW w:w="216" w:type="dxa"/>
            <w:tcBorders>
              <w:top w:val="nil"/>
              <w:left w:val="nil"/>
            </w:tcBorders>
            <w:vAlign w:val="bottom"/>
          </w:tcPr>
          <w:p w:rsidR="00D724FA" w:rsidRDefault="00D724FA" w:rsidP="00A858D8">
            <w:pPr>
              <w:pStyle w:val="IASBTableArial"/>
            </w:pPr>
          </w:p>
        </w:tc>
        <w:tc>
          <w:tcPr>
            <w:tcW w:w="239" w:type="dxa"/>
            <w:tcBorders>
              <w:top w:val="nil"/>
              <w:left w:val="nil"/>
            </w:tcBorders>
            <w:vAlign w:val="bottom"/>
          </w:tcPr>
          <w:p w:rsidR="00D724FA" w:rsidRDefault="00D724FA" w:rsidP="00A858D8">
            <w:pPr>
              <w:pStyle w:val="IASBTableArial"/>
              <w:jc w:val="right"/>
            </w:pPr>
          </w:p>
        </w:tc>
        <w:tc>
          <w:tcPr>
            <w:tcW w:w="1638" w:type="dxa"/>
            <w:tcBorders>
              <w:top w:val="nil"/>
              <w:left w:val="nil"/>
              <w:bottom w:val="single" w:sz="4" w:space="0" w:color="auto"/>
            </w:tcBorders>
            <w:vAlign w:val="bottom"/>
          </w:tcPr>
          <w:p w:rsidR="00D724FA" w:rsidRDefault="00D724FA" w:rsidP="00A858D8">
            <w:pPr>
              <w:pStyle w:val="IASBTableArial"/>
              <w:jc w:val="right"/>
            </w:pPr>
            <w:r>
              <w:rPr>
                <w:b/>
                <w:i/>
              </w:rPr>
              <w:t>(CU0.33)</w:t>
            </w:r>
          </w:p>
        </w:tc>
      </w:tr>
      <w:tr w:rsidR="00D724FA" w:rsidTr="00A858D8">
        <w:trPr>
          <w:cantSplit/>
        </w:trPr>
        <w:tc>
          <w:tcPr>
            <w:tcW w:w="4840" w:type="dxa"/>
            <w:gridSpan w:val="3"/>
            <w:tcBorders>
              <w:top w:val="nil"/>
            </w:tcBorders>
            <w:vAlign w:val="bottom"/>
          </w:tcPr>
          <w:p w:rsidR="00D724FA" w:rsidRDefault="00D724FA" w:rsidP="00A858D8">
            <w:pPr>
              <w:pStyle w:val="IASBTableArial"/>
            </w:pPr>
            <w:r>
              <w:t>Profit</w:t>
            </w:r>
          </w:p>
        </w:tc>
        <w:tc>
          <w:tcPr>
            <w:tcW w:w="216" w:type="dxa"/>
            <w:gridSpan w:val="2"/>
            <w:tcBorders>
              <w:top w:val="nil"/>
              <w:left w:val="nil"/>
            </w:tcBorders>
            <w:vAlign w:val="bottom"/>
          </w:tcPr>
          <w:p w:rsidR="00D724FA" w:rsidRDefault="00D724FA" w:rsidP="00A858D8">
            <w:pPr>
              <w:pStyle w:val="IASBTableArial"/>
            </w:pPr>
          </w:p>
        </w:tc>
        <w:tc>
          <w:tcPr>
            <w:tcW w:w="1513" w:type="dxa"/>
            <w:tcBorders>
              <w:top w:val="nil"/>
              <w:left w:val="nil"/>
            </w:tcBorders>
            <w:vAlign w:val="bottom"/>
          </w:tcPr>
          <w:p w:rsidR="00D724FA" w:rsidRDefault="00D724FA" w:rsidP="00A858D8">
            <w:pPr>
              <w:pStyle w:val="IASBTableArial"/>
            </w:pPr>
          </w:p>
        </w:tc>
        <w:tc>
          <w:tcPr>
            <w:tcW w:w="216" w:type="dxa"/>
            <w:tcBorders>
              <w:top w:val="nil"/>
              <w:left w:val="nil"/>
            </w:tcBorders>
            <w:vAlign w:val="bottom"/>
          </w:tcPr>
          <w:p w:rsidR="00D724FA" w:rsidRDefault="00D724FA" w:rsidP="00A858D8">
            <w:pPr>
              <w:pStyle w:val="IASBTableArial"/>
            </w:pPr>
          </w:p>
        </w:tc>
        <w:tc>
          <w:tcPr>
            <w:tcW w:w="239" w:type="dxa"/>
            <w:tcBorders>
              <w:top w:val="nil"/>
              <w:left w:val="nil"/>
            </w:tcBorders>
            <w:vAlign w:val="bottom"/>
          </w:tcPr>
          <w:p w:rsidR="00D724FA" w:rsidRDefault="00D724FA" w:rsidP="00A858D8">
            <w:pPr>
              <w:pStyle w:val="IASBTableArial"/>
              <w:jc w:val="right"/>
            </w:pPr>
          </w:p>
        </w:tc>
        <w:tc>
          <w:tcPr>
            <w:tcW w:w="1638" w:type="dxa"/>
            <w:tcBorders>
              <w:top w:val="nil"/>
              <w:left w:val="nil"/>
              <w:bottom w:val="double" w:sz="4" w:space="0" w:color="auto"/>
            </w:tcBorders>
            <w:vAlign w:val="bottom"/>
          </w:tcPr>
          <w:p w:rsidR="00D724FA" w:rsidRDefault="00D724FA" w:rsidP="00A858D8">
            <w:pPr>
              <w:pStyle w:val="IASBTableArial"/>
              <w:jc w:val="right"/>
            </w:pPr>
            <w:r>
              <w:rPr>
                <w:b/>
                <w:i/>
              </w:rPr>
              <w:t>CU1.60</w:t>
            </w:r>
          </w:p>
        </w:tc>
      </w:tr>
      <w:tr w:rsidR="00D724FA" w:rsidTr="00A858D8">
        <w:trPr>
          <w:cantSplit/>
        </w:trPr>
        <w:tc>
          <w:tcPr>
            <w:tcW w:w="472" w:type="dxa"/>
            <w:tcBorders>
              <w:top w:val="nil"/>
            </w:tcBorders>
            <w:vAlign w:val="bottom"/>
          </w:tcPr>
          <w:p w:rsidR="00D724FA" w:rsidRDefault="00D724FA" w:rsidP="00A858D8">
            <w:pPr>
              <w:pStyle w:val="IASBTableArial"/>
            </w:pPr>
          </w:p>
        </w:tc>
        <w:tc>
          <w:tcPr>
            <w:tcW w:w="2821" w:type="dxa"/>
            <w:tcBorders>
              <w:top w:val="nil"/>
              <w:left w:val="nil"/>
            </w:tcBorders>
          </w:tcPr>
          <w:p w:rsidR="00D724FA" w:rsidRDefault="00D724FA" w:rsidP="00A858D8">
            <w:pPr>
              <w:pStyle w:val="IASBTableArial"/>
            </w:pPr>
          </w:p>
        </w:tc>
        <w:tc>
          <w:tcPr>
            <w:tcW w:w="1547" w:type="dxa"/>
            <w:tcBorders>
              <w:top w:val="nil"/>
              <w:left w:val="nil"/>
            </w:tcBorders>
          </w:tcPr>
          <w:p w:rsidR="00D724FA" w:rsidRDefault="00D724FA" w:rsidP="00A858D8">
            <w:pPr>
              <w:pStyle w:val="IASBTableArial"/>
            </w:pPr>
          </w:p>
        </w:tc>
        <w:tc>
          <w:tcPr>
            <w:tcW w:w="216" w:type="dxa"/>
            <w:gridSpan w:val="2"/>
            <w:tcBorders>
              <w:top w:val="nil"/>
              <w:left w:val="nil"/>
            </w:tcBorders>
          </w:tcPr>
          <w:p w:rsidR="00D724FA" w:rsidRDefault="00D724FA" w:rsidP="00A858D8">
            <w:pPr>
              <w:pStyle w:val="IASBTableArial"/>
            </w:pPr>
          </w:p>
        </w:tc>
        <w:tc>
          <w:tcPr>
            <w:tcW w:w="1513" w:type="dxa"/>
            <w:tcBorders>
              <w:top w:val="nil"/>
              <w:left w:val="nil"/>
            </w:tcBorders>
          </w:tcPr>
          <w:p w:rsidR="00D724FA" w:rsidRDefault="00D724FA" w:rsidP="00A858D8">
            <w:pPr>
              <w:pStyle w:val="IASBTableArial"/>
            </w:pPr>
          </w:p>
        </w:tc>
        <w:tc>
          <w:tcPr>
            <w:tcW w:w="216" w:type="dxa"/>
            <w:tcBorders>
              <w:top w:val="nil"/>
              <w:left w:val="nil"/>
            </w:tcBorders>
            <w:vAlign w:val="bottom"/>
          </w:tcPr>
          <w:p w:rsidR="00D724FA" w:rsidRDefault="00D724FA" w:rsidP="00A858D8">
            <w:pPr>
              <w:pStyle w:val="IASBTableArial"/>
            </w:pPr>
          </w:p>
        </w:tc>
        <w:tc>
          <w:tcPr>
            <w:tcW w:w="239" w:type="dxa"/>
            <w:tcBorders>
              <w:top w:val="nil"/>
              <w:left w:val="nil"/>
            </w:tcBorders>
            <w:vAlign w:val="bottom"/>
          </w:tcPr>
          <w:p w:rsidR="00D724FA" w:rsidRDefault="00D724FA" w:rsidP="00A858D8">
            <w:pPr>
              <w:pStyle w:val="IASBTableArial"/>
            </w:pPr>
          </w:p>
        </w:tc>
        <w:tc>
          <w:tcPr>
            <w:tcW w:w="1638" w:type="dxa"/>
            <w:tcBorders>
              <w:top w:val="nil"/>
              <w:left w:val="nil"/>
            </w:tcBorders>
            <w:vAlign w:val="center"/>
          </w:tcPr>
          <w:p w:rsidR="00D724FA" w:rsidRDefault="00D724FA" w:rsidP="00A858D8">
            <w:pPr>
              <w:pStyle w:val="IASBTableArial"/>
            </w:pPr>
          </w:p>
        </w:tc>
      </w:tr>
      <w:tr w:rsidR="00D724FA" w:rsidTr="00A858D8">
        <w:trPr>
          <w:cantSplit/>
        </w:trPr>
        <w:tc>
          <w:tcPr>
            <w:tcW w:w="6569" w:type="dxa"/>
            <w:gridSpan w:val="6"/>
            <w:tcBorders>
              <w:top w:val="nil"/>
            </w:tcBorders>
            <w:vAlign w:val="bottom"/>
          </w:tcPr>
          <w:p w:rsidR="00D724FA" w:rsidRDefault="00D724FA" w:rsidP="00A858D8">
            <w:pPr>
              <w:pStyle w:val="IASBTableArial"/>
            </w:pPr>
            <w:r>
              <w:rPr>
                <w:i/>
              </w:rPr>
              <w:t>Diluted EPS calculation</w:t>
            </w:r>
          </w:p>
        </w:tc>
        <w:tc>
          <w:tcPr>
            <w:tcW w:w="216" w:type="dxa"/>
            <w:tcBorders>
              <w:top w:val="nil"/>
              <w:left w:val="nil"/>
            </w:tcBorders>
            <w:vAlign w:val="bottom"/>
          </w:tcPr>
          <w:p w:rsidR="00D724FA" w:rsidRDefault="00D724FA" w:rsidP="00A858D8">
            <w:pPr>
              <w:pStyle w:val="IASBTableArial"/>
            </w:pPr>
          </w:p>
        </w:tc>
        <w:tc>
          <w:tcPr>
            <w:tcW w:w="239" w:type="dxa"/>
            <w:tcBorders>
              <w:top w:val="nil"/>
              <w:left w:val="nil"/>
            </w:tcBorders>
            <w:vAlign w:val="bottom"/>
          </w:tcPr>
          <w:p w:rsidR="00D724FA" w:rsidRDefault="00D724FA" w:rsidP="00A858D8">
            <w:pPr>
              <w:pStyle w:val="IASBTableArial"/>
            </w:pPr>
          </w:p>
        </w:tc>
        <w:tc>
          <w:tcPr>
            <w:tcW w:w="1638" w:type="dxa"/>
            <w:tcBorders>
              <w:top w:val="nil"/>
              <w:left w:val="nil"/>
            </w:tcBorders>
            <w:vAlign w:val="center"/>
          </w:tcPr>
          <w:p w:rsidR="00D724FA" w:rsidRDefault="00D724FA" w:rsidP="00A858D8">
            <w:pPr>
              <w:pStyle w:val="IASBTableArial"/>
            </w:pPr>
          </w:p>
        </w:tc>
      </w:tr>
      <w:tr w:rsidR="00D724FA" w:rsidTr="00A858D8">
        <w:trPr>
          <w:cantSplit/>
        </w:trPr>
        <w:tc>
          <w:tcPr>
            <w:tcW w:w="6569" w:type="dxa"/>
            <w:gridSpan w:val="6"/>
            <w:tcBorders>
              <w:top w:val="nil"/>
            </w:tcBorders>
            <w:vAlign w:val="bottom"/>
          </w:tcPr>
          <w:p w:rsidR="00D724FA" w:rsidRDefault="00D724FA" w:rsidP="00A858D8">
            <w:pPr>
              <w:pStyle w:val="IASBTableArial"/>
            </w:pPr>
            <w:r>
              <w:rPr>
                <w:b/>
              </w:rPr>
              <w:t>Profit from continuing operations attributable to ordinary equity holders of the parent entity</w:t>
            </w:r>
          </w:p>
        </w:tc>
        <w:tc>
          <w:tcPr>
            <w:tcW w:w="216" w:type="dxa"/>
            <w:tcBorders>
              <w:top w:val="nil"/>
              <w:left w:val="nil"/>
            </w:tcBorders>
            <w:vAlign w:val="bottom"/>
          </w:tcPr>
          <w:p w:rsidR="00D724FA" w:rsidRDefault="00D724FA" w:rsidP="00A858D8">
            <w:pPr>
              <w:pStyle w:val="IASBTableArial"/>
            </w:pPr>
          </w:p>
        </w:tc>
        <w:tc>
          <w:tcPr>
            <w:tcW w:w="239" w:type="dxa"/>
            <w:tcBorders>
              <w:top w:val="nil"/>
              <w:left w:val="nil"/>
            </w:tcBorders>
            <w:vAlign w:val="bottom"/>
          </w:tcPr>
          <w:p w:rsidR="00D724FA" w:rsidRDefault="00D724FA" w:rsidP="00A858D8">
            <w:pPr>
              <w:pStyle w:val="IASBTableArial"/>
              <w:jc w:val="right"/>
            </w:pPr>
          </w:p>
        </w:tc>
        <w:tc>
          <w:tcPr>
            <w:tcW w:w="1638" w:type="dxa"/>
            <w:tcBorders>
              <w:top w:val="nil"/>
              <w:left w:val="nil"/>
            </w:tcBorders>
            <w:vAlign w:val="bottom"/>
          </w:tcPr>
          <w:p w:rsidR="00D724FA" w:rsidRDefault="00D724FA" w:rsidP="00A858D8">
            <w:pPr>
              <w:pStyle w:val="IASBTableArial"/>
              <w:jc w:val="right"/>
            </w:pPr>
            <w:r>
              <w:t>CU11,730,000</w:t>
            </w:r>
          </w:p>
        </w:tc>
      </w:tr>
      <w:tr w:rsidR="00D724FA" w:rsidTr="00A858D8">
        <w:trPr>
          <w:cantSplit/>
        </w:trPr>
        <w:tc>
          <w:tcPr>
            <w:tcW w:w="6569" w:type="dxa"/>
            <w:gridSpan w:val="6"/>
            <w:tcBorders>
              <w:top w:val="nil"/>
            </w:tcBorders>
            <w:vAlign w:val="bottom"/>
          </w:tcPr>
          <w:p w:rsidR="00D724FA" w:rsidRDefault="00D724FA" w:rsidP="00A858D8">
            <w:pPr>
              <w:pStyle w:val="IASBTableArial"/>
            </w:pPr>
            <w:r>
              <w:t>Plus: profit impact of assumed conversions</w:t>
            </w:r>
          </w:p>
        </w:tc>
        <w:tc>
          <w:tcPr>
            <w:tcW w:w="216" w:type="dxa"/>
            <w:tcBorders>
              <w:top w:val="nil"/>
              <w:left w:val="nil"/>
            </w:tcBorders>
            <w:vAlign w:val="bottom"/>
          </w:tcPr>
          <w:p w:rsidR="00D724FA" w:rsidRDefault="00D724FA" w:rsidP="00A858D8">
            <w:pPr>
              <w:pStyle w:val="IASBTableArial"/>
            </w:pPr>
          </w:p>
        </w:tc>
        <w:tc>
          <w:tcPr>
            <w:tcW w:w="239" w:type="dxa"/>
            <w:tcBorders>
              <w:top w:val="nil"/>
              <w:left w:val="nil"/>
            </w:tcBorders>
            <w:vAlign w:val="center"/>
          </w:tcPr>
          <w:p w:rsidR="00D724FA" w:rsidRDefault="00D724FA" w:rsidP="00A858D8">
            <w:pPr>
              <w:pStyle w:val="IASBTableArial"/>
            </w:pPr>
          </w:p>
        </w:tc>
        <w:tc>
          <w:tcPr>
            <w:tcW w:w="1638" w:type="dxa"/>
            <w:tcBorders>
              <w:top w:val="nil"/>
              <w:left w:val="nil"/>
            </w:tcBorders>
            <w:vAlign w:val="bottom"/>
          </w:tcPr>
          <w:p w:rsidR="00D724FA" w:rsidRDefault="00D724FA" w:rsidP="00A858D8">
            <w:pPr>
              <w:pStyle w:val="IASBTableArial"/>
            </w:pPr>
          </w:p>
        </w:tc>
      </w:tr>
      <w:tr w:rsidR="00D724FA" w:rsidTr="00A858D8">
        <w:trPr>
          <w:cantSplit/>
        </w:trPr>
        <w:tc>
          <w:tcPr>
            <w:tcW w:w="472" w:type="dxa"/>
            <w:tcBorders>
              <w:top w:val="nil"/>
            </w:tcBorders>
            <w:vAlign w:val="bottom"/>
          </w:tcPr>
          <w:p w:rsidR="00D724FA" w:rsidRDefault="00D724FA" w:rsidP="00A858D8">
            <w:pPr>
              <w:pStyle w:val="IASBTableArial"/>
            </w:pPr>
          </w:p>
        </w:tc>
        <w:tc>
          <w:tcPr>
            <w:tcW w:w="4550" w:type="dxa"/>
            <w:gridSpan w:val="3"/>
            <w:tcBorders>
              <w:top w:val="nil"/>
              <w:left w:val="nil"/>
            </w:tcBorders>
            <w:vAlign w:val="bottom"/>
          </w:tcPr>
          <w:p w:rsidR="00D724FA" w:rsidRDefault="00D724FA" w:rsidP="00A858D8">
            <w:pPr>
              <w:pStyle w:val="IASBTableArial"/>
            </w:pPr>
            <w:r>
              <w:t>Preference share dividends</w:t>
            </w:r>
          </w:p>
        </w:tc>
        <w:tc>
          <w:tcPr>
            <w:tcW w:w="1547" w:type="dxa"/>
            <w:gridSpan w:val="2"/>
            <w:tcBorders>
              <w:top w:val="nil"/>
              <w:left w:val="nil"/>
            </w:tcBorders>
            <w:vAlign w:val="bottom"/>
          </w:tcPr>
          <w:p w:rsidR="00D724FA" w:rsidRDefault="00D724FA" w:rsidP="00A858D8">
            <w:pPr>
              <w:pStyle w:val="IASBTableArial"/>
              <w:jc w:val="right"/>
            </w:pPr>
            <w:r>
              <w:t>CU70,000</w:t>
            </w:r>
          </w:p>
        </w:tc>
        <w:tc>
          <w:tcPr>
            <w:tcW w:w="216" w:type="dxa"/>
            <w:tcBorders>
              <w:top w:val="nil"/>
              <w:left w:val="nil"/>
            </w:tcBorders>
            <w:vAlign w:val="bottom"/>
          </w:tcPr>
          <w:p w:rsidR="00D724FA" w:rsidRDefault="00D724FA" w:rsidP="00A858D8">
            <w:pPr>
              <w:pStyle w:val="IASBTableArial"/>
            </w:pPr>
          </w:p>
        </w:tc>
        <w:tc>
          <w:tcPr>
            <w:tcW w:w="239" w:type="dxa"/>
            <w:tcBorders>
              <w:top w:val="nil"/>
              <w:left w:val="nil"/>
            </w:tcBorders>
            <w:vAlign w:val="bottom"/>
          </w:tcPr>
          <w:p w:rsidR="00D724FA" w:rsidRDefault="00D724FA" w:rsidP="00A858D8">
            <w:pPr>
              <w:pStyle w:val="IASBTableArial"/>
            </w:pPr>
          </w:p>
        </w:tc>
        <w:tc>
          <w:tcPr>
            <w:tcW w:w="1638" w:type="dxa"/>
            <w:tcBorders>
              <w:top w:val="nil"/>
              <w:left w:val="nil"/>
            </w:tcBorders>
            <w:vAlign w:val="bottom"/>
          </w:tcPr>
          <w:p w:rsidR="00D724FA" w:rsidRDefault="00D724FA" w:rsidP="00A858D8">
            <w:pPr>
              <w:pStyle w:val="IASBTableArial"/>
            </w:pPr>
          </w:p>
        </w:tc>
      </w:tr>
      <w:tr w:rsidR="00D724FA" w:rsidTr="00A858D8">
        <w:trPr>
          <w:cantSplit/>
        </w:trPr>
        <w:tc>
          <w:tcPr>
            <w:tcW w:w="472" w:type="dxa"/>
            <w:tcBorders>
              <w:top w:val="nil"/>
            </w:tcBorders>
            <w:vAlign w:val="bottom"/>
          </w:tcPr>
          <w:p w:rsidR="00D724FA" w:rsidRDefault="00D724FA" w:rsidP="00A858D8">
            <w:pPr>
              <w:pStyle w:val="IASBTableArial"/>
            </w:pPr>
            <w:r>
              <w:t> </w:t>
            </w:r>
          </w:p>
        </w:tc>
        <w:tc>
          <w:tcPr>
            <w:tcW w:w="4550" w:type="dxa"/>
            <w:gridSpan w:val="3"/>
            <w:tcBorders>
              <w:top w:val="nil"/>
              <w:left w:val="nil"/>
            </w:tcBorders>
            <w:vAlign w:val="bottom"/>
          </w:tcPr>
          <w:p w:rsidR="00D724FA" w:rsidRDefault="00D724FA" w:rsidP="00A858D8">
            <w:pPr>
              <w:pStyle w:val="IASBTableArial"/>
            </w:pPr>
            <w:r>
              <w:t>Interest on 5% convertible bonds</w:t>
            </w:r>
          </w:p>
        </w:tc>
        <w:tc>
          <w:tcPr>
            <w:tcW w:w="1547" w:type="dxa"/>
            <w:gridSpan w:val="2"/>
            <w:tcBorders>
              <w:top w:val="nil"/>
              <w:left w:val="nil"/>
            </w:tcBorders>
          </w:tcPr>
          <w:p w:rsidR="00D724FA" w:rsidRDefault="00D724FA" w:rsidP="00A858D8">
            <w:pPr>
              <w:pStyle w:val="IASBTableArial"/>
              <w:jc w:val="right"/>
            </w:pPr>
            <w:r>
              <w:t>CU90,000</w:t>
            </w:r>
            <w:r>
              <w:rPr>
                <w:vertAlign w:val="superscript"/>
              </w:rPr>
              <w:t>(a)</w:t>
            </w:r>
          </w:p>
        </w:tc>
        <w:tc>
          <w:tcPr>
            <w:tcW w:w="216" w:type="dxa"/>
            <w:tcBorders>
              <w:top w:val="nil"/>
              <w:left w:val="nil"/>
            </w:tcBorders>
          </w:tcPr>
          <w:p w:rsidR="00D724FA" w:rsidRDefault="00D724FA" w:rsidP="00A858D8">
            <w:pPr>
              <w:pStyle w:val="IASBTableArial"/>
            </w:pPr>
          </w:p>
        </w:tc>
        <w:tc>
          <w:tcPr>
            <w:tcW w:w="239" w:type="dxa"/>
            <w:tcBorders>
              <w:top w:val="nil"/>
              <w:left w:val="nil"/>
            </w:tcBorders>
            <w:vAlign w:val="bottom"/>
          </w:tcPr>
          <w:p w:rsidR="00D724FA" w:rsidRDefault="00D724FA" w:rsidP="00A858D8">
            <w:pPr>
              <w:pStyle w:val="IASBTableArial"/>
            </w:pPr>
          </w:p>
        </w:tc>
        <w:tc>
          <w:tcPr>
            <w:tcW w:w="1638" w:type="dxa"/>
            <w:tcBorders>
              <w:top w:val="nil"/>
              <w:left w:val="nil"/>
            </w:tcBorders>
            <w:vAlign w:val="bottom"/>
          </w:tcPr>
          <w:p w:rsidR="00D724FA" w:rsidRDefault="00D724FA" w:rsidP="00A858D8">
            <w:pPr>
              <w:pStyle w:val="IASBTableArial"/>
            </w:pPr>
          </w:p>
        </w:tc>
      </w:tr>
      <w:tr w:rsidR="00D724FA" w:rsidTr="00A858D8">
        <w:trPr>
          <w:cantSplit/>
        </w:trPr>
        <w:tc>
          <w:tcPr>
            <w:tcW w:w="5022" w:type="dxa"/>
            <w:gridSpan w:val="4"/>
            <w:tcBorders>
              <w:top w:val="nil"/>
            </w:tcBorders>
            <w:vAlign w:val="bottom"/>
          </w:tcPr>
          <w:p w:rsidR="00D724FA" w:rsidRDefault="00D724FA" w:rsidP="00A858D8">
            <w:pPr>
              <w:pStyle w:val="IASBTableArial"/>
            </w:pPr>
            <w:r>
              <w:rPr>
                <w:b/>
              </w:rPr>
              <w:t>Effect of assumed conversions</w:t>
            </w:r>
          </w:p>
        </w:tc>
        <w:tc>
          <w:tcPr>
            <w:tcW w:w="1547" w:type="dxa"/>
            <w:gridSpan w:val="2"/>
            <w:tcBorders>
              <w:top w:val="nil"/>
              <w:left w:val="nil"/>
            </w:tcBorders>
            <w:vAlign w:val="bottom"/>
          </w:tcPr>
          <w:p w:rsidR="00D724FA" w:rsidRDefault="00D724FA" w:rsidP="00A858D8">
            <w:pPr>
              <w:pStyle w:val="IASBTableArial"/>
            </w:pPr>
          </w:p>
        </w:tc>
        <w:tc>
          <w:tcPr>
            <w:tcW w:w="216" w:type="dxa"/>
            <w:tcBorders>
              <w:top w:val="nil"/>
              <w:left w:val="nil"/>
            </w:tcBorders>
            <w:vAlign w:val="bottom"/>
          </w:tcPr>
          <w:p w:rsidR="00D724FA" w:rsidRDefault="00D724FA" w:rsidP="00A858D8">
            <w:pPr>
              <w:pStyle w:val="IASBTableArial"/>
            </w:pPr>
          </w:p>
        </w:tc>
        <w:tc>
          <w:tcPr>
            <w:tcW w:w="239" w:type="dxa"/>
            <w:tcBorders>
              <w:top w:val="nil"/>
              <w:left w:val="nil"/>
            </w:tcBorders>
            <w:vAlign w:val="bottom"/>
          </w:tcPr>
          <w:p w:rsidR="00D724FA" w:rsidRDefault="00D724FA" w:rsidP="00A858D8">
            <w:pPr>
              <w:pStyle w:val="IASBTableArial"/>
              <w:jc w:val="right"/>
            </w:pPr>
          </w:p>
        </w:tc>
        <w:tc>
          <w:tcPr>
            <w:tcW w:w="1638" w:type="dxa"/>
            <w:tcBorders>
              <w:top w:val="nil"/>
              <w:left w:val="nil"/>
              <w:bottom w:val="single" w:sz="4" w:space="0" w:color="auto"/>
            </w:tcBorders>
            <w:vAlign w:val="bottom"/>
          </w:tcPr>
          <w:p w:rsidR="00D724FA" w:rsidRDefault="00D724FA" w:rsidP="00A858D8">
            <w:pPr>
              <w:pStyle w:val="IASBTableArial"/>
              <w:jc w:val="right"/>
            </w:pPr>
            <w:r>
              <w:t>CU160,000</w:t>
            </w:r>
          </w:p>
        </w:tc>
      </w:tr>
      <w:tr w:rsidR="00D724FA" w:rsidTr="00A858D8">
        <w:trPr>
          <w:cantSplit/>
        </w:trPr>
        <w:tc>
          <w:tcPr>
            <w:tcW w:w="5022" w:type="dxa"/>
            <w:gridSpan w:val="4"/>
            <w:tcBorders>
              <w:top w:val="nil"/>
            </w:tcBorders>
            <w:vAlign w:val="bottom"/>
          </w:tcPr>
          <w:p w:rsidR="00D724FA" w:rsidRDefault="00D724FA" w:rsidP="00A858D8">
            <w:pPr>
              <w:pStyle w:val="IASBTableArial"/>
            </w:pPr>
            <w:r>
              <w:t>Profit from continuing operations attributable to ordinary equity holders of the parent entity including assumed conversions</w:t>
            </w:r>
          </w:p>
        </w:tc>
        <w:tc>
          <w:tcPr>
            <w:tcW w:w="1547" w:type="dxa"/>
            <w:gridSpan w:val="2"/>
            <w:tcBorders>
              <w:top w:val="nil"/>
              <w:left w:val="nil"/>
            </w:tcBorders>
            <w:vAlign w:val="bottom"/>
          </w:tcPr>
          <w:p w:rsidR="00D724FA" w:rsidRDefault="00D724FA" w:rsidP="00A858D8">
            <w:pPr>
              <w:pStyle w:val="IASBTableArial"/>
            </w:pPr>
          </w:p>
        </w:tc>
        <w:tc>
          <w:tcPr>
            <w:tcW w:w="216" w:type="dxa"/>
            <w:tcBorders>
              <w:top w:val="nil"/>
              <w:left w:val="nil"/>
            </w:tcBorders>
            <w:vAlign w:val="bottom"/>
          </w:tcPr>
          <w:p w:rsidR="00D724FA" w:rsidRDefault="00D724FA" w:rsidP="00A858D8">
            <w:pPr>
              <w:pStyle w:val="IASBTableArial"/>
            </w:pPr>
          </w:p>
        </w:tc>
        <w:tc>
          <w:tcPr>
            <w:tcW w:w="239" w:type="dxa"/>
            <w:tcBorders>
              <w:top w:val="nil"/>
              <w:left w:val="nil"/>
            </w:tcBorders>
            <w:vAlign w:val="bottom"/>
          </w:tcPr>
          <w:p w:rsidR="00D724FA" w:rsidRDefault="00D724FA" w:rsidP="00A858D8">
            <w:pPr>
              <w:pStyle w:val="IASBTableArial"/>
              <w:jc w:val="right"/>
            </w:pPr>
          </w:p>
        </w:tc>
        <w:tc>
          <w:tcPr>
            <w:tcW w:w="1638" w:type="dxa"/>
            <w:tcBorders>
              <w:top w:val="nil"/>
              <w:left w:val="nil"/>
            </w:tcBorders>
            <w:vAlign w:val="bottom"/>
          </w:tcPr>
          <w:p w:rsidR="00D724FA" w:rsidRDefault="00D724FA" w:rsidP="00A858D8">
            <w:pPr>
              <w:pStyle w:val="IASBTableArial"/>
              <w:jc w:val="right"/>
            </w:pPr>
            <w:r>
              <w:t>CU11,890,000</w:t>
            </w:r>
          </w:p>
        </w:tc>
      </w:tr>
      <w:tr w:rsidR="00D724FA" w:rsidTr="00A858D8">
        <w:trPr>
          <w:cantSplit/>
        </w:trPr>
        <w:tc>
          <w:tcPr>
            <w:tcW w:w="5022" w:type="dxa"/>
            <w:gridSpan w:val="4"/>
            <w:tcBorders>
              <w:top w:val="nil"/>
            </w:tcBorders>
            <w:vAlign w:val="bottom"/>
          </w:tcPr>
          <w:p w:rsidR="00D724FA" w:rsidRDefault="00D724FA" w:rsidP="00A858D8">
            <w:pPr>
              <w:pStyle w:val="IASBTableArial"/>
            </w:pPr>
            <w:r>
              <w:t>Loss from discontinued operations attributable to the parent entity</w:t>
            </w:r>
          </w:p>
        </w:tc>
        <w:tc>
          <w:tcPr>
            <w:tcW w:w="1547" w:type="dxa"/>
            <w:gridSpan w:val="2"/>
            <w:tcBorders>
              <w:top w:val="nil"/>
              <w:left w:val="nil"/>
            </w:tcBorders>
            <w:vAlign w:val="bottom"/>
          </w:tcPr>
          <w:p w:rsidR="00D724FA" w:rsidRDefault="00D724FA" w:rsidP="00A858D8">
            <w:pPr>
              <w:pStyle w:val="IASBTableArial"/>
            </w:pPr>
          </w:p>
        </w:tc>
        <w:tc>
          <w:tcPr>
            <w:tcW w:w="216" w:type="dxa"/>
            <w:tcBorders>
              <w:top w:val="nil"/>
              <w:left w:val="nil"/>
            </w:tcBorders>
            <w:vAlign w:val="bottom"/>
          </w:tcPr>
          <w:p w:rsidR="00D724FA" w:rsidRDefault="00D724FA" w:rsidP="00A858D8">
            <w:pPr>
              <w:pStyle w:val="IASBTableArial"/>
            </w:pPr>
          </w:p>
        </w:tc>
        <w:tc>
          <w:tcPr>
            <w:tcW w:w="239" w:type="dxa"/>
            <w:tcBorders>
              <w:top w:val="nil"/>
              <w:left w:val="nil"/>
            </w:tcBorders>
            <w:vAlign w:val="bottom"/>
          </w:tcPr>
          <w:p w:rsidR="00D724FA" w:rsidRDefault="00D724FA" w:rsidP="00A858D8">
            <w:pPr>
              <w:pStyle w:val="IASBTableArial"/>
              <w:jc w:val="right"/>
            </w:pPr>
          </w:p>
        </w:tc>
        <w:tc>
          <w:tcPr>
            <w:tcW w:w="1638" w:type="dxa"/>
            <w:tcBorders>
              <w:top w:val="nil"/>
              <w:left w:val="nil"/>
              <w:bottom w:val="single" w:sz="4" w:space="0" w:color="auto"/>
            </w:tcBorders>
            <w:vAlign w:val="bottom"/>
          </w:tcPr>
          <w:p w:rsidR="00D724FA" w:rsidRDefault="00D724FA" w:rsidP="00A858D8">
            <w:pPr>
              <w:pStyle w:val="IASBTableArial"/>
              <w:jc w:val="right"/>
            </w:pPr>
            <w:r>
              <w:t>(CU2,000,000)</w:t>
            </w:r>
          </w:p>
        </w:tc>
      </w:tr>
      <w:tr w:rsidR="00D724FA" w:rsidTr="00A858D8">
        <w:trPr>
          <w:cantSplit/>
        </w:trPr>
        <w:tc>
          <w:tcPr>
            <w:tcW w:w="5022" w:type="dxa"/>
            <w:gridSpan w:val="4"/>
            <w:tcBorders>
              <w:top w:val="nil"/>
            </w:tcBorders>
            <w:vAlign w:val="bottom"/>
          </w:tcPr>
          <w:p w:rsidR="00D724FA" w:rsidRDefault="00D724FA" w:rsidP="00A858D8">
            <w:pPr>
              <w:pStyle w:val="IASBTableArial"/>
            </w:pPr>
            <w:r>
              <w:t>Profit attributable to ordinary equity holders of the parent entity including assumed conversions</w:t>
            </w:r>
          </w:p>
        </w:tc>
        <w:tc>
          <w:tcPr>
            <w:tcW w:w="1547" w:type="dxa"/>
            <w:gridSpan w:val="2"/>
            <w:tcBorders>
              <w:top w:val="nil"/>
              <w:left w:val="nil"/>
            </w:tcBorders>
            <w:vAlign w:val="bottom"/>
          </w:tcPr>
          <w:p w:rsidR="00D724FA" w:rsidRDefault="00D724FA" w:rsidP="00A858D8">
            <w:pPr>
              <w:pStyle w:val="IASBTableArial"/>
            </w:pPr>
          </w:p>
        </w:tc>
        <w:tc>
          <w:tcPr>
            <w:tcW w:w="216" w:type="dxa"/>
            <w:tcBorders>
              <w:top w:val="nil"/>
              <w:left w:val="nil"/>
            </w:tcBorders>
            <w:vAlign w:val="bottom"/>
          </w:tcPr>
          <w:p w:rsidR="00D724FA" w:rsidRDefault="00D724FA" w:rsidP="00A858D8">
            <w:pPr>
              <w:pStyle w:val="IASBTableArial"/>
            </w:pPr>
          </w:p>
        </w:tc>
        <w:tc>
          <w:tcPr>
            <w:tcW w:w="239" w:type="dxa"/>
            <w:tcBorders>
              <w:top w:val="nil"/>
              <w:left w:val="nil"/>
            </w:tcBorders>
            <w:vAlign w:val="bottom"/>
          </w:tcPr>
          <w:p w:rsidR="00D724FA" w:rsidRDefault="00D724FA" w:rsidP="00A858D8">
            <w:pPr>
              <w:pStyle w:val="IASBTableArial"/>
              <w:jc w:val="right"/>
            </w:pPr>
          </w:p>
        </w:tc>
        <w:tc>
          <w:tcPr>
            <w:tcW w:w="1638" w:type="dxa"/>
            <w:tcBorders>
              <w:top w:val="nil"/>
              <w:left w:val="nil"/>
              <w:bottom w:val="double" w:sz="4" w:space="0" w:color="auto"/>
            </w:tcBorders>
            <w:vAlign w:val="bottom"/>
          </w:tcPr>
          <w:p w:rsidR="00D724FA" w:rsidRDefault="00D724FA" w:rsidP="00A858D8">
            <w:pPr>
              <w:pStyle w:val="IASBTableArial"/>
              <w:jc w:val="right"/>
            </w:pPr>
            <w:r>
              <w:t>CU9,890,000</w:t>
            </w:r>
          </w:p>
        </w:tc>
      </w:tr>
      <w:tr w:rsidR="00D724FA" w:rsidTr="00A858D8">
        <w:trPr>
          <w:cantSplit/>
        </w:trPr>
        <w:tc>
          <w:tcPr>
            <w:tcW w:w="5022" w:type="dxa"/>
            <w:gridSpan w:val="4"/>
            <w:tcBorders>
              <w:top w:val="nil"/>
            </w:tcBorders>
            <w:vAlign w:val="bottom"/>
          </w:tcPr>
          <w:p w:rsidR="00D724FA" w:rsidRDefault="00D724FA" w:rsidP="00A858D8">
            <w:pPr>
              <w:pStyle w:val="IASBTableArial"/>
            </w:pPr>
            <w:r>
              <w:rPr>
                <w:b/>
              </w:rPr>
              <w:t>Weighted-average shares</w:t>
            </w:r>
          </w:p>
        </w:tc>
        <w:tc>
          <w:tcPr>
            <w:tcW w:w="1547" w:type="dxa"/>
            <w:gridSpan w:val="2"/>
            <w:tcBorders>
              <w:top w:val="nil"/>
              <w:left w:val="nil"/>
            </w:tcBorders>
            <w:vAlign w:val="bottom"/>
          </w:tcPr>
          <w:p w:rsidR="00D724FA" w:rsidRDefault="00D724FA" w:rsidP="00A858D8">
            <w:pPr>
              <w:pStyle w:val="IASBTableArial"/>
            </w:pPr>
          </w:p>
        </w:tc>
        <w:tc>
          <w:tcPr>
            <w:tcW w:w="216" w:type="dxa"/>
            <w:tcBorders>
              <w:top w:val="nil"/>
              <w:left w:val="nil"/>
            </w:tcBorders>
            <w:vAlign w:val="bottom"/>
          </w:tcPr>
          <w:p w:rsidR="00D724FA" w:rsidRDefault="00D724FA" w:rsidP="00A858D8">
            <w:pPr>
              <w:pStyle w:val="IASBTableArial"/>
            </w:pPr>
          </w:p>
        </w:tc>
        <w:tc>
          <w:tcPr>
            <w:tcW w:w="239" w:type="dxa"/>
            <w:tcBorders>
              <w:top w:val="nil"/>
              <w:left w:val="nil"/>
            </w:tcBorders>
            <w:vAlign w:val="bottom"/>
          </w:tcPr>
          <w:p w:rsidR="00D724FA" w:rsidRDefault="00D724FA" w:rsidP="00A858D8">
            <w:pPr>
              <w:pStyle w:val="IASBTableArial"/>
              <w:jc w:val="right"/>
            </w:pPr>
          </w:p>
        </w:tc>
        <w:tc>
          <w:tcPr>
            <w:tcW w:w="1638" w:type="dxa"/>
            <w:tcBorders>
              <w:top w:val="nil"/>
              <w:left w:val="nil"/>
            </w:tcBorders>
            <w:vAlign w:val="bottom"/>
          </w:tcPr>
          <w:p w:rsidR="00D724FA" w:rsidRDefault="00D724FA" w:rsidP="00A858D8">
            <w:pPr>
              <w:pStyle w:val="IASBTableArial"/>
              <w:jc w:val="right"/>
            </w:pPr>
            <w:r>
              <w:t>6,076,667</w:t>
            </w:r>
          </w:p>
        </w:tc>
      </w:tr>
      <w:tr w:rsidR="00D724FA" w:rsidTr="00A858D8">
        <w:trPr>
          <w:cantSplit/>
        </w:trPr>
        <w:tc>
          <w:tcPr>
            <w:tcW w:w="6569" w:type="dxa"/>
            <w:gridSpan w:val="6"/>
            <w:tcBorders>
              <w:top w:val="nil"/>
            </w:tcBorders>
            <w:vAlign w:val="bottom"/>
          </w:tcPr>
          <w:p w:rsidR="00D724FA" w:rsidRDefault="00D724FA" w:rsidP="00A858D8">
            <w:pPr>
              <w:pStyle w:val="IASBTableArial"/>
            </w:pPr>
            <w:r>
              <w:t>Plus: incremental shares from assumed conversions</w:t>
            </w:r>
          </w:p>
        </w:tc>
        <w:tc>
          <w:tcPr>
            <w:tcW w:w="216" w:type="dxa"/>
            <w:tcBorders>
              <w:top w:val="nil"/>
              <w:left w:val="nil"/>
            </w:tcBorders>
            <w:vAlign w:val="bottom"/>
          </w:tcPr>
          <w:p w:rsidR="00D724FA" w:rsidRDefault="00D724FA" w:rsidP="00A858D8">
            <w:pPr>
              <w:pStyle w:val="IASBTableArial"/>
            </w:pPr>
          </w:p>
        </w:tc>
        <w:tc>
          <w:tcPr>
            <w:tcW w:w="239" w:type="dxa"/>
            <w:tcBorders>
              <w:top w:val="nil"/>
              <w:left w:val="nil"/>
            </w:tcBorders>
            <w:vAlign w:val="bottom"/>
          </w:tcPr>
          <w:p w:rsidR="00D724FA" w:rsidRDefault="00D724FA" w:rsidP="00A858D8">
            <w:pPr>
              <w:pStyle w:val="IASBTableArial"/>
            </w:pPr>
          </w:p>
        </w:tc>
        <w:tc>
          <w:tcPr>
            <w:tcW w:w="1638" w:type="dxa"/>
            <w:tcBorders>
              <w:top w:val="nil"/>
              <w:left w:val="nil"/>
            </w:tcBorders>
            <w:vAlign w:val="bottom"/>
          </w:tcPr>
          <w:p w:rsidR="00D724FA" w:rsidRDefault="00D724FA" w:rsidP="00A858D8">
            <w:pPr>
              <w:pStyle w:val="IASBTableArial"/>
            </w:pPr>
          </w:p>
        </w:tc>
      </w:tr>
      <w:tr w:rsidR="00D724FA" w:rsidTr="00A858D8">
        <w:trPr>
          <w:cantSplit/>
        </w:trPr>
        <w:tc>
          <w:tcPr>
            <w:tcW w:w="472" w:type="dxa"/>
            <w:tcBorders>
              <w:top w:val="nil"/>
            </w:tcBorders>
            <w:vAlign w:val="bottom"/>
          </w:tcPr>
          <w:p w:rsidR="00D724FA" w:rsidRDefault="00D724FA" w:rsidP="00A858D8">
            <w:pPr>
              <w:pStyle w:val="IASBTableArial"/>
            </w:pPr>
          </w:p>
        </w:tc>
        <w:tc>
          <w:tcPr>
            <w:tcW w:w="4550" w:type="dxa"/>
            <w:gridSpan w:val="3"/>
            <w:tcBorders>
              <w:top w:val="nil"/>
              <w:left w:val="nil"/>
            </w:tcBorders>
            <w:vAlign w:val="bottom"/>
          </w:tcPr>
          <w:p w:rsidR="00D724FA" w:rsidRDefault="00D724FA" w:rsidP="00A858D8">
            <w:pPr>
              <w:pStyle w:val="IASBTableArial"/>
            </w:pPr>
            <w:r>
              <w:t>Warrants</w:t>
            </w:r>
          </w:p>
        </w:tc>
        <w:tc>
          <w:tcPr>
            <w:tcW w:w="1547" w:type="dxa"/>
            <w:gridSpan w:val="2"/>
            <w:tcBorders>
              <w:top w:val="nil"/>
              <w:left w:val="nil"/>
            </w:tcBorders>
            <w:vAlign w:val="bottom"/>
          </w:tcPr>
          <w:p w:rsidR="00D724FA" w:rsidRDefault="00D724FA" w:rsidP="00A858D8">
            <w:pPr>
              <w:pStyle w:val="IASBTableArial"/>
              <w:jc w:val="right"/>
            </w:pPr>
            <w:r>
              <w:t>14,880</w:t>
            </w:r>
            <w:r>
              <w:rPr>
                <w:vertAlign w:val="superscript"/>
              </w:rPr>
              <w:t>(b)</w:t>
            </w:r>
          </w:p>
        </w:tc>
        <w:tc>
          <w:tcPr>
            <w:tcW w:w="216" w:type="dxa"/>
            <w:tcBorders>
              <w:top w:val="nil"/>
              <w:left w:val="nil"/>
            </w:tcBorders>
            <w:vAlign w:val="bottom"/>
          </w:tcPr>
          <w:p w:rsidR="00D724FA" w:rsidRDefault="00D724FA" w:rsidP="00A858D8">
            <w:pPr>
              <w:pStyle w:val="IASBTableArial"/>
            </w:pPr>
          </w:p>
        </w:tc>
        <w:tc>
          <w:tcPr>
            <w:tcW w:w="239" w:type="dxa"/>
            <w:tcBorders>
              <w:top w:val="nil"/>
              <w:left w:val="nil"/>
            </w:tcBorders>
            <w:vAlign w:val="bottom"/>
          </w:tcPr>
          <w:p w:rsidR="00D724FA" w:rsidRDefault="00D724FA" w:rsidP="00A858D8">
            <w:pPr>
              <w:pStyle w:val="IASBTableArial"/>
            </w:pPr>
          </w:p>
        </w:tc>
        <w:tc>
          <w:tcPr>
            <w:tcW w:w="1638" w:type="dxa"/>
            <w:tcBorders>
              <w:top w:val="nil"/>
              <w:left w:val="nil"/>
            </w:tcBorders>
            <w:vAlign w:val="bottom"/>
          </w:tcPr>
          <w:p w:rsidR="00D724FA" w:rsidRDefault="00D724FA" w:rsidP="00A858D8">
            <w:pPr>
              <w:pStyle w:val="IASBTableArial"/>
            </w:pPr>
          </w:p>
        </w:tc>
      </w:tr>
      <w:tr w:rsidR="00D724FA" w:rsidTr="00A858D8">
        <w:trPr>
          <w:cantSplit/>
        </w:trPr>
        <w:tc>
          <w:tcPr>
            <w:tcW w:w="472" w:type="dxa"/>
            <w:tcBorders>
              <w:top w:val="nil"/>
            </w:tcBorders>
            <w:vAlign w:val="bottom"/>
          </w:tcPr>
          <w:p w:rsidR="00D724FA" w:rsidRDefault="00D724FA" w:rsidP="00A858D8">
            <w:pPr>
              <w:pStyle w:val="IASBTableArial"/>
            </w:pPr>
          </w:p>
        </w:tc>
        <w:tc>
          <w:tcPr>
            <w:tcW w:w="4550" w:type="dxa"/>
            <w:gridSpan w:val="3"/>
            <w:tcBorders>
              <w:top w:val="nil"/>
              <w:left w:val="nil"/>
            </w:tcBorders>
            <w:vAlign w:val="bottom"/>
          </w:tcPr>
          <w:p w:rsidR="00D724FA" w:rsidRDefault="00D724FA" w:rsidP="00A858D8">
            <w:pPr>
              <w:pStyle w:val="IASBTableArial"/>
            </w:pPr>
            <w:r>
              <w:t>Convertible preference shares</w:t>
            </w:r>
          </w:p>
        </w:tc>
        <w:tc>
          <w:tcPr>
            <w:tcW w:w="1547" w:type="dxa"/>
            <w:gridSpan w:val="2"/>
            <w:tcBorders>
              <w:top w:val="nil"/>
              <w:left w:val="nil"/>
            </w:tcBorders>
            <w:vAlign w:val="bottom"/>
          </w:tcPr>
          <w:p w:rsidR="00D724FA" w:rsidRDefault="00D724FA" w:rsidP="00A858D8">
            <w:pPr>
              <w:pStyle w:val="IASBTableArial"/>
              <w:jc w:val="right"/>
            </w:pPr>
            <w:r>
              <w:t>450,000</w:t>
            </w:r>
            <w:r>
              <w:rPr>
                <w:vertAlign w:val="superscript"/>
              </w:rPr>
              <w:t>(c)</w:t>
            </w:r>
          </w:p>
        </w:tc>
        <w:tc>
          <w:tcPr>
            <w:tcW w:w="216" w:type="dxa"/>
            <w:tcBorders>
              <w:top w:val="nil"/>
              <w:left w:val="nil"/>
            </w:tcBorders>
            <w:vAlign w:val="bottom"/>
          </w:tcPr>
          <w:p w:rsidR="00D724FA" w:rsidRDefault="00D724FA" w:rsidP="00A858D8">
            <w:pPr>
              <w:pStyle w:val="IASBTableArial"/>
            </w:pPr>
          </w:p>
        </w:tc>
        <w:tc>
          <w:tcPr>
            <w:tcW w:w="239" w:type="dxa"/>
            <w:tcBorders>
              <w:top w:val="nil"/>
              <w:left w:val="nil"/>
            </w:tcBorders>
            <w:vAlign w:val="bottom"/>
          </w:tcPr>
          <w:p w:rsidR="00D724FA" w:rsidRDefault="00D724FA" w:rsidP="00A858D8">
            <w:pPr>
              <w:pStyle w:val="IASBTableArial"/>
            </w:pPr>
          </w:p>
        </w:tc>
        <w:tc>
          <w:tcPr>
            <w:tcW w:w="1638" w:type="dxa"/>
            <w:tcBorders>
              <w:top w:val="nil"/>
              <w:left w:val="nil"/>
            </w:tcBorders>
            <w:vAlign w:val="bottom"/>
          </w:tcPr>
          <w:p w:rsidR="00D724FA" w:rsidRDefault="00D724FA" w:rsidP="00A858D8">
            <w:pPr>
              <w:pStyle w:val="IASBTableArial"/>
            </w:pPr>
          </w:p>
        </w:tc>
      </w:tr>
      <w:tr w:rsidR="00D724FA" w:rsidTr="00A858D8">
        <w:trPr>
          <w:cantSplit/>
        </w:trPr>
        <w:tc>
          <w:tcPr>
            <w:tcW w:w="472" w:type="dxa"/>
            <w:tcBorders>
              <w:top w:val="nil"/>
            </w:tcBorders>
            <w:vAlign w:val="bottom"/>
          </w:tcPr>
          <w:p w:rsidR="00D724FA" w:rsidRDefault="00D724FA" w:rsidP="00A858D8">
            <w:pPr>
              <w:pStyle w:val="IASBTableArial"/>
            </w:pPr>
          </w:p>
        </w:tc>
        <w:tc>
          <w:tcPr>
            <w:tcW w:w="4550" w:type="dxa"/>
            <w:gridSpan w:val="3"/>
            <w:tcBorders>
              <w:top w:val="nil"/>
              <w:left w:val="nil"/>
            </w:tcBorders>
            <w:vAlign w:val="bottom"/>
          </w:tcPr>
          <w:p w:rsidR="00D724FA" w:rsidRDefault="00D724FA" w:rsidP="00A858D8">
            <w:pPr>
              <w:pStyle w:val="IASBTableArial"/>
            </w:pPr>
            <w:r>
              <w:t>5% convertible bonds</w:t>
            </w:r>
          </w:p>
        </w:tc>
        <w:tc>
          <w:tcPr>
            <w:tcW w:w="1547" w:type="dxa"/>
            <w:gridSpan w:val="2"/>
            <w:tcBorders>
              <w:top w:val="nil"/>
              <w:left w:val="nil"/>
              <w:bottom w:val="single" w:sz="4" w:space="0" w:color="auto"/>
            </w:tcBorders>
            <w:vAlign w:val="bottom"/>
          </w:tcPr>
          <w:p w:rsidR="00D724FA" w:rsidRDefault="00D724FA" w:rsidP="00A858D8">
            <w:pPr>
              <w:pStyle w:val="IASBTableArial"/>
              <w:jc w:val="right"/>
            </w:pPr>
            <w:r>
              <w:t>120,000</w:t>
            </w:r>
            <w:r>
              <w:rPr>
                <w:vertAlign w:val="superscript"/>
              </w:rPr>
              <w:t>(d)</w:t>
            </w:r>
          </w:p>
        </w:tc>
        <w:tc>
          <w:tcPr>
            <w:tcW w:w="216" w:type="dxa"/>
            <w:tcBorders>
              <w:top w:val="nil"/>
              <w:left w:val="nil"/>
            </w:tcBorders>
            <w:vAlign w:val="bottom"/>
          </w:tcPr>
          <w:p w:rsidR="00D724FA" w:rsidRDefault="00D724FA" w:rsidP="00A858D8">
            <w:pPr>
              <w:pStyle w:val="IASBTableArial"/>
            </w:pPr>
          </w:p>
        </w:tc>
        <w:tc>
          <w:tcPr>
            <w:tcW w:w="239" w:type="dxa"/>
            <w:tcBorders>
              <w:top w:val="nil"/>
              <w:left w:val="nil"/>
            </w:tcBorders>
            <w:vAlign w:val="bottom"/>
          </w:tcPr>
          <w:p w:rsidR="00D724FA" w:rsidRDefault="00D724FA" w:rsidP="00A858D8">
            <w:pPr>
              <w:pStyle w:val="IASBTableArial"/>
            </w:pPr>
          </w:p>
        </w:tc>
        <w:tc>
          <w:tcPr>
            <w:tcW w:w="1638" w:type="dxa"/>
            <w:tcBorders>
              <w:top w:val="nil"/>
              <w:left w:val="nil"/>
            </w:tcBorders>
            <w:vAlign w:val="bottom"/>
          </w:tcPr>
          <w:p w:rsidR="00D724FA" w:rsidRDefault="00D724FA" w:rsidP="00A858D8">
            <w:pPr>
              <w:pStyle w:val="IASBTableArial"/>
            </w:pPr>
          </w:p>
        </w:tc>
      </w:tr>
      <w:tr w:rsidR="00D724FA" w:rsidTr="00A858D8">
        <w:trPr>
          <w:cantSplit/>
        </w:trPr>
        <w:tc>
          <w:tcPr>
            <w:tcW w:w="5022" w:type="dxa"/>
            <w:gridSpan w:val="4"/>
            <w:tcBorders>
              <w:top w:val="nil"/>
            </w:tcBorders>
            <w:vAlign w:val="bottom"/>
          </w:tcPr>
          <w:p w:rsidR="00D724FA" w:rsidRDefault="00D724FA" w:rsidP="00A858D8">
            <w:pPr>
              <w:pStyle w:val="IASBTableArial"/>
            </w:pPr>
            <w:r>
              <w:rPr>
                <w:b/>
              </w:rPr>
              <w:t>Dilutive potential ordinary shares</w:t>
            </w:r>
          </w:p>
        </w:tc>
        <w:tc>
          <w:tcPr>
            <w:tcW w:w="1547" w:type="dxa"/>
            <w:gridSpan w:val="2"/>
            <w:tcBorders>
              <w:top w:val="nil"/>
              <w:left w:val="nil"/>
            </w:tcBorders>
            <w:vAlign w:val="bottom"/>
          </w:tcPr>
          <w:p w:rsidR="00D724FA" w:rsidRDefault="00D724FA" w:rsidP="00A858D8">
            <w:pPr>
              <w:pStyle w:val="IASBTableArial"/>
            </w:pPr>
          </w:p>
        </w:tc>
        <w:tc>
          <w:tcPr>
            <w:tcW w:w="216" w:type="dxa"/>
            <w:tcBorders>
              <w:top w:val="nil"/>
              <w:left w:val="nil"/>
            </w:tcBorders>
            <w:vAlign w:val="bottom"/>
          </w:tcPr>
          <w:p w:rsidR="00D724FA" w:rsidRDefault="00D724FA" w:rsidP="00A858D8">
            <w:pPr>
              <w:pStyle w:val="IASBTableArial"/>
            </w:pPr>
          </w:p>
        </w:tc>
        <w:tc>
          <w:tcPr>
            <w:tcW w:w="239" w:type="dxa"/>
            <w:tcBorders>
              <w:top w:val="nil"/>
              <w:left w:val="nil"/>
            </w:tcBorders>
            <w:vAlign w:val="bottom"/>
          </w:tcPr>
          <w:p w:rsidR="00D724FA" w:rsidRDefault="00D724FA" w:rsidP="00A858D8">
            <w:pPr>
              <w:pStyle w:val="IASBTableArial"/>
              <w:jc w:val="right"/>
            </w:pPr>
          </w:p>
        </w:tc>
        <w:tc>
          <w:tcPr>
            <w:tcW w:w="1638" w:type="dxa"/>
            <w:tcBorders>
              <w:top w:val="nil"/>
              <w:left w:val="nil"/>
              <w:bottom w:val="single" w:sz="4" w:space="0" w:color="auto"/>
            </w:tcBorders>
            <w:vAlign w:val="bottom"/>
          </w:tcPr>
          <w:p w:rsidR="00D724FA" w:rsidRDefault="00D724FA" w:rsidP="00A858D8">
            <w:pPr>
              <w:pStyle w:val="IASBTableArial"/>
              <w:jc w:val="right"/>
            </w:pPr>
            <w:r>
              <w:t>584,880</w:t>
            </w:r>
          </w:p>
        </w:tc>
      </w:tr>
      <w:tr w:rsidR="00D724FA" w:rsidTr="00A858D8">
        <w:trPr>
          <w:cantSplit/>
        </w:trPr>
        <w:tc>
          <w:tcPr>
            <w:tcW w:w="5022" w:type="dxa"/>
            <w:gridSpan w:val="4"/>
            <w:tcBorders>
              <w:top w:val="nil"/>
            </w:tcBorders>
            <w:vAlign w:val="bottom"/>
          </w:tcPr>
          <w:p w:rsidR="00D724FA" w:rsidRDefault="00D724FA" w:rsidP="00A858D8">
            <w:pPr>
              <w:pStyle w:val="IASBTableArial"/>
            </w:pPr>
            <w:r>
              <w:t>Adjusted weighted-average shares</w:t>
            </w:r>
          </w:p>
        </w:tc>
        <w:tc>
          <w:tcPr>
            <w:tcW w:w="1547" w:type="dxa"/>
            <w:gridSpan w:val="2"/>
            <w:tcBorders>
              <w:top w:val="nil"/>
              <w:left w:val="nil"/>
            </w:tcBorders>
            <w:vAlign w:val="bottom"/>
          </w:tcPr>
          <w:p w:rsidR="00D724FA" w:rsidRDefault="00D724FA" w:rsidP="00A858D8">
            <w:pPr>
              <w:pStyle w:val="IASBTableArial"/>
            </w:pPr>
          </w:p>
        </w:tc>
        <w:tc>
          <w:tcPr>
            <w:tcW w:w="216" w:type="dxa"/>
            <w:tcBorders>
              <w:top w:val="nil"/>
              <w:left w:val="nil"/>
            </w:tcBorders>
            <w:vAlign w:val="bottom"/>
          </w:tcPr>
          <w:p w:rsidR="00D724FA" w:rsidRDefault="00D724FA" w:rsidP="00A858D8">
            <w:pPr>
              <w:pStyle w:val="IASBTableArial"/>
            </w:pPr>
          </w:p>
        </w:tc>
        <w:tc>
          <w:tcPr>
            <w:tcW w:w="239" w:type="dxa"/>
            <w:tcBorders>
              <w:top w:val="nil"/>
              <w:left w:val="nil"/>
            </w:tcBorders>
            <w:vAlign w:val="bottom"/>
          </w:tcPr>
          <w:p w:rsidR="00D724FA" w:rsidRDefault="00D724FA" w:rsidP="00A858D8">
            <w:pPr>
              <w:pStyle w:val="IASBTableArial"/>
              <w:jc w:val="right"/>
            </w:pPr>
          </w:p>
        </w:tc>
        <w:tc>
          <w:tcPr>
            <w:tcW w:w="1638" w:type="dxa"/>
            <w:tcBorders>
              <w:top w:val="nil"/>
              <w:left w:val="nil"/>
              <w:bottom w:val="double" w:sz="4" w:space="0" w:color="auto"/>
            </w:tcBorders>
            <w:vAlign w:val="bottom"/>
          </w:tcPr>
          <w:p w:rsidR="00D724FA" w:rsidRDefault="00D724FA" w:rsidP="00A858D8">
            <w:pPr>
              <w:pStyle w:val="IASBTableArial"/>
              <w:jc w:val="right"/>
            </w:pPr>
            <w:r>
              <w:t>6,661,547</w:t>
            </w:r>
          </w:p>
        </w:tc>
      </w:tr>
      <w:tr w:rsidR="00D724FA" w:rsidTr="00A858D8">
        <w:trPr>
          <w:cantSplit/>
        </w:trPr>
        <w:tc>
          <w:tcPr>
            <w:tcW w:w="5022" w:type="dxa"/>
            <w:gridSpan w:val="4"/>
            <w:tcBorders>
              <w:top w:val="nil"/>
            </w:tcBorders>
            <w:vAlign w:val="bottom"/>
          </w:tcPr>
          <w:p w:rsidR="00D724FA" w:rsidRDefault="00D724FA" w:rsidP="00A858D8">
            <w:pPr>
              <w:pStyle w:val="IASBTableArial"/>
            </w:pPr>
          </w:p>
        </w:tc>
        <w:tc>
          <w:tcPr>
            <w:tcW w:w="1547" w:type="dxa"/>
            <w:gridSpan w:val="2"/>
            <w:tcBorders>
              <w:top w:val="nil"/>
              <w:left w:val="nil"/>
            </w:tcBorders>
            <w:vAlign w:val="bottom"/>
          </w:tcPr>
          <w:p w:rsidR="00D724FA" w:rsidRDefault="00D724FA" w:rsidP="00A858D8">
            <w:pPr>
              <w:pStyle w:val="IASBTableArial"/>
            </w:pPr>
          </w:p>
        </w:tc>
        <w:tc>
          <w:tcPr>
            <w:tcW w:w="216" w:type="dxa"/>
            <w:tcBorders>
              <w:top w:val="nil"/>
              <w:left w:val="nil"/>
            </w:tcBorders>
            <w:vAlign w:val="bottom"/>
          </w:tcPr>
          <w:p w:rsidR="00D724FA" w:rsidRDefault="00D724FA" w:rsidP="00A858D8">
            <w:pPr>
              <w:pStyle w:val="IASBTableArial"/>
            </w:pPr>
          </w:p>
        </w:tc>
        <w:tc>
          <w:tcPr>
            <w:tcW w:w="239" w:type="dxa"/>
            <w:tcBorders>
              <w:top w:val="nil"/>
              <w:left w:val="nil"/>
            </w:tcBorders>
            <w:vAlign w:val="bottom"/>
          </w:tcPr>
          <w:p w:rsidR="00D724FA" w:rsidRDefault="00D724FA" w:rsidP="00A858D8">
            <w:pPr>
              <w:pStyle w:val="IASBTableArial"/>
            </w:pPr>
          </w:p>
        </w:tc>
        <w:tc>
          <w:tcPr>
            <w:tcW w:w="1638" w:type="dxa"/>
            <w:tcBorders>
              <w:top w:val="nil"/>
              <w:left w:val="nil"/>
            </w:tcBorders>
            <w:vAlign w:val="center"/>
          </w:tcPr>
          <w:p w:rsidR="00D724FA" w:rsidRDefault="00D724FA" w:rsidP="00A858D8">
            <w:pPr>
              <w:pStyle w:val="IASBTableArial"/>
            </w:pPr>
          </w:p>
        </w:tc>
      </w:tr>
      <w:tr w:rsidR="00D724FA" w:rsidTr="00A858D8">
        <w:trPr>
          <w:cantSplit/>
        </w:trPr>
        <w:tc>
          <w:tcPr>
            <w:tcW w:w="5022" w:type="dxa"/>
            <w:gridSpan w:val="4"/>
            <w:tcBorders>
              <w:top w:val="nil"/>
            </w:tcBorders>
            <w:vAlign w:val="bottom"/>
          </w:tcPr>
          <w:p w:rsidR="00D724FA" w:rsidRDefault="00D724FA" w:rsidP="00A858D8">
            <w:pPr>
              <w:pStyle w:val="IASBTableArial"/>
            </w:pPr>
            <w:r>
              <w:rPr>
                <w:b/>
                <w:i/>
              </w:rPr>
              <w:t>Diluted EPS</w:t>
            </w:r>
          </w:p>
        </w:tc>
        <w:tc>
          <w:tcPr>
            <w:tcW w:w="1547" w:type="dxa"/>
            <w:gridSpan w:val="2"/>
            <w:tcBorders>
              <w:top w:val="nil"/>
              <w:left w:val="nil"/>
            </w:tcBorders>
            <w:vAlign w:val="bottom"/>
          </w:tcPr>
          <w:p w:rsidR="00D724FA" w:rsidRDefault="00D724FA" w:rsidP="00A858D8">
            <w:pPr>
              <w:pStyle w:val="IASBTableArial"/>
            </w:pPr>
          </w:p>
        </w:tc>
        <w:tc>
          <w:tcPr>
            <w:tcW w:w="216" w:type="dxa"/>
            <w:tcBorders>
              <w:top w:val="nil"/>
              <w:left w:val="nil"/>
            </w:tcBorders>
            <w:vAlign w:val="bottom"/>
          </w:tcPr>
          <w:p w:rsidR="00D724FA" w:rsidRDefault="00D724FA" w:rsidP="00A858D8">
            <w:pPr>
              <w:pStyle w:val="IASBTableArial"/>
            </w:pPr>
          </w:p>
        </w:tc>
        <w:tc>
          <w:tcPr>
            <w:tcW w:w="239" w:type="dxa"/>
            <w:tcBorders>
              <w:top w:val="nil"/>
              <w:left w:val="nil"/>
            </w:tcBorders>
            <w:vAlign w:val="bottom"/>
          </w:tcPr>
          <w:p w:rsidR="00D724FA" w:rsidRDefault="00D724FA" w:rsidP="00A858D8">
            <w:pPr>
              <w:pStyle w:val="IASBTableArial"/>
            </w:pPr>
          </w:p>
        </w:tc>
        <w:tc>
          <w:tcPr>
            <w:tcW w:w="1638" w:type="dxa"/>
            <w:tcBorders>
              <w:top w:val="nil"/>
              <w:left w:val="nil"/>
            </w:tcBorders>
            <w:vAlign w:val="center"/>
          </w:tcPr>
          <w:p w:rsidR="00D724FA" w:rsidRDefault="00D724FA" w:rsidP="00A858D8">
            <w:pPr>
              <w:pStyle w:val="IASBTableArial"/>
            </w:pPr>
          </w:p>
        </w:tc>
      </w:tr>
      <w:tr w:rsidR="00D724FA" w:rsidTr="00A858D8">
        <w:trPr>
          <w:cantSplit/>
        </w:trPr>
        <w:tc>
          <w:tcPr>
            <w:tcW w:w="5022" w:type="dxa"/>
            <w:gridSpan w:val="4"/>
            <w:tcBorders>
              <w:top w:val="nil"/>
            </w:tcBorders>
            <w:vAlign w:val="bottom"/>
          </w:tcPr>
          <w:p w:rsidR="00D724FA" w:rsidRDefault="00D724FA" w:rsidP="00A858D8">
            <w:pPr>
              <w:pStyle w:val="IASBTableArial"/>
            </w:pPr>
            <w:r>
              <w:t>Profit from continuing operations</w:t>
            </w:r>
          </w:p>
        </w:tc>
        <w:tc>
          <w:tcPr>
            <w:tcW w:w="1547" w:type="dxa"/>
            <w:gridSpan w:val="2"/>
            <w:tcBorders>
              <w:top w:val="nil"/>
              <w:left w:val="nil"/>
            </w:tcBorders>
            <w:vAlign w:val="bottom"/>
          </w:tcPr>
          <w:p w:rsidR="00D724FA" w:rsidRDefault="00D724FA" w:rsidP="00A858D8">
            <w:pPr>
              <w:pStyle w:val="IASBTableArial"/>
            </w:pPr>
          </w:p>
        </w:tc>
        <w:tc>
          <w:tcPr>
            <w:tcW w:w="216" w:type="dxa"/>
            <w:tcBorders>
              <w:top w:val="nil"/>
              <w:left w:val="nil"/>
            </w:tcBorders>
            <w:vAlign w:val="bottom"/>
          </w:tcPr>
          <w:p w:rsidR="00D724FA" w:rsidRDefault="00D724FA" w:rsidP="00A858D8">
            <w:pPr>
              <w:pStyle w:val="IASBTableArial"/>
            </w:pPr>
          </w:p>
        </w:tc>
        <w:tc>
          <w:tcPr>
            <w:tcW w:w="239" w:type="dxa"/>
            <w:tcBorders>
              <w:top w:val="nil"/>
              <w:left w:val="nil"/>
            </w:tcBorders>
            <w:vAlign w:val="bottom"/>
          </w:tcPr>
          <w:p w:rsidR="00D724FA" w:rsidRDefault="00D724FA" w:rsidP="00A858D8">
            <w:pPr>
              <w:pStyle w:val="IASBTableArial"/>
              <w:jc w:val="right"/>
            </w:pPr>
          </w:p>
        </w:tc>
        <w:tc>
          <w:tcPr>
            <w:tcW w:w="1638" w:type="dxa"/>
            <w:tcBorders>
              <w:top w:val="nil"/>
              <w:left w:val="nil"/>
            </w:tcBorders>
            <w:vAlign w:val="bottom"/>
          </w:tcPr>
          <w:p w:rsidR="00D724FA" w:rsidRDefault="00D724FA" w:rsidP="00A858D8">
            <w:pPr>
              <w:pStyle w:val="IASBTableArial"/>
              <w:jc w:val="right"/>
            </w:pPr>
            <w:r>
              <w:rPr>
                <w:b/>
                <w:i/>
              </w:rPr>
              <w:t>CU1.78</w:t>
            </w:r>
          </w:p>
        </w:tc>
      </w:tr>
      <w:tr w:rsidR="00D724FA" w:rsidTr="00A858D8">
        <w:trPr>
          <w:cantSplit/>
        </w:trPr>
        <w:tc>
          <w:tcPr>
            <w:tcW w:w="5022" w:type="dxa"/>
            <w:gridSpan w:val="4"/>
            <w:tcBorders>
              <w:top w:val="nil"/>
            </w:tcBorders>
            <w:vAlign w:val="bottom"/>
          </w:tcPr>
          <w:p w:rsidR="00D724FA" w:rsidRDefault="00D724FA" w:rsidP="00A858D8">
            <w:pPr>
              <w:pStyle w:val="IASBTableArial"/>
            </w:pPr>
            <w:r>
              <w:t>Loss from discontinued operations</w:t>
            </w:r>
          </w:p>
        </w:tc>
        <w:tc>
          <w:tcPr>
            <w:tcW w:w="1547" w:type="dxa"/>
            <w:gridSpan w:val="2"/>
            <w:tcBorders>
              <w:top w:val="nil"/>
              <w:left w:val="nil"/>
            </w:tcBorders>
            <w:vAlign w:val="bottom"/>
          </w:tcPr>
          <w:p w:rsidR="00D724FA" w:rsidRDefault="00D724FA" w:rsidP="00A858D8">
            <w:pPr>
              <w:pStyle w:val="IASBTableArial"/>
            </w:pPr>
          </w:p>
        </w:tc>
        <w:tc>
          <w:tcPr>
            <w:tcW w:w="216" w:type="dxa"/>
            <w:tcBorders>
              <w:top w:val="nil"/>
              <w:left w:val="nil"/>
            </w:tcBorders>
            <w:vAlign w:val="bottom"/>
          </w:tcPr>
          <w:p w:rsidR="00D724FA" w:rsidRDefault="00D724FA" w:rsidP="00A858D8">
            <w:pPr>
              <w:pStyle w:val="IASBTableArial"/>
            </w:pPr>
          </w:p>
        </w:tc>
        <w:tc>
          <w:tcPr>
            <w:tcW w:w="239" w:type="dxa"/>
            <w:tcBorders>
              <w:top w:val="nil"/>
              <w:left w:val="nil"/>
            </w:tcBorders>
            <w:vAlign w:val="bottom"/>
          </w:tcPr>
          <w:p w:rsidR="00D724FA" w:rsidRDefault="00D724FA" w:rsidP="00A858D8">
            <w:pPr>
              <w:pStyle w:val="IASBTableArial"/>
              <w:jc w:val="right"/>
            </w:pPr>
          </w:p>
        </w:tc>
        <w:tc>
          <w:tcPr>
            <w:tcW w:w="1638" w:type="dxa"/>
            <w:tcBorders>
              <w:top w:val="nil"/>
              <w:left w:val="nil"/>
              <w:bottom w:val="single" w:sz="4" w:space="0" w:color="auto"/>
            </w:tcBorders>
            <w:vAlign w:val="bottom"/>
          </w:tcPr>
          <w:p w:rsidR="00D724FA" w:rsidRDefault="00D724FA" w:rsidP="00A858D8">
            <w:pPr>
              <w:pStyle w:val="IASBTableArial"/>
              <w:jc w:val="right"/>
            </w:pPr>
            <w:r>
              <w:rPr>
                <w:b/>
                <w:i/>
              </w:rPr>
              <w:t>(CU0.30)</w:t>
            </w:r>
          </w:p>
        </w:tc>
      </w:tr>
      <w:tr w:rsidR="00D724FA" w:rsidTr="00A858D8">
        <w:trPr>
          <w:cantSplit/>
        </w:trPr>
        <w:tc>
          <w:tcPr>
            <w:tcW w:w="5022" w:type="dxa"/>
            <w:gridSpan w:val="4"/>
            <w:tcBorders>
              <w:top w:val="nil"/>
            </w:tcBorders>
            <w:vAlign w:val="bottom"/>
          </w:tcPr>
          <w:p w:rsidR="00D724FA" w:rsidRDefault="00D724FA" w:rsidP="00A858D8">
            <w:pPr>
              <w:pStyle w:val="IASBTableArial"/>
            </w:pPr>
            <w:r>
              <w:t>Profit</w:t>
            </w:r>
          </w:p>
        </w:tc>
        <w:tc>
          <w:tcPr>
            <w:tcW w:w="1547" w:type="dxa"/>
            <w:gridSpan w:val="2"/>
            <w:tcBorders>
              <w:top w:val="nil"/>
              <w:left w:val="nil"/>
            </w:tcBorders>
            <w:vAlign w:val="bottom"/>
          </w:tcPr>
          <w:p w:rsidR="00D724FA" w:rsidRDefault="00D724FA" w:rsidP="00A858D8">
            <w:pPr>
              <w:pStyle w:val="IASBTableArial"/>
            </w:pPr>
          </w:p>
        </w:tc>
        <w:tc>
          <w:tcPr>
            <w:tcW w:w="216" w:type="dxa"/>
            <w:tcBorders>
              <w:top w:val="nil"/>
              <w:left w:val="nil"/>
            </w:tcBorders>
            <w:vAlign w:val="bottom"/>
          </w:tcPr>
          <w:p w:rsidR="00D724FA" w:rsidRDefault="00D724FA" w:rsidP="00A858D8">
            <w:pPr>
              <w:pStyle w:val="IASBTableArial"/>
            </w:pPr>
          </w:p>
        </w:tc>
        <w:tc>
          <w:tcPr>
            <w:tcW w:w="239" w:type="dxa"/>
            <w:tcBorders>
              <w:top w:val="nil"/>
              <w:left w:val="nil"/>
            </w:tcBorders>
            <w:vAlign w:val="bottom"/>
          </w:tcPr>
          <w:p w:rsidR="00D724FA" w:rsidRDefault="00D724FA" w:rsidP="00A858D8">
            <w:pPr>
              <w:pStyle w:val="IASBTableArial"/>
              <w:jc w:val="right"/>
            </w:pPr>
          </w:p>
        </w:tc>
        <w:tc>
          <w:tcPr>
            <w:tcW w:w="1638" w:type="dxa"/>
            <w:tcBorders>
              <w:top w:val="nil"/>
              <w:left w:val="nil"/>
              <w:bottom w:val="double" w:sz="4" w:space="0" w:color="auto"/>
            </w:tcBorders>
            <w:vAlign w:val="bottom"/>
          </w:tcPr>
          <w:p w:rsidR="00D724FA" w:rsidRDefault="00D724FA" w:rsidP="00A858D8">
            <w:pPr>
              <w:pStyle w:val="IASBTableArial"/>
              <w:jc w:val="right"/>
            </w:pPr>
            <w:r>
              <w:rPr>
                <w:b/>
                <w:i/>
              </w:rPr>
              <w:t>CU1.48</w:t>
            </w:r>
          </w:p>
        </w:tc>
      </w:tr>
      <w:tr w:rsidR="00D724FA" w:rsidTr="00A858D8">
        <w:trPr>
          <w:cantSplit/>
        </w:trPr>
        <w:tc>
          <w:tcPr>
            <w:tcW w:w="472" w:type="dxa"/>
            <w:tcBorders>
              <w:top w:val="nil"/>
            </w:tcBorders>
            <w:vAlign w:val="bottom"/>
          </w:tcPr>
          <w:p w:rsidR="00D724FA" w:rsidRDefault="00D724FA" w:rsidP="00A858D8">
            <w:pPr>
              <w:pStyle w:val="IASBTableArial"/>
            </w:pPr>
          </w:p>
        </w:tc>
        <w:tc>
          <w:tcPr>
            <w:tcW w:w="2821" w:type="dxa"/>
            <w:tcBorders>
              <w:top w:val="nil"/>
              <w:left w:val="nil"/>
            </w:tcBorders>
          </w:tcPr>
          <w:p w:rsidR="00D724FA" w:rsidRDefault="00D724FA" w:rsidP="00A858D8">
            <w:pPr>
              <w:pStyle w:val="IASBTableArial"/>
            </w:pPr>
          </w:p>
        </w:tc>
        <w:tc>
          <w:tcPr>
            <w:tcW w:w="1547" w:type="dxa"/>
            <w:tcBorders>
              <w:top w:val="nil"/>
              <w:left w:val="nil"/>
            </w:tcBorders>
            <w:vAlign w:val="bottom"/>
          </w:tcPr>
          <w:p w:rsidR="00D724FA" w:rsidRDefault="00D724FA" w:rsidP="00A858D8">
            <w:pPr>
              <w:pStyle w:val="IASBTableArial"/>
            </w:pPr>
          </w:p>
        </w:tc>
        <w:tc>
          <w:tcPr>
            <w:tcW w:w="216" w:type="dxa"/>
            <w:gridSpan w:val="2"/>
            <w:tcBorders>
              <w:top w:val="nil"/>
              <w:left w:val="nil"/>
            </w:tcBorders>
            <w:vAlign w:val="bottom"/>
          </w:tcPr>
          <w:p w:rsidR="00D724FA" w:rsidRDefault="00D724FA" w:rsidP="00A858D8">
            <w:pPr>
              <w:pStyle w:val="IASBTableArial"/>
            </w:pPr>
          </w:p>
        </w:tc>
        <w:tc>
          <w:tcPr>
            <w:tcW w:w="1513" w:type="dxa"/>
            <w:tcBorders>
              <w:top w:val="nil"/>
              <w:left w:val="nil"/>
            </w:tcBorders>
            <w:vAlign w:val="bottom"/>
          </w:tcPr>
          <w:p w:rsidR="00D724FA" w:rsidRDefault="00D724FA" w:rsidP="00A858D8">
            <w:pPr>
              <w:pStyle w:val="IASBTableArial"/>
            </w:pPr>
          </w:p>
        </w:tc>
        <w:tc>
          <w:tcPr>
            <w:tcW w:w="216" w:type="dxa"/>
            <w:tcBorders>
              <w:top w:val="nil"/>
              <w:left w:val="nil"/>
            </w:tcBorders>
            <w:vAlign w:val="bottom"/>
          </w:tcPr>
          <w:p w:rsidR="00D724FA" w:rsidRDefault="00D724FA" w:rsidP="00A858D8">
            <w:pPr>
              <w:pStyle w:val="IASBTableArial"/>
            </w:pPr>
          </w:p>
        </w:tc>
        <w:tc>
          <w:tcPr>
            <w:tcW w:w="239" w:type="dxa"/>
            <w:tcBorders>
              <w:top w:val="nil"/>
              <w:left w:val="nil"/>
            </w:tcBorders>
            <w:vAlign w:val="bottom"/>
          </w:tcPr>
          <w:p w:rsidR="00D724FA" w:rsidRDefault="00D724FA" w:rsidP="00A858D8">
            <w:pPr>
              <w:pStyle w:val="IASBTableArial"/>
            </w:pPr>
          </w:p>
        </w:tc>
        <w:tc>
          <w:tcPr>
            <w:tcW w:w="1638" w:type="dxa"/>
            <w:tcBorders>
              <w:top w:val="nil"/>
              <w:left w:val="nil"/>
            </w:tcBorders>
            <w:vAlign w:val="bottom"/>
          </w:tcPr>
          <w:p w:rsidR="00D724FA" w:rsidRDefault="00D724FA" w:rsidP="00A858D8">
            <w:pPr>
              <w:pStyle w:val="IASBTableArial"/>
            </w:pPr>
          </w:p>
        </w:tc>
      </w:tr>
      <w:tr w:rsidR="00D724FA" w:rsidTr="00A858D8">
        <w:trPr>
          <w:cantSplit/>
        </w:trPr>
        <w:tc>
          <w:tcPr>
            <w:tcW w:w="8662" w:type="dxa"/>
            <w:gridSpan w:val="9"/>
            <w:tcBorders>
              <w:top w:val="nil"/>
            </w:tcBorders>
            <w:vAlign w:val="bottom"/>
          </w:tcPr>
          <w:p w:rsidR="00D724FA" w:rsidRDefault="00D724FA" w:rsidP="00A858D8">
            <w:pPr>
              <w:pStyle w:val="IASBTableTNR"/>
            </w:pPr>
            <w:r>
              <w:rPr>
                <w:rStyle w:val="FootnoteReference"/>
                <w:sz w:val="16"/>
                <w:vertAlign w:val="baseline"/>
              </w:rPr>
              <w:t xml:space="preserve"> (a)</w:t>
            </w:r>
            <w:r>
              <w:rPr>
                <w:rStyle w:val="FootnoteReference"/>
                <w:sz w:val="16"/>
                <w:vertAlign w:val="baseline"/>
              </w:rPr>
              <w:tab/>
              <w:t>(CU12,000,000 × 5%) ÷ 4; less taxes at 40%.</w:t>
            </w:r>
          </w:p>
          <w:p w:rsidR="00D724FA" w:rsidRDefault="00D724FA" w:rsidP="00E310D3">
            <w:pPr>
              <w:pStyle w:val="IASBTableTNR"/>
              <w:ind w:left="720" w:hanging="720"/>
              <w:rPr>
                <w:sz w:val="16"/>
              </w:rPr>
            </w:pPr>
            <w:r>
              <w:rPr>
                <w:rStyle w:val="FootnoteReference"/>
                <w:sz w:val="16"/>
                <w:vertAlign w:val="baseline"/>
              </w:rPr>
              <w:t xml:space="preserve"> (b)</w:t>
            </w:r>
            <w:r>
              <w:rPr>
                <w:rStyle w:val="FootnoteReference"/>
                <w:sz w:val="16"/>
                <w:vertAlign w:val="baseline"/>
              </w:rPr>
              <w:tab/>
              <w:t>[(CU57.125</w:t>
            </w:r>
            <w:r>
              <w:rPr>
                <w:rStyle w:val="FootnoteReference"/>
                <w:sz w:val="16"/>
              </w:rPr>
              <w:t>*</w:t>
            </w:r>
            <w:r>
              <w:rPr>
                <w:rStyle w:val="FootnoteReference"/>
                <w:sz w:val="16"/>
                <w:vertAlign w:val="baseline"/>
              </w:rPr>
              <w:t xml:space="preserve"> – CU55) ÷ CU57.125] × 600,000 = 22,320 shares; 22,320 × </w:t>
            </w:r>
            <w:r>
              <w:rPr>
                <w:rStyle w:val="FootnoteReference"/>
                <w:sz w:val="16"/>
              </w:rPr>
              <w:t>8</w:t>
            </w:r>
            <w:r>
              <w:rPr>
                <w:rStyle w:val="FootnoteReference"/>
                <w:sz w:val="16"/>
                <w:vertAlign w:val="baseline"/>
              </w:rPr>
              <w:t>/</w:t>
            </w:r>
            <w:r>
              <w:rPr>
                <w:rStyle w:val="FootnoteReference"/>
                <w:sz w:val="16"/>
                <w:vertAlign w:val="subscript"/>
              </w:rPr>
              <w:t>12</w:t>
            </w:r>
            <w:r>
              <w:rPr>
                <w:rStyle w:val="FootnoteReference"/>
                <w:sz w:val="16"/>
                <w:vertAlign w:val="baseline"/>
              </w:rPr>
              <w:t xml:space="preserve"> = 14,880 shares</w:t>
            </w:r>
            <w:r>
              <w:rPr>
                <w:rStyle w:val="FootnoteReference"/>
                <w:sz w:val="16"/>
              </w:rPr>
              <w:t>*</w:t>
            </w:r>
            <w:r>
              <w:rPr>
                <w:rStyle w:val="FootnoteReference"/>
                <w:sz w:val="16"/>
                <w:vertAlign w:val="baseline"/>
              </w:rPr>
              <w:t>.</w:t>
            </w:r>
            <w:r>
              <w:rPr>
                <w:rStyle w:val="FootnoteReference"/>
                <w:sz w:val="16"/>
                <w:vertAlign w:val="baseline"/>
              </w:rPr>
              <w:br/>
              <w:t>The average market price from 1 January 20X1 to 1 September 20X1.</w:t>
            </w:r>
          </w:p>
          <w:p w:rsidR="00D724FA" w:rsidRDefault="00D724FA" w:rsidP="00A858D8">
            <w:pPr>
              <w:pStyle w:val="IASBTableTNR"/>
              <w:rPr>
                <w:sz w:val="16"/>
              </w:rPr>
            </w:pPr>
            <w:r>
              <w:rPr>
                <w:rStyle w:val="FootnoteReference"/>
                <w:sz w:val="16"/>
                <w:vertAlign w:val="baseline"/>
              </w:rPr>
              <w:t xml:space="preserve"> (c)</w:t>
            </w:r>
            <w:r>
              <w:rPr>
                <w:rStyle w:val="FootnoteReference"/>
                <w:sz w:val="16"/>
                <w:vertAlign w:val="baseline"/>
              </w:rPr>
              <w:tab/>
              <w:t xml:space="preserve">(800,000 shares × </w:t>
            </w:r>
            <w:r>
              <w:rPr>
                <w:rStyle w:val="FootnoteReference"/>
                <w:sz w:val="16"/>
              </w:rPr>
              <w:t>5</w:t>
            </w:r>
            <w:r>
              <w:rPr>
                <w:rStyle w:val="FootnoteReference"/>
                <w:sz w:val="16"/>
                <w:vertAlign w:val="baseline"/>
              </w:rPr>
              <w:t>/</w:t>
            </w:r>
            <w:r>
              <w:rPr>
                <w:rStyle w:val="FootnoteReference"/>
                <w:sz w:val="16"/>
                <w:vertAlign w:val="subscript"/>
              </w:rPr>
              <w:t>12</w:t>
            </w:r>
            <w:r>
              <w:rPr>
                <w:rStyle w:val="FootnoteReference"/>
                <w:sz w:val="16"/>
                <w:vertAlign w:val="baseline"/>
              </w:rPr>
              <w:t xml:space="preserve">) + (200,000 shares × </w:t>
            </w:r>
            <w:r>
              <w:rPr>
                <w:rStyle w:val="FootnoteReference"/>
                <w:sz w:val="16"/>
              </w:rPr>
              <w:t>7</w:t>
            </w:r>
            <w:r>
              <w:rPr>
                <w:rStyle w:val="FootnoteReference"/>
                <w:sz w:val="16"/>
                <w:vertAlign w:val="baseline"/>
              </w:rPr>
              <w:t>/</w:t>
            </w:r>
            <w:r>
              <w:rPr>
                <w:rStyle w:val="FootnoteReference"/>
                <w:sz w:val="16"/>
                <w:vertAlign w:val="subscript"/>
              </w:rPr>
              <w:t>12</w:t>
            </w:r>
            <w:r>
              <w:rPr>
                <w:rStyle w:val="FootnoteReference"/>
                <w:sz w:val="16"/>
                <w:vertAlign w:val="baseline"/>
              </w:rPr>
              <w:t>).</w:t>
            </w:r>
          </w:p>
          <w:p w:rsidR="00D724FA" w:rsidRDefault="00D724FA" w:rsidP="00A858D8">
            <w:pPr>
              <w:pStyle w:val="IASBTableTNR"/>
            </w:pPr>
            <w:r>
              <w:rPr>
                <w:rStyle w:val="FootnoteReference"/>
                <w:sz w:val="16"/>
                <w:vertAlign w:val="baseline"/>
              </w:rPr>
              <w:t xml:space="preserve"> (d)</w:t>
            </w:r>
            <w:r>
              <w:rPr>
                <w:rStyle w:val="FootnoteReference"/>
                <w:sz w:val="16"/>
                <w:vertAlign w:val="baseline"/>
              </w:rPr>
              <w:tab/>
              <w:t xml:space="preserve">480,000 shares × </w:t>
            </w:r>
            <w:r>
              <w:rPr>
                <w:rStyle w:val="FootnoteReference"/>
                <w:sz w:val="16"/>
              </w:rPr>
              <w:t>3</w:t>
            </w:r>
            <w:r>
              <w:rPr>
                <w:rStyle w:val="FootnoteReference"/>
                <w:sz w:val="16"/>
                <w:vertAlign w:val="baseline"/>
              </w:rPr>
              <w:t>/</w:t>
            </w:r>
            <w:r>
              <w:rPr>
                <w:rStyle w:val="FootnoteReference"/>
                <w:sz w:val="16"/>
                <w:vertAlign w:val="subscript"/>
              </w:rPr>
              <w:t>12</w:t>
            </w:r>
            <w:r>
              <w:rPr>
                <w:rStyle w:val="FootnoteReference"/>
                <w:sz w:val="16"/>
                <w:vertAlign w:val="baseline"/>
              </w:rPr>
              <w:t>.</w:t>
            </w:r>
          </w:p>
        </w:tc>
      </w:tr>
    </w:tbl>
    <w:p w:rsidR="00D724FA" w:rsidRDefault="00D724FA" w:rsidP="00D724FA">
      <w:pPr>
        <w:pStyle w:val="IASBNormalnpara"/>
      </w:pPr>
    </w:p>
    <w:p w:rsidR="00D724FA" w:rsidRDefault="00D724FA" w:rsidP="00D724FA">
      <w:pPr>
        <w:pStyle w:val="IASBNormal"/>
      </w:pPr>
      <w:r>
        <w:t>The following illustrates how Company A might present its earnings per share data in its statement of comprehensive income. Note that the amounts per share for the loss from discontinued operations are not required to be presented in the statement of comprehensive income.</w:t>
      </w:r>
    </w:p>
    <w:p w:rsidR="00D724FA" w:rsidRDefault="00D724FA" w:rsidP="00D724FA">
      <w:pPr>
        <w:pStyle w:val="IASBNormalnpara"/>
      </w:pPr>
    </w:p>
    <w:tbl>
      <w:tblPr>
        <w:tblW w:w="0" w:type="auto"/>
        <w:tblLayout w:type="fixed"/>
        <w:tblLook w:val="0000" w:firstRow="0" w:lastRow="0" w:firstColumn="0" w:lastColumn="0" w:noHBand="0" w:noVBand="0"/>
        <w:tblCaption w:val="AASB 133 Table 33"/>
      </w:tblPr>
      <w:tblGrid>
        <w:gridCol w:w="8298"/>
        <w:gridCol w:w="910"/>
      </w:tblGrid>
      <w:tr w:rsidR="00D724FA" w:rsidTr="00A858D8">
        <w:trPr>
          <w:cantSplit/>
          <w:tblHeader/>
        </w:trPr>
        <w:tc>
          <w:tcPr>
            <w:tcW w:w="9208" w:type="dxa"/>
            <w:gridSpan w:val="2"/>
            <w:vAlign w:val="bottom"/>
          </w:tcPr>
          <w:p w:rsidR="00D724FA" w:rsidRDefault="00D724FA" w:rsidP="00A858D8">
            <w:pPr>
              <w:pStyle w:val="IASBTableHeaderArial"/>
              <w:jc w:val="right"/>
            </w:pPr>
            <w:r>
              <w:rPr>
                <w:b/>
                <w:i/>
              </w:rPr>
              <w:t>For the year ended 20X1</w:t>
            </w:r>
          </w:p>
        </w:tc>
      </w:tr>
      <w:tr w:rsidR="00D724FA" w:rsidTr="00A858D8">
        <w:trPr>
          <w:cantSplit/>
          <w:tblHeader/>
        </w:trPr>
        <w:tc>
          <w:tcPr>
            <w:tcW w:w="8298" w:type="dxa"/>
            <w:tcBorders>
              <w:top w:val="nil"/>
            </w:tcBorders>
            <w:vAlign w:val="bottom"/>
          </w:tcPr>
          <w:p w:rsidR="00D724FA" w:rsidRDefault="00D724FA" w:rsidP="00A858D8">
            <w:pPr>
              <w:pStyle w:val="IASBTableHeaderArial"/>
            </w:pPr>
          </w:p>
        </w:tc>
        <w:tc>
          <w:tcPr>
            <w:tcW w:w="910" w:type="dxa"/>
            <w:tcBorders>
              <w:top w:val="nil"/>
              <w:left w:val="nil"/>
            </w:tcBorders>
            <w:vAlign w:val="bottom"/>
          </w:tcPr>
          <w:p w:rsidR="00D724FA" w:rsidRDefault="00D724FA" w:rsidP="00A858D8">
            <w:pPr>
              <w:pStyle w:val="IASBTableHeaderArial"/>
              <w:jc w:val="right"/>
            </w:pPr>
            <w:r>
              <w:rPr>
                <w:b/>
                <w:u w:val="single"/>
              </w:rPr>
              <w:t>CU</w:t>
            </w:r>
          </w:p>
        </w:tc>
      </w:tr>
      <w:tr w:rsidR="00D724FA" w:rsidTr="00A858D8">
        <w:trPr>
          <w:cantSplit/>
        </w:trPr>
        <w:tc>
          <w:tcPr>
            <w:tcW w:w="8298" w:type="dxa"/>
            <w:tcBorders>
              <w:top w:val="nil"/>
            </w:tcBorders>
            <w:vAlign w:val="bottom"/>
          </w:tcPr>
          <w:p w:rsidR="00D724FA" w:rsidRDefault="00D724FA" w:rsidP="00A858D8">
            <w:pPr>
              <w:pStyle w:val="IASBTableArial"/>
            </w:pPr>
            <w:r>
              <w:rPr>
                <w:b/>
              </w:rPr>
              <w:t>Earnings per ordinary share</w:t>
            </w:r>
          </w:p>
        </w:tc>
        <w:tc>
          <w:tcPr>
            <w:tcW w:w="910" w:type="dxa"/>
            <w:tcBorders>
              <w:top w:val="nil"/>
              <w:left w:val="nil"/>
            </w:tcBorders>
            <w:vAlign w:val="bottom"/>
          </w:tcPr>
          <w:p w:rsidR="00D724FA" w:rsidRDefault="00D724FA" w:rsidP="00A858D8">
            <w:pPr>
              <w:pStyle w:val="IASBTableArial"/>
            </w:pPr>
          </w:p>
        </w:tc>
      </w:tr>
      <w:tr w:rsidR="00D724FA" w:rsidTr="00A858D8">
        <w:trPr>
          <w:cantSplit/>
        </w:trPr>
        <w:tc>
          <w:tcPr>
            <w:tcW w:w="8298" w:type="dxa"/>
            <w:tcBorders>
              <w:top w:val="nil"/>
            </w:tcBorders>
            <w:vAlign w:val="bottom"/>
          </w:tcPr>
          <w:p w:rsidR="00D724FA" w:rsidRDefault="00D724FA" w:rsidP="00A858D8">
            <w:pPr>
              <w:pStyle w:val="IASBTableArial"/>
            </w:pPr>
            <w:r>
              <w:t>Profit from continuing operations</w:t>
            </w:r>
          </w:p>
        </w:tc>
        <w:tc>
          <w:tcPr>
            <w:tcW w:w="910" w:type="dxa"/>
            <w:tcBorders>
              <w:top w:val="nil"/>
              <w:left w:val="nil"/>
            </w:tcBorders>
            <w:vAlign w:val="bottom"/>
          </w:tcPr>
          <w:p w:rsidR="00D724FA" w:rsidRDefault="00D724FA" w:rsidP="00A858D8">
            <w:pPr>
              <w:pStyle w:val="IASBTableArial"/>
              <w:jc w:val="right"/>
            </w:pPr>
            <w:r>
              <w:t>1.93</w:t>
            </w:r>
          </w:p>
        </w:tc>
      </w:tr>
      <w:tr w:rsidR="00D724FA" w:rsidTr="00A858D8">
        <w:trPr>
          <w:cantSplit/>
        </w:trPr>
        <w:tc>
          <w:tcPr>
            <w:tcW w:w="8298" w:type="dxa"/>
            <w:tcBorders>
              <w:top w:val="nil"/>
            </w:tcBorders>
            <w:vAlign w:val="bottom"/>
          </w:tcPr>
          <w:p w:rsidR="00D724FA" w:rsidRDefault="00D724FA" w:rsidP="00A858D8">
            <w:pPr>
              <w:pStyle w:val="IASBTableArial"/>
            </w:pPr>
            <w:r>
              <w:t>Loss from discontinued operations</w:t>
            </w:r>
          </w:p>
        </w:tc>
        <w:tc>
          <w:tcPr>
            <w:tcW w:w="910" w:type="dxa"/>
            <w:tcBorders>
              <w:top w:val="nil"/>
              <w:left w:val="nil"/>
              <w:bottom w:val="single" w:sz="4" w:space="0" w:color="auto"/>
            </w:tcBorders>
            <w:vAlign w:val="bottom"/>
          </w:tcPr>
          <w:p w:rsidR="00D724FA" w:rsidRDefault="00D724FA" w:rsidP="00A858D8">
            <w:pPr>
              <w:pStyle w:val="IASBTableArial"/>
              <w:jc w:val="right"/>
            </w:pPr>
            <w:r>
              <w:t>(0.33)</w:t>
            </w:r>
          </w:p>
        </w:tc>
      </w:tr>
      <w:tr w:rsidR="00D724FA" w:rsidTr="00A858D8">
        <w:trPr>
          <w:cantSplit/>
        </w:trPr>
        <w:tc>
          <w:tcPr>
            <w:tcW w:w="8298" w:type="dxa"/>
            <w:tcBorders>
              <w:top w:val="nil"/>
            </w:tcBorders>
            <w:vAlign w:val="bottom"/>
          </w:tcPr>
          <w:p w:rsidR="00D724FA" w:rsidRDefault="00D724FA" w:rsidP="00A858D8">
            <w:pPr>
              <w:pStyle w:val="IASBTableArial"/>
            </w:pPr>
            <w:r>
              <w:t>Profit</w:t>
            </w:r>
          </w:p>
        </w:tc>
        <w:tc>
          <w:tcPr>
            <w:tcW w:w="910" w:type="dxa"/>
            <w:tcBorders>
              <w:top w:val="nil"/>
              <w:left w:val="nil"/>
              <w:bottom w:val="double" w:sz="4" w:space="0" w:color="auto"/>
            </w:tcBorders>
            <w:vAlign w:val="bottom"/>
          </w:tcPr>
          <w:p w:rsidR="00D724FA" w:rsidRDefault="00D724FA" w:rsidP="00A858D8">
            <w:pPr>
              <w:pStyle w:val="IASBTableArial"/>
              <w:jc w:val="right"/>
            </w:pPr>
            <w:r>
              <w:t>1.60</w:t>
            </w:r>
          </w:p>
        </w:tc>
      </w:tr>
      <w:tr w:rsidR="00D724FA" w:rsidTr="00A858D8">
        <w:trPr>
          <w:cantSplit/>
        </w:trPr>
        <w:tc>
          <w:tcPr>
            <w:tcW w:w="8298" w:type="dxa"/>
            <w:tcBorders>
              <w:top w:val="nil"/>
            </w:tcBorders>
            <w:vAlign w:val="bottom"/>
          </w:tcPr>
          <w:p w:rsidR="00D724FA" w:rsidRDefault="00D724FA" w:rsidP="00A858D8">
            <w:pPr>
              <w:pStyle w:val="IASBTableArial"/>
            </w:pPr>
          </w:p>
        </w:tc>
        <w:tc>
          <w:tcPr>
            <w:tcW w:w="910" w:type="dxa"/>
            <w:tcBorders>
              <w:top w:val="nil"/>
              <w:left w:val="nil"/>
            </w:tcBorders>
            <w:vAlign w:val="bottom"/>
          </w:tcPr>
          <w:p w:rsidR="00D724FA" w:rsidRDefault="00D724FA" w:rsidP="00A858D8">
            <w:pPr>
              <w:pStyle w:val="IASBTableArial"/>
            </w:pPr>
          </w:p>
        </w:tc>
      </w:tr>
      <w:tr w:rsidR="00D724FA" w:rsidTr="00A858D8">
        <w:trPr>
          <w:cantSplit/>
        </w:trPr>
        <w:tc>
          <w:tcPr>
            <w:tcW w:w="8298" w:type="dxa"/>
            <w:tcBorders>
              <w:top w:val="nil"/>
            </w:tcBorders>
            <w:vAlign w:val="bottom"/>
          </w:tcPr>
          <w:p w:rsidR="00D724FA" w:rsidRDefault="00D724FA" w:rsidP="00A858D8">
            <w:pPr>
              <w:pStyle w:val="IASBTableArial"/>
            </w:pPr>
            <w:r>
              <w:rPr>
                <w:b/>
              </w:rPr>
              <w:t>Diluted earnings per ordinary share</w:t>
            </w:r>
          </w:p>
        </w:tc>
        <w:tc>
          <w:tcPr>
            <w:tcW w:w="910" w:type="dxa"/>
            <w:tcBorders>
              <w:top w:val="nil"/>
              <w:left w:val="nil"/>
            </w:tcBorders>
            <w:vAlign w:val="bottom"/>
          </w:tcPr>
          <w:p w:rsidR="00D724FA" w:rsidRDefault="00D724FA" w:rsidP="00A858D8">
            <w:pPr>
              <w:pStyle w:val="IASBTableArial"/>
            </w:pPr>
          </w:p>
        </w:tc>
      </w:tr>
      <w:tr w:rsidR="00D724FA" w:rsidTr="00A858D8">
        <w:trPr>
          <w:cantSplit/>
        </w:trPr>
        <w:tc>
          <w:tcPr>
            <w:tcW w:w="8298" w:type="dxa"/>
            <w:tcBorders>
              <w:top w:val="nil"/>
            </w:tcBorders>
            <w:vAlign w:val="bottom"/>
          </w:tcPr>
          <w:p w:rsidR="00D724FA" w:rsidRDefault="00D724FA" w:rsidP="00A858D8">
            <w:pPr>
              <w:pStyle w:val="IASBTableArial"/>
            </w:pPr>
            <w:r>
              <w:t>Profit from continuing operations</w:t>
            </w:r>
          </w:p>
        </w:tc>
        <w:tc>
          <w:tcPr>
            <w:tcW w:w="910" w:type="dxa"/>
            <w:tcBorders>
              <w:top w:val="nil"/>
              <w:left w:val="nil"/>
            </w:tcBorders>
            <w:vAlign w:val="bottom"/>
          </w:tcPr>
          <w:p w:rsidR="00D724FA" w:rsidRDefault="00D724FA" w:rsidP="00A858D8">
            <w:pPr>
              <w:pStyle w:val="IASBTableArial"/>
              <w:jc w:val="right"/>
            </w:pPr>
            <w:r>
              <w:t>1.78</w:t>
            </w:r>
          </w:p>
        </w:tc>
      </w:tr>
      <w:tr w:rsidR="00D724FA" w:rsidTr="00A858D8">
        <w:trPr>
          <w:cantSplit/>
        </w:trPr>
        <w:tc>
          <w:tcPr>
            <w:tcW w:w="8298" w:type="dxa"/>
            <w:tcBorders>
              <w:top w:val="nil"/>
            </w:tcBorders>
            <w:vAlign w:val="bottom"/>
          </w:tcPr>
          <w:p w:rsidR="00D724FA" w:rsidRDefault="00D724FA" w:rsidP="00A858D8">
            <w:pPr>
              <w:pStyle w:val="IASBTableArial"/>
            </w:pPr>
            <w:r>
              <w:t>Loss from discontinued operations</w:t>
            </w:r>
          </w:p>
        </w:tc>
        <w:tc>
          <w:tcPr>
            <w:tcW w:w="910" w:type="dxa"/>
            <w:tcBorders>
              <w:top w:val="nil"/>
              <w:left w:val="nil"/>
              <w:bottom w:val="single" w:sz="4" w:space="0" w:color="auto"/>
            </w:tcBorders>
            <w:vAlign w:val="bottom"/>
          </w:tcPr>
          <w:p w:rsidR="00D724FA" w:rsidRDefault="00D724FA" w:rsidP="00A858D8">
            <w:pPr>
              <w:pStyle w:val="IASBTableArial"/>
              <w:jc w:val="right"/>
            </w:pPr>
            <w:r>
              <w:t>(0.30)</w:t>
            </w:r>
          </w:p>
        </w:tc>
      </w:tr>
      <w:tr w:rsidR="00D724FA" w:rsidTr="00A858D8">
        <w:trPr>
          <w:cantSplit/>
        </w:trPr>
        <w:tc>
          <w:tcPr>
            <w:tcW w:w="8298" w:type="dxa"/>
            <w:tcBorders>
              <w:top w:val="nil"/>
            </w:tcBorders>
            <w:vAlign w:val="bottom"/>
          </w:tcPr>
          <w:p w:rsidR="00D724FA" w:rsidRDefault="00D724FA" w:rsidP="00A858D8">
            <w:pPr>
              <w:pStyle w:val="IASBTableArial"/>
            </w:pPr>
            <w:r>
              <w:t>Profit</w:t>
            </w:r>
          </w:p>
        </w:tc>
        <w:tc>
          <w:tcPr>
            <w:tcW w:w="910" w:type="dxa"/>
            <w:tcBorders>
              <w:top w:val="nil"/>
              <w:left w:val="nil"/>
              <w:bottom w:val="double" w:sz="4" w:space="0" w:color="auto"/>
            </w:tcBorders>
            <w:vAlign w:val="bottom"/>
          </w:tcPr>
          <w:p w:rsidR="00D724FA" w:rsidRDefault="00D724FA" w:rsidP="00A858D8">
            <w:pPr>
              <w:pStyle w:val="IASBTableArial"/>
              <w:jc w:val="right"/>
            </w:pPr>
            <w:r>
              <w:t>1.48</w:t>
            </w:r>
          </w:p>
        </w:tc>
      </w:tr>
    </w:tbl>
    <w:p w:rsidR="00D724FA" w:rsidRDefault="00D724FA" w:rsidP="00D724FA">
      <w:pPr>
        <w:pStyle w:val="IASBNormalnpara"/>
      </w:pPr>
    </w:p>
    <w:p w:rsidR="00D724FA" w:rsidRDefault="00D724FA" w:rsidP="00D724FA">
      <w:pPr>
        <w:pStyle w:val="IASBNormal"/>
      </w:pPr>
      <w:r>
        <w:t>The following table includes the quarterly and annual earnings per share data for Company A. The purpose of this table is to illustrate that the sum of the four quarters’ earnings per share data will not necessarily equal the annual earnings per share data. The Standard does not require disclosure of this information.</w:t>
      </w:r>
    </w:p>
    <w:p w:rsidR="00D724FA" w:rsidRDefault="00D724FA" w:rsidP="00D724FA">
      <w:pPr>
        <w:pStyle w:val="IASBNormalnpara"/>
      </w:pPr>
      <w:r>
        <w:br w:type="page"/>
      </w:r>
    </w:p>
    <w:tbl>
      <w:tblPr>
        <w:tblW w:w="0" w:type="auto"/>
        <w:tblLayout w:type="fixed"/>
        <w:tblLook w:val="0000" w:firstRow="0" w:lastRow="0" w:firstColumn="0" w:lastColumn="0" w:noHBand="0" w:noVBand="0"/>
        <w:tblCaption w:val="AASB 133 Table 34"/>
      </w:tblPr>
      <w:tblGrid>
        <w:gridCol w:w="3020"/>
        <w:gridCol w:w="1092"/>
        <w:gridCol w:w="236"/>
        <w:gridCol w:w="1058"/>
        <w:gridCol w:w="236"/>
        <w:gridCol w:w="1058"/>
        <w:gridCol w:w="236"/>
        <w:gridCol w:w="1058"/>
        <w:gridCol w:w="236"/>
        <w:gridCol w:w="1058"/>
      </w:tblGrid>
      <w:tr w:rsidR="00D724FA" w:rsidTr="00A858D8">
        <w:trPr>
          <w:cantSplit/>
          <w:tblHeader/>
        </w:trPr>
        <w:tc>
          <w:tcPr>
            <w:tcW w:w="3020" w:type="dxa"/>
            <w:vAlign w:val="bottom"/>
          </w:tcPr>
          <w:p w:rsidR="00D724FA" w:rsidRDefault="00D724FA" w:rsidP="00A858D8">
            <w:pPr>
              <w:pStyle w:val="IASBTableHeaderArial"/>
            </w:pPr>
          </w:p>
        </w:tc>
        <w:tc>
          <w:tcPr>
            <w:tcW w:w="1092" w:type="dxa"/>
            <w:tcBorders>
              <w:left w:val="nil"/>
            </w:tcBorders>
          </w:tcPr>
          <w:p w:rsidR="00D724FA" w:rsidRDefault="00D724FA" w:rsidP="00A858D8">
            <w:pPr>
              <w:pStyle w:val="IASBTableHeaderArial"/>
              <w:jc w:val="right"/>
            </w:pPr>
            <w:r>
              <w:rPr>
                <w:b/>
                <w:i/>
                <w:sz w:val="15"/>
              </w:rPr>
              <w:t>First quarter</w:t>
            </w:r>
          </w:p>
        </w:tc>
        <w:tc>
          <w:tcPr>
            <w:tcW w:w="216" w:type="dxa"/>
            <w:tcBorders>
              <w:left w:val="nil"/>
            </w:tcBorders>
            <w:vAlign w:val="bottom"/>
          </w:tcPr>
          <w:p w:rsidR="00D724FA" w:rsidRDefault="00D724FA" w:rsidP="00A858D8">
            <w:pPr>
              <w:pStyle w:val="IASBTableHeaderArial"/>
            </w:pPr>
          </w:p>
        </w:tc>
        <w:tc>
          <w:tcPr>
            <w:tcW w:w="1058" w:type="dxa"/>
            <w:tcBorders>
              <w:left w:val="nil"/>
            </w:tcBorders>
          </w:tcPr>
          <w:p w:rsidR="00D724FA" w:rsidRDefault="00D724FA" w:rsidP="00A858D8">
            <w:pPr>
              <w:pStyle w:val="IASBTableHeaderArial"/>
              <w:jc w:val="right"/>
            </w:pPr>
            <w:r>
              <w:rPr>
                <w:b/>
                <w:i/>
                <w:sz w:val="15"/>
              </w:rPr>
              <w:t>Second quarter</w:t>
            </w:r>
          </w:p>
        </w:tc>
        <w:tc>
          <w:tcPr>
            <w:tcW w:w="216" w:type="dxa"/>
            <w:tcBorders>
              <w:left w:val="nil"/>
            </w:tcBorders>
            <w:vAlign w:val="bottom"/>
          </w:tcPr>
          <w:p w:rsidR="00D724FA" w:rsidRDefault="00D724FA" w:rsidP="00A858D8">
            <w:pPr>
              <w:pStyle w:val="IASBTableHeaderArial"/>
            </w:pPr>
          </w:p>
        </w:tc>
        <w:tc>
          <w:tcPr>
            <w:tcW w:w="1058" w:type="dxa"/>
            <w:tcBorders>
              <w:left w:val="nil"/>
            </w:tcBorders>
          </w:tcPr>
          <w:p w:rsidR="00D724FA" w:rsidRDefault="00D724FA" w:rsidP="00A858D8">
            <w:pPr>
              <w:pStyle w:val="IASBTableHeaderArial"/>
              <w:jc w:val="right"/>
            </w:pPr>
            <w:r>
              <w:rPr>
                <w:b/>
                <w:i/>
                <w:sz w:val="15"/>
              </w:rPr>
              <w:t>Third quarter</w:t>
            </w:r>
          </w:p>
        </w:tc>
        <w:tc>
          <w:tcPr>
            <w:tcW w:w="216" w:type="dxa"/>
            <w:tcBorders>
              <w:left w:val="nil"/>
            </w:tcBorders>
            <w:vAlign w:val="bottom"/>
          </w:tcPr>
          <w:p w:rsidR="00D724FA" w:rsidRDefault="00D724FA" w:rsidP="00A858D8">
            <w:pPr>
              <w:pStyle w:val="IASBTableHeaderArial"/>
            </w:pPr>
          </w:p>
        </w:tc>
        <w:tc>
          <w:tcPr>
            <w:tcW w:w="1058" w:type="dxa"/>
            <w:tcBorders>
              <w:left w:val="nil"/>
            </w:tcBorders>
          </w:tcPr>
          <w:p w:rsidR="00D724FA" w:rsidRDefault="00D724FA" w:rsidP="00A858D8">
            <w:pPr>
              <w:pStyle w:val="IASBTableHeaderArial"/>
              <w:jc w:val="right"/>
            </w:pPr>
            <w:r>
              <w:rPr>
                <w:b/>
                <w:i/>
                <w:sz w:val="15"/>
              </w:rPr>
              <w:t>Fourth quarter</w:t>
            </w:r>
          </w:p>
        </w:tc>
        <w:tc>
          <w:tcPr>
            <w:tcW w:w="216" w:type="dxa"/>
            <w:tcBorders>
              <w:left w:val="nil"/>
            </w:tcBorders>
            <w:vAlign w:val="bottom"/>
          </w:tcPr>
          <w:p w:rsidR="00D724FA" w:rsidRDefault="00D724FA" w:rsidP="00A858D8">
            <w:pPr>
              <w:pStyle w:val="IASBTableHeaderArial"/>
            </w:pPr>
          </w:p>
        </w:tc>
        <w:tc>
          <w:tcPr>
            <w:tcW w:w="1058" w:type="dxa"/>
            <w:tcBorders>
              <w:left w:val="nil"/>
            </w:tcBorders>
          </w:tcPr>
          <w:p w:rsidR="00D724FA" w:rsidRDefault="00D724FA" w:rsidP="00A858D8">
            <w:pPr>
              <w:pStyle w:val="IASBTableHeaderArial"/>
              <w:jc w:val="right"/>
            </w:pPr>
            <w:r>
              <w:rPr>
                <w:b/>
                <w:i/>
                <w:sz w:val="15"/>
              </w:rPr>
              <w:t>Full year</w:t>
            </w:r>
          </w:p>
        </w:tc>
      </w:tr>
      <w:tr w:rsidR="00D724FA" w:rsidTr="00A858D8">
        <w:trPr>
          <w:cantSplit/>
          <w:tblHeader/>
        </w:trPr>
        <w:tc>
          <w:tcPr>
            <w:tcW w:w="3020" w:type="dxa"/>
            <w:tcBorders>
              <w:top w:val="nil"/>
            </w:tcBorders>
            <w:vAlign w:val="bottom"/>
          </w:tcPr>
          <w:p w:rsidR="00D724FA" w:rsidRDefault="00D724FA" w:rsidP="00A858D8">
            <w:pPr>
              <w:pStyle w:val="IASBTableHeaderArial"/>
            </w:pPr>
          </w:p>
        </w:tc>
        <w:tc>
          <w:tcPr>
            <w:tcW w:w="1092" w:type="dxa"/>
            <w:tcBorders>
              <w:top w:val="nil"/>
              <w:left w:val="nil"/>
            </w:tcBorders>
          </w:tcPr>
          <w:p w:rsidR="00D724FA" w:rsidRDefault="00D724FA" w:rsidP="00A858D8">
            <w:pPr>
              <w:pStyle w:val="IASBTableHeaderArial"/>
              <w:jc w:val="right"/>
            </w:pPr>
            <w:r>
              <w:rPr>
                <w:b/>
                <w:u w:val="single"/>
              </w:rPr>
              <w:t>CU</w:t>
            </w:r>
          </w:p>
        </w:tc>
        <w:tc>
          <w:tcPr>
            <w:tcW w:w="216" w:type="dxa"/>
            <w:tcBorders>
              <w:top w:val="nil"/>
              <w:left w:val="nil"/>
            </w:tcBorders>
            <w:vAlign w:val="bottom"/>
          </w:tcPr>
          <w:p w:rsidR="00D724FA" w:rsidRDefault="00D724FA" w:rsidP="00A858D8">
            <w:pPr>
              <w:pStyle w:val="IASBTableHeaderArial"/>
            </w:pPr>
          </w:p>
        </w:tc>
        <w:tc>
          <w:tcPr>
            <w:tcW w:w="1058" w:type="dxa"/>
            <w:tcBorders>
              <w:top w:val="nil"/>
              <w:left w:val="nil"/>
            </w:tcBorders>
          </w:tcPr>
          <w:p w:rsidR="00D724FA" w:rsidRDefault="00D724FA" w:rsidP="00A858D8">
            <w:pPr>
              <w:pStyle w:val="IASBTableHeaderArial"/>
              <w:jc w:val="right"/>
            </w:pPr>
            <w:r>
              <w:rPr>
                <w:b/>
                <w:u w:val="single"/>
              </w:rPr>
              <w:t>CU</w:t>
            </w:r>
          </w:p>
        </w:tc>
        <w:tc>
          <w:tcPr>
            <w:tcW w:w="216" w:type="dxa"/>
            <w:tcBorders>
              <w:top w:val="nil"/>
              <w:left w:val="nil"/>
            </w:tcBorders>
            <w:vAlign w:val="bottom"/>
          </w:tcPr>
          <w:p w:rsidR="00D724FA" w:rsidRDefault="00D724FA" w:rsidP="00A858D8">
            <w:pPr>
              <w:pStyle w:val="IASBTableHeaderArial"/>
            </w:pPr>
          </w:p>
        </w:tc>
        <w:tc>
          <w:tcPr>
            <w:tcW w:w="1058" w:type="dxa"/>
            <w:tcBorders>
              <w:top w:val="nil"/>
              <w:left w:val="nil"/>
            </w:tcBorders>
          </w:tcPr>
          <w:p w:rsidR="00D724FA" w:rsidRDefault="00D724FA" w:rsidP="00A858D8">
            <w:pPr>
              <w:pStyle w:val="IASBTableHeaderArial"/>
              <w:jc w:val="right"/>
            </w:pPr>
            <w:r>
              <w:rPr>
                <w:b/>
                <w:u w:val="single"/>
              </w:rPr>
              <w:t>CU</w:t>
            </w:r>
          </w:p>
        </w:tc>
        <w:tc>
          <w:tcPr>
            <w:tcW w:w="216" w:type="dxa"/>
            <w:tcBorders>
              <w:top w:val="nil"/>
              <w:left w:val="nil"/>
            </w:tcBorders>
            <w:vAlign w:val="bottom"/>
          </w:tcPr>
          <w:p w:rsidR="00D724FA" w:rsidRDefault="00D724FA" w:rsidP="00A858D8">
            <w:pPr>
              <w:pStyle w:val="IASBTableHeaderArial"/>
            </w:pPr>
          </w:p>
        </w:tc>
        <w:tc>
          <w:tcPr>
            <w:tcW w:w="1058" w:type="dxa"/>
            <w:tcBorders>
              <w:top w:val="nil"/>
              <w:left w:val="nil"/>
            </w:tcBorders>
          </w:tcPr>
          <w:p w:rsidR="00D724FA" w:rsidRDefault="00D724FA" w:rsidP="00A858D8">
            <w:pPr>
              <w:pStyle w:val="IASBTableHeaderArial"/>
              <w:jc w:val="right"/>
            </w:pPr>
            <w:r>
              <w:rPr>
                <w:b/>
                <w:u w:val="single"/>
              </w:rPr>
              <w:t>CU</w:t>
            </w:r>
          </w:p>
        </w:tc>
        <w:tc>
          <w:tcPr>
            <w:tcW w:w="216" w:type="dxa"/>
            <w:tcBorders>
              <w:top w:val="nil"/>
              <w:left w:val="nil"/>
            </w:tcBorders>
            <w:vAlign w:val="bottom"/>
          </w:tcPr>
          <w:p w:rsidR="00D724FA" w:rsidRDefault="00D724FA" w:rsidP="00A858D8">
            <w:pPr>
              <w:pStyle w:val="IASBTableHeaderArial"/>
            </w:pPr>
          </w:p>
        </w:tc>
        <w:tc>
          <w:tcPr>
            <w:tcW w:w="1058" w:type="dxa"/>
            <w:tcBorders>
              <w:top w:val="nil"/>
              <w:left w:val="nil"/>
            </w:tcBorders>
          </w:tcPr>
          <w:p w:rsidR="00D724FA" w:rsidRDefault="00D724FA" w:rsidP="00A858D8">
            <w:pPr>
              <w:pStyle w:val="IASBTableHeaderArial"/>
              <w:jc w:val="right"/>
            </w:pPr>
            <w:r>
              <w:rPr>
                <w:b/>
                <w:u w:val="single"/>
              </w:rPr>
              <w:t>CU</w:t>
            </w:r>
          </w:p>
        </w:tc>
      </w:tr>
      <w:tr w:rsidR="00D724FA" w:rsidTr="00A858D8">
        <w:trPr>
          <w:cantSplit/>
        </w:trPr>
        <w:tc>
          <w:tcPr>
            <w:tcW w:w="3020" w:type="dxa"/>
            <w:tcBorders>
              <w:top w:val="nil"/>
            </w:tcBorders>
            <w:vAlign w:val="bottom"/>
          </w:tcPr>
          <w:p w:rsidR="00D724FA" w:rsidRDefault="00D724FA" w:rsidP="00A858D8">
            <w:pPr>
              <w:pStyle w:val="IASBTableArial"/>
            </w:pPr>
            <w:r>
              <w:rPr>
                <w:b/>
              </w:rPr>
              <w:t>Basic EPS</w:t>
            </w:r>
          </w:p>
        </w:tc>
        <w:tc>
          <w:tcPr>
            <w:tcW w:w="1092" w:type="dxa"/>
            <w:tcBorders>
              <w:top w:val="nil"/>
              <w:left w:val="nil"/>
            </w:tcBorders>
            <w:vAlign w:val="bottom"/>
          </w:tcPr>
          <w:p w:rsidR="00D724FA" w:rsidRDefault="00D724FA" w:rsidP="00A858D8">
            <w:pPr>
              <w:pStyle w:val="IASBTableArial"/>
            </w:pPr>
          </w:p>
        </w:tc>
        <w:tc>
          <w:tcPr>
            <w:tcW w:w="216" w:type="dxa"/>
            <w:tcBorders>
              <w:top w:val="nil"/>
              <w:left w:val="nil"/>
            </w:tcBorders>
            <w:vAlign w:val="bottom"/>
          </w:tcPr>
          <w:p w:rsidR="00D724FA" w:rsidRDefault="00D724FA" w:rsidP="00A858D8">
            <w:pPr>
              <w:pStyle w:val="IASBTableArial"/>
            </w:pPr>
          </w:p>
        </w:tc>
        <w:tc>
          <w:tcPr>
            <w:tcW w:w="1058" w:type="dxa"/>
            <w:tcBorders>
              <w:top w:val="nil"/>
              <w:left w:val="nil"/>
            </w:tcBorders>
            <w:vAlign w:val="center"/>
          </w:tcPr>
          <w:p w:rsidR="00D724FA" w:rsidRDefault="00D724FA" w:rsidP="00A858D8">
            <w:pPr>
              <w:pStyle w:val="IASBTableArial"/>
            </w:pPr>
          </w:p>
        </w:tc>
        <w:tc>
          <w:tcPr>
            <w:tcW w:w="216" w:type="dxa"/>
            <w:tcBorders>
              <w:top w:val="nil"/>
              <w:left w:val="nil"/>
            </w:tcBorders>
            <w:vAlign w:val="bottom"/>
          </w:tcPr>
          <w:p w:rsidR="00D724FA" w:rsidRDefault="00D724FA" w:rsidP="00A858D8">
            <w:pPr>
              <w:pStyle w:val="IASBTableArial"/>
            </w:pPr>
          </w:p>
        </w:tc>
        <w:tc>
          <w:tcPr>
            <w:tcW w:w="1058" w:type="dxa"/>
            <w:tcBorders>
              <w:top w:val="nil"/>
              <w:left w:val="nil"/>
            </w:tcBorders>
            <w:vAlign w:val="bottom"/>
          </w:tcPr>
          <w:p w:rsidR="00D724FA" w:rsidRDefault="00D724FA" w:rsidP="00A858D8">
            <w:pPr>
              <w:pStyle w:val="IASBTableArial"/>
            </w:pPr>
          </w:p>
        </w:tc>
        <w:tc>
          <w:tcPr>
            <w:tcW w:w="216" w:type="dxa"/>
            <w:tcBorders>
              <w:top w:val="nil"/>
              <w:left w:val="nil"/>
            </w:tcBorders>
            <w:vAlign w:val="bottom"/>
          </w:tcPr>
          <w:p w:rsidR="00D724FA" w:rsidRDefault="00D724FA" w:rsidP="00A858D8">
            <w:pPr>
              <w:pStyle w:val="IASBTableArial"/>
            </w:pPr>
          </w:p>
        </w:tc>
        <w:tc>
          <w:tcPr>
            <w:tcW w:w="1058" w:type="dxa"/>
            <w:tcBorders>
              <w:top w:val="nil"/>
              <w:left w:val="nil"/>
            </w:tcBorders>
            <w:vAlign w:val="center"/>
          </w:tcPr>
          <w:p w:rsidR="00D724FA" w:rsidRDefault="00D724FA" w:rsidP="00A858D8">
            <w:pPr>
              <w:pStyle w:val="IASBTableArial"/>
            </w:pPr>
          </w:p>
        </w:tc>
        <w:tc>
          <w:tcPr>
            <w:tcW w:w="216" w:type="dxa"/>
            <w:tcBorders>
              <w:top w:val="nil"/>
              <w:left w:val="nil"/>
            </w:tcBorders>
            <w:vAlign w:val="bottom"/>
          </w:tcPr>
          <w:p w:rsidR="00D724FA" w:rsidRDefault="00D724FA" w:rsidP="00A858D8">
            <w:pPr>
              <w:pStyle w:val="IASBTableArial"/>
            </w:pPr>
          </w:p>
        </w:tc>
        <w:tc>
          <w:tcPr>
            <w:tcW w:w="1058" w:type="dxa"/>
            <w:tcBorders>
              <w:top w:val="nil"/>
              <w:left w:val="nil"/>
            </w:tcBorders>
            <w:vAlign w:val="bottom"/>
          </w:tcPr>
          <w:p w:rsidR="00D724FA" w:rsidRDefault="00D724FA" w:rsidP="00A858D8">
            <w:pPr>
              <w:pStyle w:val="IASBTableArial"/>
            </w:pPr>
          </w:p>
        </w:tc>
      </w:tr>
      <w:tr w:rsidR="00D724FA" w:rsidTr="00A858D8">
        <w:trPr>
          <w:cantSplit/>
        </w:trPr>
        <w:tc>
          <w:tcPr>
            <w:tcW w:w="3020" w:type="dxa"/>
            <w:tcBorders>
              <w:top w:val="nil"/>
            </w:tcBorders>
            <w:vAlign w:val="bottom"/>
          </w:tcPr>
          <w:p w:rsidR="00D724FA" w:rsidRDefault="00D724FA" w:rsidP="00A858D8">
            <w:pPr>
              <w:pStyle w:val="IASBTableArial"/>
            </w:pPr>
            <w:r>
              <w:t>Profit (loss) from continuing operations</w:t>
            </w:r>
          </w:p>
        </w:tc>
        <w:tc>
          <w:tcPr>
            <w:tcW w:w="1092" w:type="dxa"/>
            <w:tcBorders>
              <w:top w:val="nil"/>
              <w:left w:val="nil"/>
            </w:tcBorders>
            <w:vAlign w:val="bottom"/>
          </w:tcPr>
          <w:p w:rsidR="00D724FA" w:rsidRDefault="00D724FA" w:rsidP="00A858D8">
            <w:pPr>
              <w:pStyle w:val="IASBTableArial"/>
              <w:jc w:val="right"/>
            </w:pPr>
            <w:r>
              <w:t>0.98</w:t>
            </w:r>
          </w:p>
        </w:tc>
        <w:tc>
          <w:tcPr>
            <w:tcW w:w="216" w:type="dxa"/>
            <w:tcBorders>
              <w:top w:val="nil"/>
              <w:left w:val="nil"/>
            </w:tcBorders>
            <w:vAlign w:val="bottom"/>
          </w:tcPr>
          <w:p w:rsidR="00D724FA" w:rsidRDefault="00D724FA" w:rsidP="00A858D8">
            <w:pPr>
              <w:pStyle w:val="IASBTableArial"/>
            </w:pPr>
          </w:p>
        </w:tc>
        <w:tc>
          <w:tcPr>
            <w:tcW w:w="1058" w:type="dxa"/>
            <w:tcBorders>
              <w:top w:val="nil"/>
              <w:left w:val="nil"/>
            </w:tcBorders>
            <w:vAlign w:val="bottom"/>
          </w:tcPr>
          <w:p w:rsidR="00D724FA" w:rsidRDefault="00D724FA" w:rsidP="00A858D8">
            <w:pPr>
              <w:pStyle w:val="IASBTableArial"/>
              <w:jc w:val="right"/>
            </w:pPr>
            <w:r>
              <w:t>1.10</w:t>
            </w:r>
          </w:p>
        </w:tc>
        <w:tc>
          <w:tcPr>
            <w:tcW w:w="216" w:type="dxa"/>
            <w:tcBorders>
              <w:top w:val="nil"/>
              <w:left w:val="nil"/>
            </w:tcBorders>
            <w:vAlign w:val="bottom"/>
          </w:tcPr>
          <w:p w:rsidR="00D724FA" w:rsidRDefault="00D724FA" w:rsidP="00A858D8">
            <w:pPr>
              <w:pStyle w:val="IASBTableArial"/>
            </w:pPr>
          </w:p>
        </w:tc>
        <w:tc>
          <w:tcPr>
            <w:tcW w:w="1058" w:type="dxa"/>
            <w:tcBorders>
              <w:top w:val="nil"/>
              <w:left w:val="nil"/>
            </w:tcBorders>
            <w:vAlign w:val="bottom"/>
          </w:tcPr>
          <w:p w:rsidR="00D724FA" w:rsidRDefault="00D724FA" w:rsidP="00A858D8">
            <w:pPr>
              <w:pStyle w:val="IASBTableArial"/>
              <w:jc w:val="right"/>
            </w:pPr>
            <w:r>
              <w:t>0.15</w:t>
            </w:r>
          </w:p>
        </w:tc>
        <w:tc>
          <w:tcPr>
            <w:tcW w:w="216" w:type="dxa"/>
            <w:tcBorders>
              <w:top w:val="nil"/>
              <w:left w:val="nil"/>
            </w:tcBorders>
            <w:vAlign w:val="bottom"/>
          </w:tcPr>
          <w:p w:rsidR="00D724FA" w:rsidRDefault="00D724FA" w:rsidP="00A858D8">
            <w:pPr>
              <w:pStyle w:val="IASBTableArial"/>
            </w:pPr>
          </w:p>
        </w:tc>
        <w:tc>
          <w:tcPr>
            <w:tcW w:w="1058" w:type="dxa"/>
            <w:tcBorders>
              <w:top w:val="nil"/>
              <w:left w:val="nil"/>
            </w:tcBorders>
            <w:vAlign w:val="bottom"/>
          </w:tcPr>
          <w:p w:rsidR="00D724FA" w:rsidRDefault="00D724FA" w:rsidP="00A858D8">
            <w:pPr>
              <w:pStyle w:val="IASBTableArial"/>
              <w:jc w:val="right"/>
            </w:pPr>
            <w:r>
              <w:t>(0.10)</w:t>
            </w:r>
          </w:p>
        </w:tc>
        <w:tc>
          <w:tcPr>
            <w:tcW w:w="216" w:type="dxa"/>
            <w:tcBorders>
              <w:top w:val="nil"/>
              <w:left w:val="nil"/>
            </w:tcBorders>
            <w:vAlign w:val="bottom"/>
          </w:tcPr>
          <w:p w:rsidR="00D724FA" w:rsidRDefault="00D724FA" w:rsidP="00A858D8">
            <w:pPr>
              <w:pStyle w:val="IASBTableArial"/>
            </w:pPr>
          </w:p>
        </w:tc>
        <w:tc>
          <w:tcPr>
            <w:tcW w:w="1058" w:type="dxa"/>
            <w:tcBorders>
              <w:top w:val="nil"/>
              <w:left w:val="nil"/>
            </w:tcBorders>
            <w:vAlign w:val="bottom"/>
          </w:tcPr>
          <w:p w:rsidR="00D724FA" w:rsidRDefault="00D724FA" w:rsidP="00A858D8">
            <w:pPr>
              <w:pStyle w:val="IASBTableArial"/>
              <w:jc w:val="right"/>
            </w:pPr>
            <w:r>
              <w:t>1.93</w:t>
            </w:r>
          </w:p>
        </w:tc>
      </w:tr>
      <w:tr w:rsidR="00D724FA" w:rsidTr="00A858D8">
        <w:trPr>
          <w:cantSplit/>
        </w:trPr>
        <w:tc>
          <w:tcPr>
            <w:tcW w:w="3020" w:type="dxa"/>
            <w:tcBorders>
              <w:top w:val="nil"/>
            </w:tcBorders>
            <w:vAlign w:val="bottom"/>
          </w:tcPr>
          <w:p w:rsidR="00D724FA" w:rsidRDefault="00D724FA" w:rsidP="00A858D8">
            <w:pPr>
              <w:pStyle w:val="IASBTableArial"/>
            </w:pPr>
            <w:r>
              <w:t>Loss from discontinued operations</w:t>
            </w:r>
          </w:p>
        </w:tc>
        <w:tc>
          <w:tcPr>
            <w:tcW w:w="1092" w:type="dxa"/>
            <w:tcBorders>
              <w:top w:val="nil"/>
              <w:left w:val="nil"/>
              <w:bottom w:val="single" w:sz="4" w:space="0" w:color="auto"/>
            </w:tcBorders>
            <w:vAlign w:val="bottom"/>
          </w:tcPr>
          <w:p w:rsidR="00D724FA" w:rsidRDefault="00D724FA" w:rsidP="00A858D8">
            <w:pPr>
              <w:pStyle w:val="IASBTableArial"/>
              <w:jc w:val="right"/>
            </w:pPr>
            <w:r>
              <w:t>–</w:t>
            </w:r>
          </w:p>
        </w:tc>
        <w:tc>
          <w:tcPr>
            <w:tcW w:w="216" w:type="dxa"/>
            <w:tcBorders>
              <w:top w:val="nil"/>
              <w:left w:val="nil"/>
            </w:tcBorders>
            <w:vAlign w:val="bottom"/>
          </w:tcPr>
          <w:p w:rsidR="00D724FA" w:rsidRDefault="00D724FA" w:rsidP="00A858D8">
            <w:pPr>
              <w:pStyle w:val="IASBTableArial"/>
            </w:pPr>
          </w:p>
        </w:tc>
        <w:tc>
          <w:tcPr>
            <w:tcW w:w="1058" w:type="dxa"/>
            <w:tcBorders>
              <w:top w:val="nil"/>
              <w:left w:val="nil"/>
              <w:bottom w:val="single" w:sz="4" w:space="0" w:color="auto"/>
            </w:tcBorders>
            <w:vAlign w:val="bottom"/>
          </w:tcPr>
          <w:p w:rsidR="00D724FA" w:rsidRDefault="00D724FA" w:rsidP="00A858D8">
            <w:pPr>
              <w:pStyle w:val="IASBTableArial"/>
              <w:jc w:val="right"/>
            </w:pPr>
            <w:r>
              <w:t>–</w:t>
            </w:r>
          </w:p>
        </w:tc>
        <w:tc>
          <w:tcPr>
            <w:tcW w:w="216" w:type="dxa"/>
            <w:tcBorders>
              <w:top w:val="nil"/>
              <w:left w:val="nil"/>
            </w:tcBorders>
            <w:vAlign w:val="bottom"/>
          </w:tcPr>
          <w:p w:rsidR="00D724FA" w:rsidRDefault="00D724FA" w:rsidP="00A858D8">
            <w:pPr>
              <w:pStyle w:val="IASBTableArial"/>
            </w:pPr>
          </w:p>
        </w:tc>
        <w:tc>
          <w:tcPr>
            <w:tcW w:w="1058" w:type="dxa"/>
            <w:tcBorders>
              <w:top w:val="nil"/>
              <w:left w:val="nil"/>
              <w:bottom w:val="single" w:sz="4" w:space="0" w:color="auto"/>
            </w:tcBorders>
            <w:vAlign w:val="bottom"/>
          </w:tcPr>
          <w:p w:rsidR="00D724FA" w:rsidRDefault="00D724FA" w:rsidP="00A858D8">
            <w:pPr>
              <w:pStyle w:val="IASBTableArial"/>
              <w:jc w:val="right"/>
            </w:pPr>
            <w:r>
              <w:t>(0.31)</w:t>
            </w:r>
          </w:p>
        </w:tc>
        <w:tc>
          <w:tcPr>
            <w:tcW w:w="216" w:type="dxa"/>
            <w:tcBorders>
              <w:top w:val="nil"/>
              <w:left w:val="nil"/>
            </w:tcBorders>
            <w:vAlign w:val="bottom"/>
          </w:tcPr>
          <w:p w:rsidR="00D724FA" w:rsidRDefault="00D724FA" w:rsidP="00A858D8">
            <w:pPr>
              <w:pStyle w:val="IASBTableArial"/>
            </w:pPr>
          </w:p>
        </w:tc>
        <w:tc>
          <w:tcPr>
            <w:tcW w:w="1058" w:type="dxa"/>
            <w:tcBorders>
              <w:top w:val="nil"/>
              <w:left w:val="nil"/>
              <w:bottom w:val="single" w:sz="4" w:space="0" w:color="auto"/>
            </w:tcBorders>
            <w:vAlign w:val="bottom"/>
          </w:tcPr>
          <w:p w:rsidR="00D724FA" w:rsidRDefault="00D724FA" w:rsidP="00A858D8">
            <w:pPr>
              <w:pStyle w:val="IASBTableArial"/>
              <w:jc w:val="right"/>
            </w:pPr>
            <w:r>
              <w:t>–</w:t>
            </w:r>
          </w:p>
        </w:tc>
        <w:tc>
          <w:tcPr>
            <w:tcW w:w="216" w:type="dxa"/>
            <w:tcBorders>
              <w:top w:val="nil"/>
              <w:left w:val="nil"/>
            </w:tcBorders>
            <w:vAlign w:val="bottom"/>
          </w:tcPr>
          <w:p w:rsidR="00D724FA" w:rsidRDefault="00D724FA" w:rsidP="00A858D8">
            <w:pPr>
              <w:pStyle w:val="IASBTableArial"/>
            </w:pPr>
          </w:p>
        </w:tc>
        <w:tc>
          <w:tcPr>
            <w:tcW w:w="1058" w:type="dxa"/>
            <w:tcBorders>
              <w:top w:val="nil"/>
              <w:left w:val="nil"/>
              <w:bottom w:val="single" w:sz="4" w:space="0" w:color="auto"/>
            </w:tcBorders>
            <w:vAlign w:val="bottom"/>
          </w:tcPr>
          <w:p w:rsidR="00D724FA" w:rsidRDefault="00D724FA" w:rsidP="00A858D8">
            <w:pPr>
              <w:pStyle w:val="IASBTableArial"/>
              <w:jc w:val="right"/>
            </w:pPr>
            <w:r>
              <w:t>(0.33)</w:t>
            </w:r>
          </w:p>
        </w:tc>
      </w:tr>
      <w:tr w:rsidR="00D724FA" w:rsidTr="00A858D8">
        <w:trPr>
          <w:cantSplit/>
        </w:trPr>
        <w:tc>
          <w:tcPr>
            <w:tcW w:w="3020" w:type="dxa"/>
            <w:tcBorders>
              <w:top w:val="nil"/>
            </w:tcBorders>
            <w:vAlign w:val="bottom"/>
          </w:tcPr>
          <w:p w:rsidR="00D724FA" w:rsidRDefault="00D724FA" w:rsidP="00A858D8">
            <w:pPr>
              <w:pStyle w:val="IASBTableArial"/>
            </w:pPr>
            <w:r>
              <w:t>Profit (loss)</w:t>
            </w:r>
          </w:p>
        </w:tc>
        <w:tc>
          <w:tcPr>
            <w:tcW w:w="1092" w:type="dxa"/>
            <w:tcBorders>
              <w:top w:val="nil"/>
              <w:left w:val="nil"/>
              <w:bottom w:val="double" w:sz="4" w:space="0" w:color="auto"/>
            </w:tcBorders>
            <w:vAlign w:val="bottom"/>
          </w:tcPr>
          <w:p w:rsidR="00D724FA" w:rsidRDefault="00D724FA" w:rsidP="00A858D8">
            <w:pPr>
              <w:pStyle w:val="IASBTableArial"/>
              <w:jc w:val="right"/>
            </w:pPr>
            <w:r>
              <w:t>0.98</w:t>
            </w:r>
          </w:p>
        </w:tc>
        <w:tc>
          <w:tcPr>
            <w:tcW w:w="216" w:type="dxa"/>
            <w:tcBorders>
              <w:top w:val="nil"/>
              <w:left w:val="nil"/>
            </w:tcBorders>
            <w:vAlign w:val="bottom"/>
          </w:tcPr>
          <w:p w:rsidR="00D724FA" w:rsidRDefault="00D724FA" w:rsidP="00A858D8">
            <w:pPr>
              <w:pStyle w:val="IASBTableArial"/>
            </w:pPr>
          </w:p>
        </w:tc>
        <w:tc>
          <w:tcPr>
            <w:tcW w:w="1058" w:type="dxa"/>
            <w:tcBorders>
              <w:top w:val="nil"/>
              <w:left w:val="nil"/>
              <w:bottom w:val="double" w:sz="4" w:space="0" w:color="auto"/>
            </w:tcBorders>
            <w:vAlign w:val="bottom"/>
          </w:tcPr>
          <w:p w:rsidR="00D724FA" w:rsidRDefault="00D724FA" w:rsidP="00A858D8">
            <w:pPr>
              <w:pStyle w:val="IASBTableArial"/>
              <w:jc w:val="right"/>
            </w:pPr>
            <w:r>
              <w:t>1.10</w:t>
            </w:r>
          </w:p>
        </w:tc>
        <w:tc>
          <w:tcPr>
            <w:tcW w:w="216" w:type="dxa"/>
            <w:tcBorders>
              <w:top w:val="nil"/>
              <w:left w:val="nil"/>
            </w:tcBorders>
            <w:vAlign w:val="bottom"/>
          </w:tcPr>
          <w:p w:rsidR="00D724FA" w:rsidRDefault="00D724FA" w:rsidP="00A858D8">
            <w:pPr>
              <w:pStyle w:val="IASBTableArial"/>
            </w:pPr>
          </w:p>
        </w:tc>
        <w:tc>
          <w:tcPr>
            <w:tcW w:w="1058" w:type="dxa"/>
            <w:tcBorders>
              <w:top w:val="nil"/>
              <w:left w:val="nil"/>
              <w:bottom w:val="double" w:sz="4" w:space="0" w:color="auto"/>
            </w:tcBorders>
            <w:vAlign w:val="bottom"/>
          </w:tcPr>
          <w:p w:rsidR="00D724FA" w:rsidRDefault="00D724FA" w:rsidP="00A858D8">
            <w:pPr>
              <w:pStyle w:val="IASBTableArial"/>
              <w:jc w:val="right"/>
            </w:pPr>
            <w:r>
              <w:t>(0.16)</w:t>
            </w:r>
          </w:p>
        </w:tc>
        <w:tc>
          <w:tcPr>
            <w:tcW w:w="216" w:type="dxa"/>
            <w:tcBorders>
              <w:top w:val="nil"/>
              <w:left w:val="nil"/>
            </w:tcBorders>
            <w:vAlign w:val="bottom"/>
          </w:tcPr>
          <w:p w:rsidR="00D724FA" w:rsidRDefault="00D724FA" w:rsidP="00A858D8">
            <w:pPr>
              <w:pStyle w:val="IASBTableArial"/>
            </w:pPr>
          </w:p>
        </w:tc>
        <w:tc>
          <w:tcPr>
            <w:tcW w:w="1058" w:type="dxa"/>
            <w:tcBorders>
              <w:top w:val="nil"/>
              <w:left w:val="nil"/>
              <w:bottom w:val="double" w:sz="4" w:space="0" w:color="auto"/>
            </w:tcBorders>
            <w:vAlign w:val="bottom"/>
          </w:tcPr>
          <w:p w:rsidR="00D724FA" w:rsidRDefault="00D724FA" w:rsidP="00A858D8">
            <w:pPr>
              <w:pStyle w:val="IASBTableArial"/>
              <w:jc w:val="right"/>
            </w:pPr>
            <w:r>
              <w:t>(0.10)</w:t>
            </w:r>
          </w:p>
        </w:tc>
        <w:tc>
          <w:tcPr>
            <w:tcW w:w="216" w:type="dxa"/>
            <w:tcBorders>
              <w:top w:val="nil"/>
              <w:left w:val="nil"/>
            </w:tcBorders>
            <w:vAlign w:val="bottom"/>
          </w:tcPr>
          <w:p w:rsidR="00D724FA" w:rsidRDefault="00D724FA" w:rsidP="00A858D8">
            <w:pPr>
              <w:pStyle w:val="IASBTableArial"/>
            </w:pPr>
          </w:p>
        </w:tc>
        <w:tc>
          <w:tcPr>
            <w:tcW w:w="1058" w:type="dxa"/>
            <w:tcBorders>
              <w:top w:val="nil"/>
              <w:left w:val="nil"/>
              <w:bottom w:val="double" w:sz="4" w:space="0" w:color="auto"/>
            </w:tcBorders>
            <w:vAlign w:val="bottom"/>
          </w:tcPr>
          <w:p w:rsidR="00D724FA" w:rsidRDefault="00D724FA" w:rsidP="00A858D8">
            <w:pPr>
              <w:pStyle w:val="IASBTableArial"/>
              <w:jc w:val="right"/>
            </w:pPr>
            <w:r>
              <w:t>1.60</w:t>
            </w:r>
          </w:p>
        </w:tc>
      </w:tr>
      <w:tr w:rsidR="00D724FA" w:rsidTr="00A858D8">
        <w:trPr>
          <w:cantSplit/>
        </w:trPr>
        <w:tc>
          <w:tcPr>
            <w:tcW w:w="3020" w:type="dxa"/>
            <w:tcBorders>
              <w:top w:val="nil"/>
            </w:tcBorders>
            <w:vAlign w:val="bottom"/>
          </w:tcPr>
          <w:p w:rsidR="00D724FA" w:rsidRDefault="00D724FA" w:rsidP="00A858D8">
            <w:pPr>
              <w:pStyle w:val="IASBTableArial"/>
            </w:pPr>
          </w:p>
        </w:tc>
        <w:tc>
          <w:tcPr>
            <w:tcW w:w="1092" w:type="dxa"/>
            <w:tcBorders>
              <w:top w:val="nil"/>
              <w:left w:val="nil"/>
            </w:tcBorders>
            <w:vAlign w:val="bottom"/>
          </w:tcPr>
          <w:p w:rsidR="00D724FA" w:rsidRDefault="00D724FA" w:rsidP="00A858D8">
            <w:pPr>
              <w:pStyle w:val="IASBTableArial"/>
            </w:pPr>
          </w:p>
        </w:tc>
        <w:tc>
          <w:tcPr>
            <w:tcW w:w="216" w:type="dxa"/>
            <w:tcBorders>
              <w:top w:val="nil"/>
              <w:left w:val="nil"/>
            </w:tcBorders>
            <w:vAlign w:val="bottom"/>
          </w:tcPr>
          <w:p w:rsidR="00D724FA" w:rsidRDefault="00D724FA" w:rsidP="00A858D8">
            <w:pPr>
              <w:pStyle w:val="IASBTableArial"/>
            </w:pPr>
          </w:p>
        </w:tc>
        <w:tc>
          <w:tcPr>
            <w:tcW w:w="1058" w:type="dxa"/>
            <w:tcBorders>
              <w:top w:val="nil"/>
              <w:left w:val="nil"/>
            </w:tcBorders>
            <w:vAlign w:val="center"/>
          </w:tcPr>
          <w:p w:rsidR="00D724FA" w:rsidRDefault="00D724FA" w:rsidP="00A858D8">
            <w:pPr>
              <w:pStyle w:val="IASBTableArial"/>
            </w:pPr>
          </w:p>
        </w:tc>
        <w:tc>
          <w:tcPr>
            <w:tcW w:w="216" w:type="dxa"/>
            <w:tcBorders>
              <w:top w:val="nil"/>
              <w:left w:val="nil"/>
            </w:tcBorders>
            <w:vAlign w:val="bottom"/>
          </w:tcPr>
          <w:p w:rsidR="00D724FA" w:rsidRDefault="00D724FA" w:rsidP="00A858D8">
            <w:pPr>
              <w:pStyle w:val="IASBTableArial"/>
            </w:pPr>
          </w:p>
        </w:tc>
        <w:tc>
          <w:tcPr>
            <w:tcW w:w="1058" w:type="dxa"/>
            <w:tcBorders>
              <w:top w:val="nil"/>
              <w:left w:val="nil"/>
            </w:tcBorders>
            <w:vAlign w:val="bottom"/>
          </w:tcPr>
          <w:p w:rsidR="00D724FA" w:rsidRDefault="00D724FA" w:rsidP="00A858D8">
            <w:pPr>
              <w:pStyle w:val="IASBTableArial"/>
            </w:pPr>
          </w:p>
        </w:tc>
        <w:tc>
          <w:tcPr>
            <w:tcW w:w="216" w:type="dxa"/>
            <w:tcBorders>
              <w:top w:val="nil"/>
              <w:left w:val="nil"/>
            </w:tcBorders>
            <w:vAlign w:val="bottom"/>
          </w:tcPr>
          <w:p w:rsidR="00D724FA" w:rsidRDefault="00D724FA" w:rsidP="00A858D8">
            <w:pPr>
              <w:pStyle w:val="IASBTableArial"/>
            </w:pPr>
          </w:p>
        </w:tc>
        <w:tc>
          <w:tcPr>
            <w:tcW w:w="1058" w:type="dxa"/>
            <w:tcBorders>
              <w:top w:val="nil"/>
              <w:left w:val="nil"/>
            </w:tcBorders>
            <w:vAlign w:val="center"/>
          </w:tcPr>
          <w:p w:rsidR="00D724FA" w:rsidRDefault="00D724FA" w:rsidP="00A858D8">
            <w:pPr>
              <w:pStyle w:val="IASBTableArial"/>
            </w:pPr>
          </w:p>
        </w:tc>
        <w:tc>
          <w:tcPr>
            <w:tcW w:w="216" w:type="dxa"/>
            <w:tcBorders>
              <w:top w:val="nil"/>
              <w:left w:val="nil"/>
            </w:tcBorders>
            <w:vAlign w:val="bottom"/>
          </w:tcPr>
          <w:p w:rsidR="00D724FA" w:rsidRDefault="00D724FA" w:rsidP="00A858D8">
            <w:pPr>
              <w:pStyle w:val="IASBTableArial"/>
            </w:pPr>
          </w:p>
        </w:tc>
        <w:tc>
          <w:tcPr>
            <w:tcW w:w="1058" w:type="dxa"/>
            <w:tcBorders>
              <w:top w:val="nil"/>
              <w:left w:val="nil"/>
            </w:tcBorders>
            <w:vAlign w:val="bottom"/>
          </w:tcPr>
          <w:p w:rsidR="00D724FA" w:rsidRDefault="00D724FA" w:rsidP="00A858D8">
            <w:pPr>
              <w:pStyle w:val="IASBTableArial"/>
            </w:pPr>
          </w:p>
        </w:tc>
      </w:tr>
      <w:tr w:rsidR="00D724FA" w:rsidTr="00A858D8">
        <w:trPr>
          <w:cantSplit/>
        </w:trPr>
        <w:tc>
          <w:tcPr>
            <w:tcW w:w="3020" w:type="dxa"/>
            <w:tcBorders>
              <w:top w:val="nil"/>
            </w:tcBorders>
            <w:vAlign w:val="bottom"/>
          </w:tcPr>
          <w:p w:rsidR="00D724FA" w:rsidRDefault="00D724FA" w:rsidP="00A858D8">
            <w:pPr>
              <w:pStyle w:val="IASBTableArial"/>
            </w:pPr>
            <w:r>
              <w:rPr>
                <w:b/>
              </w:rPr>
              <w:t>Diluted EPS</w:t>
            </w:r>
          </w:p>
        </w:tc>
        <w:tc>
          <w:tcPr>
            <w:tcW w:w="1092" w:type="dxa"/>
            <w:tcBorders>
              <w:top w:val="nil"/>
              <w:left w:val="nil"/>
            </w:tcBorders>
            <w:vAlign w:val="bottom"/>
          </w:tcPr>
          <w:p w:rsidR="00D724FA" w:rsidRDefault="00D724FA" w:rsidP="00A858D8">
            <w:pPr>
              <w:pStyle w:val="IASBTableArial"/>
            </w:pPr>
          </w:p>
        </w:tc>
        <w:tc>
          <w:tcPr>
            <w:tcW w:w="216" w:type="dxa"/>
            <w:tcBorders>
              <w:top w:val="nil"/>
              <w:left w:val="nil"/>
            </w:tcBorders>
            <w:vAlign w:val="bottom"/>
          </w:tcPr>
          <w:p w:rsidR="00D724FA" w:rsidRDefault="00D724FA" w:rsidP="00A858D8">
            <w:pPr>
              <w:pStyle w:val="IASBTableArial"/>
            </w:pPr>
          </w:p>
        </w:tc>
        <w:tc>
          <w:tcPr>
            <w:tcW w:w="1058" w:type="dxa"/>
            <w:tcBorders>
              <w:top w:val="nil"/>
              <w:left w:val="nil"/>
            </w:tcBorders>
            <w:vAlign w:val="center"/>
          </w:tcPr>
          <w:p w:rsidR="00D724FA" w:rsidRDefault="00D724FA" w:rsidP="00A858D8">
            <w:pPr>
              <w:pStyle w:val="IASBTableArial"/>
            </w:pPr>
          </w:p>
        </w:tc>
        <w:tc>
          <w:tcPr>
            <w:tcW w:w="216" w:type="dxa"/>
            <w:tcBorders>
              <w:top w:val="nil"/>
              <w:left w:val="nil"/>
            </w:tcBorders>
            <w:vAlign w:val="bottom"/>
          </w:tcPr>
          <w:p w:rsidR="00D724FA" w:rsidRDefault="00D724FA" w:rsidP="00A858D8">
            <w:pPr>
              <w:pStyle w:val="IASBTableArial"/>
            </w:pPr>
          </w:p>
        </w:tc>
        <w:tc>
          <w:tcPr>
            <w:tcW w:w="1058" w:type="dxa"/>
            <w:tcBorders>
              <w:top w:val="nil"/>
              <w:left w:val="nil"/>
            </w:tcBorders>
            <w:vAlign w:val="bottom"/>
          </w:tcPr>
          <w:p w:rsidR="00D724FA" w:rsidRDefault="00D724FA" w:rsidP="00A858D8">
            <w:pPr>
              <w:pStyle w:val="IASBTableArial"/>
            </w:pPr>
          </w:p>
        </w:tc>
        <w:tc>
          <w:tcPr>
            <w:tcW w:w="216" w:type="dxa"/>
            <w:tcBorders>
              <w:top w:val="nil"/>
              <w:left w:val="nil"/>
            </w:tcBorders>
            <w:vAlign w:val="bottom"/>
          </w:tcPr>
          <w:p w:rsidR="00D724FA" w:rsidRDefault="00D724FA" w:rsidP="00A858D8">
            <w:pPr>
              <w:pStyle w:val="IASBTableArial"/>
            </w:pPr>
          </w:p>
        </w:tc>
        <w:tc>
          <w:tcPr>
            <w:tcW w:w="1058" w:type="dxa"/>
            <w:tcBorders>
              <w:top w:val="nil"/>
              <w:left w:val="nil"/>
            </w:tcBorders>
            <w:vAlign w:val="center"/>
          </w:tcPr>
          <w:p w:rsidR="00D724FA" w:rsidRDefault="00D724FA" w:rsidP="00A858D8">
            <w:pPr>
              <w:pStyle w:val="IASBTableArial"/>
            </w:pPr>
          </w:p>
        </w:tc>
        <w:tc>
          <w:tcPr>
            <w:tcW w:w="216" w:type="dxa"/>
            <w:tcBorders>
              <w:top w:val="nil"/>
              <w:left w:val="nil"/>
            </w:tcBorders>
            <w:vAlign w:val="bottom"/>
          </w:tcPr>
          <w:p w:rsidR="00D724FA" w:rsidRDefault="00D724FA" w:rsidP="00A858D8">
            <w:pPr>
              <w:pStyle w:val="IASBTableArial"/>
            </w:pPr>
          </w:p>
        </w:tc>
        <w:tc>
          <w:tcPr>
            <w:tcW w:w="1058" w:type="dxa"/>
            <w:tcBorders>
              <w:top w:val="nil"/>
              <w:left w:val="nil"/>
            </w:tcBorders>
            <w:vAlign w:val="bottom"/>
          </w:tcPr>
          <w:p w:rsidR="00D724FA" w:rsidRDefault="00D724FA" w:rsidP="00A858D8">
            <w:pPr>
              <w:pStyle w:val="IASBTableArial"/>
            </w:pPr>
          </w:p>
        </w:tc>
      </w:tr>
      <w:tr w:rsidR="00D724FA" w:rsidTr="00A858D8">
        <w:trPr>
          <w:cantSplit/>
        </w:trPr>
        <w:tc>
          <w:tcPr>
            <w:tcW w:w="3020" w:type="dxa"/>
            <w:tcBorders>
              <w:top w:val="nil"/>
            </w:tcBorders>
            <w:vAlign w:val="bottom"/>
          </w:tcPr>
          <w:p w:rsidR="00D724FA" w:rsidRDefault="00D724FA" w:rsidP="00A858D8">
            <w:pPr>
              <w:pStyle w:val="IASBTableArial"/>
            </w:pPr>
            <w:r>
              <w:t>Profit (loss) from continuing operations</w:t>
            </w:r>
          </w:p>
        </w:tc>
        <w:tc>
          <w:tcPr>
            <w:tcW w:w="1092" w:type="dxa"/>
            <w:tcBorders>
              <w:top w:val="nil"/>
              <w:left w:val="nil"/>
            </w:tcBorders>
            <w:vAlign w:val="bottom"/>
          </w:tcPr>
          <w:p w:rsidR="00D724FA" w:rsidRDefault="00D724FA" w:rsidP="00A858D8">
            <w:pPr>
              <w:pStyle w:val="IASBTableArial"/>
              <w:jc w:val="right"/>
            </w:pPr>
            <w:r>
              <w:t>0.80</w:t>
            </w:r>
          </w:p>
        </w:tc>
        <w:tc>
          <w:tcPr>
            <w:tcW w:w="216" w:type="dxa"/>
            <w:tcBorders>
              <w:top w:val="nil"/>
              <w:left w:val="nil"/>
            </w:tcBorders>
            <w:vAlign w:val="bottom"/>
          </w:tcPr>
          <w:p w:rsidR="00D724FA" w:rsidRDefault="00D724FA" w:rsidP="00A858D8">
            <w:pPr>
              <w:pStyle w:val="IASBTableArial"/>
            </w:pPr>
          </w:p>
        </w:tc>
        <w:tc>
          <w:tcPr>
            <w:tcW w:w="1058" w:type="dxa"/>
            <w:tcBorders>
              <w:top w:val="nil"/>
              <w:left w:val="nil"/>
            </w:tcBorders>
            <w:vAlign w:val="bottom"/>
          </w:tcPr>
          <w:p w:rsidR="00D724FA" w:rsidRDefault="00D724FA" w:rsidP="00A858D8">
            <w:pPr>
              <w:pStyle w:val="IASBTableArial"/>
              <w:jc w:val="right"/>
            </w:pPr>
            <w:r>
              <w:t>1.00</w:t>
            </w:r>
          </w:p>
        </w:tc>
        <w:tc>
          <w:tcPr>
            <w:tcW w:w="216" w:type="dxa"/>
            <w:tcBorders>
              <w:top w:val="nil"/>
              <w:left w:val="nil"/>
            </w:tcBorders>
            <w:vAlign w:val="bottom"/>
          </w:tcPr>
          <w:p w:rsidR="00D724FA" w:rsidRDefault="00D724FA" w:rsidP="00A858D8">
            <w:pPr>
              <w:pStyle w:val="IASBTableArial"/>
            </w:pPr>
          </w:p>
        </w:tc>
        <w:tc>
          <w:tcPr>
            <w:tcW w:w="1058" w:type="dxa"/>
            <w:tcBorders>
              <w:top w:val="nil"/>
              <w:left w:val="nil"/>
            </w:tcBorders>
            <w:vAlign w:val="bottom"/>
          </w:tcPr>
          <w:p w:rsidR="00D724FA" w:rsidRDefault="00D724FA" w:rsidP="00A858D8">
            <w:pPr>
              <w:pStyle w:val="IASBTableArial"/>
              <w:jc w:val="right"/>
            </w:pPr>
            <w:r>
              <w:t>0.15</w:t>
            </w:r>
          </w:p>
        </w:tc>
        <w:tc>
          <w:tcPr>
            <w:tcW w:w="216" w:type="dxa"/>
            <w:tcBorders>
              <w:top w:val="nil"/>
              <w:left w:val="nil"/>
            </w:tcBorders>
            <w:vAlign w:val="bottom"/>
          </w:tcPr>
          <w:p w:rsidR="00D724FA" w:rsidRDefault="00D724FA" w:rsidP="00A858D8">
            <w:pPr>
              <w:pStyle w:val="IASBTableArial"/>
            </w:pPr>
          </w:p>
        </w:tc>
        <w:tc>
          <w:tcPr>
            <w:tcW w:w="1058" w:type="dxa"/>
            <w:tcBorders>
              <w:top w:val="nil"/>
              <w:left w:val="nil"/>
            </w:tcBorders>
            <w:vAlign w:val="bottom"/>
          </w:tcPr>
          <w:p w:rsidR="00D724FA" w:rsidRDefault="00D724FA" w:rsidP="00A858D8">
            <w:pPr>
              <w:pStyle w:val="IASBTableArial"/>
              <w:jc w:val="right"/>
            </w:pPr>
            <w:r>
              <w:t>(0.10)</w:t>
            </w:r>
          </w:p>
        </w:tc>
        <w:tc>
          <w:tcPr>
            <w:tcW w:w="216" w:type="dxa"/>
            <w:tcBorders>
              <w:top w:val="nil"/>
              <w:left w:val="nil"/>
            </w:tcBorders>
            <w:vAlign w:val="bottom"/>
          </w:tcPr>
          <w:p w:rsidR="00D724FA" w:rsidRDefault="00D724FA" w:rsidP="00A858D8">
            <w:pPr>
              <w:pStyle w:val="IASBTableArial"/>
            </w:pPr>
          </w:p>
        </w:tc>
        <w:tc>
          <w:tcPr>
            <w:tcW w:w="1058" w:type="dxa"/>
            <w:tcBorders>
              <w:top w:val="nil"/>
              <w:left w:val="nil"/>
            </w:tcBorders>
            <w:vAlign w:val="bottom"/>
          </w:tcPr>
          <w:p w:rsidR="00D724FA" w:rsidRDefault="00D724FA" w:rsidP="00A858D8">
            <w:pPr>
              <w:pStyle w:val="IASBTableArial"/>
              <w:jc w:val="right"/>
            </w:pPr>
            <w:r>
              <w:t>1.78</w:t>
            </w:r>
          </w:p>
        </w:tc>
      </w:tr>
      <w:tr w:rsidR="00D724FA" w:rsidTr="00A858D8">
        <w:trPr>
          <w:cantSplit/>
        </w:trPr>
        <w:tc>
          <w:tcPr>
            <w:tcW w:w="3020" w:type="dxa"/>
            <w:tcBorders>
              <w:top w:val="nil"/>
            </w:tcBorders>
            <w:vAlign w:val="bottom"/>
          </w:tcPr>
          <w:p w:rsidR="00D724FA" w:rsidRDefault="00D724FA" w:rsidP="00A858D8">
            <w:pPr>
              <w:pStyle w:val="IASBTableArial"/>
            </w:pPr>
            <w:r>
              <w:t>Loss from discontinued operations</w:t>
            </w:r>
          </w:p>
        </w:tc>
        <w:tc>
          <w:tcPr>
            <w:tcW w:w="1092" w:type="dxa"/>
            <w:tcBorders>
              <w:top w:val="nil"/>
              <w:left w:val="nil"/>
              <w:bottom w:val="single" w:sz="4" w:space="0" w:color="auto"/>
            </w:tcBorders>
            <w:vAlign w:val="bottom"/>
          </w:tcPr>
          <w:p w:rsidR="00D724FA" w:rsidRDefault="00D724FA" w:rsidP="00A858D8">
            <w:pPr>
              <w:pStyle w:val="IASBTableArial"/>
              <w:jc w:val="right"/>
            </w:pPr>
            <w:r>
              <w:t>–</w:t>
            </w:r>
          </w:p>
        </w:tc>
        <w:tc>
          <w:tcPr>
            <w:tcW w:w="216" w:type="dxa"/>
            <w:tcBorders>
              <w:top w:val="nil"/>
              <w:left w:val="nil"/>
            </w:tcBorders>
            <w:vAlign w:val="bottom"/>
          </w:tcPr>
          <w:p w:rsidR="00D724FA" w:rsidRDefault="00D724FA" w:rsidP="00A858D8">
            <w:pPr>
              <w:pStyle w:val="IASBTableArial"/>
            </w:pPr>
          </w:p>
        </w:tc>
        <w:tc>
          <w:tcPr>
            <w:tcW w:w="1058" w:type="dxa"/>
            <w:tcBorders>
              <w:top w:val="nil"/>
              <w:left w:val="nil"/>
              <w:bottom w:val="single" w:sz="4" w:space="0" w:color="auto"/>
            </w:tcBorders>
            <w:vAlign w:val="bottom"/>
          </w:tcPr>
          <w:p w:rsidR="00D724FA" w:rsidRDefault="00D724FA" w:rsidP="00A858D8">
            <w:pPr>
              <w:pStyle w:val="IASBTableArial"/>
              <w:jc w:val="right"/>
            </w:pPr>
            <w:r>
              <w:t>–</w:t>
            </w:r>
          </w:p>
        </w:tc>
        <w:tc>
          <w:tcPr>
            <w:tcW w:w="216" w:type="dxa"/>
            <w:tcBorders>
              <w:top w:val="nil"/>
              <w:left w:val="nil"/>
            </w:tcBorders>
            <w:vAlign w:val="bottom"/>
          </w:tcPr>
          <w:p w:rsidR="00D724FA" w:rsidRDefault="00D724FA" w:rsidP="00A858D8">
            <w:pPr>
              <w:pStyle w:val="IASBTableArial"/>
            </w:pPr>
          </w:p>
        </w:tc>
        <w:tc>
          <w:tcPr>
            <w:tcW w:w="1058" w:type="dxa"/>
            <w:tcBorders>
              <w:top w:val="nil"/>
              <w:left w:val="nil"/>
              <w:bottom w:val="single" w:sz="4" w:space="0" w:color="auto"/>
            </w:tcBorders>
            <w:vAlign w:val="bottom"/>
          </w:tcPr>
          <w:p w:rsidR="00D724FA" w:rsidRDefault="00D724FA" w:rsidP="00A858D8">
            <w:pPr>
              <w:pStyle w:val="IASBTableArial"/>
              <w:jc w:val="right"/>
            </w:pPr>
            <w:r>
              <w:t>(0.30)</w:t>
            </w:r>
          </w:p>
        </w:tc>
        <w:tc>
          <w:tcPr>
            <w:tcW w:w="216" w:type="dxa"/>
            <w:tcBorders>
              <w:top w:val="nil"/>
              <w:left w:val="nil"/>
            </w:tcBorders>
            <w:vAlign w:val="bottom"/>
          </w:tcPr>
          <w:p w:rsidR="00D724FA" w:rsidRDefault="00D724FA" w:rsidP="00A858D8">
            <w:pPr>
              <w:pStyle w:val="IASBTableArial"/>
            </w:pPr>
          </w:p>
        </w:tc>
        <w:tc>
          <w:tcPr>
            <w:tcW w:w="1058" w:type="dxa"/>
            <w:tcBorders>
              <w:top w:val="nil"/>
              <w:left w:val="nil"/>
              <w:bottom w:val="single" w:sz="4" w:space="0" w:color="auto"/>
            </w:tcBorders>
            <w:vAlign w:val="bottom"/>
          </w:tcPr>
          <w:p w:rsidR="00D724FA" w:rsidRDefault="00D724FA" w:rsidP="00A858D8">
            <w:pPr>
              <w:pStyle w:val="IASBTableArial"/>
              <w:jc w:val="right"/>
            </w:pPr>
            <w:r>
              <w:t>–</w:t>
            </w:r>
          </w:p>
        </w:tc>
        <w:tc>
          <w:tcPr>
            <w:tcW w:w="216" w:type="dxa"/>
            <w:tcBorders>
              <w:top w:val="nil"/>
              <w:left w:val="nil"/>
            </w:tcBorders>
            <w:vAlign w:val="bottom"/>
          </w:tcPr>
          <w:p w:rsidR="00D724FA" w:rsidRDefault="00D724FA" w:rsidP="00A858D8">
            <w:pPr>
              <w:pStyle w:val="IASBTableArial"/>
            </w:pPr>
          </w:p>
        </w:tc>
        <w:tc>
          <w:tcPr>
            <w:tcW w:w="1058" w:type="dxa"/>
            <w:tcBorders>
              <w:top w:val="nil"/>
              <w:left w:val="nil"/>
              <w:bottom w:val="single" w:sz="4" w:space="0" w:color="auto"/>
            </w:tcBorders>
            <w:vAlign w:val="bottom"/>
          </w:tcPr>
          <w:p w:rsidR="00D724FA" w:rsidRDefault="00D724FA" w:rsidP="00A858D8">
            <w:pPr>
              <w:pStyle w:val="IASBTableArial"/>
              <w:jc w:val="right"/>
            </w:pPr>
            <w:r>
              <w:t>(0.30)</w:t>
            </w:r>
          </w:p>
        </w:tc>
      </w:tr>
      <w:tr w:rsidR="00D724FA" w:rsidTr="00A858D8">
        <w:trPr>
          <w:cantSplit/>
        </w:trPr>
        <w:tc>
          <w:tcPr>
            <w:tcW w:w="3020" w:type="dxa"/>
            <w:tcBorders>
              <w:top w:val="nil"/>
            </w:tcBorders>
            <w:vAlign w:val="bottom"/>
          </w:tcPr>
          <w:p w:rsidR="00D724FA" w:rsidRDefault="00D724FA" w:rsidP="00A858D8">
            <w:pPr>
              <w:pStyle w:val="IASBTableArial"/>
            </w:pPr>
            <w:r>
              <w:t>Profit (loss)</w:t>
            </w:r>
          </w:p>
        </w:tc>
        <w:tc>
          <w:tcPr>
            <w:tcW w:w="1092" w:type="dxa"/>
            <w:tcBorders>
              <w:top w:val="nil"/>
              <w:left w:val="nil"/>
              <w:bottom w:val="double" w:sz="4" w:space="0" w:color="auto"/>
            </w:tcBorders>
            <w:vAlign w:val="bottom"/>
          </w:tcPr>
          <w:p w:rsidR="00D724FA" w:rsidRDefault="00D724FA" w:rsidP="00A858D8">
            <w:pPr>
              <w:pStyle w:val="IASBTableArial"/>
              <w:jc w:val="right"/>
            </w:pPr>
            <w:r>
              <w:t>0.80</w:t>
            </w:r>
          </w:p>
        </w:tc>
        <w:tc>
          <w:tcPr>
            <w:tcW w:w="216" w:type="dxa"/>
            <w:tcBorders>
              <w:top w:val="nil"/>
              <w:left w:val="nil"/>
            </w:tcBorders>
            <w:vAlign w:val="bottom"/>
          </w:tcPr>
          <w:p w:rsidR="00D724FA" w:rsidRDefault="00D724FA" w:rsidP="00A858D8">
            <w:pPr>
              <w:pStyle w:val="IASBTableArial"/>
            </w:pPr>
          </w:p>
        </w:tc>
        <w:tc>
          <w:tcPr>
            <w:tcW w:w="1058" w:type="dxa"/>
            <w:tcBorders>
              <w:top w:val="nil"/>
              <w:left w:val="nil"/>
              <w:bottom w:val="double" w:sz="4" w:space="0" w:color="auto"/>
            </w:tcBorders>
            <w:vAlign w:val="bottom"/>
          </w:tcPr>
          <w:p w:rsidR="00D724FA" w:rsidRDefault="00D724FA" w:rsidP="00A858D8">
            <w:pPr>
              <w:pStyle w:val="IASBTableArial"/>
              <w:jc w:val="right"/>
            </w:pPr>
            <w:r>
              <w:t>1.00</w:t>
            </w:r>
          </w:p>
        </w:tc>
        <w:tc>
          <w:tcPr>
            <w:tcW w:w="216" w:type="dxa"/>
            <w:tcBorders>
              <w:top w:val="nil"/>
              <w:left w:val="nil"/>
            </w:tcBorders>
            <w:vAlign w:val="bottom"/>
          </w:tcPr>
          <w:p w:rsidR="00D724FA" w:rsidRDefault="00D724FA" w:rsidP="00A858D8">
            <w:pPr>
              <w:pStyle w:val="IASBTableArial"/>
            </w:pPr>
          </w:p>
        </w:tc>
        <w:tc>
          <w:tcPr>
            <w:tcW w:w="1058" w:type="dxa"/>
            <w:tcBorders>
              <w:top w:val="nil"/>
              <w:left w:val="nil"/>
              <w:bottom w:val="double" w:sz="4" w:space="0" w:color="auto"/>
            </w:tcBorders>
            <w:vAlign w:val="bottom"/>
          </w:tcPr>
          <w:p w:rsidR="00D724FA" w:rsidRDefault="00D724FA" w:rsidP="00A858D8">
            <w:pPr>
              <w:pStyle w:val="IASBTableArial"/>
              <w:jc w:val="right"/>
            </w:pPr>
            <w:r>
              <w:t>(0.15)</w:t>
            </w:r>
          </w:p>
        </w:tc>
        <w:tc>
          <w:tcPr>
            <w:tcW w:w="216" w:type="dxa"/>
            <w:tcBorders>
              <w:top w:val="nil"/>
              <w:left w:val="nil"/>
            </w:tcBorders>
            <w:vAlign w:val="bottom"/>
          </w:tcPr>
          <w:p w:rsidR="00D724FA" w:rsidRDefault="00D724FA" w:rsidP="00A858D8">
            <w:pPr>
              <w:pStyle w:val="IASBTableArial"/>
            </w:pPr>
          </w:p>
        </w:tc>
        <w:tc>
          <w:tcPr>
            <w:tcW w:w="1058" w:type="dxa"/>
            <w:tcBorders>
              <w:top w:val="nil"/>
              <w:left w:val="nil"/>
              <w:bottom w:val="double" w:sz="4" w:space="0" w:color="auto"/>
            </w:tcBorders>
            <w:vAlign w:val="bottom"/>
          </w:tcPr>
          <w:p w:rsidR="00D724FA" w:rsidRDefault="00D724FA" w:rsidP="00A858D8">
            <w:pPr>
              <w:pStyle w:val="IASBTableArial"/>
              <w:jc w:val="right"/>
            </w:pPr>
            <w:r>
              <w:t>(0.10)</w:t>
            </w:r>
          </w:p>
        </w:tc>
        <w:tc>
          <w:tcPr>
            <w:tcW w:w="216" w:type="dxa"/>
            <w:tcBorders>
              <w:top w:val="nil"/>
              <w:left w:val="nil"/>
            </w:tcBorders>
            <w:vAlign w:val="bottom"/>
          </w:tcPr>
          <w:p w:rsidR="00D724FA" w:rsidRDefault="00D724FA" w:rsidP="00A858D8">
            <w:pPr>
              <w:pStyle w:val="IASBTableArial"/>
            </w:pPr>
          </w:p>
        </w:tc>
        <w:tc>
          <w:tcPr>
            <w:tcW w:w="1058" w:type="dxa"/>
            <w:tcBorders>
              <w:top w:val="nil"/>
              <w:left w:val="nil"/>
              <w:bottom w:val="double" w:sz="4" w:space="0" w:color="auto"/>
            </w:tcBorders>
            <w:vAlign w:val="bottom"/>
          </w:tcPr>
          <w:p w:rsidR="00D724FA" w:rsidRDefault="00D724FA" w:rsidP="00A858D8">
            <w:pPr>
              <w:pStyle w:val="IASBTableArial"/>
              <w:jc w:val="right"/>
            </w:pPr>
            <w:r>
              <w:t>1.48</w:t>
            </w:r>
          </w:p>
        </w:tc>
      </w:tr>
    </w:tbl>
    <w:p w:rsidR="00D724FA" w:rsidRDefault="00D724FA" w:rsidP="00D724FA">
      <w:pPr>
        <w:pStyle w:val="IASBNormalnpara"/>
      </w:pPr>
    </w:p>
    <w:p w:rsidR="00725E14" w:rsidRDefault="00725E14">
      <w:pPr>
        <w:pStyle w:val="IASBNormalnpara"/>
      </w:pPr>
    </w:p>
    <w:p w:rsidR="00725E14" w:rsidRDefault="00725E14" w:rsidP="00725E14">
      <w:pPr>
        <w:sectPr w:rsidR="00725E14" w:rsidSect="00153689">
          <w:headerReference w:type="even" r:id="rId39"/>
          <w:footerReference w:type="even" r:id="rId40"/>
          <w:footerReference w:type="default" r:id="rId41"/>
          <w:headerReference w:type="first" r:id="rId42"/>
          <w:footerReference w:type="first" r:id="rId43"/>
          <w:pgSz w:w="11907" w:h="16839"/>
          <w:pgMar w:top="1440" w:right="1440" w:bottom="1440" w:left="1440" w:header="720" w:footer="720" w:gutter="0"/>
          <w:cols w:space="708"/>
          <w:docGrid w:linePitch="360"/>
        </w:sectPr>
      </w:pPr>
    </w:p>
    <w:p w:rsidR="00725E14" w:rsidRDefault="00725E14" w:rsidP="00F25671">
      <w:pPr>
        <w:pStyle w:val="ConvSectionTitle"/>
      </w:pPr>
      <w:r>
        <w:t xml:space="preserve">Deleted </w:t>
      </w:r>
      <w:r>
        <w:fldChar w:fldCharType="begin" w:fldLock="1"/>
      </w:r>
      <w:r>
        <w:instrText xml:space="preserve"> REF IntnlType \* charformat</w:instrText>
      </w:r>
      <w:r>
        <w:fldChar w:fldCharType="separate"/>
      </w:r>
      <w:r>
        <w:t>IAS</w:t>
      </w:r>
      <w:r>
        <w:fldChar w:fldCharType="end"/>
      </w:r>
      <w:r>
        <w:t xml:space="preserve"> </w:t>
      </w:r>
      <w:r>
        <w:fldChar w:fldCharType="begin" w:fldLock="1"/>
      </w:r>
      <w:r>
        <w:instrText xml:space="preserve"> REF IntnlNo \* charformat</w:instrText>
      </w:r>
      <w:r>
        <w:fldChar w:fldCharType="separate"/>
      </w:r>
      <w:r>
        <w:t>33</w:t>
      </w:r>
      <w:r>
        <w:fldChar w:fldCharType="end"/>
      </w:r>
      <w:r w:rsidR="001402D5">
        <w:t xml:space="preserve"> t</w:t>
      </w:r>
      <w:r>
        <w:t>ext</w:t>
      </w:r>
    </w:p>
    <w:p w:rsidR="00725E14" w:rsidRDefault="00725E14" w:rsidP="00F25671">
      <w:pPr>
        <w:pStyle w:val="IASBNote"/>
      </w:pPr>
      <w:r>
        <w:t xml:space="preserve">Deleted </w:t>
      </w:r>
      <w:r>
        <w:fldChar w:fldCharType="begin" w:fldLock="1"/>
      </w:r>
      <w:r>
        <w:instrText xml:space="preserve"> REF IntnlType \* charformat</w:instrText>
      </w:r>
      <w:r>
        <w:fldChar w:fldCharType="separate"/>
      </w:r>
      <w:r>
        <w:t>IAS</w:t>
      </w:r>
      <w:r>
        <w:fldChar w:fldCharType="end"/>
      </w:r>
      <w:r>
        <w:t xml:space="preserve"> </w:t>
      </w:r>
      <w:r>
        <w:fldChar w:fldCharType="begin" w:fldLock="1"/>
      </w:r>
      <w:r>
        <w:instrText xml:space="preserve"> REF IntnlNo \* charformat</w:instrText>
      </w:r>
      <w:r>
        <w:fldChar w:fldCharType="separate"/>
      </w:r>
      <w:r>
        <w:t>33</w:t>
      </w:r>
      <w:r>
        <w:fldChar w:fldCharType="end"/>
      </w:r>
      <w:r>
        <w:t xml:space="preserve"> text is not part of </w:t>
      </w:r>
      <w:r>
        <w:fldChar w:fldCharType="begin" w:fldLock="1"/>
      </w:r>
      <w:r>
        <w:instrText xml:space="preserve"> REF DocTypeAbb \* charformat</w:instrText>
      </w:r>
      <w:r>
        <w:fldChar w:fldCharType="separate"/>
      </w:r>
      <w:r>
        <w:t>AASB</w:t>
      </w:r>
      <w:r>
        <w:fldChar w:fldCharType="end"/>
      </w:r>
      <w:r>
        <w:t xml:space="preserve"> </w:t>
      </w:r>
      <w:r>
        <w:fldChar w:fldCharType="begin" w:fldLock="1"/>
      </w:r>
      <w:r>
        <w:instrText xml:space="preserve"> REF DocNo \* charformat</w:instrText>
      </w:r>
      <w:r>
        <w:fldChar w:fldCharType="separate"/>
      </w:r>
      <w:r>
        <w:t>133</w:t>
      </w:r>
      <w:r>
        <w:fldChar w:fldCharType="end"/>
      </w:r>
      <w:r>
        <w:t>.</w:t>
      </w:r>
    </w:p>
    <w:p w:rsidR="003B3D68" w:rsidRDefault="003B3D68" w:rsidP="003B3D68">
      <w:pPr>
        <w:pStyle w:val="IASBNormalnpara"/>
        <w:rPr>
          <w:b/>
        </w:rPr>
      </w:pPr>
      <w:r>
        <w:rPr>
          <w:b/>
        </w:rPr>
        <w:t>2</w:t>
      </w:r>
      <w:r>
        <w:rPr>
          <w:b/>
        </w:rPr>
        <w:tab/>
        <w:t>This Standard shall apply to</w:t>
      </w:r>
    </w:p>
    <w:p w:rsidR="003B3D68" w:rsidRDefault="003B3D68" w:rsidP="003B3D68">
      <w:pPr>
        <w:pStyle w:val="IASBNormalnparaL1"/>
      </w:pPr>
      <w:r>
        <w:rPr>
          <w:b/>
        </w:rPr>
        <w:t>(a)</w:t>
      </w:r>
      <w:r>
        <w:tab/>
      </w:r>
      <w:proofErr w:type="gramStart"/>
      <w:r>
        <w:rPr>
          <w:b/>
        </w:rPr>
        <w:t>the</w:t>
      </w:r>
      <w:proofErr w:type="gramEnd"/>
      <w:r>
        <w:rPr>
          <w:b/>
        </w:rPr>
        <w:t xml:space="preserve"> separate or individual financial statements of an entity:</w:t>
      </w:r>
    </w:p>
    <w:p w:rsidR="003B3D68" w:rsidRDefault="003B3D68" w:rsidP="003B3D68">
      <w:pPr>
        <w:pStyle w:val="IASBNormalnparaL2"/>
      </w:pPr>
      <w:r>
        <w:rPr>
          <w:b/>
        </w:rPr>
        <w:t>(</w:t>
      </w:r>
      <w:proofErr w:type="spellStart"/>
      <w:r>
        <w:rPr>
          <w:b/>
        </w:rPr>
        <w:t>i</w:t>
      </w:r>
      <w:proofErr w:type="spellEnd"/>
      <w:r>
        <w:rPr>
          <w:b/>
        </w:rPr>
        <w:t>)</w:t>
      </w:r>
      <w:r>
        <w:tab/>
      </w:r>
      <w:proofErr w:type="gramStart"/>
      <w:r>
        <w:rPr>
          <w:b/>
        </w:rPr>
        <w:t>whose</w:t>
      </w:r>
      <w:proofErr w:type="gramEnd"/>
      <w:r>
        <w:rPr>
          <w:b/>
        </w:rPr>
        <w:t xml:space="preserve"> ordinary shares or potential ordinary shares are traded in a public market (a domestic or foreign stock exchange or an over-the-counter market, including local and regional markets) or</w:t>
      </w:r>
    </w:p>
    <w:p w:rsidR="003B3D68" w:rsidRDefault="003B3D68" w:rsidP="003B3D68">
      <w:pPr>
        <w:pStyle w:val="IASBNormalnparaL2"/>
      </w:pPr>
      <w:r>
        <w:rPr>
          <w:b/>
        </w:rPr>
        <w:t>(ii)</w:t>
      </w:r>
      <w:r>
        <w:tab/>
      </w:r>
      <w:r>
        <w:rPr>
          <w:b/>
        </w:rPr>
        <w:t>that files, or is in the process of filing, its financial statements with a securities commission or other regulatory organisation for the purpose of issuing ordinary shares in a public market; and</w:t>
      </w:r>
    </w:p>
    <w:p w:rsidR="003B3D68" w:rsidRDefault="003B3D68" w:rsidP="003B3D68">
      <w:pPr>
        <w:pStyle w:val="IASBNormalnparaL1"/>
      </w:pPr>
      <w:r>
        <w:rPr>
          <w:b/>
        </w:rPr>
        <w:t>(b)</w:t>
      </w:r>
      <w:r>
        <w:tab/>
      </w:r>
      <w:proofErr w:type="gramStart"/>
      <w:r>
        <w:rPr>
          <w:b/>
        </w:rPr>
        <w:t>the</w:t>
      </w:r>
      <w:proofErr w:type="gramEnd"/>
      <w:r>
        <w:rPr>
          <w:b/>
        </w:rPr>
        <w:t xml:space="preserve"> consolidated financial statements of a group with a parent</w:t>
      </w:r>
      <w:r>
        <w:t>:</w:t>
      </w:r>
    </w:p>
    <w:p w:rsidR="003B3D68" w:rsidRDefault="003B3D68" w:rsidP="003B3D68">
      <w:pPr>
        <w:pStyle w:val="IASBNormalnparaL2"/>
      </w:pPr>
      <w:r>
        <w:rPr>
          <w:b/>
        </w:rPr>
        <w:t>(</w:t>
      </w:r>
      <w:proofErr w:type="spellStart"/>
      <w:r>
        <w:rPr>
          <w:b/>
        </w:rPr>
        <w:t>i</w:t>
      </w:r>
      <w:proofErr w:type="spellEnd"/>
      <w:r>
        <w:rPr>
          <w:b/>
        </w:rPr>
        <w:t>)</w:t>
      </w:r>
      <w:r>
        <w:tab/>
      </w:r>
      <w:proofErr w:type="gramStart"/>
      <w:r>
        <w:rPr>
          <w:b/>
        </w:rPr>
        <w:t>whose</w:t>
      </w:r>
      <w:proofErr w:type="gramEnd"/>
      <w:r>
        <w:rPr>
          <w:b/>
        </w:rPr>
        <w:t xml:space="preserve"> ordinary shares or potential ordinary shares are traded in a public market (a domestic or foreign stock exchange or an over-the-counter market, including local and regional markets) or</w:t>
      </w:r>
    </w:p>
    <w:p w:rsidR="003B3D68" w:rsidRDefault="003B3D68" w:rsidP="003B3D68">
      <w:pPr>
        <w:pStyle w:val="IASBNormalnparaL2"/>
      </w:pPr>
      <w:r>
        <w:rPr>
          <w:b/>
        </w:rPr>
        <w:t>(ii)</w:t>
      </w:r>
      <w:r>
        <w:tab/>
      </w:r>
      <w:proofErr w:type="gramStart"/>
      <w:r>
        <w:rPr>
          <w:b/>
        </w:rPr>
        <w:t>that</w:t>
      </w:r>
      <w:proofErr w:type="gramEnd"/>
      <w:r>
        <w:rPr>
          <w:b/>
        </w:rPr>
        <w:t xml:space="preserve"> files, or is in the process of filing, its financial statements with a securities commission or other regulatory organisation for the purpose of issuing ordinary shares in a public market.</w:t>
      </w:r>
    </w:p>
    <w:p w:rsidR="003B3D68" w:rsidRDefault="003B3D68" w:rsidP="003B3D68">
      <w:pPr>
        <w:pStyle w:val="IASBNormalnpara"/>
      </w:pPr>
      <w:r>
        <w:t>74A</w:t>
      </w:r>
      <w:r>
        <w:tab/>
        <w:t>IAS 1 (as revised in 2007) amended the terminology used throughout IFRSs. In addition it added paragraphs 4A, 67A, 68A and 73A. An entity shall apply those amendments for annual periods beginning on or after 1 January 2009. If an entity applies IAS 1 (revised 2007) for an earlier period, the amendments shall be applied for that earlier period.</w:t>
      </w:r>
    </w:p>
    <w:p w:rsidR="009E792A" w:rsidDel="003B3D68" w:rsidRDefault="009E792A" w:rsidP="009E792A">
      <w:pPr>
        <w:pStyle w:val="IASBNormalnpara"/>
      </w:pPr>
      <w:r w:rsidDel="003B3D68">
        <w:t>74B</w:t>
      </w:r>
      <w:r w:rsidDel="003B3D68">
        <w:tab/>
        <w:t xml:space="preserve">IFRS 10 and IFRS 11 </w:t>
      </w:r>
      <w:r w:rsidDel="003B3D68">
        <w:rPr>
          <w:i/>
        </w:rPr>
        <w:t>Joint Arrangements</w:t>
      </w:r>
      <w:r w:rsidDel="003B3D68">
        <w:t>, issued in May 2011, amended paragraphs 4, 40 and A11. An entity shall apply those amendments when it applies IFRS 10 and IFRS 11.</w:t>
      </w:r>
    </w:p>
    <w:p w:rsidR="009E792A" w:rsidDel="003B3D68" w:rsidRDefault="009E792A" w:rsidP="009E792A">
      <w:pPr>
        <w:pStyle w:val="IASBNormalnpara"/>
      </w:pPr>
      <w:r w:rsidDel="003B3D68">
        <w:t>74C</w:t>
      </w:r>
      <w:r w:rsidDel="003B3D68">
        <w:tab/>
        <w:t>IFRS 13, issued in May 2011, amended paragraphs 8, 47A and A2. An entity shall apply those amendments when it applies IFRS 13.</w:t>
      </w:r>
    </w:p>
    <w:p w:rsidR="009E792A" w:rsidDel="003B3D68" w:rsidRDefault="009E792A" w:rsidP="009E792A">
      <w:pPr>
        <w:pStyle w:val="IASBNormalnpara"/>
      </w:pPr>
      <w:r w:rsidDel="003B3D68">
        <w:t>74D</w:t>
      </w:r>
      <w:r w:rsidDel="003B3D68">
        <w:tab/>
      </w:r>
      <w:r w:rsidDel="003B3D68">
        <w:rPr>
          <w:i/>
        </w:rPr>
        <w:t>Presentation of Items of Other Comprehensive Income</w:t>
      </w:r>
      <w:r w:rsidDel="003B3D68">
        <w:t xml:space="preserve"> (Amendments to IAS 1), issued in June 2011, amended paragraphs 4A, 67A, 68A and 73A. An entity shall apply those amendments when it applies IAS 1 as amended in June 2011.</w:t>
      </w:r>
    </w:p>
    <w:p w:rsidR="003B3D68" w:rsidRDefault="003B3D68" w:rsidP="003B3D68">
      <w:pPr>
        <w:pStyle w:val="IASBNormalnpara"/>
      </w:pPr>
      <w:r>
        <w:t>75</w:t>
      </w:r>
      <w:r>
        <w:tab/>
        <w:t xml:space="preserve">This Standard supersedes IAS 33 </w:t>
      </w:r>
      <w:r>
        <w:rPr>
          <w:i/>
        </w:rPr>
        <w:t xml:space="preserve">Earnings </w:t>
      </w:r>
      <w:proofErr w:type="gramStart"/>
      <w:r>
        <w:rPr>
          <w:i/>
        </w:rPr>
        <w:t>Per</w:t>
      </w:r>
      <w:proofErr w:type="gramEnd"/>
      <w:r>
        <w:rPr>
          <w:i/>
        </w:rPr>
        <w:t xml:space="preserve"> Share</w:t>
      </w:r>
      <w:r>
        <w:t xml:space="preserve"> (issued in 1997).</w:t>
      </w:r>
    </w:p>
    <w:p w:rsidR="003B3D68" w:rsidRDefault="003B3D68" w:rsidP="003B3D68">
      <w:pPr>
        <w:pStyle w:val="IASBNormalnpara"/>
      </w:pPr>
      <w:r>
        <w:t>76</w:t>
      </w:r>
      <w:r>
        <w:tab/>
        <w:t xml:space="preserve">This Standard supersedes SIC-24 </w:t>
      </w:r>
      <w:r>
        <w:rPr>
          <w:i/>
        </w:rPr>
        <w:t xml:space="preserve">Earnings </w:t>
      </w:r>
      <w:proofErr w:type="gramStart"/>
      <w:r>
        <w:rPr>
          <w:i/>
        </w:rPr>
        <w:t>Per</w:t>
      </w:r>
      <w:proofErr w:type="gramEnd"/>
      <w:r>
        <w:rPr>
          <w:i/>
        </w:rPr>
        <w:t xml:space="preserve"> Share—Financial Instruments and Other Contracts that May Be Settled in Shares</w:t>
      </w:r>
      <w:r>
        <w:t>.</w:t>
      </w:r>
    </w:p>
    <w:sectPr w:rsidR="003B3D68" w:rsidSect="001402D5">
      <w:footerReference w:type="default" r:id="rId44"/>
      <w:headerReference w:type="first" r:id="rId45"/>
      <w:footerReference w:type="first" r:id="rId46"/>
      <w:pgSz w:w="11907" w:h="1683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28F5" w:rsidRDefault="00B228F5">
      <w:r>
        <w:separator/>
      </w:r>
    </w:p>
  </w:endnote>
  <w:endnote w:type="continuationSeparator" w:id="0">
    <w:p w:rsidR="00B228F5" w:rsidRDefault="00B22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NeueLT Std">
    <w:panose1 w:val="00000000000000000000"/>
    <w:charset w:val="00"/>
    <w:family w:val="swiss"/>
    <w:notTrueType/>
    <w:pitch w:val="variable"/>
    <w:sig w:usb0="800000AF" w:usb1="4000204A" w:usb2="00000000" w:usb3="00000000" w:csb0="00000001" w:csb1="00000000"/>
  </w:font>
  <w:font w:name="HelveticaNeueLT Std Blk">
    <w:panose1 w:val="00000000000000000000"/>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6F6" w:rsidRDefault="000D46F6">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571A" w:rsidRPr="00725E14" w:rsidRDefault="0041571A" w:rsidP="00725E14">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571A" w:rsidRPr="00725E14" w:rsidRDefault="0041571A" w:rsidP="00725E14">
    <w:pPr>
      <w:pStyle w:val="Footer"/>
      <w:rPr>
        <w:b/>
      </w:rPr>
    </w:pPr>
    <w:r>
      <w:rPr>
        <w:b/>
      </w:rPr>
      <w:fldChar w:fldCharType="begin" w:fldLock="1"/>
    </w:r>
    <w:r>
      <w:rPr>
        <w:b/>
      </w:rPr>
      <w:instrText xml:space="preserve"> REF DocTypeAbb \* charformat </w:instrText>
    </w:r>
    <w:r>
      <w:rPr>
        <w:b/>
      </w:rPr>
      <w:fldChar w:fldCharType="separate"/>
    </w:r>
    <w:r w:rsidRPr="00725E14">
      <w:rPr>
        <w:b/>
      </w:rPr>
      <w:t>AASB</w:t>
    </w:r>
    <w:r>
      <w:rPr>
        <w:b/>
      </w:rPr>
      <w:fldChar w:fldCharType="end"/>
    </w:r>
    <w:r w:rsidRPr="00725E14">
      <w:rPr>
        <w:b/>
      </w:rPr>
      <w:t xml:space="preserve"> </w:t>
    </w:r>
    <w:r>
      <w:rPr>
        <w:b/>
      </w:rPr>
      <w:fldChar w:fldCharType="begin" w:fldLock="1"/>
    </w:r>
    <w:r>
      <w:rPr>
        <w:b/>
      </w:rPr>
      <w:instrText xml:space="preserve"> REF DocNo \* charformat </w:instrText>
    </w:r>
    <w:r>
      <w:rPr>
        <w:b/>
      </w:rPr>
      <w:fldChar w:fldCharType="separate"/>
    </w:r>
    <w:r w:rsidRPr="00725E14">
      <w:rPr>
        <w:b/>
      </w:rPr>
      <w:t>133</w:t>
    </w:r>
    <w:r>
      <w:rPr>
        <w:b/>
      </w:rPr>
      <w:fldChar w:fldCharType="end"/>
    </w:r>
    <w:r w:rsidRPr="00725E14">
      <w:rPr>
        <w:b/>
      </w:rPr>
      <w:tab/>
    </w:r>
    <w:r>
      <w:fldChar w:fldCharType="begin"/>
    </w:r>
    <w:r>
      <w:instrText xml:space="preserve"> PAGE </w:instrText>
    </w:r>
    <w:r>
      <w:fldChar w:fldCharType="separate"/>
    </w:r>
    <w:r w:rsidR="00C43B01">
      <w:rPr>
        <w:noProof/>
      </w:rPr>
      <w:t>14</w:t>
    </w:r>
    <w:r>
      <w:fldChar w:fldCharType="end"/>
    </w:r>
    <w:r w:rsidRPr="00725E14">
      <w:rPr>
        <w:b/>
      </w:rPr>
      <w:tab/>
    </w:r>
    <w:r>
      <w:rPr>
        <w:b/>
      </w:rPr>
      <w:fldChar w:fldCharType="begin" w:fldLock="1"/>
    </w:r>
    <w:r>
      <w:rPr>
        <w:b/>
      </w:rPr>
      <w:instrText xml:space="preserve"> REF DocType \* charformat \* upper </w:instrText>
    </w:r>
    <w:r>
      <w:rPr>
        <w:b/>
      </w:rPr>
      <w:fldChar w:fldCharType="separate"/>
    </w:r>
    <w:r w:rsidRPr="00725E14">
      <w:rPr>
        <w:b/>
      </w:rPr>
      <w:t>STANDARD</w:t>
    </w:r>
    <w:r>
      <w:rPr>
        <w:b/>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571A" w:rsidRPr="00725E14" w:rsidRDefault="0041571A" w:rsidP="00725E14">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571A" w:rsidRPr="00725E14" w:rsidRDefault="0041571A" w:rsidP="00725E14">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571A" w:rsidRPr="00725E14" w:rsidRDefault="0041571A" w:rsidP="00725E14">
    <w:pPr>
      <w:pStyle w:val="Footer"/>
      <w:rPr>
        <w:b/>
      </w:rPr>
    </w:pPr>
    <w:r>
      <w:rPr>
        <w:b/>
      </w:rPr>
      <w:fldChar w:fldCharType="begin" w:fldLock="1"/>
    </w:r>
    <w:r>
      <w:rPr>
        <w:b/>
      </w:rPr>
      <w:instrText xml:space="preserve"> REF DocTypeAbb \* charformat </w:instrText>
    </w:r>
    <w:r>
      <w:rPr>
        <w:b/>
      </w:rPr>
      <w:fldChar w:fldCharType="separate"/>
    </w:r>
    <w:r w:rsidRPr="00725E14">
      <w:rPr>
        <w:b/>
      </w:rPr>
      <w:t>AASB</w:t>
    </w:r>
    <w:r>
      <w:rPr>
        <w:b/>
      </w:rPr>
      <w:fldChar w:fldCharType="end"/>
    </w:r>
    <w:r w:rsidRPr="00725E14">
      <w:rPr>
        <w:b/>
      </w:rPr>
      <w:t xml:space="preserve"> </w:t>
    </w:r>
    <w:r>
      <w:rPr>
        <w:b/>
      </w:rPr>
      <w:fldChar w:fldCharType="begin" w:fldLock="1"/>
    </w:r>
    <w:r>
      <w:rPr>
        <w:b/>
      </w:rPr>
      <w:instrText xml:space="preserve"> REF DocNo \* charformat </w:instrText>
    </w:r>
    <w:r>
      <w:rPr>
        <w:b/>
      </w:rPr>
      <w:fldChar w:fldCharType="separate"/>
    </w:r>
    <w:r w:rsidRPr="00725E14">
      <w:rPr>
        <w:b/>
      </w:rPr>
      <w:t>133</w:t>
    </w:r>
    <w:r>
      <w:rPr>
        <w:b/>
      </w:rPr>
      <w:fldChar w:fldCharType="end"/>
    </w:r>
    <w:r w:rsidRPr="00725E14">
      <w:rPr>
        <w:b/>
      </w:rPr>
      <w:tab/>
    </w:r>
    <w:r>
      <w:fldChar w:fldCharType="begin"/>
    </w:r>
    <w:r>
      <w:instrText xml:space="preserve"> PAGE </w:instrText>
    </w:r>
    <w:r>
      <w:fldChar w:fldCharType="separate"/>
    </w:r>
    <w:r w:rsidR="00C43B01">
      <w:rPr>
        <w:noProof/>
      </w:rPr>
      <w:t>17</w:t>
    </w:r>
    <w:r>
      <w:fldChar w:fldCharType="end"/>
    </w:r>
    <w:r w:rsidRPr="00725E14">
      <w:rPr>
        <w:b/>
      </w:rPr>
      <w:tab/>
    </w:r>
    <w:r>
      <w:rPr>
        <w:b/>
      </w:rPr>
      <w:t>APPENDIX A</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571A" w:rsidRPr="00725E14" w:rsidRDefault="0041571A" w:rsidP="00725E14">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571A" w:rsidRDefault="0041571A" w:rsidP="00F25671">
    <w:pPr>
      <w:pStyle w:val="Footer"/>
    </w:pPr>
    <w:r w:rsidRPr="00705552">
      <w:rPr>
        <w:b/>
      </w:rPr>
      <w:fldChar w:fldCharType="begin" w:fldLock="1"/>
    </w:r>
    <w:r w:rsidRPr="00705552">
      <w:rPr>
        <w:b/>
      </w:rPr>
      <w:instrText xml:space="preserve"> REF DocTypeAbb\* charformat</w:instrText>
    </w:r>
    <w:r>
      <w:rPr>
        <w:b/>
      </w:rPr>
      <w:instrText xml:space="preserve"> </w:instrText>
    </w:r>
    <w:r w:rsidRPr="00705552">
      <w:rPr>
        <w:b/>
      </w:rPr>
      <w:fldChar w:fldCharType="separate"/>
    </w:r>
    <w:r w:rsidRPr="00725E14">
      <w:rPr>
        <w:b/>
      </w:rPr>
      <w:t>AASB</w:t>
    </w:r>
    <w:r w:rsidRPr="00705552">
      <w:rPr>
        <w:b/>
      </w:rPr>
      <w:fldChar w:fldCharType="end"/>
    </w:r>
    <w:r w:rsidRPr="00705552">
      <w:rPr>
        <w:b/>
      </w:rPr>
      <w:t xml:space="preserve"> </w:t>
    </w:r>
    <w:r w:rsidRPr="00705552">
      <w:rPr>
        <w:b/>
      </w:rPr>
      <w:fldChar w:fldCharType="begin" w:fldLock="1"/>
    </w:r>
    <w:r w:rsidRPr="00705552">
      <w:rPr>
        <w:b/>
      </w:rPr>
      <w:instrText xml:space="preserve"> REF DocNo \* charformat</w:instrText>
    </w:r>
    <w:r w:rsidRPr="00705552">
      <w:rPr>
        <w:b/>
      </w:rPr>
      <w:fldChar w:fldCharType="separate"/>
    </w:r>
    <w:r w:rsidRPr="00725E14">
      <w:rPr>
        <w:b/>
      </w:rPr>
      <w:t>133</w:t>
    </w:r>
    <w:r w:rsidRPr="00705552">
      <w:rPr>
        <w:b/>
      </w:rPr>
      <w:fldChar w:fldCharType="end"/>
    </w:r>
    <w:r>
      <w:tab/>
    </w:r>
    <w:r>
      <w:fldChar w:fldCharType="begin"/>
    </w:r>
    <w:r>
      <w:instrText xml:space="preserve"> page </w:instrText>
    </w:r>
    <w:r>
      <w:fldChar w:fldCharType="separate"/>
    </w:r>
    <w:r w:rsidR="00C43B01">
      <w:rPr>
        <w:noProof/>
      </w:rPr>
      <w:t>18</w:t>
    </w:r>
    <w:r>
      <w:fldChar w:fldCharType="end"/>
    </w:r>
    <w:r>
      <w:tab/>
    </w:r>
    <w:r w:rsidR="00243C5C">
      <w:rPr>
        <w:b/>
      </w:rPr>
      <w:t>APPENDIX C</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571A" w:rsidRPr="00725E14" w:rsidRDefault="0041571A" w:rsidP="00725E14">
    <w:pPr>
      <w:pStyle w:val="Foote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571A" w:rsidRPr="00725E14" w:rsidRDefault="0041571A" w:rsidP="00725E14">
    <w:pPr>
      <w:pStyle w:val="Foote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3C5C" w:rsidRDefault="00243C5C" w:rsidP="00F25671">
    <w:pPr>
      <w:pStyle w:val="Footer"/>
    </w:pPr>
    <w:r w:rsidRPr="00705552">
      <w:rPr>
        <w:b/>
      </w:rPr>
      <w:fldChar w:fldCharType="begin" w:fldLock="1"/>
    </w:r>
    <w:r w:rsidRPr="00705552">
      <w:rPr>
        <w:b/>
      </w:rPr>
      <w:instrText xml:space="preserve"> REF DocTypeAbb\* charformat</w:instrText>
    </w:r>
    <w:r>
      <w:rPr>
        <w:b/>
      </w:rPr>
      <w:instrText xml:space="preserve"> </w:instrText>
    </w:r>
    <w:r w:rsidRPr="00705552">
      <w:rPr>
        <w:b/>
      </w:rPr>
      <w:fldChar w:fldCharType="separate"/>
    </w:r>
    <w:r w:rsidRPr="00725E14">
      <w:rPr>
        <w:b/>
      </w:rPr>
      <w:t>AASB</w:t>
    </w:r>
    <w:r w:rsidRPr="00705552">
      <w:rPr>
        <w:b/>
      </w:rPr>
      <w:fldChar w:fldCharType="end"/>
    </w:r>
    <w:r w:rsidRPr="00705552">
      <w:rPr>
        <w:b/>
      </w:rPr>
      <w:t xml:space="preserve"> </w:t>
    </w:r>
    <w:r w:rsidRPr="00705552">
      <w:rPr>
        <w:b/>
      </w:rPr>
      <w:fldChar w:fldCharType="begin" w:fldLock="1"/>
    </w:r>
    <w:r w:rsidRPr="00705552">
      <w:rPr>
        <w:b/>
      </w:rPr>
      <w:instrText xml:space="preserve"> REF DocNo \* charformat</w:instrText>
    </w:r>
    <w:r w:rsidRPr="00705552">
      <w:rPr>
        <w:b/>
      </w:rPr>
      <w:fldChar w:fldCharType="separate"/>
    </w:r>
    <w:r w:rsidRPr="00725E14">
      <w:rPr>
        <w:b/>
      </w:rPr>
      <w:t>133</w:t>
    </w:r>
    <w:r w:rsidRPr="00705552">
      <w:rPr>
        <w:b/>
      </w:rPr>
      <w:fldChar w:fldCharType="end"/>
    </w:r>
    <w:r>
      <w:tab/>
    </w:r>
    <w:r>
      <w:fldChar w:fldCharType="begin"/>
    </w:r>
    <w:r>
      <w:instrText xml:space="preserve"> page </w:instrText>
    </w:r>
    <w:r>
      <w:fldChar w:fldCharType="separate"/>
    </w:r>
    <w:r w:rsidR="00C43B01">
      <w:rPr>
        <w:noProof/>
      </w:rPr>
      <w:t>38</w:t>
    </w:r>
    <w:r>
      <w:fldChar w:fldCharType="end"/>
    </w:r>
    <w:r>
      <w:tab/>
    </w:r>
    <w:r>
      <w:rPr>
        <w:b/>
      </w:rPr>
      <w:t>EXAMPLES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6F6" w:rsidRDefault="000D46F6">
    <w:pPr>
      <w:pStyle w:val="Foote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571A" w:rsidRPr="00725E14" w:rsidRDefault="0041571A" w:rsidP="00725E14">
    <w:pPr>
      <w:pStyle w:val="Foote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571A" w:rsidRDefault="0041571A" w:rsidP="00F25671">
    <w:pPr>
      <w:pStyle w:val="Footer"/>
    </w:pPr>
    <w:r w:rsidRPr="00705552">
      <w:rPr>
        <w:b/>
      </w:rPr>
      <w:fldChar w:fldCharType="begin" w:fldLock="1"/>
    </w:r>
    <w:r w:rsidRPr="00705552">
      <w:rPr>
        <w:b/>
      </w:rPr>
      <w:instrText xml:space="preserve"> REF DocTypeAbb\* charformat</w:instrText>
    </w:r>
    <w:r>
      <w:rPr>
        <w:b/>
      </w:rPr>
      <w:instrText xml:space="preserve"> </w:instrText>
    </w:r>
    <w:r w:rsidRPr="00705552">
      <w:rPr>
        <w:b/>
      </w:rPr>
      <w:fldChar w:fldCharType="separate"/>
    </w:r>
    <w:r w:rsidRPr="00725E14">
      <w:rPr>
        <w:b/>
      </w:rPr>
      <w:t>AASB</w:t>
    </w:r>
    <w:r w:rsidRPr="00705552">
      <w:rPr>
        <w:b/>
      </w:rPr>
      <w:fldChar w:fldCharType="end"/>
    </w:r>
    <w:r w:rsidRPr="00705552">
      <w:rPr>
        <w:b/>
      </w:rPr>
      <w:t xml:space="preserve"> </w:t>
    </w:r>
    <w:r w:rsidRPr="00705552">
      <w:rPr>
        <w:b/>
      </w:rPr>
      <w:fldChar w:fldCharType="begin" w:fldLock="1"/>
    </w:r>
    <w:r w:rsidRPr="00705552">
      <w:rPr>
        <w:b/>
      </w:rPr>
      <w:instrText xml:space="preserve"> REF DocNo \* charformat</w:instrText>
    </w:r>
    <w:r w:rsidRPr="00705552">
      <w:rPr>
        <w:b/>
      </w:rPr>
      <w:fldChar w:fldCharType="separate"/>
    </w:r>
    <w:r w:rsidRPr="00725E14">
      <w:rPr>
        <w:b/>
      </w:rPr>
      <w:t>133</w:t>
    </w:r>
    <w:r w:rsidRPr="00705552">
      <w:rPr>
        <w:b/>
      </w:rPr>
      <w:fldChar w:fldCharType="end"/>
    </w:r>
    <w:r>
      <w:tab/>
    </w:r>
    <w:r>
      <w:fldChar w:fldCharType="begin"/>
    </w:r>
    <w:r>
      <w:instrText xml:space="preserve"> page </w:instrText>
    </w:r>
    <w:r>
      <w:fldChar w:fldCharType="separate"/>
    </w:r>
    <w:r w:rsidR="00C43B01">
      <w:rPr>
        <w:noProof/>
      </w:rPr>
      <w:t>39</w:t>
    </w:r>
    <w:r>
      <w:fldChar w:fldCharType="end"/>
    </w:r>
    <w:r>
      <w:tab/>
    </w:r>
    <w:r>
      <w:rPr>
        <w:b/>
      </w:rPr>
      <w:t xml:space="preserve">DELETED </w:t>
    </w:r>
    <w:r>
      <w:rPr>
        <w:b/>
      </w:rPr>
      <w:fldChar w:fldCharType="begin" w:fldLock="1"/>
    </w:r>
    <w:r>
      <w:rPr>
        <w:b/>
      </w:rPr>
      <w:instrText xml:space="preserve"> REF IntnlType \* charformat</w:instrText>
    </w:r>
    <w:r>
      <w:rPr>
        <w:b/>
      </w:rPr>
      <w:fldChar w:fldCharType="separate"/>
    </w:r>
    <w:r w:rsidRPr="00725E14">
      <w:rPr>
        <w:b/>
      </w:rPr>
      <w:t>IAS</w:t>
    </w:r>
    <w:r>
      <w:rPr>
        <w:b/>
      </w:rPr>
      <w:fldChar w:fldCharType="end"/>
    </w:r>
    <w:r>
      <w:rPr>
        <w:b/>
      </w:rPr>
      <w:t xml:space="preserve"> </w:t>
    </w:r>
    <w:r>
      <w:rPr>
        <w:b/>
      </w:rPr>
      <w:fldChar w:fldCharType="begin" w:fldLock="1"/>
    </w:r>
    <w:r>
      <w:rPr>
        <w:b/>
      </w:rPr>
      <w:instrText xml:space="preserve"> REF IntnlNo \* charformat</w:instrText>
    </w:r>
    <w:r>
      <w:rPr>
        <w:b/>
      </w:rPr>
      <w:fldChar w:fldCharType="separate"/>
    </w:r>
    <w:r w:rsidRPr="00725E14">
      <w:rPr>
        <w:b/>
      </w:rPr>
      <w:t>33</w:t>
    </w:r>
    <w:r>
      <w:rPr>
        <w:b/>
      </w:rPr>
      <w:fldChar w:fldCharType="end"/>
    </w:r>
    <w:r>
      <w:rPr>
        <w:b/>
      </w:rPr>
      <w:t xml:space="preserve"> TEXT</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571A" w:rsidRPr="00725E14" w:rsidRDefault="0041571A" w:rsidP="00725E1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6F6" w:rsidRDefault="000D46F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571A" w:rsidRDefault="0041571A">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571A" w:rsidRDefault="0041571A">
    <w:pPr>
      <w:pStyle w:val="Footer"/>
    </w:pPr>
    <w:r w:rsidRPr="00705552">
      <w:rPr>
        <w:b/>
      </w:rPr>
      <w:fldChar w:fldCharType="begin" w:fldLock="1"/>
    </w:r>
    <w:r w:rsidRPr="00705552">
      <w:rPr>
        <w:b/>
      </w:rPr>
      <w:instrText xml:space="preserve"> REF DocTypeAbb\* charformat</w:instrText>
    </w:r>
    <w:r>
      <w:rPr>
        <w:b/>
      </w:rPr>
      <w:instrText xml:space="preserve"> </w:instrText>
    </w:r>
    <w:r w:rsidRPr="00705552">
      <w:rPr>
        <w:b/>
      </w:rPr>
      <w:fldChar w:fldCharType="separate"/>
    </w:r>
    <w:r w:rsidRPr="00725E14">
      <w:rPr>
        <w:b/>
      </w:rPr>
      <w:t>AASB</w:t>
    </w:r>
    <w:r w:rsidRPr="00705552">
      <w:rPr>
        <w:b/>
      </w:rPr>
      <w:fldChar w:fldCharType="end"/>
    </w:r>
    <w:r w:rsidRPr="00705552">
      <w:rPr>
        <w:b/>
      </w:rPr>
      <w:t xml:space="preserve"> </w:t>
    </w:r>
    <w:r w:rsidRPr="00705552">
      <w:rPr>
        <w:b/>
      </w:rPr>
      <w:fldChar w:fldCharType="begin" w:fldLock="1"/>
    </w:r>
    <w:r w:rsidRPr="00705552">
      <w:rPr>
        <w:b/>
      </w:rPr>
      <w:instrText xml:space="preserve"> REF DocNo \* charformat</w:instrText>
    </w:r>
    <w:r w:rsidRPr="00705552">
      <w:rPr>
        <w:b/>
      </w:rPr>
      <w:fldChar w:fldCharType="separate"/>
    </w:r>
    <w:r w:rsidRPr="00725E14">
      <w:rPr>
        <w:b/>
      </w:rPr>
      <w:t>133</w:t>
    </w:r>
    <w:r w:rsidRPr="00705552">
      <w:rPr>
        <w:b/>
      </w:rPr>
      <w:fldChar w:fldCharType="end"/>
    </w:r>
    <w:r>
      <w:tab/>
    </w:r>
    <w:r>
      <w:fldChar w:fldCharType="begin"/>
    </w:r>
    <w:r>
      <w:instrText xml:space="preserve"> page </w:instrText>
    </w:r>
    <w:r>
      <w:fldChar w:fldCharType="separate"/>
    </w:r>
    <w:r w:rsidR="00C43B01">
      <w:rPr>
        <w:noProof/>
      </w:rPr>
      <w:t>2</w:t>
    </w:r>
    <w:r>
      <w:fldChar w:fldCharType="end"/>
    </w:r>
    <w:r>
      <w:tab/>
    </w:r>
    <w:r w:rsidRPr="00705552">
      <w:rPr>
        <w:b/>
      </w:rPr>
      <w:t>COPYRIGHT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571A" w:rsidRDefault="0041571A">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571A" w:rsidRPr="00705552" w:rsidRDefault="0041571A" w:rsidP="00F25671">
    <w:pPr>
      <w:pStyle w:val="Footer"/>
      <w:rPr>
        <w:b/>
      </w:rPr>
    </w:pPr>
    <w:r w:rsidRPr="00705552">
      <w:rPr>
        <w:b/>
      </w:rPr>
      <w:fldChar w:fldCharType="begin" w:fldLock="1"/>
    </w:r>
    <w:r w:rsidRPr="00705552">
      <w:rPr>
        <w:b/>
      </w:rPr>
      <w:instrText xml:space="preserve"> REF DocTypeAbb\* charformat</w:instrText>
    </w:r>
    <w:r>
      <w:rPr>
        <w:b/>
      </w:rPr>
      <w:instrText xml:space="preserve"> </w:instrText>
    </w:r>
    <w:r w:rsidRPr="00705552">
      <w:rPr>
        <w:b/>
      </w:rPr>
      <w:fldChar w:fldCharType="separate"/>
    </w:r>
    <w:r w:rsidRPr="00725E14">
      <w:rPr>
        <w:b/>
      </w:rPr>
      <w:t>AASB</w:t>
    </w:r>
    <w:r w:rsidRPr="00705552">
      <w:rPr>
        <w:b/>
      </w:rPr>
      <w:fldChar w:fldCharType="end"/>
    </w:r>
    <w:r w:rsidRPr="00705552">
      <w:rPr>
        <w:b/>
      </w:rPr>
      <w:t xml:space="preserve"> </w:t>
    </w:r>
    <w:r w:rsidRPr="00705552">
      <w:rPr>
        <w:b/>
      </w:rPr>
      <w:fldChar w:fldCharType="begin" w:fldLock="1"/>
    </w:r>
    <w:r w:rsidRPr="00705552">
      <w:rPr>
        <w:b/>
      </w:rPr>
      <w:instrText xml:space="preserve"> REF DocNo \* charformat</w:instrText>
    </w:r>
    <w:r w:rsidRPr="00705552">
      <w:rPr>
        <w:b/>
      </w:rPr>
      <w:fldChar w:fldCharType="separate"/>
    </w:r>
    <w:r w:rsidRPr="00725E14">
      <w:rPr>
        <w:b/>
      </w:rPr>
      <w:t>133</w:t>
    </w:r>
    <w:r w:rsidRPr="00705552">
      <w:rPr>
        <w:b/>
      </w:rPr>
      <w:fldChar w:fldCharType="end"/>
    </w:r>
    <w:r>
      <w:tab/>
    </w:r>
    <w:r>
      <w:fldChar w:fldCharType="begin"/>
    </w:r>
    <w:r>
      <w:instrText xml:space="preserve"> page </w:instrText>
    </w:r>
    <w:r>
      <w:fldChar w:fldCharType="separate"/>
    </w:r>
    <w:r w:rsidR="00C43B01">
      <w:rPr>
        <w:noProof/>
      </w:rPr>
      <w:t>3</w:t>
    </w:r>
    <w:r>
      <w:fldChar w:fldCharType="end"/>
    </w:r>
    <w:r>
      <w:tab/>
    </w:r>
    <w:r>
      <w:rPr>
        <w:b/>
      </w:rPr>
      <w:t>CONTENTS</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571A" w:rsidRDefault="0041571A">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571A" w:rsidRDefault="0041571A" w:rsidP="00F25671">
    <w:pPr>
      <w:pStyle w:val="Footer"/>
    </w:pPr>
    <w:r w:rsidRPr="00705552">
      <w:rPr>
        <w:b/>
      </w:rPr>
      <w:fldChar w:fldCharType="begin" w:fldLock="1"/>
    </w:r>
    <w:r w:rsidRPr="00705552">
      <w:rPr>
        <w:b/>
      </w:rPr>
      <w:instrText xml:space="preserve"> REF DocTypeAbb\* charformat</w:instrText>
    </w:r>
    <w:r>
      <w:rPr>
        <w:b/>
      </w:rPr>
      <w:instrText xml:space="preserve"> </w:instrText>
    </w:r>
    <w:r w:rsidRPr="00705552">
      <w:rPr>
        <w:b/>
      </w:rPr>
      <w:fldChar w:fldCharType="separate"/>
    </w:r>
    <w:r w:rsidRPr="00725E14">
      <w:rPr>
        <w:b/>
      </w:rPr>
      <w:t>AASB</w:t>
    </w:r>
    <w:r w:rsidRPr="00705552">
      <w:rPr>
        <w:b/>
      </w:rPr>
      <w:fldChar w:fldCharType="end"/>
    </w:r>
    <w:r w:rsidRPr="00705552">
      <w:rPr>
        <w:b/>
      </w:rPr>
      <w:t xml:space="preserve"> </w:t>
    </w:r>
    <w:r w:rsidRPr="00705552">
      <w:rPr>
        <w:b/>
      </w:rPr>
      <w:fldChar w:fldCharType="begin" w:fldLock="1"/>
    </w:r>
    <w:r w:rsidRPr="00705552">
      <w:rPr>
        <w:b/>
      </w:rPr>
      <w:instrText xml:space="preserve"> REF DocNo \* charformat</w:instrText>
    </w:r>
    <w:r w:rsidRPr="00705552">
      <w:rPr>
        <w:b/>
      </w:rPr>
      <w:fldChar w:fldCharType="separate"/>
    </w:r>
    <w:r w:rsidRPr="00725E14">
      <w:rPr>
        <w:b/>
      </w:rPr>
      <w:t>133</w:t>
    </w:r>
    <w:r w:rsidRPr="00705552">
      <w:rPr>
        <w:b/>
      </w:rPr>
      <w:fldChar w:fldCharType="end"/>
    </w:r>
    <w:r>
      <w:tab/>
    </w:r>
    <w:r>
      <w:fldChar w:fldCharType="begin"/>
    </w:r>
    <w:r>
      <w:instrText xml:space="preserve"> page </w:instrText>
    </w:r>
    <w:r>
      <w:fldChar w:fldCharType="separate"/>
    </w:r>
    <w:r w:rsidR="00C43B01">
      <w:rPr>
        <w:noProof/>
      </w:rPr>
      <w:t>4</w:t>
    </w:r>
    <w:r>
      <w:fldChar w:fldCharType="end"/>
    </w:r>
    <w:r>
      <w:tab/>
    </w:r>
    <w:r>
      <w:rPr>
        <w:b/>
      </w:rPr>
      <w:t>COMPARISON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28F5" w:rsidRDefault="00B228F5">
      <w:r>
        <w:separator/>
      </w:r>
    </w:p>
  </w:footnote>
  <w:footnote w:type="continuationSeparator" w:id="0">
    <w:p w:rsidR="00B228F5" w:rsidRDefault="00B228F5">
      <w:r>
        <w:continuationSeparator/>
      </w:r>
    </w:p>
  </w:footnote>
  <w:footnote w:id="1">
    <w:p w:rsidR="0041571A" w:rsidRDefault="0041571A" w:rsidP="00F609F6">
      <w:pPr>
        <w:shd w:val="clear" w:color="auto" w:fill="D9D9D9" w:themeFill="background1" w:themeFillShade="D9"/>
        <w:ind w:left="284" w:hanging="284"/>
        <w:jc w:val="both"/>
        <w:rPr>
          <w:rStyle w:val="FootnoteReference"/>
          <w:sz w:val="16"/>
          <w:szCs w:val="20"/>
          <w:vertAlign w:val="baseline"/>
          <w:lang w:val="en-US"/>
        </w:rPr>
      </w:pPr>
      <w:r w:rsidRPr="006D1065">
        <w:rPr>
          <w:rStyle w:val="FootnoteReference"/>
          <w:sz w:val="16"/>
          <w:szCs w:val="16"/>
          <w:vertAlign w:val="baseline"/>
        </w:rPr>
        <w:footnoteRef/>
      </w:r>
      <w:r w:rsidRPr="006D1065">
        <w:rPr>
          <w:sz w:val="16"/>
          <w:szCs w:val="16"/>
        </w:rPr>
        <w:tab/>
      </w:r>
      <w:r>
        <w:rPr>
          <w:rStyle w:val="FootnoteReference"/>
          <w:sz w:val="16"/>
          <w:szCs w:val="20"/>
          <w:vertAlign w:val="baseline"/>
        </w:rPr>
        <w:t>In this guidance, monetary amounts are denominated in ‘currency units (CU)’.</w:t>
      </w:r>
    </w:p>
  </w:footnote>
  <w:footnote w:id="2">
    <w:p w:rsidR="0041571A" w:rsidRDefault="0041571A" w:rsidP="00111B04">
      <w:pPr>
        <w:ind w:left="284" w:hanging="284"/>
        <w:jc w:val="both"/>
      </w:pPr>
      <w:r w:rsidRPr="00940C60">
        <w:rPr>
          <w:rStyle w:val="FootnoteReference"/>
          <w:sz w:val="16"/>
          <w:szCs w:val="16"/>
          <w:vertAlign w:val="baseline"/>
        </w:rPr>
        <w:footnoteRef/>
      </w:r>
      <w:r>
        <w:rPr>
          <w:rStyle w:val="FootnoteReference"/>
          <w:sz w:val="16"/>
          <w:szCs w:val="20"/>
          <w:vertAlign w:val="baseline"/>
        </w:rPr>
        <w:tab/>
        <w:t>This example does not illustrate the classification of the components of convertible financial instruments as liabilities and equity or the classification of related interest and dividends as expenses and equity as required by AASB 132.</w:t>
      </w:r>
    </w:p>
  </w:footnote>
  <w:footnote w:id="3">
    <w:p w:rsidR="0041571A" w:rsidRDefault="0041571A" w:rsidP="00F609F6">
      <w:pPr>
        <w:ind w:left="284" w:hanging="284"/>
        <w:jc w:val="both"/>
      </w:pPr>
      <w:r w:rsidRPr="00940C60">
        <w:rPr>
          <w:rStyle w:val="FootnoteReference"/>
          <w:sz w:val="16"/>
          <w:szCs w:val="16"/>
          <w:vertAlign w:val="baseline"/>
        </w:rPr>
        <w:footnoteRef/>
      </w:r>
      <w:r>
        <w:rPr>
          <w:rStyle w:val="FootnoteReference"/>
          <w:sz w:val="16"/>
          <w:szCs w:val="20"/>
          <w:vertAlign w:val="baseline"/>
        </w:rPr>
        <w:tab/>
        <w:t>This example does not illustrate the classification of the components of convertible financial instruments as liabilities and equity or the classification of related interest and dividends as expenses and equity as required by AASB 132.</w:t>
      </w:r>
    </w:p>
  </w:footnote>
  <w:footnote w:id="4">
    <w:p w:rsidR="0041571A" w:rsidRDefault="0041571A" w:rsidP="00111B04">
      <w:pPr>
        <w:ind w:left="284" w:hanging="284"/>
        <w:jc w:val="both"/>
      </w:pPr>
      <w:r w:rsidRPr="005746B4">
        <w:rPr>
          <w:rStyle w:val="FootnoteReference"/>
          <w:sz w:val="16"/>
          <w:szCs w:val="16"/>
          <w:vertAlign w:val="baseline"/>
        </w:rPr>
        <w:footnoteRef/>
      </w:r>
      <w:r w:rsidRPr="005746B4">
        <w:rPr>
          <w:rStyle w:val="FootnoteReference"/>
          <w:sz w:val="16"/>
          <w:szCs w:val="16"/>
          <w:vertAlign w:val="baseline"/>
        </w:rPr>
        <w:tab/>
      </w:r>
      <w:r>
        <w:rPr>
          <w:rStyle w:val="FootnoteReference"/>
          <w:sz w:val="16"/>
          <w:szCs w:val="20"/>
          <w:vertAlign w:val="baseline"/>
        </w:rPr>
        <w:t>This example does not illustrate the classification of the components of convertible financial instruments as liabilities and equity or the classification of related interest and dividends as expenses and equity as required by AASB 132.</w:t>
      </w:r>
    </w:p>
  </w:footnote>
  <w:footnote w:id="5">
    <w:p w:rsidR="0041571A" w:rsidRDefault="0041571A" w:rsidP="00111B04">
      <w:pPr>
        <w:ind w:left="284" w:hanging="284"/>
        <w:jc w:val="both"/>
      </w:pPr>
      <w:r w:rsidRPr="005746B4">
        <w:rPr>
          <w:rStyle w:val="FootnoteReference"/>
          <w:sz w:val="16"/>
          <w:szCs w:val="16"/>
          <w:vertAlign w:val="baseline"/>
        </w:rPr>
        <w:footnoteRef/>
      </w:r>
      <w:r w:rsidRPr="005746B4">
        <w:rPr>
          <w:rStyle w:val="FootnoteReference"/>
          <w:sz w:val="16"/>
          <w:szCs w:val="16"/>
          <w:vertAlign w:val="baseline"/>
        </w:rPr>
        <w:tab/>
      </w:r>
      <w:r>
        <w:rPr>
          <w:rStyle w:val="FootnoteReference"/>
          <w:sz w:val="16"/>
          <w:szCs w:val="20"/>
          <w:vertAlign w:val="baseline"/>
        </w:rPr>
        <w:t>This example does not illustrate the classification of the components of convertible financial instruments as liabilities and equity or the classification of related interest and dividends as expenses and equity as required by AASB 132.</w:t>
      </w:r>
    </w:p>
  </w:footnote>
  <w:footnote w:id="6">
    <w:p w:rsidR="0041571A" w:rsidRDefault="0041571A" w:rsidP="00111B04">
      <w:pPr>
        <w:ind w:left="284" w:hanging="284"/>
        <w:jc w:val="both"/>
      </w:pPr>
      <w:r w:rsidRPr="005746B4">
        <w:rPr>
          <w:rStyle w:val="FootnoteReference"/>
          <w:sz w:val="16"/>
          <w:szCs w:val="16"/>
          <w:vertAlign w:val="baseline"/>
        </w:rPr>
        <w:footnoteRef/>
      </w:r>
      <w:r w:rsidRPr="005746B4">
        <w:rPr>
          <w:rStyle w:val="FootnoteReference"/>
          <w:sz w:val="16"/>
          <w:szCs w:val="16"/>
          <w:vertAlign w:val="baseline"/>
        </w:rPr>
        <w:tab/>
      </w:r>
      <w:r>
        <w:rPr>
          <w:rStyle w:val="FootnoteReference"/>
          <w:sz w:val="16"/>
          <w:szCs w:val="20"/>
          <w:vertAlign w:val="baseline"/>
        </w:rPr>
        <w:t>This example does not illustrate the classification of the components of convertible financial instruments as liabilities and equity or the classification of related interest and dividends as expenses and equity as required by AASB 132.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6F6" w:rsidRDefault="000D46F6">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571A" w:rsidRPr="00725E14" w:rsidRDefault="0041571A" w:rsidP="00725E14">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571A" w:rsidRPr="00725E14" w:rsidRDefault="0041571A" w:rsidP="00725E14">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571A" w:rsidRPr="00725E14" w:rsidRDefault="0041571A" w:rsidP="00725E14">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571A" w:rsidRPr="00725E14" w:rsidRDefault="0041571A" w:rsidP="00725E14">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571A" w:rsidRPr="00725E14" w:rsidRDefault="0041571A" w:rsidP="00725E14">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571A" w:rsidRPr="00725E14" w:rsidRDefault="0041571A" w:rsidP="00725E1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6F6" w:rsidRDefault="008141ED">
    <w:pPr>
      <w:pStyle w:val="Header"/>
    </w:pPr>
    <w:r>
      <w:rPr>
        <w:noProof/>
        <w:lang w:eastAsia="en-AU"/>
      </w:rPr>
      <w:drawing>
        <wp:anchor distT="0" distB="0" distL="114300" distR="114300" simplePos="0" relativeHeight="251659264" behindDoc="1" locked="0" layoutInCell="1" allowOverlap="1">
          <wp:simplePos x="0" y="0"/>
          <wp:positionH relativeFrom="page">
            <wp:posOffset>1008380</wp:posOffset>
          </wp:positionH>
          <wp:positionV relativeFrom="page">
            <wp:posOffset>3577590</wp:posOffset>
          </wp:positionV>
          <wp:extent cx="4949825" cy="4342765"/>
          <wp:effectExtent l="0" t="0" r="3175" b="635"/>
          <wp:wrapNone/>
          <wp:docPr id="1" name="CoverImageStandard" descr="Outline map of the world, with Australia highlighted" title="Image for cover page of printed pronounc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ImageStandard" descr="AASB_Cover_Front_Standar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949825" cy="4342765"/>
                  </a:xfrm>
                  <a:prstGeom prst="rect">
                    <a:avLst/>
                  </a:prstGeom>
                  <a:noFill/>
                </pic:spPr>
              </pic:pic>
            </a:graphicData>
          </a:graphic>
          <wp14:sizeRelH relativeFrom="page">
            <wp14:pctWidth>0</wp14:pctWidth>
          </wp14:sizeRelH>
          <wp14:sizeRelV relativeFrom="page">
            <wp14:pctHeight>0</wp14:pctHeight>
          </wp14:sizeRelV>
        </wp:anchor>
      </w:drawing>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6F6" w:rsidRDefault="000D46F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571A" w:rsidRDefault="0041571A">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6F6" w:rsidRDefault="000D46F6">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571A" w:rsidRDefault="0041571A">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571A" w:rsidRDefault="0041571A">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571A" w:rsidRPr="00725E14" w:rsidRDefault="0041571A" w:rsidP="00725E14">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571A" w:rsidRPr="00725E14" w:rsidRDefault="0041571A" w:rsidP="00725E1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EE34FE"/>
    <w:multiLevelType w:val="hybridMultilevel"/>
    <w:tmpl w:val="629C7178"/>
    <w:lvl w:ilvl="0" w:tplc="D9EEFAC8">
      <w:start w:val="1"/>
      <w:numFmt w:val="lowerLetter"/>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doNotTrackFormatting/>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45E"/>
    <w:rsid w:val="000B4EC8"/>
    <w:rsid w:val="000C64F7"/>
    <w:rsid w:val="000D21B8"/>
    <w:rsid w:val="000D46F6"/>
    <w:rsid w:val="00103EF3"/>
    <w:rsid w:val="00110D1B"/>
    <w:rsid w:val="00111B04"/>
    <w:rsid w:val="00130335"/>
    <w:rsid w:val="001402D5"/>
    <w:rsid w:val="00153689"/>
    <w:rsid w:val="00202A9E"/>
    <w:rsid w:val="002202BC"/>
    <w:rsid w:val="0024084A"/>
    <w:rsid w:val="00243C5C"/>
    <w:rsid w:val="00250F5B"/>
    <w:rsid w:val="002B2EFA"/>
    <w:rsid w:val="002B3629"/>
    <w:rsid w:val="003A31FE"/>
    <w:rsid w:val="003B3D68"/>
    <w:rsid w:val="003F2029"/>
    <w:rsid w:val="004067D6"/>
    <w:rsid w:val="0041571A"/>
    <w:rsid w:val="00421A25"/>
    <w:rsid w:val="004B27A8"/>
    <w:rsid w:val="005523CE"/>
    <w:rsid w:val="005570E1"/>
    <w:rsid w:val="00573B89"/>
    <w:rsid w:val="00593374"/>
    <w:rsid w:val="005A0A16"/>
    <w:rsid w:val="005F7281"/>
    <w:rsid w:val="00614A92"/>
    <w:rsid w:val="0062687A"/>
    <w:rsid w:val="00640786"/>
    <w:rsid w:val="0065318E"/>
    <w:rsid w:val="006A7860"/>
    <w:rsid w:val="006A78AF"/>
    <w:rsid w:val="006B6DA4"/>
    <w:rsid w:val="006C0536"/>
    <w:rsid w:val="006D1065"/>
    <w:rsid w:val="00710DE0"/>
    <w:rsid w:val="00725E14"/>
    <w:rsid w:val="00734CFA"/>
    <w:rsid w:val="00736422"/>
    <w:rsid w:val="00745D53"/>
    <w:rsid w:val="007650FE"/>
    <w:rsid w:val="008141ED"/>
    <w:rsid w:val="008A3A07"/>
    <w:rsid w:val="0097447E"/>
    <w:rsid w:val="009E792A"/>
    <w:rsid w:val="00A858D8"/>
    <w:rsid w:val="00AD0C6A"/>
    <w:rsid w:val="00AD4BF8"/>
    <w:rsid w:val="00B027BC"/>
    <w:rsid w:val="00B228F5"/>
    <w:rsid w:val="00B82227"/>
    <w:rsid w:val="00BB7E91"/>
    <w:rsid w:val="00C43B01"/>
    <w:rsid w:val="00C9445E"/>
    <w:rsid w:val="00CB23C3"/>
    <w:rsid w:val="00CD5637"/>
    <w:rsid w:val="00CF13DB"/>
    <w:rsid w:val="00D37CC9"/>
    <w:rsid w:val="00D44963"/>
    <w:rsid w:val="00D724FA"/>
    <w:rsid w:val="00D94D08"/>
    <w:rsid w:val="00DB3584"/>
    <w:rsid w:val="00E310D3"/>
    <w:rsid w:val="00E350A1"/>
    <w:rsid w:val="00E95A61"/>
    <w:rsid w:val="00EA2936"/>
    <w:rsid w:val="00ED080F"/>
    <w:rsid w:val="00F01AFF"/>
    <w:rsid w:val="00F25671"/>
    <w:rsid w:val="00F609F6"/>
    <w:rsid w:val="00F63158"/>
    <w:rsid w:val="00FA4D8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9"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
    <w:qFormat/>
    <w:rsid w:val="00E95A61"/>
    <w:rPr>
      <w:sz w:val="19"/>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ASBNormal">
    <w:name w:val="IASB Normal"/>
    <w:uiPriority w:val="8"/>
    <w:rsid w:val="00E95A61"/>
    <w:pPr>
      <w:tabs>
        <w:tab w:val="left" w:pos="4253"/>
      </w:tabs>
      <w:spacing w:before="100" w:after="100"/>
      <w:jc w:val="both"/>
    </w:pPr>
    <w:rPr>
      <w:sz w:val="19"/>
      <w:lang w:eastAsia="en-US"/>
    </w:rPr>
  </w:style>
  <w:style w:type="paragraph" w:customStyle="1" w:styleId="IASBNormalnpara">
    <w:name w:val="IASB Normal npara"/>
    <w:basedOn w:val="IASBNormal"/>
    <w:uiPriority w:val="8"/>
    <w:rsid w:val="00E95A61"/>
    <w:pPr>
      <w:tabs>
        <w:tab w:val="clear" w:pos="4253"/>
      </w:tabs>
      <w:spacing w:after="0"/>
      <w:ind w:left="782" w:hanging="782"/>
    </w:pPr>
  </w:style>
  <w:style w:type="paragraph" w:customStyle="1" w:styleId="IASBSectionTitle1Ind">
    <w:name w:val="IASB Section Title 1 Ind"/>
    <w:basedOn w:val="Normal"/>
    <w:uiPriority w:val="8"/>
    <w:rsid w:val="00E95A61"/>
    <w:pPr>
      <w:keepNext/>
      <w:keepLines/>
      <w:pBdr>
        <w:bottom w:val="single" w:sz="4" w:space="0" w:color="auto"/>
      </w:pBdr>
      <w:spacing w:before="400" w:after="200"/>
      <w:ind w:left="782"/>
      <w:outlineLvl w:val="0"/>
    </w:pPr>
    <w:rPr>
      <w:rFonts w:ascii="Arial" w:hAnsi="Arial" w:cs="Arial"/>
      <w:b/>
      <w:sz w:val="26"/>
      <w:szCs w:val="20"/>
    </w:rPr>
  </w:style>
  <w:style w:type="paragraph" w:customStyle="1" w:styleId="IASBSectionTitle1NonInd">
    <w:name w:val="IASB Section Title 1 NonInd"/>
    <w:basedOn w:val="Normal"/>
    <w:uiPriority w:val="8"/>
    <w:rsid w:val="00E95A61"/>
    <w:pPr>
      <w:keepNext/>
      <w:keepLines/>
      <w:pBdr>
        <w:bottom w:val="single" w:sz="4" w:space="0" w:color="auto"/>
      </w:pBdr>
      <w:spacing w:before="400" w:after="200"/>
      <w:outlineLvl w:val="0"/>
    </w:pPr>
    <w:rPr>
      <w:rFonts w:ascii="Arial" w:hAnsi="Arial" w:cs="Arial"/>
      <w:b/>
      <w:sz w:val="26"/>
      <w:szCs w:val="20"/>
    </w:rPr>
  </w:style>
  <w:style w:type="paragraph" w:customStyle="1" w:styleId="IASBSectionTitle2NonInd">
    <w:name w:val="IASB Section Title 2 NonInd"/>
    <w:basedOn w:val="Normal"/>
    <w:uiPriority w:val="8"/>
    <w:rsid w:val="00E95A61"/>
    <w:pPr>
      <w:keepNext/>
      <w:keepLines/>
      <w:spacing w:before="300" w:after="200"/>
      <w:outlineLvl w:val="1"/>
    </w:pPr>
    <w:rPr>
      <w:rFonts w:ascii="Arial" w:hAnsi="Arial" w:cs="Arial"/>
      <w:b/>
      <w:sz w:val="26"/>
      <w:szCs w:val="20"/>
    </w:rPr>
  </w:style>
  <w:style w:type="paragraph" w:customStyle="1" w:styleId="IASBSectionTitle2Ind">
    <w:name w:val="IASB Section Title 2 Ind"/>
    <w:basedOn w:val="IASBSectionTitle2NonInd"/>
    <w:uiPriority w:val="8"/>
    <w:rsid w:val="00E95A61"/>
    <w:pPr>
      <w:spacing w:before="240"/>
      <w:ind w:left="782"/>
    </w:pPr>
  </w:style>
  <w:style w:type="paragraph" w:customStyle="1" w:styleId="IASBSectionTitle3NonInd">
    <w:name w:val="IASB Section Title 3 NonInd"/>
    <w:basedOn w:val="Normal"/>
    <w:uiPriority w:val="8"/>
    <w:rsid w:val="00E95A61"/>
    <w:pPr>
      <w:keepNext/>
      <w:keepLines/>
      <w:spacing w:before="300" w:after="200"/>
      <w:outlineLvl w:val="2"/>
    </w:pPr>
    <w:rPr>
      <w:rFonts w:ascii="Arial" w:hAnsi="Arial" w:cs="Arial"/>
      <w:b/>
      <w:sz w:val="22"/>
      <w:szCs w:val="20"/>
    </w:rPr>
  </w:style>
  <w:style w:type="paragraph" w:customStyle="1" w:styleId="IASBSectionTitle3Ind">
    <w:name w:val="IASB Section Title 3 Ind"/>
    <w:basedOn w:val="IASBSectionTitle3NonInd"/>
    <w:uiPriority w:val="8"/>
    <w:rsid w:val="00E95A61"/>
    <w:pPr>
      <w:spacing w:before="240"/>
      <w:ind w:left="782"/>
    </w:pPr>
  </w:style>
  <w:style w:type="paragraph" w:customStyle="1" w:styleId="IASBSectionTitle4NonInd">
    <w:name w:val="IASB Section Title 4 NonInd"/>
    <w:basedOn w:val="Normal"/>
    <w:uiPriority w:val="8"/>
    <w:rsid w:val="00E95A61"/>
    <w:pPr>
      <w:keepNext/>
      <w:keepLines/>
      <w:spacing w:before="300" w:after="200"/>
      <w:outlineLvl w:val="3"/>
    </w:pPr>
    <w:rPr>
      <w:rFonts w:ascii="Arial" w:hAnsi="Arial" w:cs="Arial"/>
      <w:i/>
      <w:sz w:val="22"/>
      <w:szCs w:val="20"/>
    </w:rPr>
  </w:style>
  <w:style w:type="paragraph" w:customStyle="1" w:styleId="IASBSectionTitle4Ind">
    <w:name w:val="IASB Section Title 4 Ind"/>
    <w:basedOn w:val="IASBSectionTitle4NonInd"/>
    <w:uiPriority w:val="8"/>
    <w:rsid w:val="00E95A61"/>
    <w:pPr>
      <w:ind w:left="782"/>
    </w:pPr>
  </w:style>
  <w:style w:type="paragraph" w:customStyle="1" w:styleId="IASBSectionTitle5NonInd">
    <w:name w:val="IASB Section Title 5 NonInd"/>
    <w:basedOn w:val="Normal"/>
    <w:uiPriority w:val="8"/>
    <w:rsid w:val="00E95A61"/>
    <w:pPr>
      <w:keepNext/>
      <w:keepLines/>
      <w:spacing w:before="300" w:after="200"/>
      <w:outlineLvl w:val="4"/>
    </w:pPr>
    <w:rPr>
      <w:rFonts w:ascii="Arial" w:hAnsi="Arial" w:cs="Arial"/>
      <w:b/>
      <w:sz w:val="20"/>
      <w:szCs w:val="20"/>
    </w:rPr>
  </w:style>
  <w:style w:type="paragraph" w:customStyle="1" w:styleId="IASBSectionTitle5Ind">
    <w:name w:val="IASB Section Title 5 Ind"/>
    <w:basedOn w:val="IASBSectionTitle5NonInd"/>
    <w:uiPriority w:val="8"/>
    <w:rsid w:val="00E95A61"/>
    <w:pPr>
      <w:ind w:left="782"/>
    </w:pPr>
  </w:style>
  <w:style w:type="paragraph" w:customStyle="1" w:styleId="IASBSectionTitle6NonInd">
    <w:name w:val="IASB Section Title 6 NonInd"/>
    <w:basedOn w:val="IASBSectionTitle5NonInd"/>
    <w:uiPriority w:val="8"/>
    <w:rsid w:val="00E95A61"/>
    <w:pPr>
      <w:outlineLvl w:val="5"/>
    </w:pPr>
    <w:rPr>
      <w:b w:val="0"/>
      <w:i/>
    </w:rPr>
  </w:style>
  <w:style w:type="paragraph" w:customStyle="1" w:styleId="IASBSectionTitle6Ind">
    <w:name w:val="IASB Section Title 6 Ind"/>
    <w:basedOn w:val="IASBSectionTitle6NonInd"/>
    <w:uiPriority w:val="8"/>
    <w:rsid w:val="00E95A61"/>
    <w:pPr>
      <w:ind w:left="782"/>
    </w:pPr>
  </w:style>
  <w:style w:type="paragraph" w:customStyle="1" w:styleId="IASBTitle">
    <w:name w:val="IASB Title"/>
    <w:uiPriority w:val="8"/>
    <w:rsid w:val="00E95A61"/>
    <w:pPr>
      <w:keepNext/>
      <w:keepLines/>
      <w:spacing w:before="300" w:after="400"/>
    </w:pPr>
    <w:rPr>
      <w:rFonts w:cs="Arial"/>
      <w:sz w:val="36"/>
      <w:lang w:eastAsia="en-US"/>
    </w:rPr>
  </w:style>
  <w:style w:type="paragraph" w:customStyle="1" w:styleId="IASBNormalnparaL1">
    <w:name w:val="IASB Normal nparaL1"/>
    <w:basedOn w:val="IASBNormalnpara"/>
    <w:uiPriority w:val="8"/>
    <w:rsid w:val="00E95A61"/>
    <w:pPr>
      <w:ind w:left="1564"/>
    </w:pPr>
  </w:style>
  <w:style w:type="paragraph" w:customStyle="1" w:styleId="IASBNormalnparaP">
    <w:name w:val="IASB Normal nparaP"/>
    <w:basedOn w:val="IASBNormal"/>
    <w:uiPriority w:val="8"/>
    <w:rsid w:val="00E95A61"/>
    <w:pPr>
      <w:ind w:left="782"/>
    </w:pPr>
  </w:style>
  <w:style w:type="paragraph" w:customStyle="1" w:styleId="IASBIdentifier">
    <w:name w:val="IASB Identifier"/>
    <w:basedOn w:val="IASBTitle"/>
    <w:uiPriority w:val="8"/>
    <w:rsid w:val="00E95A61"/>
    <w:pPr>
      <w:spacing w:after="200"/>
    </w:pPr>
    <w:rPr>
      <w:rFonts w:ascii="Arial" w:hAnsi="Arial"/>
      <w:b/>
      <w:sz w:val="23"/>
    </w:rPr>
  </w:style>
  <w:style w:type="paragraph" w:customStyle="1" w:styleId="IASBTOCPrimary">
    <w:name w:val="IASB TOC Primary"/>
    <w:basedOn w:val="Normal"/>
    <w:uiPriority w:val="8"/>
    <w:rsid w:val="00E95A61"/>
    <w:pPr>
      <w:tabs>
        <w:tab w:val="right" w:pos="8647"/>
      </w:tabs>
      <w:spacing w:before="100" w:after="100"/>
    </w:pPr>
    <w:rPr>
      <w:rFonts w:ascii="Arial" w:hAnsi="Arial" w:cs="Arial"/>
      <w:b/>
      <w:caps/>
      <w:sz w:val="18"/>
      <w:szCs w:val="20"/>
    </w:rPr>
  </w:style>
  <w:style w:type="paragraph" w:customStyle="1" w:styleId="IASBTOCParagraph">
    <w:name w:val="IASB TOC Paragraph"/>
    <w:basedOn w:val="Normal"/>
    <w:uiPriority w:val="8"/>
    <w:rsid w:val="00E95A61"/>
    <w:pPr>
      <w:spacing w:before="30" w:after="30"/>
    </w:pPr>
    <w:rPr>
      <w:rFonts w:ascii="Arial" w:hAnsi="Arial" w:cs="Arial"/>
      <w:i/>
      <w:sz w:val="18"/>
      <w:szCs w:val="20"/>
    </w:rPr>
  </w:style>
  <w:style w:type="paragraph" w:customStyle="1" w:styleId="IASBTOCSecondary">
    <w:name w:val="IASB TOC Secondary"/>
    <w:basedOn w:val="Normal"/>
    <w:uiPriority w:val="8"/>
    <w:rsid w:val="00E95A61"/>
    <w:pPr>
      <w:tabs>
        <w:tab w:val="right" w:pos="8647"/>
      </w:tabs>
      <w:spacing w:before="30" w:after="30"/>
    </w:pPr>
    <w:rPr>
      <w:rFonts w:ascii="Arial" w:hAnsi="Arial" w:cs="Arial"/>
      <w:b/>
      <w:sz w:val="18"/>
      <w:szCs w:val="20"/>
    </w:rPr>
  </w:style>
  <w:style w:type="paragraph" w:customStyle="1" w:styleId="IASBTOCTertiary">
    <w:name w:val="IASB TOC Tertiary"/>
    <w:basedOn w:val="Normal"/>
    <w:uiPriority w:val="8"/>
    <w:rsid w:val="00E95A61"/>
    <w:pPr>
      <w:tabs>
        <w:tab w:val="right" w:pos="8647"/>
      </w:tabs>
      <w:spacing w:before="30" w:after="30"/>
      <w:ind w:left="390"/>
    </w:pPr>
    <w:rPr>
      <w:rFonts w:ascii="Arial" w:hAnsi="Arial" w:cs="Arial"/>
      <w:sz w:val="18"/>
      <w:szCs w:val="20"/>
    </w:rPr>
  </w:style>
  <w:style w:type="paragraph" w:customStyle="1" w:styleId="IASBTOCExternal">
    <w:name w:val="IASB TOC External"/>
    <w:basedOn w:val="Normal"/>
    <w:uiPriority w:val="8"/>
    <w:rsid w:val="00E95A61"/>
    <w:pPr>
      <w:pBdr>
        <w:top w:val="single" w:sz="4" w:space="1" w:color="auto"/>
        <w:left w:val="single" w:sz="4" w:space="4" w:color="auto"/>
        <w:bottom w:val="single" w:sz="4" w:space="1" w:color="auto"/>
        <w:right w:val="single" w:sz="4" w:space="4" w:color="auto"/>
      </w:pBdr>
      <w:spacing w:before="30" w:after="30"/>
    </w:pPr>
    <w:rPr>
      <w:rFonts w:ascii="Arial" w:hAnsi="Arial" w:cs="Arial"/>
      <w:b/>
      <w:sz w:val="18"/>
      <w:szCs w:val="20"/>
    </w:rPr>
  </w:style>
  <w:style w:type="paragraph" w:customStyle="1" w:styleId="IASBRubric">
    <w:name w:val="IASB Rubric"/>
    <w:basedOn w:val="IASBNormal"/>
    <w:uiPriority w:val="8"/>
    <w:rsid w:val="00E95A61"/>
    <w:pPr>
      <w:pBdr>
        <w:top w:val="single" w:sz="2" w:space="8" w:color="auto"/>
        <w:left w:val="single" w:sz="2" w:space="5" w:color="auto"/>
        <w:bottom w:val="single" w:sz="2" w:space="5" w:color="auto"/>
        <w:right w:val="single" w:sz="2" w:space="5" w:color="auto"/>
      </w:pBdr>
    </w:pPr>
  </w:style>
  <w:style w:type="paragraph" w:customStyle="1" w:styleId="IASBNote">
    <w:name w:val="IASB Note"/>
    <w:basedOn w:val="IASBNormal"/>
    <w:uiPriority w:val="8"/>
    <w:rsid w:val="00E95A61"/>
    <w:rPr>
      <w:i/>
    </w:rPr>
  </w:style>
  <w:style w:type="paragraph" w:customStyle="1" w:styleId="IASBBlockquote">
    <w:name w:val="IASB Blockquote"/>
    <w:basedOn w:val="IASBNormal"/>
    <w:uiPriority w:val="8"/>
    <w:rsid w:val="00E95A61"/>
    <w:pPr>
      <w:ind w:left="1565"/>
    </w:pPr>
    <w:rPr>
      <w:sz w:val="16"/>
    </w:rPr>
  </w:style>
  <w:style w:type="character" w:customStyle="1" w:styleId="IASBEduinsert">
    <w:name w:val="IASB Edu insert"/>
    <w:uiPriority w:val="8"/>
    <w:qFormat/>
    <w:rsid w:val="00E95A61"/>
  </w:style>
  <w:style w:type="character" w:styleId="FootnoteReference">
    <w:name w:val="footnote reference"/>
    <w:uiPriority w:val="99"/>
    <w:semiHidden/>
    <w:unhideWhenUsed/>
    <w:rsid w:val="00E95A61"/>
    <w:rPr>
      <w:vertAlign w:val="superscript"/>
    </w:rPr>
  </w:style>
  <w:style w:type="paragraph" w:styleId="FootnoteText">
    <w:name w:val="footnote text"/>
    <w:basedOn w:val="IASBSectionTitle2Ind"/>
    <w:next w:val="IASBBlockquote"/>
    <w:link w:val="FootnoteTextChar"/>
    <w:uiPriority w:val="99"/>
    <w:semiHidden/>
    <w:rsid w:val="00E95A61"/>
    <w:pPr>
      <w:keepNext w:val="0"/>
      <w:keepLines w:val="0"/>
      <w:shd w:val="clear" w:color="auto" w:fill="99CCFF"/>
      <w:spacing w:before="0" w:after="0"/>
      <w:ind w:left="0"/>
    </w:pPr>
    <w:rPr>
      <w:rFonts w:ascii="Times New Roman" w:hAnsi="Times New Roman" w:cs="Times New Roman"/>
      <w:b w:val="0"/>
      <w:sz w:val="16"/>
    </w:rPr>
  </w:style>
  <w:style w:type="character" w:customStyle="1" w:styleId="FootnoteTextChar">
    <w:name w:val="Footnote Text Char"/>
    <w:link w:val="FootnoteText"/>
    <w:uiPriority w:val="99"/>
    <w:semiHidden/>
    <w:rsid w:val="00E95A61"/>
    <w:rPr>
      <w:sz w:val="16"/>
      <w:shd w:val="clear" w:color="auto" w:fill="99CCFF"/>
      <w:lang w:eastAsia="en-US"/>
    </w:rPr>
  </w:style>
  <w:style w:type="paragraph" w:customStyle="1" w:styleId="IASBNormalL1">
    <w:name w:val="IASB Normal L1"/>
    <w:basedOn w:val="IASBNormalnpara"/>
    <w:uiPriority w:val="8"/>
    <w:rsid w:val="00E95A61"/>
  </w:style>
  <w:style w:type="paragraph" w:styleId="Header">
    <w:name w:val="header"/>
    <w:basedOn w:val="Normal"/>
    <w:link w:val="HeaderChar"/>
    <w:uiPriority w:val="99"/>
    <w:rsid w:val="00E95A61"/>
    <w:pPr>
      <w:tabs>
        <w:tab w:val="center" w:pos="4536"/>
        <w:tab w:val="right" w:pos="9072"/>
      </w:tabs>
    </w:pPr>
    <w:rPr>
      <w:sz w:val="20"/>
    </w:rPr>
  </w:style>
  <w:style w:type="character" w:customStyle="1" w:styleId="HeaderChar">
    <w:name w:val="Header Char"/>
    <w:link w:val="Header"/>
    <w:uiPriority w:val="99"/>
    <w:rsid w:val="00E95A61"/>
    <w:rPr>
      <w:szCs w:val="24"/>
      <w:lang w:eastAsia="en-US"/>
    </w:rPr>
  </w:style>
  <w:style w:type="paragraph" w:styleId="Footer">
    <w:name w:val="footer"/>
    <w:basedOn w:val="Normal"/>
    <w:link w:val="FooterChar"/>
    <w:uiPriority w:val="99"/>
    <w:rsid w:val="00E95A61"/>
    <w:pPr>
      <w:tabs>
        <w:tab w:val="center" w:pos="4536"/>
        <w:tab w:val="right" w:pos="9072"/>
      </w:tabs>
    </w:pPr>
  </w:style>
  <w:style w:type="character" w:customStyle="1" w:styleId="FooterChar">
    <w:name w:val="Footer Char"/>
    <w:link w:val="Footer"/>
    <w:uiPriority w:val="99"/>
    <w:rsid w:val="00E95A61"/>
    <w:rPr>
      <w:sz w:val="19"/>
      <w:szCs w:val="24"/>
      <w:lang w:eastAsia="en-US"/>
    </w:rPr>
  </w:style>
  <w:style w:type="paragraph" w:customStyle="1" w:styleId="IASBRubricL1">
    <w:name w:val="IASB RubricL1"/>
    <w:basedOn w:val="IASBRubric"/>
    <w:uiPriority w:val="8"/>
    <w:rsid w:val="00E95A61"/>
    <w:pPr>
      <w:ind w:left="782" w:hanging="782"/>
      <w:jc w:val="left"/>
    </w:pPr>
    <w:rPr>
      <w:lang w:eastAsia="en-GB"/>
    </w:rPr>
  </w:style>
  <w:style w:type="paragraph" w:customStyle="1" w:styleId="IASBRubricL2">
    <w:name w:val="IASB RubricL2"/>
    <w:basedOn w:val="IASBRubricL1"/>
    <w:uiPriority w:val="8"/>
    <w:rsid w:val="00E95A61"/>
    <w:pPr>
      <w:tabs>
        <w:tab w:val="left" w:pos="782"/>
      </w:tabs>
      <w:ind w:left="1565" w:hanging="1565"/>
    </w:pPr>
  </w:style>
  <w:style w:type="paragraph" w:customStyle="1" w:styleId="IASBRubricL3">
    <w:name w:val="IASB RubricL3"/>
    <w:basedOn w:val="IASBRubricL2"/>
    <w:uiPriority w:val="8"/>
    <w:rsid w:val="00E95A61"/>
    <w:pPr>
      <w:tabs>
        <w:tab w:val="clear" w:pos="782"/>
        <w:tab w:val="left" w:pos="1565"/>
      </w:tabs>
      <w:ind w:left="2347" w:hanging="2347"/>
    </w:pPr>
  </w:style>
  <w:style w:type="paragraph" w:customStyle="1" w:styleId="IASBNormalnparaL2">
    <w:name w:val="IASB Normal nparaL2"/>
    <w:basedOn w:val="IASBNormalnparaL1"/>
    <w:uiPriority w:val="8"/>
    <w:rsid w:val="00E95A61"/>
    <w:pPr>
      <w:ind w:left="2347"/>
    </w:pPr>
  </w:style>
  <w:style w:type="paragraph" w:customStyle="1" w:styleId="IASBNormalnparaL3">
    <w:name w:val="IASB Normal nparaL3"/>
    <w:basedOn w:val="IASBNormalnparaL2"/>
    <w:uiPriority w:val="8"/>
    <w:rsid w:val="00E95A61"/>
    <w:pPr>
      <w:ind w:left="3129"/>
    </w:pPr>
  </w:style>
  <w:style w:type="paragraph" w:customStyle="1" w:styleId="IASBNormalnparaL4">
    <w:name w:val="IASB Normal nparaL4"/>
    <w:basedOn w:val="IASBNormalnparaL3"/>
    <w:uiPriority w:val="8"/>
    <w:rsid w:val="00E95A61"/>
    <w:pPr>
      <w:ind w:left="3912"/>
    </w:pPr>
  </w:style>
  <w:style w:type="paragraph" w:customStyle="1" w:styleId="IASBNormalnparaL5">
    <w:name w:val="IASB Normal nparaL5"/>
    <w:basedOn w:val="IASBNormalnparaL4"/>
    <w:uiPriority w:val="8"/>
    <w:rsid w:val="00E95A61"/>
    <w:pPr>
      <w:ind w:left="4694"/>
    </w:pPr>
  </w:style>
  <w:style w:type="paragraph" w:customStyle="1" w:styleId="IASBNormalnparaL1P">
    <w:name w:val="IASB Normal nparaL1P"/>
    <w:basedOn w:val="IASBNormalnparaL2"/>
    <w:uiPriority w:val="8"/>
    <w:rsid w:val="00E95A61"/>
    <w:pPr>
      <w:ind w:left="1565" w:firstLine="0"/>
    </w:pPr>
  </w:style>
  <w:style w:type="paragraph" w:customStyle="1" w:styleId="IASBNormalnparaL2P">
    <w:name w:val="IASB Normal nparaL2P"/>
    <w:basedOn w:val="IASBNormalnparaL1P"/>
    <w:uiPriority w:val="8"/>
    <w:rsid w:val="00E95A61"/>
    <w:pPr>
      <w:ind w:left="2347"/>
    </w:pPr>
  </w:style>
  <w:style w:type="paragraph" w:customStyle="1" w:styleId="IASBNormalnparaL3P">
    <w:name w:val="IASB Normal nparaL3P"/>
    <w:basedOn w:val="IASBNormalnparaL2P"/>
    <w:uiPriority w:val="8"/>
    <w:rsid w:val="00E95A61"/>
    <w:pPr>
      <w:ind w:left="3130"/>
    </w:pPr>
  </w:style>
  <w:style w:type="paragraph" w:customStyle="1" w:styleId="IASBNormalnparaL4P">
    <w:name w:val="IASB Normal nparaL4P"/>
    <w:basedOn w:val="IASBNormalnparaL3P"/>
    <w:uiPriority w:val="8"/>
    <w:rsid w:val="00E95A61"/>
    <w:pPr>
      <w:ind w:left="3912"/>
    </w:pPr>
  </w:style>
  <w:style w:type="paragraph" w:customStyle="1" w:styleId="IASBNormalnparaL5P">
    <w:name w:val="IASB Normal nparaL5P"/>
    <w:basedOn w:val="IASBNormalnparaL4P"/>
    <w:uiPriority w:val="8"/>
    <w:rsid w:val="00E95A61"/>
    <w:pPr>
      <w:ind w:left="4751"/>
    </w:pPr>
  </w:style>
  <w:style w:type="paragraph" w:customStyle="1" w:styleId="IASBBlockquoteL1">
    <w:name w:val="IASB BlockquoteL1"/>
    <w:basedOn w:val="IASBBlockquote"/>
    <w:uiPriority w:val="8"/>
    <w:rsid w:val="00E95A61"/>
    <w:pPr>
      <w:ind w:left="2347" w:hanging="782"/>
    </w:pPr>
  </w:style>
  <w:style w:type="paragraph" w:customStyle="1" w:styleId="IASBBlockquoteL2">
    <w:name w:val="IASB BlockquoteL2"/>
    <w:basedOn w:val="IASBBlockquoteL1"/>
    <w:uiPriority w:val="8"/>
    <w:rsid w:val="00E95A61"/>
    <w:pPr>
      <w:ind w:left="3129"/>
    </w:pPr>
  </w:style>
  <w:style w:type="paragraph" w:customStyle="1" w:styleId="IASBNormalL2">
    <w:name w:val="IASB Normal L2"/>
    <w:basedOn w:val="IASBNormalL1"/>
    <w:uiPriority w:val="8"/>
    <w:rsid w:val="00E95A61"/>
    <w:pPr>
      <w:ind w:left="1564"/>
    </w:pPr>
  </w:style>
  <w:style w:type="paragraph" w:customStyle="1" w:styleId="IASBTOCQuartery">
    <w:name w:val="IASB TOC Quartery"/>
    <w:basedOn w:val="IASBTOCTertiary"/>
    <w:uiPriority w:val="8"/>
    <w:rsid w:val="00E95A61"/>
    <w:pPr>
      <w:ind w:left="851"/>
    </w:pPr>
  </w:style>
  <w:style w:type="paragraph" w:customStyle="1" w:styleId="IASBNoteTitle">
    <w:name w:val="IASB Note Title"/>
    <w:basedOn w:val="IASBTOCPrimary"/>
    <w:uiPriority w:val="8"/>
    <w:rsid w:val="00E95A61"/>
    <w:pPr>
      <w:jc w:val="center"/>
    </w:pPr>
    <w:rPr>
      <w:b w:val="0"/>
      <w:caps w:val="0"/>
      <w:sz w:val="24"/>
    </w:rPr>
  </w:style>
  <w:style w:type="paragraph" w:customStyle="1" w:styleId="IASBNormalL1P">
    <w:name w:val="IASB Normal L1P"/>
    <w:basedOn w:val="IASBNormalL1"/>
    <w:uiPriority w:val="8"/>
    <w:qFormat/>
    <w:rsid w:val="00E95A61"/>
    <w:pPr>
      <w:ind w:firstLine="0"/>
    </w:pPr>
  </w:style>
  <w:style w:type="paragraph" w:customStyle="1" w:styleId="IASBNormalL2P">
    <w:name w:val="IASB Normal L2P"/>
    <w:basedOn w:val="IASBNormalL1P"/>
    <w:uiPriority w:val="8"/>
    <w:qFormat/>
    <w:rsid w:val="00E95A61"/>
    <w:pPr>
      <w:ind w:left="1565"/>
    </w:pPr>
  </w:style>
  <w:style w:type="paragraph" w:customStyle="1" w:styleId="IASBNormalnparaC">
    <w:name w:val="IASB Normal nparaC"/>
    <w:basedOn w:val="IASBNormalnpara"/>
    <w:uiPriority w:val="8"/>
    <w:qFormat/>
    <w:rsid w:val="00E95A61"/>
    <w:pPr>
      <w:spacing w:before="0"/>
    </w:pPr>
  </w:style>
  <w:style w:type="paragraph" w:customStyle="1" w:styleId="IASBEdupara">
    <w:name w:val="IASB Edu para"/>
    <w:basedOn w:val="IASBNormal"/>
    <w:uiPriority w:val="8"/>
    <w:qFormat/>
    <w:rsid w:val="00E95A61"/>
  </w:style>
  <w:style w:type="paragraph" w:customStyle="1" w:styleId="IASBTableBoldTNR">
    <w:name w:val="IASB Table Bold TNR"/>
    <w:basedOn w:val="Normal"/>
    <w:uiPriority w:val="8"/>
    <w:qFormat/>
    <w:rsid w:val="00E95A61"/>
    <w:pPr>
      <w:spacing w:before="120"/>
    </w:pPr>
    <w:rPr>
      <w:b/>
      <w:szCs w:val="20"/>
      <w:lang w:eastAsia="en-GB"/>
    </w:rPr>
  </w:style>
  <w:style w:type="paragraph" w:customStyle="1" w:styleId="IASBTableHeaderTNR">
    <w:name w:val="IASB Table Header TNR"/>
    <w:basedOn w:val="Normal"/>
    <w:uiPriority w:val="8"/>
    <w:qFormat/>
    <w:rsid w:val="00E95A61"/>
    <w:pPr>
      <w:keepNext/>
      <w:spacing w:before="120" w:after="200" w:line="276" w:lineRule="auto"/>
    </w:pPr>
    <w:rPr>
      <w:szCs w:val="20"/>
      <w:lang w:eastAsia="en-GB"/>
    </w:rPr>
  </w:style>
  <w:style w:type="paragraph" w:customStyle="1" w:styleId="IASBTableTNR">
    <w:name w:val="IASB Table TNR"/>
    <w:basedOn w:val="Normal"/>
    <w:uiPriority w:val="8"/>
    <w:qFormat/>
    <w:rsid w:val="00E95A61"/>
    <w:pPr>
      <w:spacing w:before="120"/>
    </w:pPr>
    <w:rPr>
      <w:szCs w:val="20"/>
      <w:lang w:eastAsia="en-GB"/>
    </w:rPr>
  </w:style>
  <w:style w:type="paragraph" w:customStyle="1" w:styleId="IASBTableArial">
    <w:name w:val="IASB Table Arial"/>
    <w:basedOn w:val="Normal"/>
    <w:uiPriority w:val="8"/>
    <w:rsid w:val="00E95A61"/>
    <w:pPr>
      <w:spacing w:before="120"/>
    </w:pPr>
    <w:rPr>
      <w:rFonts w:ascii="Arial" w:hAnsi="Arial"/>
      <w:sz w:val="18"/>
      <w:szCs w:val="20"/>
      <w:lang w:eastAsia="en-GB"/>
    </w:rPr>
  </w:style>
  <w:style w:type="paragraph" w:customStyle="1" w:styleId="IASBTableBoldArial">
    <w:name w:val="IASB Table Bold Arial"/>
    <w:basedOn w:val="IASBTableArial"/>
    <w:uiPriority w:val="8"/>
    <w:qFormat/>
    <w:rsid w:val="00E95A61"/>
    <w:rPr>
      <w:b/>
    </w:rPr>
  </w:style>
  <w:style w:type="paragraph" w:customStyle="1" w:styleId="IASBTableHeaderArial">
    <w:name w:val="IASB Table Header Arial"/>
    <w:basedOn w:val="IASBTableArial"/>
    <w:uiPriority w:val="8"/>
    <w:qFormat/>
    <w:rsid w:val="00E95A61"/>
    <w:pPr>
      <w:keepNext/>
      <w:spacing w:after="200" w:line="276" w:lineRule="auto"/>
    </w:pPr>
  </w:style>
  <w:style w:type="character" w:styleId="EndnoteReference">
    <w:name w:val="endnote reference"/>
    <w:uiPriority w:val="99"/>
    <w:semiHidden/>
    <w:unhideWhenUsed/>
    <w:rsid w:val="00E95A61"/>
    <w:rPr>
      <w:vertAlign w:val="superscript"/>
    </w:rPr>
  </w:style>
  <w:style w:type="paragraph" w:customStyle="1" w:styleId="ConvSectionTitle">
    <w:name w:val="Conv Section Title"/>
    <w:basedOn w:val="IASBSectionTitle1NonInd"/>
    <w:uiPriority w:val="9"/>
    <w:qFormat/>
    <w:rsid w:val="00E95A61"/>
    <w:pPr>
      <w:pBdr>
        <w:bottom w:val="none" w:sz="0" w:space="0" w:color="auto"/>
      </w:pBdr>
    </w:pPr>
  </w:style>
  <w:style w:type="paragraph" w:customStyle="1" w:styleId="ConvStandardTitle1">
    <w:name w:val="Conv Standard Title 1"/>
    <w:basedOn w:val="Normal"/>
    <w:next w:val="ConvStandardTitle2"/>
    <w:uiPriority w:val="9"/>
    <w:qFormat/>
    <w:rsid w:val="00E95A61"/>
    <w:pPr>
      <w:spacing w:before="300"/>
    </w:pPr>
    <w:rPr>
      <w:rFonts w:ascii="Arial" w:hAnsi="Arial"/>
      <w:b/>
      <w:sz w:val="26"/>
    </w:rPr>
  </w:style>
  <w:style w:type="paragraph" w:customStyle="1" w:styleId="ConvStandardTitle2">
    <w:name w:val="Conv Standard Title2"/>
    <w:basedOn w:val="ConvStandardTitle1"/>
    <w:uiPriority w:val="9"/>
    <w:qFormat/>
    <w:rsid w:val="00E95A61"/>
    <w:pPr>
      <w:spacing w:before="0" w:after="200"/>
    </w:pPr>
    <w:rPr>
      <w:i/>
    </w:rPr>
  </w:style>
  <w:style w:type="paragraph" w:customStyle="1" w:styleId="AASBBase">
    <w:name w:val="AASB Base"/>
    <w:qFormat/>
    <w:rsid w:val="00E95A61"/>
    <w:pPr>
      <w:jc w:val="both"/>
    </w:pPr>
    <w:rPr>
      <w:sz w:val="19"/>
      <w:lang w:eastAsia="en-US"/>
    </w:rPr>
  </w:style>
  <w:style w:type="paragraph" w:customStyle="1" w:styleId="AASBPara">
    <w:name w:val="AASB Para"/>
    <w:basedOn w:val="AASBBase"/>
    <w:qFormat/>
    <w:rsid w:val="00E95A61"/>
    <w:pPr>
      <w:spacing w:after="200"/>
    </w:pPr>
  </w:style>
  <w:style w:type="paragraph" w:customStyle="1" w:styleId="AASBStandardCover">
    <w:name w:val="AASB Standard Cover"/>
    <w:semiHidden/>
    <w:qFormat/>
    <w:rsid w:val="00E95A61"/>
    <w:rPr>
      <w:rFonts w:ascii="HelveticaNeueLT Std" w:hAnsi="HelveticaNeueLT Std"/>
      <w:b/>
      <w:color w:val="25408F"/>
      <w:sz w:val="28"/>
      <w:szCs w:val="24"/>
      <w:lang w:eastAsia="en-US"/>
    </w:rPr>
  </w:style>
  <w:style w:type="paragraph" w:customStyle="1" w:styleId="AASBStandardDate">
    <w:name w:val="AASB Standard Date"/>
    <w:basedOn w:val="AASBStandardCover"/>
    <w:semiHidden/>
    <w:qFormat/>
    <w:rsid w:val="00E95A61"/>
    <w:pPr>
      <w:jc w:val="right"/>
    </w:pPr>
    <w:rPr>
      <w:b w:val="0"/>
      <w:sz w:val="24"/>
    </w:rPr>
  </w:style>
  <w:style w:type="paragraph" w:customStyle="1" w:styleId="AASBStandardNumber">
    <w:name w:val="AASB Standard Number"/>
    <w:basedOn w:val="AASBStandardCover"/>
    <w:semiHidden/>
    <w:qFormat/>
    <w:rsid w:val="00E95A61"/>
    <w:pPr>
      <w:jc w:val="right"/>
    </w:pPr>
    <w:rPr>
      <w:rFonts w:ascii="HelveticaNeueLT Std Blk" w:hAnsi="HelveticaNeueLT Std Blk"/>
      <w:b w:val="0"/>
      <w:sz w:val="24"/>
    </w:rPr>
  </w:style>
  <w:style w:type="paragraph" w:customStyle="1" w:styleId="AASBStandardTitle">
    <w:name w:val="AASB Standard Title"/>
    <w:basedOn w:val="AASBStandardCover"/>
    <w:semiHidden/>
    <w:qFormat/>
    <w:rsid w:val="00E95A61"/>
    <w:pPr>
      <w:spacing w:before="800"/>
    </w:pPr>
    <w:rPr>
      <w:b w:val="0"/>
      <w:sz w:val="50"/>
    </w:rPr>
  </w:style>
  <w:style w:type="paragraph" w:customStyle="1" w:styleId="AASBInterpretationCover">
    <w:name w:val="AASB Interpretation Cover"/>
    <w:basedOn w:val="AASBStandardCover"/>
    <w:semiHidden/>
    <w:qFormat/>
    <w:rsid w:val="00E95A61"/>
    <w:rPr>
      <w:color w:val="41AD49"/>
    </w:rPr>
  </w:style>
  <w:style w:type="paragraph" w:customStyle="1" w:styleId="AASBInterpretationDate">
    <w:name w:val="AASB Interpretation Date"/>
    <w:basedOn w:val="AASBStandardDate"/>
    <w:semiHidden/>
    <w:qFormat/>
    <w:rsid w:val="00E95A61"/>
    <w:rPr>
      <w:color w:val="41AD49"/>
    </w:rPr>
  </w:style>
  <w:style w:type="paragraph" w:customStyle="1" w:styleId="AASBInterpretationNumber">
    <w:name w:val="AASB Interpretation Number"/>
    <w:basedOn w:val="AASBStandardNumber"/>
    <w:semiHidden/>
    <w:qFormat/>
    <w:rsid w:val="00E95A61"/>
    <w:rPr>
      <w:color w:val="41AD49"/>
    </w:rPr>
  </w:style>
  <w:style w:type="paragraph" w:customStyle="1" w:styleId="AASBInterpretationTitle">
    <w:name w:val="AASB Interpretation Title"/>
    <w:basedOn w:val="AASBStandardTitle"/>
    <w:semiHidden/>
    <w:qFormat/>
    <w:rsid w:val="00E95A61"/>
    <w:rPr>
      <w:color w:val="41AD49"/>
    </w:rPr>
  </w:style>
  <w:style w:type="table" w:styleId="TableGrid">
    <w:name w:val="Table Grid"/>
    <w:basedOn w:val="TableNormal"/>
    <w:uiPriority w:val="59"/>
    <w:rsid w:val="00E95A61"/>
    <w:tblPr/>
  </w:style>
  <w:style w:type="paragraph" w:customStyle="1" w:styleId="ContentsHeading">
    <w:name w:val="Contents Heading"/>
    <w:basedOn w:val="AASBBase"/>
    <w:next w:val="ContentsLevel1"/>
    <w:qFormat/>
    <w:rsid w:val="00E95A61"/>
    <w:pPr>
      <w:spacing w:after="60"/>
      <w:jc w:val="right"/>
    </w:pPr>
    <w:rPr>
      <w:i/>
    </w:rPr>
  </w:style>
  <w:style w:type="paragraph" w:customStyle="1" w:styleId="ContentsLevel1">
    <w:name w:val="Contents Level1"/>
    <w:basedOn w:val="AASBBase"/>
    <w:qFormat/>
    <w:rsid w:val="00E95A61"/>
    <w:pPr>
      <w:tabs>
        <w:tab w:val="right" w:pos="9027"/>
      </w:tabs>
      <w:spacing w:after="60"/>
      <w:ind w:right="1134"/>
    </w:pPr>
    <w:rPr>
      <w:b/>
      <w:caps/>
    </w:rPr>
  </w:style>
  <w:style w:type="paragraph" w:customStyle="1" w:styleId="ContentsLevel2">
    <w:name w:val="Contents Level2"/>
    <w:basedOn w:val="ContentsLevel1"/>
    <w:uiPriority w:val="7"/>
    <w:qFormat/>
    <w:rsid w:val="00E95A61"/>
    <w:rPr>
      <w:caps w:val="0"/>
    </w:rPr>
  </w:style>
  <w:style w:type="paragraph" w:customStyle="1" w:styleId="ContentsLevel3">
    <w:name w:val="Contents Level3"/>
    <w:basedOn w:val="ContentsLevel2"/>
    <w:uiPriority w:val="7"/>
    <w:qFormat/>
    <w:rsid w:val="00E95A61"/>
    <w:pPr>
      <w:ind w:left="510"/>
    </w:pPr>
    <w:rPr>
      <w:b w:val="0"/>
    </w:rPr>
  </w:style>
  <w:style w:type="paragraph" w:customStyle="1" w:styleId="ContentsLevel4">
    <w:name w:val="Contents Level4"/>
    <w:basedOn w:val="ContentsLevel3"/>
    <w:uiPriority w:val="7"/>
    <w:qFormat/>
    <w:rsid w:val="00E95A61"/>
    <w:pPr>
      <w:ind w:left="850"/>
    </w:pPr>
  </w:style>
  <w:style w:type="paragraph" w:styleId="BalloonText">
    <w:name w:val="Balloon Text"/>
    <w:basedOn w:val="Normal"/>
    <w:link w:val="BalloonTextChar"/>
    <w:uiPriority w:val="99"/>
    <w:semiHidden/>
    <w:unhideWhenUsed/>
    <w:rsid w:val="00E95A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5A61"/>
    <w:rPr>
      <w:rFonts w:ascii="Segoe UI" w:hAnsi="Segoe UI" w:cs="Segoe UI"/>
      <w:sz w:val="18"/>
      <w:szCs w:val="18"/>
      <w:lang w:eastAsia="en-US"/>
    </w:rPr>
  </w:style>
  <w:style w:type="paragraph" w:customStyle="1" w:styleId="RDRM1">
    <w:name w:val="RDRM1"/>
    <w:basedOn w:val="IASBNormalnpara"/>
    <w:uiPriority w:val="5"/>
    <w:qFormat/>
    <w:rsid w:val="00E95A61"/>
    <w:pPr>
      <w:shd w:val="pct15" w:color="auto" w:fill="auto"/>
    </w:pPr>
  </w:style>
  <w:style w:type="paragraph" w:customStyle="1" w:styleId="RDRM2">
    <w:name w:val="RDRM2"/>
    <w:basedOn w:val="RDRM1"/>
    <w:uiPriority w:val="5"/>
    <w:qFormat/>
    <w:rsid w:val="00E95A61"/>
    <w:pPr>
      <w:tabs>
        <w:tab w:val="left" w:pos="782"/>
      </w:tabs>
      <w:ind w:left="1565" w:hanging="1565"/>
    </w:pPr>
  </w:style>
  <w:style w:type="paragraph" w:customStyle="1" w:styleId="RDRM3">
    <w:name w:val="RDRM3"/>
    <w:basedOn w:val="RDRM2"/>
    <w:uiPriority w:val="5"/>
    <w:qFormat/>
    <w:rsid w:val="00E95A61"/>
    <w:pPr>
      <w:tabs>
        <w:tab w:val="clear" w:pos="782"/>
        <w:tab w:val="left" w:pos="1565"/>
      </w:tabs>
      <w:ind w:left="2347" w:hanging="2347"/>
    </w:pPr>
  </w:style>
  <w:style w:type="paragraph" w:customStyle="1" w:styleId="RDRM4">
    <w:name w:val="RDRM4"/>
    <w:basedOn w:val="RDRM3"/>
    <w:uiPriority w:val="5"/>
    <w:qFormat/>
    <w:rsid w:val="00E95A61"/>
    <w:pPr>
      <w:tabs>
        <w:tab w:val="clear" w:pos="1565"/>
        <w:tab w:val="left" w:pos="2347"/>
      </w:tabs>
      <w:ind w:left="3130" w:hanging="3130"/>
    </w:pPr>
  </w:style>
  <w:style w:type="paragraph" w:customStyle="1" w:styleId="AusPlain">
    <w:name w:val="Aus Plain"/>
    <w:basedOn w:val="IASBNormalnpara"/>
    <w:uiPriority w:val="1"/>
    <w:qFormat/>
    <w:rsid w:val="00E95A61"/>
    <w:pPr>
      <w:ind w:left="1565" w:hanging="1565"/>
    </w:pPr>
  </w:style>
  <w:style w:type="paragraph" w:customStyle="1" w:styleId="AusBold">
    <w:name w:val="Aus Bold"/>
    <w:basedOn w:val="AusPlain"/>
    <w:uiPriority w:val="2"/>
    <w:qFormat/>
    <w:rsid w:val="00E95A61"/>
    <w:rPr>
      <w:b/>
    </w:rPr>
  </w:style>
  <w:style w:type="paragraph" w:customStyle="1" w:styleId="AusPlainRDR">
    <w:name w:val="Aus Plain RDR"/>
    <w:basedOn w:val="AusPlain"/>
    <w:uiPriority w:val="3"/>
    <w:qFormat/>
    <w:rsid w:val="00E95A61"/>
    <w:pPr>
      <w:shd w:val="pct15" w:color="auto" w:fill="auto"/>
    </w:pPr>
  </w:style>
  <w:style w:type="paragraph" w:customStyle="1" w:styleId="AusBoldRDR">
    <w:name w:val="Aus Bold RDR"/>
    <w:basedOn w:val="AusBold"/>
    <w:uiPriority w:val="4"/>
    <w:qFormat/>
    <w:rsid w:val="00E95A61"/>
    <w:pPr>
      <w:shd w:val="pct15" w:color="auto" w:fill="auto"/>
    </w:pPr>
  </w:style>
  <w:style w:type="paragraph" w:customStyle="1" w:styleId="RDR11">
    <w:name w:val="RDR11"/>
    <w:basedOn w:val="IASBNormalnparaL1"/>
    <w:uiPriority w:val="6"/>
    <w:qFormat/>
    <w:rsid w:val="00E95A61"/>
    <w:pPr>
      <w:shd w:val="pct15" w:color="auto" w:fill="auto"/>
    </w:pPr>
  </w:style>
  <w:style w:type="paragraph" w:customStyle="1" w:styleId="RDR12">
    <w:name w:val="RDR12"/>
    <w:basedOn w:val="RDR11"/>
    <w:uiPriority w:val="6"/>
    <w:qFormat/>
    <w:rsid w:val="00E95A61"/>
    <w:pPr>
      <w:tabs>
        <w:tab w:val="left" w:pos="1565"/>
      </w:tabs>
      <w:ind w:left="2347" w:hanging="1565"/>
    </w:pPr>
  </w:style>
  <w:style w:type="paragraph" w:customStyle="1" w:styleId="RDR13">
    <w:name w:val="RDR13"/>
    <w:basedOn w:val="RDR12"/>
    <w:uiPriority w:val="6"/>
    <w:qFormat/>
    <w:rsid w:val="00E95A61"/>
    <w:pPr>
      <w:tabs>
        <w:tab w:val="clear" w:pos="1565"/>
        <w:tab w:val="left" w:pos="2347"/>
      </w:tabs>
      <w:ind w:left="3129" w:hanging="2347"/>
    </w:pPr>
  </w:style>
  <w:style w:type="paragraph" w:customStyle="1" w:styleId="RDR21">
    <w:name w:val="RDR21"/>
    <w:basedOn w:val="IASBNormalnparaL2"/>
    <w:uiPriority w:val="6"/>
    <w:qFormat/>
    <w:rsid w:val="00E95A61"/>
    <w:pPr>
      <w:shd w:val="pct15" w:color="auto" w:fill="auto"/>
    </w:pPr>
  </w:style>
  <w:style w:type="paragraph" w:customStyle="1" w:styleId="RDR22">
    <w:name w:val="RDR22"/>
    <w:basedOn w:val="RDR21"/>
    <w:uiPriority w:val="6"/>
    <w:qFormat/>
    <w:rsid w:val="00E95A61"/>
    <w:pPr>
      <w:tabs>
        <w:tab w:val="left" w:pos="2347"/>
      </w:tabs>
      <w:ind w:left="3130" w:hanging="1565"/>
    </w:pPr>
  </w:style>
  <w:style w:type="table" w:styleId="TableGrid1">
    <w:name w:val="Table Grid 1"/>
    <w:basedOn w:val="TableNormal"/>
    <w:uiPriority w:val="99"/>
    <w:semiHidden/>
    <w:unhideWhenUsed/>
    <w:rsid w:val="00E95A61"/>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CommentReference">
    <w:name w:val="annotation reference"/>
    <w:basedOn w:val="DefaultParagraphFont"/>
    <w:uiPriority w:val="99"/>
    <w:semiHidden/>
    <w:unhideWhenUsed/>
    <w:rsid w:val="00D37CC9"/>
    <w:rPr>
      <w:sz w:val="16"/>
      <w:szCs w:val="16"/>
    </w:rPr>
  </w:style>
  <w:style w:type="paragraph" w:styleId="CommentText">
    <w:name w:val="annotation text"/>
    <w:basedOn w:val="Normal"/>
    <w:link w:val="CommentTextChar"/>
    <w:uiPriority w:val="99"/>
    <w:semiHidden/>
    <w:unhideWhenUsed/>
    <w:rsid w:val="00D37CC9"/>
    <w:rPr>
      <w:sz w:val="20"/>
      <w:szCs w:val="20"/>
    </w:rPr>
  </w:style>
  <w:style w:type="character" w:customStyle="1" w:styleId="CommentTextChar">
    <w:name w:val="Comment Text Char"/>
    <w:basedOn w:val="DefaultParagraphFont"/>
    <w:link w:val="CommentText"/>
    <w:uiPriority w:val="99"/>
    <w:semiHidden/>
    <w:rsid w:val="00D37CC9"/>
    <w:rPr>
      <w:lang w:eastAsia="en-US"/>
    </w:rPr>
  </w:style>
  <w:style w:type="paragraph" w:styleId="CommentSubject">
    <w:name w:val="annotation subject"/>
    <w:basedOn w:val="CommentText"/>
    <w:next w:val="CommentText"/>
    <w:link w:val="CommentSubjectChar"/>
    <w:uiPriority w:val="99"/>
    <w:semiHidden/>
    <w:unhideWhenUsed/>
    <w:rsid w:val="00D37CC9"/>
    <w:rPr>
      <w:b/>
      <w:bCs/>
    </w:rPr>
  </w:style>
  <w:style w:type="character" w:customStyle="1" w:styleId="CommentSubjectChar">
    <w:name w:val="Comment Subject Char"/>
    <w:basedOn w:val="CommentTextChar"/>
    <w:link w:val="CommentSubject"/>
    <w:uiPriority w:val="99"/>
    <w:semiHidden/>
    <w:rsid w:val="00D37CC9"/>
    <w:rPr>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9"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
    <w:qFormat/>
    <w:rsid w:val="00E95A61"/>
    <w:rPr>
      <w:sz w:val="19"/>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ASBNormal">
    <w:name w:val="IASB Normal"/>
    <w:uiPriority w:val="8"/>
    <w:rsid w:val="00E95A61"/>
    <w:pPr>
      <w:tabs>
        <w:tab w:val="left" w:pos="4253"/>
      </w:tabs>
      <w:spacing w:before="100" w:after="100"/>
      <w:jc w:val="both"/>
    </w:pPr>
    <w:rPr>
      <w:sz w:val="19"/>
      <w:lang w:eastAsia="en-US"/>
    </w:rPr>
  </w:style>
  <w:style w:type="paragraph" w:customStyle="1" w:styleId="IASBNormalnpara">
    <w:name w:val="IASB Normal npara"/>
    <w:basedOn w:val="IASBNormal"/>
    <w:uiPriority w:val="8"/>
    <w:rsid w:val="00E95A61"/>
    <w:pPr>
      <w:tabs>
        <w:tab w:val="clear" w:pos="4253"/>
      </w:tabs>
      <w:spacing w:after="0"/>
      <w:ind w:left="782" w:hanging="782"/>
    </w:pPr>
  </w:style>
  <w:style w:type="paragraph" w:customStyle="1" w:styleId="IASBSectionTitle1Ind">
    <w:name w:val="IASB Section Title 1 Ind"/>
    <w:basedOn w:val="Normal"/>
    <w:uiPriority w:val="8"/>
    <w:rsid w:val="00E95A61"/>
    <w:pPr>
      <w:keepNext/>
      <w:keepLines/>
      <w:pBdr>
        <w:bottom w:val="single" w:sz="4" w:space="0" w:color="auto"/>
      </w:pBdr>
      <w:spacing w:before="400" w:after="200"/>
      <w:ind w:left="782"/>
      <w:outlineLvl w:val="0"/>
    </w:pPr>
    <w:rPr>
      <w:rFonts w:ascii="Arial" w:hAnsi="Arial" w:cs="Arial"/>
      <w:b/>
      <w:sz w:val="26"/>
      <w:szCs w:val="20"/>
    </w:rPr>
  </w:style>
  <w:style w:type="paragraph" w:customStyle="1" w:styleId="IASBSectionTitle1NonInd">
    <w:name w:val="IASB Section Title 1 NonInd"/>
    <w:basedOn w:val="Normal"/>
    <w:uiPriority w:val="8"/>
    <w:rsid w:val="00E95A61"/>
    <w:pPr>
      <w:keepNext/>
      <w:keepLines/>
      <w:pBdr>
        <w:bottom w:val="single" w:sz="4" w:space="0" w:color="auto"/>
      </w:pBdr>
      <w:spacing w:before="400" w:after="200"/>
      <w:outlineLvl w:val="0"/>
    </w:pPr>
    <w:rPr>
      <w:rFonts w:ascii="Arial" w:hAnsi="Arial" w:cs="Arial"/>
      <w:b/>
      <w:sz w:val="26"/>
      <w:szCs w:val="20"/>
    </w:rPr>
  </w:style>
  <w:style w:type="paragraph" w:customStyle="1" w:styleId="IASBSectionTitle2NonInd">
    <w:name w:val="IASB Section Title 2 NonInd"/>
    <w:basedOn w:val="Normal"/>
    <w:uiPriority w:val="8"/>
    <w:rsid w:val="00E95A61"/>
    <w:pPr>
      <w:keepNext/>
      <w:keepLines/>
      <w:spacing w:before="300" w:after="200"/>
      <w:outlineLvl w:val="1"/>
    </w:pPr>
    <w:rPr>
      <w:rFonts w:ascii="Arial" w:hAnsi="Arial" w:cs="Arial"/>
      <w:b/>
      <w:sz w:val="26"/>
      <w:szCs w:val="20"/>
    </w:rPr>
  </w:style>
  <w:style w:type="paragraph" w:customStyle="1" w:styleId="IASBSectionTitle2Ind">
    <w:name w:val="IASB Section Title 2 Ind"/>
    <w:basedOn w:val="IASBSectionTitle2NonInd"/>
    <w:uiPriority w:val="8"/>
    <w:rsid w:val="00E95A61"/>
    <w:pPr>
      <w:spacing w:before="240"/>
      <w:ind w:left="782"/>
    </w:pPr>
  </w:style>
  <w:style w:type="paragraph" w:customStyle="1" w:styleId="IASBSectionTitle3NonInd">
    <w:name w:val="IASB Section Title 3 NonInd"/>
    <w:basedOn w:val="Normal"/>
    <w:uiPriority w:val="8"/>
    <w:rsid w:val="00E95A61"/>
    <w:pPr>
      <w:keepNext/>
      <w:keepLines/>
      <w:spacing w:before="300" w:after="200"/>
      <w:outlineLvl w:val="2"/>
    </w:pPr>
    <w:rPr>
      <w:rFonts w:ascii="Arial" w:hAnsi="Arial" w:cs="Arial"/>
      <w:b/>
      <w:sz w:val="22"/>
      <w:szCs w:val="20"/>
    </w:rPr>
  </w:style>
  <w:style w:type="paragraph" w:customStyle="1" w:styleId="IASBSectionTitle3Ind">
    <w:name w:val="IASB Section Title 3 Ind"/>
    <w:basedOn w:val="IASBSectionTitle3NonInd"/>
    <w:uiPriority w:val="8"/>
    <w:rsid w:val="00E95A61"/>
    <w:pPr>
      <w:spacing w:before="240"/>
      <w:ind w:left="782"/>
    </w:pPr>
  </w:style>
  <w:style w:type="paragraph" w:customStyle="1" w:styleId="IASBSectionTitle4NonInd">
    <w:name w:val="IASB Section Title 4 NonInd"/>
    <w:basedOn w:val="Normal"/>
    <w:uiPriority w:val="8"/>
    <w:rsid w:val="00E95A61"/>
    <w:pPr>
      <w:keepNext/>
      <w:keepLines/>
      <w:spacing w:before="300" w:after="200"/>
      <w:outlineLvl w:val="3"/>
    </w:pPr>
    <w:rPr>
      <w:rFonts w:ascii="Arial" w:hAnsi="Arial" w:cs="Arial"/>
      <w:i/>
      <w:sz w:val="22"/>
      <w:szCs w:val="20"/>
    </w:rPr>
  </w:style>
  <w:style w:type="paragraph" w:customStyle="1" w:styleId="IASBSectionTitle4Ind">
    <w:name w:val="IASB Section Title 4 Ind"/>
    <w:basedOn w:val="IASBSectionTitle4NonInd"/>
    <w:uiPriority w:val="8"/>
    <w:rsid w:val="00E95A61"/>
    <w:pPr>
      <w:ind w:left="782"/>
    </w:pPr>
  </w:style>
  <w:style w:type="paragraph" w:customStyle="1" w:styleId="IASBSectionTitle5NonInd">
    <w:name w:val="IASB Section Title 5 NonInd"/>
    <w:basedOn w:val="Normal"/>
    <w:uiPriority w:val="8"/>
    <w:rsid w:val="00E95A61"/>
    <w:pPr>
      <w:keepNext/>
      <w:keepLines/>
      <w:spacing w:before="300" w:after="200"/>
      <w:outlineLvl w:val="4"/>
    </w:pPr>
    <w:rPr>
      <w:rFonts w:ascii="Arial" w:hAnsi="Arial" w:cs="Arial"/>
      <w:b/>
      <w:sz w:val="20"/>
      <w:szCs w:val="20"/>
    </w:rPr>
  </w:style>
  <w:style w:type="paragraph" w:customStyle="1" w:styleId="IASBSectionTitle5Ind">
    <w:name w:val="IASB Section Title 5 Ind"/>
    <w:basedOn w:val="IASBSectionTitle5NonInd"/>
    <w:uiPriority w:val="8"/>
    <w:rsid w:val="00E95A61"/>
    <w:pPr>
      <w:ind w:left="782"/>
    </w:pPr>
  </w:style>
  <w:style w:type="paragraph" w:customStyle="1" w:styleId="IASBSectionTitle6NonInd">
    <w:name w:val="IASB Section Title 6 NonInd"/>
    <w:basedOn w:val="IASBSectionTitle5NonInd"/>
    <w:uiPriority w:val="8"/>
    <w:rsid w:val="00E95A61"/>
    <w:pPr>
      <w:outlineLvl w:val="5"/>
    </w:pPr>
    <w:rPr>
      <w:b w:val="0"/>
      <w:i/>
    </w:rPr>
  </w:style>
  <w:style w:type="paragraph" w:customStyle="1" w:styleId="IASBSectionTitle6Ind">
    <w:name w:val="IASB Section Title 6 Ind"/>
    <w:basedOn w:val="IASBSectionTitle6NonInd"/>
    <w:uiPriority w:val="8"/>
    <w:rsid w:val="00E95A61"/>
    <w:pPr>
      <w:ind w:left="782"/>
    </w:pPr>
  </w:style>
  <w:style w:type="paragraph" w:customStyle="1" w:styleId="IASBTitle">
    <w:name w:val="IASB Title"/>
    <w:uiPriority w:val="8"/>
    <w:rsid w:val="00E95A61"/>
    <w:pPr>
      <w:keepNext/>
      <w:keepLines/>
      <w:spacing w:before="300" w:after="400"/>
    </w:pPr>
    <w:rPr>
      <w:rFonts w:cs="Arial"/>
      <w:sz w:val="36"/>
      <w:lang w:eastAsia="en-US"/>
    </w:rPr>
  </w:style>
  <w:style w:type="paragraph" w:customStyle="1" w:styleId="IASBNormalnparaL1">
    <w:name w:val="IASB Normal nparaL1"/>
    <w:basedOn w:val="IASBNormalnpara"/>
    <w:uiPriority w:val="8"/>
    <w:rsid w:val="00E95A61"/>
    <w:pPr>
      <w:ind w:left="1564"/>
    </w:pPr>
  </w:style>
  <w:style w:type="paragraph" w:customStyle="1" w:styleId="IASBNormalnparaP">
    <w:name w:val="IASB Normal nparaP"/>
    <w:basedOn w:val="IASBNormal"/>
    <w:uiPriority w:val="8"/>
    <w:rsid w:val="00E95A61"/>
    <w:pPr>
      <w:ind w:left="782"/>
    </w:pPr>
  </w:style>
  <w:style w:type="paragraph" w:customStyle="1" w:styleId="IASBIdentifier">
    <w:name w:val="IASB Identifier"/>
    <w:basedOn w:val="IASBTitle"/>
    <w:uiPriority w:val="8"/>
    <w:rsid w:val="00E95A61"/>
    <w:pPr>
      <w:spacing w:after="200"/>
    </w:pPr>
    <w:rPr>
      <w:rFonts w:ascii="Arial" w:hAnsi="Arial"/>
      <w:b/>
      <w:sz w:val="23"/>
    </w:rPr>
  </w:style>
  <w:style w:type="paragraph" w:customStyle="1" w:styleId="IASBTOCPrimary">
    <w:name w:val="IASB TOC Primary"/>
    <w:basedOn w:val="Normal"/>
    <w:uiPriority w:val="8"/>
    <w:rsid w:val="00E95A61"/>
    <w:pPr>
      <w:tabs>
        <w:tab w:val="right" w:pos="8647"/>
      </w:tabs>
      <w:spacing w:before="100" w:after="100"/>
    </w:pPr>
    <w:rPr>
      <w:rFonts w:ascii="Arial" w:hAnsi="Arial" w:cs="Arial"/>
      <w:b/>
      <w:caps/>
      <w:sz w:val="18"/>
      <w:szCs w:val="20"/>
    </w:rPr>
  </w:style>
  <w:style w:type="paragraph" w:customStyle="1" w:styleId="IASBTOCParagraph">
    <w:name w:val="IASB TOC Paragraph"/>
    <w:basedOn w:val="Normal"/>
    <w:uiPriority w:val="8"/>
    <w:rsid w:val="00E95A61"/>
    <w:pPr>
      <w:spacing w:before="30" w:after="30"/>
    </w:pPr>
    <w:rPr>
      <w:rFonts w:ascii="Arial" w:hAnsi="Arial" w:cs="Arial"/>
      <w:i/>
      <w:sz w:val="18"/>
      <w:szCs w:val="20"/>
    </w:rPr>
  </w:style>
  <w:style w:type="paragraph" w:customStyle="1" w:styleId="IASBTOCSecondary">
    <w:name w:val="IASB TOC Secondary"/>
    <w:basedOn w:val="Normal"/>
    <w:uiPriority w:val="8"/>
    <w:rsid w:val="00E95A61"/>
    <w:pPr>
      <w:tabs>
        <w:tab w:val="right" w:pos="8647"/>
      </w:tabs>
      <w:spacing w:before="30" w:after="30"/>
    </w:pPr>
    <w:rPr>
      <w:rFonts w:ascii="Arial" w:hAnsi="Arial" w:cs="Arial"/>
      <w:b/>
      <w:sz w:val="18"/>
      <w:szCs w:val="20"/>
    </w:rPr>
  </w:style>
  <w:style w:type="paragraph" w:customStyle="1" w:styleId="IASBTOCTertiary">
    <w:name w:val="IASB TOC Tertiary"/>
    <w:basedOn w:val="Normal"/>
    <w:uiPriority w:val="8"/>
    <w:rsid w:val="00E95A61"/>
    <w:pPr>
      <w:tabs>
        <w:tab w:val="right" w:pos="8647"/>
      </w:tabs>
      <w:spacing w:before="30" w:after="30"/>
      <w:ind w:left="390"/>
    </w:pPr>
    <w:rPr>
      <w:rFonts w:ascii="Arial" w:hAnsi="Arial" w:cs="Arial"/>
      <w:sz w:val="18"/>
      <w:szCs w:val="20"/>
    </w:rPr>
  </w:style>
  <w:style w:type="paragraph" w:customStyle="1" w:styleId="IASBTOCExternal">
    <w:name w:val="IASB TOC External"/>
    <w:basedOn w:val="Normal"/>
    <w:uiPriority w:val="8"/>
    <w:rsid w:val="00E95A61"/>
    <w:pPr>
      <w:pBdr>
        <w:top w:val="single" w:sz="4" w:space="1" w:color="auto"/>
        <w:left w:val="single" w:sz="4" w:space="4" w:color="auto"/>
        <w:bottom w:val="single" w:sz="4" w:space="1" w:color="auto"/>
        <w:right w:val="single" w:sz="4" w:space="4" w:color="auto"/>
      </w:pBdr>
      <w:spacing w:before="30" w:after="30"/>
    </w:pPr>
    <w:rPr>
      <w:rFonts w:ascii="Arial" w:hAnsi="Arial" w:cs="Arial"/>
      <w:b/>
      <w:sz w:val="18"/>
      <w:szCs w:val="20"/>
    </w:rPr>
  </w:style>
  <w:style w:type="paragraph" w:customStyle="1" w:styleId="IASBRubric">
    <w:name w:val="IASB Rubric"/>
    <w:basedOn w:val="IASBNormal"/>
    <w:uiPriority w:val="8"/>
    <w:rsid w:val="00E95A61"/>
    <w:pPr>
      <w:pBdr>
        <w:top w:val="single" w:sz="2" w:space="8" w:color="auto"/>
        <w:left w:val="single" w:sz="2" w:space="5" w:color="auto"/>
        <w:bottom w:val="single" w:sz="2" w:space="5" w:color="auto"/>
        <w:right w:val="single" w:sz="2" w:space="5" w:color="auto"/>
      </w:pBdr>
    </w:pPr>
  </w:style>
  <w:style w:type="paragraph" w:customStyle="1" w:styleId="IASBNote">
    <w:name w:val="IASB Note"/>
    <w:basedOn w:val="IASBNormal"/>
    <w:uiPriority w:val="8"/>
    <w:rsid w:val="00E95A61"/>
    <w:rPr>
      <w:i/>
    </w:rPr>
  </w:style>
  <w:style w:type="paragraph" w:customStyle="1" w:styleId="IASBBlockquote">
    <w:name w:val="IASB Blockquote"/>
    <w:basedOn w:val="IASBNormal"/>
    <w:uiPriority w:val="8"/>
    <w:rsid w:val="00E95A61"/>
    <w:pPr>
      <w:ind w:left="1565"/>
    </w:pPr>
    <w:rPr>
      <w:sz w:val="16"/>
    </w:rPr>
  </w:style>
  <w:style w:type="character" w:customStyle="1" w:styleId="IASBEduinsert">
    <w:name w:val="IASB Edu insert"/>
    <w:uiPriority w:val="8"/>
    <w:qFormat/>
    <w:rsid w:val="00E95A61"/>
  </w:style>
  <w:style w:type="character" w:styleId="FootnoteReference">
    <w:name w:val="footnote reference"/>
    <w:uiPriority w:val="99"/>
    <w:semiHidden/>
    <w:unhideWhenUsed/>
    <w:rsid w:val="00E95A61"/>
    <w:rPr>
      <w:vertAlign w:val="superscript"/>
    </w:rPr>
  </w:style>
  <w:style w:type="paragraph" w:styleId="FootnoteText">
    <w:name w:val="footnote text"/>
    <w:basedOn w:val="IASBSectionTitle2Ind"/>
    <w:next w:val="IASBBlockquote"/>
    <w:link w:val="FootnoteTextChar"/>
    <w:uiPriority w:val="99"/>
    <w:semiHidden/>
    <w:rsid w:val="00E95A61"/>
    <w:pPr>
      <w:keepNext w:val="0"/>
      <w:keepLines w:val="0"/>
      <w:shd w:val="clear" w:color="auto" w:fill="99CCFF"/>
      <w:spacing w:before="0" w:after="0"/>
      <w:ind w:left="0"/>
    </w:pPr>
    <w:rPr>
      <w:rFonts w:ascii="Times New Roman" w:hAnsi="Times New Roman" w:cs="Times New Roman"/>
      <w:b w:val="0"/>
      <w:sz w:val="16"/>
    </w:rPr>
  </w:style>
  <w:style w:type="character" w:customStyle="1" w:styleId="FootnoteTextChar">
    <w:name w:val="Footnote Text Char"/>
    <w:link w:val="FootnoteText"/>
    <w:uiPriority w:val="99"/>
    <w:semiHidden/>
    <w:rsid w:val="00E95A61"/>
    <w:rPr>
      <w:sz w:val="16"/>
      <w:shd w:val="clear" w:color="auto" w:fill="99CCFF"/>
      <w:lang w:eastAsia="en-US"/>
    </w:rPr>
  </w:style>
  <w:style w:type="paragraph" w:customStyle="1" w:styleId="IASBNormalL1">
    <w:name w:val="IASB Normal L1"/>
    <w:basedOn w:val="IASBNormalnpara"/>
    <w:uiPriority w:val="8"/>
    <w:rsid w:val="00E95A61"/>
  </w:style>
  <w:style w:type="paragraph" w:styleId="Header">
    <w:name w:val="header"/>
    <w:basedOn w:val="Normal"/>
    <w:link w:val="HeaderChar"/>
    <w:uiPriority w:val="99"/>
    <w:rsid w:val="00E95A61"/>
    <w:pPr>
      <w:tabs>
        <w:tab w:val="center" w:pos="4536"/>
        <w:tab w:val="right" w:pos="9072"/>
      </w:tabs>
    </w:pPr>
    <w:rPr>
      <w:sz w:val="20"/>
    </w:rPr>
  </w:style>
  <w:style w:type="character" w:customStyle="1" w:styleId="HeaderChar">
    <w:name w:val="Header Char"/>
    <w:link w:val="Header"/>
    <w:uiPriority w:val="99"/>
    <w:rsid w:val="00E95A61"/>
    <w:rPr>
      <w:szCs w:val="24"/>
      <w:lang w:eastAsia="en-US"/>
    </w:rPr>
  </w:style>
  <w:style w:type="paragraph" w:styleId="Footer">
    <w:name w:val="footer"/>
    <w:basedOn w:val="Normal"/>
    <w:link w:val="FooterChar"/>
    <w:uiPriority w:val="99"/>
    <w:rsid w:val="00E95A61"/>
    <w:pPr>
      <w:tabs>
        <w:tab w:val="center" w:pos="4536"/>
        <w:tab w:val="right" w:pos="9072"/>
      </w:tabs>
    </w:pPr>
  </w:style>
  <w:style w:type="character" w:customStyle="1" w:styleId="FooterChar">
    <w:name w:val="Footer Char"/>
    <w:link w:val="Footer"/>
    <w:uiPriority w:val="99"/>
    <w:rsid w:val="00E95A61"/>
    <w:rPr>
      <w:sz w:val="19"/>
      <w:szCs w:val="24"/>
      <w:lang w:eastAsia="en-US"/>
    </w:rPr>
  </w:style>
  <w:style w:type="paragraph" w:customStyle="1" w:styleId="IASBRubricL1">
    <w:name w:val="IASB RubricL1"/>
    <w:basedOn w:val="IASBRubric"/>
    <w:uiPriority w:val="8"/>
    <w:rsid w:val="00E95A61"/>
    <w:pPr>
      <w:ind w:left="782" w:hanging="782"/>
      <w:jc w:val="left"/>
    </w:pPr>
    <w:rPr>
      <w:lang w:eastAsia="en-GB"/>
    </w:rPr>
  </w:style>
  <w:style w:type="paragraph" w:customStyle="1" w:styleId="IASBRubricL2">
    <w:name w:val="IASB RubricL2"/>
    <w:basedOn w:val="IASBRubricL1"/>
    <w:uiPriority w:val="8"/>
    <w:rsid w:val="00E95A61"/>
    <w:pPr>
      <w:tabs>
        <w:tab w:val="left" w:pos="782"/>
      </w:tabs>
      <w:ind w:left="1565" w:hanging="1565"/>
    </w:pPr>
  </w:style>
  <w:style w:type="paragraph" w:customStyle="1" w:styleId="IASBRubricL3">
    <w:name w:val="IASB RubricL3"/>
    <w:basedOn w:val="IASBRubricL2"/>
    <w:uiPriority w:val="8"/>
    <w:rsid w:val="00E95A61"/>
    <w:pPr>
      <w:tabs>
        <w:tab w:val="clear" w:pos="782"/>
        <w:tab w:val="left" w:pos="1565"/>
      </w:tabs>
      <w:ind w:left="2347" w:hanging="2347"/>
    </w:pPr>
  </w:style>
  <w:style w:type="paragraph" w:customStyle="1" w:styleId="IASBNormalnparaL2">
    <w:name w:val="IASB Normal nparaL2"/>
    <w:basedOn w:val="IASBNormalnparaL1"/>
    <w:uiPriority w:val="8"/>
    <w:rsid w:val="00E95A61"/>
    <w:pPr>
      <w:ind w:left="2347"/>
    </w:pPr>
  </w:style>
  <w:style w:type="paragraph" w:customStyle="1" w:styleId="IASBNormalnparaL3">
    <w:name w:val="IASB Normal nparaL3"/>
    <w:basedOn w:val="IASBNormalnparaL2"/>
    <w:uiPriority w:val="8"/>
    <w:rsid w:val="00E95A61"/>
    <w:pPr>
      <w:ind w:left="3129"/>
    </w:pPr>
  </w:style>
  <w:style w:type="paragraph" w:customStyle="1" w:styleId="IASBNormalnparaL4">
    <w:name w:val="IASB Normal nparaL4"/>
    <w:basedOn w:val="IASBNormalnparaL3"/>
    <w:uiPriority w:val="8"/>
    <w:rsid w:val="00E95A61"/>
    <w:pPr>
      <w:ind w:left="3912"/>
    </w:pPr>
  </w:style>
  <w:style w:type="paragraph" w:customStyle="1" w:styleId="IASBNormalnparaL5">
    <w:name w:val="IASB Normal nparaL5"/>
    <w:basedOn w:val="IASBNormalnparaL4"/>
    <w:uiPriority w:val="8"/>
    <w:rsid w:val="00E95A61"/>
    <w:pPr>
      <w:ind w:left="4694"/>
    </w:pPr>
  </w:style>
  <w:style w:type="paragraph" w:customStyle="1" w:styleId="IASBNormalnparaL1P">
    <w:name w:val="IASB Normal nparaL1P"/>
    <w:basedOn w:val="IASBNormalnparaL2"/>
    <w:uiPriority w:val="8"/>
    <w:rsid w:val="00E95A61"/>
    <w:pPr>
      <w:ind w:left="1565" w:firstLine="0"/>
    </w:pPr>
  </w:style>
  <w:style w:type="paragraph" w:customStyle="1" w:styleId="IASBNormalnparaL2P">
    <w:name w:val="IASB Normal nparaL2P"/>
    <w:basedOn w:val="IASBNormalnparaL1P"/>
    <w:uiPriority w:val="8"/>
    <w:rsid w:val="00E95A61"/>
    <w:pPr>
      <w:ind w:left="2347"/>
    </w:pPr>
  </w:style>
  <w:style w:type="paragraph" w:customStyle="1" w:styleId="IASBNormalnparaL3P">
    <w:name w:val="IASB Normal nparaL3P"/>
    <w:basedOn w:val="IASBNormalnparaL2P"/>
    <w:uiPriority w:val="8"/>
    <w:rsid w:val="00E95A61"/>
    <w:pPr>
      <w:ind w:left="3130"/>
    </w:pPr>
  </w:style>
  <w:style w:type="paragraph" w:customStyle="1" w:styleId="IASBNormalnparaL4P">
    <w:name w:val="IASB Normal nparaL4P"/>
    <w:basedOn w:val="IASBNormalnparaL3P"/>
    <w:uiPriority w:val="8"/>
    <w:rsid w:val="00E95A61"/>
    <w:pPr>
      <w:ind w:left="3912"/>
    </w:pPr>
  </w:style>
  <w:style w:type="paragraph" w:customStyle="1" w:styleId="IASBNormalnparaL5P">
    <w:name w:val="IASB Normal nparaL5P"/>
    <w:basedOn w:val="IASBNormalnparaL4P"/>
    <w:uiPriority w:val="8"/>
    <w:rsid w:val="00E95A61"/>
    <w:pPr>
      <w:ind w:left="4751"/>
    </w:pPr>
  </w:style>
  <w:style w:type="paragraph" w:customStyle="1" w:styleId="IASBBlockquoteL1">
    <w:name w:val="IASB BlockquoteL1"/>
    <w:basedOn w:val="IASBBlockquote"/>
    <w:uiPriority w:val="8"/>
    <w:rsid w:val="00E95A61"/>
    <w:pPr>
      <w:ind w:left="2347" w:hanging="782"/>
    </w:pPr>
  </w:style>
  <w:style w:type="paragraph" w:customStyle="1" w:styleId="IASBBlockquoteL2">
    <w:name w:val="IASB BlockquoteL2"/>
    <w:basedOn w:val="IASBBlockquoteL1"/>
    <w:uiPriority w:val="8"/>
    <w:rsid w:val="00E95A61"/>
    <w:pPr>
      <w:ind w:left="3129"/>
    </w:pPr>
  </w:style>
  <w:style w:type="paragraph" w:customStyle="1" w:styleId="IASBNormalL2">
    <w:name w:val="IASB Normal L2"/>
    <w:basedOn w:val="IASBNormalL1"/>
    <w:uiPriority w:val="8"/>
    <w:rsid w:val="00E95A61"/>
    <w:pPr>
      <w:ind w:left="1564"/>
    </w:pPr>
  </w:style>
  <w:style w:type="paragraph" w:customStyle="1" w:styleId="IASBTOCQuartery">
    <w:name w:val="IASB TOC Quartery"/>
    <w:basedOn w:val="IASBTOCTertiary"/>
    <w:uiPriority w:val="8"/>
    <w:rsid w:val="00E95A61"/>
    <w:pPr>
      <w:ind w:left="851"/>
    </w:pPr>
  </w:style>
  <w:style w:type="paragraph" w:customStyle="1" w:styleId="IASBNoteTitle">
    <w:name w:val="IASB Note Title"/>
    <w:basedOn w:val="IASBTOCPrimary"/>
    <w:uiPriority w:val="8"/>
    <w:rsid w:val="00E95A61"/>
    <w:pPr>
      <w:jc w:val="center"/>
    </w:pPr>
    <w:rPr>
      <w:b w:val="0"/>
      <w:caps w:val="0"/>
      <w:sz w:val="24"/>
    </w:rPr>
  </w:style>
  <w:style w:type="paragraph" w:customStyle="1" w:styleId="IASBNormalL1P">
    <w:name w:val="IASB Normal L1P"/>
    <w:basedOn w:val="IASBNormalL1"/>
    <w:uiPriority w:val="8"/>
    <w:qFormat/>
    <w:rsid w:val="00E95A61"/>
    <w:pPr>
      <w:ind w:firstLine="0"/>
    </w:pPr>
  </w:style>
  <w:style w:type="paragraph" w:customStyle="1" w:styleId="IASBNormalL2P">
    <w:name w:val="IASB Normal L2P"/>
    <w:basedOn w:val="IASBNormalL1P"/>
    <w:uiPriority w:val="8"/>
    <w:qFormat/>
    <w:rsid w:val="00E95A61"/>
    <w:pPr>
      <w:ind w:left="1565"/>
    </w:pPr>
  </w:style>
  <w:style w:type="paragraph" w:customStyle="1" w:styleId="IASBNormalnparaC">
    <w:name w:val="IASB Normal nparaC"/>
    <w:basedOn w:val="IASBNormalnpara"/>
    <w:uiPriority w:val="8"/>
    <w:qFormat/>
    <w:rsid w:val="00E95A61"/>
    <w:pPr>
      <w:spacing w:before="0"/>
    </w:pPr>
  </w:style>
  <w:style w:type="paragraph" w:customStyle="1" w:styleId="IASBEdupara">
    <w:name w:val="IASB Edu para"/>
    <w:basedOn w:val="IASBNormal"/>
    <w:uiPriority w:val="8"/>
    <w:qFormat/>
    <w:rsid w:val="00E95A61"/>
  </w:style>
  <w:style w:type="paragraph" w:customStyle="1" w:styleId="IASBTableBoldTNR">
    <w:name w:val="IASB Table Bold TNR"/>
    <w:basedOn w:val="Normal"/>
    <w:uiPriority w:val="8"/>
    <w:qFormat/>
    <w:rsid w:val="00E95A61"/>
    <w:pPr>
      <w:spacing w:before="120"/>
    </w:pPr>
    <w:rPr>
      <w:b/>
      <w:szCs w:val="20"/>
      <w:lang w:eastAsia="en-GB"/>
    </w:rPr>
  </w:style>
  <w:style w:type="paragraph" w:customStyle="1" w:styleId="IASBTableHeaderTNR">
    <w:name w:val="IASB Table Header TNR"/>
    <w:basedOn w:val="Normal"/>
    <w:uiPriority w:val="8"/>
    <w:qFormat/>
    <w:rsid w:val="00E95A61"/>
    <w:pPr>
      <w:keepNext/>
      <w:spacing w:before="120" w:after="200" w:line="276" w:lineRule="auto"/>
    </w:pPr>
    <w:rPr>
      <w:szCs w:val="20"/>
      <w:lang w:eastAsia="en-GB"/>
    </w:rPr>
  </w:style>
  <w:style w:type="paragraph" w:customStyle="1" w:styleId="IASBTableTNR">
    <w:name w:val="IASB Table TNR"/>
    <w:basedOn w:val="Normal"/>
    <w:uiPriority w:val="8"/>
    <w:qFormat/>
    <w:rsid w:val="00E95A61"/>
    <w:pPr>
      <w:spacing w:before="120"/>
    </w:pPr>
    <w:rPr>
      <w:szCs w:val="20"/>
      <w:lang w:eastAsia="en-GB"/>
    </w:rPr>
  </w:style>
  <w:style w:type="paragraph" w:customStyle="1" w:styleId="IASBTableArial">
    <w:name w:val="IASB Table Arial"/>
    <w:basedOn w:val="Normal"/>
    <w:uiPriority w:val="8"/>
    <w:rsid w:val="00E95A61"/>
    <w:pPr>
      <w:spacing w:before="120"/>
    </w:pPr>
    <w:rPr>
      <w:rFonts w:ascii="Arial" w:hAnsi="Arial"/>
      <w:sz w:val="18"/>
      <w:szCs w:val="20"/>
      <w:lang w:eastAsia="en-GB"/>
    </w:rPr>
  </w:style>
  <w:style w:type="paragraph" w:customStyle="1" w:styleId="IASBTableBoldArial">
    <w:name w:val="IASB Table Bold Arial"/>
    <w:basedOn w:val="IASBTableArial"/>
    <w:uiPriority w:val="8"/>
    <w:qFormat/>
    <w:rsid w:val="00E95A61"/>
    <w:rPr>
      <w:b/>
    </w:rPr>
  </w:style>
  <w:style w:type="paragraph" w:customStyle="1" w:styleId="IASBTableHeaderArial">
    <w:name w:val="IASB Table Header Arial"/>
    <w:basedOn w:val="IASBTableArial"/>
    <w:uiPriority w:val="8"/>
    <w:qFormat/>
    <w:rsid w:val="00E95A61"/>
    <w:pPr>
      <w:keepNext/>
      <w:spacing w:after="200" w:line="276" w:lineRule="auto"/>
    </w:pPr>
  </w:style>
  <w:style w:type="character" w:styleId="EndnoteReference">
    <w:name w:val="endnote reference"/>
    <w:uiPriority w:val="99"/>
    <w:semiHidden/>
    <w:unhideWhenUsed/>
    <w:rsid w:val="00E95A61"/>
    <w:rPr>
      <w:vertAlign w:val="superscript"/>
    </w:rPr>
  </w:style>
  <w:style w:type="paragraph" w:customStyle="1" w:styleId="ConvSectionTitle">
    <w:name w:val="Conv Section Title"/>
    <w:basedOn w:val="IASBSectionTitle1NonInd"/>
    <w:uiPriority w:val="9"/>
    <w:qFormat/>
    <w:rsid w:val="00E95A61"/>
    <w:pPr>
      <w:pBdr>
        <w:bottom w:val="none" w:sz="0" w:space="0" w:color="auto"/>
      </w:pBdr>
    </w:pPr>
  </w:style>
  <w:style w:type="paragraph" w:customStyle="1" w:styleId="ConvStandardTitle1">
    <w:name w:val="Conv Standard Title 1"/>
    <w:basedOn w:val="Normal"/>
    <w:next w:val="ConvStandardTitle2"/>
    <w:uiPriority w:val="9"/>
    <w:qFormat/>
    <w:rsid w:val="00E95A61"/>
    <w:pPr>
      <w:spacing w:before="300"/>
    </w:pPr>
    <w:rPr>
      <w:rFonts w:ascii="Arial" w:hAnsi="Arial"/>
      <w:b/>
      <w:sz w:val="26"/>
    </w:rPr>
  </w:style>
  <w:style w:type="paragraph" w:customStyle="1" w:styleId="ConvStandardTitle2">
    <w:name w:val="Conv Standard Title2"/>
    <w:basedOn w:val="ConvStandardTitle1"/>
    <w:uiPriority w:val="9"/>
    <w:qFormat/>
    <w:rsid w:val="00E95A61"/>
    <w:pPr>
      <w:spacing w:before="0" w:after="200"/>
    </w:pPr>
    <w:rPr>
      <w:i/>
    </w:rPr>
  </w:style>
  <w:style w:type="paragraph" w:customStyle="1" w:styleId="AASBBase">
    <w:name w:val="AASB Base"/>
    <w:qFormat/>
    <w:rsid w:val="00E95A61"/>
    <w:pPr>
      <w:jc w:val="both"/>
    </w:pPr>
    <w:rPr>
      <w:sz w:val="19"/>
      <w:lang w:eastAsia="en-US"/>
    </w:rPr>
  </w:style>
  <w:style w:type="paragraph" w:customStyle="1" w:styleId="AASBPara">
    <w:name w:val="AASB Para"/>
    <w:basedOn w:val="AASBBase"/>
    <w:qFormat/>
    <w:rsid w:val="00E95A61"/>
    <w:pPr>
      <w:spacing w:after="200"/>
    </w:pPr>
  </w:style>
  <w:style w:type="paragraph" w:customStyle="1" w:styleId="AASBStandardCover">
    <w:name w:val="AASB Standard Cover"/>
    <w:semiHidden/>
    <w:qFormat/>
    <w:rsid w:val="00E95A61"/>
    <w:rPr>
      <w:rFonts w:ascii="HelveticaNeueLT Std" w:hAnsi="HelveticaNeueLT Std"/>
      <w:b/>
      <w:color w:val="25408F"/>
      <w:sz w:val="28"/>
      <w:szCs w:val="24"/>
      <w:lang w:eastAsia="en-US"/>
    </w:rPr>
  </w:style>
  <w:style w:type="paragraph" w:customStyle="1" w:styleId="AASBStandardDate">
    <w:name w:val="AASB Standard Date"/>
    <w:basedOn w:val="AASBStandardCover"/>
    <w:semiHidden/>
    <w:qFormat/>
    <w:rsid w:val="00E95A61"/>
    <w:pPr>
      <w:jc w:val="right"/>
    </w:pPr>
    <w:rPr>
      <w:b w:val="0"/>
      <w:sz w:val="24"/>
    </w:rPr>
  </w:style>
  <w:style w:type="paragraph" w:customStyle="1" w:styleId="AASBStandardNumber">
    <w:name w:val="AASB Standard Number"/>
    <w:basedOn w:val="AASBStandardCover"/>
    <w:semiHidden/>
    <w:qFormat/>
    <w:rsid w:val="00E95A61"/>
    <w:pPr>
      <w:jc w:val="right"/>
    </w:pPr>
    <w:rPr>
      <w:rFonts w:ascii="HelveticaNeueLT Std Blk" w:hAnsi="HelveticaNeueLT Std Blk"/>
      <w:b w:val="0"/>
      <w:sz w:val="24"/>
    </w:rPr>
  </w:style>
  <w:style w:type="paragraph" w:customStyle="1" w:styleId="AASBStandardTitle">
    <w:name w:val="AASB Standard Title"/>
    <w:basedOn w:val="AASBStandardCover"/>
    <w:semiHidden/>
    <w:qFormat/>
    <w:rsid w:val="00E95A61"/>
    <w:pPr>
      <w:spacing w:before="800"/>
    </w:pPr>
    <w:rPr>
      <w:b w:val="0"/>
      <w:sz w:val="50"/>
    </w:rPr>
  </w:style>
  <w:style w:type="paragraph" w:customStyle="1" w:styleId="AASBInterpretationCover">
    <w:name w:val="AASB Interpretation Cover"/>
    <w:basedOn w:val="AASBStandardCover"/>
    <w:semiHidden/>
    <w:qFormat/>
    <w:rsid w:val="00E95A61"/>
    <w:rPr>
      <w:color w:val="41AD49"/>
    </w:rPr>
  </w:style>
  <w:style w:type="paragraph" w:customStyle="1" w:styleId="AASBInterpretationDate">
    <w:name w:val="AASB Interpretation Date"/>
    <w:basedOn w:val="AASBStandardDate"/>
    <w:semiHidden/>
    <w:qFormat/>
    <w:rsid w:val="00E95A61"/>
    <w:rPr>
      <w:color w:val="41AD49"/>
    </w:rPr>
  </w:style>
  <w:style w:type="paragraph" w:customStyle="1" w:styleId="AASBInterpretationNumber">
    <w:name w:val="AASB Interpretation Number"/>
    <w:basedOn w:val="AASBStandardNumber"/>
    <w:semiHidden/>
    <w:qFormat/>
    <w:rsid w:val="00E95A61"/>
    <w:rPr>
      <w:color w:val="41AD49"/>
    </w:rPr>
  </w:style>
  <w:style w:type="paragraph" w:customStyle="1" w:styleId="AASBInterpretationTitle">
    <w:name w:val="AASB Interpretation Title"/>
    <w:basedOn w:val="AASBStandardTitle"/>
    <w:semiHidden/>
    <w:qFormat/>
    <w:rsid w:val="00E95A61"/>
    <w:rPr>
      <w:color w:val="41AD49"/>
    </w:rPr>
  </w:style>
  <w:style w:type="table" w:styleId="TableGrid">
    <w:name w:val="Table Grid"/>
    <w:basedOn w:val="TableNormal"/>
    <w:uiPriority w:val="59"/>
    <w:rsid w:val="00E95A61"/>
    <w:tblPr/>
  </w:style>
  <w:style w:type="paragraph" w:customStyle="1" w:styleId="ContentsHeading">
    <w:name w:val="Contents Heading"/>
    <w:basedOn w:val="AASBBase"/>
    <w:next w:val="ContentsLevel1"/>
    <w:qFormat/>
    <w:rsid w:val="00E95A61"/>
    <w:pPr>
      <w:spacing w:after="60"/>
      <w:jc w:val="right"/>
    </w:pPr>
    <w:rPr>
      <w:i/>
    </w:rPr>
  </w:style>
  <w:style w:type="paragraph" w:customStyle="1" w:styleId="ContentsLevel1">
    <w:name w:val="Contents Level1"/>
    <w:basedOn w:val="AASBBase"/>
    <w:qFormat/>
    <w:rsid w:val="00E95A61"/>
    <w:pPr>
      <w:tabs>
        <w:tab w:val="right" w:pos="9027"/>
      </w:tabs>
      <w:spacing w:after="60"/>
      <w:ind w:right="1134"/>
    </w:pPr>
    <w:rPr>
      <w:b/>
      <w:caps/>
    </w:rPr>
  </w:style>
  <w:style w:type="paragraph" w:customStyle="1" w:styleId="ContentsLevel2">
    <w:name w:val="Contents Level2"/>
    <w:basedOn w:val="ContentsLevel1"/>
    <w:uiPriority w:val="7"/>
    <w:qFormat/>
    <w:rsid w:val="00E95A61"/>
    <w:rPr>
      <w:caps w:val="0"/>
    </w:rPr>
  </w:style>
  <w:style w:type="paragraph" w:customStyle="1" w:styleId="ContentsLevel3">
    <w:name w:val="Contents Level3"/>
    <w:basedOn w:val="ContentsLevel2"/>
    <w:uiPriority w:val="7"/>
    <w:qFormat/>
    <w:rsid w:val="00E95A61"/>
    <w:pPr>
      <w:ind w:left="510"/>
    </w:pPr>
    <w:rPr>
      <w:b w:val="0"/>
    </w:rPr>
  </w:style>
  <w:style w:type="paragraph" w:customStyle="1" w:styleId="ContentsLevel4">
    <w:name w:val="Contents Level4"/>
    <w:basedOn w:val="ContentsLevel3"/>
    <w:uiPriority w:val="7"/>
    <w:qFormat/>
    <w:rsid w:val="00E95A61"/>
    <w:pPr>
      <w:ind w:left="850"/>
    </w:pPr>
  </w:style>
  <w:style w:type="paragraph" w:styleId="BalloonText">
    <w:name w:val="Balloon Text"/>
    <w:basedOn w:val="Normal"/>
    <w:link w:val="BalloonTextChar"/>
    <w:uiPriority w:val="99"/>
    <w:semiHidden/>
    <w:unhideWhenUsed/>
    <w:rsid w:val="00E95A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5A61"/>
    <w:rPr>
      <w:rFonts w:ascii="Segoe UI" w:hAnsi="Segoe UI" w:cs="Segoe UI"/>
      <w:sz w:val="18"/>
      <w:szCs w:val="18"/>
      <w:lang w:eastAsia="en-US"/>
    </w:rPr>
  </w:style>
  <w:style w:type="paragraph" w:customStyle="1" w:styleId="RDRM1">
    <w:name w:val="RDRM1"/>
    <w:basedOn w:val="IASBNormalnpara"/>
    <w:uiPriority w:val="5"/>
    <w:qFormat/>
    <w:rsid w:val="00E95A61"/>
    <w:pPr>
      <w:shd w:val="pct15" w:color="auto" w:fill="auto"/>
    </w:pPr>
  </w:style>
  <w:style w:type="paragraph" w:customStyle="1" w:styleId="RDRM2">
    <w:name w:val="RDRM2"/>
    <w:basedOn w:val="RDRM1"/>
    <w:uiPriority w:val="5"/>
    <w:qFormat/>
    <w:rsid w:val="00E95A61"/>
    <w:pPr>
      <w:tabs>
        <w:tab w:val="left" w:pos="782"/>
      </w:tabs>
      <w:ind w:left="1565" w:hanging="1565"/>
    </w:pPr>
  </w:style>
  <w:style w:type="paragraph" w:customStyle="1" w:styleId="RDRM3">
    <w:name w:val="RDRM3"/>
    <w:basedOn w:val="RDRM2"/>
    <w:uiPriority w:val="5"/>
    <w:qFormat/>
    <w:rsid w:val="00E95A61"/>
    <w:pPr>
      <w:tabs>
        <w:tab w:val="clear" w:pos="782"/>
        <w:tab w:val="left" w:pos="1565"/>
      </w:tabs>
      <w:ind w:left="2347" w:hanging="2347"/>
    </w:pPr>
  </w:style>
  <w:style w:type="paragraph" w:customStyle="1" w:styleId="RDRM4">
    <w:name w:val="RDRM4"/>
    <w:basedOn w:val="RDRM3"/>
    <w:uiPriority w:val="5"/>
    <w:qFormat/>
    <w:rsid w:val="00E95A61"/>
    <w:pPr>
      <w:tabs>
        <w:tab w:val="clear" w:pos="1565"/>
        <w:tab w:val="left" w:pos="2347"/>
      </w:tabs>
      <w:ind w:left="3130" w:hanging="3130"/>
    </w:pPr>
  </w:style>
  <w:style w:type="paragraph" w:customStyle="1" w:styleId="AusPlain">
    <w:name w:val="Aus Plain"/>
    <w:basedOn w:val="IASBNormalnpara"/>
    <w:uiPriority w:val="1"/>
    <w:qFormat/>
    <w:rsid w:val="00E95A61"/>
    <w:pPr>
      <w:ind w:left="1565" w:hanging="1565"/>
    </w:pPr>
  </w:style>
  <w:style w:type="paragraph" w:customStyle="1" w:styleId="AusBold">
    <w:name w:val="Aus Bold"/>
    <w:basedOn w:val="AusPlain"/>
    <w:uiPriority w:val="2"/>
    <w:qFormat/>
    <w:rsid w:val="00E95A61"/>
    <w:rPr>
      <w:b/>
    </w:rPr>
  </w:style>
  <w:style w:type="paragraph" w:customStyle="1" w:styleId="AusPlainRDR">
    <w:name w:val="Aus Plain RDR"/>
    <w:basedOn w:val="AusPlain"/>
    <w:uiPriority w:val="3"/>
    <w:qFormat/>
    <w:rsid w:val="00E95A61"/>
    <w:pPr>
      <w:shd w:val="pct15" w:color="auto" w:fill="auto"/>
    </w:pPr>
  </w:style>
  <w:style w:type="paragraph" w:customStyle="1" w:styleId="AusBoldRDR">
    <w:name w:val="Aus Bold RDR"/>
    <w:basedOn w:val="AusBold"/>
    <w:uiPriority w:val="4"/>
    <w:qFormat/>
    <w:rsid w:val="00E95A61"/>
    <w:pPr>
      <w:shd w:val="pct15" w:color="auto" w:fill="auto"/>
    </w:pPr>
  </w:style>
  <w:style w:type="paragraph" w:customStyle="1" w:styleId="RDR11">
    <w:name w:val="RDR11"/>
    <w:basedOn w:val="IASBNormalnparaL1"/>
    <w:uiPriority w:val="6"/>
    <w:qFormat/>
    <w:rsid w:val="00E95A61"/>
    <w:pPr>
      <w:shd w:val="pct15" w:color="auto" w:fill="auto"/>
    </w:pPr>
  </w:style>
  <w:style w:type="paragraph" w:customStyle="1" w:styleId="RDR12">
    <w:name w:val="RDR12"/>
    <w:basedOn w:val="RDR11"/>
    <w:uiPriority w:val="6"/>
    <w:qFormat/>
    <w:rsid w:val="00E95A61"/>
    <w:pPr>
      <w:tabs>
        <w:tab w:val="left" w:pos="1565"/>
      </w:tabs>
      <w:ind w:left="2347" w:hanging="1565"/>
    </w:pPr>
  </w:style>
  <w:style w:type="paragraph" w:customStyle="1" w:styleId="RDR13">
    <w:name w:val="RDR13"/>
    <w:basedOn w:val="RDR12"/>
    <w:uiPriority w:val="6"/>
    <w:qFormat/>
    <w:rsid w:val="00E95A61"/>
    <w:pPr>
      <w:tabs>
        <w:tab w:val="clear" w:pos="1565"/>
        <w:tab w:val="left" w:pos="2347"/>
      </w:tabs>
      <w:ind w:left="3129" w:hanging="2347"/>
    </w:pPr>
  </w:style>
  <w:style w:type="paragraph" w:customStyle="1" w:styleId="RDR21">
    <w:name w:val="RDR21"/>
    <w:basedOn w:val="IASBNormalnparaL2"/>
    <w:uiPriority w:val="6"/>
    <w:qFormat/>
    <w:rsid w:val="00E95A61"/>
    <w:pPr>
      <w:shd w:val="pct15" w:color="auto" w:fill="auto"/>
    </w:pPr>
  </w:style>
  <w:style w:type="paragraph" w:customStyle="1" w:styleId="RDR22">
    <w:name w:val="RDR22"/>
    <w:basedOn w:val="RDR21"/>
    <w:uiPriority w:val="6"/>
    <w:qFormat/>
    <w:rsid w:val="00E95A61"/>
    <w:pPr>
      <w:tabs>
        <w:tab w:val="left" w:pos="2347"/>
      </w:tabs>
      <w:ind w:left="3130" w:hanging="1565"/>
    </w:pPr>
  </w:style>
  <w:style w:type="table" w:styleId="TableGrid1">
    <w:name w:val="Table Grid 1"/>
    <w:basedOn w:val="TableNormal"/>
    <w:uiPriority w:val="99"/>
    <w:semiHidden/>
    <w:unhideWhenUsed/>
    <w:rsid w:val="00E95A61"/>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CommentReference">
    <w:name w:val="annotation reference"/>
    <w:basedOn w:val="DefaultParagraphFont"/>
    <w:uiPriority w:val="99"/>
    <w:semiHidden/>
    <w:unhideWhenUsed/>
    <w:rsid w:val="00D37CC9"/>
    <w:rPr>
      <w:sz w:val="16"/>
      <w:szCs w:val="16"/>
    </w:rPr>
  </w:style>
  <w:style w:type="paragraph" w:styleId="CommentText">
    <w:name w:val="annotation text"/>
    <w:basedOn w:val="Normal"/>
    <w:link w:val="CommentTextChar"/>
    <w:uiPriority w:val="99"/>
    <w:semiHidden/>
    <w:unhideWhenUsed/>
    <w:rsid w:val="00D37CC9"/>
    <w:rPr>
      <w:sz w:val="20"/>
      <w:szCs w:val="20"/>
    </w:rPr>
  </w:style>
  <w:style w:type="character" w:customStyle="1" w:styleId="CommentTextChar">
    <w:name w:val="Comment Text Char"/>
    <w:basedOn w:val="DefaultParagraphFont"/>
    <w:link w:val="CommentText"/>
    <w:uiPriority w:val="99"/>
    <w:semiHidden/>
    <w:rsid w:val="00D37CC9"/>
    <w:rPr>
      <w:lang w:eastAsia="en-US"/>
    </w:rPr>
  </w:style>
  <w:style w:type="paragraph" w:styleId="CommentSubject">
    <w:name w:val="annotation subject"/>
    <w:basedOn w:val="CommentText"/>
    <w:next w:val="CommentText"/>
    <w:link w:val="CommentSubjectChar"/>
    <w:uiPriority w:val="99"/>
    <w:semiHidden/>
    <w:unhideWhenUsed/>
    <w:rsid w:val="00D37CC9"/>
    <w:rPr>
      <w:b/>
      <w:bCs/>
    </w:rPr>
  </w:style>
  <w:style w:type="character" w:customStyle="1" w:styleId="CommentSubjectChar">
    <w:name w:val="Comment Subject Char"/>
    <w:basedOn w:val="CommentTextChar"/>
    <w:link w:val="CommentSubject"/>
    <w:uiPriority w:val="99"/>
    <w:semiHidden/>
    <w:rsid w:val="00D37CC9"/>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8.xml"/><Relationship Id="rId39" Type="http://schemas.openxmlformats.org/officeDocument/2006/relationships/header" Target="header13.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header" Target="header11.xml"/><Relationship Id="rId42" Type="http://schemas.openxmlformats.org/officeDocument/2006/relationships/header" Target="header14.xml"/><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9.xml"/><Relationship Id="rId33" Type="http://schemas.openxmlformats.org/officeDocument/2006/relationships/footer" Target="footer14.xml"/><Relationship Id="rId38" Type="http://schemas.openxmlformats.org/officeDocument/2006/relationships/footer" Target="footer17.xml"/><Relationship Id="rId46" Type="http://schemas.openxmlformats.org/officeDocument/2006/relationships/footer" Target="footer22.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9.xml"/><Relationship Id="rId41" Type="http://schemas.openxmlformats.org/officeDocument/2006/relationships/footer" Target="footer1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8.xml"/><Relationship Id="rId32" Type="http://schemas.openxmlformats.org/officeDocument/2006/relationships/footer" Target="footer13.xml"/><Relationship Id="rId37" Type="http://schemas.openxmlformats.org/officeDocument/2006/relationships/header" Target="header12.xml"/><Relationship Id="rId40" Type="http://schemas.openxmlformats.org/officeDocument/2006/relationships/footer" Target="footer18.xml"/><Relationship Id="rId45" Type="http://schemas.openxmlformats.org/officeDocument/2006/relationships/header" Target="header15.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footer" Target="footer11.xml"/><Relationship Id="rId36" Type="http://schemas.openxmlformats.org/officeDocument/2006/relationships/footer" Target="footer16.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0.xml"/><Relationship Id="rId44" Type="http://schemas.openxmlformats.org/officeDocument/2006/relationships/footer" Target="footer2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footer" Target="footer7.xml"/><Relationship Id="rId27" Type="http://schemas.openxmlformats.org/officeDocument/2006/relationships/footer" Target="footer10.xml"/><Relationship Id="rId30" Type="http://schemas.openxmlformats.org/officeDocument/2006/relationships/footer" Target="footer12.xml"/><Relationship Id="rId35" Type="http://schemas.openxmlformats.org/officeDocument/2006/relationships/footer" Target="footer15.xml"/><Relationship Id="rId43" Type="http://schemas.openxmlformats.org/officeDocument/2006/relationships/footer" Target="footer20.xml"/><Relationship Id="rId48"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aasb.com.au\shareddata\General\AASB\Templates\2010\WordGlobal\IASBas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58C764-5DA0-4A37-AEC2-7B8DF5391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IASBase.dotx</Template>
  <TotalTime>81</TotalTime>
  <Pages>39</Pages>
  <Words>14393</Words>
  <Characters>81520</Characters>
  <Application>Microsoft Office Word</Application>
  <DocSecurity>0</DocSecurity>
  <Lines>679</Lines>
  <Paragraphs>191</Paragraphs>
  <ScaleCrop>false</ScaleCrop>
  <HeadingPairs>
    <vt:vector size="2" baseType="variant">
      <vt:variant>
        <vt:lpstr>Title</vt:lpstr>
      </vt:variant>
      <vt:variant>
        <vt:i4>1</vt:i4>
      </vt:variant>
    </vt:vector>
  </HeadingPairs>
  <TitlesOfParts>
    <vt:vector size="1" baseType="lpstr">
      <vt:lpstr/>
    </vt:vector>
  </TitlesOfParts>
  <Company>IFRS</Company>
  <LinksUpToDate>false</LinksUpToDate>
  <CharactersWithSpaces>95722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AASB133</dc:title>
  <dc:creator>.</dc:creator>
  <cp:lastModifiedBy>Kathleen John</cp:lastModifiedBy>
  <cp:revision>10</cp:revision>
  <cp:lastPrinted>2015-08-24T07:56:00Z</cp:lastPrinted>
  <dcterms:created xsi:type="dcterms:W3CDTF">2015-07-23T05:15:00Z</dcterms:created>
  <dcterms:modified xsi:type="dcterms:W3CDTF">2015-08-24T07:56:00Z</dcterms:modified>
</cp:coreProperties>
</file>