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B64056" w:rsidTr="00B24074">
        <w:trPr>
          <w:tblHeader/>
        </w:trPr>
        <w:tc>
          <w:tcPr>
            <w:tcW w:w="4508" w:type="dxa"/>
          </w:tcPr>
          <w:p w:rsidR="00B64056" w:rsidRDefault="00B64056" w:rsidP="00EF02E5">
            <w:pPr>
              <w:pStyle w:val="AASBStandardCover"/>
            </w:pPr>
            <w:r>
              <w:t xml:space="preserve">AASB </w:t>
            </w:r>
            <w:bookmarkStart w:id="0" w:name="DocType"/>
            <w:r w:rsidRPr="00CB4C3F">
              <w:t>Standard</w:t>
            </w:r>
            <w:bookmarkEnd w:id="0"/>
          </w:p>
        </w:tc>
        <w:tc>
          <w:tcPr>
            <w:tcW w:w="4509" w:type="dxa"/>
          </w:tcPr>
          <w:p w:rsidR="00B64056" w:rsidRPr="006A73B2" w:rsidRDefault="00B64056" w:rsidP="00EF02E5">
            <w:pPr>
              <w:pStyle w:val="AASBStandardNumber"/>
              <w:rPr>
                <w:rFonts w:ascii="HelveticaNeueLT Std" w:hAnsi="HelveticaNeueLT Std"/>
                <w:b/>
              </w:rPr>
            </w:pPr>
            <w:bookmarkStart w:id="1" w:name="DocTypeAbb"/>
            <w:r w:rsidRPr="006A73B2">
              <w:rPr>
                <w:rFonts w:ascii="HelveticaNeueLT Std" w:hAnsi="HelveticaNeueLT Std"/>
                <w:b/>
              </w:rPr>
              <w:t>AASB</w:t>
            </w:r>
            <w:bookmarkEnd w:id="1"/>
            <w:r w:rsidRPr="006A73B2">
              <w:rPr>
                <w:rFonts w:ascii="HelveticaNeueLT Std" w:hAnsi="HelveticaNeueLT Std"/>
                <w:b/>
              </w:rPr>
              <w:t xml:space="preserve"> </w:t>
            </w:r>
            <w:bookmarkStart w:id="2" w:name="DocNo"/>
            <w:r w:rsidRPr="006A73B2">
              <w:rPr>
                <w:rFonts w:ascii="HelveticaNeueLT Std" w:hAnsi="HelveticaNeueLT Std"/>
                <w:b/>
              </w:rPr>
              <w:t>132</w:t>
            </w:r>
            <w:bookmarkEnd w:id="2"/>
          </w:p>
          <w:p w:rsidR="00B64056" w:rsidRDefault="005E4254" w:rsidP="00AA7E0F">
            <w:pPr>
              <w:pStyle w:val="AASBStandardDate"/>
            </w:pPr>
            <w:bookmarkStart w:id="3" w:name="DocDate"/>
            <w:r>
              <w:t>August</w:t>
            </w:r>
            <w:r w:rsidR="00B64056">
              <w:t xml:space="preserve"> 201</w:t>
            </w:r>
            <w:r w:rsidR="00AA7E0F">
              <w:t>5</w:t>
            </w:r>
            <w:bookmarkEnd w:id="3"/>
          </w:p>
        </w:tc>
      </w:tr>
    </w:tbl>
    <w:p w:rsidR="00B64056" w:rsidRDefault="00B64056" w:rsidP="00EF02E5">
      <w:pPr>
        <w:pStyle w:val="AASBStandardTitle"/>
      </w:pPr>
      <w:bookmarkStart w:id="4" w:name="DocTitle"/>
      <w:r>
        <w:t>Financial Instruments: Presentation</w:t>
      </w:r>
      <w:bookmarkEnd w:id="4"/>
    </w:p>
    <w:p w:rsidR="00B64056" w:rsidRDefault="00B64056" w:rsidP="00EF02E5">
      <w:pPr>
        <w:pStyle w:val="AASBBase"/>
      </w:pPr>
      <w:r w:rsidRPr="0024411C">
        <w:rPr>
          <w:noProof/>
          <w:lang w:eastAsia="en-AU"/>
        </w:rPr>
        <w:drawing>
          <wp:anchor distT="0" distB="0" distL="114300" distR="114300" simplePos="0" relativeHeight="251659264" behindDoc="0" locked="1" layoutInCell="1" allowOverlap="1" wp14:anchorId="2493CAEC" wp14:editId="54DC74A2">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4056" w:rsidRDefault="00B64056" w:rsidP="00EF02E5">
      <w:pPr>
        <w:pStyle w:val="AASBBase"/>
        <w:sectPr w:rsidR="00B64056" w:rsidSect="00EF02E5">
          <w:headerReference w:type="default" r:id="rId9"/>
          <w:pgSz w:w="11907" w:h="16839" w:code="9"/>
          <w:pgMar w:top="1440" w:right="1440" w:bottom="1440" w:left="1440" w:header="709" w:footer="709" w:gutter="0"/>
          <w:cols w:space="708"/>
          <w:docGrid w:linePitch="360"/>
        </w:sectPr>
      </w:pPr>
    </w:p>
    <w:p w:rsidR="00B64056" w:rsidRDefault="00B64056" w:rsidP="00EF02E5">
      <w:pPr>
        <w:pStyle w:val="IASBSectionTitle2NonInd"/>
      </w:pPr>
      <w:r>
        <w:lastRenderedPageBreak/>
        <w:t xml:space="preserve">Obtaining a </w:t>
      </w:r>
      <w:r w:rsidR="00BF45B4">
        <w:t>c</w:t>
      </w:r>
      <w:r>
        <w:t xml:space="preserve">opy of this Accounting </w:t>
      </w:r>
      <w:fldSimple w:instr=" REF DocType " w:fldLock="1">
        <w:r w:rsidRPr="00CB4C3F">
          <w:t>Standard</w:t>
        </w:r>
      </w:fldSimple>
    </w:p>
    <w:p w:rsidR="00B64056" w:rsidRDefault="00B64056" w:rsidP="00EF02E5">
      <w:pPr>
        <w:pStyle w:val="AASBBase"/>
      </w:pPr>
      <w:r>
        <w:t xml:space="preserve">This </w:t>
      </w:r>
      <w:fldSimple w:instr=" REF DocType " w:fldLock="1">
        <w:r w:rsidRPr="00CB4C3F">
          <w:t>Standard</w:t>
        </w:r>
      </w:fldSimple>
      <w:r>
        <w:t xml:space="preserve"> is available on the AASB website: www.aasb.gov.au.</w:t>
      </w:r>
    </w:p>
    <w:p w:rsidR="00AA7E0F" w:rsidRDefault="00AA7E0F" w:rsidP="00EF02E5">
      <w:pPr>
        <w:pStyle w:val="AASBBase"/>
      </w:pPr>
    </w:p>
    <w:p w:rsidR="00B64056" w:rsidRDefault="00B64056" w:rsidP="00EF02E5">
      <w:pPr>
        <w:pStyle w:val="AASBBase"/>
      </w:pPr>
      <w:r>
        <w:t>Australian Accounting Standards Board</w:t>
      </w:r>
    </w:p>
    <w:p w:rsidR="00B64056" w:rsidRDefault="00B64056" w:rsidP="00EF02E5">
      <w:pPr>
        <w:pStyle w:val="AASBBase"/>
      </w:pPr>
      <w:r>
        <w:t>PO Box 204</w:t>
      </w:r>
    </w:p>
    <w:p w:rsidR="00B64056" w:rsidRDefault="00B64056" w:rsidP="00EF02E5">
      <w:pPr>
        <w:pStyle w:val="AASBBase"/>
      </w:pPr>
      <w:r>
        <w:t>Collins Street West</w:t>
      </w:r>
    </w:p>
    <w:p w:rsidR="00B64056" w:rsidRDefault="00B64056" w:rsidP="00EF02E5">
      <w:pPr>
        <w:pStyle w:val="AASBBase"/>
      </w:pPr>
      <w:r>
        <w:t>Victoria   8007</w:t>
      </w:r>
    </w:p>
    <w:p w:rsidR="00B64056" w:rsidRDefault="00B64056" w:rsidP="00EF02E5">
      <w:pPr>
        <w:pStyle w:val="AASBPara"/>
      </w:pPr>
      <w:r>
        <w:t>AUSTRALIA</w:t>
      </w:r>
    </w:p>
    <w:p w:rsidR="00B64056" w:rsidRDefault="00B64056" w:rsidP="00D031AE">
      <w:pPr>
        <w:pStyle w:val="AASBBase"/>
        <w:tabs>
          <w:tab w:val="left" w:pos="907"/>
        </w:tabs>
      </w:pPr>
      <w:r>
        <w:t>Phone:</w:t>
      </w:r>
      <w:r>
        <w:tab/>
        <w:t>(03) 9617 7637</w:t>
      </w:r>
    </w:p>
    <w:p w:rsidR="00B64056" w:rsidRDefault="00B64056" w:rsidP="00D031AE">
      <w:pPr>
        <w:pStyle w:val="AASBBase"/>
        <w:tabs>
          <w:tab w:val="left" w:pos="907"/>
        </w:tabs>
      </w:pPr>
      <w:r>
        <w:t>E-mail:</w:t>
      </w:r>
      <w:r>
        <w:tab/>
        <w:t>publications@aasb.gov.au</w:t>
      </w:r>
    </w:p>
    <w:p w:rsidR="00B64056" w:rsidRDefault="00B64056" w:rsidP="00D031AE">
      <w:pPr>
        <w:pStyle w:val="AASBPara"/>
        <w:tabs>
          <w:tab w:val="left" w:pos="907"/>
        </w:tabs>
      </w:pPr>
      <w:r>
        <w:t>Website:</w:t>
      </w:r>
      <w:r>
        <w:tab/>
        <w:t>www.aasb.gov.au</w:t>
      </w:r>
    </w:p>
    <w:p w:rsidR="00B64056" w:rsidRDefault="00B64056" w:rsidP="00EF02E5">
      <w:pPr>
        <w:pStyle w:val="IASBSectionTitle2NonInd"/>
      </w:pPr>
      <w:r>
        <w:t xml:space="preserve">Other </w:t>
      </w:r>
      <w:r w:rsidR="00BF45B4">
        <w:t>e</w:t>
      </w:r>
      <w:r>
        <w:t>nquiries</w:t>
      </w:r>
    </w:p>
    <w:p w:rsidR="00B64056" w:rsidRDefault="00B64056" w:rsidP="005E4254">
      <w:pPr>
        <w:pStyle w:val="AASBBase"/>
        <w:tabs>
          <w:tab w:val="left" w:pos="907"/>
        </w:tabs>
      </w:pPr>
      <w:r>
        <w:t>Phone:</w:t>
      </w:r>
      <w:r>
        <w:tab/>
        <w:t>(03) 9617 7600</w:t>
      </w:r>
    </w:p>
    <w:p w:rsidR="00B64056" w:rsidRDefault="00B64056" w:rsidP="005E4254">
      <w:pPr>
        <w:pStyle w:val="AASBBase"/>
        <w:tabs>
          <w:tab w:val="left" w:pos="907"/>
        </w:tabs>
      </w:pPr>
      <w:r>
        <w:t>E-mail:</w:t>
      </w:r>
      <w:r>
        <w:tab/>
        <w:t>standard@aasb.gov.au</w:t>
      </w:r>
    </w:p>
    <w:p w:rsidR="00B64056" w:rsidRDefault="00B64056" w:rsidP="00EF02E5">
      <w:pPr>
        <w:pStyle w:val="AASBPara"/>
        <w:spacing w:before="5520"/>
      </w:pPr>
      <w:r>
        <w:t>COPYRIGHT</w:t>
      </w:r>
    </w:p>
    <w:p w:rsidR="00B64056" w:rsidRDefault="00B64056" w:rsidP="00EF02E5">
      <w:pPr>
        <w:pStyle w:val="AASBPara"/>
      </w:pPr>
      <w:r>
        <w:t xml:space="preserve">© Commonwealth of Australia </w:t>
      </w:r>
      <w:bookmarkStart w:id="5" w:name="Year"/>
      <w:r>
        <w:t>201</w:t>
      </w:r>
      <w:r w:rsidR="00AA7E0F">
        <w:t>5</w:t>
      </w:r>
      <w:bookmarkEnd w:id="5"/>
    </w:p>
    <w:p w:rsidR="00B64056" w:rsidRDefault="00B64056" w:rsidP="00EF02E5">
      <w:pPr>
        <w:pStyle w:val="AASBPara"/>
      </w:pPr>
      <w:r>
        <w:t xml:space="preserve">This AASB </w:t>
      </w:r>
      <w:fldSimple w:instr=" REF DocType " w:fldLock="1">
        <w:r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B64056" w:rsidRDefault="00B64056" w:rsidP="00EF02E5">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B64056" w:rsidRDefault="00B64056" w:rsidP="00EF02E5">
      <w:pPr>
        <w:pStyle w:val="AASBBase"/>
      </w:pPr>
      <w:r>
        <w:t xml:space="preserve">ISSN </w:t>
      </w:r>
      <w:bookmarkStart w:id="6" w:name="ISSN"/>
      <w:r>
        <w:t>1036-4803</w:t>
      </w:r>
      <w:bookmarkEnd w:id="6"/>
    </w:p>
    <w:p w:rsidR="00B64056" w:rsidRDefault="00B64056" w:rsidP="00EF02E5">
      <w:pPr>
        <w:pStyle w:val="AASBBase"/>
        <w:sectPr w:rsidR="00B64056" w:rsidSect="00DC1DD3">
          <w:headerReference w:type="even" r:id="rId10"/>
          <w:headerReference w:type="default" r:id="rId11"/>
          <w:footerReference w:type="even" r:id="rId12"/>
          <w:footerReference w:type="default" r:id="rId13"/>
          <w:pgSz w:w="11907" w:h="16839" w:code="9"/>
          <w:pgMar w:top="1440" w:right="1440" w:bottom="1440" w:left="1440" w:header="709" w:footer="709" w:gutter="0"/>
          <w:pgNumType w:start="2"/>
          <w:cols w:space="708"/>
          <w:docGrid w:linePitch="360"/>
        </w:sectPr>
      </w:pPr>
    </w:p>
    <w:p w:rsidR="00B64056" w:rsidRDefault="00B64056" w:rsidP="00EF02E5">
      <w:pPr>
        <w:pStyle w:val="ConvSectionTitle"/>
      </w:pPr>
      <w:r>
        <w:lastRenderedPageBreak/>
        <w:t>Contents</w:t>
      </w:r>
    </w:p>
    <w:p w:rsidR="00B64056" w:rsidRDefault="00B64056" w:rsidP="00026908">
      <w:pPr>
        <w:pStyle w:val="AASBPara"/>
        <w:spacing w:before="400"/>
      </w:pPr>
      <w:r>
        <w:t xml:space="preserve">COMPARISON WITH </w:t>
      </w:r>
      <w:bookmarkStart w:id="7" w:name="IntnlType"/>
      <w:r>
        <w:t>IAS</w:t>
      </w:r>
      <w:bookmarkEnd w:id="7"/>
      <w:r>
        <w:t xml:space="preserve"> </w:t>
      </w:r>
      <w:bookmarkStart w:id="8" w:name="IntnlNo"/>
      <w:r>
        <w:t>32</w:t>
      </w:r>
      <w:bookmarkEnd w:id="8"/>
    </w:p>
    <w:p w:rsidR="00B64056" w:rsidRPr="000C31B3" w:rsidRDefault="00B64056" w:rsidP="00EF02E5">
      <w:pPr>
        <w:pStyle w:val="AASBBase"/>
        <w:rPr>
          <w:b/>
        </w:rPr>
      </w:pPr>
      <w:bookmarkStart w:id="9" w:name="TOCTopStandard"/>
      <w:r w:rsidRPr="000C31B3">
        <w:rPr>
          <w:b/>
        </w:rPr>
        <w:t>ACCOUNTING STANDARD</w:t>
      </w:r>
    </w:p>
    <w:p w:rsidR="00B64056" w:rsidRPr="000C31B3" w:rsidRDefault="00B64056" w:rsidP="00EF02E5">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B64056">
        <w:rPr>
          <w:b/>
        </w:rPr>
        <w:t>132</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B64056">
        <w:rPr>
          <w:b/>
          <w:i/>
        </w:rPr>
        <w:t>FINANCIAL INSTRUMENTS: PRESENTATION</w:t>
      </w:r>
      <w:r w:rsidRPr="000C31B3">
        <w:rPr>
          <w:b/>
          <w:i/>
        </w:rPr>
        <w:fldChar w:fldCharType="end"/>
      </w:r>
    </w:p>
    <w:bookmarkEnd w:id="9"/>
    <w:p w:rsidR="00B64056" w:rsidRDefault="00B64056" w:rsidP="00EF02E5">
      <w:pPr>
        <w:pStyle w:val="ContentsHeading"/>
      </w:pPr>
      <w:r>
        <w:t>from paragraph</w:t>
      </w:r>
    </w:p>
    <w:p w:rsidR="00132E77" w:rsidRDefault="00132E77" w:rsidP="00132E77">
      <w:pPr>
        <w:pStyle w:val="ContentsLevel1"/>
      </w:pPr>
      <w:bookmarkStart w:id="10" w:name="TOCRange"/>
      <w:r>
        <w:t>Objective</w:t>
      </w:r>
      <w:r>
        <w:tab/>
        <w:t>1</w:t>
      </w:r>
    </w:p>
    <w:p w:rsidR="00132E77" w:rsidRDefault="00132E77" w:rsidP="00132E77">
      <w:pPr>
        <w:pStyle w:val="ContentsLevel1"/>
      </w:pPr>
      <w:r>
        <w:t>Scope</w:t>
      </w:r>
      <w:r>
        <w:tab/>
        <w:t>4</w:t>
      </w:r>
    </w:p>
    <w:p w:rsidR="00132E77" w:rsidRDefault="00132E77" w:rsidP="00132E77">
      <w:pPr>
        <w:pStyle w:val="ContentsLevel1"/>
      </w:pPr>
      <w:r>
        <w:t>Definitions</w:t>
      </w:r>
      <w:r>
        <w:tab/>
        <w:t>11</w:t>
      </w:r>
    </w:p>
    <w:p w:rsidR="00132E77" w:rsidRDefault="00132E77" w:rsidP="00132E77">
      <w:pPr>
        <w:pStyle w:val="ContentsLevel1"/>
      </w:pPr>
      <w:r>
        <w:t>Presentation</w:t>
      </w:r>
    </w:p>
    <w:p w:rsidR="00132E77" w:rsidRDefault="00132E77" w:rsidP="00132E77">
      <w:pPr>
        <w:pStyle w:val="ContentsLevel2"/>
      </w:pPr>
      <w:r>
        <w:t>Liabilities and equity</w:t>
      </w:r>
      <w:r>
        <w:tab/>
        <w:t>15</w:t>
      </w:r>
    </w:p>
    <w:p w:rsidR="00132E77" w:rsidRDefault="00132E77" w:rsidP="00132E77">
      <w:pPr>
        <w:pStyle w:val="ContentsLevel3"/>
      </w:pPr>
      <w:r>
        <w:t>Puttable instruments</w:t>
      </w:r>
      <w:r>
        <w:tab/>
        <w:t>16A</w:t>
      </w:r>
    </w:p>
    <w:p w:rsidR="00132E77" w:rsidRDefault="00132E77" w:rsidP="00132E77">
      <w:pPr>
        <w:pStyle w:val="ContentsLevel3"/>
      </w:pPr>
      <w:r>
        <w:t>Instruments, or components of instruments, that impose on the entity an obligation to deliver to another party a pro rata share of the net assets of the entity only on liquidation</w:t>
      </w:r>
      <w:r>
        <w:tab/>
        <w:t>16C</w:t>
      </w:r>
    </w:p>
    <w:p w:rsidR="00132E77" w:rsidRDefault="00132E77" w:rsidP="00132E77">
      <w:pPr>
        <w:pStyle w:val="ContentsLevel3"/>
      </w:pPr>
      <w:r>
        <w:t>Reclassification of puttable instruments and instruments that impose on the entity an obligation to deliver to another party a pro rata share of the net assets of the entity only on liquidation</w:t>
      </w:r>
      <w:r>
        <w:tab/>
        <w:t>16E</w:t>
      </w:r>
    </w:p>
    <w:p w:rsidR="00132E77" w:rsidRDefault="00132E77" w:rsidP="00132E77">
      <w:pPr>
        <w:pStyle w:val="ContentsLevel3"/>
      </w:pPr>
      <w:r>
        <w:t>No contractual obligation to deliver cash or another financial asset</w:t>
      </w:r>
      <w:r>
        <w:tab/>
        <w:t>17</w:t>
      </w:r>
    </w:p>
    <w:p w:rsidR="00132E77" w:rsidRDefault="00132E77" w:rsidP="00132E77">
      <w:pPr>
        <w:pStyle w:val="ContentsLevel3"/>
      </w:pPr>
      <w:r>
        <w:t>Settlement in the entity’s own equity instruments</w:t>
      </w:r>
      <w:r>
        <w:tab/>
        <w:t>21</w:t>
      </w:r>
    </w:p>
    <w:p w:rsidR="00132E77" w:rsidRDefault="00132E77" w:rsidP="00132E77">
      <w:pPr>
        <w:pStyle w:val="ContentsLevel3"/>
      </w:pPr>
      <w:r>
        <w:t>Contingent settlement provisions</w:t>
      </w:r>
      <w:r>
        <w:tab/>
        <w:t>25</w:t>
      </w:r>
    </w:p>
    <w:p w:rsidR="00132E77" w:rsidRDefault="00132E77" w:rsidP="00132E77">
      <w:pPr>
        <w:pStyle w:val="ContentsLevel3"/>
      </w:pPr>
      <w:r>
        <w:t>Settlement options</w:t>
      </w:r>
      <w:r>
        <w:tab/>
        <w:t>26</w:t>
      </w:r>
    </w:p>
    <w:p w:rsidR="00132E77" w:rsidRDefault="00132E77" w:rsidP="00132E77">
      <w:pPr>
        <w:pStyle w:val="ContentsLevel2"/>
      </w:pPr>
      <w:r>
        <w:t>Compound financial instruments</w:t>
      </w:r>
      <w:r>
        <w:tab/>
        <w:t>28</w:t>
      </w:r>
    </w:p>
    <w:p w:rsidR="00132E77" w:rsidRDefault="00132E77" w:rsidP="00132E77">
      <w:pPr>
        <w:pStyle w:val="ContentsLevel2"/>
      </w:pPr>
      <w:r>
        <w:t>Treasury shares</w:t>
      </w:r>
      <w:r>
        <w:tab/>
        <w:t>33</w:t>
      </w:r>
    </w:p>
    <w:p w:rsidR="00132E77" w:rsidRDefault="00132E77" w:rsidP="00132E77">
      <w:pPr>
        <w:pStyle w:val="ContentsLevel2"/>
      </w:pPr>
      <w:r>
        <w:t>Interest, dividends, losses and gains</w:t>
      </w:r>
      <w:r>
        <w:tab/>
        <w:t>35</w:t>
      </w:r>
    </w:p>
    <w:p w:rsidR="00132E77" w:rsidRDefault="00132E77" w:rsidP="00132E77">
      <w:pPr>
        <w:pStyle w:val="ContentsLevel2"/>
      </w:pPr>
      <w:r>
        <w:t>Offsetting a financial asset and a financial liability</w:t>
      </w:r>
      <w:r>
        <w:tab/>
        <w:t>42</w:t>
      </w:r>
    </w:p>
    <w:p w:rsidR="00132E77" w:rsidRDefault="00132E77" w:rsidP="00132E77">
      <w:pPr>
        <w:pStyle w:val="ContentsLevel1"/>
      </w:pPr>
      <w:r>
        <w:t>Effective date and transition</w:t>
      </w:r>
      <w:r>
        <w:tab/>
        <w:t>96</w:t>
      </w:r>
    </w:p>
    <w:p w:rsidR="00132E77" w:rsidRDefault="00132E77" w:rsidP="00132E77">
      <w:pPr>
        <w:pStyle w:val="ContentsLevel1"/>
      </w:pPr>
      <w:r>
        <w:t>Withdrawal of other pronouncements</w:t>
      </w:r>
      <w:r>
        <w:tab/>
        <w:t>9</w:t>
      </w:r>
      <w:r w:rsidR="006D7548">
        <w:t>8</w:t>
      </w:r>
    </w:p>
    <w:p w:rsidR="00132E77" w:rsidRDefault="00132E77" w:rsidP="00132E77">
      <w:pPr>
        <w:pStyle w:val="ContentsLevel1"/>
      </w:pPr>
      <w:r>
        <w:t>Commencement of the legislative instrument</w:t>
      </w:r>
      <w:r>
        <w:tab/>
      </w:r>
      <w:r w:rsidRPr="00752F1E">
        <w:rPr>
          <w:rFonts w:ascii="Times New Roman Bold" w:hAnsi="Times New Roman Bold"/>
          <w:caps w:val="0"/>
        </w:rPr>
        <w:t>Aus</w:t>
      </w:r>
      <w:r>
        <w:t>100.1</w:t>
      </w:r>
    </w:p>
    <w:p w:rsidR="00132E77" w:rsidRDefault="00132E77" w:rsidP="00132E77">
      <w:pPr>
        <w:pStyle w:val="ContentsLevel1"/>
      </w:pPr>
      <w:r>
        <w:t>Withdrawal of AASB pronouncements</w:t>
      </w:r>
      <w:r>
        <w:tab/>
      </w:r>
      <w:r w:rsidRPr="00752F1E">
        <w:rPr>
          <w:rFonts w:ascii="Times New Roman Bold" w:hAnsi="Times New Roman Bold"/>
          <w:caps w:val="0"/>
        </w:rPr>
        <w:t>Aus1</w:t>
      </w:r>
      <w:r>
        <w:t>00.2</w:t>
      </w:r>
    </w:p>
    <w:p w:rsidR="00752F1E" w:rsidRDefault="00132E77" w:rsidP="00132E77">
      <w:pPr>
        <w:pStyle w:val="ContentsLevel1"/>
      </w:pPr>
      <w:r>
        <w:t>Appendix</w:t>
      </w:r>
    </w:p>
    <w:p w:rsidR="00132E77" w:rsidRDefault="00132E77" w:rsidP="00752F1E">
      <w:pPr>
        <w:pStyle w:val="ContentsLevel2"/>
      </w:pPr>
      <w:r>
        <w:t>Application guidance</w:t>
      </w:r>
    </w:p>
    <w:p w:rsidR="00132E77" w:rsidRDefault="00132E77" w:rsidP="00132E77">
      <w:pPr>
        <w:pStyle w:val="ContentsLevel1"/>
      </w:pPr>
      <w:r>
        <w:t>Illustrative Examples</w:t>
      </w:r>
    </w:p>
    <w:p w:rsidR="00132E77" w:rsidRDefault="00132E77" w:rsidP="00132E77">
      <w:pPr>
        <w:pStyle w:val="ContentsLevel1"/>
      </w:pPr>
      <w:r>
        <w:t>Deleted IAS 32 text</w:t>
      </w:r>
    </w:p>
    <w:bookmarkEnd w:id="10"/>
    <w:p w:rsidR="00B64056" w:rsidRDefault="00B64056" w:rsidP="00EF02E5">
      <w:pPr>
        <w:pStyle w:val="ContentsLevel1"/>
      </w:pPr>
    </w:p>
    <w:p w:rsidR="00132E77" w:rsidRDefault="00132E77" w:rsidP="00EF02E5">
      <w:pPr>
        <w:pStyle w:val="ContentsLevel1"/>
      </w:pPr>
    </w:p>
    <w:p w:rsidR="00E30B6B" w:rsidRDefault="00E30B6B" w:rsidP="00E30B6B">
      <w:pPr>
        <w:pStyle w:val="ContentsLevel1"/>
      </w:pPr>
      <w:bookmarkStart w:id="11" w:name="TOCBottomStandard"/>
      <w:r>
        <w:t>available on the AASB website</w:t>
      </w:r>
    </w:p>
    <w:p w:rsidR="00E30B6B" w:rsidRDefault="00E30B6B" w:rsidP="00E30B6B">
      <w:pPr>
        <w:pStyle w:val="ContentsLevel1"/>
      </w:pPr>
      <w:r>
        <w:rPr>
          <w:caps w:val="0"/>
        </w:rPr>
        <w:t>Basis for Conclusions on</w:t>
      </w:r>
      <w:r>
        <w:t xml:space="preserve"> IAS 32</w:t>
      </w:r>
    </w:p>
    <w:p w:rsidR="00B64056" w:rsidRDefault="00B64056" w:rsidP="00EF02E5">
      <w:pPr>
        <w:pStyle w:val="ContentsLevel1"/>
      </w:pPr>
    </w:p>
    <w:p w:rsidR="005E4254" w:rsidRDefault="005E4254" w:rsidP="00EF02E5">
      <w:pPr>
        <w:pStyle w:val="ContentsLevel1"/>
      </w:pPr>
    </w:p>
    <w:p w:rsidR="00B64056" w:rsidRDefault="00B64056" w:rsidP="00EF02E5">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t>132</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B64056">
        <w:rPr>
          <w:i/>
        </w:rPr>
        <w:t>Financial Instruments: Presentation</w:t>
      </w:r>
      <w:r w:rsidRPr="00103CE9">
        <w:rPr>
          <w:i/>
        </w:rPr>
        <w:fldChar w:fldCharType="end"/>
      </w:r>
      <w:r>
        <w:t xml:space="preserve"> is set out in paragraphs </w:t>
      </w:r>
      <w:r w:rsidR="00CB1BED">
        <w:t>1</w:t>
      </w:r>
      <w:r w:rsidR="006046BC">
        <w:t xml:space="preserve"> – Aus100.2</w:t>
      </w:r>
      <w:r>
        <w:t xml:space="preserve"> and </w:t>
      </w:r>
      <w:r w:rsidR="00E30B6B">
        <w:t xml:space="preserve">the </w:t>
      </w:r>
      <w:r w:rsidR="006046BC">
        <w:t>Appendix</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t>132</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772CDD">
        <w:t xml:space="preserve">, and AASB 1057 </w:t>
      </w:r>
      <w:r w:rsidR="00772CD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B64056" w:rsidRDefault="00B64056" w:rsidP="00EF02E5">
      <w:pPr>
        <w:pStyle w:val="AASBBase"/>
      </w:pPr>
    </w:p>
    <w:bookmarkEnd w:id="11"/>
    <w:p w:rsidR="00B64056" w:rsidRDefault="00B64056" w:rsidP="00EF02E5">
      <w:pPr>
        <w:pStyle w:val="AASBBase"/>
      </w:pPr>
    </w:p>
    <w:p w:rsidR="00B64056" w:rsidRDefault="00B64056" w:rsidP="00EF02E5">
      <w:pPr>
        <w:pStyle w:val="AASBBase"/>
        <w:sectPr w:rsidR="00B64056" w:rsidSect="00EF02E5">
          <w:headerReference w:type="even" r:id="rId14"/>
          <w:footerReference w:type="even" r:id="rId15"/>
          <w:footerReference w:type="default" r:id="rId16"/>
          <w:pgSz w:w="11907" w:h="16839" w:code="9"/>
          <w:pgMar w:top="1440" w:right="1440" w:bottom="1440" w:left="1440" w:header="709" w:footer="709" w:gutter="0"/>
          <w:cols w:space="708"/>
          <w:docGrid w:linePitch="360"/>
        </w:sectPr>
      </w:pPr>
    </w:p>
    <w:p w:rsidR="00B64056" w:rsidRDefault="00B64056" w:rsidP="00EF02E5">
      <w:pPr>
        <w:pStyle w:val="ConvSectionTitle"/>
      </w:pPr>
      <w:r>
        <w:lastRenderedPageBreak/>
        <w:t xml:space="preserve">Comparison with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32</w:t>
      </w:r>
      <w:r>
        <w:fldChar w:fldCharType="end"/>
      </w:r>
    </w:p>
    <w:p w:rsidR="00B64056" w:rsidRDefault="00B64056" w:rsidP="00EF02E5">
      <w:pPr>
        <w:pStyle w:val="IASBNormal"/>
      </w:pPr>
      <w:r>
        <w:t xml:space="preserve">AASB </w:t>
      </w:r>
      <w:r>
        <w:fldChar w:fldCharType="begin" w:fldLock="1"/>
      </w:r>
      <w:r>
        <w:instrText xml:space="preserve"> REF DocNo \* charformat</w:instrText>
      </w:r>
      <w:r>
        <w:fldChar w:fldCharType="separate"/>
      </w:r>
      <w:r>
        <w:t>132</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Pr="00B64056">
        <w:rPr>
          <w:i/>
        </w:rPr>
        <w:t>Financial Instruments: Presentation</w:t>
      </w:r>
      <w:r w:rsidRPr="00137A58">
        <w:rPr>
          <w:i/>
        </w:rPr>
        <w:fldChar w:fldCharType="end"/>
      </w:r>
      <w:r>
        <w:t xml:space="preserve"> incorporates </w:t>
      </w:r>
      <w:r>
        <w:fldChar w:fldCharType="begin" w:fldLock="1"/>
      </w:r>
      <w:r>
        <w:instrText xml:space="preserve"> REF IntnlType \* charformat</w:instrText>
      </w:r>
      <w:r>
        <w:fldChar w:fldCharType="separate"/>
      </w:r>
      <w:r>
        <w:t>IAS</w:t>
      </w:r>
      <w:r>
        <w:fldChar w:fldCharType="end"/>
      </w:r>
      <w:r>
        <w:t> </w:t>
      </w:r>
      <w:r>
        <w:fldChar w:fldCharType="begin" w:fldLock="1"/>
      </w:r>
      <w:r>
        <w:instrText xml:space="preserve"> REF IntnlNo \* charformat</w:instrText>
      </w:r>
      <w:r>
        <w:fldChar w:fldCharType="separate"/>
      </w:r>
      <w:r>
        <w:t>32</w:t>
      </w:r>
      <w:r>
        <w:fldChar w:fldCharType="end"/>
      </w:r>
      <w:r>
        <w:t xml:space="preserve"> </w:t>
      </w:r>
      <w:bookmarkStart w:id="12" w:name="IntnlTitle"/>
      <w:r w:rsidRPr="00B64056">
        <w:rPr>
          <w:i/>
        </w:rPr>
        <w:t>Financial Instruments: Presentation</w:t>
      </w:r>
      <w:bookmarkEnd w:id="12"/>
      <w:r>
        <w:t xml:space="preserve"> issued by the International Accounting Standards Board (IASB).  Australian</w:t>
      </w:r>
      <w:r>
        <w:noBreakHyphen/>
        <w:t xml:space="preserve">specific paragraphs (which are not included in </w:t>
      </w:r>
      <w:r>
        <w:fldChar w:fldCharType="begin" w:fldLock="1"/>
      </w:r>
      <w:r>
        <w:instrText xml:space="preserve"> REF IntnlType \* charformat</w:instrText>
      </w:r>
      <w:r>
        <w:fldChar w:fldCharType="separate"/>
      </w:r>
      <w:r>
        <w:t>IAS</w:t>
      </w:r>
      <w:r>
        <w:fldChar w:fldCharType="end"/>
      </w:r>
      <w:r>
        <w:t> </w:t>
      </w:r>
      <w:r>
        <w:fldChar w:fldCharType="begin" w:fldLock="1"/>
      </w:r>
      <w:r>
        <w:instrText xml:space="preserve"> REF IntnlNo \* charformat</w:instrText>
      </w:r>
      <w:r>
        <w:fldChar w:fldCharType="separate"/>
      </w:r>
      <w:r>
        <w:t>32</w:t>
      </w:r>
      <w:r>
        <w:fldChar w:fldCharType="end"/>
      </w:r>
      <w:r>
        <w:t>) are identified with the prefix “Aus”</w:t>
      </w:r>
      <w:r w:rsidR="006046BC">
        <w:t xml:space="preserve">. </w:t>
      </w:r>
      <w:r>
        <w:t xml:space="preserve"> Paragraphs that apply only to not-for-profit entities begin by identifying their limited applicability.</w:t>
      </w:r>
    </w:p>
    <w:p w:rsidR="008A431A" w:rsidRPr="00865045" w:rsidRDefault="008A431A" w:rsidP="008A431A">
      <w:pPr>
        <w:pStyle w:val="ConvStandardTitle1"/>
      </w:pPr>
      <w:r w:rsidRPr="00865045">
        <w:t>Tier 1</w:t>
      </w:r>
    </w:p>
    <w:p w:rsidR="00B64056" w:rsidRDefault="00B64056" w:rsidP="00EF02E5">
      <w:pPr>
        <w:pStyle w:val="IASBNormal"/>
      </w:pPr>
      <w:r>
        <w:t xml:space="preserve">For-profit entities complying with AASB </w:t>
      </w:r>
      <w:r>
        <w:fldChar w:fldCharType="begin" w:fldLock="1"/>
      </w:r>
      <w:r>
        <w:instrText xml:space="preserve"> REF DocNo \* charformat</w:instrText>
      </w:r>
      <w:r>
        <w:fldChar w:fldCharType="separate"/>
      </w:r>
      <w:r>
        <w:t>132</w:t>
      </w:r>
      <w:r>
        <w:fldChar w:fldCharType="end"/>
      </w:r>
      <w:r>
        <w:t xml:space="preserve"> also comply with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32</w:t>
      </w:r>
      <w:r>
        <w:fldChar w:fldCharType="end"/>
      </w:r>
      <w:r>
        <w:t>.</w:t>
      </w:r>
    </w:p>
    <w:p w:rsidR="00B64056" w:rsidRDefault="00B64056" w:rsidP="00EF02E5">
      <w:pPr>
        <w:pStyle w:val="IASBNormal"/>
      </w:pPr>
      <w:r>
        <w:t xml:space="preserve">Not-for-profit entities’ compliance with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32</w:t>
      </w:r>
      <w:r>
        <w:fldChar w:fldCharType="end"/>
      </w:r>
      <w:r>
        <w:t xml:space="preserve"> will depend on whether any “Aus”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t>IAS</w:t>
      </w:r>
      <w:r>
        <w:fldChar w:fldCharType="end"/>
      </w:r>
      <w:r>
        <w:t> </w:t>
      </w:r>
      <w:r>
        <w:fldChar w:fldCharType="begin" w:fldLock="1"/>
      </w:r>
      <w:r>
        <w:instrText xml:space="preserve"> REF IntnlNo \* charformat</w:instrText>
      </w:r>
      <w:r>
        <w:fldChar w:fldCharType="separate"/>
      </w:r>
      <w:r>
        <w:t>32</w:t>
      </w:r>
      <w:r>
        <w:fldChar w:fldCharType="end"/>
      </w:r>
      <w:r>
        <w:t>.</w:t>
      </w:r>
    </w:p>
    <w:p w:rsidR="008A431A" w:rsidRPr="00F83914" w:rsidRDefault="008A431A" w:rsidP="008A431A">
      <w:pPr>
        <w:pStyle w:val="IASBNormal"/>
      </w:pPr>
      <w:r w:rsidRPr="00865045">
        <w:t xml:space="preserve">AASB 1053 </w:t>
      </w:r>
      <w:r w:rsidRPr="00865045">
        <w:rPr>
          <w:i/>
        </w:rPr>
        <w:t>Application of Tiers of Australian Accounting Standards</w:t>
      </w:r>
      <w:r w:rsidRPr="00865045">
        <w:t xml:space="preserve"> explains the two tiers of reporting requirements.</w:t>
      </w:r>
    </w:p>
    <w:p w:rsidR="00B64056" w:rsidRDefault="00B64056" w:rsidP="00EF02E5">
      <w:pPr>
        <w:pStyle w:val="AASBBase"/>
      </w:pPr>
    </w:p>
    <w:p w:rsidR="00B64056" w:rsidRDefault="00B64056" w:rsidP="00EF02E5">
      <w:pPr>
        <w:pStyle w:val="AASBBase"/>
        <w:sectPr w:rsidR="00B64056" w:rsidSect="00EF02E5">
          <w:headerReference w:type="even" r:id="rId17"/>
          <w:footerReference w:type="even" r:id="rId18"/>
          <w:footerReference w:type="default" r:id="rId19"/>
          <w:pgSz w:w="11907" w:h="16839" w:code="9"/>
          <w:pgMar w:top="1440" w:right="1440" w:bottom="1440" w:left="1440" w:header="709" w:footer="709" w:gutter="0"/>
          <w:cols w:space="708"/>
          <w:docGrid w:linePitch="360"/>
        </w:sectPr>
      </w:pPr>
    </w:p>
    <w:p w:rsidR="00B64056" w:rsidRDefault="00B64056" w:rsidP="00EF02E5">
      <w:pPr>
        <w:pStyle w:val="ConvSectionTitle"/>
      </w:pPr>
      <w:r>
        <w:lastRenderedPageBreak/>
        <w:t xml:space="preserve">Accounting Standard AASB </w:t>
      </w:r>
      <w:r>
        <w:fldChar w:fldCharType="begin" w:fldLock="1"/>
      </w:r>
      <w:r>
        <w:instrText xml:space="preserve"> REF DocNo \* charformat</w:instrText>
      </w:r>
      <w:r>
        <w:fldChar w:fldCharType="separate"/>
      </w:r>
      <w:r>
        <w:t>132</w:t>
      </w:r>
      <w:r>
        <w:fldChar w:fldCharType="end"/>
      </w:r>
    </w:p>
    <w:p w:rsidR="00B64056" w:rsidRDefault="00B64056" w:rsidP="00EF02E5">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t>132</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B64056">
        <w:rPr>
          <w:i/>
        </w:rPr>
        <w:t>Financial Instruments: Presentation</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B64056" w:rsidTr="00B24074">
        <w:trPr>
          <w:tblHeader/>
        </w:trPr>
        <w:tc>
          <w:tcPr>
            <w:tcW w:w="4508" w:type="dxa"/>
          </w:tcPr>
          <w:p w:rsidR="00B64056" w:rsidRDefault="00B64056" w:rsidP="00EF02E5">
            <w:pPr>
              <w:pStyle w:val="AASBBase"/>
            </w:pPr>
          </w:p>
        </w:tc>
        <w:tc>
          <w:tcPr>
            <w:tcW w:w="4509" w:type="dxa"/>
          </w:tcPr>
          <w:p w:rsidR="00B64056" w:rsidRDefault="00B64056" w:rsidP="00EF02E5">
            <w:pPr>
              <w:pStyle w:val="AASBBase"/>
              <w:jc w:val="right"/>
            </w:pPr>
            <w:r>
              <w:t>Kris Peach</w:t>
            </w:r>
          </w:p>
        </w:tc>
      </w:tr>
      <w:tr w:rsidR="00B64056" w:rsidTr="00EF02E5">
        <w:tc>
          <w:tcPr>
            <w:tcW w:w="4508" w:type="dxa"/>
          </w:tcPr>
          <w:p w:rsidR="00B64056" w:rsidRDefault="00B64056" w:rsidP="005E4254">
            <w:pPr>
              <w:pStyle w:val="AASBBase"/>
            </w:pPr>
            <w:r>
              <w:t xml:space="preserve">Dated </w:t>
            </w:r>
            <w:bookmarkStart w:id="13" w:name="MakeDate"/>
            <w:r w:rsidR="005E4254">
              <w:t>7</w:t>
            </w:r>
            <w:r w:rsidR="00AA7E0F">
              <w:t xml:space="preserve"> </w:t>
            </w:r>
            <w:r w:rsidR="005E4254">
              <w:t>August</w:t>
            </w:r>
            <w:r>
              <w:t xml:space="preserve"> 2015</w:t>
            </w:r>
            <w:bookmarkEnd w:id="13"/>
          </w:p>
        </w:tc>
        <w:tc>
          <w:tcPr>
            <w:tcW w:w="4509" w:type="dxa"/>
          </w:tcPr>
          <w:p w:rsidR="00B64056" w:rsidRDefault="00B64056" w:rsidP="00EF02E5">
            <w:pPr>
              <w:pStyle w:val="AASBBase"/>
              <w:jc w:val="right"/>
            </w:pPr>
            <w:r>
              <w:t>Chair – AASB</w:t>
            </w:r>
          </w:p>
        </w:tc>
      </w:tr>
    </w:tbl>
    <w:p w:rsidR="00B64056" w:rsidRDefault="00B64056" w:rsidP="00EF02E5">
      <w:pPr>
        <w:pStyle w:val="ConvStandardTitle1"/>
      </w:pPr>
      <w:r>
        <w:t xml:space="preserve">Accounting Standard AASB </w:t>
      </w:r>
      <w:r>
        <w:fldChar w:fldCharType="begin" w:fldLock="1"/>
      </w:r>
      <w:r>
        <w:instrText xml:space="preserve"> REF DocNo \* charformat</w:instrText>
      </w:r>
      <w:r>
        <w:fldChar w:fldCharType="separate"/>
      </w:r>
      <w:r>
        <w:t>132</w:t>
      </w:r>
      <w:r>
        <w:fldChar w:fldCharType="end"/>
      </w:r>
    </w:p>
    <w:p w:rsidR="00B64056" w:rsidRPr="00844AB3" w:rsidRDefault="00B64056" w:rsidP="00EF02E5">
      <w:pPr>
        <w:pStyle w:val="ConvStandardTitle2"/>
      </w:pPr>
      <w:r>
        <w:fldChar w:fldCharType="begin" w:fldLock="1"/>
      </w:r>
      <w:r>
        <w:instrText xml:space="preserve"> REF DocTitle \* charformat</w:instrText>
      </w:r>
      <w:r>
        <w:fldChar w:fldCharType="separate"/>
      </w:r>
      <w:r>
        <w:t>Financial Instruments: Presentation</w:t>
      </w:r>
      <w:r>
        <w:fldChar w:fldCharType="end"/>
      </w:r>
    </w:p>
    <w:p w:rsidR="000E6961" w:rsidRDefault="000E6961">
      <w:pPr>
        <w:pStyle w:val="IASBSectionTitle1NonInd"/>
      </w:pPr>
      <w:r>
        <w:t>Objective</w:t>
      </w:r>
    </w:p>
    <w:p w:rsidR="000E6961" w:rsidRDefault="000E6961">
      <w:pPr>
        <w:pStyle w:val="IASBNormalnpara"/>
      </w:pPr>
      <w:r>
        <w:t>1</w:t>
      </w:r>
      <w:r>
        <w:tab/>
        <w:t>[Deleted]</w:t>
      </w:r>
    </w:p>
    <w:p w:rsidR="000E6961" w:rsidRDefault="000E6961">
      <w:pPr>
        <w:pStyle w:val="IASBNormalnpara"/>
      </w:pPr>
      <w:r>
        <w:t>2</w:t>
      </w:r>
      <w:r>
        <w:tab/>
        <w:t>The objective of this Standard is to establish principles for presenting financial instruments as liabilities or equity and for offsetting financial assets and financial liabilities. It applies to the classification of financial instruments, from the perspective of the issuer, into financial assets, financial liabilities and equity instruments; the classification of related interest, dividends, losses and gains; and the circumstances in which financial assets and financial liabilities should be offset.</w:t>
      </w:r>
    </w:p>
    <w:p w:rsidR="000E6961" w:rsidRDefault="000E6961">
      <w:pPr>
        <w:pStyle w:val="IASBNormalnpara"/>
      </w:pPr>
      <w:r>
        <w:t>3</w:t>
      </w:r>
      <w:r>
        <w:tab/>
        <w:t>The principles in this Standard complement the principles for recognising and measuring financial assets and financial liabilities in</w:t>
      </w:r>
      <w:r w:rsidR="00B64056">
        <w:t xml:space="preserve"> AASB 9</w:t>
      </w:r>
      <w:r>
        <w:t xml:space="preserve"> </w:t>
      </w:r>
      <w:r>
        <w:rPr>
          <w:i/>
        </w:rPr>
        <w:t>Financial Instruments</w:t>
      </w:r>
      <w:r>
        <w:t>, and for disclosing information about them in</w:t>
      </w:r>
      <w:r w:rsidR="00B64056">
        <w:t xml:space="preserve"> AASB 7</w:t>
      </w:r>
      <w:r>
        <w:t xml:space="preserve"> </w:t>
      </w:r>
      <w:r>
        <w:rPr>
          <w:i/>
        </w:rPr>
        <w:t>Financial Instruments: Disclosures</w:t>
      </w:r>
      <w:r>
        <w:t>.</w:t>
      </w:r>
    </w:p>
    <w:p w:rsidR="000E6961" w:rsidRDefault="000E6961">
      <w:pPr>
        <w:pStyle w:val="IASBSectionTitle1NonInd"/>
      </w:pPr>
      <w:r>
        <w:t>Scope</w:t>
      </w:r>
    </w:p>
    <w:p w:rsidR="000E6961" w:rsidRDefault="000E6961">
      <w:pPr>
        <w:pStyle w:val="IASBNormalnpara"/>
        <w:rPr>
          <w:b/>
        </w:rPr>
      </w:pPr>
      <w:r>
        <w:rPr>
          <w:b/>
        </w:rPr>
        <w:t>4</w:t>
      </w:r>
      <w:r>
        <w:rPr>
          <w:b/>
        </w:rPr>
        <w:tab/>
        <w:t xml:space="preserve">This Standard shall be applied by all entities to all types of financial instruments except: </w:t>
      </w:r>
    </w:p>
    <w:p w:rsidR="000E6961" w:rsidRDefault="000E6961">
      <w:pPr>
        <w:pStyle w:val="IASBNormalnparaL1"/>
        <w:rPr>
          <w:b/>
        </w:rPr>
      </w:pPr>
      <w:r>
        <w:rPr>
          <w:b/>
        </w:rPr>
        <w:t>(a)</w:t>
      </w:r>
      <w:r>
        <w:rPr>
          <w:b/>
        </w:rPr>
        <w:tab/>
        <w:t>those interests in subsidiaries, associates or joint ventures that are accounted for in accordance with</w:t>
      </w:r>
      <w:r w:rsidR="00B64056">
        <w:rPr>
          <w:b/>
        </w:rPr>
        <w:t xml:space="preserve"> AASB 10</w:t>
      </w:r>
      <w:r>
        <w:rPr>
          <w:b/>
        </w:rPr>
        <w:t xml:space="preserve"> </w:t>
      </w:r>
      <w:r>
        <w:rPr>
          <w:b/>
          <w:i/>
        </w:rPr>
        <w:t>Consolidated Financial Statements</w:t>
      </w:r>
      <w:r>
        <w:rPr>
          <w:b/>
        </w:rPr>
        <w:t>,</w:t>
      </w:r>
      <w:r w:rsidR="00B64056">
        <w:rPr>
          <w:b/>
        </w:rPr>
        <w:t xml:space="preserve"> AASB 127</w:t>
      </w:r>
      <w:r>
        <w:rPr>
          <w:b/>
        </w:rPr>
        <w:t xml:space="preserve"> </w:t>
      </w:r>
      <w:r>
        <w:rPr>
          <w:b/>
          <w:i/>
        </w:rPr>
        <w:t>Separate Financial Statements</w:t>
      </w:r>
      <w:r>
        <w:rPr>
          <w:b/>
        </w:rPr>
        <w:t xml:space="preserve"> or</w:t>
      </w:r>
      <w:r w:rsidR="00B64056">
        <w:rPr>
          <w:b/>
        </w:rPr>
        <w:t xml:space="preserve"> AASB 128</w:t>
      </w:r>
      <w:r>
        <w:rPr>
          <w:b/>
        </w:rPr>
        <w:t xml:space="preserve"> </w:t>
      </w:r>
      <w:r>
        <w:rPr>
          <w:b/>
          <w:i/>
        </w:rPr>
        <w:t>Investments in Associates and Joint Ventures</w:t>
      </w:r>
      <w:r>
        <w:rPr>
          <w:b/>
        </w:rPr>
        <w:t>. However, in some cases,</w:t>
      </w:r>
      <w:r w:rsidR="00B64056">
        <w:rPr>
          <w:b/>
        </w:rPr>
        <w:t xml:space="preserve"> AASB 10</w:t>
      </w:r>
      <w:r>
        <w:rPr>
          <w:b/>
        </w:rPr>
        <w:t>,</w:t>
      </w:r>
      <w:r w:rsidR="00B64056">
        <w:rPr>
          <w:b/>
        </w:rPr>
        <w:t xml:space="preserve"> AASB 127</w:t>
      </w:r>
      <w:r>
        <w:rPr>
          <w:b/>
        </w:rPr>
        <w:t xml:space="preserve"> or</w:t>
      </w:r>
      <w:r w:rsidR="00B64056">
        <w:rPr>
          <w:b/>
        </w:rPr>
        <w:t xml:space="preserve"> AASB 128</w:t>
      </w:r>
      <w:r>
        <w:rPr>
          <w:b/>
        </w:rPr>
        <w:t xml:space="preserve"> require or permit an entity to account for an interest in a subsidiary, associate or joint venture using</w:t>
      </w:r>
      <w:r w:rsidR="00B64056">
        <w:rPr>
          <w:b/>
        </w:rPr>
        <w:t xml:space="preserve"> AASB 9</w:t>
      </w:r>
      <w:r>
        <w:rPr>
          <w:b/>
        </w:rPr>
        <w:t>; in those cases, entities shall apply the requirements of this Standard. Entities shall also apply this Standard to all derivatives linked to interests in subsidiaries, associates or joint ventures.</w:t>
      </w:r>
    </w:p>
    <w:p w:rsidR="000E6961" w:rsidRDefault="000E6961">
      <w:pPr>
        <w:pStyle w:val="IASBNormalnparaL1"/>
        <w:rPr>
          <w:b/>
        </w:rPr>
      </w:pPr>
      <w:r>
        <w:rPr>
          <w:b/>
        </w:rPr>
        <w:t>(b)</w:t>
      </w:r>
      <w:r>
        <w:rPr>
          <w:b/>
        </w:rPr>
        <w:tab/>
        <w:t>employers’ rights and obligations under employee benefit plans, to which</w:t>
      </w:r>
      <w:r w:rsidR="00B64056">
        <w:rPr>
          <w:b/>
        </w:rPr>
        <w:t xml:space="preserve"> AASB 119</w:t>
      </w:r>
      <w:r>
        <w:rPr>
          <w:b/>
        </w:rPr>
        <w:t xml:space="preserve"> </w:t>
      </w:r>
      <w:r>
        <w:rPr>
          <w:b/>
          <w:i/>
        </w:rPr>
        <w:t>Employee Benefits</w:t>
      </w:r>
      <w:r>
        <w:rPr>
          <w:b/>
        </w:rPr>
        <w:t xml:space="preserve"> applies.</w:t>
      </w:r>
    </w:p>
    <w:p w:rsidR="000E6961" w:rsidRDefault="000E6961">
      <w:pPr>
        <w:pStyle w:val="IASBNormalnparaL1"/>
      </w:pPr>
      <w:r>
        <w:rPr>
          <w:b/>
        </w:rPr>
        <w:t>(c)</w:t>
      </w:r>
      <w:r>
        <w:tab/>
        <w:t>[deleted]</w:t>
      </w:r>
    </w:p>
    <w:p w:rsidR="000E6961" w:rsidRDefault="000E6961">
      <w:pPr>
        <w:pStyle w:val="IASBNormalnparaL1"/>
        <w:rPr>
          <w:b/>
        </w:rPr>
      </w:pPr>
      <w:r>
        <w:rPr>
          <w:b/>
        </w:rPr>
        <w:t>(d)</w:t>
      </w:r>
      <w:r>
        <w:rPr>
          <w:b/>
        </w:rPr>
        <w:tab/>
        <w:t>insurance contracts as defined in</w:t>
      </w:r>
      <w:r w:rsidR="00B64056">
        <w:rPr>
          <w:b/>
        </w:rPr>
        <w:t xml:space="preserve"> AASB 4</w:t>
      </w:r>
      <w:r>
        <w:rPr>
          <w:b/>
        </w:rPr>
        <w:t xml:space="preserve"> </w:t>
      </w:r>
      <w:r>
        <w:rPr>
          <w:b/>
          <w:i/>
        </w:rPr>
        <w:t>Insurance Contracts</w:t>
      </w:r>
      <w:r>
        <w:rPr>
          <w:b/>
        </w:rPr>
        <w:t>. However, this Standard applies to derivatives that are embedded in insurance contracts if</w:t>
      </w:r>
      <w:r w:rsidR="00B64056">
        <w:rPr>
          <w:b/>
        </w:rPr>
        <w:t xml:space="preserve"> AASB 9</w:t>
      </w:r>
      <w:r>
        <w:rPr>
          <w:b/>
        </w:rPr>
        <w:t xml:space="preserve"> requires the entity to account for them separately. Moreover, an issuer shall apply this Standard to financial guarantee contracts if the issuer applies</w:t>
      </w:r>
      <w:r w:rsidR="00B64056">
        <w:rPr>
          <w:b/>
        </w:rPr>
        <w:t xml:space="preserve"> AASB 9</w:t>
      </w:r>
      <w:r>
        <w:rPr>
          <w:b/>
        </w:rPr>
        <w:t xml:space="preserve"> in recognising and measuring the contracts, but shall apply</w:t>
      </w:r>
      <w:r w:rsidR="00B64056">
        <w:rPr>
          <w:b/>
        </w:rPr>
        <w:t xml:space="preserve"> AASB 4</w:t>
      </w:r>
      <w:r>
        <w:rPr>
          <w:b/>
        </w:rPr>
        <w:t xml:space="preserve"> if the issuer elects, in accordance with paragraph 4(d) of</w:t>
      </w:r>
      <w:r w:rsidR="00B64056">
        <w:rPr>
          <w:b/>
        </w:rPr>
        <w:t xml:space="preserve"> AASB 4</w:t>
      </w:r>
      <w:r>
        <w:rPr>
          <w:b/>
        </w:rPr>
        <w:t>, to apply</w:t>
      </w:r>
      <w:r w:rsidR="00B64056">
        <w:rPr>
          <w:b/>
        </w:rPr>
        <w:t xml:space="preserve"> AASB 4</w:t>
      </w:r>
      <w:r>
        <w:rPr>
          <w:b/>
        </w:rPr>
        <w:t xml:space="preserve"> in recognising and measuring them.</w:t>
      </w:r>
    </w:p>
    <w:p w:rsidR="000E6961" w:rsidRDefault="000E6961">
      <w:pPr>
        <w:pStyle w:val="IASBNormalnparaL1"/>
        <w:rPr>
          <w:b/>
        </w:rPr>
      </w:pPr>
      <w:r>
        <w:rPr>
          <w:b/>
        </w:rPr>
        <w:t>(e)</w:t>
      </w:r>
      <w:r>
        <w:rPr>
          <w:b/>
        </w:rPr>
        <w:tab/>
        <w:t>financial instruments that are within the scope of</w:t>
      </w:r>
      <w:r w:rsidR="00B64056">
        <w:rPr>
          <w:b/>
        </w:rPr>
        <w:t xml:space="preserve"> AASB 4</w:t>
      </w:r>
      <w:r>
        <w:rPr>
          <w:b/>
        </w:rPr>
        <w:t xml:space="preserve"> because they contain a discretionary participation feature. The issuer of these instruments is exempt from applying to these features paragraphs 15–32 and AG25–AG35 of this Standard regarding the distinction between financial liabilities and equity instruments. However, these instruments are subject to all other requirements of this Standard. Furthermore, this Standard applies to derivatives that are embedded in these instruments (see</w:t>
      </w:r>
      <w:r w:rsidR="00B64056">
        <w:rPr>
          <w:b/>
        </w:rPr>
        <w:t xml:space="preserve"> AASB 9</w:t>
      </w:r>
      <w:r>
        <w:rPr>
          <w:b/>
        </w:rPr>
        <w:t>).</w:t>
      </w:r>
    </w:p>
    <w:p w:rsidR="000E6961" w:rsidRDefault="000E6961">
      <w:pPr>
        <w:pStyle w:val="IASBNormalnparaL1"/>
        <w:rPr>
          <w:b/>
        </w:rPr>
      </w:pPr>
      <w:r>
        <w:rPr>
          <w:b/>
        </w:rPr>
        <w:t>(f)</w:t>
      </w:r>
      <w:r>
        <w:rPr>
          <w:b/>
        </w:rPr>
        <w:tab/>
        <w:t>financial instruments, contracts and obligations under share-based payment transactions to which</w:t>
      </w:r>
      <w:r w:rsidR="00B64056">
        <w:rPr>
          <w:b/>
        </w:rPr>
        <w:t xml:space="preserve"> AASB 2</w:t>
      </w:r>
      <w:r>
        <w:rPr>
          <w:b/>
        </w:rPr>
        <w:t xml:space="preserve"> </w:t>
      </w:r>
      <w:r>
        <w:rPr>
          <w:b/>
          <w:i/>
        </w:rPr>
        <w:t>Share-based Payment</w:t>
      </w:r>
      <w:r>
        <w:rPr>
          <w:b/>
        </w:rPr>
        <w:t xml:space="preserve"> applies, except for</w:t>
      </w:r>
    </w:p>
    <w:p w:rsidR="000E6961" w:rsidRDefault="000E6961">
      <w:pPr>
        <w:pStyle w:val="IASBNormalnparaL2"/>
        <w:rPr>
          <w:b/>
        </w:rPr>
      </w:pPr>
      <w:r>
        <w:rPr>
          <w:b/>
        </w:rPr>
        <w:t>(i)</w:t>
      </w:r>
      <w:r>
        <w:rPr>
          <w:b/>
        </w:rPr>
        <w:tab/>
        <w:t>contracts within the scope of paragraphs 8–10 of this Standard, to which this Standard applies,</w:t>
      </w:r>
    </w:p>
    <w:p w:rsidR="000E6961" w:rsidRDefault="000E6961">
      <w:pPr>
        <w:pStyle w:val="IASBNormalnparaL2"/>
        <w:rPr>
          <w:b/>
        </w:rPr>
      </w:pPr>
      <w:r>
        <w:rPr>
          <w:b/>
        </w:rPr>
        <w:t>(ii)</w:t>
      </w:r>
      <w:r>
        <w:rPr>
          <w:b/>
        </w:rPr>
        <w:tab/>
        <w:t xml:space="preserve">paragraphs 33 and 34 of this Standard, which shall be applied to treasury shares purchased, sold, issued or cancelled in connection with employee share option </w:t>
      </w:r>
      <w:r>
        <w:rPr>
          <w:b/>
        </w:rPr>
        <w:lastRenderedPageBreak/>
        <w:t>plans, employee share purchase plans, and all other share-based payment arrangements.</w:t>
      </w:r>
    </w:p>
    <w:p w:rsidR="000E6961" w:rsidRDefault="000E6961">
      <w:pPr>
        <w:pStyle w:val="IASBNormalnpara"/>
      </w:pPr>
      <w:r>
        <w:t>5–</w:t>
      </w:r>
    </w:p>
    <w:p w:rsidR="000E6961" w:rsidRDefault="000E6961">
      <w:pPr>
        <w:pStyle w:val="IASBNormalnparaC"/>
      </w:pPr>
      <w:r>
        <w:t>7</w:t>
      </w:r>
      <w:r>
        <w:tab/>
        <w:t>[Deleted]</w:t>
      </w:r>
    </w:p>
    <w:p w:rsidR="000E6961" w:rsidRDefault="000E6961">
      <w:pPr>
        <w:pStyle w:val="IASBNormalnpara"/>
        <w:rPr>
          <w:b/>
        </w:rPr>
      </w:pPr>
      <w:r>
        <w:rPr>
          <w:b/>
        </w:rPr>
        <w:t>8</w:t>
      </w:r>
      <w:r>
        <w:rPr>
          <w:b/>
        </w:rPr>
        <w:tab/>
        <w:t>This Standard shall be applied to those contracts to buy or sell a non-financial item that can be settled net in cash or another financial instrument, or by exchanging financial instruments, as if the contracts were financial instruments, with the exception of contracts that were entered into and continue to be held for the purpose of the receipt or delivery of a non-financial item in accordance with the entity’s expected purchase, sale or usage requirements. However, this Standard shall be applied to those contracts that an entity designates as measured at fair value through profit or loss in accordance with paragraph 2.5 of</w:t>
      </w:r>
      <w:r w:rsidR="00B64056">
        <w:rPr>
          <w:b/>
        </w:rPr>
        <w:t xml:space="preserve"> AASB 9</w:t>
      </w:r>
      <w:r>
        <w:rPr>
          <w:b/>
        </w:rPr>
        <w:t xml:space="preserve"> </w:t>
      </w:r>
      <w:r>
        <w:rPr>
          <w:b/>
          <w:i/>
        </w:rPr>
        <w:t>Financial Instruments</w:t>
      </w:r>
      <w:r>
        <w:rPr>
          <w:b/>
        </w:rPr>
        <w:t>.</w:t>
      </w:r>
    </w:p>
    <w:p w:rsidR="000E6961" w:rsidRDefault="000E6961">
      <w:pPr>
        <w:pStyle w:val="IASBNormalnpara"/>
      </w:pPr>
      <w:r>
        <w:t>9</w:t>
      </w:r>
      <w:r>
        <w:tab/>
        <w:t xml:space="preserve">There are various ways in which a contract to buy or sell a non-financial item can be settled net in cash or another financial instrument or by exchanging financial instruments. These include: </w:t>
      </w:r>
    </w:p>
    <w:p w:rsidR="000E6961" w:rsidRDefault="000E6961">
      <w:pPr>
        <w:pStyle w:val="IASBNormalnparaL1"/>
      </w:pPr>
      <w:r>
        <w:t>(a)</w:t>
      </w:r>
      <w:r>
        <w:tab/>
        <w:t>when the terms of the contract permit either party to settle it net in cash or another financial instrument or by exchanging financial instruments;</w:t>
      </w:r>
    </w:p>
    <w:p w:rsidR="000E6961" w:rsidRDefault="000E6961">
      <w:pPr>
        <w:pStyle w:val="IASBNormalnparaL1"/>
      </w:pPr>
      <w:r>
        <w:t>(b)</w:t>
      </w:r>
      <w:r>
        <w:tab/>
        <w:t>when the ability to settle net in cash or another financial instrument, or by exchanging financial instruments, is not explicit in the terms of the contract, but the entity has a practice of settling similar contracts net in cash or another financial instrument, or by exchanging financial instruments (whether with the counterparty, by entering into offsetting contracts or by selling the contract before its exercise or lapse);</w:t>
      </w:r>
    </w:p>
    <w:p w:rsidR="000E6961" w:rsidRDefault="000E6961">
      <w:pPr>
        <w:pStyle w:val="IASBNormalnparaL1"/>
      </w:pPr>
      <w:r>
        <w:t>(c)</w:t>
      </w:r>
      <w:r>
        <w:tab/>
        <w:t>when, for similar contracts, the entity has a practice of taking delivery of the underlying and selling it within a short period after delivery for the purpose of generating a profit from short-term fluctuations in price or dealer’s margin; and</w:t>
      </w:r>
    </w:p>
    <w:p w:rsidR="000E6961" w:rsidRDefault="000E6961">
      <w:pPr>
        <w:pStyle w:val="IASBNormalnparaL1"/>
      </w:pPr>
      <w:r>
        <w:t>(d)</w:t>
      </w:r>
      <w:r>
        <w:tab/>
        <w:t>when the non-financial item that is the subject of the contract is readily convertible to cash.</w:t>
      </w:r>
    </w:p>
    <w:p w:rsidR="000E6961" w:rsidRDefault="000E6961">
      <w:pPr>
        <w:pStyle w:val="IASBNormalnparaP"/>
      </w:pPr>
      <w:r>
        <w:t>A contract to which (b) or (c) applies is not entered into for the purpose of the receipt or delivery of the non-financial item in accordance with the entity’s expected purchase, sale or usage requirements, and, accordingly, is within the scope of this Standard. Other contracts to which paragraph 8 applies are evaluated to determine whether they were entered into and continue to be held for the purpose of the receipt or delivery of the non-financial item in accordance with the entity’s expected purchase, sale or usage requirement, and accordingly, whether they are within the scope of this Standard.</w:t>
      </w:r>
    </w:p>
    <w:p w:rsidR="000E6961" w:rsidRDefault="000E6961">
      <w:pPr>
        <w:pStyle w:val="IASBNormalnpara"/>
      </w:pPr>
      <w:r>
        <w:t>10</w:t>
      </w:r>
      <w:r>
        <w:tab/>
        <w:t xml:space="preserve">A written option to buy or sell a non-financial item that can be settled net in cash or another financial instrument, or by exchanging financial instruments, in accordance with paragraph 9(a) or (d) is within the scope of this Standard. Such a contract cannot be entered into for the purpose of the receipt or delivery of the non-financial item in accordance with the entity’s expected purchase, sale or usage requirements. </w:t>
      </w:r>
    </w:p>
    <w:p w:rsidR="000E6961" w:rsidRDefault="000E6961">
      <w:pPr>
        <w:pStyle w:val="IASBSectionTitle1NonInd"/>
      </w:pPr>
      <w:r>
        <w:t>Definitions (see also paragraphs AG3–AG23)</w:t>
      </w:r>
    </w:p>
    <w:p w:rsidR="000E6961" w:rsidRDefault="000E6961">
      <w:pPr>
        <w:pStyle w:val="IASBNormalnpara"/>
        <w:rPr>
          <w:b/>
        </w:rPr>
      </w:pPr>
      <w:r>
        <w:rPr>
          <w:b/>
        </w:rPr>
        <w:t>11</w:t>
      </w:r>
      <w:r>
        <w:rPr>
          <w:b/>
        </w:rPr>
        <w:tab/>
        <w:t xml:space="preserve">The following terms are used in this Standard with the meanings specified: </w:t>
      </w:r>
    </w:p>
    <w:p w:rsidR="000E6961" w:rsidRDefault="000E6961">
      <w:pPr>
        <w:pStyle w:val="IASBNormalnparaP"/>
      </w:pPr>
      <w:r>
        <w:rPr>
          <w:b/>
        </w:rPr>
        <w:t xml:space="preserve">A </w:t>
      </w:r>
      <w:r>
        <w:rPr>
          <w:b/>
          <w:i/>
        </w:rPr>
        <w:t>financial instrument</w:t>
      </w:r>
      <w:r>
        <w:rPr>
          <w:b/>
        </w:rPr>
        <w:t xml:space="preserve"> is any contract that gives rise to a financial asset of one entity and a financial liability or equity instrument of another entity. </w:t>
      </w:r>
    </w:p>
    <w:p w:rsidR="000E6961" w:rsidRDefault="000E6961">
      <w:pPr>
        <w:pStyle w:val="IASBNormalnparaP"/>
      </w:pPr>
      <w:r>
        <w:rPr>
          <w:b/>
        </w:rPr>
        <w:t xml:space="preserve">A </w:t>
      </w:r>
      <w:r>
        <w:rPr>
          <w:b/>
          <w:i/>
        </w:rPr>
        <w:t>financial asset</w:t>
      </w:r>
      <w:r>
        <w:rPr>
          <w:b/>
        </w:rPr>
        <w:t xml:space="preserve"> is any asset that is:</w:t>
      </w:r>
    </w:p>
    <w:p w:rsidR="000E6961" w:rsidRDefault="000E6961">
      <w:pPr>
        <w:pStyle w:val="IASBNormalnparaL1"/>
      </w:pPr>
      <w:r>
        <w:rPr>
          <w:b/>
        </w:rPr>
        <w:t>(a)</w:t>
      </w:r>
      <w:r>
        <w:tab/>
      </w:r>
      <w:r>
        <w:rPr>
          <w:b/>
        </w:rPr>
        <w:t>cash;</w:t>
      </w:r>
    </w:p>
    <w:p w:rsidR="000E6961" w:rsidRDefault="000E6961">
      <w:pPr>
        <w:pStyle w:val="IASBNormalnparaL1"/>
      </w:pPr>
      <w:r>
        <w:rPr>
          <w:b/>
        </w:rPr>
        <w:t>(b)</w:t>
      </w:r>
      <w:r>
        <w:tab/>
      </w:r>
      <w:r>
        <w:rPr>
          <w:b/>
        </w:rPr>
        <w:t>an equity instrument of another entity;</w:t>
      </w:r>
    </w:p>
    <w:p w:rsidR="000E6961" w:rsidRDefault="000E6961">
      <w:pPr>
        <w:pStyle w:val="IASBNormalnparaL1"/>
      </w:pPr>
      <w:r>
        <w:rPr>
          <w:b/>
        </w:rPr>
        <w:t>(c)</w:t>
      </w:r>
      <w:r>
        <w:tab/>
      </w:r>
      <w:r>
        <w:rPr>
          <w:b/>
        </w:rPr>
        <w:t>a contractual right:</w:t>
      </w:r>
    </w:p>
    <w:p w:rsidR="000E6961" w:rsidRDefault="000E6961">
      <w:pPr>
        <w:pStyle w:val="IASBNormalnparaL2"/>
      </w:pPr>
      <w:r>
        <w:rPr>
          <w:b/>
        </w:rPr>
        <w:t>(i)</w:t>
      </w:r>
      <w:r>
        <w:tab/>
      </w:r>
      <w:r>
        <w:rPr>
          <w:b/>
        </w:rPr>
        <w:t>to receive cash or another financial asset from another entity; or</w:t>
      </w:r>
    </w:p>
    <w:p w:rsidR="000E6961" w:rsidRDefault="000E6961">
      <w:pPr>
        <w:pStyle w:val="IASBNormalnparaL2"/>
      </w:pPr>
      <w:r>
        <w:rPr>
          <w:b/>
        </w:rPr>
        <w:t>(ii)</w:t>
      </w:r>
      <w:r>
        <w:tab/>
      </w:r>
      <w:r>
        <w:rPr>
          <w:b/>
        </w:rPr>
        <w:t>to exchange financial assets or financial liabilities with another entity under conditions that are potentially favourable to the entity; or</w:t>
      </w:r>
    </w:p>
    <w:p w:rsidR="000E6961" w:rsidRDefault="000E6961">
      <w:pPr>
        <w:pStyle w:val="IASBNormalnparaL1"/>
      </w:pPr>
      <w:r>
        <w:rPr>
          <w:b/>
        </w:rPr>
        <w:t>(d)</w:t>
      </w:r>
      <w:r>
        <w:tab/>
      </w:r>
      <w:r>
        <w:rPr>
          <w:b/>
        </w:rPr>
        <w:t>a contract</w:t>
      </w:r>
      <w:r>
        <w:t xml:space="preserve"> </w:t>
      </w:r>
      <w:r>
        <w:rPr>
          <w:b/>
        </w:rPr>
        <w:t>that will or may be settled in the entity’s own equity instruments and is:</w:t>
      </w:r>
    </w:p>
    <w:p w:rsidR="000E6961" w:rsidRDefault="000E6961">
      <w:pPr>
        <w:pStyle w:val="IASBNormalnparaL2"/>
      </w:pPr>
      <w:r>
        <w:rPr>
          <w:b/>
        </w:rPr>
        <w:t>(i)</w:t>
      </w:r>
      <w:r>
        <w:tab/>
      </w:r>
      <w:r>
        <w:rPr>
          <w:b/>
        </w:rPr>
        <w:t>a non-derivative for which the entity is or may be obliged to receive a variable number of the entity’s own equity instruments; or</w:t>
      </w:r>
    </w:p>
    <w:p w:rsidR="000E6961" w:rsidRDefault="000E6961">
      <w:pPr>
        <w:pStyle w:val="IASBNormalnparaL2"/>
      </w:pPr>
      <w:r>
        <w:rPr>
          <w:b/>
        </w:rPr>
        <w:t>(ii)</w:t>
      </w:r>
      <w:r>
        <w:tab/>
      </w:r>
      <w:r>
        <w:rPr>
          <w:b/>
        </w:rPr>
        <w:t xml:space="preserve">a derivative that will or may be settled other than by the exchange of a fixed amount of cash or another financial asset for a fixed number of the entity’s own equity instruments. For this purpose the entity’s own equity instruments do not include puttable financial instruments classified as equity instruments in </w:t>
      </w:r>
      <w:r>
        <w:rPr>
          <w:b/>
        </w:rPr>
        <w:lastRenderedPageBreak/>
        <w:t>accordance with paragraphs 16A and 16B, instruments that impose on the entity an obligation to deliver to another party a pro rata share of the net assets of the entity only on liquidation and are classified as equity instruments in accordance with paragraphs 16C and 16D, or instruments that are contracts for the future receipt or delivery of the entity’s own equity instruments.</w:t>
      </w:r>
    </w:p>
    <w:p w:rsidR="000E6961" w:rsidRDefault="000E6961">
      <w:pPr>
        <w:pStyle w:val="IASBNormalnparaP"/>
      </w:pPr>
      <w:r>
        <w:rPr>
          <w:b/>
        </w:rPr>
        <w:t xml:space="preserve">A </w:t>
      </w:r>
      <w:r>
        <w:rPr>
          <w:b/>
          <w:i/>
        </w:rPr>
        <w:t>financial liability</w:t>
      </w:r>
      <w:r>
        <w:rPr>
          <w:b/>
        </w:rPr>
        <w:t xml:space="preserve"> is any liability</w:t>
      </w:r>
      <w:r>
        <w:t xml:space="preserve"> </w:t>
      </w:r>
      <w:r>
        <w:rPr>
          <w:b/>
        </w:rPr>
        <w:t>that is:</w:t>
      </w:r>
    </w:p>
    <w:p w:rsidR="000E6961" w:rsidRDefault="000E6961">
      <w:pPr>
        <w:pStyle w:val="IASBNormalnparaL1"/>
      </w:pPr>
      <w:r>
        <w:rPr>
          <w:b/>
        </w:rPr>
        <w:t>(a)</w:t>
      </w:r>
      <w:r>
        <w:tab/>
      </w:r>
      <w:r>
        <w:rPr>
          <w:b/>
        </w:rPr>
        <w:t>a contractual obligation</w:t>
      </w:r>
      <w:r>
        <w:t>:</w:t>
      </w:r>
    </w:p>
    <w:p w:rsidR="000E6961" w:rsidRDefault="000E6961">
      <w:pPr>
        <w:pStyle w:val="IASBNormalnparaL2"/>
      </w:pPr>
      <w:r>
        <w:rPr>
          <w:b/>
        </w:rPr>
        <w:t>(i)</w:t>
      </w:r>
      <w:r>
        <w:tab/>
      </w:r>
      <w:r>
        <w:rPr>
          <w:b/>
        </w:rPr>
        <w:t>to deliver cash or another financial asset to another entity;</w:t>
      </w:r>
      <w:r>
        <w:t xml:space="preserve"> </w:t>
      </w:r>
      <w:r>
        <w:rPr>
          <w:b/>
        </w:rPr>
        <w:t>or</w:t>
      </w:r>
    </w:p>
    <w:p w:rsidR="000E6961" w:rsidRDefault="000E6961">
      <w:pPr>
        <w:pStyle w:val="IASBNormalnparaL2"/>
      </w:pPr>
      <w:r>
        <w:rPr>
          <w:b/>
        </w:rPr>
        <w:t>(ii)</w:t>
      </w:r>
      <w:r>
        <w:tab/>
      </w:r>
      <w:r>
        <w:rPr>
          <w:b/>
        </w:rPr>
        <w:t>to exchange financial assets or financial liabilities with another entity under conditions that are potentially unfavourable to the entity; or</w:t>
      </w:r>
    </w:p>
    <w:p w:rsidR="000E6961" w:rsidRDefault="000E6961">
      <w:pPr>
        <w:pStyle w:val="IASBNormalnparaL1"/>
      </w:pPr>
      <w:r>
        <w:rPr>
          <w:b/>
        </w:rPr>
        <w:t>(b)</w:t>
      </w:r>
      <w:r>
        <w:tab/>
      </w:r>
      <w:r>
        <w:rPr>
          <w:b/>
        </w:rPr>
        <w:t>a contract that will or may be settled in the entity’s own equity instruments and is:</w:t>
      </w:r>
    </w:p>
    <w:p w:rsidR="000E6961" w:rsidRDefault="000E6961">
      <w:pPr>
        <w:pStyle w:val="IASBNormalnparaL2"/>
      </w:pPr>
      <w:r>
        <w:rPr>
          <w:b/>
        </w:rPr>
        <w:t>(i)</w:t>
      </w:r>
      <w:r>
        <w:tab/>
      </w:r>
      <w:r>
        <w:rPr>
          <w:b/>
        </w:rPr>
        <w:t>a non-derivative for which the entity is or may be obliged to deliver a variable number of the entity’s own equity instruments; or</w:t>
      </w:r>
    </w:p>
    <w:p w:rsidR="000E6961" w:rsidRDefault="000E6961">
      <w:pPr>
        <w:pStyle w:val="IASBNormalnparaL2"/>
      </w:pPr>
      <w:r>
        <w:rPr>
          <w:b/>
        </w:rPr>
        <w:t>(ii)</w:t>
      </w:r>
      <w:r>
        <w:tab/>
      </w:r>
      <w:r>
        <w:rPr>
          <w:b/>
        </w:rPr>
        <w:t>a derivative that will or may be settled other than by the exchange of a fixed amount of cash or another financial asset for a fixed number of the entity’s own equity instruments. For this purpose, rights, options or warrants to acquire a fixed number of the entity’s own equity instruments for a fixed amount of any currency are equity instruments if the entity offers the rights, options or warrants pro rata to all of its existing owners of the same class of its own non-derivative equity instruments.</w:t>
      </w:r>
      <w:r>
        <w:t xml:space="preserve"> </w:t>
      </w:r>
      <w:r>
        <w:rPr>
          <w:b/>
        </w:rPr>
        <w:t>Also, for these purposes the entity’s own equity instruments do not include puttable financial instruments that are classified as equity instruments in accordance with paragraphs 16A and 16B, instruments that impose on the entity an obligation to deliver to another party a pro rata share of the net assets of the entity only on liquidation and are classified as equity instruments in accordance with paragraphs 16C and 16D, or instruments that are contracts for the future receipt or delivery of the entity’s own equity instruments.</w:t>
      </w:r>
    </w:p>
    <w:p w:rsidR="000E6961" w:rsidRDefault="000E6961">
      <w:pPr>
        <w:pStyle w:val="IASBNormalnparaL1P"/>
      </w:pPr>
      <w:r>
        <w:rPr>
          <w:b/>
        </w:rPr>
        <w:t>As an exception, an instrument that meets the definition of a financial liability is classified as an equity instrument if it has all the features and meets the conditions in paragraphs 16A and 16B or paragraphs 16C and 16D.</w:t>
      </w:r>
    </w:p>
    <w:p w:rsidR="000E6961" w:rsidRDefault="000E6961">
      <w:pPr>
        <w:pStyle w:val="IASBNormalnparaP"/>
      </w:pPr>
      <w:r>
        <w:rPr>
          <w:b/>
        </w:rPr>
        <w:t xml:space="preserve">An </w:t>
      </w:r>
      <w:r>
        <w:rPr>
          <w:b/>
          <w:i/>
        </w:rPr>
        <w:t>equity instrument</w:t>
      </w:r>
      <w:r>
        <w:rPr>
          <w:b/>
        </w:rPr>
        <w:t xml:space="preserve"> is any contract that evidences a residual interest in the assets of an entity after deducting all of its liabilities. </w:t>
      </w:r>
    </w:p>
    <w:p w:rsidR="000E6961" w:rsidRDefault="000E6961">
      <w:pPr>
        <w:pStyle w:val="IASBNormalnparaP"/>
      </w:pPr>
      <w:r>
        <w:rPr>
          <w:b/>
          <w:i/>
        </w:rPr>
        <w:t>Fair value</w:t>
      </w:r>
      <w:r>
        <w:rPr>
          <w:b/>
        </w:rPr>
        <w:t xml:space="preserve"> is the price that would be received to sell an asset or paid to transfer a liability in an orderly transaction between market participants at the measurement date. (See</w:t>
      </w:r>
      <w:r w:rsidR="00B64056">
        <w:rPr>
          <w:b/>
        </w:rPr>
        <w:t xml:space="preserve"> AASB 13</w:t>
      </w:r>
      <w:r>
        <w:rPr>
          <w:b/>
        </w:rPr>
        <w:t xml:space="preserve"> </w:t>
      </w:r>
      <w:r>
        <w:rPr>
          <w:b/>
          <w:i/>
        </w:rPr>
        <w:t>Fair Value Measurement</w:t>
      </w:r>
      <w:r>
        <w:rPr>
          <w:b/>
        </w:rPr>
        <w:t>.)</w:t>
      </w:r>
    </w:p>
    <w:p w:rsidR="000E6961" w:rsidRDefault="000E6961">
      <w:pPr>
        <w:pStyle w:val="IASBNormalnparaP"/>
      </w:pPr>
      <w:r>
        <w:rPr>
          <w:b/>
        </w:rPr>
        <w:t xml:space="preserve">A </w:t>
      </w:r>
      <w:r>
        <w:rPr>
          <w:b/>
          <w:i/>
        </w:rPr>
        <w:t>puttable instrument</w:t>
      </w:r>
      <w:r>
        <w:rPr>
          <w:b/>
        </w:rPr>
        <w:t xml:space="preserve"> is a financial instrument that gives the holder the right to put the instrument back to the issuer for cash</w:t>
      </w:r>
      <w:r>
        <w:t xml:space="preserve"> </w:t>
      </w:r>
      <w:r>
        <w:rPr>
          <w:b/>
        </w:rPr>
        <w:t>or another financial asset or is automatically put back to the issuer on the occurrence of an uncertain future event or the death or retirement of the instrument holder.</w:t>
      </w:r>
    </w:p>
    <w:p w:rsidR="000E6961" w:rsidRDefault="000E6961">
      <w:pPr>
        <w:pStyle w:val="IASBNormalnpara"/>
      </w:pPr>
      <w:r>
        <w:t>12</w:t>
      </w:r>
      <w:r>
        <w:tab/>
        <w:t>The following terms are defined in Appendix A of</w:t>
      </w:r>
      <w:r w:rsidR="00B64056">
        <w:t xml:space="preserve"> AASB 9</w:t>
      </w:r>
      <w:r>
        <w:t xml:space="preserve"> or paragraph 9 of</w:t>
      </w:r>
      <w:r w:rsidR="00B64056">
        <w:t xml:space="preserve"> AASB 139</w:t>
      </w:r>
      <w:r>
        <w:t xml:space="preserve"> </w:t>
      </w:r>
      <w:r>
        <w:rPr>
          <w:i/>
        </w:rPr>
        <w:t>Financial Instruments: Recognition and Measurement</w:t>
      </w:r>
      <w:r>
        <w:t xml:space="preserve"> and are used in this Standard with the meaning specified in</w:t>
      </w:r>
      <w:r w:rsidR="00B64056">
        <w:t xml:space="preserve"> AASB 139</w:t>
      </w:r>
      <w:r>
        <w:t xml:space="preserve"> and</w:t>
      </w:r>
      <w:r w:rsidR="00B64056">
        <w:t xml:space="preserve"> AASB 9</w:t>
      </w:r>
      <w:r>
        <w:t xml:space="preserve">. </w:t>
      </w:r>
    </w:p>
    <w:p w:rsidR="000E6961" w:rsidRDefault="000E6961">
      <w:pPr>
        <w:pStyle w:val="IASBNormalnparaL1"/>
      </w:pPr>
      <w:r>
        <w:t>•</w:t>
      </w:r>
      <w:r>
        <w:tab/>
        <w:t>amortised cost of a financial asset or financial liability</w:t>
      </w:r>
    </w:p>
    <w:p w:rsidR="000E6961" w:rsidRDefault="000E6961">
      <w:pPr>
        <w:pStyle w:val="IASBNormalnparaL1"/>
      </w:pPr>
      <w:r>
        <w:t>•</w:t>
      </w:r>
      <w:r>
        <w:tab/>
        <w:t>derecognition</w:t>
      </w:r>
    </w:p>
    <w:p w:rsidR="000E6961" w:rsidRDefault="000E6961">
      <w:pPr>
        <w:pStyle w:val="IASBNormalnparaL1"/>
      </w:pPr>
      <w:r>
        <w:t>•</w:t>
      </w:r>
      <w:r>
        <w:tab/>
        <w:t>derivative</w:t>
      </w:r>
    </w:p>
    <w:p w:rsidR="000E6961" w:rsidRDefault="000E6961">
      <w:pPr>
        <w:pStyle w:val="IASBNormalnparaL1"/>
      </w:pPr>
      <w:r>
        <w:t>•</w:t>
      </w:r>
      <w:r>
        <w:tab/>
        <w:t>effective interest method</w:t>
      </w:r>
    </w:p>
    <w:p w:rsidR="000E6961" w:rsidRDefault="000E6961">
      <w:pPr>
        <w:pStyle w:val="IASBNormalnparaL1"/>
      </w:pPr>
      <w:r>
        <w:t>•</w:t>
      </w:r>
      <w:r>
        <w:tab/>
        <w:t>financial guarantee contract</w:t>
      </w:r>
    </w:p>
    <w:p w:rsidR="000E6961" w:rsidRDefault="000E6961">
      <w:pPr>
        <w:pStyle w:val="IASBNormalnparaL1"/>
      </w:pPr>
      <w:r>
        <w:t>•</w:t>
      </w:r>
      <w:r>
        <w:tab/>
        <w:t>financial liability at fair value through profit or loss</w:t>
      </w:r>
    </w:p>
    <w:p w:rsidR="000E6961" w:rsidRDefault="000E6961">
      <w:pPr>
        <w:pStyle w:val="IASBNormalnparaL1"/>
      </w:pPr>
      <w:r>
        <w:t>•</w:t>
      </w:r>
      <w:r>
        <w:tab/>
        <w:t>firm commitment</w:t>
      </w:r>
    </w:p>
    <w:p w:rsidR="000E6961" w:rsidRDefault="000E6961">
      <w:pPr>
        <w:pStyle w:val="IASBNormalnparaL1"/>
      </w:pPr>
      <w:r>
        <w:t>•</w:t>
      </w:r>
      <w:r>
        <w:tab/>
        <w:t>forecast transaction</w:t>
      </w:r>
    </w:p>
    <w:p w:rsidR="000E6961" w:rsidRDefault="000E6961">
      <w:pPr>
        <w:pStyle w:val="IASBNormalnparaL1"/>
      </w:pPr>
      <w:r>
        <w:t>•</w:t>
      </w:r>
      <w:r>
        <w:tab/>
        <w:t>hedge effectiveness</w:t>
      </w:r>
    </w:p>
    <w:p w:rsidR="000E6961" w:rsidRDefault="000E6961">
      <w:pPr>
        <w:pStyle w:val="IASBNormalnparaL1"/>
      </w:pPr>
      <w:r>
        <w:t>•</w:t>
      </w:r>
      <w:r>
        <w:tab/>
        <w:t>hedged item</w:t>
      </w:r>
    </w:p>
    <w:p w:rsidR="000E6961" w:rsidRDefault="000E6961">
      <w:pPr>
        <w:pStyle w:val="IASBNormalnparaL1"/>
      </w:pPr>
      <w:r>
        <w:t>•</w:t>
      </w:r>
      <w:r>
        <w:tab/>
        <w:t>hedging instrument</w:t>
      </w:r>
    </w:p>
    <w:p w:rsidR="000E6961" w:rsidRDefault="000E6961">
      <w:pPr>
        <w:pStyle w:val="IASBNormalnparaL1"/>
      </w:pPr>
      <w:r>
        <w:t>•</w:t>
      </w:r>
      <w:r>
        <w:tab/>
        <w:t>held for trading</w:t>
      </w:r>
    </w:p>
    <w:p w:rsidR="000E6961" w:rsidRDefault="000E6961">
      <w:pPr>
        <w:pStyle w:val="IASBNormalnparaL1"/>
      </w:pPr>
      <w:r>
        <w:lastRenderedPageBreak/>
        <w:t>•</w:t>
      </w:r>
      <w:r>
        <w:tab/>
        <w:t>regular way purchase or sale</w:t>
      </w:r>
    </w:p>
    <w:p w:rsidR="000E6961" w:rsidRDefault="000E6961">
      <w:pPr>
        <w:pStyle w:val="IASBNormalnparaL1"/>
      </w:pPr>
      <w:r>
        <w:t>•</w:t>
      </w:r>
      <w:r>
        <w:tab/>
        <w:t>transaction costs.</w:t>
      </w:r>
    </w:p>
    <w:p w:rsidR="000E6961" w:rsidRDefault="000E6961">
      <w:pPr>
        <w:pStyle w:val="IASBNormalnpara"/>
      </w:pPr>
      <w:r>
        <w:t>13</w:t>
      </w:r>
      <w:r>
        <w:tab/>
        <w:t>In this Standard, ‘contract’ and ‘contractual’ refer to an agreement between two or more parties that has clear economic consequences that the parties have little, if any, discretion to avoid, usually because the agreement is enforceable by law. Contracts, and thus financial instruments, may take a variety of forms and need not be in writing.</w:t>
      </w:r>
    </w:p>
    <w:p w:rsidR="000E6961" w:rsidRDefault="000E6961">
      <w:pPr>
        <w:pStyle w:val="IASBNormalnpara"/>
      </w:pPr>
      <w:r>
        <w:t>14</w:t>
      </w:r>
      <w:r>
        <w:tab/>
        <w:t>In this Standard, ‘entity’ includes individuals, partnerships, incorporated bodies, trusts and government agencies.</w:t>
      </w:r>
    </w:p>
    <w:p w:rsidR="000E6961" w:rsidRDefault="000E6961">
      <w:pPr>
        <w:pStyle w:val="IASBSectionTitle1NonInd"/>
      </w:pPr>
      <w:r>
        <w:t>Presentation</w:t>
      </w:r>
    </w:p>
    <w:p w:rsidR="000E6961" w:rsidRDefault="000E6961">
      <w:pPr>
        <w:pStyle w:val="IASBSectionTitle2Ind"/>
      </w:pPr>
      <w:r>
        <w:t>Liabilities and equity (see also paragraphs AG13–AG14J and AG25–AG29A)</w:t>
      </w:r>
    </w:p>
    <w:p w:rsidR="000E6961" w:rsidRDefault="000E6961">
      <w:pPr>
        <w:pStyle w:val="IASBNormalnpara"/>
        <w:rPr>
          <w:b/>
        </w:rPr>
      </w:pPr>
      <w:r>
        <w:rPr>
          <w:b/>
        </w:rPr>
        <w:t>15</w:t>
      </w:r>
      <w:r>
        <w:rPr>
          <w:b/>
        </w:rPr>
        <w:tab/>
        <w:t>The issuer of a financial instrument shall classify the instrument, or its component parts, on initial recognition as a financial liability, a financial asset or an equity instrument in accordance with the substance of the contractual arrangement and the definitions of a financial liability, a financial asset and an equity instrument.</w:t>
      </w:r>
    </w:p>
    <w:p w:rsidR="000E6961" w:rsidRDefault="000E6961">
      <w:pPr>
        <w:pStyle w:val="IASBNormalnpara"/>
      </w:pPr>
      <w:r>
        <w:t>16</w:t>
      </w:r>
      <w:r>
        <w:tab/>
        <w:t xml:space="preserve">When an issuer applies the definitions in paragraph 11 to determine whether a financial instrument is an equity instrument rather than a financial liability, the instrument is an equity instrument if, and only if, both conditions (a) and (b) below are met. </w:t>
      </w:r>
    </w:p>
    <w:p w:rsidR="000E6961" w:rsidRDefault="000E6961">
      <w:pPr>
        <w:pStyle w:val="IASBNormalnparaL1"/>
      </w:pPr>
      <w:r>
        <w:t>(a)</w:t>
      </w:r>
      <w:r>
        <w:tab/>
        <w:t>The instrument includes no contractual obligation:</w:t>
      </w:r>
    </w:p>
    <w:p w:rsidR="000E6961" w:rsidRDefault="000E6961">
      <w:pPr>
        <w:pStyle w:val="IASBNormalnparaL2"/>
      </w:pPr>
      <w:r>
        <w:t>(i)</w:t>
      </w:r>
      <w:r>
        <w:tab/>
        <w:t>to deliver cash or another financial asset to another entity; or</w:t>
      </w:r>
    </w:p>
    <w:p w:rsidR="000E6961" w:rsidRDefault="000E6961">
      <w:pPr>
        <w:pStyle w:val="IASBNormalnparaL2"/>
      </w:pPr>
      <w:r>
        <w:t>(ii)</w:t>
      </w:r>
      <w:r>
        <w:tab/>
        <w:t>to exchange financial assets or financial liabilities with another entity under conditions that are potentially unfavourable to the issuer.</w:t>
      </w:r>
    </w:p>
    <w:p w:rsidR="000E6961" w:rsidRDefault="000E6961">
      <w:pPr>
        <w:pStyle w:val="IASBNormalnparaL1"/>
      </w:pPr>
      <w:r>
        <w:t>(b)</w:t>
      </w:r>
      <w:r>
        <w:tab/>
        <w:t>If the instrument will or may be settled in the issuer’s own equity instruments, it is:</w:t>
      </w:r>
    </w:p>
    <w:p w:rsidR="000E6961" w:rsidRDefault="000E6961">
      <w:pPr>
        <w:pStyle w:val="IASBNormalnparaL2"/>
      </w:pPr>
      <w:r>
        <w:t>(i)</w:t>
      </w:r>
      <w:r>
        <w:tab/>
        <w:t>a non-derivative that includes no contractual obligation for the issuer to deliver a variable number of its own equity instruments; or</w:t>
      </w:r>
    </w:p>
    <w:p w:rsidR="000E6961" w:rsidRDefault="000E6961">
      <w:pPr>
        <w:pStyle w:val="IASBNormalnparaL2"/>
      </w:pPr>
      <w:r>
        <w:t>(ii)</w:t>
      </w:r>
      <w:r>
        <w:tab/>
        <w:t>a derivative that will be settled only by the issuer exchanging a fixed amount of cash or another financial asset for a fixed number of its own equity instruments. For this purpose, rights, options or warrants to acquire a fixed number of the entity’s own equity instruments for a fixed amount of any currency are equity instruments if the entity offers the rights, options or warrants pro rata to all of its existing owners of the same class of its own non-derivative equity instruments. Also, for these purposes the issuer’s own equity instruments do not include instruments that have all the features and meet the conditions described in paragraphs 16A and 16B or paragraphs 16C and 16D, or instruments that are contracts for the future receipt or delivery of the issuer’s own equity instruments.</w:t>
      </w:r>
    </w:p>
    <w:p w:rsidR="000E6961" w:rsidRDefault="000E6961">
      <w:pPr>
        <w:pStyle w:val="IASBNormalnparaP"/>
      </w:pPr>
      <w:r>
        <w:t>A contractual obligation, including one arising from a derivative financial instrument, that will or may result in the future receipt or delivery of the issuer’s own equity instruments, but does not meet conditions (a) and (b) above, is not an equity instrument. As an exception, an instrument that meets the definition of a financial liability is classified as an equity instrument if it has all the features and meets the conditions in paragraphs 16A and 16B or paragraphs 16C and 16D.</w:t>
      </w:r>
    </w:p>
    <w:p w:rsidR="000E6961" w:rsidRDefault="000E6961">
      <w:pPr>
        <w:pStyle w:val="IASBSectionTitle3Ind"/>
      </w:pPr>
      <w:r>
        <w:t>Puttable instruments</w:t>
      </w:r>
    </w:p>
    <w:p w:rsidR="000E6961" w:rsidRDefault="000E6961">
      <w:pPr>
        <w:pStyle w:val="IASBNormalnpara"/>
      </w:pPr>
      <w:r>
        <w:t>16A</w:t>
      </w:r>
      <w:r>
        <w:tab/>
        <w:t xml:space="preserve">A puttable financial instrument includes a contractual obligation for the issuer to repurchase or redeem that instrument for cash or another financial asset on exercise of the put. As an exception to the definition of a financial liability, an instrument that includes such an obligation is classified as an equity instrument if it has all the following features: </w:t>
      </w:r>
    </w:p>
    <w:p w:rsidR="000E6961" w:rsidRDefault="000E6961">
      <w:pPr>
        <w:pStyle w:val="IASBNormalnparaL1"/>
      </w:pPr>
      <w:r>
        <w:t>(a)</w:t>
      </w:r>
      <w:r>
        <w:tab/>
        <w:t>It entitles the holder to a pro rata share of the entity’s net assets in the event of the entity’s liquidation. The entity’s net assets are those assets that remain after deducting all other claims on its assets. A pro rata share is determined by:</w:t>
      </w:r>
    </w:p>
    <w:p w:rsidR="000E6961" w:rsidRDefault="000E6961">
      <w:pPr>
        <w:pStyle w:val="IASBNormalnparaL2"/>
      </w:pPr>
      <w:r>
        <w:t>(i)</w:t>
      </w:r>
      <w:r>
        <w:tab/>
        <w:t>dividing the entity’s net assets on liquidation into units of equal amount; and</w:t>
      </w:r>
    </w:p>
    <w:p w:rsidR="000E6961" w:rsidRDefault="000E6961">
      <w:pPr>
        <w:pStyle w:val="IASBNormalnparaL2"/>
      </w:pPr>
      <w:r>
        <w:lastRenderedPageBreak/>
        <w:t>(ii)</w:t>
      </w:r>
      <w:r>
        <w:tab/>
        <w:t>multiplying that amount by the number of the units held by the financial instrument holder.</w:t>
      </w:r>
    </w:p>
    <w:p w:rsidR="000E6961" w:rsidRDefault="000E6961">
      <w:pPr>
        <w:pStyle w:val="IASBNormalnparaL1"/>
      </w:pPr>
      <w:r>
        <w:t>(b)</w:t>
      </w:r>
      <w:r>
        <w:tab/>
        <w:t>The instrument is in the class of instruments that is subordinate to all other classes of instruments. To be in such a class the instrument:</w:t>
      </w:r>
    </w:p>
    <w:p w:rsidR="000E6961" w:rsidRDefault="000E6961">
      <w:pPr>
        <w:pStyle w:val="IASBNormalnparaL2"/>
      </w:pPr>
      <w:r>
        <w:t>(i)</w:t>
      </w:r>
      <w:r>
        <w:tab/>
        <w:t>has no priority over other claims to the assets of the entity on liquidation, and</w:t>
      </w:r>
    </w:p>
    <w:p w:rsidR="000E6961" w:rsidRDefault="000E6961">
      <w:pPr>
        <w:pStyle w:val="IASBNormalnparaL2"/>
      </w:pPr>
      <w:r>
        <w:t>(ii)</w:t>
      </w:r>
      <w:r>
        <w:tab/>
        <w:t>does not need to be converted into another instrument before it is in the class of instruments that is subordinate to all other classes of instruments.</w:t>
      </w:r>
    </w:p>
    <w:p w:rsidR="000E6961" w:rsidRDefault="000E6961">
      <w:pPr>
        <w:pStyle w:val="IASBNormalnparaL1"/>
      </w:pPr>
      <w:r>
        <w:t>(c)</w:t>
      </w:r>
      <w:r>
        <w:tab/>
        <w:t>All financial instruments in the class of instruments that is subordinate to all other classes of instruments have identical features. For example, they must all be puttable, and the formula or other method used to calculate the repurchase or redemption price is the same for all instruments in that class.</w:t>
      </w:r>
    </w:p>
    <w:p w:rsidR="000E6961" w:rsidRDefault="000E6961">
      <w:pPr>
        <w:pStyle w:val="IASBNormalnparaL1"/>
      </w:pPr>
      <w:r>
        <w:t>(d)</w:t>
      </w:r>
      <w:r>
        <w:tab/>
        <w:t>Apart from the contractual obligation for the issuer to repurchase or redeem the instrument for cash or another financial asset, the instrument does not include any contractual obligation to deliver cash or another financial asset to another entity, or to exchange financial assets or financial liabilities with another entity under conditions that are potentially unfavourable to the entity, and it is not a contract that will or may be settled in the entity’s own equity instruments as set out in subparagraph (b) of the definition of a financial liability.</w:t>
      </w:r>
    </w:p>
    <w:p w:rsidR="000E6961" w:rsidRDefault="000E6961">
      <w:pPr>
        <w:pStyle w:val="IASBNormalnparaL1"/>
      </w:pPr>
      <w:r>
        <w:t>(e)</w:t>
      </w:r>
      <w:r>
        <w:tab/>
        <w:t>The total expected cash flows attributable to the instrument over the life of the instrument are based substantially on the profit or loss, the change in the recognised net assets or the change in the fair value of the recognised and unrecognised net assets of the entity over the life of the instrument (excluding any effects of the instrument).</w:t>
      </w:r>
    </w:p>
    <w:p w:rsidR="000E6961" w:rsidRDefault="000E6961">
      <w:pPr>
        <w:pStyle w:val="IASBNormalnpara"/>
      </w:pPr>
      <w:r>
        <w:t>16B</w:t>
      </w:r>
      <w:r>
        <w:tab/>
        <w:t xml:space="preserve">For an instrument to be classified as an equity instrument, in addition to the instrument having all the above features, the issuer must have no other financial instrument or contract that has: </w:t>
      </w:r>
    </w:p>
    <w:p w:rsidR="000E6961" w:rsidRDefault="000E6961">
      <w:pPr>
        <w:pStyle w:val="IASBNormalnparaL1"/>
      </w:pPr>
      <w:r>
        <w:t>(a)</w:t>
      </w:r>
      <w:r>
        <w:tab/>
        <w:t>total cash flows based substantially on the profit or loss, the change in the recognised net assets or the change in the fair value of the recognised and unrecognised net assets of the entity (excluding any effects of such instrument or contract) and</w:t>
      </w:r>
    </w:p>
    <w:p w:rsidR="000E6961" w:rsidRDefault="000E6961">
      <w:pPr>
        <w:pStyle w:val="IASBNormalnparaL1"/>
      </w:pPr>
      <w:r>
        <w:t>(b)</w:t>
      </w:r>
      <w:r>
        <w:tab/>
        <w:t>the effect of substantially restricting or fixing the residual return to the puttable instrument holders.</w:t>
      </w:r>
    </w:p>
    <w:p w:rsidR="000E6961" w:rsidRDefault="000E6961">
      <w:pPr>
        <w:pStyle w:val="IASBNormalnparaP"/>
      </w:pPr>
      <w:r>
        <w:t>For the purposes of applying this condition, the entity shall not consider non-financial contracts with a holder of an instrument described in paragraph 16A that have contractual terms and conditions that are similar to the contractual terms and conditions of an equivalent contract that might occur between a non-instrument holder and the issuing entity. If the entity cannot determine that this condition is met, it shall not classify the puttable instrument as an equity instrument.</w:t>
      </w:r>
    </w:p>
    <w:p w:rsidR="000E6961" w:rsidRDefault="000E6961">
      <w:pPr>
        <w:pStyle w:val="IASBSectionTitle3Ind"/>
      </w:pPr>
      <w:r>
        <w:t>Instruments, or components of instruments, that impose on the entity an obligation to deliver to another party a pro rata share of the net assets of the entity only on liquidation</w:t>
      </w:r>
    </w:p>
    <w:p w:rsidR="000E6961" w:rsidRDefault="000E6961">
      <w:pPr>
        <w:pStyle w:val="IASBNormalnpara"/>
      </w:pPr>
      <w:r>
        <w:t>16C</w:t>
      </w:r>
      <w:r>
        <w:tab/>
        <w:t xml:space="preserve">Some financial instruments include a contractual obligation for the issuing entity to deliver to another entity a pro rata share of its net assets only on liquidation. The obligation arises because liquidation either is certain to occur and outside the control of the entity (for example, a limited life entity) or is uncertain to occur but is at the option of the instrument holder. As an exception to the definition of a financial liability, an instrument that includes such an obligation is classified as an equity instrument if it has all the following features: </w:t>
      </w:r>
    </w:p>
    <w:p w:rsidR="000E6961" w:rsidRDefault="000E6961">
      <w:pPr>
        <w:pStyle w:val="IASBNormalnparaL1"/>
      </w:pPr>
      <w:r>
        <w:t>(a)</w:t>
      </w:r>
      <w:r>
        <w:tab/>
        <w:t>It entitles the holder to a pro rata share of the entity’s net assets in the event of the entity’s liquidation. The entity’s net assets are those assets that remain after deducting all other claims on its assets. A pro rata share is determined by:</w:t>
      </w:r>
    </w:p>
    <w:p w:rsidR="000E6961" w:rsidRDefault="000E6961">
      <w:pPr>
        <w:pStyle w:val="IASBNormalnparaL2"/>
      </w:pPr>
      <w:r>
        <w:t>(i)</w:t>
      </w:r>
      <w:r>
        <w:tab/>
        <w:t>dividing the net assets of the entity on liquidation into units of equal amount; and</w:t>
      </w:r>
    </w:p>
    <w:p w:rsidR="000E6961" w:rsidRDefault="000E6961">
      <w:pPr>
        <w:pStyle w:val="IASBNormalnparaL2"/>
      </w:pPr>
      <w:r>
        <w:t>(ii)</w:t>
      </w:r>
      <w:r>
        <w:tab/>
        <w:t>multiplying that amount by the number of the units held by the financial instrument holder.</w:t>
      </w:r>
    </w:p>
    <w:p w:rsidR="000E6961" w:rsidRDefault="000E6961">
      <w:pPr>
        <w:pStyle w:val="IASBNormalnparaL1"/>
      </w:pPr>
      <w:r>
        <w:t>(b)</w:t>
      </w:r>
      <w:r>
        <w:tab/>
        <w:t>The instrument is in the class of instruments that is subordinate to all other classes of instruments. To be in such a class the instrument:</w:t>
      </w:r>
    </w:p>
    <w:p w:rsidR="000E6961" w:rsidRDefault="000E6961">
      <w:pPr>
        <w:pStyle w:val="IASBNormalnparaL2"/>
      </w:pPr>
      <w:r>
        <w:t>(i)</w:t>
      </w:r>
      <w:r>
        <w:tab/>
        <w:t>has no priority over other claims to the assets of the entity on liquidation, and</w:t>
      </w:r>
    </w:p>
    <w:p w:rsidR="000E6961" w:rsidRDefault="000E6961">
      <w:pPr>
        <w:pStyle w:val="IASBNormalnparaL2"/>
      </w:pPr>
      <w:r>
        <w:t>(ii)</w:t>
      </w:r>
      <w:r>
        <w:tab/>
        <w:t>does not need to be converted into another instrument before it is in the class of instruments that is subordinate to all other classes of instruments.</w:t>
      </w:r>
    </w:p>
    <w:p w:rsidR="000E6961" w:rsidRDefault="000E6961">
      <w:pPr>
        <w:pStyle w:val="IASBNormalnparaL1"/>
      </w:pPr>
      <w:r>
        <w:lastRenderedPageBreak/>
        <w:t>(c)</w:t>
      </w:r>
      <w:r>
        <w:tab/>
        <w:t>All financial instruments in the class of instruments that is subordinate to all other classes of instruments must have an identical contractual obligation for the issuing entity to deliver a pro rata share of its net assets on liquidation.</w:t>
      </w:r>
    </w:p>
    <w:p w:rsidR="000E6961" w:rsidRDefault="000E6961">
      <w:pPr>
        <w:pStyle w:val="IASBNormalnpara"/>
      </w:pPr>
      <w:r>
        <w:t>16D</w:t>
      </w:r>
      <w:r>
        <w:tab/>
        <w:t xml:space="preserve">For an instrument to be classified as an equity instrument, in addition to the instrument having all the above features, the issuer must have no other financial instrument or contract that has: </w:t>
      </w:r>
    </w:p>
    <w:p w:rsidR="000E6961" w:rsidRDefault="000E6961">
      <w:pPr>
        <w:pStyle w:val="IASBNormalnparaL1"/>
      </w:pPr>
      <w:r>
        <w:t>(a)</w:t>
      </w:r>
      <w:r>
        <w:tab/>
        <w:t>total cash flows based substantially on the profit or loss, the change in the recognised net assets or the change in the fair value of the recognised and unrecognised net assets of the entity (excluding any effects of such instrument or contract) and</w:t>
      </w:r>
    </w:p>
    <w:p w:rsidR="000E6961" w:rsidRDefault="000E6961">
      <w:pPr>
        <w:pStyle w:val="IASBNormalnparaL1"/>
      </w:pPr>
      <w:r>
        <w:t>(b)</w:t>
      </w:r>
      <w:r>
        <w:tab/>
        <w:t>the effect of substantially restricting or fixing the residual return to the instrument holders.</w:t>
      </w:r>
    </w:p>
    <w:p w:rsidR="000E6961" w:rsidRDefault="000E6961">
      <w:pPr>
        <w:pStyle w:val="IASBNormalnparaP"/>
      </w:pPr>
      <w:r>
        <w:t>For the purposes of applying this condition, the entity shall not consider non-financial contracts with a holder of an instrument described in paragraph 16C that have contractual terms and conditions that are similar to the contractual terms and conditions of an equivalent contract that might occur between a non-instrument holder and the issuing entity. If the entity cannot determine that this condition is met, it shall not classify the instrument as an equity instrument.</w:t>
      </w:r>
    </w:p>
    <w:p w:rsidR="000E6961" w:rsidRDefault="000E6961">
      <w:pPr>
        <w:pStyle w:val="IASBSectionTitle3Ind"/>
      </w:pPr>
      <w:r>
        <w:t>Reclassification of puttable instruments and instruments that impose on the entity an obligation to deliver to another party a pro rata share of the net assets of the entity only on liquidation</w:t>
      </w:r>
    </w:p>
    <w:p w:rsidR="000E6961" w:rsidRDefault="000E6961">
      <w:pPr>
        <w:pStyle w:val="IASBNormalnpara"/>
      </w:pPr>
      <w:r>
        <w:t>16E</w:t>
      </w:r>
      <w:r>
        <w:tab/>
        <w:t>An entity shall classify a financial instrument as an equity instrument in accordance with paragraphs 16A and 16B or paragraphs 16C and 16D from the date when the instrument has all the features and meets the conditions set out in those paragraphs. An entity shall reclassify a financial instrument from the date when the instrument ceases to have all the features or meet all the conditions set out in those paragraphs. For example, if an entity redeems all its issued non-puttable instruments and any puttable instrument that remain outstanding have all the features and meet all the conditions in paragraphs 16A and 16B, the entity shall reclassify the puttable instruments as equity instruments from the date when it redeems the non-puttable instruments.</w:t>
      </w:r>
    </w:p>
    <w:p w:rsidR="000E6961" w:rsidRDefault="000E6961">
      <w:pPr>
        <w:pStyle w:val="IASBNormalnpara"/>
      </w:pPr>
      <w:r>
        <w:t>16F</w:t>
      </w:r>
      <w:r>
        <w:tab/>
        <w:t>An entity shall account as follows for the reclassification of an instrument in accordance with paragraph 16E:</w:t>
      </w:r>
    </w:p>
    <w:p w:rsidR="000E6961" w:rsidRDefault="000E6961">
      <w:pPr>
        <w:pStyle w:val="IASBNormalnparaL1"/>
      </w:pPr>
      <w:r>
        <w:t>(a)</w:t>
      </w:r>
      <w:r>
        <w:tab/>
        <w:t>It shall reclassify an equity instrument as a financial liability from the date when the instrument ceases to have all the features or meet the conditions in paragraphs 16A and 16B or paragraphs 16C and 16D. The financial liability shall be measured at the instrument’s fair value at the date of reclassification. The entity shall recognise in equity any difference between the carrying value of the equity instrument and the fair value of the financial liability at the date of reclassification.</w:t>
      </w:r>
    </w:p>
    <w:p w:rsidR="000E6961" w:rsidRDefault="000E6961">
      <w:pPr>
        <w:pStyle w:val="IASBNormalnparaL1"/>
      </w:pPr>
      <w:r>
        <w:t>(b)</w:t>
      </w:r>
      <w:r>
        <w:tab/>
        <w:t>It shall reclassify a financial liability as equity from the date when the instrument has all the features and meets the conditions set out in paragraphs 16A and 16B or paragraphs 16C and 16D. An equity instrument shall be measured at the carrying value of the financial liability at the date of reclassification.</w:t>
      </w:r>
    </w:p>
    <w:p w:rsidR="000E6961" w:rsidRDefault="000E6961">
      <w:pPr>
        <w:pStyle w:val="IASBSectionTitle3Ind"/>
      </w:pPr>
      <w:r>
        <w:t>No contractual obligation to deliver cash or another financial asset (paragraph</w:t>
      </w:r>
      <w:r w:rsidR="0070114D">
        <w:t> </w:t>
      </w:r>
      <w:r>
        <w:t>16(a))</w:t>
      </w:r>
    </w:p>
    <w:p w:rsidR="000E6961" w:rsidRDefault="000E6961">
      <w:pPr>
        <w:pStyle w:val="IASBNormalnpara"/>
      </w:pPr>
      <w:r>
        <w:t>17</w:t>
      </w:r>
      <w:r>
        <w:tab/>
        <w:t>With the exception of the circumstances described in paragraphs 16A and 16B or paragraphs 16C and 16D, a critical feature in differentiating a financial liability from an equity instrument is the existence of a contractual obligation of one party to the financial instrument (the issuer) either to deliver cash or another financial asset to the other party (the holder) or to exchange financial assets or financial liabilities with the holder under conditions that are potentially unfavourable to the issuer. Although the holder of an equity instrument may be entitled to receive a pro rata share of any dividends or other distributions of equity, the issuer does not have a contractual obligation to make such distributions because it cannot be required to deliver cash or another financial asset to another party.</w:t>
      </w:r>
    </w:p>
    <w:p w:rsidR="000E6961" w:rsidRDefault="000E6961">
      <w:pPr>
        <w:pStyle w:val="IASBNormalnpara"/>
      </w:pPr>
      <w:r>
        <w:t>18</w:t>
      </w:r>
      <w:r>
        <w:tab/>
        <w:t xml:space="preserve">The substance of a financial instrument, rather than its legal form, governs its classification in the entity’s statement of financial position. Substance and legal form are commonly consistent, but not always. Some financial instruments take the legal form of equity but are liabilities in substance and others may combine features associated with equity instruments and features associated with financial liabilities. For example: </w:t>
      </w:r>
    </w:p>
    <w:p w:rsidR="000E6961" w:rsidRDefault="000E6961">
      <w:pPr>
        <w:pStyle w:val="IASBNormalnparaL1"/>
      </w:pPr>
      <w:r>
        <w:t>(a)</w:t>
      </w:r>
      <w:r>
        <w:tab/>
        <w:t>a preference share that provides for mandatory redemption by the issuer for a fixed or determinable amount at a fixed or determinable future date, or gives the holder the right to require the issuer to redeem the instrument at or after a particular date for a fixed or determinable amount, is a financial liability.</w:t>
      </w:r>
    </w:p>
    <w:p w:rsidR="000E6961" w:rsidRDefault="000E6961">
      <w:pPr>
        <w:pStyle w:val="IASBNormalnparaL1"/>
      </w:pPr>
      <w:r>
        <w:lastRenderedPageBreak/>
        <w:t>(b)</w:t>
      </w:r>
      <w:r>
        <w:tab/>
        <w:t>a financial instrument that gives the holder the right to put it back to the issuer for cash or another financial asset (a ‘puttable instrument’) is a financial liability, except for those instruments classified as equity instruments in accordance with paragraphs 16A and 16B or paragraphs 16C and 16D. The financial instrument is a financial liability even when the amount of cash or other financial assets is determined on the basis of an index or other item that has the potential to increase or decrease. The existence of an option for the holder to put the instrument back to the issuer for cash or another financial asset means that the puttable instrument meets the definition of a financial liability, except for those instruments classified as equity instruments in accordance with paragraphs 16A and 16B or paragraphs 16C and 16D. For example, open-ended mutual funds, unit trusts, partnerships and some co-operative entities may provide their unitholders or members with a right to redeem their interests in the issuer at any time for cash, which results in the unitholders’ or members’ interests being classified as financial liabilities, except for those instruments classified as equity instruments in accordance with paragraphs 16A and 16B or paragraphs 16C and 16D. However, classification as a financial liability does not preclude the use of descriptors such as ‘net asset value attributable to unitholders’ and ‘change in net asset value attributable to unitholders’ in the financial statements of an entity that has no contributed equity (such as some mutual funds and unit trusts, see Illustrative Example 7) or the use of additional disclosure to show that total members’ interests comprise items such as reserves that meet the definition of equity and puttable instruments that do not (see Illustrative Example 8).</w:t>
      </w:r>
    </w:p>
    <w:p w:rsidR="000E6961" w:rsidRDefault="000E6961">
      <w:pPr>
        <w:pStyle w:val="IASBNormalnpara"/>
      </w:pPr>
      <w:r>
        <w:t>19</w:t>
      </w:r>
      <w:r>
        <w:tab/>
        <w:t xml:space="preserve">If an entity does not have an unconditional right to avoid delivering cash or another financial asset to settle a contractual obligation, the obligation meets the definition of a financial liability, except for those instruments classified as equity instruments in accordance with paragraphs 16A and 16B or paragraphs 16C and 16D. For example: </w:t>
      </w:r>
    </w:p>
    <w:p w:rsidR="000E6961" w:rsidRDefault="000E6961">
      <w:pPr>
        <w:pStyle w:val="IASBNormalnparaL1"/>
      </w:pPr>
      <w:r>
        <w:t>(a)</w:t>
      </w:r>
      <w:r>
        <w:tab/>
        <w:t>a restriction on the ability of an entity to satisfy a contractual obligation, such as lack of access to foreign currency or the need to obtain approval for payment from a regulatory authority, does not negate the entity’s contractual obligation or the holder’s contractual right under the instrument.</w:t>
      </w:r>
    </w:p>
    <w:p w:rsidR="000E6961" w:rsidRDefault="000E6961">
      <w:pPr>
        <w:pStyle w:val="IASBNormalnparaL1"/>
      </w:pPr>
      <w:r>
        <w:t>(b)</w:t>
      </w:r>
      <w:r>
        <w:tab/>
        <w:t>a contractual obligation that is conditional on a counterparty exercising its right to redeem is a financial liability because the entity does not have the unconditional right to avoid delivering cash or another financial asset.</w:t>
      </w:r>
    </w:p>
    <w:p w:rsidR="000E6961" w:rsidRDefault="000E6961">
      <w:pPr>
        <w:pStyle w:val="IASBNormalnpara"/>
      </w:pPr>
      <w:r>
        <w:t>20</w:t>
      </w:r>
      <w:r>
        <w:tab/>
        <w:t xml:space="preserve">A financial instrument that does not explicitly establish a contractual obligation to deliver cash or another financial asset may establish an obligation indirectly through its terms and conditions. For example: </w:t>
      </w:r>
    </w:p>
    <w:p w:rsidR="000E6961" w:rsidRDefault="000E6961">
      <w:pPr>
        <w:pStyle w:val="IASBNormalnparaL1"/>
      </w:pPr>
      <w:r>
        <w:t>(a)</w:t>
      </w:r>
      <w:r>
        <w:tab/>
        <w:t>a financial instrument may contain a non-financial obligation that must be settled if, and only if, the entity fails to make distributions or to redeem the instrument. If the entity can avoid a transfer of cash or another financial asset only by settling the non-financial obligation, the financial instrument is a financial liability.</w:t>
      </w:r>
    </w:p>
    <w:p w:rsidR="000E6961" w:rsidRDefault="000E6961">
      <w:pPr>
        <w:pStyle w:val="IASBNormalnparaL1"/>
      </w:pPr>
      <w:r>
        <w:t>(b)</w:t>
      </w:r>
      <w:r>
        <w:tab/>
        <w:t>a financial instrument is a financial liability if it provides that on settlement the entity will deliver either:</w:t>
      </w:r>
    </w:p>
    <w:p w:rsidR="000E6961" w:rsidRDefault="000E6961">
      <w:pPr>
        <w:pStyle w:val="IASBNormalnparaL2"/>
      </w:pPr>
      <w:r>
        <w:t>(i)</w:t>
      </w:r>
      <w:r>
        <w:tab/>
        <w:t>cash or another financial asset; or</w:t>
      </w:r>
    </w:p>
    <w:p w:rsidR="000E6961" w:rsidRDefault="000E6961">
      <w:pPr>
        <w:pStyle w:val="IASBNormalnparaL2"/>
      </w:pPr>
      <w:r>
        <w:t>(ii)</w:t>
      </w:r>
      <w:r>
        <w:tab/>
        <w:t>its own shares whose value is determined to exceed substantially the value of the cash or other financial asset.</w:t>
      </w:r>
    </w:p>
    <w:p w:rsidR="000E6961" w:rsidRDefault="000E6961">
      <w:pPr>
        <w:pStyle w:val="IASBNormalnparaL1P"/>
      </w:pPr>
      <w:r>
        <w:t>Although the entity does not have an explicit contractual obligation to deliver cash or another financial asset, the value of the share settlement alternative is such that the entity will settle in cash. In any event, the holder has in substance been guaranteed receipt of an amount that is at least equal to the cash settlement option (see paragraph 21).</w:t>
      </w:r>
    </w:p>
    <w:p w:rsidR="000E6961" w:rsidRDefault="000E6961">
      <w:pPr>
        <w:pStyle w:val="IASBSectionTitle3Ind"/>
      </w:pPr>
      <w:r>
        <w:t>Settlement in the entity’s own equity instruments (paragraph 16(b))</w:t>
      </w:r>
    </w:p>
    <w:p w:rsidR="000E6961" w:rsidRDefault="000E6961">
      <w:pPr>
        <w:pStyle w:val="IASBNormalnpara"/>
      </w:pPr>
      <w:r>
        <w:t>21</w:t>
      </w:r>
      <w:r>
        <w:tab/>
        <w:t>A contract is not an equity instrument solely because it may result in the receipt or delivery of the entity’s own equity instruments. An entity may have a contractual right or obligation to receive or deliver a number of its own shares or other equity instruments that varies so that the fair value of the entity’s own equity instruments to be received or delivered equals the amount of the contractual right or obligation. Such a contractual right or obligation may be for a fixed amount or an amount that fluctuates in part or in full in response to changes in a variable other than the market price of the entity’s own equity instruments (eg an interest rate, a commodity price or a financial instrument price). Two examples are (a) a contract to deliver as many of the entity’s own equity instruments as are equal in value to CU100,</w:t>
      </w:r>
      <w:r w:rsidR="005F7281" w:rsidRPr="000E6961">
        <w:rPr>
          <w:rStyle w:val="FootnoteReference"/>
        </w:rPr>
        <w:footnoteReference w:id="1"/>
      </w:r>
      <w:r>
        <w:t xml:space="preserve">  and (b) a contract to deliver as many of the entity’s own equity instruments as are equal in value to the value of 100 ounces of gold. Such a contract is a financial liability of the entity even though the entity must or can settle it by </w:t>
      </w:r>
      <w:r>
        <w:lastRenderedPageBreak/>
        <w:t xml:space="preserve">delivering its own equity instruments. It is not an equity instrument because the entity uses a variable number of its own equity instruments as a means to settle the contract. Accordingly, the contract does not evidence a residual interest in the entity’s assets after deducting all of its liabilities. </w:t>
      </w:r>
    </w:p>
    <w:p w:rsidR="000E6961" w:rsidRDefault="000E6961">
      <w:pPr>
        <w:pStyle w:val="IASBNormalnpara"/>
      </w:pPr>
      <w:r>
        <w:t>22</w:t>
      </w:r>
      <w:r>
        <w:tab/>
        <w:t>Except as stated in paragraph 22A, a contract that will be settled by the entity (receiving or) delivering a fixed number of its own equity instruments in exchange for a fixed amount of cash or another financial asset is an equity instrument. For example, an issued share option that gives the counterparty a right to buy a fixed number of the entity’s shares for a fixed price or for a fixed stated principal amount of a bond is an equity instrument. Changes in the fair value of a contract arising from variations in market interest rates that do not affect the amount of cash or other financial assets to be paid or received, or the number of equity instruments to be received or delivered, on settlement of the contract do not preclude the contract from being an equity instrument. Any consideration received (such as the premium received for a written option or warrant on the entity’s own shares) is added directly to equity. Any consideration paid (such as the premium paid for a purchased option) is deducted directly from equity. Changes in the fair value of an equity instrument are not recognised in the financial statements.</w:t>
      </w:r>
    </w:p>
    <w:p w:rsidR="000E6961" w:rsidRDefault="000E6961">
      <w:pPr>
        <w:pStyle w:val="IASBNormalnpara"/>
      </w:pPr>
      <w:r>
        <w:t>22A</w:t>
      </w:r>
      <w:r>
        <w:tab/>
        <w:t>If the entity’s own equity instruments to be received, or delivered, by the entity upon settlement of a contract are puttable financial instruments with all the features and meeting the conditions described in paragraphs 16A and 16B, or instruments that impose on the entity an obligation to deliver to another party a pro rata share of the net assets of the entity only on liquidation with all the features and meeting the conditions described in paragraphs 16C and 16D, the contract is a financial asset or a financial liability. This includes a contract that will be settled by the entity receiving or delivering a fixed number of such instruments in exchange for a fixed amount of cash or another financial asset.</w:t>
      </w:r>
    </w:p>
    <w:p w:rsidR="000E6961" w:rsidRDefault="000E6961">
      <w:pPr>
        <w:pStyle w:val="IASBNormalnpara"/>
      </w:pPr>
      <w:r>
        <w:t>23</w:t>
      </w:r>
      <w:r>
        <w:tab/>
        <w:t>With the exception of the circumstances described in paragraphs 16A and 16B or paragraphs 16C and 16D, a contract that contains an obligation for an entity to purchase its own equity instruments for cash or another financial asset gives rise to a financial liability for the present value of the redemption amount (for example, for the present value of the forward repurchase price, option exercise price or other redemption amount). This is the case even if the contract itself is an equity instrument. One example is an entity’s obligation under a forward contract to purchase its own equity instruments for cash. The financial liability is recognised initially at the present value of the redemption amount, and is reclassified from equity. Subsequently, the financial liability is measured in accordance with</w:t>
      </w:r>
      <w:r w:rsidR="00B64056">
        <w:t xml:space="preserve"> AASB 9</w:t>
      </w:r>
      <w:r>
        <w:t>. If the contract expires without delivery, the carrying amount of the financial liability is reclassified to equity. An entity’s contractual obligation to purchase its own equity instruments gives rise to a financial liability for the present value of the redemption amount even if the obligation to purchase is conditional on the counterparty exercising a right to redeem (eg a written put option that gives the counterparty the right to sell an entity’s own equity instruments to the entity for a fixed price).</w:t>
      </w:r>
    </w:p>
    <w:p w:rsidR="000E6961" w:rsidRDefault="000E6961">
      <w:pPr>
        <w:pStyle w:val="IASBNormalnpara"/>
      </w:pPr>
      <w:r>
        <w:t>24</w:t>
      </w:r>
      <w:r>
        <w:tab/>
        <w:t>A contract that will be settled by the entity delivering or receiving a fixed number of its own equity instruments in exchange for a variable amount of cash or another financial asset is a financial asset or financial liability. An example is a contract for the entity to deliver 100 of its own equity instruments in return for an amount of cash calculated to equal the value of 100 ounces of gold.</w:t>
      </w:r>
    </w:p>
    <w:p w:rsidR="000E6961" w:rsidRDefault="000E6961">
      <w:pPr>
        <w:pStyle w:val="IASBSectionTitle3Ind"/>
      </w:pPr>
      <w:r>
        <w:t>Contingent settlement provisions</w:t>
      </w:r>
    </w:p>
    <w:p w:rsidR="000E6961" w:rsidRDefault="000E6961">
      <w:pPr>
        <w:pStyle w:val="IASBNormalnpara"/>
      </w:pPr>
      <w:r>
        <w:t>25</w:t>
      </w:r>
      <w:r>
        <w:tab/>
        <w:t xml:space="preserve">A financial instrument may require the entity to deliver cash or another financial asset, or otherwise to settle it in such a way that it would be a financial liability, in the event of the occurrence or non-occurrence of uncertain future events (or on the outcome of uncertain circumstances) that are beyond the control of both the issuer and the holder of the instrument, such as a change in a stock market index, consumer price index, interest rate or taxation requirements, or the issuer’s future revenues, net income or debt-to-equity ratio. The issuer of such an instrument does not have the unconditional right to avoid delivering cash or another financial asset (or otherwise to settle it in such a way that it would be a financial liability). Therefore, it is a financial liability of the issuer unless: </w:t>
      </w:r>
    </w:p>
    <w:p w:rsidR="000E6961" w:rsidRDefault="000E6961">
      <w:pPr>
        <w:pStyle w:val="IASBNormalnparaL1"/>
      </w:pPr>
      <w:r>
        <w:t>(a)</w:t>
      </w:r>
      <w:r>
        <w:tab/>
        <w:t>the part of the contingent settlement provision that could require settlement in cash or another financial asset (or otherwise in such a way that it would be a financial liability) is not genuine;</w:t>
      </w:r>
    </w:p>
    <w:p w:rsidR="000E6961" w:rsidRDefault="000E6961">
      <w:pPr>
        <w:pStyle w:val="IASBNormalnparaL1"/>
      </w:pPr>
      <w:r>
        <w:t>(b)</w:t>
      </w:r>
      <w:r>
        <w:tab/>
        <w:t>the issuer can be required to settle the obligation in cash or another financial asset (or otherwise to settle it in such a way that it would be a financial liability) only in the event of liquidation of the issuer; or</w:t>
      </w:r>
    </w:p>
    <w:p w:rsidR="000E6961" w:rsidRDefault="000E6961">
      <w:pPr>
        <w:pStyle w:val="IASBNormalnparaL1"/>
      </w:pPr>
      <w:r>
        <w:t>(c)</w:t>
      </w:r>
      <w:r>
        <w:tab/>
        <w:t>the instrument has all the features and meets the conditions in paragraphs 16A and 16B.</w:t>
      </w:r>
    </w:p>
    <w:p w:rsidR="000E6961" w:rsidRDefault="000E6961">
      <w:pPr>
        <w:pStyle w:val="IASBSectionTitle3Ind"/>
      </w:pPr>
      <w:r>
        <w:t>Settlement options</w:t>
      </w:r>
    </w:p>
    <w:p w:rsidR="000E6961" w:rsidRDefault="000E6961">
      <w:pPr>
        <w:pStyle w:val="IASBNormalnpara"/>
        <w:rPr>
          <w:b/>
        </w:rPr>
      </w:pPr>
      <w:r>
        <w:rPr>
          <w:b/>
        </w:rPr>
        <w:t>26</w:t>
      </w:r>
      <w:r>
        <w:rPr>
          <w:b/>
        </w:rPr>
        <w:tab/>
        <w:t xml:space="preserve">When a derivative financial instrument gives one party a choice over how it is settled (eg the issuer or the holder can choose settlement net in cash or by exchanging shares for cash), it is a financial asset </w:t>
      </w:r>
      <w:r>
        <w:rPr>
          <w:b/>
        </w:rPr>
        <w:lastRenderedPageBreak/>
        <w:t>or a financial liability unless all of the settlement alternatives would result in it being an equity instrument.</w:t>
      </w:r>
    </w:p>
    <w:p w:rsidR="000E6961" w:rsidRDefault="000E6961">
      <w:pPr>
        <w:pStyle w:val="IASBNormalnpara"/>
      </w:pPr>
      <w:r>
        <w:t>27</w:t>
      </w:r>
      <w:r>
        <w:tab/>
        <w:t>An example of a derivative financial instrument with a settlement option that is a financial liability is a share option that the issuer can decide to settle net in cash or by exchanging its own shares for cash. Similarly, some contracts to buy or sell a non-financial item in exchange for the entity’s own equity instruments are within the scope of this Standard because they can be settled either by delivery of the non-financial item or net in cash or another financial instrument (see paragraphs 8–10). Such contracts are financial assets or financial liabilities and not equity instruments.</w:t>
      </w:r>
    </w:p>
    <w:p w:rsidR="000E6961" w:rsidRDefault="000E6961">
      <w:pPr>
        <w:pStyle w:val="IASBSectionTitle2Ind"/>
      </w:pPr>
      <w:r>
        <w:t>Compound financial instruments (see also paragraphs AG30–AG35 and Illustrative Examples 9–12)</w:t>
      </w:r>
    </w:p>
    <w:p w:rsidR="000E6961" w:rsidRDefault="000E6961">
      <w:pPr>
        <w:pStyle w:val="IASBNormalnpara"/>
        <w:rPr>
          <w:b/>
        </w:rPr>
      </w:pPr>
      <w:r>
        <w:rPr>
          <w:b/>
        </w:rPr>
        <w:t>28</w:t>
      </w:r>
      <w:r>
        <w:rPr>
          <w:b/>
        </w:rPr>
        <w:tab/>
        <w:t xml:space="preserve">The issuer of a non-derivative financial instrument shall evaluate the terms of the financial instrument to determine whether it contains both a liability and an equity component. Such components shall be classified separately as financial liabilities, financial assets or equity instruments in accordance with paragraph 15. </w:t>
      </w:r>
    </w:p>
    <w:p w:rsidR="000E6961" w:rsidRDefault="000E6961">
      <w:pPr>
        <w:pStyle w:val="IASBNormalnpara"/>
      </w:pPr>
      <w:r>
        <w:t>29</w:t>
      </w:r>
      <w:r>
        <w:tab/>
        <w:t>An entity recognises separately the components of a financial instrument that (a) creates a financial liability of the entity and (b) grants an option to the holder of the instrument to convert it into an equity instrument of the entity. For example, a bond or similar instrument convertible by the holder into a fixed number of ordinary shares of the entity is a compound financial instrument. From the perspective of the entity, such an instrument comprises two components: a financial liability (a contractual arrangement to deliver cash or another financial asset) and an equity instrument (a call option granting the holder the right, for a specified period of time, to convert it into a fixed number of ordinary shares of the entity). The economic effect of issuing such an instrument is substantially the same as issuing simultaneously a debt instrument with an early settlement provision and warrants to purchase ordinary shares, or issuing a debt instrument with detachable share purchase warrants. Accordingly, in all cases, the entity presents the liability and equity components separately in its statement of financial position.</w:t>
      </w:r>
    </w:p>
    <w:p w:rsidR="000E6961" w:rsidRDefault="000E6961">
      <w:pPr>
        <w:pStyle w:val="IASBNormalnpara"/>
      </w:pPr>
      <w:r>
        <w:t>30</w:t>
      </w:r>
      <w:r>
        <w:tab/>
        <w:t>Classification of the liability and equity components of a convertible instrument is not revised as a result of a change in the likelihood that a conversion option will be exercised, even when exercise of the option may appear to have become economically advantageous to some holders. Holders may not always act in the way that might be expected because, for example, the tax consequences resulting from conversion may differ among holders. Furthermore, the likelihood of conversion will change from time to time. The entity’s contractual obligation to make future payments remains outstanding until it is extinguished through conversion, maturity of the instrument or some other transaction.</w:t>
      </w:r>
    </w:p>
    <w:p w:rsidR="000E6961" w:rsidRDefault="000E6961">
      <w:pPr>
        <w:pStyle w:val="IASBNormalnpara"/>
      </w:pPr>
      <w:r>
        <w:t>31</w:t>
      </w:r>
      <w:r>
        <w:tab/>
      </w:r>
      <w:r w:rsidR="00B64056">
        <w:t>AASB 9</w:t>
      </w:r>
      <w:r>
        <w:t xml:space="preserve"> deals with the measurement of financial assets and financial liabilities. Equity instruments are instruments that evidence a residual interest in the assets of an entity after deducting all of its liabilities. Therefore, when the initial carrying amount of a compound financial instrument is allocated to its equity and liability components, the equity component is assigned the residual amount after deducting from the fair value of the instrument as a whole the amount separately determined for the liability component. The value of any derivative features (such as a call option) embedded in the compound financial instrument other than the equity component (such as an equity conversion option) is included in the liability component. The sum of the carrying amounts assigned to the liability and equity components on initial recognition is always equal to the fair value that would be ascribed to the instrument as a whole. No gain or loss arises from initially recognising the components of the instrument separately.</w:t>
      </w:r>
    </w:p>
    <w:p w:rsidR="000E6961" w:rsidRDefault="000E6961">
      <w:pPr>
        <w:pStyle w:val="IASBNormalnpara"/>
      </w:pPr>
      <w:r>
        <w:t>32</w:t>
      </w:r>
      <w:r>
        <w:tab/>
        <w:t>Under the approach described in paragraph 31, the issuer of a bond convertible into ordinary shares first determines the carrying amount of the liability component by measuring the fair value of a similar liability (including any embedded non-equity derivative features) that does not have an associated equity component. The carrying amount of the equity instrument represented by the option to convert the instrument into ordinary shares is then determined by deducting the fair value of the financial liability from the fair value of the compound financial instrument as a whole.</w:t>
      </w:r>
    </w:p>
    <w:p w:rsidR="000E6961" w:rsidRDefault="000E6961">
      <w:pPr>
        <w:pStyle w:val="IASBSectionTitle2Ind"/>
      </w:pPr>
      <w:r>
        <w:t>Treasury shares (see also paragraph AG36)</w:t>
      </w:r>
    </w:p>
    <w:p w:rsidR="000E6961" w:rsidRDefault="000E6961">
      <w:pPr>
        <w:pStyle w:val="IASBNormalnpara"/>
        <w:rPr>
          <w:b/>
        </w:rPr>
      </w:pPr>
      <w:r>
        <w:rPr>
          <w:b/>
        </w:rPr>
        <w:t>33</w:t>
      </w:r>
      <w:r>
        <w:rPr>
          <w:b/>
        </w:rPr>
        <w:tab/>
        <w:t xml:space="preserve">If an entity reacquires its own equity instruments, those instruments (‘treasury shares’) shall be deducted from equity. No gain or loss shall be recognised in profit or loss on the purchase, sale, issue or cancellation of an entity’s own equity instruments. Such treasury shares may be acquired and held by the entity or by other members of the consolidated group. Consideration paid or received shall be recognised directly in equity. </w:t>
      </w:r>
    </w:p>
    <w:p w:rsidR="000E6961" w:rsidRDefault="000E6961">
      <w:pPr>
        <w:pStyle w:val="IASBNormalnpara"/>
      </w:pPr>
      <w:r>
        <w:t>34</w:t>
      </w:r>
      <w:r>
        <w:tab/>
        <w:t>The amount of treasury shares held is disclosed separately either in the statement of financial position or in the notes, in accordance with</w:t>
      </w:r>
      <w:r w:rsidR="00B64056">
        <w:t xml:space="preserve"> AASB 101</w:t>
      </w:r>
      <w:r>
        <w:t xml:space="preserve"> </w:t>
      </w:r>
      <w:r>
        <w:rPr>
          <w:i/>
        </w:rPr>
        <w:t>Presentation of Financial Statements</w:t>
      </w:r>
      <w:r>
        <w:t xml:space="preserve">. An entity provides </w:t>
      </w:r>
      <w:r>
        <w:lastRenderedPageBreak/>
        <w:t>disclosure in accordance with</w:t>
      </w:r>
      <w:r w:rsidR="00B64056">
        <w:t xml:space="preserve"> AASB 124</w:t>
      </w:r>
      <w:r>
        <w:t xml:space="preserve"> </w:t>
      </w:r>
      <w:r>
        <w:rPr>
          <w:i/>
        </w:rPr>
        <w:t>Related Party Disclosures</w:t>
      </w:r>
      <w:r>
        <w:t xml:space="preserve"> if the entity reacquires its own equity instruments from related parties. </w:t>
      </w:r>
    </w:p>
    <w:p w:rsidR="000E6961" w:rsidRDefault="000E6961">
      <w:pPr>
        <w:pStyle w:val="IASBSectionTitle2Ind"/>
      </w:pPr>
      <w:r>
        <w:t>Interest, dividends, losses and gains (see also paragraph AG37)</w:t>
      </w:r>
    </w:p>
    <w:p w:rsidR="000E6961" w:rsidRDefault="000E6961">
      <w:pPr>
        <w:pStyle w:val="IASBNormalnpara"/>
        <w:rPr>
          <w:b/>
        </w:rPr>
      </w:pPr>
      <w:r>
        <w:rPr>
          <w:b/>
        </w:rPr>
        <w:t>35</w:t>
      </w:r>
      <w:r>
        <w:rPr>
          <w:b/>
        </w:rPr>
        <w:tab/>
        <w:t>Interest, dividends, losses and gains relating to a financial instrument or a component that is a financial liability shall be recognised as income or expense in profit or loss. Distributions to holders of an equity instrument shall be recognised by the entity directly in equity. Transaction costs of an equity transaction shall be accounted for as a deduction from equity.</w:t>
      </w:r>
    </w:p>
    <w:p w:rsidR="000E6961" w:rsidRDefault="000E6961">
      <w:pPr>
        <w:pStyle w:val="IASBNormalnpara"/>
      </w:pPr>
      <w:r>
        <w:t>35A</w:t>
      </w:r>
      <w:r>
        <w:tab/>
        <w:t>Income tax relating to distributions to holders of an equity instrument and to transaction costs of an equity transaction shall be accounted for in accordance with</w:t>
      </w:r>
      <w:r w:rsidR="00B64056">
        <w:t xml:space="preserve"> AASB 112</w:t>
      </w:r>
      <w:r>
        <w:t xml:space="preserve"> </w:t>
      </w:r>
      <w:r>
        <w:rPr>
          <w:i/>
        </w:rPr>
        <w:t>Income Taxes</w:t>
      </w:r>
      <w:r>
        <w:t xml:space="preserve">. </w:t>
      </w:r>
    </w:p>
    <w:p w:rsidR="000E6961" w:rsidRDefault="000E6961">
      <w:pPr>
        <w:pStyle w:val="IASBNormalnpara"/>
      </w:pPr>
      <w:r>
        <w:t>36</w:t>
      </w:r>
      <w:r>
        <w:tab/>
        <w:t>The classification of a financial instrument as a financial liability or an equity instrument determines whether interest, dividends, losses and gains relating to that instrument are recognised as income or expense in profit or loss. Thus, dividend payments on shares wholly recognised as liabilities are recognised as expenses in the same way as interest on a bond. Similarly, gains and losses associated with redemptions or refinancings of financial liabilities are recognised in profit or loss, whereas redemptions or refinancings of equity instruments are recognised as changes in equity. Changes in the fair value of an equity instrument are not recognised in the financial statements.</w:t>
      </w:r>
    </w:p>
    <w:p w:rsidR="000E6961" w:rsidRDefault="000E6961">
      <w:pPr>
        <w:pStyle w:val="IASBNormalnpara"/>
      </w:pPr>
      <w:r>
        <w:t>37</w:t>
      </w:r>
      <w:r>
        <w:tab/>
        <w:t>An entity typically incurs various costs in issuing or acquiring its own equity instruments. Those costs might include registration and other regulatory fees, amounts paid to legal, accounting and other professional advisers, printing costs and stamp duties. The transaction costs of an equity transaction are accounted for as a deduction from equity to the extent they are incremental costs directly attributable to the equity transaction that otherwise would have been avoided. The costs of an equity transaction that is abandoned are recognised as an expense.</w:t>
      </w:r>
    </w:p>
    <w:p w:rsidR="000E6961" w:rsidRDefault="000E6961">
      <w:pPr>
        <w:pStyle w:val="IASBNormalnpara"/>
      </w:pPr>
      <w:r>
        <w:t>38</w:t>
      </w:r>
      <w:r>
        <w:tab/>
        <w:t xml:space="preserve">Transaction costs that relate to the issue of a compound financial instrument are allocated to the liability and equity components of the instrument in proportion to the allocation of proceeds. Transaction costs that relate jointly to more than one transaction (for example, costs of a concurrent offering of some shares and a stock exchange listing of other shares) are allocated to those transactions using a basis of allocation that is rational and consistent with similar transactions. </w:t>
      </w:r>
    </w:p>
    <w:p w:rsidR="000E6961" w:rsidRDefault="000E6961">
      <w:pPr>
        <w:pStyle w:val="IASBNormalnpara"/>
      </w:pPr>
      <w:r>
        <w:t>39</w:t>
      </w:r>
      <w:r>
        <w:tab/>
        <w:t>The amount of transaction costs accounted for as a deduction from equity in the period is disclosed separately in accordance with</w:t>
      </w:r>
      <w:r w:rsidR="00B64056">
        <w:t xml:space="preserve"> AASB 101</w:t>
      </w:r>
      <w:r>
        <w:t>.</w:t>
      </w:r>
    </w:p>
    <w:p w:rsidR="000E6961" w:rsidRDefault="000E6961">
      <w:pPr>
        <w:pStyle w:val="IASBNormalnpara"/>
      </w:pPr>
      <w:r>
        <w:t>40</w:t>
      </w:r>
      <w:r>
        <w:tab/>
        <w:t>Dividends classified as an expense may be presented in the statement(s) of profit or loss and other comprehensive income either with interest on other liabilities or as a separate item. In addition to the requirements of this Standard, disclosure of interest and dividends is subject to the requirements of</w:t>
      </w:r>
      <w:r w:rsidR="00B64056">
        <w:t xml:space="preserve"> AASB 101</w:t>
      </w:r>
      <w:r>
        <w:t xml:space="preserve"> and</w:t>
      </w:r>
      <w:r w:rsidR="00B64056">
        <w:t xml:space="preserve"> AASB 7</w:t>
      </w:r>
      <w:r>
        <w:t>. In some circumstances, because of the differences between interest and dividends with respect to matters such as tax deductibility, it is desirable to disclose them separately in the statement(s) of profit or loss and other comprehensive income. Disclosures of the tax effects are made in accordance with</w:t>
      </w:r>
      <w:r w:rsidR="00B64056">
        <w:t xml:space="preserve"> AASB 112</w:t>
      </w:r>
      <w:r>
        <w:t>.</w:t>
      </w:r>
    </w:p>
    <w:p w:rsidR="000E6961" w:rsidRDefault="000E6961">
      <w:pPr>
        <w:pStyle w:val="IASBNormalnpara"/>
      </w:pPr>
      <w:r>
        <w:t>41</w:t>
      </w:r>
      <w:r>
        <w:tab/>
        <w:t>Gains and losses related to changes in the carrying amount of a financial liability are recognised as income or expense in profit or loss even when they relate to an instrument that includes a right to the residual interest in the assets of the entity in exchange for cash or another financial asset (see paragraph 18(b)). Under</w:t>
      </w:r>
      <w:r w:rsidR="00B64056">
        <w:t xml:space="preserve"> AASB 101</w:t>
      </w:r>
      <w:r>
        <w:t xml:space="preserve"> the entity presents any gain or loss arising from remeasurement of such an instrument separately in the statement of comprehensive income when it is relevant in explaining the entity’s performance.</w:t>
      </w:r>
    </w:p>
    <w:p w:rsidR="000E6961" w:rsidRDefault="000E6961">
      <w:pPr>
        <w:pStyle w:val="IASBSectionTitle2Ind"/>
      </w:pPr>
      <w:r>
        <w:t>Offsetting a financial asset and a financial liability</w:t>
      </w:r>
      <w:r>
        <w:br/>
        <w:t>(see also paragraphs AG38A–AG38F and AG39)</w:t>
      </w:r>
    </w:p>
    <w:p w:rsidR="000E6961" w:rsidRDefault="000E6961">
      <w:pPr>
        <w:pStyle w:val="IASBNormalnpara"/>
        <w:rPr>
          <w:b/>
        </w:rPr>
      </w:pPr>
      <w:r>
        <w:rPr>
          <w:b/>
        </w:rPr>
        <w:t>42</w:t>
      </w:r>
      <w:r>
        <w:rPr>
          <w:b/>
        </w:rPr>
        <w:tab/>
        <w:t xml:space="preserve">A financial asset and a financial liability shall be offset and the net amount presented in the statement of financial position when, and only when, an entity: </w:t>
      </w:r>
    </w:p>
    <w:p w:rsidR="000E6961" w:rsidRDefault="000E6961">
      <w:pPr>
        <w:pStyle w:val="IASBNormalnparaL1"/>
      </w:pPr>
      <w:r>
        <w:rPr>
          <w:b/>
        </w:rPr>
        <w:t>(a)</w:t>
      </w:r>
      <w:r>
        <w:tab/>
      </w:r>
      <w:r>
        <w:rPr>
          <w:b/>
        </w:rPr>
        <w:t>currently has a legally enforceable right to set off the recognised amounts; and</w:t>
      </w:r>
    </w:p>
    <w:p w:rsidR="000E6961" w:rsidRDefault="000E6961">
      <w:pPr>
        <w:pStyle w:val="IASBNormalnparaL1"/>
      </w:pPr>
      <w:r>
        <w:rPr>
          <w:b/>
        </w:rPr>
        <w:t>(b)</w:t>
      </w:r>
      <w:r>
        <w:tab/>
      </w:r>
      <w:r>
        <w:rPr>
          <w:b/>
        </w:rPr>
        <w:t>intends either to settle on a net basis, or to realise the asset and settle the liability simultaneously.</w:t>
      </w:r>
    </w:p>
    <w:p w:rsidR="000E6961" w:rsidRDefault="000E6961">
      <w:pPr>
        <w:pStyle w:val="IASBNormalnparaP"/>
      </w:pPr>
      <w:r>
        <w:rPr>
          <w:b/>
        </w:rPr>
        <w:t>In accounting for a transfer of a financial asset that does not qualify for derecognition, the entity shall not offset the transferred asset and the associated liability (see</w:t>
      </w:r>
      <w:r w:rsidR="00B64056">
        <w:rPr>
          <w:b/>
        </w:rPr>
        <w:t xml:space="preserve"> AASB 9</w:t>
      </w:r>
      <w:r>
        <w:rPr>
          <w:b/>
        </w:rPr>
        <w:t>, paragraph 3.2.22).</w:t>
      </w:r>
    </w:p>
    <w:p w:rsidR="000E6961" w:rsidRDefault="000E6961">
      <w:pPr>
        <w:pStyle w:val="IASBNormalnpara"/>
      </w:pPr>
      <w:r>
        <w:t>43</w:t>
      </w:r>
      <w:r>
        <w:tab/>
        <w:t xml:space="preserve">This Standard requires the presentation of financial assets and financial liabilities on a net basis when doing so reflects an entity’s expected future cash flows from settling two or more separate financial instruments. </w:t>
      </w:r>
      <w:r>
        <w:lastRenderedPageBreak/>
        <w:t>When an entity has the right to receive or pay a single net amount and intends to do so, it has, in effect, only a single financial asset or financial liability. In other circumstances, financial assets and financial liabilities are presented separately from each other consistently with their characteristics as resources or obligations of the entity. An entity shall disclose the information required in paragraphs 13B–13E of</w:t>
      </w:r>
      <w:r w:rsidR="00B64056">
        <w:t xml:space="preserve"> AASB 7</w:t>
      </w:r>
      <w:r>
        <w:t xml:space="preserve"> for recognised financial instruments that are within the scope of paragraph 13A of</w:t>
      </w:r>
      <w:r w:rsidR="00B64056">
        <w:t xml:space="preserve"> AASB 7</w:t>
      </w:r>
      <w:r>
        <w:t>.</w:t>
      </w:r>
    </w:p>
    <w:p w:rsidR="000E6961" w:rsidRDefault="000E6961">
      <w:pPr>
        <w:pStyle w:val="IASBNormalnpara"/>
      </w:pPr>
      <w:r>
        <w:t>44</w:t>
      </w:r>
      <w:r>
        <w:tab/>
        <w:t>Offsetting a recognised financial asset and a recognised financial liability and presenting the net amount differs from the derecognition of a financial asset or a financial liability. Although offsetting does not give rise to recognition of a gain or loss, the derecognition of a financial instrument not only results in the removal of the previously recognised item from the statement of financial position but also may result in recognition of a gain or loss.</w:t>
      </w:r>
    </w:p>
    <w:p w:rsidR="000E6961" w:rsidRDefault="000E6961">
      <w:pPr>
        <w:pStyle w:val="IASBNormalnpara"/>
      </w:pPr>
      <w:r>
        <w:t>45</w:t>
      </w:r>
      <w:r>
        <w:tab/>
        <w:t>A right of set-off is a debtor’s legal right, by contract or otherwise, to settle or otherwise eliminate all or a portion of an amount due to a creditor by applying against that amount an amount due from the creditor. In unusual circumstances, a debtor may have a legal right to apply an amount due from a third party against the amount due to a creditor provided that there is an agreement between the three parties that clearly establishes the debtor’s right of set-off. Because the right of set-off is a legal right, the conditions supporting the right may vary from one legal jurisdiction to another and the laws applicable to the relationships between the parties need to be considered.</w:t>
      </w:r>
    </w:p>
    <w:p w:rsidR="000E6961" w:rsidRDefault="000E6961">
      <w:pPr>
        <w:pStyle w:val="IASBNormalnpara"/>
      </w:pPr>
      <w:r>
        <w:t>46</w:t>
      </w:r>
      <w:r>
        <w:tab/>
        <w:t>The existence of an enforceable right to set off a financial asset and a financial liability affects the rights and obligations associated with a financial asset and a financial liability and may affect an entity’s exposure to credit and liquidity risk. However, the existence of the right, by itself, is not a sufficient basis for offsetting. In the absence of an intention to exercise the right or to settle simultaneously, the amount and timing of an entity’s future cash flows are not affected. When an entity intends to exercise the right or to settle simultaneously, presentation of the asset and liability on a net basis reflects more appropriately the amounts and timing of the expected future cash flows, as well as the risks to which those cash flows are exposed. An intention by one or both parties to settle on a net basis without the legal right to do so is not sufficient to justify offsetting because the rights and obligations associated with the individual financial asset and financial liability remain unaltered.</w:t>
      </w:r>
    </w:p>
    <w:p w:rsidR="000E6961" w:rsidRDefault="000E6961">
      <w:pPr>
        <w:pStyle w:val="IASBNormalnpara"/>
      </w:pPr>
      <w:r>
        <w:t>47</w:t>
      </w:r>
      <w:r>
        <w:tab/>
        <w:t>An entity’s intentions with respect to settlement of particular assets and liabilities may be influenced by its normal business practices, the requirements of the financial markets and other circumstances that may limit the ability to settle net or to settle simultaneously. When an entity has a right of set-off, but does not intend to settle net or to realise the asset and settle the liability simultaneously, the effect of the right on the entity’s credit risk exposure is disclosed in accordance with paragraph 36 of</w:t>
      </w:r>
      <w:r w:rsidR="00B64056">
        <w:t xml:space="preserve"> AASB 7</w:t>
      </w:r>
      <w:r>
        <w:t>.</w:t>
      </w:r>
    </w:p>
    <w:p w:rsidR="000E6961" w:rsidRDefault="000E6961">
      <w:pPr>
        <w:pStyle w:val="IASBNormalnpara"/>
      </w:pPr>
      <w:r>
        <w:t>48</w:t>
      </w:r>
      <w:r>
        <w:tab/>
        <w:t>Simultaneous settlement of two financial instruments may occur through, for example, the operation of a clearing house in an organised financial market or a face-to-face exchange. In these circumstances the cash flows are, in effect, equivalent to a single net amount and there is no exposure to credit or liquidity risk. In other circumstances, an entity may settle two instruments by receiving and paying separate amounts, becoming exposed to credit risk for the full amount of the asset or liquidity risk for the full amount of the liability. Such risk exposures may be significant even though relatively brief. Accordingly, realisation of a financial asset and settlement of a financial liability are treated as simultaneous only when the transactions occur at the same moment.</w:t>
      </w:r>
    </w:p>
    <w:p w:rsidR="000E6961" w:rsidRDefault="000E6961">
      <w:pPr>
        <w:pStyle w:val="IASBNormalnpara"/>
      </w:pPr>
      <w:r>
        <w:t>49</w:t>
      </w:r>
      <w:r>
        <w:tab/>
        <w:t xml:space="preserve">The conditions set out in paragraph 42 are generally not satisfied and offsetting is usually inappropriate when: </w:t>
      </w:r>
    </w:p>
    <w:p w:rsidR="000E6961" w:rsidRDefault="000E6961">
      <w:pPr>
        <w:pStyle w:val="IASBNormalnparaL1"/>
      </w:pPr>
      <w:r>
        <w:t>(a)</w:t>
      </w:r>
      <w:r>
        <w:tab/>
        <w:t>several different financial instruments are used to emulate the features of a single financial instrument (a ‘synthetic instrument’);</w:t>
      </w:r>
    </w:p>
    <w:p w:rsidR="000E6961" w:rsidRDefault="000E6961">
      <w:pPr>
        <w:pStyle w:val="IASBNormalnparaL1"/>
      </w:pPr>
      <w:r>
        <w:t>(b)</w:t>
      </w:r>
      <w:r>
        <w:tab/>
        <w:t>financial assets and financial liabilities arise from financial instruments having the same primary risk exposure (for example, assets and liabilities within a portfolio of forward contracts or other derivative instruments) but involve different counterparties;</w:t>
      </w:r>
    </w:p>
    <w:p w:rsidR="000E6961" w:rsidRDefault="000E6961">
      <w:pPr>
        <w:pStyle w:val="IASBNormalnparaL1"/>
      </w:pPr>
      <w:r>
        <w:t>(c)</w:t>
      </w:r>
      <w:r>
        <w:tab/>
        <w:t>financial or other assets are pledged as collateral for non-recourse financial liabilities;</w:t>
      </w:r>
    </w:p>
    <w:p w:rsidR="000E6961" w:rsidRDefault="000E6961">
      <w:pPr>
        <w:pStyle w:val="IASBNormalnparaL1"/>
      </w:pPr>
      <w:r>
        <w:t>(d)</w:t>
      </w:r>
      <w:r>
        <w:tab/>
        <w:t>financial assets are set aside in trust by a debtor for the purpose of discharging an obligation without those assets having been accepted by the creditor in settlement of the obligation (for example, a sinking fund arrangement); or</w:t>
      </w:r>
    </w:p>
    <w:p w:rsidR="000E6961" w:rsidRDefault="000E6961">
      <w:pPr>
        <w:pStyle w:val="IASBNormalnparaL1"/>
      </w:pPr>
      <w:r>
        <w:t>(e)</w:t>
      </w:r>
      <w:r>
        <w:tab/>
        <w:t>obligations incurred as a result of events giving rise to losses are expected to be recovered from a third party by virtue of a claim made under an insurance contract.</w:t>
      </w:r>
    </w:p>
    <w:p w:rsidR="000E6961" w:rsidRDefault="000E6961">
      <w:pPr>
        <w:pStyle w:val="IASBNormalnpara"/>
      </w:pPr>
      <w:r>
        <w:t>50</w:t>
      </w:r>
      <w:r>
        <w:tab/>
        <w:t xml:space="preserve">An entity that undertakes a number of financial instrument transactions with a single counterparty may enter into a ‘master netting arrangement’ with that counterparty. Such an agreement provides for a single net settlement of all financial instruments covered by the agreement in the event of default on, or termination of, any one contract. These arrangements are commonly used by financial institutions to provide protection against loss in the event of bankruptcy or other circumstances that result in a counterparty being unable to </w:t>
      </w:r>
      <w:r>
        <w:lastRenderedPageBreak/>
        <w:t>meet its obligations. A master netting arrangement commonly creates a right of set-off that becomes enforceable and affects the realisation or settlement of individual financial assets and financial liabilities only following a specified event of default or in other circumstances not expected to arise in the normal course of business. A master netting arrangement does not provide a basis for offsetting unless both of the criteria in paragraph 42 are satisfied. When financial assets and financial liabilities subject to a master netting arrangement are not offset, the effect of the arrangement on an entity’s exposure to credit risk is disclosed in accordance with paragraph 36 of</w:t>
      </w:r>
      <w:r w:rsidR="00B64056">
        <w:t xml:space="preserve"> AASB 7</w:t>
      </w:r>
      <w:r>
        <w:t>.</w:t>
      </w:r>
    </w:p>
    <w:p w:rsidR="000E6961" w:rsidRDefault="000E6961">
      <w:pPr>
        <w:pStyle w:val="IASBNormalnpara"/>
      </w:pPr>
      <w:r>
        <w:t>51–</w:t>
      </w:r>
    </w:p>
    <w:p w:rsidR="000E6961" w:rsidRDefault="000E6961">
      <w:pPr>
        <w:pStyle w:val="IASBNormalnparaC"/>
      </w:pPr>
      <w:r>
        <w:t>95</w:t>
      </w:r>
      <w:r>
        <w:tab/>
        <w:t>[Deleted]</w:t>
      </w:r>
    </w:p>
    <w:p w:rsidR="000E6961" w:rsidRDefault="000E6961">
      <w:pPr>
        <w:pStyle w:val="IASBSectionTitle1NonInd"/>
      </w:pPr>
      <w:r>
        <w:t>Effective date and transition</w:t>
      </w:r>
    </w:p>
    <w:p w:rsidR="000E6961" w:rsidRDefault="000E6961">
      <w:pPr>
        <w:pStyle w:val="IASBNormalnpara"/>
      </w:pPr>
      <w:r>
        <w:t>96</w:t>
      </w:r>
      <w:r>
        <w:tab/>
        <w:t>An entity shall apply this Standard for annual periods beginning on or after 1 January</w:t>
      </w:r>
      <w:r w:rsidR="007D0B65">
        <w:t xml:space="preserve"> </w:t>
      </w:r>
      <w:r w:rsidR="007D0B65" w:rsidRPr="003676FA">
        <w:t>201</w:t>
      </w:r>
      <w:r w:rsidR="007D0B65">
        <w:t>8</w:t>
      </w:r>
      <w:r>
        <w:t>. Earlier application is permitted</w:t>
      </w:r>
      <w:r w:rsidR="00FA7D47" w:rsidRPr="00FA7D47">
        <w:t xml:space="preserve"> </w:t>
      </w:r>
      <w:r w:rsidR="00FA7D47">
        <w:t>for periods beginning after 24 July 2014 but before 1 January 2018</w:t>
      </w:r>
      <w:r>
        <w:t>. If an entity applies this Standard for a period beginning before 1 January</w:t>
      </w:r>
      <w:r w:rsidR="007D0B65">
        <w:t xml:space="preserve"> </w:t>
      </w:r>
      <w:r w:rsidR="00454FCF">
        <w:t>2018</w:t>
      </w:r>
      <w:r>
        <w:t>, it shall disclose that fact.</w:t>
      </w:r>
    </w:p>
    <w:p w:rsidR="0062679F" w:rsidRDefault="0062679F" w:rsidP="0062679F">
      <w:pPr>
        <w:pStyle w:val="IASBNormalnpara"/>
      </w:pPr>
      <w:r>
        <w:t>96A</w:t>
      </w:r>
      <w:r>
        <w:tab/>
      </w:r>
      <w:r w:rsidRPr="003676FA">
        <w:t xml:space="preserve">AASB 2008-2 </w:t>
      </w:r>
      <w:r w:rsidRPr="003676FA">
        <w:rPr>
          <w:i/>
        </w:rPr>
        <w:t>Amendments to Australian Accounting Standards – Puttable Financial Instruments and Obligations arising on Liquidation</w:t>
      </w:r>
      <w:r>
        <w:t xml:space="preserve">, issued in March 2008, required financial instruments that contain all the features and meet the conditions in paragraphs 16A and 16B or paragraphs 16C and 16D to be classified as an equity instrument, amended paragraphs 11, 16, 17–19, 22, 23, 25, AG13, AG14 and AG27, and inserted paragraphs 16A–16F, 22A, 96B, 96C, 97C, AG14A–AG14J and AG29A. An entity shall apply those amendments for annual periods beginning on or after 1 January 2009. Earlier application is permitted. If an entity applies the changes for an earlier period, it shall disclose that fact and apply the related amendments to AASB 101, AASB 139, AASB 7 and Interpretation 2 at the same time. </w:t>
      </w:r>
    </w:p>
    <w:p w:rsidR="000E6961" w:rsidRDefault="000E6961">
      <w:pPr>
        <w:pStyle w:val="IASBNormalnpara"/>
      </w:pPr>
      <w:r>
        <w:t>96B</w:t>
      </w:r>
      <w:r>
        <w:tab/>
      </w:r>
      <w:r w:rsidR="00320627" w:rsidRPr="003676FA">
        <w:t xml:space="preserve">AASB 2008-2 </w:t>
      </w:r>
      <w:r w:rsidR="00320627" w:rsidRPr="003676FA">
        <w:rPr>
          <w:i/>
        </w:rPr>
        <w:t>Amendments to Australian Accounting Standards – Puttable Financial Instruments and Obligations arising on Liquidation</w:t>
      </w:r>
      <w:r w:rsidR="00320627" w:rsidRPr="003676FA">
        <w:t xml:space="preserve"> </w:t>
      </w:r>
      <w:r>
        <w:t>introduced a limited scope exception</w:t>
      </w:r>
      <w:r w:rsidR="00320627">
        <w:t xml:space="preserve"> in the previous version of this Standard</w:t>
      </w:r>
      <w:r>
        <w:t>; therefore, an entity shall not apply the exception by analogy.</w:t>
      </w:r>
    </w:p>
    <w:p w:rsidR="000E6961" w:rsidRDefault="000E6961">
      <w:pPr>
        <w:pStyle w:val="IASBNormalnpara"/>
      </w:pPr>
      <w:r>
        <w:t>96C</w:t>
      </w:r>
      <w:r>
        <w:tab/>
        <w:t xml:space="preserve">The classification of instruments under this exception shall be restricted to the accounting for such an instrument under </w:t>
      </w:r>
      <w:r w:rsidR="00320627" w:rsidRPr="003676FA">
        <w:t>AASB 101, AASB 132, AASB 139, AASB 7 and AASB 9</w:t>
      </w:r>
      <w:r>
        <w:t xml:space="preserve">. The instrument shall not be considered an equity instrument under other guidance, for example </w:t>
      </w:r>
      <w:r w:rsidR="0068733C">
        <w:t>AASB </w:t>
      </w:r>
      <w:r>
        <w:t>2.</w:t>
      </w:r>
    </w:p>
    <w:p w:rsidR="0068733C" w:rsidRDefault="0068733C" w:rsidP="0068733C">
      <w:pPr>
        <w:pStyle w:val="IASBNormalnpara"/>
      </w:pPr>
      <w:r>
        <w:t>97</w:t>
      </w:r>
      <w:r>
        <w:tab/>
        <w:t>This Standard shall be applied retrospectively.</w:t>
      </w:r>
    </w:p>
    <w:p w:rsidR="0062679F" w:rsidRDefault="0062679F" w:rsidP="0062679F">
      <w:pPr>
        <w:pStyle w:val="IASBNormalnpara"/>
      </w:pPr>
      <w:r>
        <w:t>97A</w:t>
      </w:r>
      <w:r>
        <w:tab/>
        <w:t>[Deleted by the AASB]</w:t>
      </w:r>
    </w:p>
    <w:p w:rsidR="000E6961" w:rsidDel="00DE5B52" w:rsidRDefault="000E6961">
      <w:pPr>
        <w:pStyle w:val="IASBNormalnpara"/>
      </w:pPr>
      <w:r w:rsidDel="00DE5B52">
        <w:t>97B</w:t>
      </w:r>
      <w:r w:rsidDel="00DE5B52">
        <w:tab/>
      </w:r>
      <w:r w:rsidR="00E71E66" w:rsidRPr="003676FA">
        <w:t xml:space="preserve">AASB 2008-3 </w:t>
      </w:r>
      <w:r w:rsidR="00E71E66" w:rsidRPr="003676FA">
        <w:rPr>
          <w:i/>
        </w:rPr>
        <w:t>Amendments to Australian Accounting Standards arising from AASB 3 and AASB 127</w:t>
      </w:r>
      <w:r w:rsidR="00E71E66" w:rsidRPr="003676FA">
        <w:t xml:space="preserve"> </w:t>
      </w:r>
      <w:r w:rsidDel="00DE5B52">
        <w:t>deleted paragraph 4(c)</w:t>
      </w:r>
      <w:r w:rsidR="00E71E66">
        <w:t xml:space="preserve"> in the previous version of this Standard</w:t>
      </w:r>
      <w:r w:rsidDel="00DE5B52">
        <w:t xml:space="preserve">. An entity shall apply that amendment for annual periods beginning on or after 1 July 2009. If an entity applies </w:t>
      </w:r>
      <w:r w:rsidR="00E71E66">
        <w:t>AASB </w:t>
      </w:r>
      <w:r w:rsidDel="00DE5B52">
        <w:t xml:space="preserve">3 (revised 2008) for an earlier period, the amendment shall also be applied for that earlier period. However, the amendment does not apply to contingent consideration that arose from a business combination for which the acquisition date preceded the application of </w:t>
      </w:r>
      <w:r w:rsidR="00E71E66">
        <w:t>AASB </w:t>
      </w:r>
      <w:r w:rsidDel="00DE5B52">
        <w:t xml:space="preserve">3 (revised 2008). Instead, an entity shall account for such consideration in accordance with paragraphs 65A–65E of </w:t>
      </w:r>
      <w:r w:rsidR="00E71E66">
        <w:t>AASB </w:t>
      </w:r>
      <w:r w:rsidDel="00DE5B52">
        <w:t>3.</w:t>
      </w:r>
    </w:p>
    <w:p w:rsidR="000E6961" w:rsidDel="00DE5B52" w:rsidRDefault="000E6961">
      <w:pPr>
        <w:pStyle w:val="IASBNormalnpara"/>
      </w:pPr>
      <w:r w:rsidDel="00DE5B52">
        <w:t>97C</w:t>
      </w:r>
      <w:r w:rsidDel="00DE5B52">
        <w:tab/>
        <w:t xml:space="preserve">When applying the amendments described in paragraph 96A, an entity is required to split a compound financial instrument with an obligation to deliver to another party a pro rata share of the net assets of the entity only on liquidation into separate liability and equity components. If the liability component is no longer outstanding, a retrospective application of those amendments to </w:t>
      </w:r>
      <w:r w:rsidR="0062679F">
        <w:t>AASB 1</w:t>
      </w:r>
      <w:r w:rsidDel="00DE5B52">
        <w:t xml:space="preserve">32 would involve separating two components of equity. The first component would be in retained earnings and represent the cumulative interest accreted on the liability component. The other component would represent the original equity component. Therefore, an entity need not separate these two components if the liability component is no longer outstanding at the date of application of the amendments. </w:t>
      </w:r>
    </w:p>
    <w:p w:rsidR="00454FCF" w:rsidRDefault="00A9457E" w:rsidP="006D14C1">
      <w:pPr>
        <w:pStyle w:val="IASBNormalnpara"/>
        <w:tabs>
          <w:tab w:val="left" w:pos="782"/>
        </w:tabs>
        <w:ind w:left="0" w:firstLine="0"/>
      </w:pPr>
      <w:r>
        <w:t>97D</w:t>
      </w:r>
      <w:r w:rsidR="00454FCF">
        <w:t>–</w:t>
      </w:r>
      <w:r w:rsidR="00454FCF">
        <w:br/>
        <w:t>97E</w:t>
      </w:r>
      <w:r w:rsidR="00454FCF">
        <w:tab/>
        <w:t>[Deleted by the AASB]</w:t>
      </w:r>
    </w:p>
    <w:p w:rsidR="000E6961" w:rsidRDefault="000E6961">
      <w:pPr>
        <w:pStyle w:val="IASBNormalnpara"/>
      </w:pPr>
      <w:r>
        <w:t>97F</w:t>
      </w:r>
      <w:r>
        <w:tab/>
        <w:t>[Deleted]</w:t>
      </w:r>
    </w:p>
    <w:p w:rsidR="000E6961" w:rsidDel="00DE5B52" w:rsidRDefault="000E6961">
      <w:pPr>
        <w:pStyle w:val="IASBNormalnpara"/>
      </w:pPr>
      <w:r w:rsidDel="00DE5B52">
        <w:t>97G</w:t>
      </w:r>
      <w:r w:rsidDel="00DE5B52">
        <w:tab/>
        <w:t xml:space="preserve">Paragraph 97B was </w:t>
      </w:r>
      <w:r w:rsidR="00A9457E">
        <w:t xml:space="preserve">added in the previous version of this Standard by </w:t>
      </w:r>
      <w:r w:rsidR="00A9457E" w:rsidRPr="003676FA">
        <w:rPr>
          <w:iCs/>
        </w:rPr>
        <w:t>AASB 2010-3</w:t>
      </w:r>
      <w:r w:rsidR="00A9457E" w:rsidRPr="003676FA">
        <w:t xml:space="preserve"> </w:t>
      </w:r>
      <w:r w:rsidR="00A9457E" w:rsidRPr="003676FA">
        <w:rPr>
          <w:i/>
        </w:rPr>
        <w:t>Amendments to Australian Accounting Standards arising from the Annual Improvements Project</w:t>
      </w:r>
      <w:r w:rsidR="00A9457E" w:rsidRPr="003676FA">
        <w:rPr>
          <w:i/>
          <w:iCs/>
        </w:rPr>
        <w:t xml:space="preserve"> </w:t>
      </w:r>
      <w:r w:rsidR="00A9457E">
        <w:t xml:space="preserve">issued in June </w:t>
      </w:r>
      <w:r w:rsidR="00A9457E" w:rsidRPr="003676FA">
        <w:t>2010</w:t>
      </w:r>
      <w:r w:rsidDel="00DE5B52">
        <w:t xml:space="preserve">. An entity shall apply </w:t>
      </w:r>
      <w:r w:rsidR="006D14C1" w:rsidRPr="003676FA">
        <w:t xml:space="preserve">the last two sentences of paragraph 97B </w:t>
      </w:r>
      <w:r w:rsidDel="00DE5B52">
        <w:t xml:space="preserve">for annual periods beginning on or after 1 July 2010. Earlier application is permitted. </w:t>
      </w:r>
    </w:p>
    <w:p w:rsidR="000E6961" w:rsidRDefault="000E6961">
      <w:pPr>
        <w:pStyle w:val="IASBNormalnpara"/>
      </w:pPr>
      <w:r>
        <w:t>97H</w:t>
      </w:r>
      <w:r>
        <w:tab/>
        <w:t>[Deleted]</w:t>
      </w:r>
    </w:p>
    <w:p w:rsidR="00454FCF" w:rsidRDefault="00454FCF" w:rsidP="00C74412">
      <w:pPr>
        <w:pStyle w:val="IASBNormalnpara"/>
        <w:tabs>
          <w:tab w:val="left" w:pos="782"/>
        </w:tabs>
        <w:ind w:left="0" w:firstLine="0"/>
      </w:pPr>
      <w:r>
        <w:t>97I–</w:t>
      </w:r>
      <w:r>
        <w:br/>
        <w:t>97O</w:t>
      </w:r>
      <w:r>
        <w:tab/>
        <w:t>[Deleted by the AASB]</w:t>
      </w:r>
    </w:p>
    <w:p w:rsidR="000E6961" w:rsidRDefault="000E6961">
      <w:pPr>
        <w:pStyle w:val="IASBNormalnpara"/>
      </w:pPr>
      <w:r>
        <w:lastRenderedPageBreak/>
        <w:t>97P</w:t>
      </w:r>
      <w:r>
        <w:tab/>
        <w:t>[Deleted]</w:t>
      </w:r>
    </w:p>
    <w:p w:rsidR="002B7F49" w:rsidRDefault="002B7F49" w:rsidP="002B7F49">
      <w:pPr>
        <w:pStyle w:val="IASBNormalnpara"/>
      </w:pPr>
      <w:r w:rsidRPr="002B7F49">
        <w:t>97Q</w:t>
      </w:r>
      <w:r w:rsidRPr="002B7F49">
        <w:tab/>
        <w:t xml:space="preserve">AASB 2014-5 </w:t>
      </w:r>
      <w:r w:rsidRPr="00995CB4">
        <w:rPr>
          <w:i/>
        </w:rPr>
        <w:t>Amendments to Australian Accounting Standards arising from AASB 15</w:t>
      </w:r>
      <w:r w:rsidRPr="002B7F49">
        <w:t>, issued in December 2014, amended paragraph AG21</w:t>
      </w:r>
      <w:r>
        <w:t xml:space="preserve"> in the previous version of this Standard</w:t>
      </w:r>
      <w:r w:rsidRPr="002B7F49">
        <w:t>. An entity shall apply that amendment when it applies AASB</w:t>
      </w:r>
      <w:r>
        <w:t> </w:t>
      </w:r>
      <w:r w:rsidRPr="002B7F49">
        <w:t>15.</w:t>
      </w:r>
    </w:p>
    <w:p w:rsidR="002B7F49" w:rsidRPr="003676FA" w:rsidRDefault="002B7F49" w:rsidP="002B7F49">
      <w:pPr>
        <w:pStyle w:val="IASBNormalnpara"/>
      </w:pPr>
      <w:r>
        <w:t>97R</w:t>
      </w:r>
      <w:r>
        <w:tab/>
      </w:r>
      <w:r w:rsidRPr="004A061D">
        <w:t xml:space="preserve">AASB 2010-7 </w:t>
      </w:r>
      <w:r w:rsidRPr="002B7F49">
        <w:rPr>
          <w:i/>
        </w:rPr>
        <w:t xml:space="preserve">Amendments to Australian Accounting Standards arising from AASB 9 (December 2010) </w:t>
      </w:r>
      <w:r w:rsidRPr="004A061D">
        <w:t xml:space="preserve">(as amended), AASB 2014-1 </w:t>
      </w:r>
      <w:r w:rsidRPr="002B7F49">
        <w:rPr>
          <w:i/>
        </w:rPr>
        <w:t>Amendments to Australian Accounting Standards</w:t>
      </w:r>
      <w:r w:rsidRPr="004A061D">
        <w:t xml:space="preserve"> and </w:t>
      </w:r>
      <w:r>
        <w:t>AASB 2014-7</w:t>
      </w:r>
      <w:r w:rsidRPr="004A061D">
        <w:t xml:space="preserve"> </w:t>
      </w:r>
      <w:r w:rsidRPr="002B7F49">
        <w:rPr>
          <w:i/>
        </w:rPr>
        <w:t>Amendments to Australian Account</w:t>
      </w:r>
      <w:r w:rsidR="00995CB4">
        <w:rPr>
          <w:i/>
        </w:rPr>
        <w:t xml:space="preserve">ing Standards arising from AASB </w:t>
      </w:r>
      <w:r w:rsidRPr="002B7F49">
        <w:rPr>
          <w:i/>
        </w:rPr>
        <w:t>9 (December</w:t>
      </w:r>
      <w:r w:rsidR="00995CB4">
        <w:rPr>
          <w:i/>
        </w:rPr>
        <w:t xml:space="preserve"> </w:t>
      </w:r>
      <w:r w:rsidRPr="002B7F49">
        <w:rPr>
          <w:i/>
        </w:rPr>
        <w:t>2014)</w:t>
      </w:r>
      <w:r w:rsidRPr="004A061D">
        <w:t xml:space="preserve"> </w:t>
      </w:r>
      <w:r>
        <w:t xml:space="preserve">amended the previous version of this Standard as follows: </w:t>
      </w:r>
      <w:r w:rsidRPr="004A061D">
        <w:t>amended paragraphs 3, 4, 8, 12, 23, 31, 42, 96C, AG2 and AG30 and deleted paragraph 97F.</w:t>
      </w:r>
      <w:r>
        <w:t xml:space="preserve"> </w:t>
      </w:r>
      <w:r w:rsidRPr="004A061D">
        <w:t>Pa</w:t>
      </w:r>
      <w:r w:rsidR="006C0D04">
        <w:t xml:space="preserve">ragraph 97H, added by AASB </w:t>
      </w:r>
      <w:r>
        <w:t>2010-</w:t>
      </w:r>
      <w:r w:rsidR="006C0D04">
        <w:t xml:space="preserve">7, was deleted by AASB </w:t>
      </w:r>
      <w:r w:rsidRPr="004A061D">
        <w:t>2014-1.</w:t>
      </w:r>
      <w:r>
        <w:t xml:space="preserve"> </w:t>
      </w:r>
      <w:r w:rsidRPr="004A061D">
        <w:t>Paragraph</w:t>
      </w:r>
      <w:r w:rsidR="006C0D04">
        <w:t xml:space="preserve"> 97P, added by AASB </w:t>
      </w:r>
      <w:r w:rsidRPr="004A061D">
        <w:t xml:space="preserve">2014-1, was deleted by </w:t>
      </w:r>
      <w:r>
        <w:t>AASB 2014-7</w:t>
      </w:r>
      <w:r w:rsidRPr="004A061D">
        <w:t>. An entity shall apply those amendments when it applies AASB</w:t>
      </w:r>
      <w:r w:rsidR="006C0D04">
        <w:t xml:space="preserve"> </w:t>
      </w:r>
      <w:r w:rsidRPr="004A061D">
        <w:t>9.</w:t>
      </w:r>
    </w:p>
    <w:p w:rsidR="000E6961" w:rsidRDefault="000E6961">
      <w:pPr>
        <w:pStyle w:val="IASBSectionTitle1NonInd"/>
      </w:pPr>
      <w:r>
        <w:t>Withdrawal of other pronouncements</w:t>
      </w:r>
    </w:p>
    <w:p w:rsidR="00DE5B52" w:rsidRDefault="00DE5B52" w:rsidP="006C0D04">
      <w:pPr>
        <w:pStyle w:val="IASBNormalnpara"/>
        <w:tabs>
          <w:tab w:val="left" w:pos="782"/>
        </w:tabs>
        <w:ind w:left="0" w:firstLine="0"/>
      </w:pPr>
      <w:r>
        <w:t>98–</w:t>
      </w:r>
      <w:r>
        <w:br/>
        <w:t>100</w:t>
      </w:r>
      <w:r>
        <w:tab/>
        <w:t>[Deleted by the AASB]</w:t>
      </w:r>
    </w:p>
    <w:p w:rsidR="00AA7E0F" w:rsidRDefault="00AA7E0F" w:rsidP="00AA7E0F">
      <w:pPr>
        <w:pStyle w:val="IASBSectionTitle1NonInd"/>
      </w:pPr>
      <w:bookmarkStart w:id="14" w:name="CommenceHeading"/>
      <w:r>
        <w:t>Commencement of the legislative instrument</w:t>
      </w:r>
    </w:p>
    <w:p w:rsidR="00BC0788" w:rsidRDefault="00BC0788" w:rsidP="00BC0788">
      <w:pPr>
        <w:pStyle w:val="AusPlain"/>
      </w:pPr>
      <w:bookmarkStart w:id="15" w:name="SSHeading"/>
      <w:bookmarkEnd w:id="14"/>
      <w:r>
        <w:t>Aus100.1</w:t>
      </w:r>
      <w:r>
        <w:tab/>
      </w:r>
      <w:r w:rsidRPr="00562E7C">
        <w:t>For legal purposes, this legislative instrument commences on</w:t>
      </w:r>
      <w:r>
        <w:t xml:space="preserve"> </w:t>
      </w:r>
      <w:bookmarkStart w:id="16" w:name="CommenceDate"/>
      <w:r>
        <w:t>31 December 2017</w:t>
      </w:r>
      <w:bookmarkEnd w:id="16"/>
      <w:r>
        <w:t>.</w:t>
      </w:r>
    </w:p>
    <w:p w:rsidR="00AA7E0F" w:rsidRDefault="00AA7E0F" w:rsidP="00AA7E0F">
      <w:pPr>
        <w:pStyle w:val="IASBSectionTitle1NonInd"/>
      </w:pPr>
      <w:r>
        <w:t>Withdrawal of AASB pronouncements</w:t>
      </w:r>
    </w:p>
    <w:bookmarkEnd w:id="15"/>
    <w:p w:rsidR="00BC0788" w:rsidRDefault="00BC0788" w:rsidP="00BC0788">
      <w:pPr>
        <w:pStyle w:val="AusPlain"/>
      </w:pPr>
      <w:r>
        <w:t>Aus100.2</w:t>
      </w:r>
      <w:r>
        <w:tab/>
      </w:r>
      <w:r w:rsidR="0094312D">
        <w:t>T</w:t>
      </w:r>
      <w:r>
        <w:t xml:space="preserve">his Standard </w:t>
      </w:r>
      <w:r w:rsidR="0094312D">
        <w:t>repeals</w:t>
      </w:r>
      <w:r>
        <w:t xml:space="preserve"> </w:t>
      </w:r>
      <w:bookmarkStart w:id="17" w:name="SSInt"/>
      <w:r>
        <w:t>AASB</w:t>
      </w:r>
      <w:bookmarkEnd w:id="17"/>
      <w:r>
        <w:t xml:space="preserve"> </w:t>
      </w:r>
      <w:bookmarkStart w:id="18" w:name="SSAASBNo"/>
      <w:r>
        <w:t>132</w:t>
      </w:r>
      <w:bookmarkEnd w:id="18"/>
      <w:r>
        <w:t xml:space="preserve"> </w:t>
      </w:r>
      <w:bookmarkStart w:id="19" w:name="SSAASBTitle"/>
      <w:r w:rsidRPr="00B64056">
        <w:rPr>
          <w:i/>
        </w:rPr>
        <w:t>Financial Instruments: Presentation</w:t>
      </w:r>
      <w:bookmarkEnd w:id="19"/>
      <w:r>
        <w:t xml:space="preserve"> issued in </w:t>
      </w:r>
      <w:bookmarkStart w:id="20" w:name="SSAASBDate"/>
      <w:r>
        <w:t>July 2004</w:t>
      </w:r>
      <w:bookmarkEnd w:id="20"/>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AA7E0F" w:rsidRDefault="00BC0788" w:rsidP="00454FCF">
      <w:pPr>
        <w:pStyle w:val="IASBNormalnparaL1P"/>
      </w:pPr>
      <w:r>
        <w:t>[Note: When this Standard applies under section 334 of the Corporations Act (either generally or in relation to an individual entity), it supersedes the application of the repealed Standard.]</w:t>
      </w:r>
    </w:p>
    <w:p w:rsidR="000E6961" w:rsidRDefault="000E6961">
      <w:pPr>
        <w:widowControl w:val="0"/>
        <w:autoSpaceDE w:val="0"/>
        <w:autoSpaceDN w:val="0"/>
        <w:adjustRightInd w:val="0"/>
        <w:rPr>
          <w:lang w:eastAsia="en-GB"/>
        </w:rPr>
        <w:sectPr w:rsidR="000E6961" w:rsidSect="00CB11AC">
          <w:headerReference w:type="even" r:id="rId20"/>
          <w:footerReference w:type="even" r:id="rId21"/>
          <w:footerReference w:type="default" r:id="rId22"/>
          <w:headerReference w:type="first" r:id="rId23"/>
          <w:footerReference w:type="first" r:id="rId24"/>
          <w:pgSz w:w="11907" w:h="16839"/>
          <w:pgMar w:top="1440" w:right="1440" w:bottom="1440" w:left="1440" w:header="720" w:footer="720" w:gutter="0"/>
          <w:cols w:space="708"/>
          <w:docGrid w:linePitch="360"/>
        </w:sectPr>
      </w:pPr>
    </w:p>
    <w:p w:rsidR="000E6961" w:rsidRDefault="000E6961" w:rsidP="00292183">
      <w:pPr>
        <w:pStyle w:val="ConvSectionTitle"/>
      </w:pPr>
      <w:r>
        <w:lastRenderedPageBreak/>
        <w:t>Appendix</w:t>
      </w:r>
      <w:r>
        <w:br/>
        <w:t xml:space="preserve">Application </w:t>
      </w:r>
      <w:r w:rsidR="00C30A7B">
        <w:t>g</w:t>
      </w:r>
      <w:r>
        <w:t>uidance</w:t>
      </w:r>
    </w:p>
    <w:p w:rsidR="000E6961" w:rsidRDefault="000E6961">
      <w:pPr>
        <w:pStyle w:val="IASBNote"/>
      </w:pPr>
      <w:r>
        <w:t>This appendix is an integral part of the Standard.</w:t>
      </w:r>
    </w:p>
    <w:p w:rsidR="000E6961" w:rsidRDefault="000E6961">
      <w:pPr>
        <w:pStyle w:val="IASBNormalnpara"/>
      </w:pPr>
      <w:r>
        <w:t>AG1</w:t>
      </w:r>
      <w:r>
        <w:tab/>
        <w:t>This Application Guidance explains the application of particular aspects of the Standard.</w:t>
      </w:r>
    </w:p>
    <w:p w:rsidR="000E6961" w:rsidRDefault="000E6961">
      <w:pPr>
        <w:pStyle w:val="IASBNormalnpara"/>
      </w:pPr>
      <w:r>
        <w:t>AG2</w:t>
      </w:r>
      <w:r>
        <w:tab/>
        <w:t>The Standard does not deal with the recognition or measurement of financial instruments. Requirements about the recognition and measurement of financial assets and financial liabilities are set out in</w:t>
      </w:r>
      <w:r w:rsidR="00B64056">
        <w:t xml:space="preserve"> AASB 9</w:t>
      </w:r>
      <w:r>
        <w:t>.</w:t>
      </w:r>
    </w:p>
    <w:p w:rsidR="000E6961" w:rsidRDefault="000E6961">
      <w:pPr>
        <w:pStyle w:val="IASBSectionTitle1NonInd"/>
      </w:pPr>
      <w:r>
        <w:t>Definitions (paragraphs 11–14)</w:t>
      </w:r>
    </w:p>
    <w:p w:rsidR="000E6961" w:rsidRDefault="000E6961">
      <w:pPr>
        <w:pStyle w:val="IASBSectionTitle2Ind"/>
      </w:pPr>
      <w:r>
        <w:t>Financial assets and financial liabilities</w:t>
      </w:r>
    </w:p>
    <w:p w:rsidR="000E6961" w:rsidRDefault="000E6961">
      <w:pPr>
        <w:pStyle w:val="IASBNormalnpara"/>
      </w:pPr>
      <w:r>
        <w:t>AG3</w:t>
      </w:r>
      <w:r>
        <w:tab/>
        <w:t>Currency (cash) is a financial asset because it represents the medium of exchange and is therefore the basis on which all transactions are measured and recognised in financial statements. A deposit of cash with a bank or similar financial institution is a financial asset because it represents the contractual right of the depositor to obtain cash from the institution or to draw a cheque or similar instrument against the balance in favour of a creditor in payment of a financial liability.</w:t>
      </w:r>
    </w:p>
    <w:p w:rsidR="000E6961" w:rsidRDefault="000E6961">
      <w:pPr>
        <w:pStyle w:val="IASBNormalnpara"/>
      </w:pPr>
      <w:r>
        <w:t>AG4</w:t>
      </w:r>
      <w:r>
        <w:tab/>
        <w:t xml:space="preserve">Common examples of financial assets representing a contractual right to receive cash in the future and corresponding financial liabilities representing a contractual obligation to deliver cash in the future are: </w:t>
      </w:r>
    </w:p>
    <w:p w:rsidR="000E6961" w:rsidRDefault="000E6961">
      <w:pPr>
        <w:pStyle w:val="IASBNormalnparaL1"/>
      </w:pPr>
      <w:r>
        <w:t>(a)</w:t>
      </w:r>
      <w:r>
        <w:tab/>
        <w:t>trade accounts receivable and payable;</w:t>
      </w:r>
    </w:p>
    <w:p w:rsidR="000E6961" w:rsidRDefault="000E6961">
      <w:pPr>
        <w:pStyle w:val="IASBNormalnparaL1"/>
      </w:pPr>
      <w:r>
        <w:t>(b)</w:t>
      </w:r>
      <w:r>
        <w:tab/>
        <w:t>notes receivable and payable;</w:t>
      </w:r>
    </w:p>
    <w:p w:rsidR="000E6961" w:rsidRDefault="000E6961">
      <w:pPr>
        <w:pStyle w:val="IASBNormalnparaL1"/>
      </w:pPr>
      <w:r>
        <w:t>(c)</w:t>
      </w:r>
      <w:r>
        <w:tab/>
        <w:t>loans receivable and payable; and</w:t>
      </w:r>
    </w:p>
    <w:p w:rsidR="000E6961" w:rsidRDefault="000E6961">
      <w:pPr>
        <w:pStyle w:val="IASBNormalnparaL1"/>
      </w:pPr>
      <w:r>
        <w:t>(d)</w:t>
      </w:r>
      <w:r>
        <w:tab/>
        <w:t>bonds receivable and payable.</w:t>
      </w:r>
    </w:p>
    <w:p w:rsidR="000E6961" w:rsidRDefault="000E6961">
      <w:pPr>
        <w:pStyle w:val="IASBNormalnparaP"/>
      </w:pPr>
      <w:r>
        <w:t>In each case, one party’s contractual right to receive (or obligation to pay) cash is matched by the other party’s corresponding obligation to pay (or right to receive).</w:t>
      </w:r>
    </w:p>
    <w:p w:rsidR="000E6961" w:rsidRDefault="000E6961">
      <w:pPr>
        <w:pStyle w:val="IASBNormalnpara"/>
      </w:pPr>
      <w:r>
        <w:t>AG5</w:t>
      </w:r>
      <w:r>
        <w:tab/>
        <w:t>Another type of financial instrument is one for which the economic benefit to be received or given up is a financial asset other than cash. For example, a note payable in government bonds gives the holder the contractual right to receive and the issuer the contractual obligation to deliver government bonds, not cash. The bonds are financial assets because they represent obligations of the issuing government to pay cash. The note is, therefore, a financial asset of the note holder and a financial liability of the note issuer.</w:t>
      </w:r>
    </w:p>
    <w:p w:rsidR="000E6961" w:rsidRDefault="000E6961">
      <w:pPr>
        <w:pStyle w:val="IASBNormalnpara"/>
      </w:pPr>
      <w:r>
        <w:t>AG6</w:t>
      </w:r>
      <w:r>
        <w:tab/>
        <w:t>‘Perpetual’ debt instruments (such as ‘perpetual’ bonds, debentures and capital notes) normally provide the holder with the contractual right to receive payments on account of interest at fixed dates extending into the indefinite future, either with no right to receive a return of principal or a right to a return of principal under terms that make it very unlikely or very far in the future. For example, an entity may issue a financial instrument requiring it to make annual payments in perpetuity equal to a stated interest rate of 8 per cent applied to a stated par or principal amount of CU1,000.</w:t>
      </w:r>
      <w:r w:rsidR="005F7281" w:rsidRPr="000E6961">
        <w:rPr>
          <w:rStyle w:val="FootnoteReference"/>
        </w:rPr>
        <w:footnoteReference w:id="2"/>
      </w:r>
      <w:r>
        <w:t xml:space="preserve">  Assuming 8 per cent to be the market rate of interest for the instrument when issued, the issuer assumes a contractual obligation to make a stream of future interest payments having a fair value (present value) of CU1,000 on initial recognition. The holder and issuer of the instrument have a financial asset and a financial liability, respectively.</w:t>
      </w:r>
    </w:p>
    <w:p w:rsidR="000E6961" w:rsidRDefault="000E6961">
      <w:pPr>
        <w:pStyle w:val="IASBNormalnpara"/>
      </w:pPr>
      <w:r>
        <w:t>AG7</w:t>
      </w:r>
      <w:r>
        <w:tab/>
        <w:t>A contractual right or contractual obligation to receive, deliver or exchange financial instruments is itself a financial instrument. A chain of contractual rights or contractual obligations meets the definition of a financial instrument if it will ultimately lead to the receipt or payment of cash or to the acquisition or issue of an equity instrument.</w:t>
      </w:r>
    </w:p>
    <w:p w:rsidR="000E6961" w:rsidRDefault="000E6961">
      <w:pPr>
        <w:pStyle w:val="IASBNormalnpara"/>
      </w:pPr>
      <w:r>
        <w:t>AG8</w:t>
      </w:r>
      <w:r>
        <w:tab/>
        <w:t xml:space="preserve">The ability to exercise a contractual right or the requirement to satisfy a contractual obligation may be absolute, or it may be contingent on the occurrence of a future event. For example, a financial guarantee is a contractual right of the lender to receive cash from the guarantor, and a corresponding contractual obligation of the guarantor to pay the lender, if the borrower defaults. The contractual right and obligation exist because of a past transaction or event (assumption of the guarantee), even though the lender’s ability to exercise its right and the requirement for the guarantor to perform under its obligation are both contingent on a future act of default by the borrower. A contingent right and obligation meet the definition of a financial asset and a financial liability, even though such assets and liabilities are not always recognised in </w:t>
      </w:r>
      <w:r>
        <w:lastRenderedPageBreak/>
        <w:t>the financial statements. Some of these contingent rights and obligations may be insurance contracts within the scope of</w:t>
      </w:r>
      <w:r w:rsidR="00B64056">
        <w:t xml:space="preserve"> AASB 4</w:t>
      </w:r>
      <w:r>
        <w:t>.</w:t>
      </w:r>
    </w:p>
    <w:p w:rsidR="000E6961" w:rsidRDefault="000E6961">
      <w:pPr>
        <w:pStyle w:val="IASBNormalnpara"/>
      </w:pPr>
      <w:r>
        <w:t>AG9</w:t>
      </w:r>
      <w:r>
        <w:tab/>
        <w:t>Under</w:t>
      </w:r>
      <w:r w:rsidR="00B64056">
        <w:t xml:space="preserve"> AASB 117</w:t>
      </w:r>
      <w:r>
        <w:t xml:space="preserve"> </w:t>
      </w:r>
      <w:r>
        <w:rPr>
          <w:i/>
        </w:rPr>
        <w:t>Leases</w:t>
      </w:r>
      <w:r>
        <w:t xml:space="preserve"> a finance lease is regarded as primarily an entitlement of the lessor to receive, and an obligation of the lessee to pay, a stream of payments that are substantially the same as blended payments of principal and interest under a loan agreement. The lessor accounts for its investment in the amount receivable under the lease contract rather than the leased asset itself. An operating lease, on the other hand, is regarded as primarily an uncompleted contract committing the lessor to provide the use of an asset in future periods in exchange for consideration similar to a fee for a service. The lessor continues to account for the leased asset itself rather than any amount receivable in the future under the contract. Accordingly, a finance lease is regarded as a financial instrument and an operating lease is not regarded as a financial instrument (except as regards individual payments currently due and payable).</w:t>
      </w:r>
    </w:p>
    <w:p w:rsidR="000E6961" w:rsidRDefault="000E6961">
      <w:pPr>
        <w:pStyle w:val="IASBNormalnpara"/>
      </w:pPr>
      <w:r>
        <w:t>AG10</w:t>
      </w:r>
      <w:r>
        <w:tab/>
        <w:t>Physical assets (such as inventories, property, plant and equipment), leased assets and intangible assets (such as patents and trademarks) are not financial assets. Control of such physical and intangible assets creates an opportunity to generate an inflow of cash or another financial asset, but it does not give rise to a present right to receive cash or another financial asset.</w:t>
      </w:r>
    </w:p>
    <w:p w:rsidR="000E6961" w:rsidRDefault="000E6961">
      <w:pPr>
        <w:pStyle w:val="IASBNormalnpara"/>
      </w:pPr>
      <w:r>
        <w:t>AG11</w:t>
      </w:r>
      <w:r>
        <w:tab/>
        <w:t>Assets (such as prepaid expenses) for which the future economic benefit is the receipt of goods or services, rather than the right to receive cash or another financial asset, are not financial assets. Similarly, items such as deferred revenue and most warranty obligations are not financial liabilities because the outflow of economic benefits associated with them is the delivery of goods and services rather than a contractual obligation to pay cash or another financial asset.</w:t>
      </w:r>
    </w:p>
    <w:p w:rsidR="000E6961" w:rsidRDefault="000E6961">
      <w:pPr>
        <w:pStyle w:val="IASBNormalnpara"/>
      </w:pPr>
      <w:r>
        <w:t>AG12</w:t>
      </w:r>
      <w:r>
        <w:tab/>
        <w:t>Liabilities or assets that are not contractual (such as income taxes that are created as a result of statutory requirements imposed by governments) are not financial liabilities or financial assets. Accounting for income taxes is dealt with in</w:t>
      </w:r>
      <w:r w:rsidR="00B64056">
        <w:t xml:space="preserve"> AASB 112</w:t>
      </w:r>
      <w:r>
        <w:t>. Similarly, constructive obligations, as defined in</w:t>
      </w:r>
      <w:r w:rsidR="00B64056">
        <w:t xml:space="preserve"> AASB 137</w:t>
      </w:r>
      <w:r>
        <w:t xml:space="preserve"> </w:t>
      </w:r>
      <w:r>
        <w:rPr>
          <w:i/>
        </w:rPr>
        <w:t>Provisions, Contingent Liabilities and Contingent Assets</w:t>
      </w:r>
      <w:r>
        <w:t>, do not arise from contracts and are not financial liabilities.</w:t>
      </w:r>
    </w:p>
    <w:p w:rsidR="000E6961" w:rsidRDefault="000E6961">
      <w:pPr>
        <w:pStyle w:val="IASBSectionTitle2Ind"/>
      </w:pPr>
      <w:r>
        <w:t>Equity instruments</w:t>
      </w:r>
    </w:p>
    <w:p w:rsidR="000E6961" w:rsidRDefault="000E6961">
      <w:pPr>
        <w:pStyle w:val="IASBNormalnpara"/>
      </w:pPr>
      <w:r>
        <w:t>AG13</w:t>
      </w:r>
      <w:r>
        <w:tab/>
        <w:t>Examples of equity instruments include non-puttable ordinary shares, some puttable instruments (see paragraphs 16A and 16B), some instruments that impose on the entity an obligation to deliver to another party a pro rata share of the net assets of the entity only on liquidation (see paragraphs 16C and 16D), some types of preference shares (see paragraphs AG25 and AG26), and warrants or written call options that allow the holder to subscribe for or purchase a fixed number of non-puttable ordinary shares in the issuing entity in exchange for a fixed amount of cash or another financial asset. An entity’s obligation to issue or purchase a fixed number of its own equity instruments in exchange for a fixed amount of cash or another financial asset is an equity instrument of the entity (except as stated in paragraph 22A). However, if such a contract contains an obligation for the entity to pay cash or another financial asset (other than a contract classified as equity in accordance with paragraphs 16A and 16B or paragraphs 16C and 16D), it also gives rise to a liability for the present value of the redemption amount (see paragraph AG27(a)). An issuer of non-puttable ordinary shares assumes a liability when it formally acts to make a distribution and becomes legally obliged to the shareholders to do so. This may be the case following the declaration of a dividend or when the entity is being wound up and any assets remaining after the satisfaction of liabilities become distributable to shareholders.</w:t>
      </w:r>
    </w:p>
    <w:p w:rsidR="000E6961" w:rsidRDefault="000E6961">
      <w:pPr>
        <w:pStyle w:val="IASBNormalnpara"/>
      </w:pPr>
      <w:r>
        <w:t>AG14</w:t>
      </w:r>
      <w:r>
        <w:tab/>
        <w:t>A purchased call option or other similar contract acquired by an entity that gives it the right to reacquire a fixed number of its own equity instruments in exchange for delivering a fixed amount of cash or another financial asset is not a financial asset of the entity (except as stated in paragraph 22A). Instead, any consideration paid for such a contract is deducted from equity.</w:t>
      </w:r>
    </w:p>
    <w:p w:rsidR="000E6961" w:rsidRDefault="000E6961">
      <w:pPr>
        <w:pStyle w:val="IASBSectionTitle3Ind"/>
      </w:pPr>
      <w:r>
        <w:t xml:space="preserve">The class of instruments that is subordinate to all other classes </w:t>
      </w:r>
      <w:r w:rsidR="0070114D">
        <w:br/>
      </w:r>
      <w:r>
        <w:t>(paragraphs 16A(b) and 16C(b))</w:t>
      </w:r>
    </w:p>
    <w:p w:rsidR="000E6961" w:rsidRDefault="000E6961">
      <w:pPr>
        <w:pStyle w:val="IASBNormalnpara"/>
      </w:pPr>
      <w:r>
        <w:t>AG14A</w:t>
      </w:r>
      <w:r>
        <w:tab/>
        <w:t xml:space="preserve">One of the features of paragraphs 16A and 16C is that the financial instrument is in the class of instruments that is subordinate to all other classes. </w:t>
      </w:r>
    </w:p>
    <w:p w:rsidR="000E6961" w:rsidRDefault="000E6961">
      <w:pPr>
        <w:pStyle w:val="IASBNormalnpara"/>
      </w:pPr>
      <w:r>
        <w:t>AG14B</w:t>
      </w:r>
      <w:r>
        <w:tab/>
        <w:t xml:space="preserve">When determining whether an instrument is in the subordinate class, an entity evaluates the instrument’s claim on liquidation as if it were to liquidate on the date when it classifies the instrument. An entity shall reassess the classification if there is a change in relevant circumstances. For example, if the entity issues or redeems another financial instrument, this may affect whether the instrument in question is in the class of instruments that is subordinate to all other classes. </w:t>
      </w:r>
    </w:p>
    <w:p w:rsidR="000E6961" w:rsidRDefault="000E6961">
      <w:pPr>
        <w:pStyle w:val="IASBNormalnpara"/>
      </w:pPr>
      <w:r>
        <w:lastRenderedPageBreak/>
        <w:t>AG14C</w:t>
      </w:r>
      <w:r>
        <w:tab/>
        <w:t>An instrument that has a preferential right on liquidation of the entity is not an instrument with an entitlement to a pro rata share of the net assets of the entity. For example, an instrument has a preferential right on liquidation if it entitles the holder to a fixed dividend on liquidation, in addition to a share of the entity’s net assets, when other instruments in the subordinate class with a right to a pro rata share of the net assets of the entity do not have the same right on liquidation.</w:t>
      </w:r>
    </w:p>
    <w:p w:rsidR="000E6961" w:rsidRDefault="000E6961">
      <w:pPr>
        <w:pStyle w:val="IASBNormalnpara"/>
      </w:pPr>
      <w:r>
        <w:t>AG14D</w:t>
      </w:r>
      <w:r>
        <w:tab/>
        <w:t xml:space="preserve">If an entity has only one class of financial instruments, that class shall be treated as if it were subordinate to all other classes. </w:t>
      </w:r>
    </w:p>
    <w:p w:rsidR="000E6961" w:rsidRDefault="000E6961">
      <w:pPr>
        <w:pStyle w:val="IASBSectionTitle3Ind"/>
      </w:pPr>
      <w:r>
        <w:t>Total expected cash flows attributable to the instrument over the life of the instrument (paragraph 16A(e))</w:t>
      </w:r>
    </w:p>
    <w:p w:rsidR="000E6961" w:rsidRDefault="000E6961">
      <w:pPr>
        <w:pStyle w:val="IASBNormalnpara"/>
      </w:pPr>
      <w:r>
        <w:t>AG14E</w:t>
      </w:r>
      <w:r>
        <w:tab/>
        <w:t>The total expected cash flows of the instrument over the life of the instrument must be substantially based on the profit or loss, change in the recognised net assets or fair value of the recognised and unrecognised net assets of the entity over the life of the instrument. Profit or loss and the change in the recognised net assets shall be measured in accordance with relevant</w:t>
      </w:r>
      <w:r w:rsidR="00B64056">
        <w:t xml:space="preserve"> Australian Accounting Standards</w:t>
      </w:r>
      <w:r>
        <w:t xml:space="preserve">. </w:t>
      </w:r>
    </w:p>
    <w:p w:rsidR="000E6961" w:rsidRDefault="000E6961">
      <w:pPr>
        <w:pStyle w:val="IASBSectionTitle3Ind"/>
      </w:pPr>
      <w:r>
        <w:t>Transactions entered into by an instrument holder other than as owner of the entity (paragraphs 16A and 16C)</w:t>
      </w:r>
    </w:p>
    <w:p w:rsidR="000E6961" w:rsidRDefault="000E6961">
      <w:pPr>
        <w:pStyle w:val="IASBNormalnpara"/>
      </w:pPr>
      <w:r>
        <w:t>AG14F</w:t>
      </w:r>
      <w:r>
        <w:tab/>
        <w:t xml:space="preserve">The holder of a puttable financial instrument or an instrument that imposes on the entity an obligation to deliver to another party a pro rata share of the net assets of the entity only on liquidation may enter into transactions with the entity in a role other than that of an owner. For example, an instrument holder may also be an employee of the entity. Only the cash flows and the contractual terms and conditions of the instrument that relate to the instrument holder as an owner of the entity shall be considered when assessing whether the instrument should be classified as equity under paragraph 16A or paragraph 16C. </w:t>
      </w:r>
    </w:p>
    <w:p w:rsidR="000E6961" w:rsidRDefault="000E6961">
      <w:pPr>
        <w:pStyle w:val="IASBNormalnpara"/>
      </w:pPr>
      <w:r>
        <w:t>AG14G</w:t>
      </w:r>
      <w:r>
        <w:tab/>
        <w:t xml:space="preserve">An example is a limited partnership that has limited and general partners. Some general partners may provide a guarantee to the entity and may be remunerated for providing that guarantee. In such situations, the guarantee and the associated cash flows relate to the instrument holders in their role as guarantors and not in their roles as owners of the entity. Therefore, such a guarantee and the associated cash flows would not result in the general partners being considered subordinate to the limited partners, and would be disregarded when assessing whether the contractual terms of the limited partnership instruments and the general partnership instruments are identical. </w:t>
      </w:r>
    </w:p>
    <w:p w:rsidR="000E6961" w:rsidRDefault="000E6961">
      <w:pPr>
        <w:pStyle w:val="IASBNormalnpara"/>
      </w:pPr>
      <w:r>
        <w:t>AG14H</w:t>
      </w:r>
      <w:r>
        <w:tab/>
        <w:t>Another example is a profit or loss sharing arrangement that allocates profit or loss to the instrument holders on the basis of services rendered or business generated during the current and previous years. Such arrangements are transactions with instrument holders in their role as non-owners and should not be considered when assessing the features listed in paragraph 16A or paragraph 16C. However, profit or loss sharing arrangements that allocate profit or loss to instrument holders based on the nominal amount of their instruments relative to others in the class represent transactions with the instrument holders in their roles as owners and should be considered when assessing the features listed in paragraph 16A or paragraph 16C.</w:t>
      </w:r>
    </w:p>
    <w:p w:rsidR="000E6961" w:rsidRDefault="000E6961">
      <w:pPr>
        <w:pStyle w:val="IASBNormalnpara"/>
      </w:pPr>
      <w:r>
        <w:t>AG14I</w:t>
      </w:r>
      <w:r>
        <w:tab/>
        <w:t>The cash flows and contractual terms and conditions of a transaction between the instrument holder (in the role as a non-owner) and the issuing entity must be similar to an equivalent transaction that might occur between a non-instrument holder and the issuing entity.</w:t>
      </w:r>
    </w:p>
    <w:p w:rsidR="000E6961" w:rsidRDefault="000E6961">
      <w:pPr>
        <w:pStyle w:val="IASBSectionTitle3Ind"/>
      </w:pPr>
      <w:r>
        <w:t>No other financial instrument or contract with total cash flows that substantially fixes or restricts the residual return to the instrument holder (paragraphs 16B and 16D)</w:t>
      </w:r>
    </w:p>
    <w:p w:rsidR="000E6961" w:rsidRDefault="000E6961">
      <w:pPr>
        <w:pStyle w:val="IASBNormalnpara"/>
      </w:pPr>
      <w:r>
        <w:t>AG14J</w:t>
      </w:r>
      <w:r>
        <w:tab/>
        <w:t>A condition for classifying as equity a financial instrument that otherwise meets the criteria in paragraph 16A or paragraph 16C is that the entity has no other financial instrument or contract that has (a) total cash flows based substantially on the profit or loss, the change in the recognised net assets or the change in the fair value of the recognised and unrecognised net assets of the entity and (b) the effect of substantially restricting or fixing the residual return. The following instruments, when entered into on normal commercial terms with unrelated parties, are unlikely to prevent instruments that otherwise meet the criteria in paragraph 16A or paragraph 16C from being classified as equity:</w:t>
      </w:r>
    </w:p>
    <w:p w:rsidR="000E6961" w:rsidRDefault="000E6961">
      <w:pPr>
        <w:pStyle w:val="IASBNormalnparaL1"/>
      </w:pPr>
      <w:r>
        <w:t>(a)</w:t>
      </w:r>
      <w:r>
        <w:tab/>
        <w:t>instruments with total cash flows substantially based on specific assets of the entity.</w:t>
      </w:r>
    </w:p>
    <w:p w:rsidR="000E6961" w:rsidRDefault="000E6961">
      <w:pPr>
        <w:pStyle w:val="IASBNormalnparaL1"/>
      </w:pPr>
      <w:r>
        <w:t>(b)</w:t>
      </w:r>
      <w:r>
        <w:tab/>
        <w:t>instruments with total cash flows based on a percentage of revenue.</w:t>
      </w:r>
    </w:p>
    <w:p w:rsidR="000E6961" w:rsidRDefault="000E6961">
      <w:pPr>
        <w:pStyle w:val="IASBNormalnparaL1"/>
      </w:pPr>
      <w:r>
        <w:t>(c)</w:t>
      </w:r>
      <w:r>
        <w:tab/>
        <w:t>contracts designed to reward individual employees for services rendered to the entity.</w:t>
      </w:r>
    </w:p>
    <w:p w:rsidR="000E6961" w:rsidRDefault="000E6961">
      <w:pPr>
        <w:pStyle w:val="IASBNormalnparaL1"/>
      </w:pPr>
      <w:r>
        <w:t>(d)</w:t>
      </w:r>
      <w:r>
        <w:tab/>
        <w:t>contracts requiring the payment of an insignificant percentage of profit for services rendered or goods provided.</w:t>
      </w:r>
    </w:p>
    <w:p w:rsidR="000E6961" w:rsidRDefault="000E6961">
      <w:pPr>
        <w:pStyle w:val="IASBSectionTitle2Ind"/>
      </w:pPr>
      <w:r>
        <w:lastRenderedPageBreak/>
        <w:t>Derivative financial instruments</w:t>
      </w:r>
    </w:p>
    <w:p w:rsidR="000E6961" w:rsidRDefault="000E6961">
      <w:pPr>
        <w:pStyle w:val="IASBNormalnpara"/>
      </w:pPr>
      <w:r>
        <w:t>AG15</w:t>
      </w:r>
      <w:r>
        <w:tab/>
        <w:t>Financial instruments include primary instruments (such as receivables, payables and equity instruments) and derivative financial instruments (such as financial options, futures and forwards, interest rate swaps and currency swaps). Derivative financial instruments meet the definition of a financial instrument and, accordingly, are within the scope of this Standard.</w:t>
      </w:r>
    </w:p>
    <w:p w:rsidR="000E6961" w:rsidRDefault="000E6961">
      <w:pPr>
        <w:pStyle w:val="IASBNormalnpara"/>
      </w:pPr>
      <w:r>
        <w:t>AG16</w:t>
      </w:r>
      <w:r>
        <w:tab/>
        <w:t>Derivative financial instruments create rights and obligations that have the effect of transferring between the parties to the instrument one or more of the financial risks inherent in an underlying primary financial instrument. On inception, derivative financial instruments give one party a contractual right to exchange financial assets or financial liabilities with another party under conditions that are potentially favourable, or a contractual obligation to exchange financial assets or financial liabilities with another party under conditions that are potentially unfavourable. However, they generally</w:t>
      </w:r>
      <w:r w:rsidR="005F7281" w:rsidRPr="000E6961">
        <w:rPr>
          <w:rStyle w:val="FootnoteReference"/>
        </w:rPr>
        <w:footnoteReference w:id="3"/>
      </w:r>
      <w:r>
        <w:t xml:space="preserve">  do not result in a transfer of the underlying primary financial instrument on inception of the contract, nor does such a transfer necessarily take place on maturity of the contract. Some instruments embody both a right and an obligation to make an exchange. Because the terms of the exchange are determined on inception of the derivative instrument, as prices in financial markets change those terms may become either favourable or unfavourable.</w:t>
      </w:r>
    </w:p>
    <w:p w:rsidR="000E6961" w:rsidRDefault="000E6961">
      <w:pPr>
        <w:pStyle w:val="IASBNormalnpara"/>
      </w:pPr>
      <w:r>
        <w:t>AG17</w:t>
      </w:r>
      <w:r>
        <w:tab/>
        <w:t>A put or call option to exchange financial assets or financial liabilities (ie financial instruments other than an entity’s own equity instruments) gives the holder a right to obtain potential future economic benefits associated with changes in the fair value of the financial instrument underlying the contract. Conversely, the writer of an option assumes an obligation to forgo potential future economic benefits or bear potential losses of economic benefits associated with changes in the fair value of the underlying financial instrument. The contractual right of the holder and obligation of the writer meet the definition of a financial asset and a financial liability, respectively. The financial instrument underlying an option contract may be any financial asset, including shares in other entities and interest-bearing instruments. An option may require the writer to issue a debt instrument, rather than transfer a financial asset, but the instrument underlying the option would constitute a financial asset of the holder if the option were exercised. The option-holder’s right to exchange the financial asset under potentially favourable conditions and the writer’s obligation to exchange the financial asset under potentially unfavourable conditions are distinct from the underlying financial asset to be exchanged upon exercise of the option. The nature of the holder’s right and of the writer’s obligation are not affected by the likelihood that the option will be exercised.</w:t>
      </w:r>
    </w:p>
    <w:p w:rsidR="000E6961" w:rsidRDefault="000E6961">
      <w:pPr>
        <w:pStyle w:val="IASBNormalnpara"/>
      </w:pPr>
      <w:r>
        <w:t>AG18</w:t>
      </w:r>
      <w:r>
        <w:tab/>
        <w:t>Another example of a derivative financial instrument is a forward contract to be settled in six months’ time in which one party (the purchaser) promises to deliver CU1,000,000 cash in exchange for CU1,000,000 face amount of fixed rate government bonds, and the other party (the seller) promises to deliver CU1,000,000 face amount of fixed rate government bonds in exchange for CU1,000,000 cash. During the six months, both parties have a contractual right and a contractual obligation to exchange financial instruments. If the market price of the government bonds rises above CU1,000,000, the conditions will be favourable to the purchaser and unfavourable to the seller; if the market price falls below CU1,000,000, the effect will be the opposite. The purchaser has a contractual right (a financial asset) similar to the right under a call option held and a contractual obligation (a financial liability) similar to the obligation under a put option written; the seller has a contractual right (a financial asset) similar to the right under a put option held and a contractual obligation (a financial liability) similar to the obligation under a call option written. As with options, these contractual rights and obligations constitute financial assets and financial liabilities separate and distinct from the underlying financial instruments (the bonds and cash to be exchanged). Both parties to a forward contract have an obligation to perform at the agreed time, whereas performance under an option contract occurs only if and when the holder of the option chooses to exercise it.</w:t>
      </w:r>
    </w:p>
    <w:p w:rsidR="000E6961" w:rsidRDefault="000E6961">
      <w:pPr>
        <w:pStyle w:val="IASBNormalnpara"/>
      </w:pPr>
      <w:r>
        <w:t>AG19</w:t>
      </w:r>
      <w:r>
        <w:tab/>
        <w:t>Many other types of derivative instruments embody a right or obligation to make a future exchange, including interest rate and currency swaps, interest rate caps, collars and floors, loan commitments, note issuance facilities and letters of credit. An interest rate swap contract may be viewed as a variation of a forward contract in which the parties agree to make a series of future exchanges of cash amounts, one amount calculated with reference to a floating interest rate and the other with reference to a fixed interest rate. Futures contracts are another variation of forward contracts, differing primarily in that the contracts are standardised and traded on an exchange.</w:t>
      </w:r>
    </w:p>
    <w:p w:rsidR="000E6961" w:rsidRDefault="000E6961">
      <w:pPr>
        <w:pStyle w:val="IASBSectionTitle2Ind"/>
      </w:pPr>
      <w:r>
        <w:t>Contracts to buy or sell non-financial items</w:t>
      </w:r>
      <w:r>
        <w:br/>
        <w:t>(paragraphs 8–10)</w:t>
      </w:r>
    </w:p>
    <w:p w:rsidR="000E6961" w:rsidRDefault="000E6961">
      <w:pPr>
        <w:pStyle w:val="IASBNormalnpara"/>
      </w:pPr>
      <w:r>
        <w:t>AG20</w:t>
      </w:r>
      <w:r>
        <w:tab/>
        <w:t xml:space="preserve">Contracts to buy or sell non-financial items do not meet the definition of a financial instrument because the contractual right of one party to receive a non-financial asset or service and the corresponding obligation of </w:t>
      </w:r>
      <w:r>
        <w:lastRenderedPageBreak/>
        <w:t>the other party do not establish a present right or obligation of either party to receive, deliver or exchange a financial asset. For example, contracts that provide for settlement only by the receipt or delivery of a non-financial item (eg an option, futures or forward contract on silver) are not financial instruments. Many commodity contracts are of this type. Some are standardised in form and traded on organised markets in much the same fashion as some derivative financial instruments. For example, a commodity futures contract may be bought and sold readily for cash because it is listed for trading on an exchange and may change hands many times. However, the parties buying and selling the contract are, in effect, trading the underlying commodity. The ability to buy or sell a commodity contract for cash, the ease with which it may be bought or sold and the possibility of negotiating a cash settlement of the obligation to receive or deliver the commodity do not alter the fundamental character of the contract in a way that creates a financial instrument. Nevertheless, some contracts to buy or sell non-financial items that can be settled net or by exchanging financial instruments, or in which the non-financial item is readily convertible to cash, are within the scope of the Standard as if they were financial instruments (see paragraph 8).</w:t>
      </w:r>
    </w:p>
    <w:p w:rsidR="000E6961" w:rsidRDefault="000E6961">
      <w:pPr>
        <w:pStyle w:val="IASBNormalnpara"/>
      </w:pPr>
      <w:r>
        <w:t>AG21</w:t>
      </w:r>
      <w:r>
        <w:tab/>
        <w:t>Except as required by</w:t>
      </w:r>
      <w:r w:rsidR="00B64056">
        <w:t xml:space="preserve"> AASB 15</w:t>
      </w:r>
      <w:r>
        <w:t xml:space="preserve"> </w:t>
      </w:r>
      <w:r>
        <w:rPr>
          <w:i/>
        </w:rPr>
        <w:t>Revenue from Contracts with Customers</w:t>
      </w:r>
      <w:r>
        <w:t>, a contract that involves the receipt or delivery of physical assets does not give rise to a financial asset of one party and a financial liability of the other party unless any corresponding payment is deferred past the date on which the physical assets are transferred. Such is the case with the purchase or sale of goods on trade credit.</w:t>
      </w:r>
    </w:p>
    <w:p w:rsidR="000E6961" w:rsidRDefault="000E6961">
      <w:pPr>
        <w:pStyle w:val="IASBNormalnpara"/>
      </w:pPr>
      <w:r>
        <w:t>AG22</w:t>
      </w:r>
      <w:r>
        <w:tab/>
        <w:t>Some contracts are commodity-linked, but do not involve settlement through the physical receipt or delivery of a commodity. They specify settlement through cash payments that are determined according to a formula in the contract, rather than through payment of fixed amounts. For example, the principal amount of a bond may be calculated by applying the market price of oil prevailing at the maturity of the bond to a fixed quantity of oil. The principal is indexed by reference to a commodity price, but is settled only in cash. Such a contract constitutes a financial instrument.</w:t>
      </w:r>
    </w:p>
    <w:p w:rsidR="000E6961" w:rsidRDefault="000E6961">
      <w:pPr>
        <w:pStyle w:val="IASBNormalnpara"/>
      </w:pPr>
      <w:r>
        <w:t>AG23</w:t>
      </w:r>
      <w:r>
        <w:tab/>
        <w:t>The definition of a financial instrument also encompasses a contract that gives rise to a non-financial asset or non-financial liability in addition to a financial asset or financial liability. Such financial instruments often give one party an option to exchange a financial asset for a non-financial asset. For example, an oil-linked bond may give the holder the right to receive a stream of fixed periodic interest payments and a fixed amount of cash on maturity, with the option to exchange the principal amount for a fixed quantity of oil. The desirability of exercising this option will vary from time to time depending on the fair value of oil relative to the exchange ratio of cash for oil (the exchange price) inherent in the bond. The intentions of the bondholder concerning the exercise of the option do not affect the substance of the component assets. The financial asset of the holder and the financial liability of the issuer make the bond a financial instrument, regardless of the other types of assets and liabilities also created.</w:t>
      </w:r>
    </w:p>
    <w:p w:rsidR="000E6961" w:rsidRDefault="000E6961">
      <w:pPr>
        <w:pStyle w:val="IASBNormalnpara"/>
      </w:pPr>
      <w:r>
        <w:t>AG24</w:t>
      </w:r>
      <w:r>
        <w:tab/>
        <w:t>[Deleted]</w:t>
      </w:r>
    </w:p>
    <w:p w:rsidR="000E6961" w:rsidRDefault="000E6961">
      <w:pPr>
        <w:pStyle w:val="IASBSectionTitle1NonInd"/>
      </w:pPr>
      <w:r>
        <w:t>Presentation</w:t>
      </w:r>
    </w:p>
    <w:p w:rsidR="000E6961" w:rsidRDefault="000E6961">
      <w:pPr>
        <w:pStyle w:val="IASBSectionTitle2Ind"/>
      </w:pPr>
      <w:r>
        <w:t>Liabilities and equity (paragraphs 15–27)</w:t>
      </w:r>
    </w:p>
    <w:p w:rsidR="000E6961" w:rsidRDefault="000E6961">
      <w:pPr>
        <w:pStyle w:val="IASBSectionTitle3Ind"/>
      </w:pPr>
      <w:r>
        <w:t>No contractual obligation to deliver cash or another financial asset (paragraphs 17–20)</w:t>
      </w:r>
    </w:p>
    <w:p w:rsidR="000E6961" w:rsidRDefault="000E6961">
      <w:pPr>
        <w:pStyle w:val="IASBNormalnpara"/>
      </w:pPr>
      <w:r>
        <w:t>AG25</w:t>
      </w:r>
      <w:r>
        <w:tab/>
        <w:t>Preference shares may be issued with various rights. In determining whether a preference share is a financial liability or an equity instrument, an issuer assesses the particular rights attaching to the share to determine whether it exhibits the fundamental characteristic of a financial liability. For example, a preference share that provides for redemption on a specific date or at the option of the holder contains a financial liability because the issuer has an obligation to transfer financial assets to the holder of the share. The potential inability of an issuer to satisfy an obligation to redeem a preference share when contractually required to do so, whether because of a lack of funds, a statutory restriction or insufficient profits or reserves, does not negate the obligation. An option of the issuer to redeem the shares for cash does not satisfy the definition of a financial liability because the issuer does not have a present obligation to transfer financial assets to the shareholders. In this case, redemption of the shares is solely at the discretion of the issuer. An obligation may arise, however, when the issuer of the shares exercises its option, usually by formally notifying the shareholders of an intention to redeem the shares.</w:t>
      </w:r>
    </w:p>
    <w:p w:rsidR="000E6961" w:rsidRDefault="000E6961">
      <w:pPr>
        <w:pStyle w:val="IASBNormalnpara"/>
      </w:pPr>
      <w:r>
        <w:t>AG26</w:t>
      </w:r>
      <w:r>
        <w:tab/>
        <w:t xml:space="preserve">When preference shares are non-redeemable, the appropriate classification is determined by the other rights that attach to them. Classification is based on an assessment of the substance of the contractual arrangements and the definitions of a financial liability and an equity instrument. When distributions to holders of the preference shares, whether cumulative or non-cumulative, are at the discretion of the issuer, </w:t>
      </w:r>
      <w:r>
        <w:lastRenderedPageBreak/>
        <w:t xml:space="preserve">the shares are equity instruments. The classification of a preference share as an equity instrument or a financial liability is not affected by, for example: </w:t>
      </w:r>
    </w:p>
    <w:p w:rsidR="000E6961" w:rsidRDefault="000E6961">
      <w:pPr>
        <w:pStyle w:val="IASBNormalnparaL1"/>
      </w:pPr>
      <w:r>
        <w:t>(a)</w:t>
      </w:r>
      <w:r>
        <w:tab/>
        <w:t>a history of making distributions;</w:t>
      </w:r>
    </w:p>
    <w:p w:rsidR="000E6961" w:rsidRDefault="000E6961">
      <w:pPr>
        <w:pStyle w:val="IASBNormalnparaL1"/>
      </w:pPr>
      <w:r>
        <w:t>(b)</w:t>
      </w:r>
      <w:r>
        <w:tab/>
        <w:t>an intention to make distributions in the future;</w:t>
      </w:r>
    </w:p>
    <w:p w:rsidR="000E6961" w:rsidRDefault="000E6961">
      <w:pPr>
        <w:pStyle w:val="IASBNormalnparaL1"/>
      </w:pPr>
      <w:r>
        <w:t>(c)</w:t>
      </w:r>
      <w:r>
        <w:tab/>
        <w:t>a possible negative impact on the price of ordinary shares of the issuer if distributions are not made (because of restrictions on paying dividends on the ordinary shares if dividends are not paid on the preference shares);</w:t>
      </w:r>
    </w:p>
    <w:p w:rsidR="000E6961" w:rsidRDefault="000E6961">
      <w:pPr>
        <w:pStyle w:val="IASBNormalnparaL1"/>
      </w:pPr>
      <w:r>
        <w:t>(d)</w:t>
      </w:r>
      <w:r>
        <w:tab/>
        <w:t>the amount of the issuer’s reserves;</w:t>
      </w:r>
    </w:p>
    <w:p w:rsidR="000E6961" w:rsidRDefault="000E6961">
      <w:pPr>
        <w:pStyle w:val="IASBNormalnparaL1"/>
      </w:pPr>
      <w:r>
        <w:t>(e)</w:t>
      </w:r>
      <w:r>
        <w:tab/>
        <w:t>an issuer’s expectation of a profit or loss for a period; or</w:t>
      </w:r>
    </w:p>
    <w:p w:rsidR="000E6961" w:rsidRDefault="000E6961">
      <w:pPr>
        <w:pStyle w:val="IASBNormalnparaL1"/>
      </w:pPr>
      <w:r>
        <w:t>(f)</w:t>
      </w:r>
      <w:r>
        <w:tab/>
        <w:t>an ability or inability of the issuer to influence the amount of its profit or loss for the period.</w:t>
      </w:r>
    </w:p>
    <w:p w:rsidR="000E6961" w:rsidRDefault="000E6961">
      <w:pPr>
        <w:pStyle w:val="IASBSectionTitle3Ind"/>
      </w:pPr>
      <w:r>
        <w:t xml:space="preserve">Settlement in the entity’s own equity instruments </w:t>
      </w:r>
      <w:r>
        <w:br/>
        <w:t>(paragraphs 21–24)</w:t>
      </w:r>
    </w:p>
    <w:p w:rsidR="000E6961" w:rsidRDefault="000E6961">
      <w:pPr>
        <w:pStyle w:val="IASBNormalnpara"/>
      </w:pPr>
      <w:r>
        <w:t>AG27</w:t>
      </w:r>
      <w:r>
        <w:tab/>
        <w:t xml:space="preserve">The following examples illustrate how to classify different types of contracts on an entity’s own equity instruments: </w:t>
      </w:r>
    </w:p>
    <w:p w:rsidR="000E6961" w:rsidRDefault="000E6961">
      <w:pPr>
        <w:pStyle w:val="IASBNormalnparaL1"/>
      </w:pPr>
      <w:r>
        <w:t>(a)</w:t>
      </w:r>
      <w:r>
        <w:tab/>
        <w:t>A contract that will be settled by the entity receiving or delivering a fixed number of its own shares for no future consideration, or exchanging a fixed number of its own shares for a fixed amount of cash or another financial asset, is an equity instrument (except as stated in paragraph 22A). Accordingly, any consideration received or paid for such a contract is added directly to or deducted directly from equity. One example is an issued share option that gives the counterparty a right to buy a fixed number of the entity’s shares for a fixed amount of cash. However, if the contract requires the entity to purchase (redeem) its own shares for cash or another financial asset at a fixed or determinable date or on demand, the entity also recognises a financial liability for the present value of the redemption amount (with the exception of instruments that have all the features and meet the conditions in paragraphs 16A and 16B or paragraphs 16C and 16D). One example is an entity’s obligation under a forward contract to repurchase a fixed number of its own shares for a fixed amount of cash.</w:t>
      </w:r>
    </w:p>
    <w:p w:rsidR="000E6961" w:rsidRDefault="000E6961">
      <w:pPr>
        <w:pStyle w:val="IASBNormalnparaL1"/>
      </w:pPr>
      <w:r>
        <w:t>(b)</w:t>
      </w:r>
      <w:r>
        <w:tab/>
        <w:t>An entity’s obligation to purchase its own shares for cash gives rise to a financial liability for the present value of the redemption amount even if the number of shares that the entity is obliged to repurchase is not fixed or if the obligation is conditional on the counterparty exercising a right to redeem (except as stated in paragraphs 16A and 16B or paragraphs 16C and 16D). One example of a conditional obligation is an issued option that requires the entity to repurchase its own shares for cash if the counterparty exercises the option.</w:t>
      </w:r>
    </w:p>
    <w:p w:rsidR="000E6961" w:rsidRDefault="000E6961">
      <w:pPr>
        <w:pStyle w:val="IASBNormalnparaL1"/>
      </w:pPr>
      <w:r>
        <w:t>(c)</w:t>
      </w:r>
      <w:r>
        <w:tab/>
        <w:t>A contract that will be settled in cash or another financial asset is a financial asset or financial liability even if the amount of cash or another financial asset that will be received or delivered is based on changes in the market price of the entity’s own equity (except as stated in paragraphs 16A and 16B or paragraphs 16C and 16D). One example is a net cash-settled share option.</w:t>
      </w:r>
    </w:p>
    <w:p w:rsidR="000E6961" w:rsidRDefault="000E6961">
      <w:pPr>
        <w:pStyle w:val="IASBNormalnparaL1"/>
      </w:pPr>
      <w:r>
        <w:t>(d)</w:t>
      </w:r>
      <w:r>
        <w:tab/>
        <w:t>A contract that will be settled in a variable number of the entity’s own shares whose value equals a fixed amount or an amount based on changes in an underlying variable (eg a commodity price) is a financial asset or a financial liability. An example is a written option to buy gold that, if exercised, is settled net in the entity’s own instruments by the entity delivering as many of those instruments as are equal to the value of the option contract. Such a contract is a financial asset or financial liability even if the underlying variable is the entity’s own share price rather than gold. Similarly, a contract that will be settled in a fixed number of the entity’s own shares, but the rights attaching to those shares will be varied so that the settlement value equals a fixed amount or an amount based on changes in an underlying variable, is a financial asset or a financial liability.</w:t>
      </w:r>
    </w:p>
    <w:p w:rsidR="000E6961" w:rsidRDefault="000E6961">
      <w:pPr>
        <w:pStyle w:val="IASBSectionTitle3Ind"/>
      </w:pPr>
      <w:r>
        <w:t>Contingent settlement provisions (paragraph 25)</w:t>
      </w:r>
    </w:p>
    <w:p w:rsidR="000E6961" w:rsidRDefault="000E6961">
      <w:pPr>
        <w:pStyle w:val="IASBNormalnpara"/>
      </w:pPr>
      <w:r>
        <w:t>AG28</w:t>
      </w:r>
      <w:r>
        <w:tab/>
        <w:t xml:space="preserve">Paragraph 25 requires that if a part of a contingent settlement provision that could require settlement in cash or another financial asset (or in another way that would result in the instrument being a financial liability) is not genuine, the settlement provision does not affect the classification of a financial instrument. Thus, a contract that requires settlement in cash or a variable number of the entity’s own shares only on the occurrence of an event that is extremely rare, highly abnormal and very unlikely to occur is an equity instrument. Similarly, settlement in a fixed number of an entity’s own shares may be contractually </w:t>
      </w:r>
      <w:r>
        <w:lastRenderedPageBreak/>
        <w:t>precluded in circumstances that are outside the control of the entity, but if these circumstances have no genuine possibility of occurring, classification as an equity instrument is appropriate.</w:t>
      </w:r>
    </w:p>
    <w:p w:rsidR="000E6961" w:rsidRDefault="000E6961">
      <w:pPr>
        <w:pStyle w:val="IASBSectionTitle3Ind"/>
      </w:pPr>
      <w:r>
        <w:t>Treatment in consolidated financial statements</w:t>
      </w:r>
    </w:p>
    <w:p w:rsidR="000E6961" w:rsidRDefault="000E6961">
      <w:pPr>
        <w:pStyle w:val="IASBNormalnpara"/>
      </w:pPr>
      <w:r>
        <w:t>AG29</w:t>
      </w:r>
      <w:r>
        <w:tab/>
        <w:t>In consolidated financial statements, an entity presents non-controlling interests—ie the interests of other parties in the equity and income of its subsidiaries—in accordance with</w:t>
      </w:r>
      <w:r w:rsidR="00B64056">
        <w:t xml:space="preserve"> AASB 101</w:t>
      </w:r>
      <w:r>
        <w:t xml:space="preserve"> and</w:t>
      </w:r>
      <w:r w:rsidR="00B64056">
        <w:t xml:space="preserve"> AASB 10</w:t>
      </w:r>
      <w:r>
        <w:t>. When classifying a financial instrument (or a component of it) in consolidated financial statements, an entity considers all terms and conditions agreed between members of the group and the holders of the instrument in determining whether the group as a whole has an obligation to deliver cash or another financial asset in respect of the instrument or to settle it in a manner that results in liability classification. When a subsidiary in a group issues a financial instrument and a parent or other group entity agrees additional terms directly with the holders of the instrument (eg a guarantee), the group may not have discretion over distributions or redemption. Although the subsidiary may appropriately classify the instrument without regard to these additional terms in its individual financial statements, the effect of other agreements between members of the group and the holders of the instrument is considered in order to ensure that consolidated financial statements reflect the contracts and transactions entered into by the group as a whole. To the extent that there is such an obligation or settlement provision, the instrument (or the component of it that is subject to the obligation) is classified as a financial liability in consolidated financial statements.</w:t>
      </w:r>
    </w:p>
    <w:p w:rsidR="000E6961" w:rsidRDefault="000E6961">
      <w:pPr>
        <w:pStyle w:val="IASBNormalnpara"/>
      </w:pPr>
      <w:r>
        <w:t>AG29A</w:t>
      </w:r>
      <w:r>
        <w:tab/>
        <w:t>Some types of instruments that impose a contractual obligation on the entity are classified as equity instruments in accordance with paragraphs 16A and 16B or paragraphs 16C and 16D. Classification in accordance with those paragraphs is an exception to the principles otherwise applied in this Standard to the classification of an instrument. This exception is not extended to the classification of non-controlling interests in the consolidated financial statements. Therefore, instruments classified as equity instruments in accordance with either paragraphs 16A and 16B or paragraphs 16C and 16D in the separate or individual financial statements that are non-controlling interests are classified as liabilities in the consolidated financial statements of the group.</w:t>
      </w:r>
    </w:p>
    <w:p w:rsidR="000E6961" w:rsidRDefault="000E6961">
      <w:pPr>
        <w:pStyle w:val="IASBSectionTitle2Ind"/>
      </w:pPr>
      <w:r>
        <w:t>Compound financial instruments (paragraphs 28–32)</w:t>
      </w:r>
    </w:p>
    <w:p w:rsidR="000E6961" w:rsidRDefault="000E6961">
      <w:pPr>
        <w:pStyle w:val="IASBNormalnpara"/>
      </w:pPr>
      <w:r>
        <w:t>AG30</w:t>
      </w:r>
      <w:r>
        <w:tab/>
        <w:t>Paragraph 28 applies only to issuers of non-derivative compound financial instruments. Paragraph 28 does not deal with compound financial instruments from the perspective of holders.</w:t>
      </w:r>
      <w:r w:rsidR="00B64056">
        <w:t xml:space="preserve"> AASB 9</w:t>
      </w:r>
      <w:r>
        <w:t xml:space="preserve"> deals with the classification and measurement of financial assets that are compound financial instruments from the holder’s perspective.</w:t>
      </w:r>
    </w:p>
    <w:p w:rsidR="000E6961" w:rsidRDefault="000E6961">
      <w:pPr>
        <w:pStyle w:val="IASBNormalnpara"/>
      </w:pPr>
      <w:r>
        <w:t>AG31</w:t>
      </w:r>
      <w:r>
        <w:tab/>
        <w:t xml:space="preserve">A common form of compound financial instrument is a debt instrument with an embedded conversion option, such as a bond convertible into ordinary shares of the issuer, and without any other embedded derivative features. Paragraph 28 requires the issuer of such a financial instrument to present the liability component and the equity component separately in the statement of financial position, as follows: </w:t>
      </w:r>
    </w:p>
    <w:p w:rsidR="000E6961" w:rsidRDefault="000E6961">
      <w:pPr>
        <w:pStyle w:val="IASBNormalnparaL1"/>
      </w:pPr>
      <w:r>
        <w:t>(a)</w:t>
      </w:r>
      <w:r>
        <w:tab/>
        <w:t>The issuer’s obligation to make scheduled payments of interest and principal is a financial liability that exists as long as the instrument is not converted. On initial recognition, the fair value of the liability component is the present value of the contractually determined stream of future cash flows discounted at the rate of interest applied at that time by the market to instruments of comparable credit status and providing substantially the same cash flows, on the same terms, but without the conversion option.</w:t>
      </w:r>
    </w:p>
    <w:p w:rsidR="000E6961" w:rsidRDefault="000E6961">
      <w:pPr>
        <w:pStyle w:val="IASBNormalnparaL1"/>
      </w:pPr>
      <w:r>
        <w:t>(b)</w:t>
      </w:r>
      <w:r>
        <w:tab/>
        <w:t>The equity instrument is an embedded option to convert the liability into equity of the issuer. This option has value on initial recognition even when it is out of the money.</w:t>
      </w:r>
    </w:p>
    <w:p w:rsidR="000E6961" w:rsidRDefault="000E6961">
      <w:pPr>
        <w:pStyle w:val="IASBNormalnpara"/>
      </w:pPr>
      <w:r>
        <w:t>AG32</w:t>
      </w:r>
      <w:r>
        <w:tab/>
        <w:t>On conversion of a convertible instrument at maturity, the entity derecognises the liability component and recognises it as equity. The original equity component remains as equity (although it may be transferred from one line item within equity to another). There is no gain or loss on conversion at maturity.</w:t>
      </w:r>
    </w:p>
    <w:p w:rsidR="000E6961" w:rsidRDefault="000E6961">
      <w:pPr>
        <w:pStyle w:val="IASBNormalnpara"/>
      </w:pPr>
      <w:r>
        <w:t>AG33</w:t>
      </w:r>
      <w:r>
        <w:tab/>
        <w:t>When an entity extinguishes a convertible instrument before maturity through an early redemption or repurchase in which the original conversion privileges are unchanged, the entity allocates the consideration paid and any transaction costs for the repurchase or redemption to the liability and equity components of the instrument at the date of the transaction. The method used in allocating the consideration paid and transaction costs to the separate components is consistent with that used in the original allocation to the separate components of the proceeds received by the entity when the convertible instrument was issued, in accordance with paragraphs 28–32.</w:t>
      </w:r>
    </w:p>
    <w:p w:rsidR="000E6961" w:rsidRDefault="000E6961">
      <w:pPr>
        <w:pStyle w:val="IASBNormalnpara"/>
      </w:pPr>
      <w:r>
        <w:t>AG34</w:t>
      </w:r>
      <w:r>
        <w:tab/>
        <w:t xml:space="preserve">Once the allocation of the consideration is made, any resulting gain or loss is treated in accordance with accounting principles applicable to the related component, as follows: </w:t>
      </w:r>
    </w:p>
    <w:p w:rsidR="000E6961" w:rsidRDefault="000E6961">
      <w:pPr>
        <w:pStyle w:val="IASBNormalnparaL1"/>
      </w:pPr>
      <w:r>
        <w:t>(a)</w:t>
      </w:r>
      <w:r>
        <w:tab/>
        <w:t>the amount of gain or loss relating to the liability component is recognised in profit or loss; and</w:t>
      </w:r>
    </w:p>
    <w:p w:rsidR="000E6961" w:rsidRDefault="000E6961">
      <w:pPr>
        <w:pStyle w:val="IASBNormalnparaL1"/>
      </w:pPr>
      <w:r>
        <w:lastRenderedPageBreak/>
        <w:t>(b)</w:t>
      </w:r>
      <w:r>
        <w:tab/>
        <w:t>the amount of consideration relating to the equity component is recognised in equity.</w:t>
      </w:r>
    </w:p>
    <w:p w:rsidR="000E6961" w:rsidRDefault="000E6961">
      <w:pPr>
        <w:pStyle w:val="IASBNormalnpara"/>
      </w:pPr>
      <w:r>
        <w:t>AG35</w:t>
      </w:r>
      <w:r>
        <w:tab/>
        <w:t>An entity may amend the terms of a convertible instrument to induce early conversion, for example by offering a more favourable conversion ratio or paying other additional consideration in the event of conversion before a specified date. The difference, at the date the terms are amended, between the fair value of the consideration the holder receives on conversion of the instrument under the revised terms and the fair value of the consideration the holder would have received under the original terms is recognised as a loss in profit or loss.</w:t>
      </w:r>
    </w:p>
    <w:p w:rsidR="000E6961" w:rsidRDefault="000E6961">
      <w:pPr>
        <w:pStyle w:val="IASBSectionTitle2Ind"/>
      </w:pPr>
      <w:r>
        <w:t>Treasury shares (paragraphs 33 and 34)</w:t>
      </w:r>
    </w:p>
    <w:p w:rsidR="000E6961" w:rsidRDefault="000E6961">
      <w:pPr>
        <w:pStyle w:val="IASBNormalnpara"/>
      </w:pPr>
      <w:r>
        <w:t>AG36</w:t>
      </w:r>
      <w:r>
        <w:tab/>
        <w:t>An entity’s own equity instruments are not recognised as a financial asset regardless of the reason for which they are reacquired. Paragraph 33 requires an entity that reacquires its own equity instruments to deduct those equity instruments from equity. However, when an entity holds its own equity on behalf of others, eg a financial institution holding its own equity on behalf of a client, there is an agency relationship and as a result those holdings are not included in the entity’s statement of financial position.</w:t>
      </w:r>
    </w:p>
    <w:p w:rsidR="000E6961" w:rsidRDefault="000E6961">
      <w:pPr>
        <w:pStyle w:val="IASBSectionTitle2Ind"/>
      </w:pPr>
      <w:r>
        <w:t>Interest, dividends, losses and gains (paragraphs 35–41)</w:t>
      </w:r>
    </w:p>
    <w:p w:rsidR="000E6961" w:rsidRDefault="000E6961">
      <w:pPr>
        <w:pStyle w:val="IASBNormalnpara"/>
      </w:pPr>
      <w:r>
        <w:t>AG37</w:t>
      </w:r>
      <w:r>
        <w:tab/>
        <w:t>The following example illustrates the application of paragraph 35 to a compound financial instrument. Assume that a non-cumulative preference share is mandatorily redeemable for cash in five years, but that dividends are payable at the discretion of the entity before the redemption date. Such an instrument is a compound financial instrument, with the liability component being the present value of the redemption amount. The unwinding of the discount on this component is recognised in profit or loss and classified as interest expense. Any dividends paid relate to the equity component and, accordingly, are recognised as a distribution of profit or loss. A similar treatment would apply if the redemption was not mandatory but at the option of the holder, or if the share was mandatorily convertible into a variable number of ordinary shares calculated to equal a fixed amount or an amount based on changes in an underlying variable (eg commodity). However, if any unpaid dividends are added to the redemption amount, the entire instrument is a liability. In such a case, any dividends are classified as interest expense.</w:t>
      </w:r>
    </w:p>
    <w:p w:rsidR="000E6961" w:rsidRDefault="000E6961">
      <w:pPr>
        <w:pStyle w:val="IASBSectionTitle2Ind"/>
      </w:pPr>
      <w:r>
        <w:t>Offsetting a financial asset and a financial liability</w:t>
      </w:r>
      <w:r>
        <w:br/>
        <w:t>(paragraphs 42–50)</w:t>
      </w:r>
    </w:p>
    <w:p w:rsidR="000E6961" w:rsidRDefault="000E6961">
      <w:pPr>
        <w:pStyle w:val="IASBNormalnpara"/>
      </w:pPr>
      <w:r>
        <w:t>AG38</w:t>
      </w:r>
      <w:r>
        <w:tab/>
        <w:t>[Deleted]</w:t>
      </w:r>
    </w:p>
    <w:p w:rsidR="000E6961" w:rsidRDefault="000E6961">
      <w:pPr>
        <w:pStyle w:val="IASBSectionTitle3Ind"/>
      </w:pPr>
      <w:r>
        <w:t>Criterion that an entity ‘currently has a legally enforceable right to set off the recognised amounts’ (paragraph 42(a))</w:t>
      </w:r>
    </w:p>
    <w:p w:rsidR="000E6961" w:rsidRDefault="000E6961">
      <w:pPr>
        <w:pStyle w:val="IASBNormalnpara"/>
      </w:pPr>
      <w:r>
        <w:t>AG38A</w:t>
      </w:r>
      <w:r>
        <w:tab/>
        <w:t>A right of set off may be currently available or it may be contingent on a future event (for example, the right may be triggered or exercisable only on the occurrence of some future event, such as the default, insolvency or bankruptcy of one of the counterparties). Even if the right of set off is not contingent on a future event, it may only be legally enforceable in the normal course of business, or in the event of default, or in the event of insolvency or bankruptcy, of one or all of the counterparties.</w:t>
      </w:r>
    </w:p>
    <w:p w:rsidR="000E6961" w:rsidRDefault="000E6961">
      <w:pPr>
        <w:pStyle w:val="IASBNormalnpara"/>
      </w:pPr>
      <w:r>
        <w:t>AG38B</w:t>
      </w:r>
      <w:r>
        <w:tab/>
        <w:t>To meet the criterion in paragraph 42(a), an entity must currently have a legally enforceable right of set-off. This means that the right of set-off:</w:t>
      </w:r>
    </w:p>
    <w:p w:rsidR="000E6961" w:rsidRDefault="000E6961">
      <w:pPr>
        <w:pStyle w:val="IASBNormalnparaL1"/>
      </w:pPr>
      <w:r>
        <w:t>(a)</w:t>
      </w:r>
      <w:r>
        <w:tab/>
        <w:t>must not be contingent on a future event; and</w:t>
      </w:r>
    </w:p>
    <w:p w:rsidR="000E6961" w:rsidRDefault="000E6961">
      <w:pPr>
        <w:pStyle w:val="IASBNormalnparaL1"/>
      </w:pPr>
      <w:r>
        <w:t>(b)</w:t>
      </w:r>
      <w:r>
        <w:tab/>
        <w:t>must be legally enforceable in all of the following circumstances:</w:t>
      </w:r>
    </w:p>
    <w:p w:rsidR="000E6961" w:rsidRDefault="000E6961">
      <w:pPr>
        <w:pStyle w:val="IASBNormalnparaL2"/>
      </w:pPr>
      <w:r>
        <w:t>(i)</w:t>
      </w:r>
      <w:r>
        <w:tab/>
        <w:t>the normal course of business;</w:t>
      </w:r>
    </w:p>
    <w:p w:rsidR="000E6961" w:rsidRDefault="000E6961">
      <w:pPr>
        <w:pStyle w:val="IASBNormalnparaL2"/>
      </w:pPr>
      <w:r>
        <w:t>(ii)</w:t>
      </w:r>
      <w:r>
        <w:tab/>
        <w:t>the event of default; and</w:t>
      </w:r>
    </w:p>
    <w:p w:rsidR="000E6961" w:rsidRDefault="000E6961">
      <w:pPr>
        <w:pStyle w:val="IASBNormalnparaL2"/>
      </w:pPr>
      <w:r>
        <w:t>(iii)</w:t>
      </w:r>
      <w:r>
        <w:tab/>
        <w:t>the event of insolvency or bankruptcy</w:t>
      </w:r>
    </w:p>
    <w:p w:rsidR="000E6961" w:rsidRDefault="000E6961">
      <w:pPr>
        <w:pStyle w:val="IASBNormalnparaL1P"/>
      </w:pPr>
      <w:r>
        <w:t>of the entity and all of the counterparties.</w:t>
      </w:r>
    </w:p>
    <w:p w:rsidR="000E6961" w:rsidRDefault="000E6961">
      <w:pPr>
        <w:pStyle w:val="IASBNormalnpara"/>
      </w:pPr>
      <w:r>
        <w:t>AG38C</w:t>
      </w:r>
      <w:r>
        <w:tab/>
        <w:t xml:space="preserve">The nature and extent of the right of set-off, including any conditions attached to its exercise and whether it would remain in the event of default or insolvency or bankruptcy, may vary from one legal jurisdiction to another. Consequently, it cannot be assumed that the right of set-off is automatically available outside of the normal course of business. For example, the bankruptcy or insolvency laws of a jurisdiction may prohibit, or restrict, the right of set-off in the event of bankruptcy or insolvency in some circumstances. </w:t>
      </w:r>
    </w:p>
    <w:p w:rsidR="000E6961" w:rsidRDefault="000E6961">
      <w:pPr>
        <w:pStyle w:val="IASBNormalnpara"/>
      </w:pPr>
      <w:r>
        <w:lastRenderedPageBreak/>
        <w:t>AG38D</w:t>
      </w:r>
      <w:r>
        <w:tab/>
        <w:t>The laws applicable to the relationships between the parties (for example, contractual provisions, the laws governing the contract, or the default, insolvency or bankruptcy laws applicable to the parties) need to be considered to ascertain whether the right of set-off is enforceable in the normal course of business, in an event of default, and in the event of insolvency or bankruptcy, of the entity and all of the counterparties (as specified in paragraph AG38B(b)).</w:t>
      </w:r>
    </w:p>
    <w:p w:rsidR="000E6961" w:rsidRDefault="000E6961">
      <w:pPr>
        <w:pStyle w:val="IASBSectionTitle3Ind"/>
      </w:pPr>
      <w:r>
        <w:t>Criterion that an entity ‘intends either to settle on a net basis, or to realise the asset and settle the liability simultaneously’ (paragraph 42(b))</w:t>
      </w:r>
    </w:p>
    <w:p w:rsidR="000E6961" w:rsidRDefault="000E6961">
      <w:pPr>
        <w:pStyle w:val="IASBNormalnpara"/>
      </w:pPr>
      <w:r>
        <w:t>AG38E</w:t>
      </w:r>
      <w:r>
        <w:tab/>
        <w:t>To meet the criterion in paragraph 42(b) an entity must intend either to settle on a net basis or to realise the asset and settle the liability simultaneously. Although the entity may have a right to settle net, it may still realise the asset and settle the liability separately.</w:t>
      </w:r>
    </w:p>
    <w:p w:rsidR="000E6961" w:rsidRDefault="000E6961">
      <w:pPr>
        <w:pStyle w:val="IASBNormalnpara"/>
      </w:pPr>
      <w:r>
        <w:t>AG38F</w:t>
      </w:r>
      <w:r>
        <w:tab/>
        <w:t>If an entity can settle amounts in a manner such that the outcome is, in effect, equivalent to net settlement, the entity will meet the net settlement criterion in paragraph 42(b). This will occur if, and only if, the gross settlement mechanism has features that eliminate or result in insignificant credit and liquidity risk, and that will process receivables and payables in a single settlement process or cycle. For example, a gross settlement system that has all of the following characteristics would meet the net settlement criterion in paragraph 42(b):</w:t>
      </w:r>
    </w:p>
    <w:p w:rsidR="000E6961" w:rsidRDefault="000E6961">
      <w:pPr>
        <w:pStyle w:val="IASBNormalnparaL1"/>
      </w:pPr>
      <w:r>
        <w:t>(a)</w:t>
      </w:r>
      <w:r>
        <w:tab/>
        <w:t>financial assets and financial liabilities eligible for set-off are submitted at the same point in time for processing;</w:t>
      </w:r>
    </w:p>
    <w:p w:rsidR="000E6961" w:rsidRDefault="000E6961">
      <w:pPr>
        <w:pStyle w:val="IASBNormalnparaL1"/>
      </w:pPr>
      <w:r>
        <w:t>(b)</w:t>
      </w:r>
      <w:r>
        <w:tab/>
        <w:t>once the financial assets and financial liabilities are submitted for processing, the parties are committed to fulfil the settlement obligation;</w:t>
      </w:r>
    </w:p>
    <w:p w:rsidR="000E6961" w:rsidRDefault="000E6961">
      <w:pPr>
        <w:pStyle w:val="IASBNormalnparaL1"/>
      </w:pPr>
      <w:r>
        <w:t>(c)</w:t>
      </w:r>
      <w:r>
        <w:tab/>
        <w:t>there is no potential for the cash flows arising from the assets and liabilities to change once they have been submitted for processing (unless the processing fails—see (d) below);</w:t>
      </w:r>
    </w:p>
    <w:p w:rsidR="000E6961" w:rsidRDefault="000E6961">
      <w:pPr>
        <w:pStyle w:val="IASBNormalnparaL1"/>
      </w:pPr>
      <w:r>
        <w:t>(d)</w:t>
      </w:r>
      <w:r>
        <w:tab/>
        <w:t>assets and liabilities that are collateralised with securities will be settled on a securities transfer or similar system (for example, delivery versus payment), so that if the transfer of securities fails, the processing of the related receivable or payable for which the securities are collateral will also fail (and vice versa);</w:t>
      </w:r>
    </w:p>
    <w:p w:rsidR="000E6961" w:rsidRDefault="000E6961">
      <w:pPr>
        <w:pStyle w:val="IASBNormalnparaL1"/>
      </w:pPr>
      <w:r>
        <w:t>(e)</w:t>
      </w:r>
      <w:r>
        <w:tab/>
        <w:t>any transactions that fail, as outlined in (d), will be re-entered for processing until they are settled;</w:t>
      </w:r>
    </w:p>
    <w:p w:rsidR="000E6961" w:rsidRDefault="000E6961">
      <w:pPr>
        <w:pStyle w:val="IASBNormalnparaL1"/>
      </w:pPr>
      <w:r>
        <w:t>(f)</w:t>
      </w:r>
      <w:r>
        <w:tab/>
        <w:t>settlement is carried out through the same settlement institution (for example, a settlement bank, a central bank or a central securities depository); and</w:t>
      </w:r>
    </w:p>
    <w:p w:rsidR="000E6961" w:rsidRDefault="000E6961">
      <w:pPr>
        <w:pStyle w:val="IASBNormalnparaL1"/>
      </w:pPr>
      <w:r>
        <w:t>(g)</w:t>
      </w:r>
      <w:r>
        <w:tab/>
        <w:t>an intraday credit facility is in place that will provide sufficient overdraft amounts to enable the processing of payments at the settlement date for each of the parties, and it is virtually certain that the intraday credit facility will be honoured if called upon.</w:t>
      </w:r>
    </w:p>
    <w:p w:rsidR="000E6961" w:rsidRDefault="000E6961">
      <w:pPr>
        <w:pStyle w:val="IASBNormalnpara"/>
      </w:pPr>
      <w:r>
        <w:t>AG39</w:t>
      </w:r>
      <w:r>
        <w:tab/>
        <w:t>The Standard does not provide special treatment for so-called ‘synthetic instruments’, which are groups of separate financial instruments acquired and held to emulate the characteristics of another instrument. For example, a floating rate long-term debt combined with an interest rate swap that involves receiving floating payments and making fixed payments synthesises a fixed rate long-term debt. Each of the individual financial instruments that together constitute a ‘synthetic instrument’ represents a contractual right or obligation with its own terms and conditions and each may be transferred or settled separately. Each financial instrument is exposed to risks that may differ from the risks to which other financial instruments are exposed. Accordingly, when one financial instrument in a ‘synthetic instrument’ is an asset and another is a liability, they are not offset and presented in an entity’s statement of financial position on a net basis unless they meet the criteria for offsetting in paragraph 42.</w:t>
      </w:r>
    </w:p>
    <w:p w:rsidR="000E6961" w:rsidRDefault="000E6961">
      <w:pPr>
        <w:pStyle w:val="IASBNormalnpara"/>
      </w:pPr>
      <w:r>
        <w:t>AG40</w:t>
      </w:r>
      <w:r>
        <w:tab/>
        <w:t>[Deleted]</w:t>
      </w:r>
    </w:p>
    <w:p w:rsidR="00334CB0" w:rsidRDefault="00334CB0">
      <w:pPr>
        <w:pStyle w:val="IASBNormalnpara"/>
      </w:pPr>
    </w:p>
    <w:p w:rsidR="00E35C67" w:rsidRDefault="00E35C67" w:rsidP="00E35C67">
      <w:pPr>
        <w:widowControl w:val="0"/>
        <w:autoSpaceDE w:val="0"/>
        <w:autoSpaceDN w:val="0"/>
        <w:adjustRightInd w:val="0"/>
        <w:rPr>
          <w:lang w:eastAsia="en-GB"/>
        </w:rPr>
        <w:sectPr w:rsidR="00E35C67" w:rsidSect="00CB11AC">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rsidR="00E35C67" w:rsidRDefault="00132E77" w:rsidP="00132E77">
      <w:pPr>
        <w:pStyle w:val="ConvSectionTitle"/>
      </w:pPr>
      <w:r>
        <w:lastRenderedPageBreak/>
        <w:t xml:space="preserve">Illustrative </w:t>
      </w:r>
      <w:r w:rsidR="00631F33">
        <w:t>examples</w:t>
      </w:r>
    </w:p>
    <w:tbl>
      <w:tblPr>
        <w:tblW w:w="9394" w:type="dxa"/>
        <w:tblLayout w:type="fixed"/>
        <w:tblLook w:val="0000" w:firstRow="0" w:lastRow="0" w:firstColumn="0" w:lastColumn="0" w:noHBand="0" w:noVBand="0"/>
        <w:tblCaption w:val="AASB 132 Table 1"/>
      </w:tblPr>
      <w:tblGrid>
        <w:gridCol w:w="236"/>
        <w:gridCol w:w="7225"/>
        <w:gridCol w:w="1697"/>
        <w:gridCol w:w="236"/>
      </w:tblGrid>
      <w:tr w:rsidR="00E35C67" w:rsidTr="002C41A7">
        <w:trPr>
          <w:cantSplit/>
        </w:trPr>
        <w:tc>
          <w:tcPr>
            <w:tcW w:w="7461" w:type="dxa"/>
            <w:gridSpan w:val="2"/>
            <w:vAlign w:val="bottom"/>
          </w:tcPr>
          <w:p w:rsidR="00E35C67" w:rsidRPr="00720FE7" w:rsidRDefault="00E35C67" w:rsidP="002C41A7">
            <w:pPr>
              <w:pStyle w:val="IASBTableBoldArial"/>
              <w:ind w:firstLine="284"/>
              <w:rPr>
                <w:b w:val="0"/>
                <w:sz w:val="22"/>
              </w:rPr>
            </w:pPr>
            <w:r w:rsidRPr="00720FE7">
              <w:rPr>
                <w:b w:val="0"/>
                <w:smallCaps/>
                <w:sz w:val="22"/>
              </w:rPr>
              <w:t>Contents</w:t>
            </w:r>
          </w:p>
        </w:tc>
        <w:tc>
          <w:tcPr>
            <w:tcW w:w="1697" w:type="dxa"/>
            <w:tcBorders>
              <w:left w:val="nil"/>
            </w:tcBorders>
            <w:vAlign w:val="bottom"/>
          </w:tcPr>
          <w:p w:rsidR="00E35C67" w:rsidRDefault="00E35C67" w:rsidP="002C41A7">
            <w:pPr>
              <w:pStyle w:val="IASBTableArial"/>
            </w:pPr>
          </w:p>
        </w:tc>
        <w:tc>
          <w:tcPr>
            <w:tcW w:w="236" w:type="dxa"/>
            <w:tcBorders>
              <w:left w:val="nil"/>
            </w:tcBorders>
            <w:vAlign w:val="bottom"/>
          </w:tcPr>
          <w:p w:rsidR="00E35C67" w:rsidRDefault="00E35C67" w:rsidP="002C41A7">
            <w:pPr>
              <w:pStyle w:val="IASBTableBoldArial"/>
            </w:pPr>
          </w:p>
        </w:tc>
      </w:tr>
      <w:tr w:rsidR="00E35C67" w:rsidTr="002C41A7">
        <w:trPr>
          <w:cantSplit/>
        </w:trPr>
        <w:tc>
          <w:tcPr>
            <w:tcW w:w="7461" w:type="dxa"/>
            <w:gridSpan w:val="2"/>
            <w:vAlign w:val="bottom"/>
          </w:tcPr>
          <w:p w:rsidR="00E35C67" w:rsidRPr="00720FE7" w:rsidRDefault="00E35C67" w:rsidP="002C41A7">
            <w:pPr>
              <w:pStyle w:val="IASBTableBoldArial"/>
              <w:ind w:firstLine="284"/>
              <w:rPr>
                <w:b w:val="0"/>
                <w:smallCaps/>
                <w:sz w:val="22"/>
              </w:rPr>
            </w:pPr>
          </w:p>
        </w:tc>
        <w:tc>
          <w:tcPr>
            <w:tcW w:w="1697" w:type="dxa"/>
            <w:tcBorders>
              <w:left w:val="nil"/>
            </w:tcBorders>
            <w:vAlign w:val="bottom"/>
          </w:tcPr>
          <w:p w:rsidR="00E35C67" w:rsidRDefault="00E35C67" w:rsidP="002C41A7">
            <w:pPr>
              <w:pStyle w:val="IASBTableArial"/>
              <w:jc w:val="right"/>
            </w:pPr>
            <w:r>
              <w:rPr>
                <w:i/>
              </w:rPr>
              <w:t>from paragraph</w:t>
            </w:r>
          </w:p>
        </w:tc>
        <w:tc>
          <w:tcPr>
            <w:tcW w:w="236" w:type="dxa"/>
            <w:tcBorders>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ACCOUNTING FOR CONTRACTS ON EQUITY INSTRUMENTS OF AN ENTITY</w:t>
            </w:r>
          </w:p>
        </w:tc>
        <w:tc>
          <w:tcPr>
            <w:tcW w:w="1697" w:type="dxa"/>
            <w:tcBorders>
              <w:top w:val="nil"/>
              <w:left w:val="nil"/>
            </w:tcBorders>
            <w:vAlign w:val="bottom"/>
          </w:tcPr>
          <w:p w:rsidR="00E35C67" w:rsidRDefault="00E35C67" w:rsidP="002C41A7">
            <w:pPr>
              <w:pStyle w:val="IASBTableBoldArial"/>
              <w:jc w:val="right"/>
            </w:pPr>
            <w:r>
              <w:t>IE1</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1: Forward to buy shares</w:t>
            </w:r>
          </w:p>
        </w:tc>
        <w:tc>
          <w:tcPr>
            <w:tcW w:w="1697" w:type="dxa"/>
            <w:tcBorders>
              <w:top w:val="nil"/>
              <w:left w:val="nil"/>
            </w:tcBorders>
            <w:vAlign w:val="bottom"/>
          </w:tcPr>
          <w:p w:rsidR="00E35C67" w:rsidRDefault="00E35C67" w:rsidP="002C41A7">
            <w:pPr>
              <w:pStyle w:val="IASBTableBoldArial"/>
              <w:jc w:val="right"/>
            </w:pPr>
            <w:r>
              <w:t>IE2</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2: Forward to sell shares</w:t>
            </w:r>
          </w:p>
        </w:tc>
        <w:tc>
          <w:tcPr>
            <w:tcW w:w="1697" w:type="dxa"/>
            <w:tcBorders>
              <w:top w:val="nil"/>
              <w:left w:val="nil"/>
            </w:tcBorders>
            <w:vAlign w:val="bottom"/>
          </w:tcPr>
          <w:p w:rsidR="00E35C67" w:rsidRDefault="00E35C67" w:rsidP="002C41A7">
            <w:pPr>
              <w:pStyle w:val="IASBTableBoldArial"/>
              <w:jc w:val="right"/>
            </w:pPr>
            <w:r>
              <w:t>IE7</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3: Purchased call option on shares</w:t>
            </w:r>
          </w:p>
        </w:tc>
        <w:tc>
          <w:tcPr>
            <w:tcW w:w="1697" w:type="dxa"/>
            <w:tcBorders>
              <w:top w:val="nil"/>
              <w:left w:val="nil"/>
            </w:tcBorders>
            <w:vAlign w:val="bottom"/>
          </w:tcPr>
          <w:p w:rsidR="00E35C67" w:rsidRDefault="00E35C67" w:rsidP="002C41A7">
            <w:pPr>
              <w:pStyle w:val="IASBTableBoldArial"/>
              <w:jc w:val="right"/>
            </w:pPr>
            <w:r>
              <w:t>IE12</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4: Written call option on shares</w:t>
            </w:r>
          </w:p>
        </w:tc>
        <w:tc>
          <w:tcPr>
            <w:tcW w:w="1697" w:type="dxa"/>
            <w:tcBorders>
              <w:top w:val="nil"/>
              <w:left w:val="nil"/>
            </w:tcBorders>
            <w:vAlign w:val="bottom"/>
          </w:tcPr>
          <w:p w:rsidR="00E35C67" w:rsidRDefault="00E35C67" w:rsidP="002C41A7">
            <w:pPr>
              <w:pStyle w:val="IASBTableBoldArial"/>
              <w:jc w:val="right"/>
            </w:pPr>
            <w:r>
              <w:t>IE17</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5: Purchased put option on shares</w:t>
            </w:r>
          </w:p>
        </w:tc>
        <w:tc>
          <w:tcPr>
            <w:tcW w:w="1697" w:type="dxa"/>
            <w:tcBorders>
              <w:top w:val="nil"/>
              <w:left w:val="nil"/>
            </w:tcBorders>
            <w:vAlign w:val="bottom"/>
          </w:tcPr>
          <w:p w:rsidR="00E35C67" w:rsidRDefault="00E35C67" w:rsidP="002C41A7">
            <w:pPr>
              <w:pStyle w:val="IASBTableBoldArial"/>
              <w:jc w:val="right"/>
            </w:pPr>
            <w:r>
              <w:t>IE22</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6: Written put option on shares</w:t>
            </w:r>
          </w:p>
        </w:tc>
        <w:tc>
          <w:tcPr>
            <w:tcW w:w="1697" w:type="dxa"/>
            <w:tcBorders>
              <w:top w:val="nil"/>
              <w:left w:val="nil"/>
            </w:tcBorders>
            <w:vAlign w:val="bottom"/>
          </w:tcPr>
          <w:p w:rsidR="00E35C67" w:rsidRDefault="00E35C67" w:rsidP="002C41A7">
            <w:pPr>
              <w:pStyle w:val="IASBTableBoldArial"/>
              <w:jc w:val="right"/>
            </w:pPr>
            <w:r>
              <w:t>IE27</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ENTITIES SUCH AS MUTUAL FUNDS AND CO-OPERATIVES WHOSE SHARE CAPITAL IS NOT EQUITY AS DEFINED IN</w:t>
            </w:r>
            <w:r w:rsidR="00B64056">
              <w:t xml:space="preserve"> AASB 132</w:t>
            </w:r>
          </w:p>
        </w:tc>
        <w:tc>
          <w:tcPr>
            <w:tcW w:w="1697" w:type="dxa"/>
            <w:tcBorders>
              <w:top w:val="nil"/>
              <w:left w:val="nil"/>
            </w:tcBorders>
            <w:vAlign w:val="bottom"/>
          </w:tcPr>
          <w:p w:rsidR="00E35C67" w:rsidRDefault="00E35C67" w:rsidP="002C41A7">
            <w:pPr>
              <w:pStyle w:val="IASBTableBoldArial"/>
              <w:jc w:val="right"/>
            </w:pPr>
            <w:r>
              <w:t>IE32</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7: Entities with no equity</w:t>
            </w:r>
          </w:p>
        </w:tc>
        <w:tc>
          <w:tcPr>
            <w:tcW w:w="1697" w:type="dxa"/>
            <w:tcBorders>
              <w:top w:val="nil"/>
              <w:left w:val="nil"/>
            </w:tcBorders>
            <w:vAlign w:val="bottom"/>
          </w:tcPr>
          <w:p w:rsidR="00E35C67" w:rsidRDefault="00E35C67" w:rsidP="002C41A7">
            <w:pPr>
              <w:pStyle w:val="IASBTableBoldArial"/>
              <w:jc w:val="right"/>
            </w:pPr>
            <w:r>
              <w:t>IE32</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8: Entities with some equity</w:t>
            </w:r>
          </w:p>
        </w:tc>
        <w:tc>
          <w:tcPr>
            <w:tcW w:w="1697" w:type="dxa"/>
            <w:tcBorders>
              <w:top w:val="nil"/>
              <w:left w:val="nil"/>
            </w:tcBorders>
            <w:vAlign w:val="bottom"/>
          </w:tcPr>
          <w:p w:rsidR="00E35C67" w:rsidRDefault="00E35C67" w:rsidP="002C41A7">
            <w:pPr>
              <w:pStyle w:val="IASBTableBoldArial"/>
              <w:jc w:val="right"/>
            </w:pPr>
            <w:r>
              <w:t>IE33</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ACCOUNTING FOR COMPOUND FINANCIAL INSTRUMENTS</w:t>
            </w:r>
          </w:p>
        </w:tc>
        <w:tc>
          <w:tcPr>
            <w:tcW w:w="1697" w:type="dxa"/>
            <w:tcBorders>
              <w:top w:val="nil"/>
              <w:left w:val="nil"/>
            </w:tcBorders>
            <w:vAlign w:val="bottom"/>
          </w:tcPr>
          <w:p w:rsidR="00E35C67" w:rsidRDefault="00E35C67" w:rsidP="002C41A7">
            <w:pPr>
              <w:pStyle w:val="IASBTableBoldArial"/>
              <w:jc w:val="right"/>
            </w:pPr>
            <w:r>
              <w:t>IE34</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9: Separation of a compound financial instrument on initial recognition</w:t>
            </w:r>
          </w:p>
        </w:tc>
        <w:tc>
          <w:tcPr>
            <w:tcW w:w="1697" w:type="dxa"/>
            <w:tcBorders>
              <w:top w:val="nil"/>
              <w:left w:val="nil"/>
            </w:tcBorders>
            <w:vAlign w:val="bottom"/>
          </w:tcPr>
          <w:p w:rsidR="00E35C67" w:rsidRDefault="00E35C67" w:rsidP="002C41A7">
            <w:pPr>
              <w:pStyle w:val="IASBTableBoldArial"/>
              <w:jc w:val="right"/>
            </w:pPr>
            <w:r>
              <w:t>IE34</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10: Separation of a compound financial instrument with multiple embedded derivative features</w:t>
            </w:r>
          </w:p>
        </w:tc>
        <w:tc>
          <w:tcPr>
            <w:tcW w:w="1697" w:type="dxa"/>
            <w:tcBorders>
              <w:top w:val="nil"/>
              <w:left w:val="nil"/>
            </w:tcBorders>
            <w:vAlign w:val="bottom"/>
          </w:tcPr>
          <w:p w:rsidR="00E35C67" w:rsidRDefault="00E35C67" w:rsidP="002C41A7">
            <w:pPr>
              <w:pStyle w:val="IASBTableBoldArial"/>
              <w:jc w:val="right"/>
            </w:pPr>
            <w:r>
              <w:t>IE37</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11: Repurchase of a convertible instrument</w:t>
            </w:r>
          </w:p>
        </w:tc>
        <w:tc>
          <w:tcPr>
            <w:tcW w:w="1697" w:type="dxa"/>
            <w:tcBorders>
              <w:top w:val="nil"/>
              <w:left w:val="nil"/>
            </w:tcBorders>
            <w:vAlign w:val="bottom"/>
          </w:tcPr>
          <w:p w:rsidR="00E35C67" w:rsidRDefault="00E35C67" w:rsidP="002C41A7">
            <w:pPr>
              <w:pStyle w:val="IASBTableBoldArial"/>
              <w:jc w:val="right"/>
            </w:pPr>
            <w:r>
              <w:t>IE39</w:t>
            </w:r>
          </w:p>
        </w:tc>
        <w:tc>
          <w:tcPr>
            <w:tcW w:w="236" w:type="dxa"/>
            <w:tcBorders>
              <w:top w:val="nil"/>
              <w:left w:val="nil"/>
            </w:tcBorders>
            <w:vAlign w:val="bottom"/>
          </w:tcPr>
          <w:p w:rsidR="00E35C67" w:rsidRDefault="00E35C67" w:rsidP="002C41A7">
            <w:pPr>
              <w:pStyle w:val="IASBTableBoldArial"/>
            </w:pPr>
          </w:p>
        </w:tc>
      </w:tr>
      <w:tr w:rsidR="00E35C67" w:rsidTr="002C41A7">
        <w:trPr>
          <w:cantSplit/>
        </w:trPr>
        <w:tc>
          <w:tcPr>
            <w:tcW w:w="236" w:type="dxa"/>
            <w:tcBorders>
              <w:top w:val="nil"/>
            </w:tcBorders>
            <w:vAlign w:val="bottom"/>
          </w:tcPr>
          <w:p w:rsidR="00E35C67" w:rsidRDefault="00E35C67" w:rsidP="002C41A7">
            <w:pPr>
              <w:pStyle w:val="IASBTableBoldArial"/>
            </w:pPr>
          </w:p>
        </w:tc>
        <w:tc>
          <w:tcPr>
            <w:tcW w:w="7225" w:type="dxa"/>
            <w:tcBorders>
              <w:top w:val="nil"/>
              <w:left w:val="nil"/>
            </w:tcBorders>
            <w:vAlign w:val="bottom"/>
          </w:tcPr>
          <w:p w:rsidR="00E35C67" w:rsidRDefault="00E35C67" w:rsidP="002C41A7">
            <w:pPr>
              <w:pStyle w:val="IASBTableBoldArial"/>
            </w:pPr>
            <w:r>
              <w:t>Example 12: Amendment of the terms of a convertible instrument to induce early conversion</w:t>
            </w:r>
          </w:p>
        </w:tc>
        <w:tc>
          <w:tcPr>
            <w:tcW w:w="1697" w:type="dxa"/>
            <w:tcBorders>
              <w:top w:val="nil"/>
              <w:left w:val="nil"/>
            </w:tcBorders>
            <w:vAlign w:val="bottom"/>
          </w:tcPr>
          <w:p w:rsidR="00E35C67" w:rsidRDefault="00E35C67" w:rsidP="002C41A7">
            <w:pPr>
              <w:pStyle w:val="IASBTableBoldArial"/>
              <w:jc w:val="right"/>
            </w:pPr>
            <w:r>
              <w:t>IE47</w:t>
            </w:r>
          </w:p>
        </w:tc>
        <w:tc>
          <w:tcPr>
            <w:tcW w:w="236" w:type="dxa"/>
            <w:tcBorders>
              <w:top w:val="nil"/>
              <w:left w:val="nil"/>
            </w:tcBorders>
            <w:vAlign w:val="bottom"/>
          </w:tcPr>
          <w:p w:rsidR="00E35C67" w:rsidRDefault="00E35C67" w:rsidP="002C41A7">
            <w:pPr>
              <w:pStyle w:val="IASBTableBoldArial"/>
            </w:pPr>
          </w:p>
        </w:tc>
      </w:tr>
    </w:tbl>
    <w:p w:rsidR="00E35C67" w:rsidRDefault="00E35C67" w:rsidP="00E35C67">
      <w:pPr>
        <w:pStyle w:val="IASBNormalnpara"/>
      </w:pPr>
    </w:p>
    <w:p w:rsidR="00E35C67" w:rsidRDefault="00E35C67" w:rsidP="00292183">
      <w:pPr>
        <w:pStyle w:val="ConvSectionTitle"/>
      </w:pPr>
      <w:r>
        <w:br w:type="page"/>
      </w:r>
      <w:r>
        <w:lastRenderedPageBreak/>
        <w:t>Illustrative examples</w:t>
      </w:r>
    </w:p>
    <w:p w:rsidR="00E35C67" w:rsidRDefault="00E35C67" w:rsidP="00E35C67">
      <w:pPr>
        <w:pStyle w:val="IASBNote"/>
      </w:pPr>
      <w:r>
        <w:t>These examples accompany, but are not part of,</w:t>
      </w:r>
      <w:r w:rsidR="00B64056">
        <w:t xml:space="preserve"> AASB 132</w:t>
      </w:r>
      <w:r>
        <w:t>.</w:t>
      </w:r>
    </w:p>
    <w:p w:rsidR="00E35C67" w:rsidRDefault="00E35C67" w:rsidP="00E35C67">
      <w:pPr>
        <w:pStyle w:val="IASBSectionTitle1NonInd"/>
      </w:pPr>
      <w:r>
        <w:t>Accounting for contracts on equity instruments of an entity</w:t>
      </w:r>
    </w:p>
    <w:p w:rsidR="00E35C67" w:rsidRDefault="00E35C67" w:rsidP="00E35C67">
      <w:pPr>
        <w:pStyle w:val="IASBNormalnpara"/>
      </w:pPr>
      <w:r>
        <w:t>IE1</w:t>
      </w:r>
      <w:r>
        <w:tab/>
        <w:t>The following examples</w:t>
      </w:r>
      <w:r w:rsidRPr="00CC3E19">
        <w:rPr>
          <w:rStyle w:val="FootnoteReference"/>
        </w:rPr>
        <w:footnoteReference w:id="4"/>
      </w:r>
      <w:r>
        <w:t xml:space="preserve">  illustrate the application of paragraphs 15–27 and</w:t>
      </w:r>
      <w:r w:rsidR="00B64056">
        <w:t xml:space="preserve"> AASB 9</w:t>
      </w:r>
      <w:r>
        <w:t xml:space="preserve"> to the accounting for contracts on an entity’s own equity instruments (other than the financial instruments specified in paragraphs 16A and 16B or paragraphs 16C and 16D).</w:t>
      </w:r>
    </w:p>
    <w:p w:rsidR="00E35C67" w:rsidRDefault="00E35C67" w:rsidP="00E35C67">
      <w:pPr>
        <w:pStyle w:val="IASBSectionTitle2Ind"/>
      </w:pPr>
      <w:r>
        <w:t>Example 1: Forward to buy shares</w:t>
      </w:r>
    </w:p>
    <w:p w:rsidR="00E35C67" w:rsidRDefault="00E35C67" w:rsidP="00E35C67">
      <w:pPr>
        <w:pStyle w:val="IASBNormalnpara"/>
      </w:pPr>
      <w:r>
        <w:t>IE2</w:t>
      </w:r>
      <w:r>
        <w:tab/>
        <w:t>This example illustrates the journal entries for forward purchase contracts on an entity’s own shares that will be settled (a) net in cash, (b) net in shares or (c) by delivering cash in exchange for shares. It also discusses the effect of settlement options (see (d) below). To simplify the illustration, it is assumed that no dividends are paid on the underlying shares (ie the ‘carry return’ is zero) so that the present value of the forward price equals the spot price when the fair value of the forward contract is zero. The fair value of the forward has been computed as the difference between the market share price and the present value of the fixed forward price.</w:t>
      </w:r>
    </w:p>
    <w:p w:rsidR="00E35C67" w:rsidRDefault="00E35C67" w:rsidP="00906AF4">
      <w:pPr>
        <w:pStyle w:val="IASBNormalnpara"/>
        <w:spacing w:before="0"/>
      </w:pPr>
    </w:p>
    <w:tbl>
      <w:tblPr>
        <w:tblW w:w="0" w:type="auto"/>
        <w:tblInd w:w="964" w:type="dxa"/>
        <w:tblLayout w:type="fixed"/>
        <w:tblLook w:val="0000" w:firstRow="0" w:lastRow="0" w:firstColumn="0" w:lastColumn="0" w:noHBand="0" w:noVBand="0"/>
        <w:tblCaption w:val="AASB 132 Table 2"/>
      </w:tblPr>
      <w:tblGrid>
        <w:gridCol w:w="5514"/>
        <w:gridCol w:w="2730"/>
      </w:tblGrid>
      <w:tr w:rsidR="00E35C67" w:rsidTr="002C41A7">
        <w:trPr>
          <w:cantSplit/>
        </w:trPr>
        <w:tc>
          <w:tcPr>
            <w:tcW w:w="8244" w:type="dxa"/>
            <w:gridSpan w:val="2"/>
            <w:vAlign w:val="bottom"/>
          </w:tcPr>
          <w:p w:rsidR="00E35C67" w:rsidRDefault="00E35C67" w:rsidP="002C41A7">
            <w:pPr>
              <w:pStyle w:val="IASBTableTNR"/>
            </w:pPr>
            <w:r>
              <w:rPr>
                <w:i/>
              </w:rPr>
              <w:t>Assumptions:</w:t>
            </w:r>
          </w:p>
        </w:tc>
      </w:tr>
      <w:tr w:rsidR="00E35C67" w:rsidTr="002C41A7">
        <w:trPr>
          <w:cantSplit/>
        </w:trPr>
        <w:tc>
          <w:tcPr>
            <w:tcW w:w="5514" w:type="dxa"/>
            <w:tcBorders>
              <w:top w:val="nil"/>
            </w:tcBorders>
          </w:tcPr>
          <w:p w:rsidR="00E35C67" w:rsidRDefault="00E35C67" w:rsidP="002C41A7">
            <w:pPr>
              <w:pStyle w:val="IASBTableArial"/>
            </w:pPr>
            <w:r>
              <w:t>Contract date</w:t>
            </w:r>
          </w:p>
        </w:tc>
        <w:tc>
          <w:tcPr>
            <w:tcW w:w="2730" w:type="dxa"/>
            <w:tcBorders>
              <w:top w:val="nil"/>
              <w:left w:val="nil"/>
            </w:tcBorders>
            <w:vAlign w:val="bottom"/>
          </w:tcPr>
          <w:p w:rsidR="00E35C67" w:rsidRDefault="00E35C67" w:rsidP="002C41A7">
            <w:pPr>
              <w:pStyle w:val="IASBTableArial"/>
              <w:jc w:val="right"/>
            </w:pPr>
            <w:r>
              <w:t>1 February 20X2</w:t>
            </w:r>
          </w:p>
        </w:tc>
      </w:tr>
      <w:tr w:rsidR="00E35C67" w:rsidTr="002C41A7">
        <w:trPr>
          <w:cantSplit/>
        </w:trPr>
        <w:tc>
          <w:tcPr>
            <w:tcW w:w="5514" w:type="dxa"/>
            <w:tcBorders>
              <w:top w:val="nil"/>
            </w:tcBorders>
          </w:tcPr>
          <w:p w:rsidR="00E35C67" w:rsidRDefault="00E35C67" w:rsidP="002C41A7">
            <w:pPr>
              <w:pStyle w:val="IASBTableArial"/>
            </w:pPr>
            <w:r>
              <w:t>Maturity date</w:t>
            </w:r>
          </w:p>
        </w:tc>
        <w:tc>
          <w:tcPr>
            <w:tcW w:w="2730" w:type="dxa"/>
            <w:tcBorders>
              <w:top w:val="nil"/>
              <w:left w:val="nil"/>
            </w:tcBorders>
            <w:vAlign w:val="bottom"/>
          </w:tcPr>
          <w:p w:rsidR="00E35C67" w:rsidRDefault="00E35C67" w:rsidP="002C41A7">
            <w:pPr>
              <w:pStyle w:val="IASBTableArial"/>
              <w:jc w:val="right"/>
            </w:pPr>
            <w:r>
              <w:t>31 January 20X3</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514" w:type="dxa"/>
            <w:tcBorders>
              <w:top w:val="nil"/>
            </w:tcBorders>
          </w:tcPr>
          <w:p w:rsidR="00E35C67" w:rsidRDefault="00E35C67" w:rsidP="002C41A7">
            <w:pPr>
              <w:pStyle w:val="IASBTableArial"/>
            </w:pPr>
            <w:r>
              <w:t>Market price per share on 1 February 20X2</w:t>
            </w:r>
          </w:p>
        </w:tc>
        <w:tc>
          <w:tcPr>
            <w:tcW w:w="2730"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514" w:type="dxa"/>
            <w:tcBorders>
              <w:top w:val="nil"/>
            </w:tcBorders>
          </w:tcPr>
          <w:p w:rsidR="00E35C67" w:rsidRDefault="00E35C67" w:rsidP="002C41A7">
            <w:pPr>
              <w:pStyle w:val="IASBTableArial"/>
            </w:pPr>
            <w:r>
              <w:t>Market price per share on 31 December 20X2</w:t>
            </w:r>
          </w:p>
        </w:tc>
        <w:tc>
          <w:tcPr>
            <w:tcW w:w="2730" w:type="dxa"/>
            <w:tcBorders>
              <w:top w:val="nil"/>
              <w:left w:val="nil"/>
            </w:tcBorders>
            <w:vAlign w:val="bottom"/>
          </w:tcPr>
          <w:p w:rsidR="00E35C67" w:rsidRDefault="00E35C67" w:rsidP="002C41A7">
            <w:pPr>
              <w:pStyle w:val="IASBTableArial"/>
              <w:jc w:val="right"/>
            </w:pPr>
            <w:r>
              <w:t>CU110</w:t>
            </w:r>
          </w:p>
        </w:tc>
      </w:tr>
      <w:tr w:rsidR="00E35C67" w:rsidTr="002C41A7">
        <w:trPr>
          <w:cantSplit/>
        </w:trPr>
        <w:tc>
          <w:tcPr>
            <w:tcW w:w="5514" w:type="dxa"/>
            <w:tcBorders>
              <w:top w:val="nil"/>
            </w:tcBorders>
          </w:tcPr>
          <w:p w:rsidR="00E35C67" w:rsidRDefault="00E35C67" w:rsidP="002C41A7">
            <w:pPr>
              <w:pStyle w:val="IASBTableArial"/>
            </w:pPr>
            <w:r>
              <w:t>Market price per share on 31 January 20X3</w:t>
            </w:r>
          </w:p>
        </w:tc>
        <w:tc>
          <w:tcPr>
            <w:tcW w:w="2730" w:type="dxa"/>
            <w:tcBorders>
              <w:top w:val="nil"/>
              <w:left w:val="nil"/>
            </w:tcBorders>
            <w:vAlign w:val="bottom"/>
          </w:tcPr>
          <w:p w:rsidR="00E35C67" w:rsidRDefault="00E35C67" w:rsidP="002C41A7">
            <w:pPr>
              <w:pStyle w:val="IASBTableArial"/>
              <w:jc w:val="right"/>
            </w:pPr>
            <w:r>
              <w:t>CU106</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514" w:type="dxa"/>
            <w:tcBorders>
              <w:top w:val="nil"/>
            </w:tcBorders>
          </w:tcPr>
          <w:p w:rsidR="00E35C67" w:rsidRDefault="00E35C67" w:rsidP="002C41A7">
            <w:pPr>
              <w:pStyle w:val="IASBTableArial"/>
            </w:pPr>
            <w:r>
              <w:t>Fixed forward price to be paid on 31 January 20X3</w:t>
            </w:r>
          </w:p>
        </w:tc>
        <w:tc>
          <w:tcPr>
            <w:tcW w:w="2730" w:type="dxa"/>
            <w:tcBorders>
              <w:top w:val="nil"/>
              <w:left w:val="nil"/>
            </w:tcBorders>
            <w:vAlign w:val="bottom"/>
          </w:tcPr>
          <w:p w:rsidR="00E35C67" w:rsidRDefault="00E35C67" w:rsidP="002C41A7">
            <w:pPr>
              <w:pStyle w:val="IASBTableArial"/>
              <w:jc w:val="right"/>
            </w:pPr>
            <w:r>
              <w:t>CU104</w:t>
            </w:r>
          </w:p>
        </w:tc>
      </w:tr>
      <w:tr w:rsidR="00E35C67" w:rsidTr="002C41A7">
        <w:trPr>
          <w:cantSplit/>
        </w:trPr>
        <w:tc>
          <w:tcPr>
            <w:tcW w:w="5514" w:type="dxa"/>
            <w:tcBorders>
              <w:top w:val="nil"/>
            </w:tcBorders>
          </w:tcPr>
          <w:p w:rsidR="00E35C67" w:rsidRDefault="00E35C67" w:rsidP="002C41A7">
            <w:pPr>
              <w:pStyle w:val="IASBTableArial"/>
            </w:pPr>
            <w:r>
              <w:t>Present value of forward price on 1 February 20X2</w:t>
            </w:r>
          </w:p>
        </w:tc>
        <w:tc>
          <w:tcPr>
            <w:tcW w:w="2730"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514" w:type="dxa"/>
            <w:tcBorders>
              <w:top w:val="nil"/>
            </w:tcBorders>
          </w:tcPr>
          <w:p w:rsidR="00E35C67" w:rsidRDefault="00E35C67" w:rsidP="002C41A7">
            <w:pPr>
              <w:pStyle w:val="IASBTableArial"/>
            </w:pPr>
            <w:r>
              <w:t>Number of shares under forward contract</w:t>
            </w:r>
          </w:p>
        </w:tc>
        <w:tc>
          <w:tcPr>
            <w:tcW w:w="2730" w:type="dxa"/>
            <w:tcBorders>
              <w:top w:val="nil"/>
              <w:left w:val="nil"/>
            </w:tcBorders>
            <w:vAlign w:val="bottom"/>
          </w:tcPr>
          <w:p w:rsidR="00E35C67" w:rsidRDefault="00E35C67" w:rsidP="002C41A7">
            <w:pPr>
              <w:pStyle w:val="IASBTableArial"/>
              <w:jc w:val="right"/>
            </w:pPr>
            <w:r>
              <w:t>1,000</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514" w:type="dxa"/>
            <w:tcBorders>
              <w:top w:val="nil"/>
            </w:tcBorders>
          </w:tcPr>
          <w:p w:rsidR="00E35C67" w:rsidRDefault="00E35C67" w:rsidP="002C41A7">
            <w:pPr>
              <w:pStyle w:val="IASBTableArial"/>
            </w:pPr>
            <w:r>
              <w:t>Fair value of forward on 1 February 20X2</w:t>
            </w:r>
          </w:p>
        </w:tc>
        <w:tc>
          <w:tcPr>
            <w:tcW w:w="2730" w:type="dxa"/>
            <w:tcBorders>
              <w:top w:val="nil"/>
              <w:left w:val="nil"/>
            </w:tcBorders>
            <w:vAlign w:val="bottom"/>
          </w:tcPr>
          <w:p w:rsidR="00E35C67" w:rsidRDefault="00E35C67" w:rsidP="002C41A7">
            <w:pPr>
              <w:pStyle w:val="IASBTableArial"/>
              <w:jc w:val="right"/>
            </w:pPr>
            <w:r>
              <w:t>CU0</w:t>
            </w:r>
          </w:p>
        </w:tc>
      </w:tr>
      <w:tr w:rsidR="00E35C67" w:rsidTr="002C41A7">
        <w:trPr>
          <w:cantSplit/>
        </w:trPr>
        <w:tc>
          <w:tcPr>
            <w:tcW w:w="5514" w:type="dxa"/>
            <w:tcBorders>
              <w:top w:val="nil"/>
            </w:tcBorders>
          </w:tcPr>
          <w:p w:rsidR="00E35C67" w:rsidRDefault="00E35C67" w:rsidP="002C41A7">
            <w:pPr>
              <w:pStyle w:val="IASBTableArial"/>
            </w:pPr>
            <w:r>
              <w:t>Fair value of forward on 31 December 20X2</w:t>
            </w:r>
          </w:p>
        </w:tc>
        <w:tc>
          <w:tcPr>
            <w:tcW w:w="2730" w:type="dxa"/>
            <w:tcBorders>
              <w:top w:val="nil"/>
              <w:left w:val="nil"/>
            </w:tcBorders>
            <w:vAlign w:val="bottom"/>
          </w:tcPr>
          <w:p w:rsidR="00E35C67" w:rsidRDefault="00E35C67" w:rsidP="002C41A7">
            <w:pPr>
              <w:pStyle w:val="IASBTableArial"/>
              <w:jc w:val="right"/>
            </w:pPr>
            <w:r>
              <w:t>CU6,300</w:t>
            </w:r>
          </w:p>
        </w:tc>
      </w:tr>
      <w:tr w:rsidR="00E35C67" w:rsidTr="002C41A7">
        <w:trPr>
          <w:cantSplit/>
        </w:trPr>
        <w:tc>
          <w:tcPr>
            <w:tcW w:w="5514" w:type="dxa"/>
            <w:tcBorders>
              <w:top w:val="nil"/>
            </w:tcBorders>
          </w:tcPr>
          <w:p w:rsidR="00E35C67" w:rsidRDefault="00E35C67" w:rsidP="002C41A7">
            <w:pPr>
              <w:pStyle w:val="IASBTableArial"/>
            </w:pPr>
            <w:r>
              <w:t>Fair value of forward on 31 January 20X3</w:t>
            </w:r>
          </w:p>
        </w:tc>
        <w:tc>
          <w:tcPr>
            <w:tcW w:w="2730" w:type="dxa"/>
            <w:tcBorders>
              <w:top w:val="nil"/>
              <w:left w:val="nil"/>
            </w:tcBorders>
            <w:vAlign w:val="bottom"/>
          </w:tcPr>
          <w:p w:rsidR="00E35C67" w:rsidRDefault="00E35C67" w:rsidP="002C41A7">
            <w:pPr>
              <w:pStyle w:val="IASBTableArial"/>
              <w:jc w:val="right"/>
            </w:pPr>
            <w:r>
              <w:t>CU2,000</w:t>
            </w:r>
          </w:p>
        </w:tc>
      </w:tr>
    </w:tbl>
    <w:p w:rsidR="00E35C67" w:rsidRDefault="00E35C67" w:rsidP="00906AF4">
      <w:pPr>
        <w:pStyle w:val="IASBSectionTitle4Ind"/>
        <w:spacing w:before="200"/>
      </w:pPr>
      <w:r>
        <w:t>(a) Cash for cash (‘net cash settlement’)</w:t>
      </w:r>
    </w:p>
    <w:p w:rsidR="00E35C67" w:rsidRDefault="00E35C67" w:rsidP="00E35C67">
      <w:pPr>
        <w:pStyle w:val="IASBNormalnpara"/>
      </w:pPr>
      <w:r>
        <w:t>IE3</w:t>
      </w:r>
      <w:r>
        <w:tab/>
        <w:t>In this subsection, the forward purchase contract on the entity’s own shares will be settled net in cash, ie there is no receipt or delivery of the entity’s own shares upon settlement of the forward contract.</w:t>
      </w:r>
    </w:p>
    <w:p w:rsidR="00E35C67" w:rsidRDefault="00E35C67" w:rsidP="00E35C67">
      <w:pPr>
        <w:pStyle w:val="IASBNormalnparaP"/>
      </w:pPr>
      <w:r>
        <w:t>On 1 February 20X2, Entity A enters into a contract with Entity B to receive the fair value of 1,000 of Entity A’s own outstanding ordinary shares as of 31 January 20X3 in exchange for a payment of CU104,000 in cash (ie CU104 per share) on 31 January 20X3. The contract will be settled net in cash. Entity A records the following journal entries.</w:t>
      </w:r>
    </w:p>
    <w:p w:rsidR="00E35C67" w:rsidRDefault="00E35C67" w:rsidP="00906AF4">
      <w:pPr>
        <w:pStyle w:val="IASBSectionTitle5Ind"/>
        <w:spacing w:before="200"/>
      </w:pPr>
      <w:r>
        <w:t>1 February 20X2</w:t>
      </w:r>
    </w:p>
    <w:p w:rsidR="00E35C67" w:rsidRDefault="00E35C67" w:rsidP="00E35C67">
      <w:pPr>
        <w:pStyle w:val="IASBNormalnpara"/>
      </w:pPr>
      <w:r>
        <w:tab/>
        <w:t>The price per share when the contract is agreed on 1 February 20X2 is CU100. The initial fair value of the forward contract on 1 February 20X2 is zero.</w:t>
      </w:r>
    </w:p>
    <w:p w:rsidR="00E35C67" w:rsidRDefault="00E35C67" w:rsidP="00E35C67">
      <w:pPr>
        <w:pStyle w:val="IASBNormalnparaP"/>
      </w:pPr>
      <w:r>
        <w:rPr>
          <w:i/>
        </w:rPr>
        <w:t>No entry is required because the fair value of the derivative is zero and no cash is paid or received.</w:t>
      </w:r>
    </w:p>
    <w:p w:rsidR="00E35C67" w:rsidRDefault="00E35C67" w:rsidP="00E35C67">
      <w:pPr>
        <w:pStyle w:val="IASBSectionTitle5Ind"/>
      </w:pPr>
      <w:r>
        <w:lastRenderedPageBreak/>
        <w:t>31 December 20X2</w:t>
      </w:r>
    </w:p>
    <w:p w:rsidR="00E35C67" w:rsidRDefault="00E35C67" w:rsidP="00E35C67">
      <w:pPr>
        <w:pStyle w:val="IASBNormalnpara"/>
      </w:pPr>
      <w:r>
        <w:tab/>
        <w:t>On 31 December 20X2, the market price per share has increased to CU110 and, as a result, the fair value of the forward contract has increased to CU6,300.</w:t>
      </w:r>
    </w:p>
    <w:p w:rsidR="00E35C67" w:rsidRDefault="00E35C67" w:rsidP="00906AF4">
      <w:pPr>
        <w:pStyle w:val="IASBNormalnpara"/>
        <w:spacing w:before="0"/>
      </w:pPr>
    </w:p>
    <w:tbl>
      <w:tblPr>
        <w:tblW w:w="8216" w:type="dxa"/>
        <w:tblInd w:w="964" w:type="dxa"/>
        <w:tblLayout w:type="fixed"/>
        <w:tblLook w:val="0000" w:firstRow="0" w:lastRow="0" w:firstColumn="0" w:lastColumn="0" w:noHBand="0" w:noVBand="0"/>
        <w:tblCaption w:val="AASB 132 Table 3"/>
      </w:tblPr>
      <w:tblGrid>
        <w:gridCol w:w="562"/>
        <w:gridCol w:w="567"/>
        <w:gridCol w:w="3515"/>
        <w:gridCol w:w="326"/>
        <w:gridCol w:w="1494"/>
        <w:gridCol w:w="326"/>
        <w:gridCol w:w="1426"/>
      </w:tblGrid>
      <w:tr w:rsidR="00E35C67" w:rsidTr="00CC3590">
        <w:trPr>
          <w:gridAfter w:val="2"/>
          <w:wAfter w:w="1752" w:type="dxa"/>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Forward asset</w:t>
            </w:r>
          </w:p>
        </w:tc>
        <w:tc>
          <w:tcPr>
            <w:tcW w:w="1820" w:type="dxa"/>
            <w:gridSpan w:val="2"/>
            <w:tcBorders>
              <w:left w:val="nil"/>
            </w:tcBorders>
            <w:vAlign w:val="bottom"/>
          </w:tcPr>
          <w:p w:rsidR="00E35C67" w:rsidRDefault="00E35C67" w:rsidP="002C41A7">
            <w:pPr>
              <w:pStyle w:val="IASBTableArial"/>
              <w:jc w:val="right"/>
            </w:pPr>
            <w:r>
              <w:t>CU6,300</w:t>
            </w:r>
          </w:p>
        </w:tc>
      </w:tr>
      <w:tr w:rsidR="00E35C67" w:rsidTr="00CC3590">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Gain</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CU6,300</w:t>
            </w:r>
          </w:p>
        </w:tc>
      </w:tr>
    </w:tbl>
    <w:p w:rsidR="00E35C67" w:rsidRDefault="00E35C67" w:rsidP="00E35C67">
      <w:pPr>
        <w:pStyle w:val="IASBNormalnparaP"/>
      </w:pPr>
      <w:r>
        <w:rPr>
          <w:i/>
        </w:rPr>
        <w:t>To record the increase in the fair value of the forward contract.</w:t>
      </w:r>
    </w:p>
    <w:p w:rsidR="00E35C67" w:rsidRDefault="00E35C67" w:rsidP="00906AF4">
      <w:pPr>
        <w:pStyle w:val="IASBSectionTitle5Ind"/>
        <w:spacing w:before="200"/>
      </w:pPr>
      <w:r>
        <w:t>31 January 20X3</w:t>
      </w:r>
    </w:p>
    <w:p w:rsidR="00E35C67" w:rsidRDefault="00E35C67" w:rsidP="00E35C67">
      <w:pPr>
        <w:pStyle w:val="IASBNormalnpara"/>
      </w:pPr>
      <w:r>
        <w:tab/>
        <w:t>On 31 January 20X3, the market price per share has decreased to CU106. The fair value of the forward contract is CU2,000 ([CU106 × 1,000] – CU104,000).</w:t>
      </w:r>
    </w:p>
    <w:p w:rsidR="00E35C67" w:rsidRDefault="00E35C67" w:rsidP="00E35C67">
      <w:pPr>
        <w:pStyle w:val="IASBNormalnparaP"/>
      </w:pPr>
      <w:r>
        <w:t>On the same day, the contract is settled net in cash. Entity A has an obligation to deliver CU104,000 to Entity B and Entity B has an obligation to deliver CU106,000 (CU106 × 1,000) to Entity A, so Entity B pays the net amount of CU2,000 to Entity A.</w:t>
      </w:r>
    </w:p>
    <w:p w:rsidR="00E35C67" w:rsidRDefault="00E35C67" w:rsidP="00906AF4">
      <w:pPr>
        <w:pStyle w:val="IASBNormalnpara"/>
        <w:spacing w:before="0"/>
      </w:pPr>
    </w:p>
    <w:tbl>
      <w:tblPr>
        <w:tblW w:w="8216" w:type="dxa"/>
        <w:tblInd w:w="964" w:type="dxa"/>
        <w:tblLayout w:type="fixed"/>
        <w:tblLook w:val="0000" w:firstRow="0" w:lastRow="0" w:firstColumn="0" w:lastColumn="0" w:noHBand="0" w:noVBand="0"/>
        <w:tblCaption w:val="AASB 132 Table 4"/>
      </w:tblPr>
      <w:tblGrid>
        <w:gridCol w:w="562"/>
        <w:gridCol w:w="425"/>
        <w:gridCol w:w="3657"/>
        <w:gridCol w:w="326"/>
        <w:gridCol w:w="1494"/>
        <w:gridCol w:w="326"/>
        <w:gridCol w:w="1285"/>
        <w:gridCol w:w="141"/>
      </w:tblGrid>
      <w:tr w:rsidR="00E35C67" w:rsidTr="00CC3590">
        <w:trPr>
          <w:gridAfter w:val="1"/>
          <w:wAfter w:w="141" w:type="dxa"/>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Loss</w:t>
            </w:r>
          </w:p>
        </w:tc>
        <w:tc>
          <w:tcPr>
            <w:tcW w:w="1820" w:type="dxa"/>
            <w:gridSpan w:val="2"/>
            <w:tcBorders>
              <w:left w:val="nil"/>
            </w:tcBorders>
            <w:vAlign w:val="bottom"/>
          </w:tcPr>
          <w:p w:rsidR="00E35C67" w:rsidRDefault="00E35C67" w:rsidP="002C41A7">
            <w:pPr>
              <w:pStyle w:val="IASBTableArial"/>
              <w:jc w:val="right"/>
            </w:pPr>
            <w:r>
              <w:t>CU4,300</w:t>
            </w:r>
          </w:p>
        </w:tc>
        <w:tc>
          <w:tcPr>
            <w:tcW w:w="1611" w:type="dxa"/>
            <w:gridSpan w:val="2"/>
            <w:tcBorders>
              <w:left w:val="nil"/>
            </w:tcBorders>
            <w:vAlign w:val="bottom"/>
          </w:tcPr>
          <w:p w:rsidR="00E35C67" w:rsidRDefault="00E35C67" w:rsidP="002C41A7">
            <w:pPr>
              <w:pStyle w:val="IASBTableArial"/>
            </w:pPr>
          </w:p>
        </w:tc>
      </w:tr>
      <w:tr w:rsidR="00E35C67" w:rsidTr="00CC3590">
        <w:trPr>
          <w:cantSplit/>
        </w:trPr>
        <w:tc>
          <w:tcPr>
            <w:tcW w:w="562" w:type="dxa"/>
            <w:tcBorders>
              <w:top w:val="nil"/>
            </w:tcBorders>
            <w:vAlign w:val="bottom"/>
          </w:tcPr>
          <w:p w:rsidR="00E35C67" w:rsidRDefault="00E35C67" w:rsidP="002C41A7">
            <w:pPr>
              <w:pStyle w:val="IASBTableArial"/>
            </w:pPr>
          </w:p>
        </w:tc>
        <w:tc>
          <w:tcPr>
            <w:tcW w:w="425" w:type="dxa"/>
            <w:tcBorders>
              <w:top w:val="nil"/>
              <w:left w:val="nil"/>
            </w:tcBorders>
            <w:vAlign w:val="bottom"/>
          </w:tcPr>
          <w:p w:rsidR="00E35C67" w:rsidRDefault="00E35C67" w:rsidP="002C41A7">
            <w:pPr>
              <w:pStyle w:val="IASBTableArial"/>
            </w:pPr>
            <w:r>
              <w:t>Cr</w:t>
            </w:r>
          </w:p>
        </w:tc>
        <w:tc>
          <w:tcPr>
            <w:tcW w:w="3983" w:type="dxa"/>
            <w:gridSpan w:val="2"/>
            <w:tcBorders>
              <w:top w:val="nil"/>
              <w:left w:val="nil"/>
            </w:tcBorders>
            <w:vAlign w:val="bottom"/>
          </w:tcPr>
          <w:p w:rsidR="00E35C67" w:rsidRDefault="00E35C67" w:rsidP="002C41A7">
            <w:pPr>
              <w:pStyle w:val="IASBTableArial"/>
            </w:pPr>
            <w:r>
              <w:t>Forward asset</w:t>
            </w:r>
          </w:p>
        </w:tc>
        <w:tc>
          <w:tcPr>
            <w:tcW w:w="1820" w:type="dxa"/>
            <w:gridSpan w:val="2"/>
            <w:tcBorders>
              <w:top w:val="nil"/>
              <w:left w:val="nil"/>
            </w:tcBorders>
            <w:vAlign w:val="bottom"/>
          </w:tcPr>
          <w:p w:rsidR="00E35C67" w:rsidRDefault="00E35C67" w:rsidP="002C41A7">
            <w:pPr>
              <w:pStyle w:val="IASBTableArial"/>
            </w:pPr>
          </w:p>
        </w:tc>
        <w:tc>
          <w:tcPr>
            <w:tcW w:w="1426" w:type="dxa"/>
            <w:gridSpan w:val="2"/>
            <w:tcBorders>
              <w:top w:val="nil"/>
              <w:left w:val="nil"/>
            </w:tcBorders>
            <w:vAlign w:val="bottom"/>
          </w:tcPr>
          <w:p w:rsidR="00E35C67" w:rsidRDefault="00E35C67" w:rsidP="002C41A7">
            <w:pPr>
              <w:pStyle w:val="IASBTableArial"/>
              <w:jc w:val="right"/>
            </w:pPr>
            <w:r>
              <w:t>CU4,300</w:t>
            </w:r>
          </w:p>
        </w:tc>
      </w:tr>
    </w:tbl>
    <w:p w:rsidR="00E35C67" w:rsidRDefault="00E35C67" w:rsidP="00E35C67">
      <w:pPr>
        <w:pStyle w:val="IASBNormalnparaP"/>
      </w:pPr>
      <w:r>
        <w:rPr>
          <w:i/>
        </w:rPr>
        <w:t>To record the decrease in the fair value of the forward contract (ie CU4,300 = CU6,300 – CU2,000).</w:t>
      </w:r>
    </w:p>
    <w:p w:rsidR="00E35C67" w:rsidRDefault="00E35C67" w:rsidP="00906AF4">
      <w:pPr>
        <w:pStyle w:val="IASBNormalnpara"/>
        <w:spacing w:before="0"/>
      </w:pPr>
    </w:p>
    <w:tbl>
      <w:tblPr>
        <w:tblW w:w="8284" w:type="dxa"/>
        <w:tblInd w:w="964" w:type="dxa"/>
        <w:tblLayout w:type="fixed"/>
        <w:tblLook w:val="0000" w:firstRow="0" w:lastRow="0" w:firstColumn="0" w:lastColumn="0" w:noHBand="0" w:noVBand="0"/>
        <w:tblCaption w:val="AASB 132 Table 5"/>
      </w:tblPr>
      <w:tblGrid>
        <w:gridCol w:w="562"/>
        <w:gridCol w:w="425"/>
        <w:gridCol w:w="3657"/>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425" w:type="dxa"/>
            <w:tcBorders>
              <w:top w:val="nil"/>
              <w:left w:val="nil"/>
            </w:tcBorders>
            <w:vAlign w:val="bottom"/>
          </w:tcPr>
          <w:p w:rsidR="00E35C67" w:rsidRDefault="00E35C67" w:rsidP="002C41A7">
            <w:pPr>
              <w:pStyle w:val="IASBTableArial"/>
            </w:pPr>
            <w:r>
              <w:t>Cr</w:t>
            </w:r>
          </w:p>
        </w:tc>
        <w:tc>
          <w:tcPr>
            <w:tcW w:w="3983" w:type="dxa"/>
            <w:gridSpan w:val="2"/>
            <w:tcBorders>
              <w:top w:val="nil"/>
              <w:left w:val="nil"/>
            </w:tcBorders>
            <w:vAlign w:val="bottom"/>
          </w:tcPr>
          <w:p w:rsidR="00E35C67" w:rsidRDefault="00E35C67" w:rsidP="002C41A7">
            <w:pPr>
              <w:pStyle w:val="IASBTableArial"/>
            </w:pPr>
            <w:r>
              <w:t>Forward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forward contract.</w:t>
      </w:r>
    </w:p>
    <w:p w:rsidR="00E35C67" w:rsidRDefault="00E35C67" w:rsidP="00906AF4">
      <w:pPr>
        <w:pStyle w:val="IASBSectionTitle4Ind"/>
        <w:spacing w:before="200"/>
      </w:pPr>
      <w:r>
        <w:t>(b) Shares for shares (‘net share settlement’)</w:t>
      </w:r>
    </w:p>
    <w:p w:rsidR="00E35C67" w:rsidRDefault="00E35C67" w:rsidP="00E35C67">
      <w:pPr>
        <w:pStyle w:val="IASBNormalnpara"/>
      </w:pPr>
      <w:r>
        <w:t>IE4</w:t>
      </w:r>
      <w:r>
        <w:tab/>
        <w:t>Assume the same facts as in (a) except that settlement will be made net in shares instead of net in cash. Entity A’s journal entries are the same as those shown in (a) above, except for recording the settlement of the forward contract, as follows:</w:t>
      </w:r>
    </w:p>
    <w:p w:rsidR="00E35C67" w:rsidRDefault="00E35C67" w:rsidP="00906AF4">
      <w:pPr>
        <w:pStyle w:val="IASBSectionTitle5Ind"/>
        <w:spacing w:before="200"/>
      </w:pPr>
      <w:r>
        <w:t>31 January 20X3</w:t>
      </w:r>
    </w:p>
    <w:p w:rsidR="00E35C67" w:rsidRDefault="00E35C67" w:rsidP="00E35C67">
      <w:pPr>
        <w:pStyle w:val="IASBNormalnpara"/>
      </w:pPr>
      <w:r>
        <w:tab/>
        <w:t>The contract is settled net in shares. Entity A has an obligation to deliver CU104,000 (CU104 × 1,000) worth of its shares to Entity B and Entity B has an obligation to deliver CU106,000 (CU106 × 1,000) worth of shares to Entity A. Thus, Entity B delivers a net amount of CU2,000 (CU106,000 – CU104,000) worth of shares to Entity A, ie 18.9 shares (CU2,000/CU106).</w:t>
      </w:r>
    </w:p>
    <w:p w:rsidR="00E35C67" w:rsidRDefault="00E35C67" w:rsidP="00906AF4">
      <w:pPr>
        <w:pStyle w:val="IASBNormalnpara"/>
        <w:spacing w:before="0"/>
      </w:pPr>
    </w:p>
    <w:tbl>
      <w:tblPr>
        <w:tblW w:w="8284" w:type="dxa"/>
        <w:tblInd w:w="964" w:type="dxa"/>
        <w:tblLayout w:type="fixed"/>
        <w:tblLook w:val="0000" w:firstRow="0" w:lastRow="0" w:firstColumn="0" w:lastColumn="0" w:noHBand="0" w:noVBand="0"/>
        <w:tblCaption w:val="AASB 132 Table 6"/>
      </w:tblPr>
      <w:tblGrid>
        <w:gridCol w:w="704"/>
        <w:gridCol w:w="567"/>
        <w:gridCol w:w="3373"/>
        <w:gridCol w:w="468"/>
        <w:gridCol w:w="1352"/>
        <w:gridCol w:w="468"/>
        <w:gridCol w:w="1284"/>
        <w:gridCol w:w="68"/>
      </w:tblGrid>
      <w:tr w:rsidR="00E35C67" w:rsidTr="00CC3590">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704"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Forward asset</w:t>
            </w:r>
          </w:p>
        </w:tc>
        <w:tc>
          <w:tcPr>
            <w:tcW w:w="1820" w:type="dxa"/>
            <w:gridSpan w:val="2"/>
            <w:tcBorders>
              <w:top w:val="nil"/>
              <w:left w:val="nil"/>
            </w:tcBorders>
            <w:vAlign w:val="bottom"/>
          </w:tcPr>
          <w:p w:rsidR="00E35C67" w:rsidRDefault="00E35C67" w:rsidP="002C41A7">
            <w:pPr>
              <w:pStyle w:val="IASBTableArial"/>
            </w:pPr>
          </w:p>
        </w:tc>
        <w:tc>
          <w:tcPr>
            <w:tcW w:w="1284"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forward contract.</w:t>
      </w:r>
    </w:p>
    <w:p w:rsidR="00E35C67" w:rsidRDefault="00E35C67" w:rsidP="00906AF4">
      <w:pPr>
        <w:pStyle w:val="IASBSectionTitle4Ind"/>
        <w:spacing w:before="200"/>
      </w:pPr>
      <w:r>
        <w:t>(c) Cash for shares (‘gross physical settlement’)</w:t>
      </w:r>
    </w:p>
    <w:p w:rsidR="00E35C67" w:rsidRDefault="00E35C67" w:rsidP="00E35C67">
      <w:pPr>
        <w:pStyle w:val="IASBNormalnpara"/>
      </w:pPr>
      <w:r>
        <w:t>IE5</w:t>
      </w:r>
      <w:r>
        <w:tab/>
        <w:t>Assume the same facts as in (a) except that settlement will be made by delivering a fixed amount of cash and receiving a fixed number of Entity A’s shares. Similarly to (a) and (b) above, the price per share that Entity A will pay in one year is fixed at CU104. Accordingly, Entity A has an obligation to pay CU104,000 in cash to Entity B (CU104 × 1,000) and Entity B has an obligation to deliver 1,000 of Entity A’s outstanding shares to Entity A in one year. Entity A records the following journal entries.</w:t>
      </w:r>
    </w:p>
    <w:p w:rsidR="00E35C67" w:rsidRDefault="00E35C67" w:rsidP="00906AF4">
      <w:pPr>
        <w:pStyle w:val="IASBSectionTitle5Ind"/>
        <w:spacing w:before="200" w:after="100"/>
      </w:pPr>
      <w:r>
        <w:t>1 February 20X2</w:t>
      </w:r>
    </w:p>
    <w:tbl>
      <w:tblPr>
        <w:tblW w:w="8284" w:type="dxa"/>
        <w:tblInd w:w="964" w:type="dxa"/>
        <w:tblLayout w:type="fixed"/>
        <w:tblLook w:val="0000" w:firstRow="0" w:lastRow="0" w:firstColumn="0" w:lastColumn="0" w:noHBand="0" w:noVBand="0"/>
        <w:tblCaption w:val="AASB 132 Table 7"/>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CU100,000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Liability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CU100,000</w:t>
            </w:r>
          </w:p>
        </w:tc>
      </w:tr>
    </w:tbl>
    <w:p w:rsidR="00E35C67" w:rsidRDefault="00E35C67" w:rsidP="00E35C67">
      <w:pPr>
        <w:pStyle w:val="IASBNormalnparaP"/>
      </w:pPr>
      <w:r>
        <w:rPr>
          <w:i/>
        </w:rPr>
        <w:t>To record the obligation to deliver CU104,000 in one year at its present value of CU100,000 discounted using an appropriate interest rate (see</w:t>
      </w:r>
      <w:r w:rsidR="00B64056">
        <w:rPr>
          <w:i/>
        </w:rPr>
        <w:t xml:space="preserve"> AASB 9</w:t>
      </w:r>
      <w:r>
        <w:rPr>
          <w:i/>
        </w:rPr>
        <w:t>, paragraph B5.1.1).</w:t>
      </w:r>
    </w:p>
    <w:p w:rsidR="00E35C67" w:rsidRDefault="00E35C67" w:rsidP="002400A1">
      <w:pPr>
        <w:pStyle w:val="IASBSectionTitle5Ind"/>
        <w:spacing w:before="200"/>
      </w:pPr>
      <w:r>
        <w:lastRenderedPageBreak/>
        <w:t>31 December 20X2</w:t>
      </w:r>
    </w:p>
    <w:tbl>
      <w:tblPr>
        <w:tblW w:w="8284" w:type="dxa"/>
        <w:tblInd w:w="964" w:type="dxa"/>
        <w:tblLayout w:type="fixed"/>
        <w:tblLook w:val="0000" w:firstRow="0" w:lastRow="0" w:firstColumn="0" w:lastColumn="0" w:noHBand="0" w:noVBand="0"/>
        <w:tblCaption w:val="AASB 132 Table 8"/>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Interest expense</w:t>
            </w:r>
          </w:p>
        </w:tc>
        <w:tc>
          <w:tcPr>
            <w:tcW w:w="1820" w:type="dxa"/>
            <w:gridSpan w:val="2"/>
            <w:tcBorders>
              <w:left w:val="nil"/>
            </w:tcBorders>
            <w:vAlign w:val="bottom"/>
          </w:tcPr>
          <w:p w:rsidR="00E35C67" w:rsidRDefault="00E35C67" w:rsidP="002C41A7">
            <w:pPr>
              <w:pStyle w:val="IASBTableArial"/>
              <w:jc w:val="right"/>
            </w:pPr>
            <w:r>
              <w:t>CU3,660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Liability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CU3,660</w:t>
            </w:r>
          </w:p>
        </w:tc>
      </w:tr>
    </w:tbl>
    <w:p w:rsidR="00E35C67" w:rsidRDefault="00E35C67" w:rsidP="00E35C67">
      <w:pPr>
        <w:pStyle w:val="IASBNormalnparaP"/>
      </w:pPr>
      <w:r>
        <w:rPr>
          <w:i/>
        </w:rPr>
        <w:t>To accrue interest in accordance with the effective interest method on the liability for the share redemption amount.</w:t>
      </w:r>
    </w:p>
    <w:p w:rsidR="00E35C67" w:rsidRDefault="00E35C67" w:rsidP="002400A1">
      <w:pPr>
        <w:pStyle w:val="IASBSectionTitle5Ind"/>
        <w:spacing w:before="200"/>
      </w:pPr>
      <w:r>
        <w:t>31 January 20X3</w:t>
      </w:r>
    </w:p>
    <w:tbl>
      <w:tblPr>
        <w:tblW w:w="8284" w:type="dxa"/>
        <w:tblInd w:w="964" w:type="dxa"/>
        <w:tblLayout w:type="fixed"/>
        <w:tblLook w:val="0000" w:firstRow="0" w:lastRow="0" w:firstColumn="0" w:lastColumn="0" w:noHBand="0" w:noVBand="0"/>
        <w:tblCaption w:val="AASB 132 Table 9"/>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Interest expense</w:t>
            </w:r>
          </w:p>
        </w:tc>
        <w:tc>
          <w:tcPr>
            <w:tcW w:w="1820" w:type="dxa"/>
            <w:gridSpan w:val="2"/>
            <w:tcBorders>
              <w:left w:val="nil"/>
            </w:tcBorders>
            <w:vAlign w:val="bottom"/>
          </w:tcPr>
          <w:p w:rsidR="00E35C67" w:rsidRDefault="00E35C67" w:rsidP="002C41A7">
            <w:pPr>
              <w:pStyle w:val="IASBTableArial"/>
              <w:jc w:val="right"/>
            </w:pPr>
            <w:r>
              <w:t>CU340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Liability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CU340</w:t>
            </w:r>
          </w:p>
        </w:tc>
      </w:tr>
    </w:tbl>
    <w:p w:rsidR="00E35C67" w:rsidRDefault="00E35C67" w:rsidP="00E35C67">
      <w:pPr>
        <w:pStyle w:val="IASBNormalnparaP"/>
      </w:pPr>
      <w:r>
        <w:rPr>
          <w:i/>
        </w:rPr>
        <w:t>To accrue interest in accordance with the effective interest method on the liability for the share redemption amount.</w:t>
      </w:r>
    </w:p>
    <w:p w:rsidR="00E35C67" w:rsidRDefault="00E35C67" w:rsidP="00E35C67">
      <w:pPr>
        <w:pStyle w:val="IASBNormalnparaP"/>
      </w:pPr>
      <w:r>
        <w:t>Entity A delivers CU104,000 in cash to Entity B and Entity B delivers 1,000 of Entity A’s shares to Entity A.</w:t>
      </w:r>
    </w:p>
    <w:tbl>
      <w:tblPr>
        <w:tblW w:w="8284" w:type="dxa"/>
        <w:tblInd w:w="964" w:type="dxa"/>
        <w:tblLayout w:type="fixed"/>
        <w:tblLook w:val="0000" w:firstRow="0" w:lastRow="0" w:firstColumn="0" w:lastColumn="0" w:noHBand="0" w:noVBand="0"/>
        <w:tblCaption w:val="AASB 132 Table 10"/>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Liability</w:t>
            </w:r>
          </w:p>
        </w:tc>
        <w:tc>
          <w:tcPr>
            <w:tcW w:w="1820" w:type="dxa"/>
            <w:gridSpan w:val="2"/>
            <w:tcBorders>
              <w:left w:val="nil"/>
            </w:tcBorders>
            <w:vAlign w:val="bottom"/>
          </w:tcPr>
          <w:p w:rsidR="00E35C67" w:rsidRDefault="00E35C67" w:rsidP="002C41A7">
            <w:pPr>
              <w:pStyle w:val="IASBTableArial"/>
              <w:jc w:val="right"/>
            </w:pPr>
            <w:r>
              <w:t>CU104,000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CU104,000</w:t>
            </w:r>
          </w:p>
        </w:tc>
      </w:tr>
    </w:tbl>
    <w:p w:rsidR="00E35C67" w:rsidRDefault="00E35C67" w:rsidP="00E35C67">
      <w:pPr>
        <w:pStyle w:val="IASBNormalnparaP"/>
      </w:pPr>
      <w:r>
        <w:rPr>
          <w:i/>
        </w:rPr>
        <w:t>To record the settlement of the obligation to redeem Entity A’s own shares for cash.</w:t>
      </w:r>
    </w:p>
    <w:p w:rsidR="00E35C67" w:rsidRDefault="00E35C67" w:rsidP="002400A1">
      <w:pPr>
        <w:pStyle w:val="IASBSectionTitle4Ind"/>
        <w:spacing w:before="200"/>
      </w:pPr>
      <w:r>
        <w:t>(d) Settlement options</w:t>
      </w:r>
    </w:p>
    <w:p w:rsidR="00E35C67" w:rsidRDefault="00E35C67" w:rsidP="00E35C67">
      <w:pPr>
        <w:pStyle w:val="IASBNormalnpara"/>
      </w:pPr>
      <w:r>
        <w:t>IE6</w:t>
      </w:r>
      <w:r>
        <w:tab/>
        <w:t>The existence of settlement options (such as net in cash, net in shares or by an exchange of cash and shares) has the result that the forward repurchase contract is a financial asset or a financial liability. If one of the settlement alternatives is to exchange cash for shares ((c) above), Entity A recognises a liability for the obligation to deliver cash, as illustrated in (c) above. Otherwise, Entity A accounts for the forward contract as a derivative.</w:t>
      </w:r>
    </w:p>
    <w:p w:rsidR="00E35C67" w:rsidRDefault="00E35C67" w:rsidP="002400A1">
      <w:pPr>
        <w:pStyle w:val="IASBSectionTitle2Ind"/>
        <w:spacing w:before="200"/>
      </w:pPr>
      <w:r>
        <w:t>Example 2: Forward to sell shares</w:t>
      </w:r>
    </w:p>
    <w:p w:rsidR="00E35C67" w:rsidRDefault="00E35C67" w:rsidP="00E35C67">
      <w:pPr>
        <w:pStyle w:val="IASBNormalnpara"/>
      </w:pPr>
      <w:r>
        <w:t>IE7</w:t>
      </w:r>
      <w:r>
        <w:tab/>
        <w:t>This example illustrates the journal entries for forward sale contracts on an entity’s own shares that will be settled (a) net in cash, (b) net in shares or (c) by receiving cash in exchange for shares. It also discusses the effect of settlement options (see (d) below). To simplify the illustration, it is assumed that no dividends are paid on the underlying shares (ie the ‘carry return’ is zero) so that the present value of the forward price equals the spot price when the fair value of the forward contract is zero. The fair value of the forward has been computed as the difference between the market share price and the present value of the fixed forward price.</w:t>
      </w:r>
    </w:p>
    <w:tbl>
      <w:tblPr>
        <w:tblW w:w="0" w:type="auto"/>
        <w:tblInd w:w="964" w:type="dxa"/>
        <w:tblLayout w:type="fixed"/>
        <w:tblLook w:val="0000" w:firstRow="0" w:lastRow="0" w:firstColumn="0" w:lastColumn="0" w:noHBand="0" w:noVBand="0"/>
        <w:tblCaption w:val="AASB 132 Table 11"/>
      </w:tblPr>
      <w:tblGrid>
        <w:gridCol w:w="5969"/>
        <w:gridCol w:w="2275"/>
      </w:tblGrid>
      <w:tr w:rsidR="00E35C67" w:rsidTr="002C41A7">
        <w:trPr>
          <w:cantSplit/>
        </w:trPr>
        <w:tc>
          <w:tcPr>
            <w:tcW w:w="8244" w:type="dxa"/>
            <w:gridSpan w:val="2"/>
            <w:vAlign w:val="bottom"/>
          </w:tcPr>
          <w:p w:rsidR="00E35C67" w:rsidRDefault="00E35C67" w:rsidP="009B08DD">
            <w:pPr>
              <w:pStyle w:val="IASBTableTNR"/>
              <w:keepNext/>
            </w:pPr>
            <w:r>
              <w:rPr>
                <w:i/>
              </w:rPr>
              <w:t>Assumptions:</w:t>
            </w:r>
          </w:p>
        </w:tc>
      </w:tr>
      <w:tr w:rsidR="00E35C67" w:rsidTr="002C41A7">
        <w:trPr>
          <w:cantSplit/>
        </w:trPr>
        <w:tc>
          <w:tcPr>
            <w:tcW w:w="5969" w:type="dxa"/>
            <w:tcBorders>
              <w:top w:val="nil"/>
            </w:tcBorders>
          </w:tcPr>
          <w:p w:rsidR="00E35C67" w:rsidRDefault="00E35C67" w:rsidP="009B08DD">
            <w:pPr>
              <w:pStyle w:val="IASBTableArial"/>
              <w:keepNext/>
            </w:pPr>
            <w:r>
              <w:t>Contract date</w:t>
            </w:r>
          </w:p>
        </w:tc>
        <w:tc>
          <w:tcPr>
            <w:tcW w:w="2275" w:type="dxa"/>
            <w:tcBorders>
              <w:top w:val="nil"/>
              <w:left w:val="nil"/>
            </w:tcBorders>
            <w:vAlign w:val="bottom"/>
          </w:tcPr>
          <w:p w:rsidR="00E35C67" w:rsidRDefault="00E35C67" w:rsidP="009B08DD">
            <w:pPr>
              <w:pStyle w:val="IASBTableArial"/>
              <w:keepNext/>
              <w:jc w:val="right"/>
            </w:pPr>
            <w:r>
              <w:t>1 February 20X2</w:t>
            </w:r>
          </w:p>
        </w:tc>
      </w:tr>
      <w:tr w:rsidR="00E35C67" w:rsidTr="002C41A7">
        <w:trPr>
          <w:cantSplit/>
        </w:trPr>
        <w:tc>
          <w:tcPr>
            <w:tcW w:w="5969" w:type="dxa"/>
            <w:tcBorders>
              <w:top w:val="nil"/>
            </w:tcBorders>
          </w:tcPr>
          <w:p w:rsidR="00E35C67" w:rsidRDefault="00E35C67" w:rsidP="009B08DD">
            <w:pPr>
              <w:pStyle w:val="IASBTableArial"/>
              <w:keepNext/>
            </w:pPr>
            <w:r>
              <w:t>Maturity date</w:t>
            </w:r>
          </w:p>
        </w:tc>
        <w:tc>
          <w:tcPr>
            <w:tcW w:w="2275" w:type="dxa"/>
            <w:tcBorders>
              <w:top w:val="nil"/>
              <w:left w:val="nil"/>
            </w:tcBorders>
            <w:vAlign w:val="bottom"/>
          </w:tcPr>
          <w:p w:rsidR="00E35C67" w:rsidRDefault="00E35C67" w:rsidP="009B08DD">
            <w:pPr>
              <w:pStyle w:val="IASBTableArial"/>
              <w:keepNext/>
              <w:jc w:val="right"/>
            </w:pPr>
            <w:r>
              <w:t>31 January 20X3</w:t>
            </w:r>
          </w:p>
        </w:tc>
      </w:tr>
      <w:tr w:rsidR="00E35C67" w:rsidTr="002C41A7">
        <w:trPr>
          <w:cantSplit/>
        </w:trPr>
        <w:tc>
          <w:tcPr>
            <w:tcW w:w="8244" w:type="dxa"/>
            <w:gridSpan w:val="2"/>
            <w:tcBorders>
              <w:top w:val="nil"/>
            </w:tcBorders>
            <w:vAlign w:val="bottom"/>
          </w:tcPr>
          <w:p w:rsidR="00E35C67" w:rsidRDefault="00E35C67" w:rsidP="009B08DD">
            <w:pPr>
              <w:pStyle w:val="IASBTableArial"/>
              <w:keepNext/>
            </w:pPr>
          </w:p>
        </w:tc>
      </w:tr>
      <w:tr w:rsidR="00E35C67" w:rsidTr="002C41A7">
        <w:trPr>
          <w:cantSplit/>
        </w:trPr>
        <w:tc>
          <w:tcPr>
            <w:tcW w:w="5969" w:type="dxa"/>
            <w:tcBorders>
              <w:top w:val="nil"/>
            </w:tcBorders>
          </w:tcPr>
          <w:p w:rsidR="00E35C67" w:rsidRDefault="00E35C67" w:rsidP="009B08DD">
            <w:pPr>
              <w:pStyle w:val="IASBTableArial"/>
              <w:keepNext/>
            </w:pPr>
            <w:r>
              <w:t>Market price per share on 1 February 20X2</w:t>
            </w:r>
          </w:p>
        </w:tc>
        <w:tc>
          <w:tcPr>
            <w:tcW w:w="2275" w:type="dxa"/>
            <w:tcBorders>
              <w:top w:val="nil"/>
              <w:left w:val="nil"/>
            </w:tcBorders>
            <w:vAlign w:val="bottom"/>
          </w:tcPr>
          <w:p w:rsidR="00E35C67" w:rsidRDefault="00E35C67" w:rsidP="009B08DD">
            <w:pPr>
              <w:pStyle w:val="IASBTableArial"/>
              <w:keepNext/>
              <w:jc w:val="right"/>
            </w:pPr>
            <w:r>
              <w:t>CU100</w:t>
            </w:r>
          </w:p>
        </w:tc>
      </w:tr>
      <w:tr w:rsidR="00E35C67" w:rsidTr="002C41A7">
        <w:trPr>
          <w:cantSplit/>
        </w:trPr>
        <w:tc>
          <w:tcPr>
            <w:tcW w:w="5969" w:type="dxa"/>
            <w:tcBorders>
              <w:top w:val="nil"/>
            </w:tcBorders>
          </w:tcPr>
          <w:p w:rsidR="00E35C67" w:rsidRDefault="00E35C67" w:rsidP="002C41A7">
            <w:pPr>
              <w:pStyle w:val="IASBTableArial"/>
            </w:pPr>
            <w:r>
              <w:t>Market price per share on 31 December 20X2</w:t>
            </w:r>
          </w:p>
        </w:tc>
        <w:tc>
          <w:tcPr>
            <w:tcW w:w="2275" w:type="dxa"/>
            <w:tcBorders>
              <w:top w:val="nil"/>
              <w:left w:val="nil"/>
            </w:tcBorders>
            <w:vAlign w:val="bottom"/>
          </w:tcPr>
          <w:p w:rsidR="00E35C67" w:rsidRDefault="00E35C67" w:rsidP="002C41A7">
            <w:pPr>
              <w:pStyle w:val="IASBTableArial"/>
              <w:jc w:val="right"/>
            </w:pPr>
            <w:r>
              <w:t>CU110</w:t>
            </w:r>
          </w:p>
        </w:tc>
      </w:tr>
      <w:tr w:rsidR="00E35C67" w:rsidTr="002C41A7">
        <w:trPr>
          <w:cantSplit/>
        </w:trPr>
        <w:tc>
          <w:tcPr>
            <w:tcW w:w="5969" w:type="dxa"/>
            <w:tcBorders>
              <w:top w:val="nil"/>
            </w:tcBorders>
          </w:tcPr>
          <w:p w:rsidR="00E35C67" w:rsidRDefault="00E35C67" w:rsidP="002C41A7">
            <w:pPr>
              <w:pStyle w:val="IASBTableArial"/>
            </w:pPr>
            <w:r>
              <w:t>Market price per share on 31 January 20X3</w:t>
            </w:r>
          </w:p>
        </w:tc>
        <w:tc>
          <w:tcPr>
            <w:tcW w:w="2275" w:type="dxa"/>
            <w:tcBorders>
              <w:top w:val="nil"/>
              <w:left w:val="nil"/>
            </w:tcBorders>
            <w:vAlign w:val="bottom"/>
          </w:tcPr>
          <w:p w:rsidR="00E35C67" w:rsidRDefault="00E35C67" w:rsidP="002C41A7">
            <w:pPr>
              <w:pStyle w:val="IASBTableArial"/>
              <w:jc w:val="right"/>
            </w:pPr>
            <w:r>
              <w:t>CU106</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Fixed forward price to be paid on 31 January 20X3</w:t>
            </w:r>
          </w:p>
        </w:tc>
        <w:tc>
          <w:tcPr>
            <w:tcW w:w="2275" w:type="dxa"/>
            <w:tcBorders>
              <w:top w:val="nil"/>
              <w:left w:val="nil"/>
            </w:tcBorders>
            <w:vAlign w:val="bottom"/>
          </w:tcPr>
          <w:p w:rsidR="00E35C67" w:rsidRDefault="00E35C67" w:rsidP="002C41A7">
            <w:pPr>
              <w:pStyle w:val="IASBTableArial"/>
              <w:jc w:val="right"/>
            </w:pPr>
            <w:r>
              <w:t>CU104</w:t>
            </w:r>
          </w:p>
        </w:tc>
      </w:tr>
      <w:tr w:rsidR="00E35C67" w:rsidTr="002C41A7">
        <w:trPr>
          <w:cantSplit/>
        </w:trPr>
        <w:tc>
          <w:tcPr>
            <w:tcW w:w="5969" w:type="dxa"/>
            <w:tcBorders>
              <w:top w:val="nil"/>
            </w:tcBorders>
          </w:tcPr>
          <w:p w:rsidR="00E35C67" w:rsidRDefault="00E35C67" w:rsidP="002C41A7">
            <w:pPr>
              <w:pStyle w:val="IASBTableArial"/>
            </w:pPr>
            <w:r>
              <w:t>Present value of forward price on 1 February 20X2</w:t>
            </w:r>
          </w:p>
        </w:tc>
        <w:tc>
          <w:tcPr>
            <w:tcW w:w="2275"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969" w:type="dxa"/>
            <w:tcBorders>
              <w:top w:val="nil"/>
            </w:tcBorders>
          </w:tcPr>
          <w:p w:rsidR="00E35C67" w:rsidRDefault="00E35C67" w:rsidP="002C41A7">
            <w:pPr>
              <w:pStyle w:val="IASBTableArial"/>
            </w:pPr>
            <w:r>
              <w:t>Number of shares under forward contract</w:t>
            </w:r>
          </w:p>
        </w:tc>
        <w:tc>
          <w:tcPr>
            <w:tcW w:w="2275" w:type="dxa"/>
            <w:tcBorders>
              <w:top w:val="nil"/>
              <w:left w:val="nil"/>
            </w:tcBorders>
            <w:vAlign w:val="bottom"/>
          </w:tcPr>
          <w:p w:rsidR="00E35C67" w:rsidRDefault="00E35C67" w:rsidP="002C41A7">
            <w:pPr>
              <w:pStyle w:val="IASBTableArial"/>
              <w:jc w:val="right"/>
            </w:pPr>
            <w:r>
              <w:t>1,000</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Fair value of forward on 1 February 20X2</w:t>
            </w:r>
          </w:p>
        </w:tc>
        <w:tc>
          <w:tcPr>
            <w:tcW w:w="2275" w:type="dxa"/>
            <w:tcBorders>
              <w:top w:val="nil"/>
              <w:left w:val="nil"/>
            </w:tcBorders>
            <w:vAlign w:val="bottom"/>
          </w:tcPr>
          <w:p w:rsidR="00E35C67" w:rsidRDefault="00E35C67" w:rsidP="002C41A7">
            <w:pPr>
              <w:pStyle w:val="IASBTableArial"/>
              <w:jc w:val="right"/>
            </w:pPr>
            <w:r>
              <w:t>CU0</w:t>
            </w:r>
          </w:p>
        </w:tc>
      </w:tr>
      <w:tr w:rsidR="00E35C67" w:rsidTr="002C41A7">
        <w:trPr>
          <w:cantSplit/>
        </w:trPr>
        <w:tc>
          <w:tcPr>
            <w:tcW w:w="5969" w:type="dxa"/>
            <w:tcBorders>
              <w:top w:val="nil"/>
            </w:tcBorders>
          </w:tcPr>
          <w:p w:rsidR="00E35C67" w:rsidRDefault="00E35C67" w:rsidP="002C41A7">
            <w:pPr>
              <w:pStyle w:val="IASBTableArial"/>
            </w:pPr>
            <w:r>
              <w:t>Fair value of forward on 31 December 20X2</w:t>
            </w:r>
          </w:p>
        </w:tc>
        <w:tc>
          <w:tcPr>
            <w:tcW w:w="2275" w:type="dxa"/>
            <w:tcBorders>
              <w:top w:val="nil"/>
              <w:left w:val="nil"/>
            </w:tcBorders>
            <w:vAlign w:val="bottom"/>
          </w:tcPr>
          <w:p w:rsidR="00E35C67" w:rsidRDefault="00E35C67" w:rsidP="002C41A7">
            <w:pPr>
              <w:pStyle w:val="IASBTableArial"/>
              <w:jc w:val="right"/>
            </w:pPr>
            <w:r>
              <w:t>(CU6,300)</w:t>
            </w:r>
          </w:p>
        </w:tc>
      </w:tr>
      <w:tr w:rsidR="00E35C67" w:rsidTr="002C41A7">
        <w:trPr>
          <w:cantSplit/>
        </w:trPr>
        <w:tc>
          <w:tcPr>
            <w:tcW w:w="5969" w:type="dxa"/>
            <w:tcBorders>
              <w:top w:val="nil"/>
            </w:tcBorders>
          </w:tcPr>
          <w:p w:rsidR="00E35C67" w:rsidRDefault="00E35C67" w:rsidP="002C41A7">
            <w:pPr>
              <w:pStyle w:val="IASBTableArial"/>
            </w:pPr>
            <w:r>
              <w:t>Fair value of forward on 31 January 20X3</w:t>
            </w:r>
          </w:p>
        </w:tc>
        <w:tc>
          <w:tcPr>
            <w:tcW w:w="2275"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SectionTitle4Ind"/>
      </w:pPr>
      <w:r>
        <w:lastRenderedPageBreak/>
        <w:t>(a) Cash for cash (‘net cash settlement’)</w:t>
      </w:r>
    </w:p>
    <w:p w:rsidR="00E35C67" w:rsidRDefault="00E35C67" w:rsidP="00E35C67">
      <w:pPr>
        <w:pStyle w:val="IASBNormalnpara"/>
      </w:pPr>
      <w:r>
        <w:t>IE8</w:t>
      </w:r>
      <w:r>
        <w:tab/>
        <w:t>On 1 February 20X2, Entity A enters into a contract with Entity B to pay the fair value of 1,000 of Entity A’s own outstanding ordinary shares as of 31 January 20X3 in exchange for CU104,000 in cash (ie CU104 per share) on 31 January 20X3. The contract will be settled net in cash. Entity A records the following journal entries.</w:t>
      </w:r>
    </w:p>
    <w:p w:rsidR="00E35C67" w:rsidRDefault="00E35C67" w:rsidP="00E35C67">
      <w:pPr>
        <w:pStyle w:val="IASBSectionTitle5Ind"/>
      </w:pPr>
      <w:r>
        <w:t>1 February 20X2</w:t>
      </w:r>
    </w:p>
    <w:p w:rsidR="00E35C67" w:rsidRDefault="00E35C67" w:rsidP="00E35C67">
      <w:pPr>
        <w:pStyle w:val="IASBNormalnpara"/>
      </w:pPr>
      <w:r>
        <w:tab/>
      </w:r>
      <w:r>
        <w:rPr>
          <w:i/>
        </w:rPr>
        <w:t>No entry is required because the fair value of the derivative is zero and no cash is paid or received.</w:t>
      </w:r>
    </w:p>
    <w:p w:rsidR="00E35C67" w:rsidRDefault="00E35C67" w:rsidP="00E35C67">
      <w:pPr>
        <w:pStyle w:val="IASBSectionTitle5Ind"/>
      </w:pPr>
      <w:r>
        <w:t>31 December 20X2</w:t>
      </w:r>
    </w:p>
    <w:tbl>
      <w:tblPr>
        <w:tblW w:w="8216" w:type="dxa"/>
        <w:tblInd w:w="964" w:type="dxa"/>
        <w:tblLayout w:type="fixed"/>
        <w:tblLook w:val="0000" w:firstRow="0" w:lastRow="0" w:firstColumn="0" w:lastColumn="0" w:noHBand="0" w:noVBand="0"/>
        <w:tblCaption w:val="AASB 132 Table 12"/>
      </w:tblPr>
      <w:tblGrid>
        <w:gridCol w:w="420"/>
        <w:gridCol w:w="236"/>
        <w:gridCol w:w="3988"/>
        <w:gridCol w:w="184"/>
        <w:gridCol w:w="1636"/>
        <w:gridCol w:w="184"/>
        <w:gridCol w:w="1427"/>
        <w:gridCol w:w="141"/>
      </w:tblGrid>
      <w:tr w:rsidR="00E35C67" w:rsidTr="00CC3590">
        <w:trPr>
          <w:gridAfter w:val="1"/>
          <w:wAfter w:w="141" w:type="dxa"/>
          <w:cantSplit/>
        </w:trPr>
        <w:tc>
          <w:tcPr>
            <w:tcW w:w="420" w:type="dxa"/>
            <w:vAlign w:val="bottom"/>
          </w:tcPr>
          <w:p w:rsidR="00E35C67" w:rsidRDefault="00E35C67" w:rsidP="002C41A7">
            <w:pPr>
              <w:pStyle w:val="IASBTableArial"/>
            </w:pPr>
            <w:r>
              <w:t>Dr</w:t>
            </w:r>
          </w:p>
        </w:tc>
        <w:tc>
          <w:tcPr>
            <w:tcW w:w="4224" w:type="dxa"/>
            <w:gridSpan w:val="2"/>
            <w:tcBorders>
              <w:left w:val="nil"/>
            </w:tcBorders>
            <w:vAlign w:val="bottom"/>
          </w:tcPr>
          <w:p w:rsidR="00E35C67" w:rsidRDefault="00E35C67" w:rsidP="002C41A7">
            <w:pPr>
              <w:pStyle w:val="IASBTableArial"/>
            </w:pPr>
            <w:r>
              <w:t>Loss</w:t>
            </w:r>
          </w:p>
        </w:tc>
        <w:tc>
          <w:tcPr>
            <w:tcW w:w="1820" w:type="dxa"/>
            <w:gridSpan w:val="2"/>
            <w:tcBorders>
              <w:left w:val="nil"/>
            </w:tcBorders>
            <w:vAlign w:val="bottom"/>
          </w:tcPr>
          <w:p w:rsidR="00E35C67" w:rsidRDefault="00E35C67" w:rsidP="002C41A7">
            <w:pPr>
              <w:pStyle w:val="IASBTableArial"/>
              <w:jc w:val="right"/>
            </w:pPr>
            <w:r>
              <w:t>CU6,300</w:t>
            </w:r>
          </w:p>
        </w:tc>
        <w:tc>
          <w:tcPr>
            <w:tcW w:w="1611" w:type="dxa"/>
            <w:gridSpan w:val="2"/>
            <w:tcBorders>
              <w:left w:val="nil"/>
            </w:tcBorders>
            <w:vAlign w:val="bottom"/>
          </w:tcPr>
          <w:p w:rsidR="00E35C67" w:rsidRDefault="00E35C67" w:rsidP="002C41A7">
            <w:pPr>
              <w:pStyle w:val="IASBTableArial"/>
            </w:pPr>
          </w:p>
        </w:tc>
      </w:tr>
      <w:tr w:rsidR="00E35C67" w:rsidTr="00CC3590">
        <w:trPr>
          <w:cantSplit/>
        </w:trPr>
        <w:tc>
          <w:tcPr>
            <w:tcW w:w="420" w:type="dxa"/>
            <w:tcBorders>
              <w:top w:val="nil"/>
            </w:tcBorders>
            <w:vAlign w:val="bottom"/>
          </w:tcPr>
          <w:p w:rsidR="00E35C67" w:rsidRDefault="00E35C67" w:rsidP="002C41A7">
            <w:pPr>
              <w:pStyle w:val="IASBTableArial"/>
            </w:pPr>
          </w:p>
        </w:tc>
        <w:tc>
          <w:tcPr>
            <w:tcW w:w="236" w:type="dxa"/>
            <w:tcBorders>
              <w:top w:val="nil"/>
              <w:left w:val="nil"/>
            </w:tcBorders>
            <w:vAlign w:val="bottom"/>
          </w:tcPr>
          <w:p w:rsidR="00E35C67" w:rsidRDefault="00E35C67" w:rsidP="002C41A7">
            <w:pPr>
              <w:pStyle w:val="IASBTableArial"/>
            </w:pPr>
            <w:r>
              <w:t>Cr</w:t>
            </w:r>
          </w:p>
        </w:tc>
        <w:tc>
          <w:tcPr>
            <w:tcW w:w="4172" w:type="dxa"/>
            <w:gridSpan w:val="2"/>
            <w:tcBorders>
              <w:top w:val="nil"/>
              <w:left w:val="nil"/>
            </w:tcBorders>
            <w:vAlign w:val="bottom"/>
          </w:tcPr>
          <w:p w:rsidR="00E35C67" w:rsidRDefault="00E35C67" w:rsidP="002C41A7">
            <w:pPr>
              <w:pStyle w:val="IASBTableArial"/>
            </w:pPr>
            <w:r>
              <w:t>Forward liability</w:t>
            </w:r>
          </w:p>
        </w:tc>
        <w:tc>
          <w:tcPr>
            <w:tcW w:w="1820" w:type="dxa"/>
            <w:gridSpan w:val="2"/>
            <w:tcBorders>
              <w:top w:val="nil"/>
              <w:left w:val="nil"/>
            </w:tcBorders>
            <w:vAlign w:val="bottom"/>
          </w:tcPr>
          <w:p w:rsidR="00E35C67" w:rsidRDefault="00E35C67" w:rsidP="002C41A7">
            <w:pPr>
              <w:pStyle w:val="IASBTableArial"/>
            </w:pPr>
          </w:p>
        </w:tc>
        <w:tc>
          <w:tcPr>
            <w:tcW w:w="1568" w:type="dxa"/>
            <w:gridSpan w:val="2"/>
            <w:tcBorders>
              <w:top w:val="nil"/>
              <w:left w:val="nil"/>
            </w:tcBorders>
            <w:vAlign w:val="bottom"/>
          </w:tcPr>
          <w:p w:rsidR="00E35C67" w:rsidRDefault="00E35C67" w:rsidP="002C41A7">
            <w:pPr>
              <w:pStyle w:val="IASBTableArial"/>
              <w:jc w:val="right"/>
            </w:pPr>
            <w:r>
              <w:t>CU6,300</w:t>
            </w:r>
          </w:p>
        </w:tc>
      </w:tr>
    </w:tbl>
    <w:p w:rsidR="00E35C67" w:rsidRDefault="00E35C67" w:rsidP="00E35C67">
      <w:pPr>
        <w:pStyle w:val="IASBNormalnparaP"/>
      </w:pPr>
      <w:r>
        <w:rPr>
          <w:i/>
        </w:rPr>
        <w:t>To record the decrease in the fair value of the forward contract.</w:t>
      </w:r>
    </w:p>
    <w:p w:rsidR="00E35C67" w:rsidRDefault="00E35C67" w:rsidP="00E35C67">
      <w:pPr>
        <w:pStyle w:val="IASBSectionTitle5Ind"/>
      </w:pPr>
      <w:r>
        <w:t>31 January 20X3</w:t>
      </w:r>
    </w:p>
    <w:tbl>
      <w:tblPr>
        <w:tblW w:w="8284" w:type="dxa"/>
        <w:tblInd w:w="964" w:type="dxa"/>
        <w:tblLayout w:type="fixed"/>
        <w:tblLook w:val="0000" w:firstRow="0" w:lastRow="0" w:firstColumn="0" w:lastColumn="0" w:noHBand="0" w:noVBand="0"/>
        <w:tblCaption w:val="AASB 132 Table 13"/>
      </w:tblPr>
      <w:tblGrid>
        <w:gridCol w:w="562"/>
        <w:gridCol w:w="709"/>
        <w:gridCol w:w="3373"/>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Forward liability</w:t>
            </w:r>
          </w:p>
        </w:tc>
        <w:tc>
          <w:tcPr>
            <w:tcW w:w="1820" w:type="dxa"/>
            <w:gridSpan w:val="2"/>
            <w:tcBorders>
              <w:left w:val="nil"/>
            </w:tcBorders>
            <w:vAlign w:val="bottom"/>
          </w:tcPr>
          <w:p w:rsidR="00E35C67" w:rsidRDefault="00E35C67" w:rsidP="002C41A7">
            <w:pPr>
              <w:pStyle w:val="IASBTableArial"/>
              <w:jc w:val="right"/>
            </w:pPr>
            <w:r>
              <w:t>CU4,300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Gain</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CU4,300</w:t>
            </w:r>
          </w:p>
        </w:tc>
      </w:tr>
    </w:tbl>
    <w:p w:rsidR="00E35C67" w:rsidRDefault="00E35C67" w:rsidP="00E35C67">
      <w:pPr>
        <w:pStyle w:val="IASBNormalnparaP"/>
      </w:pPr>
      <w:r>
        <w:rPr>
          <w:i/>
        </w:rPr>
        <w:t>To record the increase in the fair value of the forward contract (ie CU4,300 = CU6,300 – CU2,000).</w:t>
      </w:r>
    </w:p>
    <w:p w:rsidR="00E35C67" w:rsidRDefault="00E35C67" w:rsidP="00E35C67">
      <w:pPr>
        <w:pStyle w:val="IASBNormalnparaP"/>
      </w:pPr>
      <w:r>
        <w:t>The contract is settled net in cash. Entity B has an obligation to deliver CU104,000 to Entity A, and Entity A has an obligation to deliver CU106,000 (CU106 × 1,000) to Entity B. Thus, Entity A pays the net amount of CU2,000 to Entity B.</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14"/>
      </w:tblPr>
      <w:tblGrid>
        <w:gridCol w:w="562"/>
        <w:gridCol w:w="709"/>
        <w:gridCol w:w="3373"/>
        <w:gridCol w:w="326"/>
        <w:gridCol w:w="1494"/>
        <w:gridCol w:w="326"/>
        <w:gridCol w:w="1426"/>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Forward liability</w:t>
            </w:r>
          </w:p>
        </w:tc>
        <w:tc>
          <w:tcPr>
            <w:tcW w:w="1820" w:type="dxa"/>
            <w:gridSpan w:val="2"/>
            <w:tcBorders>
              <w:left w:val="nil"/>
            </w:tcBorders>
            <w:vAlign w:val="bottom"/>
          </w:tcPr>
          <w:p w:rsidR="00E35C67" w:rsidRDefault="00E35C67" w:rsidP="002C41A7">
            <w:pPr>
              <w:pStyle w:val="IASBTableArial"/>
              <w:jc w:val="right"/>
            </w:pPr>
            <w:r>
              <w:t>CU2,000</w:t>
            </w:r>
          </w:p>
        </w:tc>
        <w:tc>
          <w:tcPr>
            <w:tcW w:w="1752" w:type="dxa"/>
            <w:gridSpan w:val="2"/>
            <w:tcBorders>
              <w:left w:val="nil"/>
            </w:tcBorders>
            <w:vAlign w:val="bottom"/>
          </w:tcPr>
          <w:p w:rsidR="00E35C67" w:rsidRDefault="00E35C67" w:rsidP="002C41A7">
            <w:pPr>
              <w:pStyle w:val="IASBTableArial"/>
            </w:pPr>
          </w:p>
        </w:tc>
      </w:tr>
      <w:tr w:rsidR="00E35C67" w:rsidTr="00CC3590">
        <w:trPr>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C2,000</w:t>
            </w:r>
          </w:p>
        </w:tc>
      </w:tr>
    </w:tbl>
    <w:p w:rsidR="00E35C67" w:rsidRDefault="00E35C67" w:rsidP="00E35C67">
      <w:pPr>
        <w:pStyle w:val="IASBNormalnparaP"/>
      </w:pPr>
      <w:r>
        <w:rPr>
          <w:i/>
        </w:rPr>
        <w:t>To record the settlement of the forward contract.</w:t>
      </w:r>
    </w:p>
    <w:p w:rsidR="00E35C67" w:rsidRDefault="00E35C67" w:rsidP="00E35C67">
      <w:pPr>
        <w:pStyle w:val="IASBSectionTitle4Ind"/>
      </w:pPr>
      <w:r>
        <w:t>(b) Shares for shares (‘net share settlement’)</w:t>
      </w:r>
    </w:p>
    <w:p w:rsidR="00E35C67" w:rsidRDefault="00E35C67" w:rsidP="00E35C67">
      <w:pPr>
        <w:pStyle w:val="IASBNormalnpara"/>
      </w:pPr>
      <w:r>
        <w:t>IE9</w:t>
      </w:r>
      <w:r>
        <w:tab/>
        <w:t>Assume the same facts as in (a) except that settlement will be made net in shares instead of net in cash. Entity A’s journal entries are the same as those shown in (a), except:</w:t>
      </w:r>
    </w:p>
    <w:p w:rsidR="00E35C67" w:rsidRDefault="00E35C67" w:rsidP="00E35C67">
      <w:pPr>
        <w:pStyle w:val="IASBSectionTitle5Ind"/>
      </w:pPr>
      <w:r>
        <w:t>31 January 20X3</w:t>
      </w:r>
    </w:p>
    <w:p w:rsidR="00E35C67" w:rsidRDefault="00E35C67" w:rsidP="00E35C67">
      <w:pPr>
        <w:pStyle w:val="IASBNormalnpara"/>
      </w:pPr>
      <w:r>
        <w:tab/>
        <w:t xml:space="preserve">The contract is settled net in shares. Entity A has a right to receive CU104,000 (CU104 × 1,000) worth of its shares and an obligation to deliver CU106,000 (CU106 × 1,000) worth of its shares to Entity B. Thus, Entity A delivers a net amount of CU2,000 (CU106,000 – CU104,000) worth of its shares to Entity B, ie 18.9 shares (CU2,000/CU106). </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15"/>
      </w:tblPr>
      <w:tblGrid>
        <w:gridCol w:w="562"/>
        <w:gridCol w:w="709"/>
        <w:gridCol w:w="3373"/>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Forward liability</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forward contract. The issue of the entity’s own shares is treated as an equity transaction.</w:t>
      </w:r>
    </w:p>
    <w:p w:rsidR="00E35C67" w:rsidRDefault="00E35C67" w:rsidP="00E35C67">
      <w:pPr>
        <w:pStyle w:val="IASBSectionTitle4Ind"/>
      </w:pPr>
      <w:r>
        <w:t>(c) Shares for cash (‘gross physical settlement’)</w:t>
      </w:r>
    </w:p>
    <w:p w:rsidR="00E35C67" w:rsidRDefault="00E35C67" w:rsidP="00E35C67">
      <w:pPr>
        <w:pStyle w:val="IASBNormalnpara"/>
      </w:pPr>
      <w:r>
        <w:t>IE10</w:t>
      </w:r>
      <w:r>
        <w:tab/>
        <w:t xml:space="preserve">Assume the same facts as in (a), except that settlement will be made by receiving a fixed amount of cash and delivering a fixed number of the entity’s own shares. Similarly to (a) and (b) above, the price per share that Entity A will receive in one year is fixed at CU104. Accordingly, Entity A has a right to receive </w:t>
      </w:r>
      <w:r>
        <w:lastRenderedPageBreak/>
        <w:t>CU104,000 in cash (CU104 × 1,000) and an obligation to deliver 1,000 of its own shares in one year. Entity A records the following journal entries.</w:t>
      </w:r>
    </w:p>
    <w:p w:rsidR="00E35C67" w:rsidRDefault="00E35C67" w:rsidP="00E35C67">
      <w:pPr>
        <w:pStyle w:val="IASBSectionTitle5Ind"/>
      </w:pPr>
      <w:r>
        <w:t>1 February 20X2</w:t>
      </w:r>
    </w:p>
    <w:p w:rsidR="00E35C67" w:rsidRDefault="00E35C67" w:rsidP="00E35C67">
      <w:pPr>
        <w:pStyle w:val="IASBNormalnpara"/>
      </w:pPr>
      <w:r>
        <w:tab/>
      </w:r>
      <w:r>
        <w:rPr>
          <w:i/>
        </w:rPr>
        <w:t>No entry is made on 1 February. No cash is paid or received because the forward has an initial fair value of zero. A forward contract to deliver a fixed number of Entity A’s own shares in exchange for a fixed amount of cash or another financial asset meets the definition of an equity instrument because it cannot be settled otherwise than through the delivery of shares in exchange for cash.</w:t>
      </w:r>
    </w:p>
    <w:p w:rsidR="00E35C67" w:rsidRDefault="00E35C67" w:rsidP="00E35C67">
      <w:pPr>
        <w:pStyle w:val="IASBSectionTitle5Ind"/>
      </w:pPr>
      <w:r>
        <w:t>31 December 20X2</w:t>
      </w:r>
    </w:p>
    <w:p w:rsidR="00E35C67" w:rsidRDefault="00E35C67" w:rsidP="00E35C67">
      <w:pPr>
        <w:pStyle w:val="IASBNormalnpara"/>
      </w:pPr>
      <w:r>
        <w:tab/>
      </w:r>
      <w:r>
        <w:rPr>
          <w:i/>
        </w:rPr>
        <w:t>No entry is made on 31 December because no cash is paid or received and a contract to deliver a fixed number of Entity A’s own shares in exchange for a fixed amount of cash meets the definition of an equity instrument of the entity.</w:t>
      </w:r>
    </w:p>
    <w:p w:rsidR="00E35C67" w:rsidRDefault="00E35C67" w:rsidP="00E35C67">
      <w:pPr>
        <w:pStyle w:val="IASBSectionTitle5Ind"/>
      </w:pPr>
      <w:r>
        <w:t>31 January 20X3</w:t>
      </w:r>
    </w:p>
    <w:p w:rsidR="00E35C67" w:rsidRDefault="00E35C67" w:rsidP="00E35C67">
      <w:pPr>
        <w:pStyle w:val="IASBNormalnpara"/>
      </w:pPr>
      <w:r>
        <w:tab/>
        <w:t>On 31 January 20X3, Entity A receives CU104,000 in cash and delivers 1,000 shares.</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16"/>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CU104,000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CU104,000</w:t>
            </w:r>
          </w:p>
        </w:tc>
      </w:tr>
    </w:tbl>
    <w:p w:rsidR="00E35C67" w:rsidRDefault="00E35C67" w:rsidP="00E35C67">
      <w:pPr>
        <w:pStyle w:val="IASBNormalnparaP"/>
      </w:pPr>
      <w:r>
        <w:rPr>
          <w:i/>
        </w:rPr>
        <w:t>To record the settlement of the forward contract.</w:t>
      </w:r>
    </w:p>
    <w:p w:rsidR="00E35C67" w:rsidRDefault="00E35C67" w:rsidP="00E35C67">
      <w:pPr>
        <w:pStyle w:val="IASBSectionTitle4Ind"/>
      </w:pPr>
      <w:r>
        <w:t>(d) Settlement options</w:t>
      </w:r>
    </w:p>
    <w:p w:rsidR="00E35C67" w:rsidRDefault="00E35C67" w:rsidP="00E35C67">
      <w:pPr>
        <w:pStyle w:val="IASBNormalnpara"/>
      </w:pPr>
      <w:r>
        <w:t>IE11</w:t>
      </w:r>
      <w:r>
        <w:tab/>
        <w:t>The existence of settlement options (such as net in cash, net in shares or by an exchange of cash and shares) has the result that the forward contract is a financial asset or a financial liability. It does not meet the definition of an equity instrument because it can be settled otherwise than by Entity A repurchasing a fixed number of its own shares in exchange for paying a fixed amount of cash or another financial asset. Entity A recognises a derivative asset or liability, as illustrated in (a) and (b) above. The accounting entry to be made on settlement depends on how the contract is actually settled.</w:t>
      </w:r>
    </w:p>
    <w:p w:rsidR="00E35C67" w:rsidRDefault="00E35C67" w:rsidP="00E35C67">
      <w:pPr>
        <w:pStyle w:val="IASBSectionTitle2Ind"/>
      </w:pPr>
      <w:r>
        <w:t>Example 3: Purchased call option on shares</w:t>
      </w:r>
    </w:p>
    <w:p w:rsidR="00E35C67" w:rsidRDefault="00E35C67" w:rsidP="00E35C67">
      <w:pPr>
        <w:pStyle w:val="IASBNormalnpara"/>
      </w:pPr>
      <w:r>
        <w:t>IE12</w:t>
      </w:r>
      <w:r>
        <w:tab/>
        <w:t>This example illustrates the journal entries for a purchased call option right on the entity’s own shares that will be settled (a) net in cash, (b) net in shares or (c) by delivering cash in exchange for the entity’s own shares. It also discusses the effect of settlement options (see (d) below):</w:t>
      </w:r>
    </w:p>
    <w:p w:rsidR="00E35C67" w:rsidRDefault="00E35C67" w:rsidP="00E35C67">
      <w:pPr>
        <w:pStyle w:val="IASBNormalnpara"/>
      </w:pPr>
    </w:p>
    <w:tbl>
      <w:tblPr>
        <w:tblW w:w="0" w:type="auto"/>
        <w:tblInd w:w="964" w:type="dxa"/>
        <w:tblLayout w:type="fixed"/>
        <w:tblLook w:val="0000" w:firstRow="0" w:lastRow="0" w:firstColumn="0" w:lastColumn="0" w:noHBand="0" w:noVBand="0"/>
        <w:tblCaption w:val="AASB 132 Table 17"/>
      </w:tblPr>
      <w:tblGrid>
        <w:gridCol w:w="5969"/>
        <w:gridCol w:w="2275"/>
      </w:tblGrid>
      <w:tr w:rsidR="00E35C67" w:rsidTr="002C41A7">
        <w:trPr>
          <w:cantSplit/>
        </w:trPr>
        <w:tc>
          <w:tcPr>
            <w:tcW w:w="8244" w:type="dxa"/>
            <w:gridSpan w:val="2"/>
            <w:vAlign w:val="bottom"/>
          </w:tcPr>
          <w:p w:rsidR="00E35C67" w:rsidRDefault="00E35C67" w:rsidP="002C41A7">
            <w:pPr>
              <w:pStyle w:val="IASBTableTNR"/>
            </w:pPr>
            <w:r>
              <w:rPr>
                <w:i/>
              </w:rPr>
              <w:t>Assumptions:</w:t>
            </w:r>
          </w:p>
        </w:tc>
      </w:tr>
      <w:tr w:rsidR="00E35C67" w:rsidTr="002C41A7">
        <w:trPr>
          <w:cantSplit/>
        </w:trPr>
        <w:tc>
          <w:tcPr>
            <w:tcW w:w="5969" w:type="dxa"/>
            <w:tcBorders>
              <w:top w:val="nil"/>
            </w:tcBorders>
          </w:tcPr>
          <w:p w:rsidR="00E35C67" w:rsidRDefault="00E35C67" w:rsidP="002C41A7">
            <w:pPr>
              <w:pStyle w:val="IASBTableArial"/>
            </w:pPr>
            <w:r>
              <w:t>Contract date</w:t>
            </w:r>
          </w:p>
        </w:tc>
        <w:tc>
          <w:tcPr>
            <w:tcW w:w="2275" w:type="dxa"/>
            <w:tcBorders>
              <w:top w:val="nil"/>
              <w:left w:val="nil"/>
            </w:tcBorders>
            <w:vAlign w:val="bottom"/>
          </w:tcPr>
          <w:p w:rsidR="00E35C67" w:rsidRDefault="00E35C67" w:rsidP="002C41A7">
            <w:pPr>
              <w:pStyle w:val="IASBTableArial"/>
              <w:jc w:val="right"/>
            </w:pPr>
            <w:r>
              <w:t>1 February 20X2</w:t>
            </w:r>
          </w:p>
        </w:tc>
      </w:tr>
      <w:tr w:rsidR="00E35C67" w:rsidTr="002C41A7">
        <w:trPr>
          <w:cantSplit/>
        </w:trPr>
        <w:tc>
          <w:tcPr>
            <w:tcW w:w="5969" w:type="dxa"/>
            <w:tcBorders>
              <w:top w:val="nil"/>
            </w:tcBorders>
          </w:tcPr>
          <w:p w:rsidR="00E35C67" w:rsidRDefault="00E35C67" w:rsidP="002C41A7">
            <w:pPr>
              <w:pStyle w:val="IASBTableArial"/>
            </w:pPr>
            <w:r>
              <w:t>Exercise date</w:t>
            </w:r>
          </w:p>
        </w:tc>
        <w:tc>
          <w:tcPr>
            <w:tcW w:w="2275" w:type="dxa"/>
            <w:tcBorders>
              <w:top w:val="nil"/>
              <w:left w:val="nil"/>
            </w:tcBorders>
            <w:vAlign w:val="bottom"/>
          </w:tcPr>
          <w:p w:rsidR="00E35C67" w:rsidRDefault="00E35C67" w:rsidP="002C41A7">
            <w:pPr>
              <w:pStyle w:val="IASBTableArial"/>
              <w:jc w:val="right"/>
            </w:pPr>
            <w:r>
              <w:t>31 January 20X3</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(European terms, ie it can be exercised only at maturity)</w:t>
            </w:r>
          </w:p>
        </w:tc>
      </w:tr>
      <w:tr w:rsidR="00E35C67" w:rsidTr="002C41A7">
        <w:trPr>
          <w:cantSplit/>
        </w:trPr>
        <w:tc>
          <w:tcPr>
            <w:tcW w:w="5969" w:type="dxa"/>
            <w:tcBorders>
              <w:top w:val="nil"/>
            </w:tcBorders>
          </w:tcPr>
          <w:p w:rsidR="00E35C67" w:rsidRDefault="00E35C67" w:rsidP="002C41A7">
            <w:pPr>
              <w:pStyle w:val="IASBTableArial"/>
            </w:pPr>
            <w:r>
              <w:t>Exercise right holder</w:t>
            </w:r>
          </w:p>
        </w:tc>
        <w:tc>
          <w:tcPr>
            <w:tcW w:w="2275" w:type="dxa"/>
            <w:tcBorders>
              <w:top w:val="nil"/>
              <w:left w:val="nil"/>
            </w:tcBorders>
            <w:vAlign w:val="bottom"/>
          </w:tcPr>
          <w:p w:rsidR="00E35C67" w:rsidRDefault="00E35C67" w:rsidP="002C41A7">
            <w:pPr>
              <w:pStyle w:val="IASBTableArial"/>
              <w:jc w:val="right"/>
            </w:pPr>
            <w:r>
              <w:t>Reporting entity</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(Entity A)</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Market price per share on 1 February 20X2</w:t>
            </w:r>
          </w:p>
        </w:tc>
        <w:tc>
          <w:tcPr>
            <w:tcW w:w="2275"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969" w:type="dxa"/>
            <w:tcBorders>
              <w:top w:val="nil"/>
            </w:tcBorders>
          </w:tcPr>
          <w:p w:rsidR="00E35C67" w:rsidRDefault="00E35C67" w:rsidP="002C41A7">
            <w:pPr>
              <w:pStyle w:val="IASBTableArial"/>
            </w:pPr>
            <w:r>
              <w:t>Market price per share on 31 December 20X2</w:t>
            </w:r>
          </w:p>
        </w:tc>
        <w:tc>
          <w:tcPr>
            <w:tcW w:w="2275" w:type="dxa"/>
            <w:tcBorders>
              <w:top w:val="nil"/>
              <w:left w:val="nil"/>
            </w:tcBorders>
            <w:vAlign w:val="bottom"/>
          </w:tcPr>
          <w:p w:rsidR="00E35C67" w:rsidRDefault="00E35C67" w:rsidP="002C41A7">
            <w:pPr>
              <w:pStyle w:val="IASBTableArial"/>
              <w:jc w:val="right"/>
            </w:pPr>
            <w:r>
              <w:t>CU104</w:t>
            </w:r>
          </w:p>
        </w:tc>
      </w:tr>
      <w:tr w:rsidR="00E35C67" w:rsidTr="002C41A7">
        <w:trPr>
          <w:cantSplit/>
        </w:trPr>
        <w:tc>
          <w:tcPr>
            <w:tcW w:w="5969" w:type="dxa"/>
            <w:tcBorders>
              <w:top w:val="nil"/>
            </w:tcBorders>
          </w:tcPr>
          <w:p w:rsidR="00E35C67" w:rsidRDefault="00E35C67" w:rsidP="002C41A7">
            <w:pPr>
              <w:pStyle w:val="IASBTableArial"/>
            </w:pPr>
            <w:r>
              <w:t>Market price per share on 31 January 20X3</w:t>
            </w:r>
          </w:p>
        </w:tc>
        <w:tc>
          <w:tcPr>
            <w:tcW w:w="2275" w:type="dxa"/>
            <w:tcBorders>
              <w:top w:val="nil"/>
              <w:left w:val="nil"/>
            </w:tcBorders>
            <w:vAlign w:val="bottom"/>
          </w:tcPr>
          <w:p w:rsidR="00E35C67" w:rsidRDefault="00E35C67" w:rsidP="002C41A7">
            <w:pPr>
              <w:pStyle w:val="IASBTableArial"/>
              <w:jc w:val="right"/>
            </w:pPr>
            <w:r>
              <w:t>CU104</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Fixed exercise price to be paid on 31 January 20X3</w:t>
            </w:r>
          </w:p>
        </w:tc>
        <w:tc>
          <w:tcPr>
            <w:tcW w:w="2275" w:type="dxa"/>
            <w:tcBorders>
              <w:top w:val="nil"/>
              <w:left w:val="nil"/>
            </w:tcBorders>
            <w:vAlign w:val="bottom"/>
          </w:tcPr>
          <w:p w:rsidR="00E35C67" w:rsidRDefault="00E35C67" w:rsidP="002C41A7">
            <w:pPr>
              <w:pStyle w:val="IASBTableArial"/>
              <w:jc w:val="right"/>
            </w:pPr>
            <w:r>
              <w:t>CU102</w:t>
            </w:r>
          </w:p>
        </w:tc>
      </w:tr>
      <w:tr w:rsidR="00E35C67" w:rsidTr="002C41A7">
        <w:trPr>
          <w:cantSplit/>
        </w:trPr>
        <w:tc>
          <w:tcPr>
            <w:tcW w:w="5969" w:type="dxa"/>
            <w:tcBorders>
              <w:top w:val="nil"/>
            </w:tcBorders>
          </w:tcPr>
          <w:p w:rsidR="00E35C67" w:rsidRDefault="00E35C67" w:rsidP="002C41A7">
            <w:pPr>
              <w:pStyle w:val="IASBTableArial"/>
            </w:pPr>
            <w:r>
              <w:lastRenderedPageBreak/>
              <w:t>Number of shares under option contract</w:t>
            </w:r>
          </w:p>
        </w:tc>
        <w:tc>
          <w:tcPr>
            <w:tcW w:w="2275" w:type="dxa"/>
            <w:tcBorders>
              <w:top w:val="nil"/>
              <w:left w:val="nil"/>
            </w:tcBorders>
            <w:vAlign w:val="bottom"/>
          </w:tcPr>
          <w:p w:rsidR="00E35C67" w:rsidRDefault="00E35C67" w:rsidP="002C41A7">
            <w:pPr>
              <w:pStyle w:val="IASBTableArial"/>
              <w:jc w:val="right"/>
            </w:pPr>
            <w:r>
              <w:t>1,000</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Fair value of option on 1 February 20X2</w:t>
            </w:r>
          </w:p>
        </w:tc>
        <w:tc>
          <w:tcPr>
            <w:tcW w:w="2275" w:type="dxa"/>
            <w:tcBorders>
              <w:top w:val="nil"/>
              <w:left w:val="nil"/>
            </w:tcBorders>
            <w:vAlign w:val="bottom"/>
          </w:tcPr>
          <w:p w:rsidR="00E35C67" w:rsidRDefault="00E35C67" w:rsidP="002C41A7">
            <w:pPr>
              <w:pStyle w:val="IASBTableArial"/>
              <w:jc w:val="right"/>
            </w:pPr>
            <w:r>
              <w:t>CU5,000</w:t>
            </w:r>
          </w:p>
        </w:tc>
      </w:tr>
      <w:tr w:rsidR="00E35C67" w:rsidTr="002C41A7">
        <w:trPr>
          <w:cantSplit/>
        </w:trPr>
        <w:tc>
          <w:tcPr>
            <w:tcW w:w="5969" w:type="dxa"/>
            <w:tcBorders>
              <w:top w:val="nil"/>
            </w:tcBorders>
          </w:tcPr>
          <w:p w:rsidR="00E35C67" w:rsidRDefault="00E35C67" w:rsidP="002C41A7">
            <w:pPr>
              <w:pStyle w:val="IASBTableArial"/>
            </w:pPr>
            <w:r>
              <w:t>Fair value of option on 31 December 20X2</w:t>
            </w:r>
          </w:p>
        </w:tc>
        <w:tc>
          <w:tcPr>
            <w:tcW w:w="2275" w:type="dxa"/>
            <w:tcBorders>
              <w:top w:val="nil"/>
              <w:left w:val="nil"/>
            </w:tcBorders>
            <w:vAlign w:val="bottom"/>
          </w:tcPr>
          <w:p w:rsidR="00E35C67" w:rsidRDefault="00E35C67" w:rsidP="002C41A7">
            <w:pPr>
              <w:pStyle w:val="IASBTableArial"/>
              <w:jc w:val="right"/>
            </w:pPr>
            <w:r>
              <w:t>CU3,000</w:t>
            </w:r>
          </w:p>
        </w:tc>
      </w:tr>
      <w:tr w:rsidR="00E35C67" w:rsidTr="002C41A7">
        <w:trPr>
          <w:cantSplit/>
        </w:trPr>
        <w:tc>
          <w:tcPr>
            <w:tcW w:w="5969" w:type="dxa"/>
            <w:tcBorders>
              <w:top w:val="nil"/>
            </w:tcBorders>
          </w:tcPr>
          <w:p w:rsidR="00E35C67" w:rsidRDefault="00E35C67" w:rsidP="002C41A7">
            <w:pPr>
              <w:pStyle w:val="IASBTableArial"/>
            </w:pPr>
            <w:r>
              <w:t>Fair value of option on 31 January 20X3</w:t>
            </w:r>
          </w:p>
        </w:tc>
        <w:tc>
          <w:tcPr>
            <w:tcW w:w="2275"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SectionTitle4Ind"/>
      </w:pPr>
      <w:r>
        <w:t>(a) Cash for cash (‘net cash settlement’)</w:t>
      </w:r>
    </w:p>
    <w:p w:rsidR="00E35C67" w:rsidRDefault="00E35C67" w:rsidP="00E35C67">
      <w:pPr>
        <w:pStyle w:val="IASBNormalnpara"/>
      </w:pPr>
      <w:r>
        <w:t>IE13</w:t>
      </w:r>
      <w:r>
        <w:tab/>
        <w:t>On 1 February 20X2, Entity A enters into a contract with Entity B that gives Entity B the obligation to deliver, and Entity A the right to receive the fair value of 1,000 of Entity A’s own ordinary shares as of 31 January 20X3 in exchange for CU102,000 in cash (ie CU102 per share) on 31 January 20X3, if Entity A exercises that right. The contract will be settled net in cash. If Entity A does not exercise its right, no payment will be made. Entity A records the following journal entries.</w:t>
      </w:r>
    </w:p>
    <w:p w:rsidR="00E35C67" w:rsidRDefault="00E35C67" w:rsidP="00E35C67">
      <w:pPr>
        <w:pStyle w:val="IASBSectionTitle5Ind"/>
      </w:pPr>
      <w:r>
        <w:t>1 February 20X2</w:t>
      </w:r>
    </w:p>
    <w:p w:rsidR="00E35C67" w:rsidRDefault="00E35C67" w:rsidP="00E35C67">
      <w:pPr>
        <w:pStyle w:val="IASBNormalnpara"/>
      </w:pPr>
      <w:r>
        <w:tab/>
        <w:t>The price per share when the contract is agreed on 1 February 20X2 is CU100. The initial fair value of the option contract on 1 February 20X2 is CU5,000, which Entity A pays to Entity B in cash on that date. On that date, the option has no intrinsic value, only time value, because the exercise price of CU102 exceeds the market price per share of CU100 and it would therefore not be economic for Entity A to exercise the option. In other words, the call option is out of the money.</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18"/>
      </w:tblPr>
      <w:tblGrid>
        <w:gridCol w:w="562"/>
        <w:gridCol w:w="425"/>
        <w:gridCol w:w="3657"/>
        <w:gridCol w:w="184"/>
        <w:gridCol w:w="1636"/>
        <w:gridCol w:w="184"/>
        <w:gridCol w:w="15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Call option asset</w:t>
            </w:r>
          </w:p>
        </w:tc>
        <w:tc>
          <w:tcPr>
            <w:tcW w:w="1820" w:type="dxa"/>
            <w:gridSpan w:val="2"/>
            <w:tcBorders>
              <w:left w:val="nil"/>
            </w:tcBorders>
            <w:vAlign w:val="bottom"/>
          </w:tcPr>
          <w:p w:rsidR="00E35C67" w:rsidRDefault="00E35C67" w:rsidP="002C41A7">
            <w:pPr>
              <w:pStyle w:val="IASBTableArial"/>
              <w:jc w:val="right"/>
            </w:pPr>
            <w:r>
              <w:t>CU5,000</w:t>
            </w:r>
          </w:p>
        </w:tc>
        <w:tc>
          <w:tcPr>
            <w:tcW w:w="1752" w:type="dxa"/>
            <w:gridSpan w:val="2"/>
            <w:tcBorders>
              <w:left w:val="nil"/>
            </w:tcBorders>
            <w:vAlign w:val="bottom"/>
          </w:tcPr>
          <w:p w:rsidR="00E35C67" w:rsidRDefault="00E35C67" w:rsidP="002C41A7">
            <w:pPr>
              <w:pStyle w:val="IASBTableArial"/>
            </w:pPr>
          </w:p>
        </w:tc>
      </w:tr>
      <w:tr w:rsidR="00E35C67" w:rsidTr="00CC3590">
        <w:trPr>
          <w:cantSplit/>
        </w:trPr>
        <w:tc>
          <w:tcPr>
            <w:tcW w:w="562" w:type="dxa"/>
            <w:tcBorders>
              <w:top w:val="nil"/>
            </w:tcBorders>
            <w:vAlign w:val="bottom"/>
          </w:tcPr>
          <w:p w:rsidR="00E35C67" w:rsidRDefault="00E35C67" w:rsidP="002C41A7">
            <w:pPr>
              <w:pStyle w:val="IASBTableArial"/>
            </w:pPr>
          </w:p>
        </w:tc>
        <w:tc>
          <w:tcPr>
            <w:tcW w:w="425"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568"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recognise the purchased call option.</w:t>
      </w:r>
    </w:p>
    <w:p w:rsidR="00E35C67" w:rsidRDefault="00E35C67" w:rsidP="00E35C67">
      <w:pPr>
        <w:pStyle w:val="IASBSectionTitle5Ind"/>
      </w:pPr>
      <w:r>
        <w:t>31 December 20X2</w:t>
      </w:r>
    </w:p>
    <w:p w:rsidR="00E35C67" w:rsidRDefault="00E35C67" w:rsidP="00E35C67">
      <w:pPr>
        <w:pStyle w:val="IASBNormalnpara"/>
      </w:pPr>
      <w:r>
        <w:tab/>
        <w:t>On 31 December 20X2, the market price per share has increased to CU104. The fair value of the call option has decreased to CU3,000, of which CU2,000 is intrinsic value ([CU104 – CU102] × 1,000), and CU1,000 is the remaining time value.</w:t>
      </w:r>
    </w:p>
    <w:tbl>
      <w:tblPr>
        <w:tblW w:w="8284" w:type="dxa"/>
        <w:tblInd w:w="964" w:type="dxa"/>
        <w:tblLayout w:type="fixed"/>
        <w:tblLook w:val="0000" w:firstRow="0" w:lastRow="0" w:firstColumn="0" w:lastColumn="0" w:noHBand="0" w:noVBand="0"/>
        <w:tblCaption w:val="AASB 132 Table 19"/>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Loss</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Call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decrease in the fair value of the call option.</w:t>
      </w:r>
    </w:p>
    <w:p w:rsidR="00E35C67" w:rsidRDefault="00E35C67" w:rsidP="00E35C67">
      <w:pPr>
        <w:pStyle w:val="IASBSectionTitle5Ind"/>
      </w:pPr>
      <w:r>
        <w:t>31 January 20X3</w:t>
      </w:r>
    </w:p>
    <w:p w:rsidR="00E35C67" w:rsidRDefault="00E35C67" w:rsidP="00E35C67">
      <w:pPr>
        <w:pStyle w:val="IASBNormalnpara"/>
      </w:pPr>
      <w:r>
        <w:tab/>
        <w:t>On 31 January 20X3, the market price per share is still CU104. The fair value of the call option has decreased to CU2,000, which is all intrinsic value ([CU104 – CU102] × 1,000) because no time value remains.</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20"/>
      </w:tblPr>
      <w:tblGrid>
        <w:gridCol w:w="562"/>
        <w:gridCol w:w="709"/>
        <w:gridCol w:w="3373"/>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Loss</w:t>
            </w:r>
          </w:p>
        </w:tc>
        <w:tc>
          <w:tcPr>
            <w:tcW w:w="1820" w:type="dxa"/>
            <w:gridSpan w:val="2"/>
            <w:tcBorders>
              <w:left w:val="nil"/>
            </w:tcBorders>
            <w:vAlign w:val="bottom"/>
          </w:tcPr>
          <w:p w:rsidR="00E35C67" w:rsidRDefault="00E35C67" w:rsidP="002C41A7">
            <w:pPr>
              <w:pStyle w:val="IASBTableArial"/>
              <w:jc w:val="right"/>
            </w:pPr>
            <w:r>
              <w:t>CU1,000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Call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CU1,000</w:t>
            </w:r>
          </w:p>
        </w:tc>
      </w:tr>
    </w:tbl>
    <w:p w:rsidR="00E35C67" w:rsidRDefault="00E35C67" w:rsidP="00E35C67">
      <w:pPr>
        <w:pStyle w:val="IASBNormalnparaP"/>
      </w:pPr>
      <w:r>
        <w:rPr>
          <w:i/>
        </w:rPr>
        <w:t>To record the decrease in the fair value of the call option.</w:t>
      </w:r>
    </w:p>
    <w:p w:rsidR="00E35C67" w:rsidRDefault="00E35C67" w:rsidP="00E35C67">
      <w:pPr>
        <w:pStyle w:val="IASBNormalnparaP"/>
      </w:pPr>
      <w:r>
        <w:t>On the same day, Entity A exercises the call option and the contract is settled net in cash. Entity B has an obligation to deliver CU104,000 (CU104 × 1,000) to Entity A in exchange for CU102,000 (CU102 × 1,000) from Entity A, so Entity A receives a net amount of CU2,000.</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21"/>
      </w:tblPr>
      <w:tblGrid>
        <w:gridCol w:w="562"/>
        <w:gridCol w:w="567"/>
        <w:gridCol w:w="3515"/>
        <w:gridCol w:w="326"/>
        <w:gridCol w:w="1494"/>
        <w:gridCol w:w="326"/>
        <w:gridCol w:w="1285"/>
        <w:gridCol w:w="141"/>
      </w:tblGrid>
      <w:tr w:rsidR="00E35C67" w:rsidTr="00CC3590">
        <w:trPr>
          <w:gridAfter w:val="1"/>
          <w:wAfter w:w="141" w:type="dxa"/>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CU2,000</w:t>
            </w:r>
          </w:p>
        </w:tc>
        <w:tc>
          <w:tcPr>
            <w:tcW w:w="1611" w:type="dxa"/>
            <w:gridSpan w:val="2"/>
            <w:tcBorders>
              <w:left w:val="nil"/>
            </w:tcBorders>
            <w:vAlign w:val="bottom"/>
          </w:tcPr>
          <w:p w:rsidR="00E35C67" w:rsidRDefault="00E35C67" w:rsidP="002C41A7">
            <w:pPr>
              <w:pStyle w:val="IASBTableArial"/>
            </w:pPr>
          </w:p>
        </w:tc>
      </w:tr>
      <w:tr w:rsidR="00E35C67" w:rsidTr="00CC3590">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Call option asset</w:t>
            </w:r>
          </w:p>
        </w:tc>
        <w:tc>
          <w:tcPr>
            <w:tcW w:w="1820" w:type="dxa"/>
            <w:gridSpan w:val="2"/>
            <w:tcBorders>
              <w:top w:val="nil"/>
              <w:left w:val="nil"/>
            </w:tcBorders>
            <w:vAlign w:val="bottom"/>
          </w:tcPr>
          <w:p w:rsidR="00E35C67" w:rsidRDefault="00E35C67" w:rsidP="002C41A7">
            <w:pPr>
              <w:pStyle w:val="IASBTableArial"/>
            </w:pPr>
          </w:p>
        </w:tc>
        <w:tc>
          <w:tcPr>
            <w:tcW w:w="1426" w:type="dxa"/>
            <w:gridSpan w:val="2"/>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lastRenderedPageBreak/>
        <w:t>(b) Shares for shares (‘net share settlement’)</w:t>
      </w:r>
    </w:p>
    <w:p w:rsidR="00E35C67" w:rsidRDefault="00E35C67" w:rsidP="00E35C67">
      <w:pPr>
        <w:pStyle w:val="IASBNormalnpara"/>
      </w:pPr>
      <w:r>
        <w:t>IE14</w:t>
      </w:r>
      <w:r>
        <w:tab/>
        <w:t>Assume the same facts as in (a) except that settlement will be made net in shares instead of net in cash. Entity A’s journal entries are the same as those shown in (a) except for recording the settlement of the option contract as follows:</w:t>
      </w:r>
    </w:p>
    <w:p w:rsidR="00E35C67" w:rsidRDefault="00E35C67" w:rsidP="00E35C67">
      <w:pPr>
        <w:pStyle w:val="IASBSectionTitle5Ind"/>
      </w:pPr>
      <w:r>
        <w:t>31 January 20X3</w:t>
      </w:r>
    </w:p>
    <w:p w:rsidR="00E35C67" w:rsidRDefault="00E35C67" w:rsidP="00E35C67">
      <w:pPr>
        <w:pStyle w:val="IASBNormalnpara"/>
      </w:pPr>
      <w:r>
        <w:tab/>
        <w:t>Entity A exercises the call option and the contract is settled net in shares. Entity B has an obligation to deliver CU104,000 (CU104 × 1,000) worth of Entity A’s shares to Entity A in exchange for CU102,000 (CU102 × 1,000) worth of Entity A’s shares. Thus, Entity B delivers the net amount of CU2,000 worth of shares to Entity A, ie 19.2 shares (CU2,000/CU104).</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22"/>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Call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option contract. The settlement is accounted for as a treasury share transaction (ie no gain or loss).</w:t>
      </w:r>
    </w:p>
    <w:p w:rsidR="00E35C67" w:rsidRDefault="00E35C67" w:rsidP="00E35C67">
      <w:pPr>
        <w:pStyle w:val="IASBSectionTitle4Ind"/>
      </w:pPr>
      <w:r>
        <w:t>(c) Cash for shares (‘gross physical settlement’)</w:t>
      </w:r>
    </w:p>
    <w:p w:rsidR="00E35C67" w:rsidRDefault="00E35C67" w:rsidP="00E35C67">
      <w:pPr>
        <w:pStyle w:val="IASBNormalnpara"/>
      </w:pPr>
      <w:r>
        <w:t>IE15</w:t>
      </w:r>
      <w:r>
        <w:tab/>
        <w:t xml:space="preserve">Assume the same facts as in (a) except that settlement will be made by receiving a fixed number of shares and paying a fixed amount of cash, if Entity A exercises the option. Similarly to (a) and (b) above, the exercise price per share is fixed at CU102. Accordingly, Entity A has a right to receive 1,000 of Entity A’s own outstanding shares in exchange for CU102,000 (CU102 × 1,000) in cash, if Entity A exercises its option. Entity A records the following journal entries. </w:t>
      </w:r>
    </w:p>
    <w:p w:rsidR="00E35C67" w:rsidRDefault="00E35C67" w:rsidP="00E35C67">
      <w:pPr>
        <w:pStyle w:val="IASBSectionTitle5Ind"/>
      </w:pPr>
      <w:r>
        <w:t>1 February 20X2</w:t>
      </w:r>
    </w:p>
    <w:tbl>
      <w:tblPr>
        <w:tblW w:w="8284" w:type="dxa"/>
        <w:tblInd w:w="964" w:type="dxa"/>
        <w:tblLayout w:type="fixed"/>
        <w:tblLook w:val="0000" w:firstRow="0" w:lastRow="0" w:firstColumn="0" w:lastColumn="0" w:noHBand="0" w:noVBand="0"/>
        <w:tblCaption w:val="AASB 132 Table 23"/>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CU5,000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
      </w:pPr>
    </w:p>
    <w:p w:rsidR="00E35C67" w:rsidRDefault="00E35C67" w:rsidP="00E35C67">
      <w:pPr>
        <w:pStyle w:val="IASBNormalnparaP"/>
      </w:pPr>
      <w:r>
        <w:rPr>
          <w:i/>
        </w:rPr>
        <w:t>To record the cash paid in exchange for the right to receive Entity A’s own shares in one year for a fixed price. The premium paid is recognised in equity.</w:t>
      </w:r>
    </w:p>
    <w:p w:rsidR="00E35C67" w:rsidRDefault="00E35C67" w:rsidP="00E35C67">
      <w:pPr>
        <w:pStyle w:val="IASBSectionTitle5Ind"/>
      </w:pPr>
      <w:r>
        <w:t>31 December 20X2</w:t>
      </w:r>
    </w:p>
    <w:p w:rsidR="00E35C67" w:rsidRDefault="00E35C67" w:rsidP="00E35C67">
      <w:pPr>
        <w:pStyle w:val="IASBNormalnpara"/>
      </w:pPr>
      <w:r>
        <w:tab/>
      </w:r>
      <w:r>
        <w:rPr>
          <w:i/>
        </w:rPr>
        <w:t>No entry is made on 31 December because no cash is paid or received and a contract that gives a right to receive a fixed number of Entity A’s own shares in exchange for a fixed amount of cash meets the definition of an equity instrument of the entity.</w:t>
      </w:r>
    </w:p>
    <w:p w:rsidR="00E35C67" w:rsidRDefault="00E35C67" w:rsidP="00E35C67">
      <w:pPr>
        <w:pStyle w:val="IASBSectionTitle5Ind"/>
      </w:pPr>
      <w:r>
        <w:t>31 January 20X3</w:t>
      </w:r>
    </w:p>
    <w:p w:rsidR="00E35C67" w:rsidRDefault="00E35C67" w:rsidP="00E35C67">
      <w:pPr>
        <w:pStyle w:val="IASBNormalnpara"/>
      </w:pPr>
      <w:r>
        <w:tab/>
        <w:t>Entity A exercises the call option and the contract is settled gross. Entity B has an obligation to deliver 1,000 of Entity A’s shares in exchange for CU102,000 in cash.</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24"/>
      </w:tblPr>
      <w:tblGrid>
        <w:gridCol w:w="562"/>
        <w:gridCol w:w="850"/>
        <w:gridCol w:w="3232"/>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CU102,000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850" w:type="dxa"/>
            <w:tcBorders>
              <w:top w:val="nil"/>
              <w:left w:val="nil"/>
            </w:tcBorders>
            <w:vAlign w:val="bottom"/>
          </w:tcPr>
          <w:p w:rsidR="00E35C67" w:rsidRDefault="00E35C67" w:rsidP="002C41A7">
            <w:pPr>
              <w:pStyle w:val="IASBTableArial"/>
            </w:pPr>
            <w:r>
              <w:t>Cr</w:t>
            </w:r>
          </w:p>
        </w:tc>
        <w:tc>
          <w:tcPr>
            <w:tcW w:w="3558"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CU102,000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t>(d) Settlement options</w:t>
      </w:r>
    </w:p>
    <w:p w:rsidR="00E35C67" w:rsidRDefault="00E35C67" w:rsidP="00E35C67">
      <w:pPr>
        <w:pStyle w:val="IASBNormalnpara"/>
      </w:pPr>
      <w:r>
        <w:t>IE16</w:t>
      </w:r>
      <w:r>
        <w:tab/>
        <w:t xml:space="preserve">The existence of settlement options (such as net in cash, net in shares or by an exchange of cash and shares) has the result that the call option is a financial asset. It does not meet the definition of an equity instrument because it can be settled otherwise than by Entity A repurchasing a fixed number of its own shares in exchange for paying a fixed amount of cash or another financial asset. Entity A recognises a derivative </w:t>
      </w:r>
      <w:r>
        <w:lastRenderedPageBreak/>
        <w:t>asset, as illustrated in (a) and (b) above. The accounting entry to be made on settlement depends on how the contract is actually settled.</w:t>
      </w:r>
    </w:p>
    <w:p w:rsidR="00E35C67" w:rsidRDefault="00E35C67" w:rsidP="00E35C67">
      <w:pPr>
        <w:pStyle w:val="IASBSectionTitle2Ind"/>
      </w:pPr>
      <w:r>
        <w:t>Example 4: Written call option on shares</w:t>
      </w:r>
    </w:p>
    <w:p w:rsidR="00E35C67" w:rsidRDefault="00E35C67" w:rsidP="00E35C67">
      <w:pPr>
        <w:pStyle w:val="IASBNormalnpara"/>
      </w:pPr>
      <w:r>
        <w:t>IE17</w:t>
      </w:r>
      <w:r>
        <w:tab/>
        <w:t>This example illustrates the journal entries for a written call option obligation on the entity’s own shares that will be settled (a) net in cash, (b) net in shares or (c) by delivering cash in exchange for shares. It also discusses the effect of settlement options (see (d) below).</w:t>
      </w:r>
    </w:p>
    <w:p w:rsidR="00E35C67" w:rsidRDefault="00E35C67" w:rsidP="00E35C67">
      <w:pPr>
        <w:pStyle w:val="IASBNormalnpara"/>
      </w:pPr>
    </w:p>
    <w:tbl>
      <w:tblPr>
        <w:tblW w:w="0" w:type="auto"/>
        <w:tblInd w:w="964" w:type="dxa"/>
        <w:tblLayout w:type="fixed"/>
        <w:tblLook w:val="0000" w:firstRow="0" w:lastRow="0" w:firstColumn="0" w:lastColumn="0" w:noHBand="0" w:noVBand="0"/>
        <w:tblCaption w:val="AASB 132 Table 25"/>
      </w:tblPr>
      <w:tblGrid>
        <w:gridCol w:w="5969"/>
        <w:gridCol w:w="2275"/>
      </w:tblGrid>
      <w:tr w:rsidR="00E35C67" w:rsidTr="002C41A7">
        <w:trPr>
          <w:cantSplit/>
        </w:trPr>
        <w:tc>
          <w:tcPr>
            <w:tcW w:w="8244" w:type="dxa"/>
            <w:gridSpan w:val="2"/>
            <w:vAlign w:val="bottom"/>
          </w:tcPr>
          <w:p w:rsidR="00E35C67" w:rsidRDefault="00E35C67" w:rsidP="002C41A7">
            <w:pPr>
              <w:pStyle w:val="IASBTableTNR"/>
            </w:pPr>
            <w:r>
              <w:rPr>
                <w:i/>
              </w:rPr>
              <w:t>Assumptions:</w:t>
            </w:r>
          </w:p>
        </w:tc>
      </w:tr>
      <w:tr w:rsidR="00E35C67" w:rsidTr="002C41A7">
        <w:trPr>
          <w:cantSplit/>
        </w:trPr>
        <w:tc>
          <w:tcPr>
            <w:tcW w:w="5969" w:type="dxa"/>
            <w:tcBorders>
              <w:top w:val="nil"/>
            </w:tcBorders>
          </w:tcPr>
          <w:p w:rsidR="00E35C67" w:rsidRDefault="00E35C67" w:rsidP="002C41A7">
            <w:pPr>
              <w:pStyle w:val="IASBTableArial"/>
            </w:pPr>
            <w:r>
              <w:t>Contract date</w:t>
            </w:r>
          </w:p>
        </w:tc>
        <w:tc>
          <w:tcPr>
            <w:tcW w:w="2275" w:type="dxa"/>
            <w:tcBorders>
              <w:top w:val="nil"/>
              <w:left w:val="nil"/>
            </w:tcBorders>
            <w:vAlign w:val="bottom"/>
          </w:tcPr>
          <w:p w:rsidR="00E35C67" w:rsidRDefault="00E35C67" w:rsidP="002C41A7">
            <w:pPr>
              <w:pStyle w:val="IASBTableArial"/>
              <w:jc w:val="right"/>
            </w:pPr>
            <w:r>
              <w:t>1 February 20X2</w:t>
            </w:r>
          </w:p>
        </w:tc>
      </w:tr>
      <w:tr w:rsidR="00E35C67" w:rsidTr="002C41A7">
        <w:trPr>
          <w:cantSplit/>
        </w:trPr>
        <w:tc>
          <w:tcPr>
            <w:tcW w:w="5969" w:type="dxa"/>
            <w:tcBorders>
              <w:top w:val="nil"/>
            </w:tcBorders>
          </w:tcPr>
          <w:p w:rsidR="00E35C67" w:rsidRDefault="00E35C67" w:rsidP="002C41A7">
            <w:pPr>
              <w:pStyle w:val="IASBTableArial"/>
            </w:pPr>
            <w:r>
              <w:t>Exercise date</w:t>
            </w:r>
          </w:p>
        </w:tc>
        <w:tc>
          <w:tcPr>
            <w:tcW w:w="2275" w:type="dxa"/>
            <w:tcBorders>
              <w:top w:val="nil"/>
              <w:left w:val="nil"/>
            </w:tcBorders>
            <w:vAlign w:val="bottom"/>
          </w:tcPr>
          <w:p w:rsidR="00E35C67" w:rsidRDefault="00E35C67" w:rsidP="002C41A7">
            <w:pPr>
              <w:pStyle w:val="IASBTableArial"/>
              <w:jc w:val="right"/>
            </w:pPr>
            <w:r>
              <w:t>31 January 20X3</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(European terms, ie it can be exercised only at maturity)</w:t>
            </w:r>
          </w:p>
        </w:tc>
      </w:tr>
      <w:tr w:rsidR="00E35C67" w:rsidTr="002C41A7">
        <w:trPr>
          <w:cantSplit/>
        </w:trPr>
        <w:tc>
          <w:tcPr>
            <w:tcW w:w="5969" w:type="dxa"/>
            <w:tcBorders>
              <w:top w:val="nil"/>
            </w:tcBorders>
          </w:tcPr>
          <w:p w:rsidR="00E35C67" w:rsidRDefault="00E35C67" w:rsidP="002C41A7">
            <w:pPr>
              <w:pStyle w:val="IASBTableArial"/>
            </w:pPr>
            <w:r>
              <w:t>Exercise right holder</w:t>
            </w:r>
          </w:p>
        </w:tc>
        <w:tc>
          <w:tcPr>
            <w:tcW w:w="2275" w:type="dxa"/>
            <w:tcBorders>
              <w:top w:val="nil"/>
              <w:left w:val="nil"/>
            </w:tcBorders>
            <w:vAlign w:val="bottom"/>
          </w:tcPr>
          <w:p w:rsidR="00E35C67" w:rsidRDefault="00E35C67" w:rsidP="002C41A7">
            <w:pPr>
              <w:pStyle w:val="IASBTableArial"/>
              <w:jc w:val="right"/>
            </w:pPr>
            <w:r>
              <w:t>Counterparty</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(Entity B)</w:t>
            </w:r>
          </w:p>
        </w:tc>
      </w:tr>
      <w:tr w:rsidR="00E35C67" w:rsidTr="002C41A7">
        <w:trPr>
          <w:cantSplit/>
        </w:trPr>
        <w:tc>
          <w:tcPr>
            <w:tcW w:w="5969" w:type="dxa"/>
            <w:tcBorders>
              <w:top w:val="nil"/>
            </w:tcBorders>
          </w:tcPr>
          <w:p w:rsidR="00E35C67" w:rsidRDefault="00E35C67" w:rsidP="002C41A7">
            <w:pPr>
              <w:pStyle w:val="IASBTableArial"/>
            </w:pPr>
            <w:r>
              <w:t>Market price per share on 1 February 20X2</w:t>
            </w:r>
          </w:p>
        </w:tc>
        <w:tc>
          <w:tcPr>
            <w:tcW w:w="2275"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969" w:type="dxa"/>
            <w:tcBorders>
              <w:top w:val="nil"/>
            </w:tcBorders>
          </w:tcPr>
          <w:p w:rsidR="00E35C67" w:rsidRDefault="00E35C67" w:rsidP="002C41A7">
            <w:pPr>
              <w:pStyle w:val="IASBTableArial"/>
            </w:pPr>
            <w:r>
              <w:t>Market price per share on 31 December 20X2</w:t>
            </w:r>
          </w:p>
        </w:tc>
        <w:tc>
          <w:tcPr>
            <w:tcW w:w="2275" w:type="dxa"/>
            <w:tcBorders>
              <w:top w:val="nil"/>
              <w:left w:val="nil"/>
            </w:tcBorders>
            <w:vAlign w:val="bottom"/>
          </w:tcPr>
          <w:p w:rsidR="00E35C67" w:rsidRDefault="00E35C67" w:rsidP="002C41A7">
            <w:pPr>
              <w:pStyle w:val="IASBTableArial"/>
              <w:jc w:val="right"/>
            </w:pPr>
            <w:r>
              <w:t>CU104</w:t>
            </w:r>
          </w:p>
        </w:tc>
      </w:tr>
      <w:tr w:rsidR="00E35C67" w:rsidTr="002C41A7">
        <w:trPr>
          <w:cantSplit/>
        </w:trPr>
        <w:tc>
          <w:tcPr>
            <w:tcW w:w="5969" w:type="dxa"/>
            <w:tcBorders>
              <w:top w:val="nil"/>
            </w:tcBorders>
          </w:tcPr>
          <w:p w:rsidR="00E35C67" w:rsidRDefault="00E35C67" w:rsidP="002C41A7">
            <w:pPr>
              <w:pStyle w:val="IASBTableArial"/>
            </w:pPr>
            <w:r>
              <w:t>Market price per share on 31 January 20X3</w:t>
            </w:r>
          </w:p>
        </w:tc>
        <w:tc>
          <w:tcPr>
            <w:tcW w:w="2275" w:type="dxa"/>
            <w:tcBorders>
              <w:top w:val="nil"/>
              <w:left w:val="nil"/>
            </w:tcBorders>
            <w:vAlign w:val="bottom"/>
          </w:tcPr>
          <w:p w:rsidR="00E35C67" w:rsidRDefault="00E35C67" w:rsidP="002C41A7">
            <w:pPr>
              <w:pStyle w:val="IASBTableArial"/>
              <w:jc w:val="right"/>
            </w:pPr>
            <w:r>
              <w:t>CU104</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Fixed exercise price to be paid on 31 January 20X3</w:t>
            </w:r>
          </w:p>
        </w:tc>
        <w:tc>
          <w:tcPr>
            <w:tcW w:w="2275" w:type="dxa"/>
            <w:tcBorders>
              <w:top w:val="nil"/>
              <w:left w:val="nil"/>
            </w:tcBorders>
            <w:vAlign w:val="bottom"/>
          </w:tcPr>
          <w:p w:rsidR="00E35C67" w:rsidRDefault="00E35C67" w:rsidP="002C41A7">
            <w:pPr>
              <w:pStyle w:val="IASBTableArial"/>
              <w:jc w:val="right"/>
            </w:pPr>
            <w:r>
              <w:t>CU102</w:t>
            </w:r>
          </w:p>
        </w:tc>
      </w:tr>
      <w:tr w:rsidR="00E35C67" w:rsidTr="002C41A7">
        <w:trPr>
          <w:cantSplit/>
        </w:trPr>
        <w:tc>
          <w:tcPr>
            <w:tcW w:w="5969" w:type="dxa"/>
            <w:tcBorders>
              <w:top w:val="nil"/>
            </w:tcBorders>
          </w:tcPr>
          <w:p w:rsidR="00E35C67" w:rsidRDefault="00E35C67" w:rsidP="002C41A7">
            <w:pPr>
              <w:pStyle w:val="IASBTableArial"/>
            </w:pPr>
            <w:r>
              <w:t>Number of shares under option contract</w:t>
            </w:r>
          </w:p>
        </w:tc>
        <w:tc>
          <w:tcPr>
            <w:tcW w:w="2275" w:type="dxa"/>
            <w:tcBorders>
              <w:top w:val="nil"/>
              <w:left w:val="nil"/>
            </w:tcBorders>
            <w:vAlign w:val="bottom"/>
          </w:tcPr>
          <w:p w:rsidR="00E35C67" w:rsidRDefault="00E35C67" w:rsidP="002C41A7">
            <w:pPr>
              <w:pStyle w:val="IASBTableArial"/>
              <w:jc w:val="right"/>
            </w:pPr>
            <w:r>
              <w:t>1,000</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Fair value of option on 1 February 20X2</w:t>
            </w:r>
          </w:p>
        </w:tc>
        <w:tc>
          <w:tcPr>
            <w:tcW w:w="2275" w:type="dxa"/>
            <w:tcBorders>
              <w:top w:val="nil"/>
              <w:left w:val="nil"/>
            </w:tcBorders>
            <w:vAlign w:val="bottom"/>
          </w:tcPr>
          <w:p w:rsidR="00E35C67" w:rsidRDefault="00E35C67" w:rsidP="002C41A7">
            <w:pPr>
              <w:pStyle w:val="IASBTableArial"/>
              <w:jc w:val="right"/>
            </w:pPr>
            <w:r>
              <w:t>CU5,000</w:t>
            </w:r>
          </w:p>
        </w:tc>
      </w:tr>
      <w:tr w:rsidR="00E35C67" w:rsidTr="002C41A7">
        <w:trPr>
          <w:cantSplit/>
        </w:trPr>
        <w:tc>
          <w:tcPr>
            <w:tcW w:w="5969" w:type="dxa"/>
            <w:tcBorders>
              <w:top w:val="nil"/>
            </w:tcBorders>
          </w:tcPr>
          <w:p w:rsidR="00E35C67" w:rsidRDefault="00E35C67" w:rsidP="002C41A7">
            <w:pPr>
              <w:pStyle w:val="IASBTableArial"/>
            </w:pPr>
            <w:r>
              <w:t>Fair value of option on 31 December 20X2</w:t>
            </w:r>
          </w:p>
        </w:tc>
        <w:tc>
          <w:tcPr>
            <w:tcW w:w="2275" w:type="dxa"/>
            <w:tcBorders>
              <w:top w:val="nil"/>
              <w:left w:val="nil"/>
            </w:tcBorders>
            <w:vAlign w:val="bottom"/>
          </w:tcPr>
          <w:p w:rsidR="00E35C67" w:rsidRDefault="00E35C67" w:rsidP="002C41A7">
            <w:pPr>
              <w:pStyle w:val="IASBTableArial"/>
              <w:jc w:val="right"/>
            </w:pPr>
            <w:r>
              <w:t>CU3,000</w:t>
            </w:r>
          </w:p>
        </w:tc>
      </w:tr>
      <w:tr w:rsidR="00E35C67" w:rsidTr="002C41A7">
        <w:trPr>
          <w:cantSplit/>
        </w:trPr>
        <w:tc>
          <w:tcPr>
            <w:tcW w:w="5969" w:type="dxa"/>
            <w:tcBorders>
              <w:top w:val="nil"/>
            </w:tcBorders>
          </w:tcPr>
          <w:p w:rsidR="00E35C67" w:rsidRDefault="00E35C67" w:rsidP="002C41A7">
            <w:pPr>
              <w:pStyle w:val="IASBTableArial"/>
            </w:pPr>
            <w:r>
              <w:t>Fair value of option on 31 January 20X3</w:t>
            </w:r>
          </w:p>
        </w:tc>
        <w:tc>
          <w:tcPr>
            <w:tcW w:w="2275"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SectionTitle4Ind"/>
      </w:pPr>
      <w:r>
        <w:t>(a) Cash for cash (‘net cash settlement’)</w:t>
      </w:r>
    </w:p>
    <w:p w:rsidR="00E35C67" w:rsidRDefault="00E35C67" w:rsidP="00E35C67">
      <w:pPr>
        <w:pStyle w:val="IASBNormalnpara"/>
      </w:pPr>
      <w:r>
        <w:t>IE18</w:t>
      </w:r>
      <w:r>
        <w:tab/>
        <w:t>Assume the same facts as in Example 3(a) above except that Entity A has written a call option on its own shares instead of having purchased a call option on them. Accordingly, on 1 February 20X2 Entity A enters into a contract with Entity B that gives Entity B the right to receive and Entity A the obligation to pay the fair value of 1,000 of Entity A’s own ordinary shares as of 31 January 20X3 in exchange for CU102,000 in cash (ie CU102 per share) on 31 January 20X3, if Entity B exercises that right. The contract will be settled net in cash. If Entity  B does not exercise its right, no payment will be made. Entity A records the following journal entries.</w:t>
      </w:r>
    </w:p>
    <w:p w:rsidR="00E35C67" w:rsidRDefault="00E35C67" w:rsidP="00E35C67">
      <w:pPr>
        <w:pStyle w:val="IASBSectionTitle5Ind"/>
      </w:pPr>
      <w:r>
        <w:t>1 February 20X2</w:t>
      </w:r>
    </w:p>
    <w:tbl>
      <w:tblPr>
        <w:tblW w:w="8284" w:type="dxa"/>
        <w:tblInd w:w="964" w:type="dxa"/>
        <w:tblLayout w:type="fixed"/>
        <w:tblLook w:val="0000" w:firstRow="0" w:lastRow="0" w:firstColumn="0" w:lastColumn="0" w:noHBand="0" w:noVBand="0"/>
        <w:tblCaption w:val="AASB 132 Table 26"/>
      </w:tblPr>
      <w:tblGrid>
        <w:gridCol w:w="562"/>
        <w:gridCol w:w="425"/>
        <w:gridCol w:w="3657"/>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CU5,000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425" w:type="dxa"/>
            <w:tcBorders>
              <w:top w:val="nil"/>
              <w:left w:val="nil"/>
            </w:tcBorders>
            <w:vAlign w:val="bottom"/>
          </w:tcPr>
          <w:p w:rsidR="00E35C67" w:rsidRDefault="00E35C67" w:rsidP="002C41A7">
            <w:pPr>
              <w:pStyle w:val="IASBTableArial"/>
            </w:pPr>
            <w:r>
              <w:t>Cr</w:t>
            </w:r>
          </w:p>
        </w:tc>
        <w:tc>
          <w:tcPr>
            <w:tcW w:w="3983" w:type="dxa"/>
            <w:gridSpan w:val="2"/>
            <w:tcBorders>
              <w:top w:val="nil"/>
              <w:left w:val="nil"/>
            </w:tcBorders>
            <w:vAlign w:val="bottom"/>
          </w:tcPr>
          <w:p w:rsidR="00E35C67" w:rsidRDefault="00E35C67" w:rsidP="002C41A7">
            <w:pPr>
              <w:pStyle w:val="IASBTableArial"/>
            </w:pPr>
            <w:r>
              <w:t>Call option obligation</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recognise the written call option.</w:t>
      </w:r>
    </w:p>
    <w:p w:rsidR="00E35C67" w:rsidRDefault="00E35C67" w:rsidP="00E35C67">
      <w:pPr>
        <w:pStyle w:val="IASBSectionTitle5Ind"/>
      </w:pPr>
      <w:r>
        <w:t>31 December 20X2</w:t>
      </w:r>
    </w:p>
    <w:tbl>
      <w:tblPr>
        <w:tblW w:w="8284" w:type="dxa"/>
        <w:tblInd w:w="964" w:type="dxa"/>
        <w:tblLayout w:type="fixed"/>
        <w:tblLook w:val="0000" w:firstRow="0" w:lastRow="0" w:firstColumn="0" w:lastColumn="0" w:noHBand="0" w:noVBand="0"/>
        <w:tblCaption w:val="AASB 132 Table 27"/>
      </w:tblPr>
      <w:tblGrid>
        <w:gridCol w:w="562"/>
        <w:gridCol w:w="425"/>
        <w:gridCol w:w="3657"/>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Call option obligation</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425" w:type="dxa"/>
            <w:tcBorders>
              <w:top w:val="nil"/>
              <w:left w:val="nil"/>
            </w:tcBorders>
            <w:vAlign w:val="bottom"/>
          </w:tcPr>
          <w:p w:rsidR="00E35C67" w:rsidRDefault="00E35C67" w:rsidP="002C41A7">
            <w:pPr>
              <w:pStyle w:val="IASBTableArial"/>
            </w:pPr>
            <w:r>
              <w:t>Cr</w:t>
            </w:r>
          </w:p>
        </w:tc>
        <w:tc>
          <w:tcPr>
            <w:tcW w:w="3983" w:type="dxa"/>
            <w:gridSpan w:val="2"/>
            <w:tcBorders>
              <w:top w:val="nil"/>
              <w:left w:val="nil"/>
            </w:tcBorders>
            <w:vAlign w:val="bottom"/>
          </w:tcPr>
          <w:p w:rsidR="00E35C67" w:rsidRDefault="00E35C67" w:rsidP="002C41A7">
            <w:pPr>
              <w:pStyle w:val="IASBTableArial"/>
            </w:pPr>
            <w:r>
              <w:t>Gain</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decrease in the fair value of the call option.</w:t>
      </w:r>
    </w:p>
    <w:p w:rsidR="00E35C67" w:rsidRDefault="00E35C67" w:rsidP="00E35C67">
      <w:pPr>
        <w:pStyle w:val="IASBSectionTitle5Ind"/>
      </w:pPr>
      <w:r>
        <w:lastRenderedPageBreak/>
        <w:t>31 January 20X3</w:t>
      </w:r>
    </w:p>
    <w:tbl>
      <w:tblPr>
        <w:tblW w:w="8284" w:type="dxa"/>
        <w:tblInd w:w="964" w:type="dxa"/>
        <w:tblLayout w:type="fixed"/>
        <w:tblLook w:val="0000" w:firstRow="0" w:lastRow="0" w:firstColumn="0" w:lastColumn="0" w:noHBand="0" w:noVBand="0"/>
        <w:tblCaption w:val="AASB 132 Table 28"/>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Call option obligation</w:t>
            </w:r>
          </w:p>
        </w:tc>
        <w:tc>
          <w:tcPr>
            <w:tcW w:w="1820" w:type="dxa"/>
            <w:gridSpan w:val="2"/>
            <w:tcBorders>
              <w:left w:val="nil"/>
            </w:tcBorders>
            <w:vAlign w:val="bottom"/>
          </w:tcPr>
          <w:p w:rsidR="00E35C67" w:rsidRDefault="00E35C67" w:rsidP="002C41A7">
            <w:pPr>
              <w:pStyle w:val="IASBTableArial"/>
              <w:jc w:val="right"/>
            </w:pPr>
            <w:r>
              <w:t>CU1,000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Gain</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CU1,000</w:t>
            </w:r>
          </w:p>
        </w:tc>
      </w:tr>
    </w:tbl>
    <w:p w:rsidR="00E35C67" w:rsidRDefault="00E35C67" w:rsidP="00E35C67">
      <w:pPr>
        <w:pStyle w:val="IASBNormalnparaP"/>
      </w:pPr>
      <w:r>
        <w:rPr>
          <w:i/>
        </w:rPr>
        <w:t>To record the decrease in the fair value of the option.</w:t>
      </w:r>
    </w:p>
    <w:p w:rsidR="00E35C67" w:rsidRDefault="00E35C67" w:rsidP="00E35C67">
      <w:pPr>
        <w:pStyle w:val="IASBNormalnparaP"/>
      </w:pPr>
      <w:r>
        <w:t>On the same day, Entity B exercises the call option and the contract is settled net in cash. Entity A has an obligation to deliver CU104,000 (CU104 × 1,000) to Entity B in exchange for CU102,000 (CU102 × 1,000) from Entity B, so Entity A pays a net amount of CU2,000.</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29"/>
      </w:tblPr>
      <w:tblGrid>
        <w:gridCol w:w="562"/>
        <w:gridCol w:w="567"/>
        <w:gridCol w:w="3515"/>
        <w:gridCol w:w="468"/>
        <w:gridCol w:w="1352"/>
        <w:gridCol w:w="468"/>
        <w:gridCol w:w="1284"/>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Call option obligation</w:t>
            </w:r>
          </w:p>
        </w:tc>
        <w:tc>
          <w:tcPr>
            <w:tcW w:w="1820" w:type="dxa"/>
            <w:gridSpan w:val="2"/>
            <w:tcBorders>
              <w:left w:val="nil"/>
            </w:tcBorders>
            <w:vAlign w:val="bottom"/>
          </w:tcPr>
          <w:p w:rsidR="00E35C67" w:rsidRDefault="00E35C67" w:rsidP="002C41A7">
            <w:pPr>
              <w:pStyle w:val="IASBTableArial"/>
              <w:jc w:val="right"/>
            </w:pPr>
            <w:r>
              <w:t>CU2,000</w:t>
            </w:r>
          </w:p>
        </w:tc>
        <w:tc>
          <w:tcPr>
            <w:tcW w:w="1752" w:type="dxa"/>
            <w:gridSpan w:val="2"/>
            <w:tcBorders>
              <w:left w:val="nil"/>
            </w:tcBorders>
            <w:vAlign w:val="bottom"/>
          </w:tcPr>
          <w:p w:rsidR="00E35C67" w:rsidRDefault="00E35C67" w:rsidP="002C41A7">
            <w:pPr>
              <w:pStyle w:val="IASBTableArial"/>
            </w:pPr>
          </w:p>
        </w:tc>
      </w:tr>
      <w:tr w:rsidR="00E35C67" w:rsidTr="00CC3590">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983"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284"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t>(b) Shares for shares (‘net share settlement’)</w:t>
      </w:r>
    </w:p>
    <w:p w:rsidR="00E35C67" w:rsidRDefault="00E35C67" w:rsidP="00E35C67">
      <w:pPr>
        <w:pStyle w:val="IASBNormalnpara"/>
      </w:pPr>
      <w:r>
        <w:t>IE19</w:t>
      </w:r>
      <w:r>
        <w:tab/>
        <w:t>Assume the same facts as in (a) except that settlement will be made net in shares instead of net in cash. Entity A’s journal entries are the same as those shown in (a), except for recording the settlement of the option contract, as follows:</w:t>
      </w:r>
    </w:p>
    <w:p w:rsidR="00E35C67" w:rsidRDefault="00E35C67" w:rsidP="00E35C67">
      <w:pPr>
        <w:pStyle w:val="IASBSectionTitle5Ind"/>
      </w:pPr>
      <w:r>
        <w:t>31 December 20X3</w:t>
      </w:r>
    </w:p>
    <w:p w:rsidR="00E35C67" w:rsidRDefault="00E35C67" w:rsidP="00E35C67">
      <w:pPr>
        <w:pStyle w:val="IASBNormalnpara"/>
      </w:pPr>
      <w:r>
        <w:tab/>
        <w:t>Entity B exercises the call option and the contract is settled net in shares. Entity A has an obligation to deliver CU104,000 (CU104 × 1,000) worth of Entity A’s shares to Entity B in exchange for CU102,000 (CU102 × 1,000) worth of Entity A’s shares. Thus, Entity A delivers the net amount of CU2,000 worth of shares to Entity B, ie 19.2 shares (CU2,000/CU104).</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30"/>
      </w:tblPr>
      <w:tblGrid>
        <w:gridCol w:w="420"/>
        <w:gridCol w:w="425"/>
        <w:gridCol w:w="3799"/>
        <w:gridCol w:w="184"/>
        <w:gridCol w:w="1636"/>
        <w:gridCol w:w="184"/>
        <w:gridCol w:w="1568"/>
        <w:gridCol w:w="68"/>
      </w:tblGrid>
      <w:tr w:rsidR="00E35C67" w:rsidTr="00CC3590">
        <w:trPr>
          <w:cantSplit/>
        </w:trPr>
        <w:tc>
          <w:tcPr>
            <w:tcW w:w="420" w:type="dxa"/>
            <w:vAlign w:val="bottom"/>
          </w:tcPr>
          <w:p w:rsidR="00E35C67" w:rsidRDefault="00E35C67" w:rsidP="002C41A7">
            <w:pPr>
              <w:pStyle w:val="IASBTableArial"/>
            </w:pPr>
            <w:r>
              <w:t>Dr</w:t>
            </w:r>
          </w:p>
        </w:tc>
        <w:tc>
          <w:tcPr>
            <w:tcW w:w="4224" w:type="dxa"/>
            <w:gridSpan w:val="2"/>
            <w:tcBorders>
              <w:left w:val="nil"/>
            </w:tcBorders>
            <w:vAlign w:val="bottom"/>
          </w:tcPr>
          <w:p w:rsidR="00E35C67" w:rsidRDefault="00E35C67" w:rsidP="002C41A7">
            <w:pPr>
              <w:pStyle w:val="IASBTableArial"/>
            </w:pPr>
            <w:r>
              <w:t>Call option obligation</w:t>
            </w:r>
          </w:p>
        </w:tc>
        <w:tc>
          <w:tcPr>
            <w:tcW w:w="1820" w:type="dxa"/>
            <w:gridSpan w:val="2"/>
            <w:tcBorders>
              <w:left w:val="nil"/>
            </w:tcBorders>
            <w:vAlign w:val="bottom"/>
          </w:tcPr>
          <w:p w:rsidR="00E35C67" w:rsidRDefault="00E35C67" w:rsidP="002C41A7">
            <w:pPr>
              <w:pStyle w:val="IASBTableArial"/>
              <w:jc w:val="right"/>
            </w:pPr>
            <w:r>
              <w:t>CU2,000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420" w:type="dxa"/>
            <w:tcBorders>
              <w:top w:val="nil"/>
            </w:tcBorders>
            <w:vAlign w:val="bottom"/>
          </w:tcPr>
          <w:p w:rsidR="00E35C67" w:rsidRDefault="00E35C67" w:rsidP="002C41A7">
            <w:pPr>
              <w:pStyle w:val="IASBTableArial"/>
            </w:pPr>
          </w:p>
        </w:tc>
        <w:tc>
          <w:tcPr>
            <w:tcW w:w="425" w:type="dxa"/>
            <w:tcBorders>
              <w:top w:val="nil"/>
              <w:left w:val="nil"/>
            </w:tcBorders>
            <w:vAlign w:val="bottom"/>
          </w:tcPr>
          <w:p w:rsidR="00E35C67" w:rsidRDefault="00E35C67" w:rsidP="002C41A7">
            <w:pPr>
              <w:pStyle w:val="IASBTableArial"/>
            </w:pPr>
            <w:r>
              <w:t>Cr</w:t>
            </w:r>
          </w:p>
        </w:tc>
        <w:tc>
          <w:tcPr>
            <w:tcW w:w="3983"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568" w:type="dxa"/>
            <w:tcBorders>
              <w:top w:val="nil"/>
              <w:left w:val="nil"/>
            </w:tcBorders>
            <w:vAlign w:val="bottom"/>
          </w:tcPr>
          <w:p w:rsidR="00E35C67" w:rsidRDefault="00E35C67" w:rsidP="002C41A7">
            <w:pPr>
              <w:pStyle w:val="IASBTableArial"/>
              <w:jc w:val="right"/>
            </w:pPr>
            <w:r>
              <w:t>CU2,000</w:t>
            </w:r>
          </w:p>
        </w:tc>
      </w:tr>
    </w:tbl>
    <w:p w:rsidR="00E35C67" w:rsidRDefault="00E35C67" w:rsidP="00E35C67">
      <w:pPr>
        <w:pStyle w:val="IASBNormalnparaP"/>
      </w:pPr>
      <w:r>
        <w:rPr>
          <w:i/>
        </w:rPr>
        <w:t>To record the settlement of the option contract. The settlement is accounted for as an equity transaction.</w:t>
      </w:r>
    </w:p>
    <w:p w:rsidR="00E35C67" w:rsidRDefault="00E35C67" w:rsidP="00E35C67">
      <w:pPr>
        <w:pStyle w:val="IASBSectionTitle4Ind"/>
      </w:pPr>
      <w:r>
        <w:t>(c) Cash for shares (‘gross physical settlement’)</w:t>
      </w:r>
    </w:p>
    <w:p w:rsidR="00E35C67" w:rsidRDefault="00E35C67" w:rsidP="00E35C67">
      <w:pPr>
        <w:pStyle w:val="IASBNormalnpara"/>
      </w:pPr>
      <w:r>
        <w:t>IE20</w:t>
      </w:r>
      <w:r>
        <w:tab/>
        <w:t>Assume the same facts as in (a) except that settlement will be made by delivering a fixed number of shares and receiving a fixed amount of cash, if Entity B exercises the option. Similarly to (a) and (b) above, the exercise price per share is fixed at CU102. Accordingly, Entity B has a right to receive 1,000 of Entity A’s own outstanding shares in exchange for CU102,000 (CU102 × 1,000) in cash, if Entity B exercises its option. Entity A records the following journal entries.</w:t>
      </w:r>
    </w:p>
    <w:p w:rsidR="00E35C67" w:rsidRDefault="00E35C67" w:rsidP="00E35C67">
      <w:pPr>
        <w:pStyle w:val="IASBSectionTitle5Ind"/>
      </w:pPr>
      <w:r>
        <w:t>1 February 20X2</w:t>
      </w:r>
    </w:p>
    <w:tbl>
      <w:tblPr>
        <w:tblW w:w="8284" w:type="dxa"/>
        <w:tblInd w:w="964" w:type="dxa"/>
        <w:tblLayout w:type="fixed"/>
        <w:tblLook w:val="0000" w:firstRow="0" w:lastRow="0" w:firstColumn="0" w:lastColumn="0" w:noHBand="0" w:noVBand="0"/>
        <w:tblCaption w:val="AASB 132 Table 31"/>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CU5,000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record the cash received in exchange for the obligation to deliver a fixed number of Entity A’s own shares in one year for a fixed price. The premium received is recognised in equity. Upon exercise, the call would result in the issue of a fixed number of shares in exchange for a fixed amount of cash.</w:t>
      </w:r>
    </w:p>
    <w:p w:rsidR="00E35C67" w:rsidRDefault="00E35C67" w:rsidP="00E35C67">
      <w:pPr>
        <w:pStyle w:val="IASBSectionTitle5Ind"/>
      </w:pPr>
      <w:r>
        <w:t>31 December 20X2</w:t>
      </w:r>
    </w:p>
    <w:p w:rsidR="00E35C67" w:rsidRDefault="00E35C67" w:rsidP="00E35C67">
      <w:pPr>
        <w:pStyle w:val="IASBNormalnpara"/>
      </w:pPr>
      <w:r>
        <w:tab/>
      </w:r>
      <w:r>
        <w:rPr>
          <w:i/>
        </w:rPr>
        <w:t>No entry is made on 31 December because no cash is paid or received and a contract to deliver a fixed number of Entity A’s own shares in exchange for a fixed amount of cash meets the definition of an equity instrument of the entity.</w:t>
      </w:r>
    </w:p>
    <w:p w:rsidR="00E35C67" w:rsidRDefault="00E35C67" w:rsidP="00E35C67">
      <w:pPr>
        <w:pStyle w:val="IASBSectionTitle5Ind"/>
      </w:pPr>
      <w:r>
        <w:lastRenderedPageBreak/>
        <w:t>31 January 20X3</w:t>
      </w:r>
    </w:p>
    <w:p w:rsidR="00E35C67" w:rsidRDefault="00E35C67" w:rsidP="00E35C67">
      <w:pPr>
        <w:pStyle w:val="IASBNormalnpara"/>
      </w:pPr>
      <w:r>
        <w:tab/>
        <w:t xml:space="preserve">Entity B exercises the call option and the contract is settled gross. Entity A has an obligation to deliver 1,000 shares in exchange for CU102,000 in cash. </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32"/>
      </w:tblPr>
      <w:tblGrid>
        <w:gridCol w:w="562"/>
        <w:gridCol w:w="567"/>
        <w:gridCol w:w="3515"/>
        <w:gridCol w:w="326"/>
        <w:gridCol w:w="1494"/>
        <w:gridCol w:w="326"/>
        <w:gridCol w:w="1426"/>
        <w:gridCol w:w="68"/>
      </w:tblGrid>
      <w:tr w:rsidR="00E35C67" w:rsidTr="00CC3590">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CU102,000</w:t>
            </w:r>
          </w:p>
        </w:tc>
        <w:tc>
          <w:tcPr>
            <w:tcW w:w="1820" w:type="dxa"/>
            <w:gridSpan w:val="3"/>
            <w:tcBorders>
              <w:left w:val="nil"/>
            </w:tcBorders>
            <w:vAlign w:val="bottom"/>
          </w:tcPr>
          <w:p w:rsidR="00E35C67" w:rsidRDefault="00E35C67" w:rsidP="002C41A7">
            <w:pPr>
              <w:pStyle w:val="IASBTableArial"/>
            </w:pPr>
          </w:p>
        </w:tc>
      </w:tr>
      <w:tr w:rsidR="00E35C67" w:rsidTr="00CC3590">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CU102,000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t>(d) Settlement options</w:t>
      </w:r>
    </w:p>
    <w:p w:rsidR="00E35C67" w:rsidRDefault="00E35C67" w:rsidP="00E35C67">
      <w:pPr>
        <w:pStyle w:val="IASBNormalnpara"/>
      </w:pPr>
      <w:r>
        <w:t>IE21</w:t>
      </w:r>
      <w:r>
        <w:tab/>
        <w:t>The existence of settlement options (such as net in cash, net in shares or by an exchange of cash and shares) has the result that the call option is a financial liability. It does not meet the definition of an equity instrument because it can be settled otherwise than by Entity A issuing a fixed number of its own shares in exchange for receiving a fixed amount of cash or another financial asset. Entity A recognises a derivative liability, as illustrated in (a) and (b) above. The accounting entry to be made on settlement depends on how the contract is actually settled.</w:t>
      </w:r>
    </w:p>
    <w:p w:rsidR="00E35C67" w:rsidRDefault="00E35C67" w:rsidP="00E35C67">
      <w:pPr>
        <w:pStyle w:val="IASBSectionTitle2Ind"/>
      </w:pPr>
      <w:r>
        <w:t>Example 5: Purchased put option on shares</w:t>
      </w:r>
    </w:p>
    <w:p w:rsidR="00E35C67" w:rsidRDefault="00E35C67" w:rsidP="00E35C67">
      <w:pPr>
        <w:pStyle w:val="IASBNormalnpara"/>
      </w:pPr>
      <w:r>
        <w:t>IE22</w:t>
      </w:r>
      <w:r>
        <w:tab/>
        <w:t>This example illustrates the journal entries for a purchased put option on the entity’s own shares that will be settled (a) net in cash, (b) net in shares or (c) by delivering cash in exchange for shares. It also discusses the effect of settlement options (see (d) below).</w:t>
      </w:r>
    </w:p>
    <w:p w:rsidR="00E35C67" w:rsidRDefault="00E35C67" w:rsidP="00E35C67">
      <w:pPr>
        <w:pStyle w:val="IASBNormalnpara"/>
      </w:pPr>
    </w:p>
    <w:tbl>
      <w:tblPr>
        <w:tblW w:w="0" w:type="auto"/>
        <w:tblInd w:w="964" w:type="dxa"/>
        <w:tblLayout w:type="fixed"/>
        <w:tblLook w:val="0000" w:firstRow="0" w:lastRow="0" w:firstColumn="0" w:lastColumn="0" w:noHBand="0" w:noVBand="0"/>
        <w:tblCaption w:val="AASB 132 Table 33"/>
      </w:tblPr>
      <w:tblGrid>
        <w:gridCol w:w="5969"/>
        <w:gridCol w:w="2275"/>
      </w:tblGrid>
      <w:tr w:rsidR="00E35C67" w:rsidTr="002C41A7">
        <w:trPr>
          <w:cantSplit/>
        </w:trPr>
        <w:tc>
          <w:tcPr>
            <w:tcW w:w="8244" w:type="dxa"/>
            <w:gridSpan w:val="2"/>
            <w:vAlign w:val="bottom"/>
          </w:tcPr>
          <w:p w:rsidR="00E35C67" w:rsidRDefault="00E35C67" w:rsidP="002C41A7">
            <w:pPr>
              <w:pStyle w:val="IASBTableTNR"/>
            </w:pPr>
            <w:r>
              <w:rPr>
                <w:i/>
              </w:rPr>
              <w:t>Assumptions:</w:t>
            </w:r>
          </w:p>
        </w:tc>
      </w:tr>
      <w:tr w:rsidR="00E35C67" w:rsidTr="002C41A7">
        <w:trPr>
          <w:cantSplit/>
        </w:trPr>
        <w:tc>
          <w:tcPr>
            <w:tcW w:w="5969" w:type="dxa"/>
            <w:tcBorders>
              <w:top w:val="nil"/>
            </w:tcBorders>
          </w:tcPr>
          <w:p w:rsidR="00E35C67" w:rsidRDefault="00E35C67" w:rsidP="002C41A7">
            <w:pPr>
              <w:pStyle w:val="IASBTableArial"/>
            </w:pPr>
            <w:r>
              <w:t>Contract date</w:t>
            </w:r>
          </w:p>
        </w:tc>
        <w:tc>
          <w:tcPr>
            <w:tcW w:w="2275" w:type="dxa"/>
            <w:tcBorders>
              <w:top w:val="nil"/>
              <w:left w:val="nil"/>
            </w:tcBorders>
            <w:vAlign w:val="bottom"/>
          </w:tcPr>
          <w:p w:rsidR="00E35C67" w:rsidRDefault="00E35C67" w:rsidP="002C41A7">
            <w:pPr>
              <w:pStyle w:val="IASBTableArial"/>
              <w:jc w:val="right"/>
            </w:pPr>
            <w:r>
              <w:t>1 February 20X2</w:t>
            </w:r>
          </w:p>
        </w:tc>
      </w:tr>
      <w:tr w:rsidR="00E35C67" w:rsidTr="002C41A7">
        <w:trPr>
          <w:cantSplit/>
        </w:trPr>
        <w:tc>
          <w:tcPr>
            <w:tcW w:w="5969" w:type="dxa"/>
            <w:tcBorders>
              <w:top w:val="nil"/>
            </w:tcBorders>
          </w:tcPr>
          <w:p w:rsidR="00E35C67" w:rsidRDefault="00E35C67" w:rsidP="002C41A7">
            <w:pPr>
              <w:pStyle w:val="IASBTableArial"/>
            </w:pPr>
            <w:r>
              <w:t>Exercise date</w:t>
            </w:r>
          </w:p>
        </w:tc>
        <w:tc>
          <w:tcPr>
            <w:tcW w:w="2275" w:type="dxa"/>
            <w:tcBorders>
              <w:top w:val="nil"/>
              <w:left w:val="nil"/>
            </w:tcBorders>
            <w:vAlign w:val="bottom"/>
          </w:tcPr>
          <w:p w:rsidR="00E35C67" w:rsidRDefault="00E35C67" w:rsidP="002C41A7">
            <w:pPr>
              <w:pStyle w:val="IASBTableArial"/>
              <w:jc w:val="right"/>
            </w:pPr>
            <w:r>
              <w:t>31 January 20X3</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(European terms, ie it can be exercised only at maturity)</w:t>
            </w:r>
          </w:p>
        </w:tc>
      </w:tr>
      <w:tr w:rsidR="00E35C67" w:rsidTr="002C41A7">
        <w:trPr>
          <w:cantSplit/>
        </w:trPr>
        <w:tc>
          <w:tcPr>
            <w:tcW w:w="5969" w:type="dxa"/>
            <w:tcBorders>
              <w:top w:val="nil"/>
            </w:tcBorders>
          </w:tcPr>
          <w:p w:rsidR="00E35C67" w:rsidRDefault="00E35C67" w:rsidP="002C41A7">
            <w:pPr>
              <w:pStyle w:val="IASBTableArial"/>
            </w:pPr>
            <w:r>
              <w:t>Exercise right holder</w:t>
            </w:r>
          </w:p>
        </w:tc>
        <w:tc>
          <w:tcPr>
            <w:tcW w:w="2275" w:type="dxa"/>
            <w:tcBorders>
              <w:top w:val="nil"/>
              <w:left w:val="nil"/>
            </w:tcBorders>
            <w:vAlign w:val="bottom"/>
          </w:tcPr>
          <w:p w:rsidR="00E35C67" w:rsidRDefault="00E35C67" w:rsidP="002C41A7">
            <w:pPr>
              <w:pStyle w:val="IASBTableArial"/>
              <w:jc w:val="right"/>
            </w:pPr>
            <w:r>
              <w:t>Reporting entity (Entity A)</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Market price per share on 1 February 20X2</w:t>
            </w:r>
          </w:p>
        </w:tc>
        <w:tc>
          <w:tcPr>
            <w:tcW w:w="2275"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969" w:type="dxa"/>
            <w:tcBorders>
              <w:top w:val="nil"/>
            </w:tcBorders>
          </w:tcPr>
          <w:p w:rsidR="00E35C67" w:rsidRDefault="00E35C67" w:rsidP="002C41A7">
            <w:pPr>
              <w:pStyle w:val="IASBTableArial"/>
            </w:pPr>
            <w:r>
              <w:t>Market price per share on 31 December 20X2</w:t>
            </w:r>
          </w:p>
        </w:tc>
        <w:tc>
          <w:tcPr>
            <w:tcW w:w="2275" w:type="dxa"/>
            <w:tcBorders>
              <w:top w:val="nil"/>
              <w:left w:val="nil"/>
            </w:tcBorders>
            <w:vAlign w:val="bottom"/>
          </w:tcPr>
          <w:p w:rsidR="00E35C67" w:rsidRDefault="00E35C67" w:rsidP="002C41A7">
            <w:pPr>
              <w:pStyle w:val="IASBTableArial"/>
              <w:jc w:val="right"/>
            </w:pPr>
            <w:r>
              <w:t>CU95</w:t>
            </w:r>
          </w:p>
        </w:tc>
      </w:tr>
      <w:tr w:rsidR="00E35C67" w:rsidTr="002C41A7">
        <w:trPr>
          <w:cantSplit/>
        </w:trPr>
        <w:tc>
          <w:tcPr>
            <w:tcW w:w="5969" w:type="dxa"/>
            <w:tcBorders>
              <w:top w:val="nil"/>
            </w:tcBorders>
          </w:tcPr>
          <w:p w:rsidR="00E35C67" w:rsidRDefault="00E35C67" w:rsidP="002C41A7">
            <w:pPr>
              <w:pStyle w:val="IASBTableArial"/>
            </w:pPr>
            <w:r>
              <w:t>Market price per share on 31 January 20X3</w:t>
            </w:r>
          </w:p>
        </w:tc>
        <w:tc>
          <w:tcPr>
            <w:tcW w:w="2275" w:type="dxa"/>
            <w:tcBorders>
              <w:top w:val="nil"/>
              <w:left w:val="nil"/>
            </w:tcBorders>
            <w:vAlign w:val="bottom"/>
          </w:tcPr>
          <w:p w:rsidR="00E35C67" w:rsidRDefault="00E35C67" w:rsidP="002C41A7">
            <w:pPr>
              <w:pStyle w:val="IASBTableArial"/>
              <w:jc w:val="right"/>
            </w:pPr>
            <w:r>
              <w:t>CU95</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Fixed exercise price to be paid on 31 January 20X3</w:t>
            </w:r>
          </w:p>
        </w:tc>
        <w:tc>
          <w:tcPr>
            <w:tcW w:w="2275" w:type="dxa"/>
            <w:tcBorders>
              <w:top w:val="nil"/>
              <w:left w:val="nil"/>
            </w:tcBorders>
            <w:vAlign w:val="bottom"/>
          </w:tcPr>
          <w:p w:rsidR="00E35C67" w:rsidRDefault="00E35C67" w:rsidP="002C41A7">
            <w:pPr>
              <w:pStyle w:val="IASBTableArial"/>
              <w:jc w:val="right"/>
            </w:pPr>
            <w:r>
              <w:t>CU98</w:t>
            </w:r>
          </w:p>
        </w:tc>
      </w:tr>
      <w:tr w:rsidR="00E35C67" w:rsidTr="002C41A7">
        <w:trPr>
          <w:cantSplit/>
        </w:trPr>
        <w:tc>
          <w:tcPr>
            <w:tcW w:w="5969" w:type="dxa"/>
            <w:tcBorders>
              <w:top w:val="nil"/>
            </w:tcBorders>
          </w:tcPr>
          <w:p w:rsidR="00E35C67" w:rsidRDefault="00E35C67" w:rsidP="002C41A7">
            <w:pPr>
              <w:pStyle w:val="IASBTableArial"/>
            </w:pPr>
            <w:r>
              <w:t>Number of shares under option contract</w:t>
            </w:r>
          </w:p>
        </w:tc>
        <w:tc>
          <w:tcPr>
            <w:tcW w:w="2275" w:type="dxa"/>
            <w:tcBorders>
              <w:top w:val="nil"/>
              <w:left w:val="nil"/>
            </w:tcBorders>
            <w:vAlign w:val="bottom"/>
          </w:tcPr>
          <w:p w:rsidR="00E35C67" w:rsidRDefault="00E35C67" w:rsidP="002C41A7">
            <w:pPr>
              <w:pStyle w:val="IASBTableArial"/>
              <w:jc w:val="right"/>
            </w:pPr>
            <w:r>
              <w:t>1,000</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Fair value of option on 1 February 20X2</w:t>
            </w:r>
          </w:p>
        </w:tc>
        <w:tc>
          <w:tcPr>
            <w:tcW w:w="2275" w:type="dxa"/>
            <w:tcBorders>
              <w:top w:val="nil"/>
              <w:left w:val="nil"/>
            </w:tcBorders>
            <w:vAlign w:val="bottom"/>
          </w:tcPr>
          <w:p w:rsidR="00E35C67" w:rsidRDefault="00E35C67" w:rsidP="002C41A7">
            <w:pPr>
              <w:pStyle w:val="IASBTableArial"/>
              <w:jc w:val="right"/>
            </w:pPr>
            <w:r>
              <w:t>CU5,000</w:t>
            </w:r>
          </w:p>
        </w:tc>
      </w:tr>
      <w:tr w:rsidR="00E35C67" w:rsidTr="002C41A7">
        <w:trPr>
          <w:cantSplit/>
        </w:trPr>
        <w:tc>
          <w:tcPr>
            <w:tcW w:w="5969" w:type="dxa"/>
            <w:tcBorders>
              <w:top w:val="nil"/>
            </w:tcBorders>
          </w:tcPr>
          <w:p w:rsidR="00E35C67" w:rsidRDefault="00E35C67" w:rsidP="002C41A7">
            <w:pPr>
              <w:pStyle w:val="IASBTableArial"/>
            </w:pPr>
            <w:r>
              <w:t>Fair value of option on 31 December 20X2</w:t>
            </w:r>
          </w:p>
        </w:tc>
        <w:tc>
          <w:tcPr>
            <w:tcW w:w="2275" w:type="dxa"/>
            <w:tcBorders>
              <w:top w:val="nil"/>
              <w:left w:val="nil"/>
            </w:tcBorders>
            <w:vAlign w:val="bottom"/>
          </w:tcPr>
          <w:p w:rsidR="00E35C67" w:rsidRDefault="00E35C67" w:rsidP="002C41A7">
            <w:pPr>
              <w:pStyle w:val="IASBTableArial"/>
              <w:jc w:val="right"/>
            </w:pPr>
            <w:r>
              <w:t>CU4,000</w:t>
            </w:r>
          </w:p>
        </w:tc>
      </w:tr>
      <w:tr w:rsidR="00E35C67" w:rsidTr="002C41A7">
        <w:trPr>
          <w:cantSplit/>
        </w:trPr>
        <w:tc>
          <w:tcPr>
            <w:tcW w:w="5969" w:type="dxa"/>
            <w:tcBorders>
              <w:top w:val="nil"/>
            </w:tcBorders>
          </w:tcPr>
          <w:p w:rsidR="00E35C67" w:rsidRDefault="00E35C67" w:rsidP="002C41A7">
            <w:pPr>
              <w:pStyle w:val="IASBTableArial"/>
            </w:pPr>
            <w:r>
              <w:t>Fair value of option on 31 January 20X3</w:t>
            </w:r>
          </w:p>
        </w:tc>
        <w:tc>
          <w:tcPr>
            <w:tcW w:w="2275" w:type="dxa"/>
            <w:tcBorders>
              <w:top w:val="nil"/>
              <w:left w:val="nil"/>
            </w:tcBorders>
            <w:vAlign w:val="bottom"/>
          </w:tcPr>
          <w:p w:rsidR="00E35C67" w:rsidRDefault="00E35C67" w:rsidP="002C41A7">
            <w:pPr>
              <w:pStyle w:val="IASBTableArial"/>
              <w:jc w:val="right"/>
            </w:pPr>
            <w:r>
              <w:t>CU3,000</w:t>
            </w:r>
          </w:p>
        </w:tc>
      </w:tr>
    </w:tbl>
    <w:p w:rsidR="00E35C67" w:rsidRDefault="00E35C67" w:rsidP="00E35C67">
      <w:pPr>
        <w:pStyle w:val="IASBSectionTitle4Ind"/>
      </w:pPr>
      <w:r>
        <w:t>(a) Cash for cash (‘net cash settlement’)</w:t>
      </w:r>
    </w:p>
    <w:p w:rsidR="00E35C67" w:rsidRDefault="00E35C67" w:rsidP="00E35C67">
      <w:pPr>
        <w:pStyle w:val="IASBNormalnpara"/>
      </w:pPr>
      <w:r>
        <w:t>IE23</w:t>
      </w:r>
      <w:r>
        <w:tab/>
        <w:t>On 1 February 20X2, Entity A enters into a contract with Entity B that gives Entity A the right to sell, and Entity B the obligation to buy the fair value of 1,000 of Entity A’s own outstanding ordinary shares as of 31 January 20X3 at a strike price of CU98,000 (ie CU98 per share) on 31 January 20X3, if Entity A exercises that right. The contract will be settled net in cash. If Entity A does not exercise its right, no payment will be made. Entity A records the following journal entries.</w:t>
      </w:r>
    </w:p>
    <w:p w:rsidR="00E35C67" w:rsidRDefault="00E35C67" w:rsidP="00E35C67">
      <w:pPr>
        <w:pStyle w:val="IASBSectionTitle5Ind"/>
      </w:pPr>
      <w:r>
        <w:lastRenderedPageBreak/>
        <w:t>1 February 20X2</w:t>
      </w:r>
    </w:p>
    <w:p w:rsidR="00E35C67" w:rsidRDefault="00E35C67" w:rsidP="00E35C67">
      <w:pPr>
        <w:pStyle w:val="IASBNormalnpara"/>
      </w:pPr>
      <w:r>
        <w:tab/>
        <w:t>The price per share when the contract is agreed on 1 February 20X2 is CU100. The initial fair value of the option contract on 1 February 20X2 is CU5,000, which Entity A pays to Entity B in cash on that date. On that date, the option has no intrinsic value, only time value, because the exercise price of CU98 is less than the market price per share of CU100. Therefore it would not be economic for Entity A to exercise the option. In other words, the put option is out of the money.</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34"/>
      </w:tblPr>
      <w:tblGrid>
        <w:gridCol w:w="562"/>
        <w:gridCol w:w="567"/>
        <w:gridCol w:w="3515"/>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Put option asset</w:t>
            </w:r>
          </w:p>
        </w:tc>
        <w:tc>
          <w:tcPr>
            <w:tcW w:w="1820" w:type="dxa"/>
            <w:gridSpan w:val="2"/>
            <w:tcBorders>
              <w:left w:val="nil"/>
            </w:tcBorders>
            <w:vAlign w:val="bottom"/>
          </w:tcPr>
          <w:p w:rsidR="00E35C67" w:rsidRDefault="00E35C67" w:rsidP="002C41A7">
            <w:pPr>
              <w:pStyle w:val="IASBTableArial"/>
              <w:jc w:val="right"/>
            </w:pPr>
            <w:r>
              <w:t>CU5,000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recognise the purchased put option.</w:t>
      </w:r>
    </w:p>
    <w:p w:rsidR="00E35C67" w:rsidRDefault="00E35C67" w:rsidP="00E35C67">
      <w:pPr>
        <w:pStyle w:val="IASBSectionTitle5Ind"/>
      </w:pPr>
      <w:r>
        <w:t>31 December 20X2</w:t>
      </w:r>
    </w:p>
    <w:p w:rsidR="00E35C67" w:rsidRDefault="00E35C67" w:rsidP="00E35C67">
      <w:pPr>
        <w:pStyle w:val="IASBNormalnpara"/>
      </w:pPr>
      <w:r>
        <w:tab/>
        <w:t>On 31 December 20X2 the market price per share has decreased to CU95. The fair value of the put option has decreased to CU4,000, of which CU3,000 is intrinsic value ([CU98 – CU95] × 1,000) and CU1,000 is the remaining time value.</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35"/>
      </w:tblPr>
      <w:tblGrid>
        <w:gridCol w:w="562"/>
        <w:gridCol w:w="567"/>
        <w:gridCol w:w="3515"/>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Loss</w:t>
            </w:r>
          </w:p>
        </w:tc>
        <w:tc>
          <w:tcPr>
            <w:tcW w:w="1820" w:type="dxa"/>
            <w:gridSpan w:val="2"/>
            <w:tcBorders>
              <w:left w:val="nil"/>
            </w:tcBorders>
            <w:vAlign w:val="bottom"/>
          </w:tcPr>
          <w:p w:rsidR="00E35C67" w:rsidRDefault="00E35C67" w:rsidP="002C41A7">
            <w:pPr>
              <w:pStyle w:val="IASBTableArial"/>
              <w:jc w:val="right"/>
            </w:pPr>
            <w:r>
              <w:t>CU1,000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Put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CU1,000</w:t>
            </w:r>
          </w:p>
        </w:tc>
      </w:tr>
    </w:tbl>
    <w:p w:rsidR="00E35C67" w:rsidRDefault="00E35C67" w:rsidP="00E35C67">
      <w:pPr>
        <w:pStyle w:val="IASBNormalnparaP"/>
      </w:pPr>
      <w:r>
        <w:rPr>
          <w:i/>
        </w:rPr>
        <w:t>To record the decrease in the fair value of the put option.</w:t>
      </w:r>
    </w:p>
    <w:p w:rsidR="00E35C67" w:rsidRDefault="00E35C67" w:rsidP="00E35C67">
      <w:pPr>
        <w:pStyle w:val="IASBSectionTitle5Ind"/>
      </w:pPr>
      <w:r>
        <w:t>31 January 20X3</w:t>
      </w:r>
    </w:p>
    <w:p w:rsidR="00E35C67" w:rsidRDefault="00E35C67" w:rsidP="00E35C67">
      <w:pPr>
        <w:pStyle w:val="IASBNormalnpara"/>
      </w:pPr>
      <w:r>
        <w:tab/>
        <w:t>On 31 January 20X3 the market price per share is still CU95. The fair value of the put option has decreased to CU3,000, which is all intrinsic value ([CU98 – CU95] × 1,000) because no time value remains.</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36"/>
      </w:tblPr>
      <w:tblGrid>
        <w:gridCol w:w="562"/>
        <w:gridCol w:w="567"/>
        <w:gridCol w:w="3515"/>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Loss</w:t>
            </w:r>
          </w:p>
        </w:tc>
        <w:tc>
          <w:tcPr>
            <w:tcW w:w="1820" w:type="dxa"/>
            <w:gridSpan w:val="2"/>
            <w:tcBorders>
              <w:left w:val="nil"/>
            </w:tcBorders>
            <w:vAlign w:val="bottom"/>
          </w:tcPr>
          <w:p w:rsidR="00E35C67" w:rsidRDefault="00E35C67" w:rsidP="002C41A7">
            <w:pPr>
              <w:pStyle w:val="IASBTableArial"/>
              <w:jc w:val="right"/>
            </w:pPr>
            <w:r>
              <w:t>CU1,000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Put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CU1,000</w:t>
            </w:r>
          </w:p>
        </w:tc>
      </w:tr>
    </w:tbl>
    <w:p w:rsidR="00E35C67" w:rsidRDefault="00E35C67" w:rsidP="00E35C67">
      <w:pPr>
        <w:pStyle w:val="IASBNormalnparaP"/>
      </w:pPr>
      <w:r>
        <w:rPr>
          <w:i/>
        </w:rPr>
        <w:t>To record the decrease in the fair value of the option.</w:t>
      </w:r>
    </w:p>
    <w:p w:rsidR="00E35C67" w:rsidRDefault="00E35C67" w:rsidP="00E35C67">
      <w:pPr>
        <w:pStyle w:val="IASBNormalnparaP"/>
      </w:pPr>
      <w:r>
        <w:t>On the same day, Entity A exercises the put option and the contract is settled net in cash. Entity B has an obligation to deliver CU98,000 to Entity A and Entity A has an obligation to deliver CU95,000 (CU95 × 1,000) to Entity B, so Entity B pays the net amount of CU3,000 to Entity A.</w:t>
      </w:r>
    </w:p>
    <w:p w:rsidR="00E35C67" w:rsidRDefault="00E35C67" w:rsidP="00E35C67">
      <w:pPr>
        <w:pStyle w:val="IASBNormalnpara"/>
      </w:pPr>
    </w:p>
    <w:tbl>
      <w:tblPr>
        <w:tblW w:w="8216" w:type="dxa"/>
        <w:tblInd w:w="964" w:type="dxa"/>
        <w:tblLayout w:type="fixed"/>
        <w:tblLook w:val="0000" w:firstRow="0" w:lastRow="0" w:firstColumn="0" w:lastColumn="0" w:noHBand="0" w:noVBand="0"/>
        <w:tblCaption w:val="AASB 132 Table 37"/>
      </w:tblPr>
      <w:tblGrid>
        <w:gridCol w:w="562"/>
        <w:gridCol w:w="567"/>
        <w:gridCol w:w="3515"/>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CU3,000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Put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CU3,000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t>(b) Shares for shares (‘net share settlement’)</w:t>
      </w:r>
    </w:p>
    <w:p w:rsidR="00E35C67" w:rsidRDefault="00E35C67" w:rsidP="00E35C67">
      <w:pPr>
        <w:pStyle w:val="IASBNormalnpara"/>
      </w:pPr>
      <w:r>
        <w:t>IE24</w:t>
      </w:r>
      <w:r>
        <w:tab/>
        <w:t>Assume the same facts as in (a) except that settlement will be made net in shares instead of net in cash. Entity A’s journal entries are the same as shown in (a), except:</w:t>
      </w:r>
    </w:p>
    <w:p w:rsidR="00E35C67" w:rsidRDefault="00E35C67" w:rsidP="002400A1">
      <w:pPr>
        <w:pStyle w:val="IASBSectionTitle5Ind"/>
        <w:spacing w:before="200"/>
      </w:pPr>
      <w:r>
        <w:t>31 January 20X3</w:t>
      </w:r>
    </w:p>
    <w:p w:rsidR="00E35C67" w:rsidRDefault="00E35C67" w:rsidP="00E35C67">
      <w:pPr>
        <w:pStyle w:val="IASBNormalnpara"/>
      </w:pPr>
      <w:r>
        <w:tab/>
        <w:t>Entity A exercises the put option and the contract is settled net in shares. In effect, Entity B has an obligation to deliver CU98,000 worth of Entity A’s shares to Entity A, and Entity A has an obligation to deliver CU95,000 worth of Entity A’s shares (CU95 × 1,000) to Entity B, so Entity B delivers the net amount of CU3,000 worth of shares to Entity A, ie 31.6 shares (CU3,000/CU95).</w:t>
      </w:r>
    </w:p>
    <w:p w:rsidR="00E35C67" w:rsidRDefault="00E35C67" w:rsidP="002400A1">
      <w:pPr>
        <w:pStyle w:val="IASBNormalnpara"/>
        <w:spacing w:before="0"/>
      </w:pPr>
    </w:p>
    <w:tbl>
      <w:tblPr>
        <w:tblW w:w="8216" w:type="dxa"/>
        <w:tblInd w:w="964" w:type="dxa"/>
        <w:tblLayout w:type="fixed"/>
        <w:tblLook w:val="0000" w:firstRow="0" w:lastRow="0" w:firstColumn="0" w:lastColumn="0" w:noHBand="0" w:noVBand="0"/>
        <w:tblCaption w:val="AASB 132 Table 38"/>
      </w:tblPr>
      <w:tblGrid>
        <w:gridCol w:w="562"/>
        <w:gridCol w:w="567"/>
        <w:gridCol w:w="3515"/>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CU3,000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Put option asset</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CU3,000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lastRenderedPageBreak/>
        <w:t>(c) Cash for shares (‘gross physical settlement’)</w:t>
      </w:r>
    </w:p>
    <w:p w:rsidR="00E35C67" w:rsidRDefault="00E35C67" w:rsidP="00E35C67">
      <w:pPr>
        <w:pStyle w:val="IASBNormalnpara"/>
      </w:pPr>
      <w:r>
        <w:t>IE25</w:t>
      </w:r>
      <w:r>
        <w:tab/>
        <w:t>Assume the same facts as in (a) except that settlement will be made by receiving a fixed amount of cash and delivering a fixed number of Entity A’s shares, if Entity A exercises the option. Similarly to (a) and (b) above, the exercise price per share is fixed at CU98. Accordingly, Entity B has an obligation to pay CU98,000 in cash to Entity A (CU98 × 1,000) in exchange for 1,000 of Entity A’s outstanding shares, if Entity A exercises its option. Entity A records the following journal entries.</w:t>
      </w:r>
    </w:p>
    <w:p w:rsidR="00E35C67" w:rsidRDefault="00E35C67" w:rsidP="00E35C67">
      <w:pPr>
        <w:pStyle w:val="IASBSectionTitle5Ind"/>
      </w:pPr>
      <w:r>
        <w:t>1 February 20X2</w:t>
      </w:r>
    </w:p>
    <w:tbl>
      <w:tblPr>
        <w:tblW w:w="8216" w:type="dxa"/>
        <w:tblInd w:w="964" w:type="dxa"/>
        <w:tblLayout w:type="fixed"/>
        <w:tblLook w:val="0000" w:firstRow="0" w:lastRow="0" w:firstColumn="0" w:lastColumn="0" w:noHBand="0" w:noVBand="0"/>
        <w:tblCaption w:val="AASB 132 Table 39"/>
      </w:tblPr>
      <w:tblGrid>
        <w:gridCol w:w="562"/>
        <w:gridCol w:w="567"/>
        <w:gridCol w:w="3515"/>
        <w:gridCol w:w="1820"/>
        <w:gridCol w:w="1752"/>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tcBorders>
              <w:left w:val="nil"/>
            </w:tcBorders>
            <w:vAlign w:val="bottom"/>
          </w:tcPr>
          <w:p w:rsidR="00E35C67" w:rsidRDefault="00E35C67" w:rsidP="002C41A7">
            <w:pPr>
              <w:pStyle w:val="IASBTableArial"/>
              <w:jc w:val="right"/>
            </w:pPr>
            <w:r>
              <w:t>CU5,000</w:t>
            </w:r>
          </w:p>
        </w:tc>
        <w:tc>
          <w:tcPr>
            <w:tcW w:w="1752" w:type="dxa"/>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515" w:type="dxa"/>
            <w:tcBorders>
              <w:top w:val="nil"/>
              <w:left w:val="nil"/>
            </w:tcBorders>
            <w:vAlign w:val="bottom"/>
          </w:tcPr>
          <w:p w:rsidR="00E35C67" w:rsidRDefault="00E35C67" w:rsidP="002C41A7">
            <w:pPr>
              <w:pStyle w:val="IASBTableArial"/>
            </w:pPr>
            <w:r>
              <w:t>Cash</w:t>
            </w:r>
          </w:p>
        </w:tc>
        <w:tc>
          <w:tcPr>
            <w:tcW w:w="1820" w:type="dxa"/>
            <w:tcBorders>
              <w:top w:val="nil"/>
              <w:left w:val="nil"/>
            </w:tcBorders>
            <w:vAlign w:val="bottom"/>
          </w:tcPr>
          <w:p w:rsidR="00E35C67" w:rsidRDefault="00E35C67" w:rsidP="002C41A7">
            <w:pPr>
              <w:pStyle w:val="IASBTableArial"/>
            </w:pPr>
          </w:p>
        </w:tc>
        <w:tc>
          <w:tcPr>
            <w:tcW w:w="1752"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record the cash received in exchange for the right to deliver Entity A’s own shares in one year for a fixed price. The premium paid is recognised directly in equity. Upon exercise, it results in the issue of a fixed number of shares in exchange for a fixed price.</w:t>
      </w:r>
    </w:p>
    <w:p w:rsidR="00E35C67" w:rsidRDefault="00E35C67" w:rsidP="00E35C67">
      <w:pPr>
        <w:pStyle w:val="IASBSectionTitle5Ind"/>
      </w:pPr>
      <w:r>
        <w:t>31 December 20X2</w:t>
      </w:r>
    </w:p>
    <w:p w:rsidR="00E35C67" w:rsidRDefault="00E35C67" w:rsidP="00E35C67">
      <w:pPr>
        <w:pStyle w:val="IASBNormalnpara"/>
      </w:pPr>
      <w:r>
        <w:tab/>
      </w:r>
      <w:r>
        <w:rPr>
          <w:i/>
        </w:rPr>
        <w:t>No entry is made on 31 December because no cash is paid or received and a contract to deliver a fixed number of Entity A’s own shares in exchange for a fixed amount of cash meets the definition of an equity instrument of Entity A.</w:t>
      </w:r>
    </w:p>
    <w:p w:rsidR="00E35C67" w:rsidRDefault="00E35C67" w:rsidP="00E35C67">
      <w:pPr>
        <w:pStyle w:val="IASBSectionTitle5Ind"/>
      </w:pPr>
      <w:r>
        <w:t>31 January 20X3</w:t>
      </w:r>
    </w:p>
    <w:p w:rsidR="00E35C67" w:rsidRDefault="00E35C67" w:rsidP="00E35C67">
      <w:pPr>
        <w:pStyle w:val="IASBNormalnpara"/>
      </w:pPr>
      <w:r>
        <w:tab/>
        <w:t>Entity A exercises the put option and the contract is settled gross. Entity B has an obligation to deliver CU98,000 in cash to Entity A in exchange for 1,000 shares.</w:t>
      </w:r>
    </w:p>
    <w:tbl>
      <w:tblPr>
        <w:tblW w:w="8216" w:type="dxa"/>
        <w:tblInd w:w="964" w:type="dxa"/>
        <w:tblLayout w:type="fixed"/>
        <w:tblLook w:val="0000" w:firstRow="0" w:lastRow="0" w:firstColumn="0" w:lastColumn="0" w:noHBand="0" w:noVBand="0"/>
        <w:tblCaption w:val="AASB 132 Table 40"/>
      </w:tblPr>
      <w:tblGrid>
        <w:gridCol w:w="562"/>
        <w:gridCol w:w="567"/>
        <w:gridCol w:w="3515"/>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CU98,000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CU98,000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t>(d) Settlement options</w:t>
      </w:r>
    </w:p>
    <w:p w:rsidR="00E35C67" w:rsidRDefault="00E35C67" w:rsidP="00E35C67">
      <w:pPr>
        <w:pStyle w:val="IASBNormalnpara"/>
      </w:pPr>
      <w:r>
        <w:t>IE26</w:t>
      </w:r>
      <w:r>
        <w:tab/>
        <w:t>The existence of settlement options (such as net in cash, net in shares or by an exchange of cash and shares) has the result that the put option is a financial asset. It does not meet the definition of an equity instrument because it can be settled otherwise than by Entity A issuing a fixed number of its own shares in exchange for receiving a fixed amount of cash or another financial asset. Entity A recognises a derivative asset, as illustrated in (a) and (b) above. The accounting entry to be made on settlement depends on how the contract is actually settled.</w:t>
      </w:r>
    </w:p>
    <w:p w:rsidR="00E35C67" w:rsidRDefault="00E35C67" w:rsidP="00E35C67">
      <w:pPr>
        <w:pStyle w:val="IASBSectionTitle2Ind"/>
      </w:pPr>
      <w:r>
        <w:t>Example 6: Written put option on shares</w:t>
      </w:r>
    </w:p>
    <w:p w:rsidR="00E35C67" w:rsidRDefault="00E35C67" w:rsidP="00E35C67">
      <w:pPr>
        <w:pStyle w:val="IASBNormalnpara"/>
      </w:pPr>
      <w:r>
        <w:t>IE27</w:t>
      </w:r>
      <w:r>
        <w:tab/>
        <w:t>This example illustrates the journal entries for a written put option on the entity’s own shares that will be settled (a) net in cash, (b) net in shares or (c) by delivering cash in exchange for shares. It also discusses the effect of settlement options (see (d) below).</w:t>
      </w:r>
    </w:p>
    <w:p w:rsidR="00E35C67" w:rsidRDefault="00E35C67" w:rsidP="00E35C67">
      <w:pPr>
        <w:pStyle w:val="IASBNormalnpara"/>
      </w:pPr>
    </w:p>
    <w:tbl>
      <w:tblPr>
        <w:tblW w:w="0" w:type="auto"/>
        <w:tblInd w:w="964" w:type="dxa"/>
        <w:tblLayout w:type="fixed"/>
        <w:tblLook w:val="0000" w:firstRow="0" w:lastRow="0" w:firstColumn="0" w:lastColumn="0" w:noHBand="0" w:noVBand="0"/>
        <w:tblCaption w:val="AASB 132 Table 41"/>
      </w:tblPr>
      <w:tblGrid>
        <w:gridCol w:w="5969"/>
        <w:gridCol w:w="2275"/>
      </w:tblGrid>
      <w:tr w:rsidR="00E35C67" w:rsidTr="002C41A7">
        <w:trPr>
          <w:cantSplit/>
        </w:trPr>
        <w:tc>
          <w:tcPr>
            <w:tcW w:w="8244" w:type="dxa"/>
            <w:gridSpan w:val="2"/>
            <w:vAlign w:val="bottom"/>
          </w:tcPr>
          <w:p w:rsidR="00E35C67" w:rsidRDefault="00E35C67" w:rsidP="002C41A7">
            <w:pPr>
              <w:pStyle w:val="IASBTableTNR"/>
            </w:pPr>
            <w:r>
              <w:rPr>
                <w:i/>
              </w:rPr>
              <w:t>Assumptions:</w:t>
            </w:r>
          </w:p>
        </w:tc>
      </w:tr>
      <w:tr w:rsidR="00E35C67" w:rsidTr="002C41A7">
        <w:trPr>
          <w:cantSplit/>
        </w:trPr>
        <w:tc>
          <w:tcPr>
            <w:tcW w:w="5969" w:type="dxa"/>
            <w:tcBorders>
              <w:top w:val="nil"/>
            </w:tcBorders>
          </w:tcPr>
          <w:p w:rsidR="00E35C67" w:rsidRDefault="00E35C67" w:rsidP="002C41A7">
            <w:pPr>
              <w:pStyle w:val="IASBTableArial"/>
            </w:pPr>
            <w:r>
              <w:t>Contract date</w:t>
            </w:r>
          </w:p>
        </w:tc>
        <w:tc>
          <w:tcPr>
            <w:tcW w:w="2275" w:type="dxa"/>
            <w:tcBorders>
              <w:top w:val="nil"/>
              <w:left w:val="nil"/>
            </w:tcBorders>
            <w:vAlign w:val="bottom"/>
          </w:tcPr>
          <w:p w:rsidR="00E35C67" w:rsidRDefault="00E35C67" w:rsidP="002C41A7">
            <w:pPr>
              <w:pStyle w:val="IASBTableArial"/>
              <w:jc w:val="right"/>
            </w:pPr>
            <w:r>
              <w:t>1 February 20X2</w:t>
            </w:r>
          </w:p>
        </w:tc>
      </w:tr>
      <w:tr w:rsidR="00E35C67" w:rsidTr="002C41A7">
        <w:trPr>
          <w:cantSplit/>
        </w:trPr>
        <w:tc>
          <w:tcPr>
            <w:tcW w:w="5969" w:type="dxa"/>
            <w:tcBorders>
              <w:top w:val="nil"/>
            </w:tcBorders>
          </w:tcPr>
          <w:p w:rsidR="00E35C67" w:rsidRDefault="00E35C67" w:rsidP="002C41A7">
            <w:pPr>
              <w:pStyle w:val="IASBTableArial"/>
            </w:pPr>
            <w:r>
              <w:t>Exercise date</w:t>
            </w:r>
          </w:p>
        </w:tc>
        <w:tc>
          <w:tcPr>
            <w:tcW w:w="2275" w:type="dxa"/>
            <w:tcBorders>
              <w:top w:val="nil"/>
              <w:left w:val="nil"/>
            </w:tcBorders>
            <w:vAlign w:val="bottom"/>
          </w:tcPr>
          <w:p w:rsidR="00E35C67" w:rsidRDefault="00E35C67" w:rsidP="002C41A7">
            <w:pPr>
              <w:pStyle w:val="IASBTableArial"/>
              <w:jc w:val="right"/>
            </w:pPr>
            <w:r>
              <w:t>31 January 20X3</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(European terms, ie it can be exercised only at maturity)</w:t>
            </w:r>
          </w:p>
        </w:tc>
      </w:tr>
      <w:tr w:rsidR="00E35C67" w:rsidTr="002C41A7">
        <w:trPr>
          <w:cantSplit/>
        </w:trPr>
        <w:tc>
          <w:tcPr>
            <w:tcW w:w="5969" w:type="dxa"/>
            <w:tcBorders>
              <w:top w:val="nil"/>
            </w:tcBorders>
          </w:tcPr>
          <w:p w:rsidR="00E35C67" w:rsidRDefault="00E35C67" w:rsidP="002C41A7">
            <w:pPr>
              <w:pStyle w:val="IASBTableArial"/>
            </w:pPr>
            <w:r>
              <w:t>Exercise right holder</w:t>
            </w:r>
          </w:p>
        </w:tc>
        <w:tc>
          <w:tcPr>
            <w:tcW w:w="2275" w:type="dxa"/>
            <w:tcBorders>
              <w:top w:val="nil"/>
              <w:left w:val="nil"/>
            </w:tcBorders>
            <w:vAlign w:val="bottom"/>
          </w:tcPr>
          <w:p w:rsidR="00E35C67" w:rsidRDefault="00E35C67" w:rsidP="002C41A7">
            <w:pPr>
              <w:pStyle w:val="IASBTableArial"/>
              <w:jc w:val="right"/>
            </w:pPr>
            <w:r>
              <w:t>Counterparty</w:t>
            </w:r>
          </w:p>
        </w:tc>
      </w:tr>
      <w:tr w:rsidR="00E35C67" w:rsidTr="002C41A7">
        <w:trPr>
          <w:cantSplit/>
        </w:trPr>
        <w:tc>
          <w:tcPr>
            <w:tcW w:w="5969" w:type="dxa"/>
            <w:tcBorders>
              <w:top w:val="nil"/>
            </w:tcBorders>
          </w:tcPr>
          <w:p w:rsidR="00E35C67" w:rsidRDefault="00E35C67" w:rsidP="002C41A7">
            <w:pPr>
              <w:pStyle w:val="IASBTableArial"/>
            </w:pPr>
          </w:p>
        </w:tc>
        <w:tc>
          <w:tcPr>
            <w:tcW w:w="2275" w:type="dxa"/>
            <w:tcBorders>
              <w:top w:val="nil"/>
              <w:left w:val="nil"/>
            </w:tcBorders>
            <w:vAlign w:val="bottom"/>
          </w:tcPr>
          <w:p w:rsidR="00E35C67" w:rsidRDefault="00E35C67" w:rsidP="002C41A7">
            <w:pPr>
              <w:pStyle w:val="IASBTableArial"/>
              <w:jc w:val="right"/>
            </w:pPr>
            <w:r>
              <w:t>(Entity B)</w:t>
            </w:r>
          </w:p>
        </w:tc>
      </w:tr>
      <w:tr w:rsidR="00E35C67" w:rsidTr="002C41A7">
        <w:trPr>
          <w:cantSplit/>
        </w:trPr>
        <w:tc>
          <w:tcPr>
            <w:tcW w:w="5969" w:type="dxa"/>
            <w:tcBorders>
              <w:top w:val="nil"/>
            </w:tcBorders>
          </w:tcPr>
          <w:p w:rsidR="00E35C67" w:rsidRDefault="00E35C67" w:rsidP="002C41A7">
            <w:pPr>
              <w:pStyle w:val="IASBTableArial"/>
            </w:pPr>
            <w:r>
              <w:t>Market price per share on 1 February 20X2</w:t>
            </w:r>
          </w:p>
        </w:tc>
        <w:tc>
          <w:tcPr>
            <w:tcW w:w="2275" w:type="dxa"/>
            <w:tcBorders>
              <w:top w:val="nil"/>
              <w:left w:val="nil"/>
            </w:tcBorders>
            <w:vAlign w:val="bottom"/>
          </w:tcPr>
          <w:p w:rsidR="00E35C67" w:rsidRDefault="00E35C67" w:rsidP="002C41A7">
            <w:pPr>
              <w:pStyle w:val="IASBTableArial"/>
              <w:jc w:val="right"/>
            </w:pPr>
            <w:r>
              <w:t>CU100</w:t>
            </w:r>
          </w:p>
        </w:tc>
      </w:tr>
      <w:tr w:rsidR="00E35C67" w:rsidTr="002C41A7">
        <w:trPr>
          <w:cantSplit/>
        </w:trPr>
        <w:tc>
          <w:tcPr>
            <w:tcW w:w="5969" w:type="dxa"/>
            <w:tcBorders>
              <w:top w:val="nil"/>
            </w:tcBorders>
          </w:tcPr>
          <w:p w:rsidR="00E35C67" w:rsidRDefault="00E35C67" w:rsidP="002C41A7">
            <w:pPr>
              <w:pStyle w:val="IASBTableArial"/>
            </w:pPr>
            <w:r>
              <w:lastRenderedPageBreak/>
              <w:t>Market price per share on 31 December 20X2</w:t>
            </w:r>
          </w:p>
        </w:tc>
        <w:tc>
          <w:tcPr>
            <w:tcW w:w="2275" w:type="dxa"/>
            <w:tcBorders>
              <w:top w:val="nil"/>
              <w:left w:val="nil"/>
            </w:tcBorders>
            <w:vAlign w:val="bottom"/>
          </w:tcPr>
          <w:p w:rsidR="00E35C67" w:rsidRDefault="00E35C67" w:rsidP="002C41A7">
            <w:pPr>
              <w:pStyle w:val="IASBTableArial"/>
              <w:jc w:val="right"/>
            </w:pPr>
            <w:r>
              <w:t>CU95</w:t>
            </w:r>
          </w:p>
        </w:tc>
      </w:tr>
      <w:tr w:rsidR="00E35C67" w:rsidTr="002C41A7">
        <w:trPr>
          <w:cantSplit/>
        </w:trPr>
        <w:tc>
          <w:tcPr>
            <w:tcW w:w="5969" w:type="dxa"/>
            <w:tcBorders>
              <w:top w:val="nil"/>
            </w:tcBorders>
          </w:tcPr>
          <w:p w:rsidR="00E35C67" w:rsidRDefault="00E35C67" w:rsidP="002C41A7">
            <w:pPr>
              <w:pStyle w:val="IASBTableArial"/>
            </w:pPr>
            <w:r>
              <w:t>Market price per share on 31 January 20X3</w:t>
            </w:r>
          </w:p>
        </w:tc>
        <w:tc>
          <w:tcPr>
            <w:tcW w:w="2275" w:type="dxa"/>
            <w:tcBorders>
              <w:top w:val="nil"/>
              <w:left w:val="nil"/>
            </w:tcBorders>
            <w:vAlign w:val="bottom"/>
          </w:tcPr>
          <w:p w:rsidR="00E35C67" w:rsidRDefault="00E35C67" w:rsidP="002C41A7">
            <w:pPr>
              <w:pStyle w:val="IASBTableArial"/>
              <w:jc w:val="right"/>
            </w:pPr>
            <w:r>
              <w:t>CU95</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Fixed exercise price to be paid on 31 January 20X3</w:t>
            </w:r>
          </w:p>
        </w:tc>
        <w:tc>
          <w:tcPr>
            <w:tcW w:w="2275" w:type="dxa"/>
            <w:tcBorders>
              <w:top w:val="nil"/>
              <w:left w:val="nil"/>
            </w:tcBorders>
            <w:vAlign w:val="bottom"/>
          </w:tcPr>
          <w:p w:rsidR="00E35C67" w:rsidRDefault="00E35C67" w:rsidP="002C41A7">
            <w:pPr>
              <w:pStyle w:val="IASBTableArial"/>
              <w:jc w:val="right"/>
            </w:pPr>
            <w:r>
              <w:t>CU98</w:t>
            </w:r>
          </w:p>
        </w:tc>
      </w:tr>
      <w:tr w:rsidR="00E35C67" w:rsidTr="002C41A7">
        <w:trPr>
          <w:cantSplit/>
        </w:trPr>
        <w:tc>
          <w:tcPr>
            <w:tcW w:w="5969" w:type="dxa"/>
            <w:tcBorders>
              <w:top w:val="nil"/>
            </w:tcBorders>
          </w:tcPr>
          <w:p w:rsidR="00E35C67" w:rsidRDefault="00E35C67" w:rsidP="002C41A7">
            <w:pPr>
              <w:pStyle w:val="IASBTableArial"/>
            </w:pPr>
            <w:r>
              <w:t>Present value of exercise price on 1 February 20X2</w:t>
            </w:r>
          </w:p>
        </w:tc>
        <w:tc>
          <w:tcPr>
            <w:tcW w:w="2275" w:type="dxa"/>
            <w:tcBorders>
              <w:top w:val="nil"/>
              <w:left w:val="nil"/>
            </w:tcBorders>
            <w:vAlign w:val="bottom"/>
          </w:tcPr>
          <w:p w:rsidR="00E35C67" w:rsidRDefault="00E35C67" w:rsidP="002C41A7">
            <w:pPr>
              <w:pStyle w:val="IASBTableArial"/>
              <w:jc w:val="right"/>
            </w:pPr>
            <w:r>
              <w:t>CU95</w:t>
            </w:r>
          </w:p>
        </w:tc>
      </w:tr>
      <w:tr w:rsidR="00E35C67" w:rsidTr="002C41A7">
        <w:trPr>
          <w:cantSplit/>
        </w:trPr>
        <w:tc>
          <w:tcPr>
            <w:tcW w:w="5969" w:type="dxa"/>
            <w:tcBorders>
              <w:top w:val="nil"/>
            </w:tcBorders>
          </w:tcPr>
          <w:p w:rsidR="00E35C67" w:rsidRDefault="00E35C67" w:rsidP="002C41A7">
            <w:pPr>
              <w:pStyle w:val="IASBTableArial"/>
            </w:pPr>
            <w:r>
              <w:t>Number of shares under option contract</w:t>
            </w:r>
          </w:p>
        </w:tc>
        <w:tc>
          <w:tcPr>
            <w:tcW w:w="2275" w:type="dxa"/>
            <w:tcBorders>
              <w:top w:val="nil"/>
              <w:left w:val="nil"/>
            </w:tcBorders>
            <w:vAlign w:val="bottom"/>
          </w:tcPr>
          <w:p w:rsidR="00E35C67" w:rsidRDefault="00E35C67" w:rsidP="002C41A7">
            <w:pPr>
              <w:pStyle w:val="IASBTableArial"/>
              <w:jc w:val="right"/>
            </w:pPr>
            <w:r>
              <w:t>1,000</w:t>
            </w:r>
          </w:p>
        </w:tc>
      </w:tr>
      <w:tr w:rsidR="00E35C67" w:rsidTr="002C41A7">
        <w:trPr>
          <w:cantSplit/>
        </w:trPr>
        <w:tc>
          <w:tcPr>
            <w:tcW w:w="8244" w:type="dxa"/>
            <w:gridSpan w:val="2"/>
            <w:tcBorders>
              <w:top w:val="nil"/>
            </w:tcBorders>
            <w:vAlign w:val="bottom"/>
          </w:tcPr>
          <w:p w:rsidR="00E35C67" w:rsidRDefault="00E35C67" w:rsidP="002C41A7">
            <w:pPr>
              <w:pStyle w:val="IASBTableArial"/>
            </w:pPr>
          </w:p>
        </w:tc>
      </w:tr>
      <w:tr w:rsidR="00E35C67" w:rsidTr="002C41A7">
        <w:trPr>
          <w:cantSplit/>
        </w:trPr>
        <w:tc>
          <w:tcPr>
            <w:tcW w:w="5969" w:type="dxa"/>
            <w:tcBorders>
              <w:top w:val="nil"/>
            </w:tcBorders>
          </w:tcPr>
          <w:p w:rsidR="00E35C67" w:rsidRDefault="00E35C67" w:rsidP="002C41A7">
            <w:pPr>
              <w:pStyle w:val="IASBTableArial"/>
            </w:pPr>
            <w:r>
              <w:t>Fair value of option on 1 February 20X2</w:t>
            </w:r>
          </w:p>
        </w:tc>
        <w:tc>
          <w:tcPr>
            <w:tcW w:w="2275" w:type="dxa"/>
            <w:tcBorders>
              <w:top w:val="nil"/>
              <w:left w:val="nil"/>
            </w:tcBorders>
            <w:vAlign w:val="bottom"/>
          </w:tcPr>
          <w:p w:rsidR="00E35C67" w:rsidRDefault="00E35C67" w:rsidP="002C41A7">
            <w:pPr>
              <w:pStyle w:val="IASBTableArial"/>
              <w:jc w:val="right"/>
            </w:pPr>
            <w:r>
              <w:t>CU5,000</w:t>
            </w:r>
          </w:p>
        </w:tc>
      </w:tr>
      <w:tr w:rsidR="00E35C67" w:rsidTr="002C41A7">
        <w:trPr>
          <w:cantSplit/>
        </w:trPr>
        <w:tc>
          <w:tcPr>
            <w:tcW w:w="5969" w:type="dxa"/>
            <w:tcBorders>
              <w:top w:val="nil"/>
            </w:tcBorders>
          </w:tcPr>
          <w:p w:rsidR="00E35C67" w:rsidRDefault="00E35C67" w:rsidP="002C41A7">
            <w:pPr>
              <w:pStyle w:val="IASBTableArial"/>
            </w:pPr>
            <w:r>
              <w:t>Fair value of option on 31 December 20X2</w:t>
            </w:r>
          </w:p>
        </w:tc>
        <w:tc>
          <w:tcPr>
            <w:tcW w:w="2275" w:type="dxa"/>
            <w:tcBorders>
              <w:top w:val="nil"/>
              <w:left w:val="nil"/>
            </w:tcBorders>
            <w:vAlign w:val="bottom"/>
          </w:tcPr>
          <w:p w:rsidR="00E35C67" w:rsidRDefault="00E35C67" w:rsidP="002C41A7">
            <w:pPr>
              <w:pStyle w:val="IASBTableArial"/>
              <w:jc w:val="right"/>
            </w:pPr>
            <w:r>
              <w:t>CU4,000</w:t>
            </w:r>
          </w:p>
        </w:tc>
      </w:tr>
      <w:tr w:rsidR="00E35C67" w:rsidTr="002C41A7">
        <w:trPr>
          <w:cantSplit/>
        </w:trPr>
        <w:tc>
          <w:tcPr>
            <w:tcW w:w="5969" w:type="dxa"/>
            <w:tcBorders>
              <w:top w:val="nil"/>
            </w:tcBorders>
          </w:tcPr>
          <w:p w:rsidR="00E35C67" w:rsidRDefault="00E35C67" w:rsidP="002C41A7">
            <w:pPr>
              <w:pStyle w:val="IASBTableArial"/>
            </w:pPr>
            <w:r>
              <w:t>Fair value of option on 31 January 20X3</w:t>
            </w:r>
          </w:p>
        </w:tc>
        <w:tc>
          <w:tcPr>
            <w:tcW w:w="2275" w:type="dxa"/>
            <w:tcBorders>
              <w:top w:val="nil"/>
              <w:left w:val="nil"/>
            </w:tcBorders>
            <w:vAlign w:val="bottom"/>
          </w:tcPr>
          <w:p w:rsidR="00E35C67" w:rsidRDefault="00E35C67" w:rsidP="002C41A7">
            <w:pPr>
              <w:pStyle w:val="IASBTableArial"/>
              <w:jc w:val="right"/>
            </w:pPr>
            <w:r>
              <w:t>CU3,000</w:t>
            </w:r>
          </w:p>
        </w:tc>
      </w:tr>
    </w:tbl>
    <w:p w:rsidR="00E35C67" w:rsidRDefault="00E35C67" w:rsidP="00E35C67">
      <w:pPr>
        <w:pStyle w:val="IASBSectionTitle4Ind"/>
      </w:pPr>
      <w:r>
        <w:t>(a) Cash for cash (‘net cash settlement’)</w:t>
      </w:r>
    </w:p>
    <w:p w:rsidR="00E35C67" w:rsidRDefault="00E35C67" w:rsidP="00E35C67">
      <w:pPr>
        <w:pStyle w:val="IASBNormalnpara"/>
      </w:pPr>
      <w:r>
        <w:t>IE28</w:t>
      </w:r>
      <w:r>
        <w:tab/>
        <w:t>Assume the same facts as in Example 5(a) above, except that Entity A has written a put option on its own shares instead of having purchased a put option on its own shares. Accordingly, on 1 February 20X2, Entity A enters into a contract with Entity B that gives Entity B the right to receive and Entity A the obligation to pay the fair value of 1,000 of Entity A’s outstanding ordinary shares as of 31 January 20X3 in exchange for CU98,000 in cash (ie CU98 per share) on 31 January 20X3, if Entity B exercises that right. The contract will be settled net in cash. If Entity B does not exercise its right, no payment will be made. Entity A records the following journal entries.</w:t>
      </w:r>
    </w:p>
    <w:p w:rsidR="00E35C67" w:rsidRDefault="00E35C67" w:rsidP="00E35C67">
      <w:pPr>
        <w:pStyle w:val="IASBSectionTitle5Ind"/>
      </w:pPr>
      <w:r>
        <w:t>1 February 20X2</w:t>
      </w:r>
    </w:p>
    <w:tbl>
      <w:tblPr>
        <w:tblW w:w="8285" w:type="dxa"/>
        <w:tblInd w:w="964" w:type="dxa"/>
        <w:tblLayout w:type="fixed"/>
        <w:tblLook w:val="0000" w:firstRow="0" w:lastRow="0" w:firstColumn="0" w:lastColumn="0" w:noHBand="0" w:noVBand="0"/>
        <w:tblCaption w:val="AASB 132 Table 42"/>
      </w:tblPr>
      <w:tblGrid>
        <w:gridCol w:w="704"/>
        <w:gridCol w:w="567"/>
        <w:gridCol w:w="3373"/>
        <w:gridCol w:w="468"/>
        <w:gridCol w:w="1352"/>
        <w:gridCol w:w="468"/>
        <w:gridCol w:w="1353"/>
      </w:tblGrid>
      <w:tr w:rsidR="00E35C67" w:rsidTr="001A63B5">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CU5,000</w:t>
            </w:r>
          </w:p>
        </w:tc>
        <w:tc>
          <w:tcPr>
            <w:tcW w:w="1821" w:type="dxa"/>
            <w:gridSpan w:val="2"/>
            <w:tcBorders>
              <w:left w:val="nil"/>
            </w:tcBorders>
            <w:vAlign w:val="bottom"/>
          </w:tcPr>
          <w:p w:rsidR="00E35C67" w:rsidRDefault="00E35C67" w:rsidP="002C41A7">
            <w:pPr>
              <w:pStyle w:val="IASBTableArial"/>
              <w:jc w:val="right"/>
            </w:pPr>
          </w:p>
        </w:tc>
      </w:tr>
      <w:tr w:rsidR="00E35C67" w:rsidTr="002C41A7">
        <w:trPr>
          <w:cantSplit/>
        </w:trPr>
        <w:tc>
          <w:tcPr>
            <w:tcW w:w="704"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Put option liability</w:t>
            </w:r>
          </w:p>
        </w:tc>
        <w:tc>
          <w:tcPr>
            <w:tcW w:w="1820" w:type="dxa"/>
            <w:gridSpan w:val="2"/>
            <w:tcBorders>
              <w:top w:val="nil"/>
              <w:left w:val="nil"/>
            </w:tcBorders>
            <w:vAlign w:val="bottom"/>
          </w:tcPr>
          <w:p w:rsidR="00E35C67" w:rsidRDefault="00E35C67" w:rsidP="002C41A7">
            <w:pPr>
              <w:pStyle w:val="IASBTableArial"/>
            </w:pPr>
          </w:p>
        </w:tc>
        <w:tc>
          <w:tcPr>
            <w:tcW w:w="1353"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recognise the written put option.</w:t>
      </w:r>
    </w:p>
    <w:p w:rsidR="00E35C67" w:rsidRDefault="00E35C67" w:rsidP="00E35C67">
      <w:pPr>
        <w:pStyle w:val="IASBSectionTitle5Ind"/>
      </w:pPr>
      <w:r>
        <w:t>31 December 20X2</w:t>
      </w:r>
    </w:p>
    <w:tbl>
      <w:tblPr>
        <w:tblW w:w="8285" w:type="dxa"/>
        <w:tblInd w:w="964" w:type="dxa"/>
        <w:tblLayout w:type="fixed"/>
        <w:tblLook w:val="0000" w:firstRow="0" w:lastRow="0" w:firstColumn="0" w:lastColumn="0" w:noHBand="0" w:noVBand="0"/>
        <w:tblCaption w:val="AASB 132 Table 43"/>
      </w:tblPr>
      <w:tblGrid>
        <w:gridCol w:w="704"/>
        <w:gridCol w:w="567"/>
        <w:gridCol w:w="3373"/>
        <w:gridCol w:w="468"/>
        <w:gridCol w:w="1352"/>
        <w:gridCol w:w="468"/>
        <w:gridCol w:w="1353"/>
      </w:tblGrid>
      <w:tr w:rsidR="00E35C67" w:rsidTr="001A63B5">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Put option liability</w:t>
            </w:r>
          </w:p>
        </w:tc>
        <w:tc>
          <w:tcPr>
            <w:tcW w:w="1820" w:type="dxa"/>
            <w:gridSpan w:val="2"/>
            <w:tcBorders>
              <w:left w:val="nil"/>
            </w:tcBorders>
            <w:vAlign w:val="bottom"/>
          </w:tcPr>
          <w:p w:rsidR="00E35C67" w:rsidRDefault="00E35C67" w:rsidP="002C41A7">
            <w:pPr>
              <w:pStyle w:val="IASBTableArial"/>
              <w:jc w:val="right"/>
            </w:pPr>
            <w:r>
              <w:t>CU1,000</w:t>
            </w:r>
          </w:p>
        </w:tc>
        <w:tc>
          <w:tcPr>
            <w:tcW w:w="1821" w:type="dxa"/>
            <w:gridSpan w:val="2"/>
            <w:tcBorders>
              <w:left w:val="nil"/>
            </w:tcBorders>
            <w:vAlign w:val="bottom"/>
          </w:tcPr>
          <w:p w:rsidR="00E35C67" w:rsidRDefault="00E35C67" w:rsidP="002C41A7">
            <w:pPr>
              <w:pStyle w:val="IASBTableArial"/>
              <w:jc w:val="right"/>
            </w:pPr>
          </w:p>
        </w:tc>
      </w:tr>
      <w:tr w:rsidR="00E35C67" w:rsidTr="002C41A7">
        <w:trPr>
          <w:cantSplit/>
        </w:trPr>
        <w:tc>
          <w:tcPr>
            <w:tcW w:w="704"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Gain</w:t>
            </w:r>
          </w:p>
        </w:tc>
        <w:tc>
          <w:tcPr>
            <w:tcW w:w="1820" w:type="dxa"/>
            <w:gridSpan w:val="2"/>
            <w:tcBorders>
              <w:top w:val="nil"/>
              <w:left w:val="nil"/>
            </w:tcBorders>
            <w:vAlign w:val="bottom"/>
          </w:tcPr>
          <w:p w:rsidR="00E35C67" w:rsidRDefault="00E35C67" w:rsidP="002C41A7">
            <w:pPr>
              <w:pStyle w:val="IASBTableArial"/>
            </w:pPr>
          </w:p>
        </w:tc>
        <w:tc>
          <w:tcPr>
            <w:tcW w:w="1353" w:type="dxa"/>
            <w:tcBorders>
              <w:top w:val="nil"/>
              <w:left w:val="nil"/>
            </w:tcBorders>
            <w:vAlign w:val="bottom"/>
          </w:tcPr>
          <w:p w:rsidR="00E35C67" w:rsidRDefault="00E35C67" w:rsidP="002C41A7">
            <w:pPr>
              <w:pStyle w:val="IASBTableArial"/>
              <w:jc w:val="right"/>
            </w:pPr>
            <w:r>
              <w:t>CU1,000</w:t>
            </w:r>
          </w:p>
        </w:tc>
      </w:tr>
    </w:tbl>
    <w:p w:rsidR="00E35C67" w:rsidRDefault="00E35C67" w:rsidP="00E35C67">
      <w:pPr>
        <w:pStyle w:val="IASBNormalnparaP"/>
      </w:pPr>
      <w:r>
        <w:rPr>
          <w:i/>
        </w:rPr>
        <w:t xml:space="preserve">To record the decrease in the fair value of the put option. </w:t>
      </w:r>
    </w:p>
    <w:p w:rsidR="00E35C67" w:rsidRDefault="00E35C67" w:rsidP="00E35C67">
      <w:pPr>
        <w:pStyle w:val="IASBSectionTitle5Ind"/>
      </w:pPr>
      <w:r>
        <w:t>31 January 20X3</w:t>
      </w:r>
    </w:p>
    <w:tbl>
      <w:tblPr>
        <w:tblW w:w="8284" w:type="dxa"/>
        <w:tblInd w:w="964" w:type="dxa"/>
        <w:tblLayout w:type="fixed"/>
        <w:tblLook w:val="0000" w:firstRow="0" w:lastRow="0" w:firstColumn="0" w:lastColumn="0" w:noHBand="0" w:noVBand="0"/>
        <w:tblCaption w:val="AASB 132 Table 44"/>
      </w:tblPr>
      <w:tblGrid>
        <w:gridCol w:w="562"/>
        <w:gridCol w:w="567"/>
        <w:gridCol w:w="3515"/>
        <w:gridCol w:w="326"/>
        <w:gridCol w:w="1494"/>
        <w:gridCol w:w="326"/>
        <w:gridCol w:w="1426"/>
        <w:gridCol w:w="68"/>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Put option liability</w:t>
            </w:r>
          </w:p>
        </w:tc>
        <w:tc>
          <w:tcPr>
            <w:tcW w:w="1820" w:type="dxa"/>
            <w:gridSpan w:val="2"/>
            <w:tcBorders>
              <w:left w:val="nil"/>
            </w:tcBorders>
            <w:vAlign w:val="bottom"/>
          </w:tcPr>
          <w:p w:rsidR="00E35C67" w:rsidRDefault="00E35C67" w:rsidP="002C41A7">
            <w:pPr>
              <w:pStyle w:val="IASBTableArial"/>
              <w:jc w:val="right"/>
            </w:pPr>
            <w:r>
              <w:t>CU1,000</w:t>
            </w:r>
          </w:p>
        </w:tc>
        <w:tc>
          <w:tcPr>
            <w:tcW w:w="1820" w:type="dxa"/>
            <w:gridSpan w:val="3"/>
            <w:tcBorders>
              <w:left w:val="nil"/>
            </w:tcBorders>
            <w:vAlign w:val="bottom"/>
          </w:tcPr>
          <w:p w:rsidR="00E35C67" w:rsidRDefault="00E35C67" w:rsidP="002C41A7">
            <w:pPr>
              <w:pStyle w:val="IASBTableArial"/>
              <w:jc w:val="right"/>
            </w:pPr>
          </w:p>
        </w:tc>
      </w:tr>
      <w:tr w:rsidR="00E35C67" w:rsidTr="00943461">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Gain</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CU1,000</w:t>
            </w:r>
          </w:p>
        </w:tc>
      </w:tr>
    </w:tbl>
    <w:p w:rsidR="00E35C67" w:rsidRDefault="00E35C67" w:rsidP="00E35C67">
      <w:pPr>
        <w:pStyle w:val="IASBNormalnparaP"/>
      </w:pPr>
      <w:r>
        <w:rPr>
          <w:i/>
        </w:rPr>
        <w:t>To record the decrease in the fair value of the put option.</w:t>
      </w:r>
    </w:p>
    <w:p w:rsidR="00E35C67" w:rsidRDefault="00E35C67" w:rsidP="00E35C67">
      <w:pPr>
        <w:pStyle w:val="IASBNormalnparaP"/>
      </w:pPr>
      <w:r>
        <w:t>On the same day, Entity B exercises the put option and the contract is settled net in cash. Entity A has an obligation to deliver CU98,000 to Entity B, and Entity B has an obligation to deliver CU95,000 (CU95 × 1,000) to Entity A. Thus, Entity A pays the net amount of CU3,000 to Entity B.</w:t>
      </w:r>
    </w:p>
    <w:tbl>
      <w:tblPr>
        <w:tblW w:w="8216" w:type="dxa"/>
        <w:tblInd w:w="964" w:type="dxa"/>
        <w:tblLayout w:type="fixed"/>
        <w:tblLook w:val="0000" w:firstRow="0" w:lastRow="0" w:firstColumn="0" w:lastColumn="0" w:noHBand="0" w:noVBand="0"/>
        <w:tblCaption w:val="AASB 132 Table 45"/>
      </w:tblPr>
      <w:tblGrid>
        <w:gridCol w:w="562"/>
        <w:gridCol w:w="709"/>
        <w:gridCol w:w="3373"/>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Put option liability</w:t>
            </w:r>
          </w:p>
        </w:tc>
        <w:tc>
          <w:tcPr>
            <w:tcW w:w="1820" w:type="dxa"/>
            <w:gridSpan w:val="2"/>
            <w:tcBorders>
              <w:left w:val="nil"/>
            </w:tcBorders>
            <w:vAlign w:val="bottom"/>
          </w:tcPr>
          <w:p w:rsidR="00E35C67" w:rsidRDefault="00E35C67" w:rsidP="002C41A7">
            <w:pPr>
              <w:pStyle w:val="IASBTableArial"/>
              <w:jc w:val="right"/>
            </w:pPr>
            <w:r>
              <w:t>CU3,000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CU3,000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t>(b) Shares for shares (‘net share settlement’)</w:t>
      </w:r>
    </w:p>
    <w:p w:rsidR="00E35C67" w:rsidRDefault="00E35C67" w:rsidP="00E35C67">
      <w:pPr>
        <w:pStyle w:val="IASBNormalnpara"/>
      </w:pPr>
      <w:r>
        <w:t>IE29</w:t>
      </w:r>
      <w:r>
        <w:tab/>
        <w:t>Assume the same facts as in (a) except that settlement will be made net in shares instead of net in cash. Entity A’s journal entries are the same as those in (a), except for the following:</w:t>
      </w:r>
    </w:p>
    <w:p w:rsidR="00E35C67" w:rsidRDefault="00E35C67" w:rsidP="00E35C67">
      <w:pPr>
        <w:pStyle w:val="IASBSectionTitle5Ind"/>
      </w:pPr>
      <w:r>
        <w:lastRenderedPageBreak/>
        <w:t>31 January 20X3</w:t>
      </w:r>
    </w:p>
    <w:p w:rsidR="00E35C67" w:rsidRDefault="00E35C67" w:rsidP="00E35C67">
      <w:pPr>
        <w:pStyle w:val="IASBNormalnpara"/>
      </w:pPr>
      <w:r>
        <w:tab/>
        <w:t>Entity B exercises the put option and the contract is settled net in shares. In effect, Entity A has an obligation to deliver CU98,000 worth of shares to Entity B, and Entity B has an obligation to deliver CU95,000 worth of Entity A’s shares (CU95 × 1,000) to Entity A. Thus, Entity A delivers the net amount of CU3,000 worth of Entity A’s shares to Entity B, ie 31.6 shares (3,000/95).</w:t>
      </w:r>
    </w:p>
    <w:tbl>
      <w:tblPr>
        <w:tblW w:w="8216" w:type="dxa"/>
        <w:tblInd w:w="964" w:type="dxa"/>
        <w:tblLayout w:type="fixed"/>
        <w:tblLook w:val="0000" w:firstRow="0" w:lastRow="0" w:firstColumn="0" w:lastColumn="0" w:noHBand="0" w:noVBand="0"/>
        <w:tblCaption w:val="AASB 132 Table 46"/>
      </w:tblPr>
      <w:tblGrid>
        <w:gridCol w:w="562"/>
        <w:gridCol w:w="709"/>
        <w:gridCol w:w="3373"/>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Put option liability</w:t>
            </w:r>
          </w:p>
        </w:tc>
        <w:tc>
          <w:tcPr>
            <w:tcW w:w="1820" w:type="dxa"/>
            <w:gridSpan w:val="2"/>
            <w:tcBorders>
              <w:left w:val="nil"/>
            </w:tcBorders>
            <w:vAlign w:val="bottom"/>
          </w:tcPr>
          <w:p w:rsidR="00E35C67" w:rsidRDefault="00E35C67" w:rsidP="002C41A7">
            <w:pPr>
              <w:pStyle w:val="IASBTableArial"/>
              <w:jc w:val="right"/>
            </w:pPr>
            <w:r>
              <w:t>CU3,000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CU3,000</w:t>
            </w:r>
          </w:p>
        </w:tc>
      </w:tr>
    </w:tbl>
    <w:p w:rsidR="00E35C67" w:rsidRDefault="00E35C67" w:rsidP="00E35C67">
      <w:pPr>
        <w:pStyle w:val="IASBNormalnparaP"/>
      </w:pPr>
      <w:r>
        <w:rPr>
          <w:i/>
        </w:rPr>
        <w:t>To record the settlement of the option contract. The issue of Entity A’s own shares is accounted for as an equity transaction.</w:t>
      </w:r>
    </w:p>
    <w:p w:rsidR="00E35C67" w:rsidRDefault="00E35C67" w:rsidP="00E35C67">
      <w:pPr>
        <w:pStyle w:val="IASBSectionTitle4Ind"/>
      </w:pPr>
      <w:r>
        <w:t>(c) Cash for shares (‘gross physical settlement’)</w:t>
      </w:r>
    </w:p>
    <w:p w:rsidR="00E35C67" w:rsidRDefault="00E35C67" w:rsidP="00E35C67">
      <w:pPr>
        <w:pStyle w:val="IASBNormalnpara"/>
      </w:pPr>
      <w:r>
        <w:t>IE30</w:t>
      </w:r>
      <w:r>
        <w:tab/>
        <w:t>Assume the same facts as in (a) except that settlement will be made by delivering a fixed amount of cash and receiving a fixed number of shares, if Entity B exercises the option. Similarly to (a) and (b) above, the exercise price per share is fixed at CU98. Accordingly, Entity A has an obligation to pay CU98,000 in cash to Entity B (CU98 × 1,000) in exchange for 1,000 of Entity A’s outstanding shares, if Entity B exercises its option. Entity A records the following journal entries.</w:t>
      </w:r>
    </w:p>
    <w:p w:rsidR="00E35C67" w:rsidRDefault="00E35C67" w:rsidP="00E35C67">
      <w:pPr>
        <w:pStyle w:val="IASBSectionTitle5Ind"/>
      </w:pPr>
      <w:r>
        <w:t>1 February 20X2</w:t>
      </w:r>
    </w:p>
    <w:tbl>
      <w:tblPr>
        <w:tblW w:w="8216" w:type="dxa"/>
        <w:tblInd w:w="964" w:type="dxa"/>
        <w:tblLayout w:type="fixed"/>
        <w:tblLook w:val="0000" w:firstRow="0" w:lastRow="0" w:firstColumn="0" w:lastColumn="0" w:noHBand="0" w:noVBand="0"/>
        <w:tblCaption w:val="AASB 132 Table 47"/>
      </w:tblPr>
      <w:tblGrid>
        <w:gridCol w:w="562"/>
        <w:gridCol w:w="709"/>
        <w:gridCol w:w="3373"/>
        <w:gridCol w:w="326"/>
        <w:gridCol w:w="1494"/>
        <w:gridCol w:w="326"/>
        <w:gridCol w:w="1426"/>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Cash</w:t>
            </w:r>
          </w:p>
        </w:tc>
        <w:tc>
          <w:tcPr>
            <w:tcW w:w="1820" w:type="dxa"/>
            <w:gridSpan w:val="2"/>
            <w:tcBorders>
              <w:left w:val="nil"/>
            </w:tcBorders>
            <w:vAlign w:val="bottom"/>
          </w:tcPr>
          <w:p w:rsidR="00E35C67" w:rsidRDefault="00E35C67" w:rsidP="002C41A7">
            <w:pPr>
              <w:pStyle w:val="IASBTableArial"/>
              <w:jc w:val="right"/>
            </w:pPr>
            <w:r>
              <w:t>CU5,000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p>
        </w:tc>
        <w:tc>
          <w:tcPr>
            <w:tcW w:w="709" w:type="dxa"/>
            <w:tcBorders>
              <w:top w:val="nil"/>
              <w:left w:val="nil"/>
            </w:tcBorders>
            <w:vAlign w:val="bottom"/>
          </w:tcPr>
          <w:p w:rsidR="00E35C67" w:rsidRDefault="00E35C67" w:rsidP="002C41A7">
            <w:pPr>
              <w:pStyle w:val="IASBTableArial"/>
            </w:pPr>
            <w:r>
              <w:t>Cr</w:t>
            </w:r>
          </w:p>
        </w:tc>
        <w:tc>
          <w:tcPr>
            <w:tcW w:w="3699" w:type="dxa"/>
            <w:gridSpan w:val="2"/>
            <w:tcBorders>
              <w:top w:val="nil"/>
              <w:left w:val="nil"/>
            </w:tcBorders>
            <w:vAlign w:val="bottom"/>
          </w:tcPr>
          <w:p w:rsidR="00E35C67" w:rsidRDefault="00E35C67" w:rsidP="002C41A7">
            <w:pPr>
              <w:pStyle w:val="IASBTableArial"/>
            </w:pPr>
            <w:r>
              <w:t>Equity</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CU5,000</w:t>
            </w:r>
          </w:p>
        </w:tc>
      </w:tr>
    </w:tbl>
    <w:p w:rsidR="00E35C67" w:rsidRDefault="00E35C67" w:rsidP="00E35C67">
      <w:pPr>
        <w:pStyle w:val="IASBNormalnparaP"/>
      </w:pPr>
      <w:r>
        <w:rPr>
          <w:i/>
        </w:rPr>
        <w:t>To recognise the option premium received of CU5,000 in equity.</w:t>
      </w:r>
    </w:p>
    <w:tbl>
      <w:tblPr>
        <w:tblW w:w="8216" w:type="dxa"/>
        <w:tblInd w:w="964" w:type="dxa"/>
        <w:tblLayout w:type="fixed"/>
        <w:tblLook w:val="0000" w:firstRow="0" w:lastRow="0" w:firstColumn="0" w:lastColumn="0" w:noHBand="0" w:noVBand="0"/>
        <w:tblCaption w:val="AASB 132 Table 48"/>
      </w:tblPr>
      <w:tblGrid>
        <w:gridCol w:w="704"/>
        <w:gridCol w:w="567"/>
        <w:gridCol w:w="3373"/>
        <w:gridCol w:w="468"/>
        <w:gridCol w:w="1352"/>
        <w:gridCol w:w="468"/>
        <w:gridCol w:w="1284"/>
      </w:tblGrid>
      <w:tr w:rsidR="00E35C67" w:rsidTr="00943461">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CU95,000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704"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Liability</w:t>
            </w:r>
          </w:p>
        </w:tc>
        <w:tc>
          <w:tcPr>
            <w:tcW w:w="1820" w:type="dxa"/>
            <w:gridSpan w:val="2"/>
            <w:tcBorders>
              <w:top w:val="nil"/>
              <w:left w:val="nil"/>
            </w:tcBorders>
            <w:vAlign w:val="bottom"/>
          </w:tcPr>
          <w:p w:rsidR="00E35C67" w:rsidRDefault="00E35C67" w:rsidP="002C41A7">
            <w:pPr>
              <w:pStyle w:val="IASBTableArial"/>
            </w:pPr>
          </w:p>
        </w:tc>
        <w:tc>
          <w:tcPr>
            <w:tcW w:w="1284" w:type="dxa"/>
            <w:tcBorders>
              <w:top w:val="nil"/>
              <w:left w:val="nil"/>
            </w:tcBorders>
            <w:vAlign w:val="bottom"/>
          </w:tcPr>
          <w:p w:rsidR="00E35C67" w:rsidRDefault="00E35C67" w:rsidP="002C41A7">
            <w:pPr>
              <w:pStyle w:val="IASBTableArial"/>
              <w:jc w:val="right"/>
            </w:pPr>
            <w:r>
              <w:t>CU95,000</w:t>
            </w:r>
          </w:p>
        </w:tc>
      </w:tr>
    </w:tbl>
    <w:p w:rsidR="00E35C67" w:rsidRDefault="00E35C67" w:rsidP="00E35C67">
      <w:pPr>
        <w:pStyle w:val="IASBNormalnparaP"/>
      </w:pPr>
      <w:r>
        <w:rPr>
          <w:i/>
        </w:rPr>
        <w:t xml:space="preserve">To recognise the present value of the obligation to deliver CU98,000 in one year, ie CU95,000, as a liability. </w:t>
      </w:r>
    </w:p>
    <w:p w:rsidR="00E35C67" w:rsidRDefault="00E35C67" w:rsidP="00E35C67">
      <w:pPr>
        <w:pStyle w:val="IASBSectionTitle5Ind"/>
      </w:pPr>
      <w:r>
        <w:t>31 December 20X2</w:t>
      </w:r>
    </w:p>
    <w:tbl>
      <w:tblPr>
        <w:tblW w:w="8216" w:type="dxa"/>
        <w:tblInd w:w="964" w:type="dxa"/>
        <w:tblLayout w:type="fixed"/>
        <w:tblLook w:val="0000" w:firstRow="0" w:lastRow="0" w:firstColumn="0" w:lastColumn="0" w:noHBand="0" w:noVBand="0"/>
        <w:tblCaption w:val="AASB 132 Table 49"/>
      </w:tblPr>
      <w:tblGrid>
        <w:gridCol w:w="704"/>
        <w:gridCol w:w="567"/>
        <w:gridCol w:w="3373"/>
        <w:gridCol w:w="468"/>
        <w:gridCol w:w="1352"/>
        <w:gridCol w:w="468"/>
        <w:gridCol w:w="1284"/>
      </w:tblGrid>
      <w:tr w:rsidR="00E35C67" w:rsidTr="00943461">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Interest expense</w:t>
            </w:r>
          </w:p>
        </w:tc>
        <w:tc>
          <w:tcPr>
            <w:tcW w:w="1820" w:type="dxa"/>
            <w:gridSpan w:val="2"/>
            <w:tcBorders>
              <w:left w:val="nil"/>
            </w:tcBorders>
            <w:vAlign w:val="bottom"/>
          </w:tcPr>
          <w:p w:rsidR="00E35C67" w:rsidRDefault="00E35C67" w:rsidP="002C41A7">
            <w:pPr>
              <w:pStyle w:val="IASBTableArial"/>
              <w:jc w:val="right"/>
            </w:pPr>
            <w:r>
              <w:t>CU2,750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704"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Liability</w:t>
            </w:r>
          </w:p>
        </w:tc>
        <w:tc>
          <w:tcPr>
            <w:tcW w:w="1820" w:type="dxa"/>
            <w:gridSpan w:val="2"/>
            <w:tcBorders>
              <w:top w:val="nil"/>
              <w:left w:val="nil"/>
            </w:tcBorders>
            <w:vAlign w:val="bottom"/>
          </w:tcPr>
          <w:p w:rsidR="00E35C67" w:rsidRDefault="00E35C67" w:rsidP="002C41A7">
            <w:pPr>
              <w:pStyle w:val="IASBTableArial"/>
            </w:pPr>
          </w:p>
        </w:tc>
        <w:tc>
          <w:tcPr>
            <w:tcW w:w="1284" w:type="dxa"/>
            <w:tcBorders>
              <w:top w:val="nil"/>
              <w:left w:val="nil"/>
            </w:tcBorders>
            <w:vAlign w:val="bottom"/>
          </w:tcPr>
          <w:p w:rsidR="00E35C67" w:rsidRDefault="00E35C67" w:rsidP="002C41A7">
            <w:pPr>
              <w:pStyle w:val="IASBTableArial"/>
              <w:jc w:val="right"/>
            </w:pPr>
            <w:r>
              <w:t>CU2,750</w:t>
            </w:r>
          </w:p>
        </w:tc>
      </w:tr>
    </w:tbl>
    <w:p w:rsidR="00E35C67" w:rsidRDefault="00E35C67" w:rsidP="00E35C67">
      <w:pPr>
        <w:pStyle w:val="IASBNormalnparaP"/>
      </w:pPr>
      <w:r>
        <w:rPr>
          <w:i/>
        </w:rPr>
        <w:t>To accrue interest in accordance with the effective interest method on the liability for the share redemption amount.</w:t>
      </w:r>
    </w:p>
    <w:p w:rsidR="00E35C67" w:rsidRDefault="00E35C67" w:rsidP="00E35C67">
      <w:pPr>
        <w:pStyle w:val="IASBSectionTitle5Ind"/>
      </w:pPr>
      <w:r>
        <w:t>31 January 20X3</w:t>
      </w:r>
    </w:p>
    <w:tbl>
      <w:tblPr>
        <w:tblW w:w="8284" w:type="dxa"/>
        <w:tblInd w:w="964" w:type="dxa"/>
        <w:tblLayout w:type="fixed"/>
        <w:tblLook w:val="0000" w:firstRow="0" w:lastRow="0" w:firstColumn="0" w:lastColumn="0" w:noHBand="0" w:noVBand="0"/>
        <w:tblCaption w:val="AASB 132 Table 50"/>
      </w:tblPr>
      <w:tblGrid>
        <w:gridCol w:w="704"/>
        <w:gridCol w:w="567"/>
        <w:gridCol w:w="3373"/>
        <w:gridCol w:w="468"/>
        <w:gridCol w:w="1352"/>
        <w:gridCol w:w="468"/>
        <w:gridCol w:w="1284"/>
        <w:gridCol w:w="68"/>
      </w:tblGrid>
      <w:tr w:rsidR="00E35C67" w:rsidTr="002C41A7">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Interest expense</w:t>
            </w:r>
          </w:p>
        </w:tc>
        <w:tc>
          <w:tcPr>
            <w:tcW w:w="1820" w:type="dxa"/>
            <w:gridSpan w:val="2"/>
            <w:tcBorders>
              <w:left w:val="nil"/>
            </w:tcBorders>
            <w:vAlign w:val="bottom"/>
          </w:tcPr>
          <w:p w:rsidR="00E35C67" w:rsidRDefault="00E35C67" w:rsidP="002C41A7">
            <w:pPr>
              <w:pStyle w:val="IASBTableArial"/>
              <w:jc w:val="right"/>
            </w:pPr>
            <w:r>
              <w:t>CU250</w:t>
            </w:r>
          </w:p>
        </w:tc>
        <w:tc>
          <w:tcPr>
            <w:tcW w:w="1820" w:type="dxa"/>
            <w:gridSpan w:val="3"/>
            <w:tcBorders>
              <w:left w:val="nil"/>
            </w:tcBorders>
            <w:vAlign w:val="bottom"/>
          </w:tcPr>
          <w:p w:rsidR="00E35C67" w:rsidRDefault="00E35C67" w:rsidP="002C41A7">
            <w:pPr>
              <w:pStyle w:val="IASBTableArial"/>
            </w:pPr>
          </w:p>
        </w:tc>
      </w:tr>
      <w:tr w:rsidR="00E35C67" w:rsidTr="00943461">
        <w:trPr>
          <w:gridAfter w:val="1"/>
          <w:wAfter w:w="68" w:type="dxa"/>
          <w:cantSplit/>
        </w:trPr>
        <w:tc>
          <w:tcPr>
            <w:tcW w:w="704"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Liability</w:t>
            </w:r>
          </w:p>
        </w:tc>
        <w:tc>
          <w:tcPr>
            <w:tcW w:w="1820" w:type="dxa"/>
            <w:gridSpan w:val="2"/>
            <w:tcBorders>
              <w:top w:val="nil"/>
              <w:left w:val="nil"/>
            </w:tcBorders>
            <w:vAlign w:val="bottom"/>
          </w:tcPr>
          <w:p w:rsidR="00E35C67" w:rsidRDefault="00E35C67" w:rsidP="002C41A7">
            <w:pPr>
              <w:pStyle w:val="IASBTableArial"/>
            </w:pPr>
          </w:p>
        </w:tc>
        <w:tc>
          <w:tcPr>
            <w:tcW w:w="1284" w:type="dxa"/>
            <w:tcBorders>
              <w:top w:val="nil"/>
              <w:left w:val="nil"/>
            </w:tcBorders>
            <w:vAlign w:val="bottom"/>
          </w:tcPr>
          <w:p w:rsidR="00E35C67" w:rsidRDefault="00E35C67" w:rsidP="002C41A7">
            <w:pPr>
              <w:pStyle w:val="IASBTableArial"/>
              <w:jc w:val="right"/>
            </w:pPr>
            <w:r>
              <w:t>CU250</w:t>
            </w:r>
          </w:p>
        </w:tc>
      </w:tr>
    </w:tbl>
    <w:p w:rsidR="00E35C67" w:rsidRDefault="00E35C67" w:rsidP="00E35C67">
      <w:pPr>
        <w:pStyle w:val="IASBNormalnparaP"/>
      </w:pPr>
      <w:r>
        <w:rPr>
          <w:i/>
        </w:rPr>
        <w:t>To accrue interest in accordance with the effective interest method on the liability for the share redemption amount.</w:t>
      </w:r>
    </w:p>
    <w:p w:rsidR="00E35C67" w:rsidRDefault="00E35C67" w:rsidP="00E35C67">
      <w:pPr>
        <w:pStyle w:val="IASBNormalnparaP"/>
      </w:pPr>
      <w:r>
        <w:t>On the same day, Entity B exercises the put option and the contract is settled gross. Entity A has an obligation to deliver CU98,000 in cash to Entity B in exchange for CU95,000 worth of shares (CU95 × 1,000).</w:t>
      </w:r>
    </w:p>
    <w:tbl>
      <w:tblPr>
        <w:tblW w:w="8216" w:type="dxa"/>
        <w:tblInd w:w="964" w:type="dxa"/>
        <w:tblLayout w:type="fixed"/>
        <w:tblLook w:val="0000" w:firstRow="0" w:lastRow="0" w:firstColumn="0" w:lastColumn="0" w:noHBand="0" w:noVBand="0"/>
        <w:tblCaption w:val="AASB 132 Table 51"/>
      </w:tblPr>
      <w:tblGrid>
        <w:gridCol w:w="704"/>
        <w:gridCol w:w="708"/>
        <w:gridCol w:w="3232"/>
        <w:gridCol w:w="468"/>
        <w:gridCol w:w="1352"/>
        <w:gridCol w:w="468"/>
        <w:gridCol w:w="1284"/>
      </w:tblGrid>
      <w:tr w:rsidR="00E35C67" w:rsidTr="00943461">
        <w:trPr>
          <w:cantSplit/>
        </w:trPr>
        <w:tc>
          <w:tcPr>
            <w:tcW w:w="704" w:type="dxa"/>
            <w:vAlign w:val="bottom"/>
          </w:tcPr>
          <w:p w:rsidR="00E35C67" w:rsidRDefault="00E35C67" w:rsidP="002C41A7">
            <w:pPr>
              <w:pStyle w:val="IASBTableArial"/>
            </w:pPr>
            <w:r>
              <w:t>Dr</w:t>
            </w:r>
          </w:p>
        </w:tc>
        <w:tc>
          <w:tcPr>
            <w:tcW w:w="3940" w:type="dxa"/>
            <w:gridSpan w:val="2"/>
            <w:tcBorders>
              <w:left w:val="nil"/>
            </w:tcBorders>
            <w:vAlign w:val="bottom"/>
          </w:tcPr>
          <w:p w:rsidR="00E35C67" w:rsidRDefault="00E35C67" w:rsidP="002C41A7">
            <w:pPr>
              <w:pStyle w:val="IASBTableArial"/>
            </w:pPr>
            <w:r>
              <w:t>Liability</w:t>
            </w:r>
          </w:p>
        </w:tc>
        <w:tc>
          <w:tcPr>
            <w:tcW w:w="1820" w:type="dxa"/>
            <w:gridSpan w:val="2"/>
            <w:tcBorders>
              <w:left w:val="nil"/>
            </w:tcBorders>
            <w:vAlign w:val="bottom"/>
          </w:tcPr>
          <w:p w:rsidR="00E35C67" w:rsidRDefault="00E35C67" w:rsidP="002C41A7">
            <w:pPr>
              <w:pStyle w:val="IASBTableArial"/>
              <w:jc w:val="right"/>
            </w:pPr>
            <w:r>
              <w:t>CU98,000</w:t>
            </w:r>
          </w:p>
        </w:tc>
        <w:tc>
          <w:tcPr>
            <w:tcW w:w="1752" w:type="dxa"/>
            <w:gridSpan w:val="2"/>
            <w:tcBorders>
              <w:left w:val="nil"/>
            </w:tcBorders>
            <w:vAlign w:val="bottom"/>
          </w:tcPr>
          <w:p w:rsidR="00E35C67" w:rsidRDefault="00E35C67" w:rsidP="002C41A7">
            <w:pPr>
              <w:pStyle w:val="IASBTableArial"/>
            </w:pPr>
          </w:p>
        </w:tc>
      </w:tr>
      <w:tr w:rsidR="00E35C67" w:rsidTr="00943461">
        <w:trPr>
          <w:cantSplit/>
        </w:trPr>
        <w:tc>
          <w:tcPr>
            <w:tcW w:w="704" w:type="dxa"/>
            <w:tcBorders>
              <w:top w:val="nil"/>
            </w:tcBorders>
            <w:vAlign w:val="bottom"/>
          </w:tcPr>
          <w:p w:rsidR="00E35C67" w:rsidRDefault="00E35C67" w:rsidP="002C41A7">
            <w:pPr>
              <w:pStyle w:val="IASBTableArial"/>
            </w:pPr>
          </w:p>
        </w:tc>
        <w:tc>
          <w:tcPr>
            <w:tcW w:w="708" w:type="dxa"/>
            <w:tcBorders>
              <w:top w:val="nil"/>
              <w:left w:val="nil"/>
            </w:tcBorders>
            <w:vAlign w:val="bottom"/>
          </w:tcPr>
          <w:p w:rsidR="00E35C67" w:rsidRDefault="00E35C67" w:rsidP="002C41A7">
            <w:pPr>
              <w:pStyle w:val="IASBTableArial"/>
            </w:pPr>
            <w:r>
              <w:t>Cr</w:t>
            </w:r>
          </w:p>
        </w:tc>
        <w:tc>
          <w:tcPr>
            <w:tcW w:w="3700"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284" w:type="dxa"/>
            <w:tcBorders>
              <w:top w:val="nil"/>
              <w:left w:val="nil"/>
            </w:tcBorders>
            <w:vAlign w:val="bottom"/>
          </w:tcPr>
          <w:p w:rsidR="00E35C67" w:rsidRDefault="00E35C67" w:rsidP="002C41A7">
            <w:pPr>
              <w:pStyle w:val="IASBTableArial"/>
              <w:jc w:val="right"/>
            </w:pPr>
            <w:r>
              <w:t>CU98,000</w:t>
            </w:r>
          </w:p>
        </w:tc>
      </w:tr>
    </w:tbl>
    <w:p w:rsidR="00E35C67" w:rsidRDefault="00E35C67" w:rsidP="00E35C67">
      <w:pPr>
        <w:pStyle w:val="IASBNormalnparaP"/>
      </w:pPr>
      <w:r>
        <w:rPr>
          <w:i/>
        </w:rPr>
        <w:t>To record the settlement of the option contract.</w:t>
      </w:r>
    </w:p>
    <w:p w:rsidR="00E35C67" w:rsidRDefault="00E35C67" w:rsidP="00E35C67">
      <w:pPr>
        <w:pStyle w:val="IASBSectionTitle4Ind"/>
      </w:pPr>
      <w:r>
        <w:lastRenderedPageBreak/>
        <w:t>(d) Settlement options</w:t>
      </w:r>
    </w:p>
    <w:p w:rsidR="00E35C67" w:rsidRDefault="00E35C67" w:rsidP="00E35C67">
      <w:pPr>
        <w:pStyle w:val="IASBNormalnpara"/>
      </w:pPr>
      <w:r>
        <w:t>IE31</w:t>
      </w:r>
      <w:r>
        <w:tab/>
        <w:t>The existence of settlement options (such as net in cash, net in shares or by an exchange of cash and shares) has the result that the written put option is a financial liability. If one of the settlement alternatives is to exchange cash for shares ((c) above), Entity A recognises a liability for the obligation to deliver cash, as illustrated in (c) above. Otherwise, Entity A accounts for the put option as a derivative liability.</w:t>
      </w:r>
    </w:p>
    <w:p w:rsidR="00E35C67" w:rsidRDefault="00E35C67" w:rsidP="00E35C67">
      <w:pPr>
        <w:pStyle w:val="IASBSectionTitle1NonInd"/>
      </w:pPr>
      <w:r>
        <w:t>Entities such as mutual funds and co-operatives whose share capital is not equity as defined in</w:t>
      </w:r>
      <w:r w:rsidR="00B64056">
        <w:t xml:space="preserve"> AASB 132</w:t>
      </w:r>
    </w:p>
    <w:p w:rsidR="00E35C67" w:rsidRDefault="00E35C67" w:rsidP="00E35C67">
      <w:pPr>
        <w:pStyle w:val="IASBSectionTitle2Ind"/>
      </w:pPr>
      <w:r>
        <w:t>Example 7: Entities with no equity</w:t>
      </w:r>
    </w:p>
    <w:p w:rsidR="00E35C67" w:rsidRDefault="00E35C67" w:rsidP="00E35C67">
      <w:pPr>
        <w:pStyle w:val="IASBNormalnpara"/>
      </w:pPr>
      <w:r>
        <w:t>IE32</w:t>
      </w:r>
      <w:r>
        <w:tab/>
        <w:t>The following example illustrates a format of a statement of comprehensive income and statement of financial position that may be used by entities such as mutual funds that do not have equity as defined in</w:t>
      </w:r>
      <w:r w:rsidR="00B64056">
        <w:t xml:space="preserve"> AASB 132</w:t>
      </w:r>
      <w:r>
        <w:t>. Other formats are possible.</w:t>
      </w:r>
    </w:p>
    <w:tbl>
      <w:tblPr>
        <w:tblW w:w="0" w:type="auto"/>
        <w:tblInd w:w="964" w:type="dxa"/>
        <w:tblLayout w:type="fixed"/>
        <w:tblLook w:val="0000" w:firstRow="0" w:lastRow="0" w:firstColumn="0" w:lastColumn="0" w:noHBand="0" w:noVBand="0"/>
        <w:tblCaption w:val="AASB 132 Table 52"/>
      </w:tblPr>
      <w:tblGrid>
        <w:gridCol w:w="5605"/>
        <w:gridCol w:w="1092"/>
        <w:gridCol w:w="455"/>
        <w:gridCol w:w="1092"/>
      </w:tblGrid>
      <w:tr w:rsidR="00E35C67" w:rsidTr="002C41A7">
        <w:trPr>
          <w:cantSplit/>
          <w:tblHeader/>
        </w:trPr>
        <w:tc>
          <w:tcPr>
            <w:tcW w:w="8244" w:type="dxa"/>
            <w:gridSpan w:val="4"/>
            <w:tcBorders>
              <w:bottom w:val="single" w:sz="4" w:space="0" w:color="auto"/>
            </w:tcBorders>
            <w:vAlign w:val="bottom"/>
          </w:tcPr>
          <w:p w:rsidR="00E35C67" w:rsidRDefault="00E35C67" w:rsidP="002C41A7">
            <w:pPr>
              <w:pStyle w:val="IASBTableHeaderArial"/>
            </w:pPr>
            <w:r>
              <w:rPr>
                <w:b/>
              </w:rPr>
              <w:t>Statement of comprehensive income for the year ended 31 December 20X1</w:t>
            </w:r>
          </w:p>
        </w:tc>
      </w:tr>
      <w:tr w:rsidR="00E35C67" w:rsidTr="002C41A7">
        <w:trPr>
          <w:cantSplit/>
          <w:tblHeader/>
        </w:trPr>
        <w:tc>
          <w:tcPr>
            <w:tcW w:w="5605" w:type="dxa"/>
            <w:tcBorders>
              <w:top w:val="nil"/>
            </w:tcBorders>
            <w:vAlign w:val="bottom"/>
          </w:tcPr>
          <w:p w:rsidR="00E35C67" w:rsidRDefault="00E35C67" w:rsidP="002C41A7">
            <w:pPr>
              <w:pStyle w:val="IASBTableHeaderArial"/>
            </w:pPr>
          </w:p>
        </w:tc>
        <w:tc>
          <w:tcPr>
            <w:tcW w:w="1092" w:type="dxa"/>
            <w:tcBorders>
              <w:top w:val="nil"/>
              <w:left w:val="nil"/>
            </w:tcBorders>
            <w:vAlign w:val="bottom"/>
          </w:tcPr>
          <w:p w:rsidR="00E35C67" w:rsidRDefault="00E35C67" w:rsidP="002C41A7">
            <w:pPr>
              <w:pStyle w:val="IASBTableHeaderArial"/>
              <w:jc w:val="right"/>
            </w:pPr>
            <w:r>
              <w:rPr>
                <w:b/>
              </w:rPr>
              <w:t>20X1</w:t>
            </w:r>
          </w:p>
        </w:tc>
        <w:tc>
          <w:tcPr>
            <w:tcW w:w="455" w:type="dxa"/>
            <w:tcBorders>
              <w:top w:val="nil"/>
              <w:left w:val="nil"/>
            </w:tcBorders>
            <w:vAlign w:val="bottom"/>
          </w:tcPr>
          <w:p w:rsidR="00E35C67" w:rsidRDefault="00E35C67" w:rsidP="002C41A7">
            <w:pPr>
              <w:pStyle w:val="IASBTableHeaderArial"/>
            </w:pPr>
          </w:p>
        </w:tc>
        <w:tc>
          <w:tcPr>
            <w:tcW w:w="1092" w:type="dxa"/>
            <w:tcBorders>
              <w:top w:val="nil"/>
              <w:left w:val="nil"/>
            </w:tcBorders>
            <w:vAlign w:val="bottom"/>
          </w:tcPr>
          <w:p w:rsidR="00E35C67" w:rsidRDefault="00E35C67" w:rsidP="002C41A7">
            <w:pPr>
              <w:pStyle w:val="IASBTableHeaderArial"/>
              <w:jc w:val="right"/>
            </w:pPr>
            <w:r>
              <w:rPr>
                <w:b/>
              </w:rPr>
              <w:t>20X0</w:t>
            </w:r>
          </w:p>
        </w:tc>
      </w:tr>
      <w:tr w:rsidR="00E35C67" w:rsidTr="002C41A7">
        <w:trPr>
          <w:cantSplit/>
        </w:trPr>
        <w:tc>
          <w:tcPr>
            <w:tcW w:w="5605" w:type="dxa"/>
            <w:tcBorders>
              <w:top w:val="nil"/>
            </w:tcBorders>
            <w:vAlign w:val="bottom"/>
          </w:tcPr>
          <w:p w:rsidR="00E35C67" w:rsidRDefault="00E35C67" w:rsidP="002C41A7">
            <w:pPr>
              <w:pStyle w:val="IASBTableArial"/>
            </w:pPr>
          </w:p>
        </w:tc>
        <w:tc>
          <w:tcPr>
            <w:tcW w:w="1092" w:type="dxa"/>
            <w:tcBorders>
              <w:top w:val="nil"/>
              <w:left w:val="nil"/>
            </w:tcBorders>
            <w:vAlign w:val="bottom"/>
          </w:tcPr>
          <w:p w:rsidR="00E35C67" w:rsidRDefault="00E35C67" w:rsidP="002C41A7">
            <w:pPr>
              <w:pStyle w:val="IASBTableArial"/>
              <w:jc w:val="right"/>
            </w:pPr>
            <w:r>
              <w:t>CU</w:t>
            </w:r>
          </w:p>
        </w:tc>
        <w:tc>
          <w:tcPr>
            <w:tcW w:w="455" w:type="dxa"/>
            <w:tcBorders>
              <w:top w:val="nil"/>
              <w:left w:val="nil"/>
            </w:tcBorders>
            <w:vAlign w:val="bottom"/>
          </w:tcPr>
          <w:p w:rsidR="00E35C67" w:rsidRDefault="00E35C67" w:rsidP="002C41A7">
            <w:pPr>
              <w:pStyle w:val="IASBTableArial"/>
              <w:jc w:val="right"/>
            </w:pPr>
          </w:p>
        </w:tc>
        <w:tc>
          <w:tcPr>
            <w:tcW w:w="1092" w:type="dxa"/>
            <w:tcBorders>
              <w:top w:val="nil"/>
              <w:left w:val="nil"/>
            </w:tcBorders>
            <w:vAlign w:val="bottom"/>
          </w:tcPr>
          <w:p w:rsidR="00E35C67" w:rsidRDefault="00E35C67" w:rsidP="002C41A7">
            <w:pPr>
              <w:pStyle w:val="IASBTableArial"/>
              <w:jc w:val="right"/>
            </w:pPr>
            <w:r>
              <w:t>CU</w:t>
            </w:r>
          </w:p>
        </w:tc>
      </w:tr>
      <w:tr w:rsidR="00E35C67" w:rsidTr="002C41A7">
        <w:trPr>
          <w:cantSplit/>
        </w:trPr>
        <w:tc>
          <w:tcPr>
            <w:tcW w:w="5605" w:type="dxa"/>
            <w:tcBorders>
              <w:top w:val="nil"/>
            </w:tcBorders>
            <w:vAlign w:val="bottom"/>
          </w:tcPr>
          <w:p w:rsidR="00E35C67" w:rsidRDefault="00E35C67" w:rsidP="002C41A7">
            <w:pPr>
              <w:pStyle w:val="IASBTableArial"/>
            </w:pPr>
            <w:r>
              <w:t>Revenue</w:t>
            </w:r>
          </w:p>
        </w:tc>
        <w:tc>
          <w:tcPr>
            <w:tcW w:w="1092" w:type="dxa"/>
            <w:tcBorders>
              <w:top w:val="nil"/>
              <w:left w:val="nil"/>
            </w:tcBorders>
            <w:vAlign w:val="bottom"/>
          </w:tcPr>
          <w:p w:rsidR="00E35C67" w:rsidRDefault="00E35C67" w:rsidP="002C41A7">
            <w:pPr>
              <w:pStyle w:val="IASBTableArial"/>
              <w:jc w:val="right"/>
            </w:pPr>
            <w:r>
              <w:t>2,956</w:t>
            </w:r>
          </w:p>
        </w:tc>
        <w:tc>
          <w:tcPr>
            <w:tcW w:w="455" w:type="dxa"/>
            <w:tcBorders>
              <w:top w:val="nil"/>
              <w:left w:val="nil"/>
            </w:tcBorders>
            <w:vAlign w:val="bottom"/>
          </w:tcPr>
          <w:p w:rsidR="00E35C67" w:rsidRDefault="00E35C67" w:rsidP="002C41A7">
            <w:pPr>
              <w:pStyle w:val="IASBTableArial"/>
            </w:pPr>
          </w:p>
        </w:tc>
        <w:tc>
          <w:tcPr>
            <w:tcW w:w="1092" w:type="dxa"/>
            <w:tcBorders>
              <w:top w:val="nil"/>
              <w:left w:val="nil"/>
            </w:tcBorders>
            <w:vAlign w:val="bottom"/>
          </w:tcPr>
          <w:p w:rsidR="00E35C67" w:rsidRDefault="00E35C67" w:rsidP="002C41A7">
            <w:pPr>
              <w:pStyle w:val="IASBTableArial"/>
              <w:jc w:val="right"/>
            </w:pPr>
            <w:r>
              <w:t>1,718</w:t>
            </w:r>
          </w:p>
        </w:tc>
      </w:tr>
      <w:tr w:rsidR="00E35C67" w:rsidTr="002C41A7">
        <w:trPr>
          <w:cantSplit/>
        </w:trPr>
        <w:tc>
          <w:tcPr>
            <w:tcW w:w="5605" w:type="dxa"/>
            <w:tcBorders>
              <w:top w:val="nil"/>
            </w:tcBorders>
            <w:vAlign w:val="bottom"/>
          </w:tcPr>
          <w:p w:rsidR="00E35C67" w:rsidRDefault="00E35C67" w:rsidP="002C41A7">
            <w:pPr>
              <w:pStyle w:val="IASBTableArial"/>
            </w:pPr>
            <w:r>
              <w:t>Expenses (classified by nature or function)</w:t>
            </w:r>
          </w:p>
        </w:tc>
        <w:tc>
          <w:tcPr>
            <w:tcW w:w="1092" w:type="dxa"/>
            <w:tcBorders>
              <w:top w:val="nil"/>
              <w:left w:val="nil"/>
              <w:bottom w:val="single" w:sz="4" w:space="0" w:color="auto"/>
            </w:tcBorders>
            <w:vAlign w:val="bottom"/>
          </w:tcPr>
          <w:p w:rsidR="00E35C67" w:rsidRDefault="00E35C67" w:rsidP="002C41A7">
            <w:pPr>
              <w:pStyle w:val="IASBTableArial"/>
              <w:jc w:val="right"/>
            </w:pPr>
            <w:r>
              <w:t>(644)</w:t>
            </w:r>
          </w:p>
        </w:tc>
        <w:tc>
          <w:tcPr>
            <w:tcW w:w="455" w:type="dxa"/>
            <w:tcBorders>
              <w:top w:val="nil"/>
              <w:left w:val="nil"/>
            </w:tcBorders>
            <w:vAlign w:val="bottom"/>
          </w:tcPr>
          <w:p w:rsidR="00E35C67" w:rsidRDefault="00E35C67" w:rsidP="002C41A7">
            <w:pPr>
              <w:pStyle w:val="IASBTableArial"/>
              <w:jc w:val="right"/>
            </w:pPr>
          </w:p>
        </w:tc>
        <w:tc>
          <w:tcPr>
            <w:tcW w:w="1092" w:type="dxa"/>
            <w:tcBorders>
              <w:top w:val="nil"/>
              <w:left w:val="nil"/>
              <w:bottom w:val="single" w:sz="4" w:space="0" w:color="auto"/>
            </w:tcBorders>
            <w:vAlign w:val="bottom"/>
          </w:tcPr>
          <w:p w:rsidR="00E35C67" w:rsidRDefault="00E35C67" w:rsidP="002C41A7">
            <w:pPr>
              <w:pStyle w:val="IASBTableArial"/>
              <w:jc w:val="right"/>
            </w:pPr>
            <w:r>
              <w:t>(614)</w:t>
            </w:r>
          </w:p>
        </w:tc>
      </w:tr>
      <w:tr w:rsidR="00E35C67" w:rsidTr="002C41A7">
        <w:trPr>
          <w:cantSplit/>
        </w:trPr>
        <w:tc>
          <w:tcPr>
            <w:tcW w:w="5605" w:type="dxa"/>
            <w:tcBorders>
              <w:top w:val="nil"/>
            </w:tcBorders>
            <w:vAlign w:val="bottom"/>
          </w:tcPr>
          <w:p w:rsidR="00E35C67" w:rsidRDefault="00E35C67" w:rsidP="002C41A7">
            <w:pPr>
              <w:pStyle w:val="IASBTableArial"/>
            </w:pPr>
            <w:r>
              <w:t>Profit from operating activities</w:t>
            </w:r>
          </w:p>
        </w:tc>
        <w:tc>
          <w:tcPr>
            <w:tcW w:w="1092" w:type="dxa"/>
            <w:tcBorders>
              <w:top w:val="nil"/>
              <w:left w:val="nil"/>
            </w:tcBorders>
            <w:vAlign w:val="bottom"/>
          </w:tcPr>
          <w:p w:rsidR="00E35C67" w:rsidRDefault="00E35C67" w:rsidP="002C41A7">
            <w:pPr>
              <w:pStyle w:val="IASBTableArial"/>
              <w:jc w:val="right"/>
            </w:pPr>
            <w:r>
              <w:t>2,312</w:t>
            </w:r>
          </w:p>
        </w:tc>
        <w:tc>
          <w:tcPr>
            <w:tcW w:w="455" w:type="dxa"/>
            <w:tcBorders>
              <w:top w:val="nil"/>
              <w:left w:val="nil"/>
            </w:tcBorders>
            <w:vAlign w:val="bottom"/>
          </w:tcPr>
          <w:p w:rsidR="00E35C67" w:rsidRDefault="00E35C67" w:rsidP="002C41A7">
            <w:pPr>
              <w:pStyle w:val="IASBTableArial"/>
              <w:jc w:val="right"/>
            </w:pPr>
          </w:p>
        </w:tc>
        <w:tc>
          <w:tcPr>
            <w:tcW w:w="1092" w:type="dxa"/>
            <w:tcBorders>
              <w:top w:val="nil"/>
              <w:left w:val="nil"/>
            </w:tcBorders>
            <w:vAlign w:val="bottom"/>
          </w:tcPr>
          <w:p w:rsidR="00E35C67" w:rsidRDefault="00E35C67" w:rsidP="002C41A7">
            <w:pPr>
              <w:pStyle w:val="IASBTableArial"/>
              <w:jc w:val="right"/>
            </w:pPr>
            <w:r>
              <w:t>1,104</w:t>
            </w:r>
          </w:p>
        </w:tc>
      </w:tr>
      <w:tr w:rsidR="00E35C67" w:rsidTr="002C41A7">
        <w:trPr>
          <w:cantSplit/>
        </w:trPr>
        <w:tc>
          <w:tcPr>
            <w:tcW w:w="7152" w:type="dxa"/>
            <w:gridSpan w:val="3"/>
            <w:tcBorders>
              <w:top w:val="nil"/>
            </w:tcBorders>
            <w:vAlign w:val="bottom"/>
          </w:tcPr>
          <w:p w:rsidR="00E35C67" w:rsidRDefault="00E35C67" w:rsidP="002C41A7">
            <w:pPr>
              <w:pStyle w:val="IASBTableArial"/>
            </w:pPr>
            <w:r>
              <w:t>Finance costs</w:t>
            </w:r>
          </w:p>
        </w:tc>
        <w:tc>
          <w:tcPr>
            <w:tcW w:w="1092" w:type="dxa"/>
            <w:tcBorders>
              <w:top w:val="nil"/>
              <w:left w:val="nil"/>
            </w:tcBorders>
            <w:vAlign w:val="center"/>
          </w:tcPr>
          <w:p w:rsidR="00E35C67" w:rsidRDefault="00E35C67" w:rsidP="002C41A7">
            <w:pPr>
              <w:pStyle w:val="IASBTableArial"/>
            </w:pPr>
          </w:p>
        </w:tc>
      </w:tr>
      <w:tr w:rsidR="00E35C67" w:rsidTr="002C41A7">
        <w:trPr>
          <w:cantSplit/>
        </w:trPr>
        <w:tc>
          <w:tcPr>
            <w:tcW w:w="5605" w:type="dxa"/>
            <w:tcBorders>
              <w:top w:val="nil"/>
            </w:tcBorders>
            <w:vAlign w:val="bottom"/>
          </w:tcPr>
          <w:p w:rsidR="00E35C67" w:rsidRDefault="00E35C67" w:rsidP="002C41A7">
            <w:pPr>
              <w:pStyle w:val="IASBTableArial"/>
            </w:pPr>
            <w:r>
              <w:t>– other finance costs</w:t>
            </w:r>
          </w:p>
        </w:tc>
        <w:tc>
          <w:tcPr>
            <w:tcW w:w="1092" w:type="dxa"/>
            <w:tcBorders>
              <w:top w:val="nil"/>
              <w:left w:val="nil"/>
            </w:tcBorders>
            <w:vAlign w:val="bottom"/>
          </w:tcPr>
          <w:p w:rsidR="00E35C67" w:rsidRDefault="00E35C67" w:rsidP="002C41A7">
            <w:pPr>
              <w:pStyle w:val="IASBTableArial"/>
              <w:jc w:val="right"/>
            </w:pPr>
            <w:r>
              <w:t>(47)</w:t>
            </w:r>
          </w:p>
        </w:tc>
        <w:tc>
          <w:tcPr>
            <w:tcW w:w="455" w:type="dxa"/>
            <w:tcBorders>
              <w:top w:val="nil"/>
              <w:left w:val="nil"/>
            </w:tcBorders>
            <w:vAlign w:val="bottom"/>
          </w:tcPr>
          <w:p w:rsidR="00E35C67" w:rsidRDefault="00E35C67" w:rsidP="002C41A7">
            <w:pPr>
              <w:pStyle w:val="IASBTableArial"/>
            </w:pPr>
          </w:p>
        </w:tc>
        <w:tc>
          <w:tcPr>
            <w:tcW w:w="1092" w:type="dxa"/>
            <w:tcBorders>
              <w:top w:val="nil"/>
              <w:left w:val="nil"/>
            </w:tcBorders>
            <w:vAlign w:val="bottom"/>
          </w:tcPr>
          <w:p w:rsidR="00E35C67" w:rsidRDefault="00E35C67" w:rsidP="002C41A7">
            <w:pPr>
              <w:pStyle w:val="IASBTableArial"/>
              <w:jc w:val="right"/>
            </w:pPr>
            <w:r>
              <w:t>(47)</w:t>
            </w:r>
          </w:p>
        </w:tc>
      </w:tr>
      <w:tr w:rsidR="00E35C67" w:rsidTr="002C41A7">
        <w:trPr>
          <w:cantSplit/>
        </w:trPr>
        <w:tc>
          <w:tcPr>
            <w:tcW w:w="5605" w:type="dxa"/>
            <w:tcBorders>
              <w:top w:val="nil"/>
            </w:tcBorders>
            <w:vAlign w:val="bottom"/>
          </w:tcPr>
          <w:p w:rsidR="00E35C67" w:rsidRDefault="00E35C67" w:rsidP="002C41A7">
            <w:pPr>
              <w:pStyle w:val="IASBTableTNR"/>
            </w:pPr>
            <w:r>
              <w:t>– distributions to unitholders</w:t>
            </w:r>
          </w:p>
        </w:tc>
        <w:tc>
          <w:tcPr>
            <w:tcW w:w="1092" w:type="dxa"/>
            <w:tcBorders>
              <w:top w:val="nil"/>
              <w:left w:val="nil"/>
              <w:bottom w:val="single" w:sz="4" w:space="0" w:color="auto"/>
            </w:tcBorders>
            <w:vAlign w:val="bottom"/>
          </w:tcPr>
          <w:p w:rsidR="00E35C67" w:rsidRDefault="00E35C67" w:rsidP="002C41A7">
            <w:pPr>
              <w:pStyle w:val="IASBTableArial"/>
              <w:jc w:val="right"/>
            </w:pPr>
            <w:r>
              <w:t>(50)</w:t>
            </w:r>
          </w:p>
        </w:tc>
        <w:tc>
          <w:tcPr>
            <w:tcW w:w="455" w:type="dxa"/>
            <w:tcBorders>
              <w:top w:val="nil"/>
              <w:left w:val="nil"/>
            </w:tcBorders>
            <w:vAlign w:val="bottom"/>
          </w:tcPr>
          <w:p w:rsidR="00E35C67" w:rsidRDefault="00E35C67" w:rsidP="002C41A7">
            <w:pPr>
              <w:pStyle w:val="IASBTableArial"/>
            </w:pPr>
          </w:p>
        </w:tc>
        <w:tc>
          <w:tcPr>
            <w:tcW w:w="1092" w:type="dxa"/>
            <w:tcBorders>
              <w:top w:val="nil"/>
              <w:left w:val="nil"/>
              <w:bottom w:val="single" w:sz="4" w:space="0" w:color="auto"/>
            </w:tcBorders>
            <w:vAlign w:val="bottom"/>
          </w:tcPr>
          <w:p w:rsidR="00E35C67" w:rsidRDefault="00E35C67" w:rsidP="002C41A7">
            <w:pPr>
              <w:pStyle w:val="IASBTableArial"/>
              <w:jc w:val="right"/>
            </w:pPr>
            <w:r>
              <w:t>(50)</w:t>
            </w:r>
          </w:p>
        </w:tc>
      </w:tr>
      <w:tr w:rsidR="00E35C67" w:rsidTr="002C41A7">
        <w:trPr>
          <w:cantSplit/>
        </w:trPr>
        <w:tc>
          <w:tcPr>
            <w:tcW w:w="5605" w:type="dxa"/>
            <w:tcBorders>
              <w:top w:val="nil"/>
            </w:tcBorders>
            <w:vAlign w:val="bottom"/>
          </w:tcPr>
          <w:p w:rsidR="00E35C67" w:rsidRDefault="00E35C67" w:rsidP="002C41A7">
            <w:pPr>
              <w:pStyle w:val="IASBTableArial"/>
            </w:pPr>
            <w:r>
              <w:t>Change in net assets attributable to unitholders</w:t>
            </w:r>
          </w:p>
        </w:tc>
        <w:tc>
          <w:tcPr>
            <w:tcW w:w="1092" w:type="dxa"/>
            <w:tcBorders>
              <w:top w:val="nil"/>
              <w:left w:val="nil"/>
              <w:bottom w:val="double" w:sz="4" w:space="0" w:color="auto"/>
            </w:tcBorders>
            <w:vAlign w:val="bottom"/>
          </w:tcPr>
          <w:p w:rsidR="00E35C67" w:rsidRDefault="00E35C67" w:rsidP="002C41A7">
            <w:pPr>
              <w:pStyle w:val="IASBTableArial"/>
              <w:jc w:val="right"/>
            </w:pPr>
            <w:r>
              <w:t>2,215</w:t>
            </w:r>
          </w:p>
        </w:tc>
        <w:tc>
          <w:tcPr>
            <w:tcW w:w="455" w:type="dxa"/>
            <w:tcBorders>
              <w:top w:val="nil"/>
              <w:left w:val="nil"/>
            </w:tcBorders>
            <w:vAlign w:val="bottom"/>
          </w:tcPr>
          <w:p w:rsidR="00E35C67" w:rsidRDefault="00E35C67" w:rsidP="002C41A7">
            <w:pPr>
              <w:pStyle w:val="IASBTableArial"/>
            </w:pPr>
          </w:p>
        </w:tc>
        <w:tc>
          <w:tcPr>
            <w:tcW w:w="1092" w:type="dxa"/>
            <w:tcBorders>
              <w:top w:val="nil"/>
              <w:left w:val="nil"/>
              <w:bottom w:val="double" w:sz="4" w:space="0" w:color="auto"/>
            </w:tcBorders>
            <w:vAlign w:val="bottom"/>
          </w:tcPr>
          <w:p w:rsidR="00E35C67" w:rsidRDefault="00E35C67" w:rsidP="002C41A7">
            <w:pPr>
              <w:pStyle w:val="IASBTableArial"/>
              <w:jc w:val="right"/>
            </w:pPr>
            <w:r>
              <w:t>1,007</w:t>
            </w:r>
          </w:p>
        </w:tc>
      </w:tr>
    </w:tbl>
    <w:p w:rsidR="00E35C67" w:rsidRDefault="00E35C67" w:rsidP="00E35C67">
      <w:pPr>
        <w:pStyle w:val="IASBNormalnpara"/>
      </w:pPr>
    </w:p>
    <w:tbl>
      <w:tblPr>
        <w:tblW w:w="0" w:type="auto"/>
        <w:tblInd w:w="964" w:type="dxa"/>
        <w:tblLayout w:type="fixed"/>
        <w:tblLook w:val="0000" w:firstRow="0" w:lastRow="0" w:firstColumn="0" w:lastColumn="0" w:noHBand="0" w:noVBand="0"/>
        <w:tblCaption w:val="AASB 132 Table 53"/>
      </w:tblPr>
      <w:tblGrid>
        <w:gridCol w:w="2693"/>
        <w:gridCol w:w="1183"/>
        <w:gridCol w:w="273"/>
        <w:gridCol w:w="1183"/>
        <w:gridCol w:w="273"/>
        <w:gridCol w:w="1183"/>
        <w:gridCol w:w="273"/>
        <w:gridCol w:w="1183"/>
      </w:tblGrid>
      <w:tr w:rsidR="00E35C67" w:rsidTr="002C41A7">
        <w:trPr>
          <w:cantSplit/>
          <w:tblHeader/>
        </w:trPr>
        <w:tc>
          <w:tcPr>
            <w:tcW w:w="8244" w:type="dxa"/>
            <w:gridSpan w:val="8"/>
            <w:tcBorders>
              <w:bottom w:val="single" w:sz="4" w:space="0" w:color="auto"/>
            </w:tcBorders>
            <w:vAlign w:val="bottom"/>
          </w:tcPr>
          <w:p w:rsidR="00E35C67" w:rsidRDefault="00E35C67" w:rsidP="002C41A7">
            <w:pPr>
              <w:pStyle w:val="IASBTableHeaderArial"/>
            </w:pPr>
            <w:r>
              <w:rPr>
                <w:b/>
              </w:rPr>
              <w:t>Statement of financial position at 31 December 20X1</w:t>
            </w:r>
          </w:p>
        </w:tc>
      </w:tr>
      <w:tr w:rsidR="00E35C67" w:rsidTr="002C41A7">
        <w:trPr>
          <w:cantSplit/>
          <w:tblHeader/>
        </w:trPr>
        <w:tc>
          <w:tcPr>
            <w:tcW w:w="2693" w:type="dxa"/>
            <w:tcBorders>
              <w:top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pP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20X1</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pP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20X0</w:t>
            </w:r>
          </w:p>
        </w:tc>
      </w:tr>
      <w:tr w:rsidR="00E35C67" w:rsidTr="002C41A7">
        <w:trPr>
          <w:cantSplit/>
          <w:tblHeader/>
        </w:trPr>
        <w:tc>
          <w:tcPr>
            <w:tcW w:w="2693" w:type="dxa"/>
            <w:tcBorders>
              <w:top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r>
      <w:tr w:rsidR="00E35C67" w:rsidTr="002C41A7">
        <w:trPr>
          <w:cantSplit/>
        </w:trPr>
        <w:tc>
          <w:tcPr>
            <w:tcW w:w="5605" w:type="dxa"/>
            <w:gridSpan w:val="5"/>
            <w:tcBorders>
              <w:top w:val="nil"/>
            </w:tcBorders>
            <w:vAlign w:val="bottom"/>
          </w:tcPr>
          <w:p w:rsidR="00E35C67" w:rsidRDefault="00E35C67" w:rsidP="002C41A7">
            <w:pPr>
              <w:pStyle w:val="IASBTableArial"/>
            </w:pPr>
            <w:r>
              <w:rPr>
                <w:b/>
              </w:rPr>
              <w:t>ASSETS</w:t>
            </w: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Non-current assets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91,374</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78,484</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p>
        </w:tc>
      </w:tr>
      <w:tr w:rsidR="00E35C67" w:rsidTr="002C41A7">
        <w:trPr>
          <w:cantSplit/>
        </w:trPr>
        <w:tc>
          <w:tcPr>
            <w:tcW w:w="2693" w:type="dxa"/>
            <w:tcBorders>
              <w:top w:val="nil"/>
            </w:tcBorders>
            <w:vAlign w:val="bottom"/>
          </w:tcPr>
          <w:p w:rsidR="00E35C67" w:rsidRDefault="00E35C67" w:rsidP="002C41A7">
            <w:pPr>
              <w:pStyle w:val="IASBTableArial"/>
            </w:pPr>
            <w:r>
              <w:rPr>
                <w:b/>
              </w:rPr>
              <w:t>Total non-current assets</w:t>
            </w:r>
          </w:p>
        </w:tc>
        <w:tc>
          <w:tcPr>
            <w:tcW w:w="1183" w:type="dxa"/>
            <w:tcBorders>
              <w:top w:val="nil"/>
              <w:left w:val="nil"/>
            </w:tcBorders>
            <w:vAlign w:val="bottom"/>
          </w:tcPr>
          <w:p w:rsidR="00E35C67" w:rsidRDefault="00E35C67" w:rsidP="002C41A7">
            <w:pPr>
              <w:pStyle w:val="IASBTableArial"/>
              <w:jc w:val="right"/>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91,374</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78,484</w:t>
            </w:r>
          </w:p>
        </w:tc>
      </w:tr>
      <w:tr w:rsidR="00E35C67" w:rsidTr="002C41A7">
        <w:trPr>
          <w:cantSplit/>
        </w:trPr>
        <w:tc>
          <w:tcPr>
            <w:tcW w:w="2693" w:type="dxa"/>
            <w:tcBorders>
              <w:top w:val="nil"/>
            </w:tcBorders>
            <w:vAlign w:val="bottom"/>
          </w:tcPr>
          <w:p w:rsidR="00E35C67" w:rsidRDefault="00E35C67" w:rsidP="002C41A7">
            <w:pPr>
              <w:pStyle w:val="IASBTableArial"/>
            </w:pPr>
            <w:r>
              <w:t>Current assets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1,422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1,769</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Total current assets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1,422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1,769</w:t>
            </w:r>
          </w:p>
        </w:tc>
      </w:tr>
      <w:tr w:rsidR="00E35C67" w:rsidTr="002C41A7">
        <w:trPr>
          <w:cantSplit/>
        </w:trPr>
        <w:tc>
          <w:tcPr>
            <w:tcW w:w="2693" w:type="dxa"/>
            <w:tcBorders>
              <w:top w:val="nil"/>
            </w:tcBorders>
            <w:vAlign w:val="bottom"/>
          </w:tcPr>
          <w:p w:rsidR="00E35C67" w:rsidRDefault="00E35C67" w:rsidP="002C41A7">
            <w:pPr>
              <w:pStyle w:val="IASBTableArial"/>
            </w:pPr>
            <w:r>
              <w:rPr>
                <w:b/>
              </w:rPr>
              <w:t>Total assets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92,796</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80,253</w:t>
            </w:r>
          </w:p>
        </w:tc>
      </w:tr>
      <w:tr w:rsidR="00E35C67" w:rsidTr="002C41A7">
        <w:trPr>
          <w:cantSplit/>
        </w:trPr>
        <w:tc>
          <w:tcPr>
            <w:tcW w:w="5605" w:type="dxa"/>
            <w:gridSpan w:val="5"/>
            <w:tcBorders>
              <w:top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5605" w:type="dxa"/>
            <w:gridSpan w:val="5"/>
            <w:tcBorders>
              <w:top w:val="nil"/>
            </w:tcBorders>
            <w:vAlign w:val="bottom"/>
          </w:tcPr>
          <w:p w:rsidR="00E35C67" w:rsidRDefault="00E35C67" w:rsidP="002C41A7">
            <w:pPr>
              <w:pStyle w:val="IASBTableArial"/>
            </w:pPr>
            <w:r>
              <w:rPr>
                <w:b/>
              </w:rPr>
              <w:t>LIABILITIES</w:t>
            </w: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Current liabilities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647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66</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Total current liabilities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(647)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(66)</w:t>
            </w:r>
          </w:p>
        </w:tc>
      </w:tr>
      <w:tr w:rsidR="00E35C67" w:rsidTr="002C41A7">
        <w:trPr>
          <w:cantSplit/>
        </w:trPr>
        <w:tc>
          <w:tcPr>
            <w:tcW w:w="2693" w:type="dxa"/>
            <w:tcBorders>
              <w:top w:val="nil"/>
            </w:tcBorders>
            <w:vAlign w:val="bottom"/>
          </w:tcPr>
          <w:p w:rsidR="00E35C67" w:rsidRDefault="00E35C67" w:rsidP="002C41A7">
            <w:pPr>
              <w:pStyle w:val="IASBTableArial"/>
            </w:pPr>
            <w:r>
              <w:lastRenderedPageBreak/>
              <w:t>Non-current liabilities excluding net assets attributable to unitholders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280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136</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(280)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(136)</w:t>
            </w:r>
          </w:p>
        </w:tc>
      </w:tr>
      <w:tr w:rsidR="00E35C67" w:rsidTr="002C41A7">
        <w:trPr>
          <w:cantSplit/>
        </w:trPr>
        <w:tc>
          <w:tcPr>
            <w:tcW w:w="2693" w:type="dxa"/>
            <w:tcBorders>
              <w:top w:val="nil"/>
            </w:tcBorders>
            <w:vAlign w:val="bottom"/>
          </w:tcPr>
          <w:p w:rsidR="00E35C67" w:rsidRDefault="00E35C67" w:rsidP="002C41A7">
            <w:pPr>
              <w:pStyle w:val="IASBTableArial"/>
            </w:pPr>
            <w:r>
              <w:rPr>
                <w:b/>
              </w:rPr>
              <w:t>Net assets attributable to unitholders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91,869</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80,051</w:t>
            </w:r>
          </w:p>
        </w:tc>
      </w:tr>
    </w:tbl>
    <w:p w:rsidR="00E35C67" w:rsidRDefault="00E35C67" w:rsidP="00E35C67">
      <w:pPr>
        <w:pStyle w:val="IASBSectionTitle2Ind"/>
      </w:pPr>
      <w:r>
        <w:t>Example 8: Entities with some equity</w:t>
      </w:r>
    </w:p>
    <w:p w:rsidR="00E35C67" w:rsidRDefault="00E35C67" w:rsidP="00E35C67">
      <w:pPr>
        <w:pStyle w:val="IASBNormalnpara"/>
      </w:pPr>
      <w:r>
        <w:t>IE33</w:t>
      </w:r>
      <w:r>
        <w:tab/>
        <w:t>The following example illustrates a format of a statement of comprehensive income and statement of financial position that may be used by entities whose share capital is not equity as defined in</w:t>
      </w:r>
      <w:r w:rsidR="00B64056">
        <w:t xml:space="preserve"> AASB 132</w:t>
      </w:r>
      <w:r>
        <w:t xml:space="preserve"> because the entity has an obligation to repay the share capital on demand but does not have all the features or meet the conditions in paragraphs 16A and 16B or paragraphs 16C and 16D. Other formats are possible.</w:t>
      </w:r>
    </w:p>
    <w:tbl>
      <w:tblPr>
        <w:tblW w:w="0" w:type="auto"/>
        <w:tblInd w:w="964" w:type="dxa"/>
        <w:tblLayout w:type="fixed"/>
        <w:tblLook w:val="0000" w:firstRow="0" w:lastRow="0" w:firstColumn="0" w:lastColumn="0" w:noHBand="0" w:noVBand="0"/>
        <w:tblCaption w:val="AASB 132 Table 54"/>
      </w:tblPr>
      <w:tblGrid>
        <w:gridCol w:w="5605"/>
        <w:gridCol w:w="1183"/>
        <w:gridCol w:w="273"/>
        <w:gridCol w:w="1183"/>
      </w:tblGrid>
      <w:tr w:rsidR="00E35C67" w:rsidTr="002C41A7">
        <w:trPr>
          <w:cantSplit/>
          <w:tblHeader/>
        </w:trPr>
        <w:tc>
          <w:tcPr>
            <w:tcW w:w="8244" w:type="dxa"/>
            <w:gridSpan w:val="4"/>
            <w:tcBorders>
              <w:bottom w:val="single" w:sz="4" w:space="0" w:color="auto"/>
            </w:tcBorders>
            <w:vAlign w:val="bottom"/>
          </w:tcPr>
          <w:p w:rsidR="00E35C67" w:rsidRDefault="00E35C67" w:rsidP="00243C82">
            <w:pPr>
              <w:pStyle w:val="IASBTableHeaderArial"/>
              <w:spacing w:before="240"/>
            </w:pPr>
            <w:r>
              <w:rPr>
                <w:b/>
              </w:rPr>
              <w:t>Statement of comprehensive income for the year ended 31 December 20X1</w:t>
            </w:r>
          </w:p>
        </w:tc>
      </w:tr>
      <w:tr w:rsidR="00E35C67" w:rsidTr="002C41A7">
        <w:trPr>
          <w:cantSplit/>
          <w:tblHeader/>
        </w:trPr>
        <w:tc>
          <w:tcPr>
            <w:tcW w:w="5605" w:type="dxa"/>
            <w:tcBorders>
              <w:top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20X1</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20X0</w:t>
            </w:r>
          </w:p>
        </w:tc>
      </w:tr>
      <w:tr w:rsidR="00E35C67" w:rsidTr="002C41A7">
        <w:trPr>
          <w:cantSplit/>
        </w:trPr>
        <w:tc>
          <w:tcPr>
            <w:tcW w:w="5605"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CU</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CU</w:t>
            </w:r>
          </w:p>
        </w:tc>
      </w:tr>
      <w:tr w:rsidR="00E35C67" w:rsidTr="002C41A7">
        <w:trPr>
          <w:cantSplit/>
        </w:trPr>
        <w:tc>
          <w:tcPr>
            <w:tcW w:w="5605" w:type="dxa"/>
            <w:tcBorders>
              <w:top w:val="nil"/>
            </w:tcBorders>
            <w:vAlign w:val="bottom"/>
          </w:tcPr>
          <w:p w:rsidR="00E35C67" w:rsidRDefault="00E35C67" w:rsidP="002C41A7">
            <w:pPr>
              <w:pStyle w:val="IASBTableArial"/>
            </w:pPr>
            <w:r>
              <w:t>Revenue</w:t>
            </w:r>
          </w:p>
        </w:tc>
        <w:tc>
          <w:tcPr>
            <w:tcW w:w="1183" w:type="dxa"/>
            <w:tcBorders>
              <w:top w:val="nil"/>
              <w:left w:val="nil"/>
            </w:tcBorders>
            <w:vAlign w:val="bottom"/>
          </w:tcPr>
          <w:p w:rsidR="00E35C67" w:rsidRDefault="00E35C67" w:rsidP="002C41A7">
            <w:pPr>
              <w:pStyle w:val="IASBTableArial"/>
              <w:jc w:val="right"/>
            </w:pPr>
            <w:r>
              <w:t>472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498</w:t>
            </w:r>
          </w:p>
        </w:tc>
      </w:tr>
      <w:tr w:rsidR="00E35C67" w:rsidTr="002C41A7">
        <w:trPr>
          <w:cantSplit/>
        </w:trPr>
        <w:tc>
          <w:tcPr>
            <w:tcW w:w="5605" w:type="dxa"/>
            <w:tcBorders>
              <w:top w:val="nil"/>
            </w:tcBorders>
            <w:vAlign w:val="bottom"/>
          </w:tcPr>
          <w:p w:rsidR="00E35C67" w:rsidRDefault="00E35C67" w:rsidP="002C41A7">
            <w:pPr>
              <w:pStyle w:val="IASBTableArial"/>
            </w:pPr>
            <w:r>
              <w:t>Expenses (classified by nature or function)</w:t>
            </w:r>
          </w:p>
        </w:tc>
        <w:tc>
          <w:tcPr>
            <w:tcW w:w="1183" w:type="dxa"/>
            <w:tcBorders>
              <w:top w:val="nil"/>
              <w:left w:val="nil"/>
              <w:bottom w:val="single" w:sz="4" w:space="0" w:color="auto"/>
            </w:tcBorders>
            <w:vAlign w:val="bottom"/>
          </w:tcPr>
          <w:p w:rsidR="00E35C67" w:rsidRDefault="00E35C67" w:rsidP="002C41A7">
            <w:pPr>
              <w:pStyle w:val="IASBTableArial"/>
              <w:jc w:val="right"/>
            </w:pPr>
            <w:r>
              <w:t>(367)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(396)</w:t>
            </w:r>
          </w:p>
        </w:tc>
      </w:tr>
      <w:tr w:rsidR="00E35C67" w:rsidTr="002C41A7">
        <w:trPr>
          <w:cantSplit/>
        </w:trPr>
        <w:tc>
          <w:tcPr>
            <w:tcW w:w="5605" w:type="dxa"/>
            <w:tcBorders>
              <w:top w:val="nil"/>
            </w:tcBorders>
            <w:vAlign w:val="bottom"/>
          </w:tcPr>
          <w:p w:rsidR="00E35C67" w:rsidRDefault="00E35C67" w:rsidP="002C41A7">
            <w:pPr>
              <w:pStyle w:val="IASBTableArial"/>
            </w:pPr>
            <w:r>
              <w:t>Profit from operating activities</w:t>
            </w:r>
          </w:p>
        </w:tc>
        <w:tc>
          <w:tcPr>
            <w:tcW w:w="1183" w:type="dxa"/>
            <w:tcBorders>
              <w:top w:val="nil"/>
              <w:left w:val="nil"/>
            </w:tcBorders>
            <w:vAlign w:val="bottom"/>
          </w:tcPr>
          <w:p w:rsidR="00E35C67" w:rsidRDefault="00E35C67" w:rsidP="002C41A7">
            <w:pPr>
              <w:pStyle w:val="IASBTableArial"/>
              <w:jc w:val="right"/>
            </w:pPr>
            <w:r>
              <w:t>105</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102</w:t>
            </w:r>
          </w:p>
        </w:tc>
      </w:tr>
      <w:tr w:rsidR="00E35C67" w:rsidTr="002C41A7">
        <w:trPr>
          <w:cantSplit/>
        </w:trPr>
        <w:tc>
          <w:tcPr>
            <w:tcW w:w="7061" w:type="dxa"/>
            <w:gridSpan w:val="3"/>
            <w:tcBorders>
              <w:top w:val="nil"/>
            </w:tcBorders>
            <w:vAlign w:val="bottom"/>
          </w:tcPr>
          <w:p w:rsidR="00E35C67" w:rsidRDefault="00E35C67" w:rsidP="002C41A7">
            <w:pPr>
              <w:pStyle w:val="IASBTableArial"/>
            </w:pPr>
            <w:r>
              <w:t>Finance costs</w:t>
            </w:r>
          </w:p>
        </w:tc>
        <w:tc>
          <w:tcPr>
            <w:tcW w:w="1183" w:type="dxa"/>
            <w:tcBorders>
              <w:top w:val="nil"/>
              <w:left w:val="nil"/>
            </w:tcBorders>
            <w:vAlign w:val="bottom"/>
          </w:tcPr>
          <w:p w:rsidR="00E35C67" w:rsidRDefault="00E35C67" w:rsidP="002C41A7">
            <w:pPr>
              <w:pStyle w:val="IASBTableArial"/>
              <w:jc w:val="right"/>
            </w:pPr>
          </w:p>
        </w:tc>
      </w:tr>
      <w:tr w:rsidR="00E35C67" w:rsidTr="002C41A7">
        <w:trPr>
          <w:cantSplit/>
        </w:trPr>
        <w:tc>
          <w:tcPr>
            <w:tcW w:w="5605" w:type="dxa"/>
            <w:tcBorders>
              <w:top w:val="nil"/>
            </w:tcBorders>
            <w:vAlign w:val="bottom"/>
          </w:tcPr>
          <w:p w:rsidR="00E35C67" w:rsidRDefault="00E35C67" w:rsidP="002C41A7">
            <w:pPr>
              <w:pStyle w:val="IASBTableArial"/>
            </w:pPr>
            <w:r>
              <w:t>– other finance costs</w:t>
            </w:r>
          </w:p>
        </w:tc>
        <w:tc>
          <w:tcPr>
            <w:tcW w:w="1183" w:type="dxa"/>
            <w:tcBorders>
              <w:top w:val="nil"/>
              <w:left w:val="nil"/>
            </w:tcBorders>
            <w:vAlign w:val="bottom"/>
          </w:tcPr>
          <w:p w:rsidR="00E35C67" w:rsidRDefault="00E35C67" w:rsidP="002C41A7">
            <w:pPr>
              <w:pStyle w:val="IASBTableArial"/>
              <w:jc w:val="right"/>
            </w:pPr>
            <w:r>
              <w:t>(4)</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(4)</w:t>
            </w:r>
          </w:p>
        </w:tc>
      </w:tr>
      <w:tr w:rsidR="00E35C67" w:rsidTr="002C41A7">
        <w:trPr>
          <w:cantSplit/>
        </w:trPr>
        <w:tc>
          <w:tcPr>
            <w:tcW w:w="5605" w:type="dxa"/>
            <w:tcBorders>
              <w:top w:val="nil"/>
            </w:tcBorders>
            <w:vAlign w:val="bottom"/>
          </w:tcPr>
          <w:p w:rsidR="00E35C67" w:rsidRDefault="00E35C67" w:rsidP="002C41A7">
            <w:pPr>
              <w:pStyle w:val="IASBTableTNR"/>
            </w:pPr>
            <w:r>
              <w:t>– distributions to members</w:t>
            </w:r>
          </w:p>
        </w:tc>
        <w:tc>
          <w:tcPr>
            <w:tcW w:w="1183" w:type="dxa"/>
            <w:tcBorders>
              <w:top w:val="nil"/>
              <w:left w:val="nil"/>
              <w:bottom w:val="single" w:sz="4" w:space="0" w:color="auto"/>
            </w:tcBorders>
            <w:vAlign w:val="bottom"/>
          </w:tcPr>
          <w:p w:rsidR="00E35C67" w:rsidRDefault="00E35C67" w:rsidP="002C41A7">
            <w:pPr>
              <w:pStyle w:val="IASBTableArial"/>
              <w:jc w:val="right"/>
            </w:pPr>
            <w:r>
              <w:t>(50)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(50)</w:t>
            </w:r>
          </w:p>
        </w:tc>
      </w:tr>
      <w:tr w:rsidR="00E35C67" w:rsidTr="002C41A7">
        <w:trPr>
          <w:cantSplit/>
        </w:trPr>
        <w:tc>
          <w:tcPr>
            <w:tcW w:w="5605" w:type="dxa"/>
            <w:tcBorders>
              <w:top w:val="nil"/>
            </w:tcBorders>
            <w:vAlign w:val="bottom"/>
          </w:tcPr>
          <w:p w:rsidR="00E35C67" w:rsidRDefault="00E35C67" w:rsidP="002C41A7">
            <w:pPr>
              <w:pStyle w:val="IASBTableArial"/>
            </w:pPr>
            <w:r>
              <w:t>Change in net assets attributable to members</w:t>
            </w:r>
          </w:p>
        </w:tc>
        <w:tc>
          <w:tcPr>
            <w:tcW w:w="1183" w:type="dxa"/>
            <w:tcBorders>
              <w:top w:val="nil"/>
              <w:left w:val="nil"/>
              <w:bottom w:val="double" w:sz="4" w:space="0" w:color="auto"/>
            </w:tcBorders>
            <w:vAlign w:val="bottom"/>
          </w:tcPr>
          <w:p w:rsidR="00E35C67" w:rsidRDefault="00E35C67" w:rsidP="002C41A7">
            <w:pPr>
              <w:pStyle w:val="IASBTableArial"/>
              <w:jc w:val="right"/>
            </w:pPr>
            <w:r>
              <w:t>51</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48</w:t>
            </w:r>
          </w:p>
        </w:tc>
      </w:tr>
    </w:tbl>
    <w:p w:rsidR="00243C82" w:rsidRDefault="00243C82"/>
    <w:tbl>
      <w:tblPr>
        <w:tblW w:w="0" w:type="auto"/>
        <w:tblInd w:w="964" w:type="dxa"/>
        <w:tblLayout w:type="fixed"/>
        <w:tblLook w:val="0000" w:firstRow="0" w:lastRow="0" w:firstColumn="0" w:lastColumn="0" w:noHBand="0" w:noVBand="0"/>
        <w:tblCaption w:val="AASB 132 Table 54"/>
      </w:tblPr>
      <w:tblGrid>
        <w:gridCol w:w="2693"/>
        <w:gridCol w:w="1183"/>
        <w:gridCol w:w="273"/>
        <w:gridCol w:w="1183"/>
        <w:gridCol w:w="273"/>
        <w:gridCol w:w="1183"/>
        <w:gridCol w:w="273"/>
        <w:gridCol w:w="1183"/>
      </w:tblGrid>
      <w:tr w:rsidR="00E35C67" w:rsidTr="002C41A7">
        <w:trPr>
          <w:cantSplit/>
          <w:tblHeader/>
        </w:trPr>
        <w:tc>
          <w:tcPr>
            <w:tcW w:w="8244" w:type="dxa"/>
            <w:gridSpan w:val="8"/>
            <w:tcBorders>
              <w:bottom w:val="single" w:sz="4" w:space="0" w:color="auto"/>
            </w:tcBorders>
            <w:vAlign w:val="bottom"/>
          </w:tcPr>
          <w:p w:rsidR="00E35C67" w:rsidRDefault="00E35C67" w:rsidP="00243C82">
            <w:pPr>
              <w:pStyle w:val="IASBTableHeaderArial"/>
              <w:spacing w:before="240"/>
            </w:pPr>
            <w:r>
              <w:rPr>
                <w:b/>
              </w:rPr>
              <w:t>Statement of financial position at 31 December 20X1</w:t>
            </w:r>
          </w:p>
        </w:tc>
      </w:tr>
      <w:tr w:rsidR="00E35C67" w:rsidTr="002C41A7">
        <w:trPr>
          <w:cantSplit/>
          <w:tblHeader/>
        </w:trPr>
        <w:tc>
          <w:tcPr>
            <w:tcW w:w="2693" w:type="dxa"/>
            <w:tcBorders>
              <w:top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pP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20X1</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pP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20X0</w:t>
            </w:r>
          </w:p>
        </w:tc>
      </w:tr>
      <w:tr w:rsidR="00E35C67" w:rsidTr="002C41A7">
        <w:trPr>
          <w:cantSplit/>
          <w:tblHeader/>
        </w:trPr>
        <w:tc>
          <w:tcPr>
            <w:tcW w:w="2693" w:type="dxa"/>
            <w:tcBorders>
              <w:top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c>
          <w:tcPr>
            <w:tcW w:w="273" w:type="dxa"/>
            <w:tcBorders>
              <w:top w:val="nil"/>
              <w:left w:val="nil"/>
            </w:tcBorders>
            <w:vAlign w:val="bottom"/>
          </w:tcPr>
          <w:p w:rsidR="00E35C67" w:rsidRDefault="00E35C67" w:rsidP="002C41A7">
            <w:pPr>
              <w:pStyle w:val="IASBTableHeaderArial"/>
            </w:pPr>
          </w:p>
        </w:tc>
        <w:tc>
          <w:tcPr>
            <w:tcW w:w="1183" w:type="dxa"/>
            <w:tcBorders>
              <w:top w:val="nil"/>
              <w:left w:val="nil"/>
            </w:tcBorders>
            <w:vAlign w:val="bottom"/>
          </w:tcPr>
          <w:p w:rsidR="00E35C67" w:rsidRDefault="00E35C67" w:rsidP="002C41A7">
            <w:pPr>
              <w:pStyle w:val="IASBTableHeaderArial"/>
              <w:jc w:val="right"/>
            </w:pPr>
            <w:r>
              <w:rPr>
                <w:b/>
              </w:rPr>
              <w:t>CU</w:t>
            </w:r>
          </w:p>
        </w:tc>
      </w:tr>
      <w:tr w:rsidR="00E35C67" w:rsidTr="002C41A7">
        <w:trPr>
          <w:cantSplit/>
        </w:trPr>
        <w:tc>
          <w:tcPr>
            <w:tcW w:w="5605" w:type="dxa"/>
            <w:gridSpan w:val="5"/>
            <w:tcBorders>
              <w:top w:val="nil"/>
            </w:tcBorders>
            <w:vAlign w:val="bottom"/>
          </w:tcPr>
          <w:p w:rsidR="00E35C67" w:rsidRDefault="00E35C67" w:rsidP="002C41A7">
            <w:pPr>
              <w:pStyle w:val="IASBTableArial"/>
            </w:pPr>
            <w:r>
              <w:rPr>
                <w:b/>
              </w:rPr>
              <w:t>ASSETS</w:t>
            </w: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Non-current assets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908</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830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Total non-current assets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908</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830</w:t>
            </w:r>
          </w:p>
        </w:tc>
      </w:tr>
      <w:tr w:rsidR="00E35C67" w:rsidTr="002C41A7">
        <w:trPr>
          <w:cantSplit/>
        </w:trPr>
        <w:tc>
          <w:tcPr>
            <w:tcW w:w="2693" w:type="dxa"/>
            <w:tcBorders>
              <w:top w:val="nil"/>
            </w:tcBorders>
            <w:vAlign w:val="bottom"/>
          </w:tcPr>
          <w:p w:rsidR="00E35C67" w:rsidRDefault="00E35C67" w:rsidP="002C41A7">
            <w:pPr>
              <w:pStyle w:val="IASBTableArial"/>
            </w:pPr>
            <w:r>
              <w:t>Current assets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383</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350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Total current assets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383</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350</w:t>
            </w:r>
          </w:p>
        </w:tc>
      </w:tr>
      <w:tr w:rsidR="00E35C67" w:rsidTr="002C41A7">
        <w:trPr>
          <w:cantSplit/>
        </w:trPr>
        <w:tc>
          <w:tcPr>
            <w:tcW w:w="2693" w:type="dxa"/>
            <w:tcBorders>
              <w:top w:val="nil"/>
            </w:tcBorders>
            <w:vAlign w:val="bottom"/>
          </w:tcPr>
          <w:p w:rsidR="00E35C67" w:rsidRDefault="00E35C67" w:rsidP="002C41A7">
            <w:pPr>
              <w:pStyle w:val="IASBTableArial"/>
            </w:pPr>
            <w:r>
              <w:rPr>
                <w:b/>
              </w:rPr>
              <w:t>Total assets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1,291</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1,180</w:t>
            </w:r>
          </w:p>
        </w:tc>
      </w:tr>
      <w:tr w:rsidR="00E35C67" w:rsidTr="002C41A7">
        <w:trPr>
          <w:cantSplit/>
        </w:trPr>
        <w:tc>
          <w:tcPr>
            <w:tcW w:w="5605" w:type="dxa"/>
            <w:gridSpan w:val="5"/>
            <w:tcBorders>
              <w:top w:val="nil"/>
            </w:tcBorders>
            <w:vAlign w:val="bottom"/>
          </w:tcPr>
          <w:p w:rsidR="00E35C67" w:rsidRDefault="00E35C67" w:rsidP="000D6746">
            <w:pPr>
              <w:pStyle w:val="IASBTableArial"/>
              <w:keepNext/>
            </w:pPr>
            <w:bookmarkStart w:id="21" w:name="_GoBack"/>
            <w:bookmarkEnd w:id="21"/>
            <w:r>
              <w:rPr>
                <w:b/>
              </w:rPr>
              <w:lastRenderedPageBreak/>
              <w:t>LIABILITIES</w:t>
            </w: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Current liabilities (classified in accordance with</w:t>
            </w:r>
            <w:r w:rsidR="00B64056">
              <w:t xml:space="preserve"> AASB 101</w:t>
            </w:r>
            <w:r>
              <w:t>)</w:t>
            </w:r>
          </w:p>
        </w:tc>
        <w:tc>
          <w:tcPr>
            <w:tcW w:w="1183" w:type="dxa"/>
            <w:tcBorders>
              <w:top w:val="nil"/>
              <w:left w:val="nil"/>
            </w:tcBorders>
            <w:vAlign w:val="bottom"/>
          </w:tcPr>
          <w:p w:rsidR="00E35C67" w:rsidRDefault="00E35C67" w:rsidP="002C41A7">
            <w:pPr>
              <w:pStyle w:val="IASBTableArial"/>
              <w:jc w:val="right"/>
            </w:pPr>
            <w:r>
              <w:t>372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338</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Share capital repayable on demand</w:t>
            </w:r>
          </w:p>
        </w:tc>
        <w:tc>
          <w:tcPr>
            <w:tcW w:w="1183" w:type="dxa"/>
            <w:tcBorders>
              <w:top w:val="nil"/>
              <w:left w:val="nil"/>
              <w:bottom w:val="single" w:sz="4" w:space="0" w:color="auto"/>
            </w:tcBorders>
            <w:vAlign w:val="bottom"/>
          </w:tcPr>
          <w:p w:rsidR="00E35C67" w:rsidRDefault="00E35C67" w:rsidP="002C41A7">
            <w:pPr>
              <w:pStyle w:val="IASBTableArial"/>
              <w:jc w:val="right"/>
            </w:pPr>
            <w:r>
              <w:t>202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161</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Total current liabilities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(574)</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(499)</w:t>
            </w:r>
          </w:p>
        </w:tc>
      </w:tr>
      <w:tr w:rsidR="00E35C67" w:rsidTr="002C41A7">
        <w:trPr>
          <w:cantSplit/>
        </w:trPr>
        <w:tc>
          <w:tcPr>
            <w:tcW w:w="2693" w:type="dxa"/>
            <w:tcBorders>
              <w:top w:val="nil"/>
            </w:tcBorders>
            <w:vAlign w:val="bottom"/>
          </w:tcPr>
          <w:p w:rsidR="00E35C67" w:rsidRDefault="00E35C67" w:rsidP="002C41A7">
            <w:pPr>
              <w:pStyle w:val="IASBTableArial"/>
            </w:pPr>
            <w:r>
              <w:rPr>
                <w:b/>
              </w:rPr>
              <w:t>Total assets less current liabilities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717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681</w:t>
            </w:r>
          </w:p>
        </w:tc>
      </w:tr>
      <w:tr w:rsidR="00E35C67" w:rsidTr="002C41A7">
        <w:trPr>
          <w:cantSplit/>
        </w:trPr>
        <w:tc>
          <w:tcPr>
            <w:tcW w:w="5605" w:type="dxa"/>
            <w:gridSpan w:val="5"/>
            <w:tcBorders>
              <w:top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Non-current liabilities (classified in accordance with</w:t>
            </w:r>
            <w:r w:rsidR="00B64056">
              <w:t xml:space="preserve"> AASB 101</w:t>
            </w:r>
            <w:r>
              <w:t>)</w:t>
            </w:r>
          </w:p>
        </w:tc>
        <w:tc>
          <w:tcPr>
            <w:tcW w:w="1183" w:type="dxa"/>
            <w:tcBorders>
              <w:top w:val="nil"/>
              <w:left w:val="nil"/>
              <w:bottom w:val="single" w:sz="4" w:space="0" w:color="auto"/>
            </w:tcBorders>
            <w:vAlign w:val="bottom"/>
          </w:tcPr>
          <w:p w:rsidR="00E35C67" w:rsidRDefault="00E35C67" w:rsidP="002C41A7">
            <w:pPr>
              <w:pStyle w:val="IASBTableArial"/>
              <w:jc w:val="right"/>
            </w:pPr>
            <w:r>
              <w:t>187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196</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(187)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jc w:val="right"/>
            </w:pPr>
            <w:r>
              <w:t>(196)</w:t>
            </w:r>
          </w:p>
        </w:tc>
      </w:tr>
      <w:tr w:rsidR="00E35C67" w:rsidTr="002C41A7">
        <w:trPr>
          <w:cantSplit/>
        </w:trPr>
        <w:tc>
          <w:tcPr>
            <w:tcW w:w="5605" w:type="dxa"/>
            <w:gridSpan w:val="5"/>
            <w:tcBorders>
              <w:top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rPr>
                <w:b/>
              </w:rPr>
              <w:t>OTHER COMPONENTS OF EQUITY</w:t>
            </w:r>
            <w:r>
              <w:rPr>
                <w:vertAlign w:val="superscript"/>
              </w:rPr>
              <w:t>(a)</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Reserves eg revaluation surplus, retained earnings etc</w:t>
            </w:r>
          </w:p>
        </w:tc>
        <w:tc>
          <w:tcPr>
            <w:tcW w:w="1183" w:type="dxa"/>
            <w:tcBorders>
              <w:top w:val="nil"/>
              <w:left w:val="nil"/>
              <w:bottom w:val="single" w:sz="4" w:space="0" w:color="auto"/>
            </w:tcBorders>
            <w:vAlign w:val="bottom"/>
          </w:tcPr>
          <w:p w:rsidR="00E35C67" w:rsidRDefault="00E35C67" w:rsidP="002C41A7">
            <w:pPr>
              <w:pStyle w:val="IASBTableArial"/>
              <w:jc w:val="right"/>
            </w:pPr>
            <w:r>
              <w:t>530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485</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530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485</w:t>
            </w:r>
          </w:p>
        </w:tc>
      </w:tr>
      <w:tr w:rsidR="00E35C67" w:rsidTr="002C41A7">
        <w:trPr>
          <w:cantSplit/>
        </w:trPr>
        <w:tc>
          <w:tcPr>
            <w:tcW w:w="2693"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717</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681</w:t>
            </w:r>
          </w:p>
        </w:tc>
      </w:tr>
      <w:tr w:rsidR="00E35C67" w:rsidTr="002C41A7">
        <w:trPr>
          <w:cantSplit/>
        </w:trPr>
        <w:tc>
          <w:tcPr>
            <w:tcW w:w="5605" w:type="dxa"/>
            <w:gridSpan w:val="5"/>
            <w:tcBorders>
              <w:top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5605" w:type="dxa"/>
            <w:gridSpan w:val="5"/>
            <w:tcBorders>
              <w:top w:val="nil"/>
            </w:tcBorders>
            <w:vAlign w:val="bottom"/>
          </w:tcPr>
          <w:p w:rsidR="00E35C67" w:rsidRDefault="00E35C67" w:rsidP="002C41A7">
            <w:pPr>
              <w:pStyle w:val="IASBTableArial"/>
            </w:pPr>
            <w:r>
              <w:rPr>
                <w:b/>
              </w:rPr>
              <w:t>MEMORANDUM NOTE – Total members’ interests</w:t>
            </w:r>
          </w:p>
        </w:tc>
        <w:tc>
          <w:tcPr>
            <w:tcW w:w="1183" w:type="dxa"/>
            <w:tcBorders>
              <w:top w:val="nil"/>
              <w:left w:val="nil"/>
            </w:tcBorders>
            <w:vAlign w:val="center"/>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center"/>
          </w:tcPr>
          <w:p w:rsidR="00E35C67" w:rsidRDefault="00E35C67" w:rsidP="002C41A7">
            <w:pPr>
              <w:pStyle w:val="IASBTableArial"/>
            </w:pPr>
          </w:p>
        </w:tc>
      </w:tr>
      <w:tr w:rsidR="00E35C67" w:rsidTr="002C41A7">
        <w:trPr>
          <w:cantSplit/>
        </w:trPr>
        <w:tc>
          <w:tcPr>
            <w:tcW w:w="2693" w:type="dxa"/>
            <w:tcBorders>
              <w:top w:val="nil"/>
            </w:tcBorders>
            <w:vAlign w:val="bottom"/>
          </w:tcPr>
          <w:p w:rsidR="00E35C67" w:rsidRDefault="00E35C67" w:rsidP="002C41A7">
            <w:pPr>
              <w:pStyle w:val="IASBTableArial"/>
            </w:pPr>
            <w:r>
              <w:t>Share capital repayable on demand</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202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161</w:t>
            </w:r>
          </w:p>
        </w:tc>
      </w:tr>
      <w:tr w:rsidR="00E35C67" w:rsidTr="002C41A7">
        <w:trPr>
          <w:cantSplit/>
        </w:trPr>
        <w:tc>
          <w:tcPr>
            <w:tcW w:w="2693" w:type="dxa"/>
            <w:tcBorders>
              <w:top w:val="nil"/>
            </w:tcBorders>
            <w:vAlign w:val="bottom"/>
          </w:tcPr>
          <w:p w:rsidR="00E35C67" w:rsidRDefault="00E35C67" w:rsidP="002C41A7">
            <w:pPr>
              <w:pStyle w:val="IASBTableArial"/>
            </w:pPr>
            <w:r>
              <w:t>Reserves</w:t>
            </w: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530</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single" w:sz="4" w:space="0" w:color="auto"/>
            </w:tcBorders>
            <w:vAlign w:val="bottom"/>
          </w:tcPr>
          <w:p w:rsidR="00E35C67" w:rsidRDefault="00E35C67" w:rsidP="002C41A7">
            <w:pPr>
              <w:pStyle w:val="IASBTableArial"/>
              <w:jc w:val="right"/>
            </w:pPr>
            <w:r>
              <w:t>485</w:t>
            </w:r>
          </w:p>
        </w:tc>
      </w:tr>
      <w:tr w:rsidR="00E35C67" w:rsidTr="002C41A7">
        <w:trPr>
          <w:cantSplit/>
        </w:trPr>
        <w:tc>
          <w:tcPr>
            <w:tcW w:w="2693"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732</w:t>
            </w: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bottom w:val="double" w:sz="4" w:space="0" w:color="auto"/>
            </w:tcBorders>
            <w:vAlign w:val="bottom"/>
          </w:tcPr>
          <w:p w:rsidR="00E35C67" w:rsidRDefault="00E35C67" w:rsidP="002C41A7">
            <w:pPr>
              <w:pStyle w:val="IASBTableArial"/>
              <w:jc w:val="right"/>
            </w:pPr>
            <w:r>
              <w:t>646</w:t>
            </w:r>
          </w:p>
        </w:tc>
      </w:tr>
      <w:tr w:rsidR="00E35C67" w:rsidTr="002C41A7">
        <w:trPr>
          <w:cantSplit/>
        </w:trPr>
        <w:tc>
          <w:tcPr>
            <w:tcW w:w="2693" w:type="dxa"/>
            <w:tcBorders>
              <w:top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c>
          <w:tcPr>
            <w:tcW w:w="273" w:type="dxa"/>
            <w:tcBorders>
              <w:top w:val="nil"/>
              <w:left w:val="nil"/>
            </w:tcBorders>
            <w:vAlign w:val="bottom"/>
          </w:tcPr>
          <w:p w:rsidR="00E35C67" w:rsidRDefault="00E35C67" w:rsidP="002C41A7">
            <w:pPr>
              <w:pStyle w:val="IASBTableArial"/>
            </w:pPr>
          </w:p>
        </w:tc>
        <w:tc>
          <w:tcPr>
            <w:tcW w:w="1183" w:type="dxa"/>
            <w:tcBorders>
              <w:top w:val="nil"/>
              <w:left w:val="nil"/>
            </w:tcBorders>
            <w:vAlign w:val="bottom"/>
          </w:tcPr>
          <w:p w:rsidR="00E35C67" w:rsidRDefault="00E35C67" w:rsidP="002C41A7">
            <w:pPr>
              <w:pStyle w:val="IASBTableArial"/>
            </w:pPr>
          </w:p>
        </w:tc>
      </w:tr>
      <w:tr w:rsidR="00E35C67" w:rsidTr="002C41A7">
        <w:trPr>
          <w:cantSplit/>
        </w:trPr>
        <w:tc>
          <w:tcPr>
            <w:tcW w:w="8244" w:type="dxa"/>
            <w:gridSpan w:val="8"/>
            <w:tcBorders>
              <w:top w:val="nil"/>
            </w:tcBorders>
            <w:vAlign w:val="bottom"/>
          </w:tcPr>
          <w:p w:rsidR="00E35C67" w:rsidRDefault="00E35C67" w:rsidP="002C41A7">
            <w:pPr>
              <w:pStyle w:val="IASBTableTNR"/>
            </w:pPr>
            <w:r>
              <w:t>(</w:t>
            </w:r>
            <w:r>
              <w:rPr>
                <w:rStyle w:val="FootnoteReference"/>
                <w:sz w:val="16"/>
                <w:vertAlign w:val="baseline"/>
              </w:rPr>
              <w:t>a)</w:t>
            </w:r>
            <w:r>
              <w:rPr>
                <w:rStyle w:val="FootnoteReference"/>
                <w:sz w:val="16"/>
                <w:vertAlign w:val="baseline"/>
              </w:rPr>
              <w:tab/>
              <w:t>In this example, the entity has no obligation to deliver a share of its reserves to its members.</w:t>
            </w:r>
          </w:p>
        </w:tc>
      </w:tr>
    </w:tbl>
    <w:p w:rsidR="00E35C67" w:rsidRDefault="00E35C67" w:rsidP="00E35C67">
      <w:pPr>
        <w:pStyle w:val="IASBNormalnpara"/>
      </w:pPr>
    </w:p>
    <w:p w:rsidR="00E35C67" w:rsidRDefault="00E35C67" w:rsidP="00E35C67">
      <w:pPr>
        <w:pStyle w:val="IASBSectionTitle1NonInd"/>
      </w:pPr>
      <w:r>
        <w:t>Accounting for compound financial instruments</w:t>
      </w:r>
    </w:p>
    <w:p w:rsidR="00E35C67" w:rsidRDefault="00E35C67" w:rsidP="00E35C67">
      <w:pPr>
        <w:pStyle w:val="IASBSectionTitle2Ind"/>
      </w:pPr>
      <w:r>
        <w:t>Example 9: Separation of a compound financial instrument on initial recognition</w:t>
      </w:r>
    </w:p>
    <w:p w:rsidR="00E35C67" w:rsidRDefault="00E35C67" w:rsidP="00E35C67">
      <w:pPr>
        <w:pStyle w:val="IASBNormalnpara"/>
      </w:pPr>
      <w:r>
        <w:t>IE34</w:t>
      </w:r>
      <w:r>
        <w:tab/>
        <w:t>Paragraph 28 describes how the components of a compound financial instrument are separated by the entity on initial recognition. The following example illustrates how such a separation is made.</w:t>
      </w:r>
    </w:p>
    <w:p w:rsidR="00E35C67" w:rsidRDefault="00E35C67" w:rsidP="00E35C67">
      <w:pPr>
        <w:pStyle w:val="IASBNormalnpara"/>
      </w:pPr>
      <w:r>
        <w:t>IE35</w:t>
      </w:r>
      <w:r>
        <w:tab/>
        <w:t>An entity issues 2,000 convertible bonds at the start of year 1. The bonds have a three-year term, and are issued at par with a face value of CU1,000 per bond, giving total proceeds of CU2,000,000. Interest is payable annually in arrears at a nominal annual interest rate of 6 per cent. Each bond is convertible at any time up to maturity into 250 ordinary shares. When the bonds are issued, the prevailing market interest rate for similar debt without conversion options is 9 per cent.</w:t>
      </w:r>
    </w:p>
    <w:p w:rsidR="00E35C67" w:rsidRDefault="00E35C67" w:rsidP="00E35C67">
      <w:pPr>
        <w:pStyle w:val="IASBNormalnpara"/>
      </w:pPr>
      <w:r>
        <w:lastRenderedPageBreak/>
        <w:t>IE36</w:t>
      </w:r>
      <w:r>
        <w:tab/>
        <w:t>The liability component is measured first, and the difference between the proceeds of the bond issue and the fair value of the liability is assigned to the equity component. The present value of the liability component is calculated using a discount rate of 9 per cent, the market interest rate for similar bonds having no conversion rights, as shown below.</w:t>
      </w:r>
    </w:p>
    <w:tbl>
      <w:tblPr>
        <w:tblW w:w="0" w:type="auto"/>
        <w:tblInd w:w="964" w:type="dxa"/>
        <w:tblLayout w:type="fixed"/>
        <w:tblLook w:val="0000" w:firstRow="0" w:lastRow="0" w:firstColumn="0" w:lastColumn="0" w:noHBand="0" w:noVBand="0"/>
        <w:tblCaption w:val="AASB 132 Table 56"/>
      </w:tblPr>
      <w:tblGrid>
        <w:gridCol w:w="6879"/>
        <w:gridCol w:w="1365"/>
      </w:tblGrid>
      <w:tr w:rsidR="00E35C67" w:rsidTr="002C41A7">
        <w:trPr>
          <w:cantSplit/>
          <w:tblHeader/>
        </w:trPr>
        <w:tc>
          <w:tcPr>
            <w:tcW w:w="6879" w:type="dxa"/>
          </w:tcPr>
          <w:p w:rsidR="00E35C67" w:rsidRDefault="00E35C67" w:rsidP="002C41A7">
            <w:pPr>
              <w:pStyle w:val="IASBTableHeaderArial"/>
            </w:pPr>
          </w:p>
        </w:tc>
        <w:tc>
          <w:tcPr>
            <w:tcW w:w="1365" w:type="dxa"/>
            <w:tcBorders>
              <w:left w:val="nil"/>
            </w:tcBorders>
            <w:vAlign w:val="bottom"/>
          </w:tcPr>
          <w:p w:rsidR="00E35C67" w:rsidRDefault="00E35C67" w:rsidP="002C41A7">
            <w:pPr>
              <w:pStyle w:val="IASBTableHeaderArial"/>
              <w:jc w:val="right"/>
            </w:pPr>
            <w:r>
              <w:rPr>
                <w:b/>
              </w:rPr>
              <w:t>CU</w:t>
            </w:r>
          </w:p>
        </w:tc>
      </w:tr>
      <w:tr w:rsidR="00E35C67" w:rsidTr="002C41A7">
        <w:trPr>
          <w:cantSplit/>
        </w:trPr>
        <w:tc>
          <w:tcPr>
            <w:tcW w:w="6879" w:type="dxa"/>
            <w:tcBorders>
              <w:top w:val="nil"/>
            </w:tcBorders>
          </w:tcPr>
          <w:p w:rsidR="00E35C67" w:rsidRDefault="00E35C67" w:rsidP="002C41A7">
            <w:pPr>
              <w:pStyle w:val="IASBTableArial"/>
            </w:pPr>
            <w:r>
              <w:t>Present value of the principal – CU2,000,000 payable at the end of three years</w:t>
            </w:r>
          </w:p>
        </w:tc>
        <w:tc>
          <w:tcPr>
            <w:tcW w:w="1365" w:type="dxa"/>
            <w:tcBorders>
              <w:top w:val="nil"/>
              <w:left w:val="nil"/>
            </w:tcBorders>
            <w:vAlign w:val="bottom"/>
          </w:tcPr>
          <w:p w:rsidR="00E35C67" w:rsidRDefault="00E35C67" w:rsidP="002C41A7">
            <w:pPr>
              <w:pStyle w:val="IASBTableArial"/>
              <w:jc w:val="right"/>
            </w:pPr>
            <w:r>
              <w:t>1,544,367</w:t>
            </w:r>
          </w:p>
        </w:tc>
      </w:tr>
      <w:tr w:rsidR="00E35C67" w:rsidTr="002C41A7">
        <w:trPr>
          <w:cantSplit/>
        </w:trPr>
        <w:tc>
          <w:tcPr>
            <w:tcW w:w="6879" w:type="dxa"/>
            <w:tcBorders>
              <w:top w:val="nil"/>
            </w:tcBorders>
          </w:tcPr>
          <w:p w:rsidR="00E35C67" w:rsidRDefault="00E35C67" w:rsidP="002C41A7">
            <w:pPr>
              <w:pStyle w:val="IASBTableArial"/>
            </w:pPr>
            <w:r>
              <w:t>Present value of the interest – CU120,000 payable annually in arrears for three years</w:t>
            </w:r>
          </w:p>
        </w:tc>
        <w:tc>
          <w:tcPr>
            <w:tcW w:w="1365" w:type="dxa"/>
            <w:tcBorders>
              <w:top w:val="nil"/>
              <w:left w:val="nil"/>
              <w:bottom w:val="single" w:sz="4" w:space="0" w:color="auto"/>
            </w:tcBorders>
            <w:vAlign w:val="bottom"/>
          </w:tcPr>
          <w:p w:rsidR="00E35C67" w:rsidRDefault="00E35C67" w:rsidP="002C41A7">
            <w:pPr>
              <w:pStyle w:val="IASBTableArial"/>
              <w:jc w:val="right"/>
            </w:pPr>
            <w:r>
              <w:t>303,755</w:t>
            </w:r>
          </w:p>
        </w:tc>
      </w:tr>
      <w:tr w:rsidR="00E35C67" w:rsidTr="002C41A7">
        <w:trPr>
          <w:cantSplit/>
        </w:trPr>
        <w:tc>
          <w:tcPr>
            <w:tcW w:w="6879" w:type="dxa"/>
            <w:tcBorders>
              <w:top w:val="nil"/>
            </w:tcBorders>
          </w:tcPr>
          <w:p w:rsidR="00E35C67" w:rsidRDefault="00E35C67" w:rsidP="002C41A7">
            <w:pPr>
              <w:pStyle w:val="IASBTableArial"/>
            </w:pPr>
            <w:r>
              <w:t>Total liability component</w:t>
            </w:r>
          </w:p>
        </w:tc>
        <w:tc>
          <w:tcPr>
            <w:tcW w:w="1365" w:type="dxa"/>
            <w:tcBorders>
              <w:top w:val="nil"/>
              <w:left w:val="nil"/>
            </w:tcBorders>
            <w:vAlign w:val="bottom"/>
          </w:tcPr>
          <w:p w:rsidR="00E35C67" w:rsidRDefault="00E35C67" w:rsidP="002C41A7">
            <w:pPr>
              <w:pStyle w:val="IASBTableArial"/>
              <w:jc w:val="right"/>
            </w:pPr>
            <w:r>
              <w:t>1,848,122</w:t>
            </w:r>
          </w:p>
        </w:tc>
      </w:tr>
      <w:tr w:rsidR="00E35C67" w:rsidTr="002C41A7">
        <w:trPr>
          <w:cantSplit/>
        </w:trPr>
        <w:tc>
          <w:tcPr>
            <w:tcW w:w="6879" w:type="dxa"/>
            <w:tcBorders>
              <w:top w:val="nil"/>
            </w:tcBorders>
          </w:tcPr>
          <w:p w:rsidR="00E35C67" w:rsidRDefault="00E35C67" w:rsidP="002C41A7">
            <w:pPr>
              <w:pStyle w:val="IASBTableArial"/>
            </w:pPr>
            <w:r>
              <w:t>Equity component (by deduction)</w:t>
            </w:r>
          </w:p>
        </w:tc>
        <w:tc>
          <w:tcPr>
            <w:tcW w:w="1365" w:type="dxa"/>
            <w:tcBorders>
              <w:top w:val="nil"/>
              <w:left w:val="nil"/>
              <w:bottom w:val="single" w:sz="4" w:space="0" w:color="auto"/>
            </w:tcBorders>
            <w:vAlign w:val="bottom"/>
          </w:tcPr>
          <w:p w:rsidR="00E35C67" w:rsidRDefault="00E35C67" w:rsidP="002C41A7">
            <w:pPr>
              <w:pStyle w:val="IASBTableArial"/>
              <w:jc w:val="right"/>
            </w:pPr>
            <w:r>
              <w:t>151,878</w:t>
            </w:r>
          </w:p>
        </w:tc>
      </w:tr>
      <w:tr w:rsidR="00E35C67" w:rsidTr="002C41A7">
        <w:trPr>
          <w:cantSplit/>
        </w:trPr>
        <w:tc>
          <w:tcPr>
            <w:tcW w:w="6879" w:type="dxa"/>
            <w:tcBorders>
              <w:top w:val="nil"/>
            </w:tcBorders>
          </w:tcPr>
          <w:p w:rsidR="00E35C67" w:rsidRDefault="00E35C67" w:rsidP="002C41A7">
            <w:pPr>
              <w:pStyle w:val="IASBTableArial"/>
            </w:pPr>
            <w:r>
              <w:t>Proceeds of the bond issue</w:t>
            </w:r>
          </w:p>
        </w:tc>
        <w:tc>
          <w:tcPr>
            <w:tcW w:w="1365" w:type="dxa"/>
            <w:tcBorders>
              <w:top w:val="nil"/>
              <w:left w:val="nil"/>
              <w:bottom w:val="double" w:sz="4" w:space="0" w:color="auto"/>
            </w:tcBorders>
            <w:vAlign w:val="bottom"/>
          </w:tcPr>
          <w:p w:rsidR="00E35C67" w:rsidRDefault="00E35C67" w:rsidP="002C41A7">
            <w:pPr>
              <w:pStyle w:val="IASBTableArial"/>
              <w:jc w:val="right"/>
            </w:pPr>
            <w:r>
              <w:t>2,000,000</w:t>
            </w:r>
          </w:p>
        </w:tc>
      </w:tr>
    </w:tbl>
    <w:p w:rsidR="00E35C67" w:rsidRDefault="00E35C67" w:rsidP="00E35C67">
      <w:pPr>
        <w:pStyle w:val="IASBSectionTitle2Ind"/>
      </w:pPr>
      <w:r>
        <w:t>Example 10: Separation of a compound financial instrument with multiple embedded derivative features</w:t>
      </w:r>
    </w:p>
    <w:p w:rsidR="00E35C67" w:rsidRDefault="00E35C67" w:rsidP="00E35C67">
      <w:pPr>
        <w:pStyle w:val="IASBNormalnpara"/>
      </w:pPr>
      <w:r>
        <w:t>IE37</w:t>
      </w:r>
      <w:r>
        <w:tab/>
        <w:t>The following example illustrates the application of paragraph 31 to the separation of the liability and equity components of a compound financial instrument with multiple embedded derivative features.</w:t>
      </w:r>
    </w:p>
    <w:p w:rsidR="00E35C67" w:rsidRDefault="00E35C67" w:rsidP="00E35C67">
      <w:pPr>
        <w:pStyle w:val="IASBNormalnpara"/>
      </w:pPr>
      <w:r>
        <w:t>IE38</w:t>
      </w:r>
      <w:r>
        <w:tab/>
        <w:t>Assume that the proceeds received on the issue of a callable convertible bond are CU60. The value of a similar bond without a call or equity conversion option is CU57. Based on an option pricing model, it is determined that the value to the entity of the embedded call feature in a similar bond without an equity conversion option is CU2. In this case, the value allocated to the liability component under paragraph 31 is CU55 (CU57 – CU2) and the value allocated to the equity component is CU5 (CU60 – CU55).</w:t>
      </w:r>
    </w:p>
    <w:p w:rsidR="00E35C67" w:rsidRDefault="00E35C67" w:rsidP="00E35C67">
      <w:pPr>
        <w:pStyle w:val="IASBSectionTitle2Ind"/>
      </w:pPr>
      <w:r>
        <w:t>Example 11: Repurchase of a convertible instrument</w:t>
      </w:r>
    </w:p>
    <w:p w:rsidR="00E35C67" w:rsidRDefault="00E35C67" w:rsidP="00E35C67">
      <w:pPr>
        <w:pStyle w:val="IASBNormalnpara"/>
      </w:pPr>
      <w:r>
        <w:t>IE39</w:t>
      </w:r>
      <w:r>
        <w:tab/>
        <w:t>The following example illustrates how an entity accounts for a repurchase of a convertible instrument. For simplicity, at inception, the face amount of the instrument is assumed to be equal to the aggregate carrying amount of its liability and equity components in the financial statements, ie no original issue premium or discount exists. Also, for simplicity, tax considerations have been omitted from the example.</w:t>
      </w:r>
    </w:p>
    <w:p w:rsidR="00E35C67" w:rsidRDefault="00E35C67" w:rsidP="00E35C67">
      <w:pPr>
        <w:pStyle w:val="IASBNormalnpara"/>
      </w:pPr>
      <w:r>
        <w:t>IE40</w:t>
      </w:r>
      <w:r>
        <w:tab/>
        <w:t>On 1 January 20X0, Entity A issued a 10 per cent convertible debenture with a face value of CU1,000 maturing on 31 December 20X9. The debenture is convertible into ordinary shares of Entity A at a conversion price of CU25 per share. Interest is payable half-yearly in cash. At the date of issue, Entity A could have issued non-convertible debt with a ten-year term bearing a coupon interest rate of 11 per cent.</w:t>
      </w:r>
    </w:p>
    <w:p w:rsidR="00E35C67" w:rsidRDefault="00E35C67" w:rsidP="00E35C67">
      <w:pPr>
        <w:pStyle w:val="IASBNormalnpara"/>
      </w:pPr>
      <w:r>
        <w:t>IE41</w:t>
      </w:r>
      <w:r>
        <w:tab/>
        <w:t>In the financial statements of Entity A the carrying amount of the debenture was allocated on issue as follows:</w:t>
      </w:r>
    </w:p>
    <w:tbl>
      <w:tblPr>
        <w:tblW w:w="0" w:type="auto"/>
        <w:tblInd w:w="964" w:type="dxa"/>
        <w:tblLayout w:type="fixed"/>
        <w:tblLook w:val="0000" w:firstRow="0" w:lastRow="0" w:firstColumn="0" w:lastColumn="0" w:noHBand="0" w:noVBand="0"/>
        <w:tblCaption w:val="AASB 132 Table 57"/>
      </w:tblPr>
      <w:tblGrid>
        <w:gridCol w:w="7334"/>
        <w:gridCol w:w="910"/>
      </w:tblGrid>
      <w:tr w:rsidR="00E35C67" w:rsidTr="002C41A7">
        <w:trPr>
          <w:cantSplit/>
          <w:tblHeader/>
        </w:trPr>
        <w:tc>
          <w:tcPr>
            <w:tcW w:w="7334" w:type="dxa"/>
          </w:tcPr>
          <w:p w:rsidR="00E35C67" w:rsidRDefault="00E35C67" w:rsidP="001A63B5">
            <w:pPr>
              <w:pStyle w:val="IASBTableHeaderArial"/>
            </w:pPr>
          </w:p>
        </w:tc>
        <w:tc>
          <w:tcPr>
            <w:tcW w:w="910" w:type="dxa"/>
            <w:tcBorders>
              <w:left w:val="nil"/>
            </w:tcBorders>
            <w:vAlign w:val="bottom"/>
          </w:tcPr>
          <w:p w:rsidR="00E35C67" w:rsidRDefault="00E35C67" w:rsidP="001A63B5">
            <w:pPr>
              <w:pStyle w:val="IASBTableHeaderArial"/>
              <w:jc w:val="right"/>
            </w:pPr>
            <w:r>
              <w:rPr>
                <w:b/>
              </w:rPr>
              <w:t>CU</w:t>
            </w:r>
          </w:p>
        </w:tc>
      </w:tr>
      <w:tr w:rsidR="00E35C67" w:rsidTr="002C41A7">
        <w:trPr>
          <w:cantSplit/>
        </w:trPr>
        <w:tc>
          <w:tcPr>
            <w:tcW w:w="7334" w:type="dxa"/>
            <w:tcBorders>
              <w:top w:val="nil"/>
            </w:tcBorders>
          </w:tcPr>
          <w:p w:rsidR="00E35C67" w:rsidRDefault="00E35C67" w:rsidP="001A63B5">
            <w:pPr>
              <w:pStyle w:val="IASBTableArial"/>
              <w:keepNext/>
            </w:pPr>
            <w:r>
              <w:rPr>
                <w:b/>
              </w:rPr>
              <w:t>Liability component</w:t>
            </w:r>
          </w:p>
        </w:tc>
        <w:tc>
          <w:tcPr>
            <w:tcW w:w="910" w:type="dxa"/>
            <w:tcBorders>
              <w:top w:val="nil"/>
              <w:left w:val="nil"/>
            </w:tcBorders>
            <w:vAlign w:val="bottom"/>
          </w:tcPr>
          <w:p w:rsidR="00E35C67" w:rsidRDefault="00E35C67" w:rsidP="001A63B5">
            <w:pPr>
              <w:pStyle w:val="IASBTableArial"/>
              <w:keepNext/>
            </w:pPr>
          </w:p>
        </w:tc>
      </w:tr>
      <w:tr w:rsidR="00E35C67" w:rsidTr="002C41A7">
        <w:trPr>
          <w:cantSplit/>
        </w:trPr>
        <w:tc>
          <w:tcPr>
            <w:tcW w:w="7334" w:type="dxa"/>
            <w:tcBorders>
              <w:top w:val="nil"/>
            </w:tcBorders>
          </w:tcPr>
          <w:p w:rsidR="00E35C67" w:rsidRDefault="00E35C67" w:rsidP="001A63B5">
            <w:pPr>
              <w:pStyle w:val="IASBTableArial"/>
              <w:keepNext/>
            </w:pPr>
            <w:r>
              <w:t>Present value of 20 half-yearly interest payments of CU50, discounted at 11%</w:t>
            </w:r>
          </w:p>
        </w:tc>
        <w:tc>
          <w:tcPr>
            <w:tcW w:w="910" w:type="dxa"/>
            <w:tcBorders>
              <w:top w:val="nil"/>
              <w:left w:val="nil"/>
            </w:tcBorders>
            <w:vAlign w:val="bottom"/>
          </w:tcPr>
          <w:p w:rsidR="00E35C67" w:rsidRDefault="00E35C67" w:rsidP="001A63B5">
            <w:pPr>
              <w:pStyle w:val="IASBTableArial"/>
              <w:keepNext/>
              <w:jc w:val="right"/>
            </w:pPr>
            <w:r>
              <w:t>597</w:t>
            </w:r>
          </w:p>
        </w:tc>
      </w:tr>
      <w:tr w:rsidR="00E35C67" w:rsidTr="002C41A7">
        <w:trPr>
          <w:cantSplit/>
        </w:trPr>
        <w:tc>
          <w:tcPr>
            <w:tcW w:w="7334" w:type="dxa"/>
            <w:tcBorders>
              <w:top w:val="nil"/>
            </w:tcBorders>
          </w:tcPr>
          <w:p w:rsidR="00E35C67" w:rsidRDefault="00E35C67" w:rsidP="001A63B5">
            <w:pPr>
              <w:pStyle w:val="IASBTableArial"/>
              <w:keepNext/>
            </w:pPr>
            <w:r>
              <w:t>Present value of CU1,000 due in 10 years, discounted at 11%, compounded half-yearly</w:t>
            </w:r>
          </w:p>
        </w:tc>
        <w:tc>
          <w:tcPr>
            <w:tcW w:w="910" w:type="dxa"/>
            <w:tcBorders>
              <w:top w:val="nil"/>
              <w:left w:val="nil"/>
              <w:bottom w:val="single" w:sz="4" w:space="0" w:color="auto"/>
            </w:tcBorders>
            <w:vAlign w:val="bottom"/>
          </w:tcPr>
          <w:p w:rsidR="00E35C67" w:rsidRDefault="00E35C67" w:rsidP="001A63B5">
            <w:pPr>
              <w:pStyle w:val="IASBTableArial"/>
              <w:keepNext/>
              <w:jc w:val="right"/>
            </w:pPr>
            <w:r>
              <w:t>343</w:t>
            </w:r>
          </w:p>
        </w:tc>
      </w:tr>
      <w:tr w:rsidR="00E35C67" w:rsidTr="002C41A7">
        <w:trPr>
          <w:cantSplit/>
        </w:trPr>
        <w:tc>
          <w:tcPr>
            <w:tcW w:w="7334" w:type="dxa"/>
            <w:tcBorders>
              <w:top w:val="nil"/>
            </w:tcBorders>
          </w:tcPr>
          <w:p w:rsidR="00E35C67" w:rsidRDefault="00E35C67" w:rsidP="002C41A7">
            <w:pPr>
              <w:pStyle w:val="IASBTableArial"/>
            </w:pPr>
          </w:p>
        </w:tc>
        <w:tc>
          <w:tcPr>
            <w:tcW w:w="910" w:type="dxa"/>
            <w:tcBorders>
              <w:top w:val="nil"/>
              <w:left w:val="nil"/>
            </w:tcBorders>
            <w:vAlign w:val="bottom"/>
          </w:tcPr>
          <w:p w:rsidR="00E35C67" w:rsidRDefault="00E35C67" w:rsidP="002C41A7">
            <w:pPr>
              <w:pStyle w:val="IASBTableArial"/>
              <w:jc w:val="right"/>
            </w:pPr>
            <w:r>
              <w:t>940</w:t>
            </w:r>
          </w:p>
        </w:tc>
      </w:tr>
      <w:tr w:rsidR="00E35C67" w:rsidTr="002C41A7">
        <w:trPr>
          <w:cantSplit/>
        </w:trPr>
        <w:tc>
          <w:tcPr>
            <w:tcW w:w="7334" w:type="dxa"/>
            <w:tcBorders>
              <w:top w:val="nil"/>
            </w:tcBorders>
          </w:tcPr>
          <w:p w:rsidR="00E35C67" w:rsidRDefault="00E35C67" w:rsidP="002C41A7">
            <w:pPr>
              <w:pStyle w:val="IASBTableArial"/>
            </w:pPr>
            <w:r>
              <w:rPr>
                <w:b/>
              </w:rPr>
              <w:t>Equity component</w:t>
            </w:r>
          </w:p>
        </w:tc>
        <w:tc>
          <w:tcPr>
            <w:tcW w:w="910" w:type="dxa"/>
            <w:tcBorders>
              <w:top w:val="nil"/>
              <w:left w:val="nil"/>
            </w:tcBorders>
            <w:vAlign w:val="bottom"/>
          </w:tcPr>
          <w:p w:rsidR="00E35C67" w:rsidRDefault="00E35C67" w:rsidP="002C41A7">
            <w:pPr>
              <w:pStyle w:val="IASBTableArial"/>
            </w:pPr>
          </w:p>
        </w:tc>
      </w:tr>
      <w:tr w:rsidR="00E35C67" w:rsidTr="002C41A7">
        <w:trPr>
          <w:cantSplit/>
        </w:trPr>
        <w:tc>
          <w:tcPr>
            <w:tcW w:w="7334" w:type="dxa"/>
            <w:tcBorders>
              <w:top w:val="nil"/>
            </w:tcBorders>
          </w:tcPr>
          <w:p w:rsidR="00E35C67" w:rsidRDefault="00E35C67" w:rsidP="002C41A7">
            <w:pPr>
              <w:pStyle w:val="IASBTableArial"/>
            </w:pPr>
            <w:r>
              <w:t>(difference between CU1,000 total proceeds and CU940 allocated above)</w:t>
            </w:r>
          </w:p>
        </w:tc>
        <w:tc>
          <w:tcPr>
            <w:tcW w:w="910" w:type="dxa"/>
            <w:tcBorders>
              <w:top w:val="nil"/>
              <w:left w:val="nil"/>
              <w:bottom w:val="single" w:sz="4" w:space="0" w:color="auto"/>
            </w:tcBorders>
            <w:vAlign w:val="bottom"/>
          </w:tcPr>
          <w:p w:rsidR="00E35C67" w:rsidRDefault="00E35C67" w:rsidP="002C41A7">
            <w:pPr>
              <w:pStyle w:val="IASBTableArial"/>
              <w:jc w:val="right"/>
            </w:pPr>
            <w:r>
              <w:t>60</w:t>
            </w:r>
          </w:p>
        </w:tc>
      </w:tr>
      <w:tr w:rsidR="00E35C67" w:rsidTr="002C41A7">
        <w:trPr>
          <w:cantSplit/>
        </w:trPr>
        <w:tc>
          <w:tcPr>
            <w:tcW w:w="7334" w:type="dxa"/>
            <w:tcBorders>
              <w:top w:val="nil"/>
            </w:tcBorders>
          </w:tcPr>
          <w:p w:rsidR="00E35C67" w:rsidRDefault="00E35C67" w:rsidP="002C41A7">
            <w:pPr>
              <w:pStyle w:val="IASBTableArial"/>
            </w:pPr>
            <w:r>
              <w:rPr>
                <w:b/>
              </w:rPr>
              <w:t>Total proceeds</w:t>
            </w:r>
          </w:p>
        </w:tc>
        <w:tc>
          <w:tcPr>
            <w:tcW w:w="910" w:type="dxa"/>
            <w:tcBorders>
              <w:top w:val="nil"/>
              <w:left w:val="nil"/>
              <w:bottom w:val="double" w:sz="4" w:space="0" w:color="auto"/>
            </w:tcBorders>
            <w:vAlign w:val="bottom"/>
          </w:tcPr>
          <w:p w:rsidR="00E35C67" w:rsidRDefault="00E35C67" w:rsidP="002C41A7">
            <w:pPr>
              <w:pStyle w:val="IASBTableArial"/>
              <w:jc w:val="right"/>
            </w:pPr>
            <w:r>
              <w:t>1,000</w:t>
            </w:r>
          </w:p>
        </w:tc>
      </w:tr>
    </w:tbl>
    <w:p w:rsidR="00E35C67" w:rsidRDefault="00E35C67" w:rsidP="00E35C67">
      <w:pPr>
        <w:pStyle w:val="IASBNormalnpara"/>
      </w:pPr>
    </w:p>
    <w:p w:rsidR="00E35C67" w:rsidRDefault="00E35C67" w:rsidP="00E35C67">
      <w:pPr>
        <w:pStyle w:val="IASBNormalnpara"/>
      </w:pPr>
      <w:r>
        <w:t>IE42</w:t>
      </w:r>
      <w:r>
        <w:tab/>
        <w:t>On 1 January 20X5, the convertible debenture has a fair value of CU1,700.</w:t>
      </w:r>
    </w:p>
    <w:p w:rsidR="00E35C67" w:rsidRDefault="00E35C67" w:rsidP="00E35C67">
      <w:pPr>
        <w:pStyle w:val="IASBNormalnpara"/>
      </w:pPr>
      <w:r>
        <w:t>IE43</w:t>
      </w:r>
      <w:r>
        <w:tab/>
        <w:t>Entity A makes a tender offer to the holder of the debenture to repurchase the debenture for CU1,700, which the holder accepts. At the date of repurchase, Entity A could have issued non-convertible debt with a five-year term bearing a coupon interest rate of 8 per cent.</w:t>
      </w:r>
    </w:p>
    <w:p w:rsidR="00E35C67" w:rsidRDefault="00E35C67" w:rsidP="002400A1">
      <w:pPr>
        <w:pStyle w:val="IASBNormalnpara"/>
        <w:keepNext/>
      </w:pPr>
      <w:r>
        <w:lastRenderedPageBreak/>
        <w:t>IE44</w:t>
      </w:r>
      <w:r>
        <w:tab/>
        <w:t>The repurchase price is allocated as follows:</w:t>
      </w:r>
    </w:p>
    <w:tbl>
      <w:tblPr>
        <w:tblW w:w="0" w:type="auto"/>
        <w:tblInd w:w="964" w:type="dxa"/>
        <w:tblLayout w:type="fixed"/>
        <w:tblLook w:val="0000" w:firstRow="0" w:lastRow="0" w:firstColumn="0" w:lastColumn="0" w:noHBand="0" w:noVBand="0"/>
        <w:tblCaption w:val="AASB 132 Table 58"/>
      </w:tblPr>
      <w:tblGrid>
        <w:gridCol w:w="3239"/>
        <w:gridCol w:w="1365"/>
        <w:gridCol w:w="455"/>
        <w:gridCol w:w="1365"/>
        <w:gridCol w:w="455"/>
        <w:gridCol w:w="1365"/>
      </w:tblGrid>
      <w:tr w:rsidR="00E35C67" w:rsidTr="002C41A7">
        <w:trPr>
          <w:cantSplit/>
          <w:tblHeader/>
        </w:trPr>
        <w:tc>
          <w:tcPr>
            <w:tcW w:w="3239" w:type="dxa"/>
            <w:vAlign w:val="bottom"/>
          </w:tcPr>
          <w:p w:rsidR="00E35C67" w:rsidRDefault="00E35C67" w:rsidP="002C41A7">
            <w:pPr>
              <w:pStyle w:val="IASBTableHeaderArial"/>
            </w:pPr>
          </w:p>
        </w:tc>
        <w:tc>
          <w:tcPr>
            <w:tcW w:w="1365" w:type="dxa"/>
            <w:tcBorders>
              <w:left w:val="nil"/>
            </w:tcBorders>
          </w:tcPr>
          <w:p w:rsidR="00E35C67" w:rsidRDefault="00E35C67" w:rsidP="002C41A7">
            <w:pPr>
              <w:pStyle w:val="IASBTableHeaderArial"/>
              <w:jc w:val="right"/>
            </w:pPr>
            <w:r>
              <w:rPr>
                <w:b/>
              </w:rPr>
              <w:t>Carrying value</w:t>
            </w:r>
          </w:p>
        </w:tc>
        <w:tc>
          <w:tcPr>
            <w:tcW w:w="455" w:type="dxa"/>
            <w:tcBorders>
              <w:left w:val="nil"/>
            </w:tcBorders>
            <w:vAlign w:val="bottom"/>
          </w:tcPr>
          <w:p w:rsidR="00E35C67" w:rsidRDefault="00E35C67" w:rsidP="002C41A7">
            <w:pPr>
              <w:pStyle w:val="IASBTableHeaderArial"/>
            </w:pPr>
          </w:p>
        </w:tc>
        <w:tc>
          <w:tcPr>
            <w:tcW w:w="1365" w:type="dxa"/>
            <w:tcBorders>
              <w:left w:val="nil"/>
            </w:tcBorders>
          </w:tcPr>
          <w:p w:rsidR="00E35C67" w:rsidRDefault="00E35C67" w:rsidP="002C41A7">
            <w:pPr>
              <w:pStyle w:val="IASBTableHeaderArial"/>
              <w:jc w:val="right"/>
            </w:pPr>
            <w:r>
              <w:rPr>
                <w:b/>
              </w:rPr>
              <w:t>Fair value</w:t>
            </w:r>
          </w:p>
        </w:tc>
        <w:tc>
          <w:tcPr>
            <w:tcW w:w="455" w:type="dxa"/>
            <w:tcBorders>
              <w:left w:val="nil"/>
            </w:tcBorders>
            <w:vAlign w:val="bottom"/>
          </w:tcPr>
          <w:p w:rsidR="00E35C67" w:rsidRDefault="00E35C67" w:rsidP="002C41A7">
            <w:pPr>
              <w:pStyle w:val="IASBTableHeaderArial"/>
            </w:pPr>
          </w:p>
        </w:tc>
        <w:tc>
          <w:tcPr>
            <w:tcW w:w="1365" w:type="dxa"/>
            <w:tcBorders>
              <w:left w:val="nil"/>
            </w:tcBorders>
          </w:tcPr>
          <w:p w:rsidR="00E35C67" w:rsidRDefault="00E35C67" w:rsidP="002C41A7">
            <w:pPr>
              <w:pStyle w:val="IASBTableHeaderArial"/>
              <w:jc w:val="right"/>
            </w:pPr>
            <w:r>
              <w:rPr>
                <w:b/>
              </w:rPr>
              <w:t>Difference</w:t>
            </w:r>
          </w:p>
        </w:tc>
      </w:tr>
      <w:tr w:rsidR="00E35C67" w:rsidTr="002C41A7">
        <w:trPr>
          <w:cantSplit/>
        </w:trPr>
        <w:tc>
          <w:tcPr>
            <w:tcW w:w="3239" w:type="dxa"/>
            <w:tcBorders>
              <w:top w:val="nil"/>
            </w:tcBorders>
            <w:vAlign w:val="bottom"/>
          </w:tcPr>
          <w:p w:rsidR="00E35C67" w:rsidRDefault="00E35C67" w:rsidP="002C41A7">
            <w:pPr>
              <w:pStyle w:val="IASBTableArial"/>
            </w:pPr>
            <w:r>
              <w:rPr>
                <w:b/>
              </w:rPr>
              <w:t>Liability component:</w:t>
            </w:r>
          </w:p>
        </w:tc>
        <w:tc>
          <w:tcPr>
            <w:tcW w:w="1365" w:type="dxa"/>
            <w:tcBorders>
              <w:top w:val="nil"/>
              <w:left w:val="nil"/>
            </w:tcBorders>
            <w:vAlign w:val="bottom"/>
          </w:tcPr>
          <w:p w:rsidR="00E35C67" w:rsidRDefault="00E35C67" w:rsidP="002C41A7">
            <w:pPr>
              <w:pStyle w:val="IASBTableArial"/>
              <w:jc w:val="right"/>
            </w:pPr>
            <w:r>
              <w:t>CU</w:t>
            </w:r>
          </w:p>
        </w:tc>
        <w:tc>
          <w:tcPr>
            <w:tcW w:w="455" w:type="dxa"/>
            <w:tcBorders>
              <w:top w:val="nil"/>
              <w:left w:val="nil"/>
            </w:tcBorders>
            <w:vAlign w:val="bottom"/>
          </w:tcPr>
          <w:p w:rsidR="00E35C67" w:rsidRDefault="00E35C67" w:rsidP="002C41A7">
            <w:pPr>
              <w:pStyle w:val="IASBTableArial"/>
            </w:pPr>
          </w:p>
        </w:tc>
        <w:tc>
          <w:tcPr>
            <w:tcW w:w="1365" w:type="dxa"/>
            <w:tcBorders>
              <w:top w:val="nil"/>
              <w:left w:val="nil"/>
            </w:tcBorders>
            <w:vAlign w:val="bottom"/>
          </w:tcPr>
          <w:p w:rsidR="00E35C67" w:rsidRDefault="00E35C67" w:rsidP="002C41A7">
            <w:pPr>
              <w:pStyle w:val="IASBTableArial"/>
              <w:jc w:val="right"/>
            </w:pPr>
            <w:r>
              <w:t>CU</w:t>
            </w:r>
          </w:p>
        </w:tc>
        <w:tc>
          <w:tcPr>
            <w:tcW w:w="455" w:type="dxa"/>
            <w:tcBorders>
              <w:top w:val="nil"/>
              <w:left w:val="nil"/>
            </w:tcBorders>
            <w:vAlign w:val="bottom"/>
          </w:tcPr>
          <w:p w:rsidR="00E35C67" w:rsidRDefault="00E35C67" w:rsidP="002C41A7">
            <w:pPr>
              <w:pStyle w:val="IASBTableArial"/>
            </w:pPr>
          </w:p>
        </w:tc>
        <w:tc>
          <w:tcPr>
            <w:tcW w:w="1365" w:type="dxa"/>
            <w:tcBorders>
              <w:top w:val="nil"/>
              <w:left w:val="nil"/>
            </w:tcBorders>
            <w:vAlign w:val="bottom"/>
          </w:tcPr>
          <w:p w:rsidR="00E35C67" w:rsidRDefault="00E35C67" w:rsidP="002C41A7">
            <w:pPr>
              <w:pStyle w:val="IASBTableArial"/>
              <w:jc w:val="right"/>
            </w:pPr>
            <w:r>
              <w:t>CU</w:t>
            </w:r>
          </w:p>
        </w:tc>
      </w:tr>
      <w:tr w:rsidR="00E35C67" w:rsidTr="002C41A7">
        <w:trPr>
          <w:gridAfter w:val="1"/>
          <w:wAfter w:w="1365" w:type="dxa"/>
          <w:cantSplit/>
        </w:trPr>
        <w:tc>
          <w:tcPr>
            <w:tcW w:w="3239" w:type="dxa"/>
            <w:tcBorders>
              <w:top w:val="nil"/>
            </w:tcBorders>
            <w:vAlign w:val="bottom"/>
          </w:tcPr>
          <w:p w:rsidR="00E35C67" w:rsidRDefault="00E35C67" w:rsidP="002C41A7">
            <w:pPr>
              <w:pStyle w:val="IASBTableArial"/>
            </w:pPr>
            <w:r>
              <w:t>Present value of 10 remaining half-yearly interest payments of CU50, discounted at 11% and 8%, respectively</w:t>
            </w:r>
          </w:p>
        </w:tc>
        <w:tc>
          <w:tcPr>
            <w:tcW w:w="1365" w:type="dxa"/>
            <w:tcBorders>
              <w:top w:val="nil"/>
              <w:left w:val="nil"/>
              <w:bottom w:val="single" w:sz="4" w:space="0" w:color="auto"/>
            </w:tcBorders>
            <w:vAlign w:val="bottom"/>
          </w:tcPr>
          <w:p w:rsidR="00E35C67" w:rsidRDefault="00E35C67" w:rsidP="002C41A7">
            <w:pPr>
              <w:pStyle w:val="IASBTableArial"/>
              <w:jc w:val="right"/>
            </w:pPr>
            <w:r>
              <w:t>377</w:t>
            </w:r>
          </w:p>
        </w:tc>
        <w:tc>
          <w:tcPr>
            <w:tcW w:w="455" w:type="dxa"/>
            <w:tcBorders>
              <w:top w:val="nil"/>
              <w:left w:val="nil"/>
            </w:tcBorders>
            <w:vAlign w:val="bottom"/>
          </w:tcPr>
          <w:p w:rsidR="00E35C67" w:rsidRDefault="00E35C67" w:rsidP="002C41A7">
            <w:pPr>
              <w:pStyle w:val="IASBTableArial"/>
            </w:pPr>
          </w:p>
        </w:tc>
        <w:tc>
          <w:tcPr>
            <w:tcW w:w="1365" w:type="dxa"/>
            <w:tcBorders>
              <w:top w:val="nil"/>
              <w:left w:val="nil"/>
              <w:bottom w:val="single" w:sz="4" w:space="0" w:color="auto"/>
            </w:tcBorders>
            <w:vAlign w:val="bottom"/>
          </w:tcPr>
          <w:p w:rsidR="00E35C67" w:rsidRDefault="00E35C67" w:rsidP="002C41A7">
            <w:pPr>
              <w:pStyle w:val="IASBTableArial"/>
              <w:jc w:val="right"/>
            </w:pPr>
            <w:r>
              <w:t>405</w:t>
            </w:r>
          </w:p>
        </w:tc>
        <w:tc>
          <w:tcPr>
            <w:tcW w:w="455" w:type="dxa"/>
            <w:tcBorders>
              <w:top w:val="nil"/>
              <w:left w:val="nil"/>
            </w:tcBorders>
            <w:vAlign w:val="bottom"/>
          </w:tcPr>
          <w:p w:rsidR="00E35C67" w:rsidRDefault="00E35C67" w:rsidP="002C41A7">
            <w:pPr>
              <w:pStyle w:val="IASBTableArial"/>
              <w:jc w:val="right"/>
            </w:pPr>
          </w:p>
        </w:tc>
      </w:tr>
      <w:tr w:rsidR="00E35C67" w:rsidTr="002C41A7">
        <w:trPr>
          <w:gridAfter w:val="1"/>
          <w:wAfter w:w="1365" w:type="dxa"/>
          <w:cantSplit/>
        </w:trPr>
        <w:tc>
          <w:tcPr>
            <w:tcW w:w="3239" w:type="dxa"/>
            <w:tcBorders>
              <w:top w:val="nil"/>
            </w:tcBorders>
            <w:vAlign w:val="bottom"/>
          </w:tcPr>
          <w:p w:rsidR="00E35C67" w:rsidRDefault="00E35C67" w:rsidP="002C41A7">
            <w:pPr>
              <w:pStyle w:val="IASBTableArial"/>
            </w:pPr>
            <w:r>
              <w:t>Present value of CU1,000 due in 5 years, discounted at 11% and 8%, compounded half-yearly, respectively</w:t>
            </w:r>
          </w:p>
        </w:tc>
        <w:tc>
          <w:tcPr>
            <w:tcW w:w="1365" w:type="dxa"/>
            <w:tcBorders>
              <w:top w:val="nil"/>
              <w:left w:val="nil"/>
              <w:bottom w:val="single" w:sz="4" w:space="0" w:color="auto"/>
            </w:tcBorders>
            <w:vAlign w:val="bottom"/>
          </w:tcPr>
          <w:p w:rsidR="00E35C67" w:rsidRDefault="00E35C67" w:rsidP="002C41A7">
            <w:pPr>
              <w:pStyle w:val="IASBTableArial"/>
              <w:jc w:val="right"/>
            </w:pPr>
            <w:r>
              <w:t>585</w:t>
            </w:r>
          </w:p>
        </w:tc>
        <w:tc>
          <w:tcPr>
            <w:tcW w:w="455" w:type="dxa"/>
            <w:tcBorders>
              <w:top w:val="nil"/>
              <w:left w:val="nil"/>
            </w:tcBorders>
            <w:vAlign w:val="bottom"/>
          </w:tcPr>
          <w:p w:rsidR="00E35C67" w:rsidRDefault="00E35C67" w:rsidP="002C41A7">
            <w:pPr>
              <w:pStyle w:val="IASBTableArial"/>
            </w:pPr>
          </w:p>
        </w:tc>
        <w:tc>
          <w:tcPr>
            <w:tcW w:w="1365" w:type="dxa"/>
            <w:tcBorders>
              <w:top w:val="nil"/>
              <w:left w:val="nil"/>
              <w:bottom w:val="single" w:sz="4" w:space="0" w:color="auto"/>
            </w:tcBorders>
            <w:vAlign w:val="bottom"/>
          </w:tcPr>
          <w:p w:rsidR="00E35C67" w:rsidRDefault="00E35C67" w:rsidP="002C41A7">
            <w:pPr>
              <w:pStyle w:val="IASBTableArial"/>
              <w:jc w:val="right"/>
            </w:pPr>
            <w:r>
              <w:t>676</w:t>
            </w:r>
          </w:p>
        </w:tc>
        <w:tc>
          <w:tcPr>
            <w:tcW w:w="455" w:type="dxa"/>
            <w:tcBorders>
              <w:top w:val="nil"/>
              <w:left w:val="nil"/>
            </w:tcBorders>
            <w:vAlign w:val="bottom"/>
          </w:tcPr>
          <w:p w:rsidR="00E35C67" w:rsidRDefault="00E35C67" w:rsidP="002C41A7">
            <w:pPr>
              <w:pStyle w:val="IASBTableArial"/>
              <w:jc w:val="right"/>
            </w:pPr>
          </w:p>
        </w:tc>
      </w:tr>
      <w:tr w:rsidR="00E35C67" w:rsidTr="002C41A7">
        <w:trPr>
          <w:cantSplit/>
        </w:trPr>
        <w:tc>
          <w:tcPr>
            <w:tcW w:w="3239" w:type="dxa"/>
            <w:tcBorders>
              <w:top w:val="nil"/>
            </w:tcBorders>
            <w:vAlign w:val="bottom"/>
          </w:tcPr>
          <w:p w:rsidR="00E35C67" w:rsidRDefault="00E35C67" w:rsidP="002C41A7">
            <w:pPr>
              <w:pStyle w:val="IASBTableArial"/>
            </w:pPr>
          </w:p>
        </w:tc>
        <w:tc>
          <w:tcPr>
            <w:tcW w:w="1365" w:type="dxa"/>
            <w:tcBorders>
              <w:top w:val="nil"/>
              <w:left w:val="nil"/>
            </w:tcBorders>
            <w:vAlign w:val="bottom"/>
          </w:tcPr>
          <w:p w:rsidR="00E35C67" w:rsidRDefault="00E35C67" w:rsidP="002C41A7">
            <w:pPr>
              <w:pStyle w:val="IASBTableArial"/>
              <w:jc w:val="right"/>
            </w:pPr>
            <w:r>
              <w:t>962</w:t>
            </w:r>
          </w:p>
        </w:tc>
        <w:tc>
          <w:tcPr>
            <w:tcW w:w="455" w:type="dxa"/>
            <w:tcBorders>
              <w:top w:val="nil"/>
              <w:left w:val="nil"/>
            </w:tcBorders>
            <w:vAlign w:val="bottom"/>
          </w:tcPr>
          <w:p w:rsidR="00E35C67" w:rsidRDefault="00E35C67" w:rsidP="002C41A7">
            <w:pPr>
              <w:pStyle w:val="IASBTableArial"/>
            </w:pPr>
          </w:p>
        </w:tc>
        <w:tc>
          <w:tcPr>
            <w:tcW w:w="1365" w:type="dxa"/>
            <w:tcBorders>
              <w:top w:val="nil"/>
              <w:left w:val="nil"/>
            </w:tcBorders>
            <w:vAlign w:val="bottom"/>
          </w:tcPr>
          <w:p w:rsidR="00E35C67" w:rsidRDefault="00E35C67" w:rsidP="002C41A7">
            <w:pPr>
              <w:pStyle w:val="IASBTableArial"/>
              <w:jc w:val="right"/>
            </w:pPr>
            <w:r>
              <w:t>1,081</w:t>
            </w:r>
          </w:p>
        </w:tc>
        <w:tc>
          <w:tcPr>
            <w:tcW w:w="455" w:type="dxa"/>
            <w:tcBorders>
              <w:top w:val="nil"/>
              <w:left w:val="nil"/>
            </w:tcBorders>
            <w:vAlign w:val="bottom"/>
          </w:tcPr>
          <w:p w:rsidR="00E35C67" w:rsidRDefault="00E35C67" w:rsidP="002C41A7">
            <w:pPr>
              <w:pStyle w:val="IASBTableArial"/>
              <w:jc w:val="right"/>
            </w:pPr>
          </w:p>
        </w:tc>
        <w:tc>
          <w:tcPr>
            <w:tcW w:w="1365" w:type="dxa"/>
            <w:tcBorders>
              <w:top w:val="nil"/>
              <w:left w:val="nil"/>
            </w:tcBorders>
            <w:vAlign w:val="bottom"/>
          </w:tcPr>
          <w:p w:rsidR="00E35C67" w:rsidRDefault="00E35C67" w:rsidP="002C41A7">
            <w:pPr>
              <w:pStyle w:val="IASBTableArial"/>
              <w:jc w:val="right"/>
            </w:pPr>
            <w:r>
              <w:t>(119)</w:t>
            </w:r>
          </w:p>
        </w:tc>
      </w:tr>
      <w:tr w:rsidR="00E35C67" w:rsidTr="002C41A7">
        <w:trPr>
          <w:cantSplit/>
        </w:trPr>
        <w:tc>
          <w:tcPr>
            <w:tcW w:w="3239" w:type="dxa"/>
            <w:tcBorders>
              <w:top w:val="nil"/>
            </w:tcBorders>
            <w:vAlign w:val="bottom"/>
          </w:tcPr>
          <w:p w:rsidR="00E35C67" w:rsidRDefault="00E35C67" w:rsidP="002C41A7">
            <w:pPr>
              <w:pStyle w:val="IASBTableArial"/>
            </w:pPr>
            <w:r>
              <w:rPr>
                <w:b/>
              </w:rPr>
              <w:t>Equity component</w:t>
            </w:r>
          </w:p>
        </w:tc>
        <w:tc>
          <w:tcPr>
            <w:tcW w:w="1365" w:type="dxa"/>
            <w:tcBorders>
              <w:top w:val="nil"/>
              <w:left w:val="nil"/>
              <w:bottom w:val="single" w:sz="4" w:space="0" w:color="auto"/>
            </w:tcBorders>
            <w:vAlign w:val="bottom"/>
          </w:tcPr>
          <w:p w:rsidR="00E35C67" w:rsidRDefault="00E35C67" w:rsidP="002C41A7">
            <w:pPr>
              <w:pStyle w:val="IASBTableArial"/>
              <w:jc w:val="right"/>
            </w:pPr>
            <w:r>
              <w:t>60</w:t>
            </w:r>
          </w:p>
        </w:tc>
        <w:tc>
          <w:tcPr>
            <w:tcW w:w="455" w:type="dxa"/>
            <w:tcBorders>
              <w:top w:val="nil"/>
              <w:left w:val="nil"/>
            </w:tcBorders>
            <w:vAlign w:val="bottom"/>
          </w:tcPr>
          <w:p w:rsidR="00E35C67" w:rsidRDefault="00E35C67" w:rsidP="002C41A7">
            <w:pPr>
              <w:pStyle w:val="IASBTableArial"/>
              <w:jc w:val="right"/>
            </w:pPr>
          </w:p>
        </w:tc>
        <w:tc>
          <w:tcPr>
            <w:tcW w:w="1365" w:type="dxa"/>
            <w:tcBorders>
              <w:top w:val="nil"/>
              <w:left w:val="nil"/>
              <w:bottom w:val="single" w:sz="4" w:space="0" w:color="auto"/>
            </w:tcBorders>
            <w:vAlign w:val="bottom"/>
          </w:tcPr>
          <w:p w:rsidR="00E35C67" w:rsidRDefault="00E35C67" w:rsidP="002C41A7">
            <w:pPr>
              <w:pStyle w:val="IASBTableArial"/>
              <w:jc w:val="right"/>
            </w:pPr>
            <w:r>
              <w:t>619</w:t>
            </w:r>
            <w:r>
              <w:rPr>
                <w:vertAlign w:val="superscript"/>
              </w:rPr>
              <w:t>(a)</w:t>
            </w:r>
          </w:p>
        </w:tc>
        <w:tc>
          <w:tcPr>
            <w:tcW w:w="455" w:type="dxa"/>
            <w:tcBorders>
              <w:top w:val="nil"/>
              <w:left w:val="nil"/>
            </w:tcBorders>
            <w:vAlign w:val="bottom"/>
          </w:tcPr>
          <w:p w:rsidR="00E35C67" w:rsidRDefault="00E35C67" w:rsidP="002C41A7">
            <w:pPr>
              <w:pStyle w:val="IASBTableArial"/>
            </w:pPr>
          </w:p>
        </w:tc>
        <w:tc>
          <w:tcPr>
            <w:tcW w:w="1365" w:type="dxa"/>
            <w:tcBorders>
              <w:top w:val="nil"/>
              <w:left w:val="nil"/>
              <w:bottom w:val="single" w:sz="4" w:space="0" w:color="auto"/>
            </w:tcBorders>
            <w:vAlign w:val="bottom"/>
          </w:tcPr>
          <w:p w:rsidR="00E35C67" w:rsidRDefault="00E35C67" w:rsidP="002C41A7">
            <w:pPr>
              <w:pStyle w:val="IASBTableArial"/>
              <w:jc w:val="right"/>
            </w:pPr>
            <w:r>
              <w:t>(559)</w:t>
            </w:r>
          </w:p>
        </w:tc>
      </w:tr>
      <w:tr w:rsidR="00E35C67" w:rsidTr="002C41A7">
        <w:trPr>
          <w:cantSplit/>
        </w:trPr>
        <w:tc>
          <w:tcPr>
            <w:tcW w:w="3239" w:type="dxa"/>
            <w:tcBorders>
              <w:top w:val="nil"/>
            </w:tcBorders>
            <w:vAlign w:val="bottom"/>
          </w:tcPr>
          <w:p w:rsidR="00E35C67" w:rsidRDefault="00E35C67" w:rsidP="002C41A7">
            <w:pPr>
              <w:pStyle w:val="IASBTableArial"/>
            </w:pPr>
            <w:r>
              <w:rPr>
                <w:b/>
              </w:rPr>
              <w:t>Total</w:t>
            </w:r>
          </w:p>
        </w:tc>
        <w:tc>
          <w:tcPr>
            <w:tcW w:w="1365" w:type="dxa"/>
            <w:tcBorders>
              <w:top w:val="nil"/>
              <w:left w:val="nil"/>
              <w:bottom w:val="double" w:sz="4" w:space="0" w:color="auto"/>
            </w:tcBorders>
            <w:vAlign w:val="bottom"/>
          </w:tcPr>
          <w:p w:rsidR="00E35C67" w:rsidRDefault="00E35C67" w:rsidP="002C41A7">
            <w:pPr>
              <w:pStyle w:val="IASBTableArial"/>
              <w:jc w:val="right"/>
            </w:pPr>
            <w:r>
              <w:t>1,022</w:t>
            </w:r>
          </w:p>
        </w:tc>
        <w:tc>
          <w:tcPr>
            <w:tcW w:w="455" w:type="dxa"/>
            <w:tcBorders>
              <w:top w:val="nil"/>
              <w:left w:val="nil"/>
            </w:tcBorders>
            <w:vAlign w:val="bottom"/>
          </w:tcPr>
          <w:p w:rsidR="00E35C67" w:rsidRDefault="00E35C67" w:rsidP="002C41A7">
            <w:pPr>
              <w:pStyle w:val="IASBTableArial"/>
              <w:jc w:val="right"/>
            </w:pPr>
          </w:p>
        </w:tc>
        <w:tc>
          <w:tcPr>
            <w:tcW w:w="1365" w:type="dxa"/>
            <w:tcBorders>
              <w:top w:val="nil"/>
              <w:left w:val="nil"/>
              <w:bottom w:val="double" w:sz="4" w:space="0" w:color="auto"/>
            </w:tcBorders>
            <w:vAlign w:val="bottom"/>
          </w:tcPr>
          <w:p w:rsidR="00E35C67" w:rsidRDefault="00E35C67" w:rsidP="002C41A7">
            <w:pPr>
              <w:pStyle w:val="IASBTableArial"/>
              <w:jc w:val="right"/>
            </w:pPr>
            <w:r>
              <w:t>1,700</w:t>
            </w:r>
          </w:p>
        </w:tc>
        <w:tc>
          <w:tcPr>
            <w:tcW w:w="455" w:type="dxa"/>
            <w:tcBorders>
              <w:top w:val="nil"/>
              <w:left w:val="nil"/>
            </w:tcBorders>
            <w:vAlign w:val="bottom"/>
          </w:tcPr>
          <w:p w:rsidR="00E35C67" w:rsidRDefault="00E35C67" w:rsidP="002C41A7">
            <w:pPr>
              <w:pStyle w:val="IASBTableArial"/>
              <w:jc w:val="right"/>
            </w:pPr>
          </w:p>
        </w:tc>
        <w:tc>
          <w:tcPr>
            <w:tcW w:w="1365" w:type="dxa"/>
            <w:tcBorders>
              <w:top w:val="nil"/>
              <w:left w:val="nil"/>
              <w:bottom w:val="double" w:sz="4" w:space="0" w:color="auto"/>
            </w:tcBorders>
            <w:vAlign w:val="bottom"/>
          </w:tcPr>
          <w:p w:rsidR="00E35C67" w:rsidRDefault="00E35C67" w:rsidP="002C41A7">
            <w:pPr>
              <w:pStyle w:val="IASBTableArial"/>
              <w:jc w:val="right"/>
            </w:pPr>
            <w:r>
              <w:t>(678)</w:t>
            </w:r>
          </w:p>
        </w:tc>
      </w:tr>
      <w:tr w:rsidR="00E35C67" w:rsidTr="002C41A7">
        <w:trPr>
          <w:cantSplit/>
        </w:trPr>
        <w:tc>
          <w:tcPr>
            <w:tcW w:w="8244" w:type="dxa"/>
            <w:gridSpan w:val="6"/>
            <w:tcBorders>
              <w:top w:val="nil"/>
            </w:tcBorders>
            <w:vAlign w:val="bottom"/>
          </w:tcPr>
          <w:p w:rsidR="00E35C67" w:rsidRDefault="00E35C67" w:rsidP="002C41A7">
            <w:pPr>
              <w:pStyle w:val="IASBTableArial"/>
            </w:pPr>
          </w:p>
        </w:tc>
      </w:tr>
      <w:tr w:rsidR="00E35C67" w:rsidTr="002C41A7">
        <w:trPr>
          <w:cantSplit/>
        </w:trPr>
        <w:tc>
          <w:tcPr>
            <w:tcW w:w="8244" w:type="dxa"/>
            <w:gridSpan w:val="6"/>
            <w:tcBorders>
              <w:top w:val="nil"/>
            </w:tcBorders>
            <w:vAlign w:val="bottom"/>
          </w:tcPr>
          <w:p w:rsidR="00E35C67" w:rsidRDefault="00E35C67" w:rsidP="00CC3590">
            <w:pPr>
              <w:pStyle w:val="IASBTableTNR"/>
              <w:ind w:left="284" w:hanging="284"/>
            </w:pPr>
            <w:r>
              <w:rPr>
                <w:rStyle w:val="FootnoteReference"/>
                <w:sz w:val="16"/>
                <w:vertAlign w:val="baseline"/>
              </w:rPr>
              <w:t>(a)</w:t>
            </w:r>
            <w:r>
              <w:rPr>
                <w:rStyle w:val="FootnoteReference"/>
                <w:sz w:val="16"/>
                <w:vertAlign w:val="baseline"/>
              </w:rPr>
              <w:tab/>
              <w:t>This amount represents the difference between the fair value amount allocated to the liability component and the repurchase price of CU1,700.</w:t>
            </w:r>
          </w:p>
        </w:tc>
      </w:tr>
    </w:tbl>
    <w:p w:rsidR="00E35C67" w:rsidRDefault="00E35C67" w:rsidP="00E35C67">
      <w:pPr>
        <w:pStyle w:val="IASBNormalnpara"/>
      </w:pPr>
      <w:r>
        <w:t>IE45</w:t>
      </w:r>
      <w:r>
        <w:tab/>
        <w:t>Entity A recognises the repurchase of the debenture as follows:</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59"/>
      </w:tblPr>
      <w:tblGrid>
        <w:gridCol w:w="562"/>
        <w:gridCol w:w="567"/>
        <w:gridCol w:w="3515"/>
        <w:gridCol w:w="326"/>
        <w:gridCol w:w="1494"/>
        <w:gridCol w:w="326"/>
        <w:gridCol w:w="1426"/>
        <w:gridCol w:w="68"/>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Liability component</w:t>
            </w:r>
          </w:p>
        </w:tc>
        <w:tc>
          <w:tcPr>
            <w:tcW w:w="1820" w:type="dxa"/>
            <w:gridSpan w:val="2"/>
            <w:tcBorders>
              <w:left w:val="nil"/>
            </w:tcBorders>
            <w:vAlign w:val="bottom"/>
          </w:tcPr>
          <w:p w:rsidR="00E35C67" w:rsidRDefault="00E35C67" w:rsidP="002C41A7">
            <w:pPr>
              <w:pStyle w:val="IASBTableArial"/>
              <w:jc w:val="right"/>
            </w:pPr>
            <w:r>
              <w:t>CU962</w:t>
            </w:r>
          </w:p>
        </w:tc>
        <w:tc>
          <w:tcPr>
            <w:tcW w:w="1820" w:type="dxa"/>
            <w:gridSpan w:val="3"/>
            <w:tcBorders>
              <w:left w:val="nil"/>
            </w:tcBorders>
            <w:vAlign w:val="bottom"/>
          </w:tcPr>
          <w:p w:rsidR="00E35C67" w:rsidRDefault="00E35C67" w:rsidP="002C41A7">
            <w:pPr>
              <w:pStyle w:val="IASBTableArial"/>
            </w:pPr>
          </w:p>
        </w:tc>
      </w:tr>
      <w:tr w:rsidR="00E35C67" w:rsidTr="00943461">
        <w:trPr>
          <w:cantSplit/>
        </w:trPr>
        <w:tc>
          <w:tcPr>
            <w:tcW w:w="562" w:type="dxa"/>
            <w:tcBorders>
              <w:top w:val="nil"/>
            </w:tcBorders>
            <w:vAlign w:val="bottom"/>
          </w:tcPr>
          <w:p w:rsidR="00E35C67" w:rsidRDefault="00E35C67" w:rsidP="002C41A7">
            <w:pPr>
              <w:pStyle w:val="IASBTableArial"/>
            </w:pPr>
            <w:r>
              <w:t>Dr</w:t>
            </w:r>
          </w:p>
        </w:tc>
        <w:tc>
          <w:tcPr>
            <w:tcW w:w="4082" w:type="dxa"/>
            <w:gridSpan w:val="2"/>
            <w:tcBorders>
              <w:top w:val="nil"/>
              <w:left w:val="nil"/>
            </w:tcBorders>
            <w:vAlign w:val="bottom"/>
          </w:tcPr>
          <w:p w:rsidR="00E35C67" w:rsidRDefault="00E35C67" w:rsidP="002C41A7">
            <w:pPr>
              <w:pStyle w:val="IASBTableArial"/>
            </w:pPr>
            <w:r>
              <w:t>Debt settlement expense (profit or loss)</w:t>
            </w:r>
          </w:p>
        </w:tc>
        <w:tc>
          <w:tcPr>
            <w:tcW w:w="1820" w:type="dxa"/>
            <w:gridSpan w:val="2"/>
            <w:tcBorders>
              <w:top w:val="nil"/>
              <w:left w:val="nil"/>
            </w:tcBorders>
            <w:vAlign w:val="bottom"/>
          </w:tcPr>
          <w:p w:rsidR="00E35C67" w:rsidRDefault="00E35C67" w:rsidP="002C41A7">
            <w:pPr>
              <w:pStyle w:val="IASBTableArial"/>
              <w:jc w:val="right"/>
            </w:pPr>
            <w:r>
              <w:t>CU119</w:t>
            </w:r>
          </w:p>
        </w:tc>
        <w:tc>
          <w:tcPr>
            <w:tcW w:w="1820" w:type="dxa"/>
            <w:gridSpan w:val="3"/>
            <w:tcBorders>
              <w:top w:val="nil"/>
              <w:left w:val="nil"/>
            </w:tcBorders>
            <w:vAlign w:val="bottom"/>
          </w:tcPr>
          <w:p w:rsidR="00E35C67" w:rsidRDefault="00E35C67" w:rsidP="002C41A7">
            <w:pPr>
              <w:pStyle w:val="IASBTableArial"/>
            </w:pPr>
          </w:p>
        </w:tc>
      </w:tr>
      <w:tr w:rsidR="00E35C67" w:rsidTr="00943461">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CU1,081</w:t>
            </w:r>
          </w:p>
        </w:tc>
      </w:tr>
    </w:tbl>
    <w:p w:rsidR="00E35C67" w:rsidRDefault="00E35C67" w:rsidP="00E35C67">
      <w:pPr>
        <w:pStyle w:val="IASBNormalnparaP"/>
      </w:pPr>
      <w:r>
        <w:rPr>
          <w:i/>
        </w:rPr>
        <w:t>To recognise the repurchase of the liability component.</w:t>
      </w:r>
    </w:p>
    <w:p w:rsidR="00E35C67" w:rsidRDefault="00E35C67" w:rsidP="00E35C67">
      <w:pPr>
        <w:pStyle w:val="IASBNormalnpara"/>
      </w:pPr>
    </w:p>
    <w:tbl>
      <w:tblPr>
        <w:tblW w:w="8284" w:type="dxa"/>
        <w:tblInd w:w="964" w:type="dxa"/>
        <w:tblLayout w:type="fixed"/>
        <w:tblLook w:val="0000" w:firstRow="0" w:lastRow="0" w:firstColumn="0" w:lastColumn="0" w:noHBand="0" w:noVBand="0"/>
        <w:tblCaption w:val="AASB 132 Table 60"/>
      </w:tblPr>
      <w:tblGrid>
        <w:gridCol w:w="562"/>
        <w:gridCol w:w="567"/>
        <w:gridCol w:w="3515"/>
        <w:gridCol w:w="326"/>
        <w:gridCol w:w="1494"/>
        <w:gridCol w:w="326"/>
        <w:gridCol w:w="1426"/>
        <w:gridCol w:w="68"/>
      </w:tblGrid>
      <w:tr w:rsidR="00E35C67" w:rsidTr="00943461">
        <w:trPr>
          <w:cantSplit/>
        </w:trPr>
        <w:tc>
          <w:tcPr>
            <w:tcW w:w="562" w:type="dxa"/>
            <w:vAlign w:val="bottom"/>
          </w:tcPr>
          <w:p w:rsidR="00E35C67" w:rsidRDefault="00E35C67" w:rsidP="002C41A7">
            <w:pPr>
              <w:pStyle w:val="IASBTableArial"/>
            </w:pPr>
            <w:r>
              <w:t>Dr</w:t>
            </w:r>
          </w:p>
        </w:tc>
        <w:tc>
          <w:tcPr>
            <w:tcW w:w="4082" w:type="dxa"/>
            <w:gridSpan w:val="2"/>
            <w:tcBorders>
              <w:left w:val="nil"/>
            </w:tcBorders>
            <w:vAlign w:val="bottom"/>
          </w:tcPr>
          <w:p w:rsidR="00E35C67" w:rsidRDefault="00E35C67" w:rsidP="002C41A7">
            <w:pPr>
              <w:pStyle w:val="IASBTableArial"/>
            </w:pPr>
            <w:r>
              <w:t>Equity</w:t>
            </w:r>
          </w:p>
        </w:tc>
        <w:tc>
          <w:tcPr>
            <w:tcW w:w="1820" w:type="dxa"/>
            <w:gridSpan w:val="2"/>
            <w:tcBorders>
              <w:left w:val="nil"/>
            </w:tcBorders>
            <w:vAlign w:val="bottom"/>
          </w:tcPr>
          <w:p w:rsidR="00E35C67" w:rsidRDefault="00E35C67" w:rsidP="002C41A7">
            <w:pPr>
              <w:pStyle w:val="IASBTableArial"/>
              <w:jc w:val="right"/>
            </w:pPr>
            <w:r>
              <w:t>CU619</w:t>
            </w:r>
          </w:p>
        </w:tc>
        <w:tc>
          <w:tcPr>
            <w:tcW w:w="1820" w:type="dxa"/>
            <w:gridSpan w:val="3"/>
            <w:tcBorders>
              <w:left w:val="nil"/>
            </w:tcBorders>
            <w:vAlign w:val="bottom"/>
          </w:tcPr>
          <w:p w:rsidR="00E35C67" w:rsidRDefault="00E35C67" w:rsidP="002C41A7">
            <w:pPr>
              <w:pStyle w:val="IASBTableArial"/>
            </w:pPr>
          </w:p>
        </w:tc>
      </w:tr>
      <w:tr w:rsidR="00E35C67" w:rsidTr="00943461">
        <w:trPr>
          <w:gridAfter w:val="1"/>
          <w:wAfter w:w="68" w:type="dxa"/>
          <w:cantSplit/>
        </w:trPr>
        <w:tc>
          <w:tcPr>
            <w:tcW w:w="562" w:type="dxa"/>
            <w:tcBorders>
              <w:top w:val="nil"/>
            </w:tcBorders>
            <w:vAlign w:val="bottom"/>
          </w:tcPr>
          <w:p w:rsidR="00E35C67" w:rsidRDefault="00E35C67" w:rsidP="002C41A7">
            <w:pPr>
              <w:pStyle w:val="IASBTableArial"/>
            </w:pPr>
          </w:p>
        </w:tc>
        <w:tc>
          <w:tcPr>
            <w:tcW w:w="567" w:type="dxa"/>
            <w:tcBorders>
              <w:top w:val="nil"/>
              <w:left w:val="nil"/>
            </w:tcBorders>
            <w:vAlign w:val="bottom"/>
          </w:tcPr>
          <w:p w:rsidR="00E35C67" w:rsidRDefault="00E35C67" w:rsidP="002C41A7">
            <w:pPr>
              <w:pStyle w:val="IASBTableArial"/>
            </w:pPr>
            <w:r>
              <w:t>Cr</w:t>
            </w:r>
          </w:p>
        </w:tc>
        <w:tc>
          <w:tcPr>
            <w:tcW w:w="3841" w:type="dxa"/>
            <w:gridSpan w:val="2"/>
            <w:tcBorders>
              <w:top w:val="nil"/>
              <w:left w:val="nil"/>
            </w:tcBorders>
            <w:vAlign w:val="bottom"/>
          </w:tcPr>
          <w:p w:rsidR="00E35C67" w:rsidRDefault="00E35C67" w:rsidP="002C41A7">
            <w:pPr>
              <w:pStyle w:val="IASBTableArial"/>
            </w:pPr>
            <w:r>
              <w:t>Cash</w:t>
            </w:r>
          </w:p>
        </w:tc>
        <w:tc>
          <w:tcPr>
            <w:tcW w:w="1820" w:type="dxa"/>
            <w:gridSpan w:val="2"/>
            <w:tcBorders>
              <w:top w:val="nil"/>
              <w:left w:val="nil"/>
            </w:tcBorders>
            <w:vAlign w:val="bottom"/>
          </w:tcPr>
          <w:p w:rsidR="00E35C67" w:rsidRDefault="00E35C67" w:rsidP="002C41A7">
            <w:pPr>
              <w:pStyle w:val="IASBTableArial"/>
            </w:pPr>
          </w:p>
        </w:tc>
        <w:tc>
          <w:tcPr>
            <w:tcW w:w="1426" w:type="dxa"/>
            <w:tcBorders>
              <w:top w:val="nil"/>
              <w:left w:val="nil"/>
            </w:tcBorders>
            <w:vAlign w:val="bottom"/>
          </w:tcPr>
          <w:p w:rsidR="00E35C67" w:rsidRDefault="00E35C67" w:rsidP="002C41A7">
            <w:pPr>
              <w:pStyle w:val="IASBTableArial"/>
              <w:jc w:val="right"/>
            </w:pPr>
            <w:r>
              <w:t>CU619</w:t>
            </w:r>
          </w:p>
        </w:tc>
      </w:tr>
    </w:tbl>
    <w:p w:rsidR="00E35C67" w:rsidRDefault="00E35C67" w:rsidP="00E35C67">
      <w:pPr>
        <w:pStyle w:val="IASBNormalnparaP"/>
      </w:pPr>
      <w:r>
        <w:rPr>
          <w:i/>
        </w:rPr>
        <w:t>To recognise the cash paid for the equity component.</w:t>
      </w:r>
    </w:p>
    <w:p w:rsidR="00E35C67" w:rsidRDefault="00E35C67" w:rsidP="00E35C67">
      <w:pPr>
        <w:pStyle w:val="IASBNormalnpara"/>
      </w:pPr>
      <w:r>
        <w:t>IE46</w:t>
      </w:r>
      <w:r>
        <w:tab/>
        <w:t>The equity component remains as equity, but may be transferred from one line item within equity to another.</w:t>
      </w:r>
    </w:p>
    <w:p w:rsidR="00E35C67" w:rsidRDefault="00E35C67" w:rsidP="00E35C67">
      <w:pPr>
        <w:pStyle w:val="IASBSectionTitle2Ind"/>
      </w:pPr>
      <w:r>
        <w:t>Example 12: Amendment of the terms of a convertible instrument to induce early conversion</w:t>
      </w:r>
    </w:p>
    <w:p w:rsidR="00E35C67" w:rsidRDefault="00E35C67" w:rsidP="00E35C67">
      <w:pPr>
        <w:pStyle w:val="IASBNormalnpara"/>
      </w:pPr>
      <w:r>
        <w:t>IE47</w:t>
      </w:r>
      <w:r>
        <w:tab/>
        <w:t>The following example illustrates how an entity accounts for the additional consideration paid when the terms of a convertible instrument are amended to induce early conversion.</w:t>
      </w:r>
    </w:p>
    <w:p w:rsidR="00E35C67" w:rsidRDefault="00E35C67" w:rsidP="00E35C67">
      <w:pPr>
        <w:pStyle w:val="IASBNormalnpara"/>
      </w:pPr>
      <w:r>
        <w:t>IE48</w:t>
      </w:r>
      <w:r>
        <w:tab/>
        <w:t>On 1 January 20X0, Entity A issued a 10 per cent convertible debenture with a face value of CU1,000 with the same terms as described in Example 11. On 1 January 20X1, to induce the holder to convert the convertible debenture promptly, Entity A reduces the conversion price to CU20 if the debenture is converted before 1 March 20X1 (ie within 60 days).</w:t>
      </w:r>
    </w:p>
    <w:p w:rsidR="00E35C67" w:rsidRDefault="00E35C67" w:rsidP="00E35C67">
      <w:pPr>
        <w:pStyle w:val="IASBNormalnpara"/>
      </w:pPr>
      <w:r>
        <w:t>IE49</w:t>
      </w:r>
      <w:r>
        <w:tab/>
        <w:t>Assume the market price of Entity A’s ordinary shares on the date the terms are amended is CU40 per share. The fair value of the incremental consideration paid by Entity A is calculated as follows:</w:t>
      </w:r>
    </w:p>
    <w:p w:rsidR="00E35C67" w:rsidRDefault="00E35C67" w:rsidP="00E35C67">
      <w:pPr>
        <w:pStyle w:val="IASBNormalnpara"/>
      </w:pPr>
    </w:p>
    <w:tbl>
      <w:tblPr>
        <w:tblW w:w="0" w:type="auto"/>
        <w:tblInd w:w="964" w:type="dxa"/>
        <w:tblLayout w:type="fixed"/>
        <w:tblLook w:val="0000" w:firstRow="0" w:lastRow="0" w:firstColumn="0" w:lastColumn="0" w:noHBand="0" w:noVBand="0"/>
        <w:tblCaption w:val="AASB 132 Table 61"/>
      </w:tblPr>
      <w:tblGrid>
        <w:gridCol w:w="5514"/>
        <w:gridCol w:w="1365"/>
        <w:gridCol w:w="1365"/>
      </w:tblGrid>
      <w:tr w:rsidR="00E35C67" w:rsidTr="002C41A7">
        <w:trPr>
          <w:cantSplit/>
        </w:trPr>
        <w:tc>
          <w:tcPr>
            <w:tcW w:w="8244" w:type="dxa"/>
            <w:gridSpan w:val="3"/>
            <w:vAlign w:val="bottom"/>
          </w:tcPr>
          <w:p w:rsidR="00E35C67" w:rsidRDefault="00E35C67" w:rsidP="002C41A7">
            <w:pPr>
              <w:pStyle w:val="IASBTableArial"/>
            </w:pPr>
            <w:r>
              <w:rPr>
                <w:i/>
              </w:rPr>
              <w:t>Number of ordinary shares to be issued to debenture holders under</w:t>
            </w:r>
            <w:r>
              <w:t xml:space="preserve"> </w:t>
            </w:r>
            <w:r>
              <w:rPr>
                <w:b/>
                <w:i/>
              </w:rPr>
              <w:t>amended</w:t>
            </w:r>
            <w:r>
              <w:rPr>
                <w:b/>
              </w:rPr>
              <w:t xml:space="preserve"> </w:t>
            </w:r>
            <w:r>
              <w:rPr>
                <w:i/>
              </w:rPr>
              <w:t>conversion terms:</w:t>
            </w:r>
          </w:p>
        </w:tc>
      </w:tr>
      <w:tr w:rsidR="00E35C67" w:rsidTr="002C41A7">
        <w:trPr>
          <w:cantSplit/>
        </w:trPr>
        <w:tc>
          <w:tcPr>
            <w:tcW w:w="5514" w:type="dxa"/>
            <w:tcBorders>
              <w:top w:val="nil"/>
            </w:tcBorders>
          </w:tcPr>
          <w:p w:rsidR="00E35C67" w:rsidRDefault="00E35C67" w:rsidP="002C41A7">
            <w:pPr>
              <w:pStyle w:val="IASBTableArial"/>
            </w:pPr>
            <w:r>
              <w:t>Face amount</w:t>
            </w:r>
          </w:p>
        </w:tc>
        <w:tc>
          <w:tcPr>
            <w:tcW w:w="1365" w:type="dxa"/>
            <w:tcBorders>
              <w:top w:val="nil"/>
              <w:left w:val="nil"/>
            </w:tcBorders>
            <w:vAlign w:val="bottom"/>
          </w:tcPr>
          <w:p w:rsidR="00E35C67" w:rsidRDefault="00E35C67" w:rsidP="002C41A7">
            <w:pPr>
              <w:pStyle w:val="IASBTableArial"/>
              <w:jc w:val="right"/>
            </w:pPr>
            <w:r>
              <w:t>CU1,000</w:t>
            </w:r>
          </w:p>
        </w:tc>
        <w:tc>
          <w:tcPr>
            <w:tcW w:w="1365" w:type="dxa"/>
            <w:tcBorders>
              <w:top w:val="nil"/>
              <w:left w:val="nil"/>
            </w:tcBorders>
            <w:vAlign w:val="bottom"/>
          </w:tcPr>
          <w:p w:rsidR="00E35C67" w:rsidRDefault="00E35C67" w:rsidP="002C41A7">
            <w:pPr>
              <w:pStyle w:val="IASBTableArial"/>
            </w:pPr>
          </w:p>
        </w:tc>
      </w:tr>
      <w:tr w:rsidR="00E35C67" w:rsidTr="002C41A7">
        <w:trPr>
          <w:cantSplit/>
        </w:trPr>
        <w:tc>
          <w:tcPr>
            <w:tcW w:w="5514" w:type="dxa"/>
            <w:tcBorders>
              <w:top w:val="nil"/>
            </w:tcBorders>
          </w:tcPr>
          <w:p w:rsidR="00E35C67" w:rsidRDefault="00E35C67" w:rsidP="002C41A7">
            <w:pPr>
              <w:pStyle w:val="IASBTableArial"/>
            </w:pPr>
            <w:r>
              <w:t>New conversion price</w:t>
            </w:r>
          </w:p>
        </w:tc>
        <w:tc>
          <w:tcPr>
            <w:tcW w:w="1365" w:type="dxa"/>
            <w:tcBorders>
              <w:top w:val="nil"/>
              <w:left w:val="nil"/>
              <w:bottom w:val="single" w:sz="4" w:space="0" w:color="auto"/>
            </w:tcBorders>
            <w:vAlign w:val="bottom"/>
          </w:tcPr>
          <w:p w:rsidR="00E35C67" w:rsidRDefault="00E35C67" w:rsidP="002C41A7">
            <w:pPr>
              <w:pStyle w:val="IASBTableArial"/>
              <w:jc w:val="right"/>
            </w:pPr>
            <w:r>
              <w:t>/CU20</w:t>
            </w:r>
          </w:p>
        </w:tc>
        <w:tc>
          <w:tcPr>
            <w:tcW w:w="1365" w:type="dxa"/>
            <w:tcBorders>
              <w:top w:val="nil"/>
              <w:left w:val="nil"/>
            </w:tcBorders>
            <w:vAlign w:val="bottom"/>
          </w:tcPr>
          <w:p w:rsidR="00E35C67" w:rsidRDefault="00E35C67" w:rsidP="002C41A7">
            <w:pPr>
              <w:pStyle w:val="IASBTableArial"/>
            </w:pPr>
            <w:r>
              <w:t>per share</w:t>
            </w:r>
          </w:p>
        </w:tc>
      </w:tr>
      <w:tr w:rsidR="00E35C67" w:rsidTr="002C41A7">
        <w:trPr>
          <w:cantSplit/>
        </w:trPr>
        <w:tc>
          <w:tcPr>
            <w:tcW w:w="5514" w:type="dxa"/>
            <w:tcBorders>
              <w:top w:val="nil"/>
            </w:tcBorders>
          </w:tcPr>
          <w:p w:rsidR="00E35C67" w:rsidRDefault="00E35C67" w:rsidP="002C41A7">
            <w:pPr>
              <w:pStyle w:val="IASBTableArial"/>
            </w:pPr>
            <w:r>
              <w:t>Number of ordinary shares to be issued on conversion</w:t>
            </w:r>
          </w:p>
        </w:tc>
        <w:tc>
          <w:tcPr>
            <w:tcW w:w="1365" w:type="dxa"/>
            <w:tcBorders>
              <w:top w:val="nil"/>
              <w:left w:val="nil"/>
              <w:bottom w:val="double" w:sz="4" w:space="0" w:color="auto"/>
            </w:tcBorders>
            <w:vAlign w:val="bottom"/>
          </w:tcPr>
          <w:p w:rsidR="00E35C67" w:rsidRDefault="00E35C67" w:rsidP="002C41A7">
            <w:pPr>
              <w:pStyle w:val="IASBTableArial"/>
              <w:jc w:val="right"/>
            </w:pPr>
            <w:r>
              <w:t>50</w:t>
            </w:r>
          </w:p>
        </w:tc>
        <w:tc>
          <w:tcPr>
            <w:tcW w:w="1365" w:type="dxa"/>
            <w:tcBorders>
              <w:top w:val="nil"/>
              <w:left w:val="nil"/>
            </w:tcBorders>
            <w:vAlign w:val="bottom"/>
          </w:tcPr>
          <w:p w:rsidR="00E35C67" w:rsidRDefault="00E35C67" w:rsidP="002C41A7">
            <w:pPr>
              <w:pStyle w:val="IASBTableArial"/>
            </w:pPr>
            <w:r>
              <w:t>shares</w:t>
            </w:r>
          </w:p>
        </w:tc>
      </w:tr>
      <w:tr w:rsidR="00E35C67" w:rsidTr="002C41A7">
        <w:trPr>
          <w:gridAfter w:val="1"/>
          <w:wAfter w:w="1365" w:type="dxa"/>
          <w:cantSplit/>
        </w:trPr>
        <w:tc>
          <w:tcPr>
            <w:tcW w:w="5514" w:type="dxa"/>
            <w:tcBorders>
              <w:top w:val="nil"/>
            </w:tcBorders>
          </w:tcPr>
          <w:p w:rsidR="00E35C67" w:rsidRDefault="00E35C67" w:rsidP="002C41A7">
            <w:pPr>
              <w:pStyle w:val="IASBTableArial"/>
            </w:pPr>
          </w:p>
        </w:tc>
        <w:tc>
          <w:tcPr>
            <w:tcW w:w="1365" w:type="dxa"/>
            <w:tcBorders>
              <w:top w:val="nil"/>
              <w:left w:val="nil"/>
            </w:tcBorders>
          </w:tcPr>
          <w:p w:rsidR="00E35C67" w:rsidRDefault="00E35C67" w:rsidP="002C41A7">
            <w:pPr>
              <w:pStyle w:val="IASBTableArial"/>
            </w:pPr>
          </w:p>
        </w:tc>
      </w:tr>
      <w:tr w:rsidR="00E35C67" w:rsidTr="002C41A7">
        <w:trPr>
          <w:cantSplit/>
        </w:trPr>
        <w:tc>
          <w:tcPr>
            <w:tcW w:w="8244" w:type="dxa"/>
            <w:gridSpan w:val="3"/>
            <w:tcBorders>
              <w:top w:val="nil"/>
            </w:tcBorders>
            <w:vAlign w:val="bottom"/>
          </w:tcPr>
          <w:p w:rsidR="00E35C67" w:rsidRDefault="00E35C67" w:rsidP="002400A1">
            <w:pPr>
              <w:pStyle w:val="IASBTableArial"/>
              <w:keepNext/>
            </w:pPr>
            <w:r>
              <w:rPr>
                <w:i/>
              </w:rPr>
              <w:lastRenderedPageBreak/>
              <w:t>Number of ordinary shares to be issued to debenture holders under</w:t>
            </w:r>
            <w:r>
              <w:t xml:space="preserve"> </w:t>
            </w:r>
            <w:r>
              <w:rPr>
                <w:b/>
                <w:i/>
              </w:rPr>
              <w:t xml:space="preserve">original </w:t>
            </w:r>
            <w:r>
              <w:rPr>
                <w:i/>
              </w:rPr>
              <w:t>conversion terms:</w:t>
            </w:r>
          </w:p>
        </w:tc>
      </w:tr>
      <w:tr w:rsidR="00E35C67" w:rsidTr="002C41A7">
        <w:trPr>
          <w:gridAfter w:val="1"/>
          <w:wAfter w:w="1365" w:type="dxa"/>
          <w:cantSplit/>
        </w:trPr>
        <w:tc>
          <w:tcPr>
            <w:tcW w:w="5514" w:type="dxa"/>
            <w:tcBorders>
              <w:top w:val="nil"/>
            </w:tcBorders>
          </w:tcPr>
          <w:p w:rsidR="00E35C67" w:rsidRDefault="00E35C67" w:rsidP="002C41A7">
            <w:pPr>
              <w:pStyle w:val="IASBTableArial"/>
            </w:pPr>
            <w:r>
              <w:t>Face amount</w:t>
            </w:r>
          </w:p>
        </w:tc>
        <w:tc>
          <w:tcPr>
            <w:tcW w:w="1365" w:type="dxa"/>
            <w:tcBorders>
              <w:top w:val="nil"/>
              <w:left w:val="nil"/>
            </w:tcBorders>
            <w:vAlign w:val="bottom"/>
          </w:tcPr>
          <w:p w:rsidR="00E35C67" w:rsidRDefault="00E35C67" w:rsidP="002C41A7">
            <w:pPr>
              <w:pStyle w:val="IASBTableArial"/>
              <w:jc w:val="right"/>
            </w:pPr>
            <w:r>
              <w:t>CU1,000</w:t>
            </w:r>
          </w:p>
        </w:tc>
      </w:tr>
      <w:tr w:rsidR="00E35C67" w:rsidTr="002C41A7">
        <w:trPr>
          <w:cantSplit/>
        </w:trPr>
        <w:tc>
          <w:tcPr>
            <w:tcW w:w="5514" w:type="dxa"/>
            <w:tcBorders>
              <w:top w:val="nil"/>
            </w:tcBorders>
          </w:tcPr>
          <w:p w:rsidR="00E35C67" w:rsidRDefault="00E35C67" w:rsidP="002C41A7">
            <w:pPr>
              <w:pStyle w:val="IASBTableArial"/>
            </w:pPr>
            <w:r>
              <w:t>Original conversion price</w:t>
            </w:r>
          </w:p>
        </w:tc>
        <w:tc>
          <w:tcPr>
            <w:tcW w:w="1365" w:type="dxa"/>
            <w:tcBorders>
              <w:top w:val="nil"/>
              <w:left w:val="nil"/>
              <w:bottom w:val="single" w:sz="4" w:space="0" w:color="auto"/>
            </w:tcBorders>
            <w:vAlign w:val="bottom"/>
          </w:tcPr>
          <w:p w:rsidR="00E35C67" w:rsidRDefault="00E35C67" w:rsidP="002C41A7">
            <w:pPr>
              <w:pStyle w:val="IASBTableArial"/>
              <w:jc w:val="right"/>
            </w:pPr>
            <w:r>
              <w:t>/CU25</w:t>
            </w:r>
          </w:p>
        </w:tc>
        <w:tc>
          <w:tcPr>
            <w:tcW w:w="1365" w:type="dxa"/>
            <w:tcBorders>
              <w:top w:val="nil"/>
              <w:left w:val="nil"/>
            </w:tcBorders>
            <w:vAlign w:val="bottom"/>
          </w:tcPr>
          <w:p w:rsidR="00E35C67" w:rsidRDefault="00E35C67" w:rsidP="002C41A7">
            <w:pPr>
              <w:pStyle w:val="IASBTableArial"/>
            </w:pPr>
            <w:r>
              <w:t>per share</w:t>
            </w:r>
          </w:p>
        </w:tc>
      </w:tr>
      <w:tr w:rsidR="00E35C67" w:rsidTr="002C41A7">
        <w:trPr>
          <w:cantSplit/>
        </w:trPr>
        <w:tc>
          <w:tcPr>
            <w:tcW w:w="5514" w:type="dxa"/>
            <w:tcBorders>
              <w:top w:val="nil"/>
            </w:tcBorders>
          </w:tcPr>
          <w:p w:rsidR="00E35C67" w:rsidRDefault="00E35C67" w:rsidP="002C41A7">
            <w:pPr>
              <w:pStyle w:val="IASBTableArial"/>
            </w:pPr>
            <w:r>
              <w:t>Number of ordinary shares to be issued on conversion</w:t>
            </w:r>
          </w:p>
        </w:tc>
        <w:tc>
          <w:tcPr>
            <w:tcW w:w="1365" w:type="dxa"/>
            <w:tcBorders>
              <w:top w:val="nil"/>
              <w:left w:val="nil"/>
              <w:bottom w:val="double" w:sz="4" w:space="0" w:color="auto"/>
            </w:tcBorders>
            <w:vAlign w:val="bottom"/>
          </w:tcPr>
          <w:p w:rsidR="00E35C67" w:rsidRDefault="00E35C67" w:rsidP="002C41A7">
            <w:pPr>
              <w:pStyle w:val="IASBTableArial"/>
              <w:jc w:val="right"/>
            </w:pPr>
            <w:r>
              <w:t>40</w:t>
            </w:r>
          </w:p>
        </w:tc>
        <w:tc>
          <w:tcPr>
            <w:tcW w:w="1365" w:type="dxa"/>
            <w:tcBorders>
              <w:top w:val="nil"/>
              <w:left w:val="nil"/>
            </w:tcBorders>
            <w:vAlign w:val="bottom"/>
          </w:tcPr>
          <w:p w:rsidR="00E35C67" w:rsidRDefault="00E35C67" w:rsidP="002C41A7">
            <w:pPr>
              <w:pStyle w:val="IASBTableArial"/>
            </w:pPr>
            <w:r>
              <w:t>shares</w:t>
            </w:r>
          </w:p>
        </w:tc>
      </w:tr>
      <w:tr w:rsidR="00E35C67" w:rsidTr="002C41A7">
        <w:trPr>
          <w:gridAfter w:val="1"/>
          <w:wAfter w:w="1365" w:type="dxa"/>
          <w:cantSplit/>
        </w:trPr>
        <w:tc>
          <w:tcPr>
            <w:tcW w:w="5514" w:type="dxa"/>
            <w:tcBorders>
              <w:top w:val="nil"/>
            </w:tcBorders>
          </w:tcPr>
          <w:p w:rsidR="00E35C67" w:rsidRDefault="00E35C67" w:rsidP="002C41A7">
            <w:pPr>
              <w:pStyle w:val="IASBTableArial"/>
            </w:pPr>
          </w:p>
        </w:tc>
        <w:tc>
          <w:tcPr>
            <w:tcW w:w="1365" w:type="dxa"/>
            <w:tcBorders>
              <w:top w:val="nil"/>
              <w:left w:val="nil"/>
            </w:tcBorders>
            <w:vAlign w:val="bottom"/>
          </w:tcPr>
          <w:p w:rsidR="00E35C67" w:rsidRDefault="00E35C67" w:rsidP="002C41A7">
            <w:pPr>
              <w:pStyle w:val="IASBTableArial"/>
            </w:pPr>
          </w:p>
        </w:tc>
      </w:tr>
      <w:tr w:rsidR="00E35C67" w:rsidTr="002C41A7">
        <w:trPr>
          <w:cantSplit/>
        </w:trPr>
        <w:tc>
          <w:tcPr>
            <w:tcW w:w="5514" w:type="dxa"/>
            <w:tcBorders>
              <w:top w:val="nil"/>
            </w:tcBorders>
          </w:tcPr>
          <w:p w:rsidR="00E35C67" w:rsidRDefault="00E35C67" w:rsidP="002C41A7">
            <w:pPr>
              <w:pStyle w:val="IASBTableArial"/>
            </w:pPr>
            <w:r>
              <w:rPr>
                <w:i/>
              </w:rPr>
              <w:t>Number of incremental ordinary shares issued upon conversion</w:t>
            </w:r>
          </w:p>
        </w:tc>
        <w:tc>
          <w:tcPr>
            <w:tcW w:w="1365" w:type="dxa"/>
            <w:tcBorders>
              <w:top w:val="nil"/>
              <w:left w:val="nil"/>
              <w:bottom w:val="double" w:sz="4" w:space="0" w:color="auto"/>
            </w:tcBorders>
            <w:vAlign w:val="bottom"/>
          </w:tcPr>
          <w:p w:rsidR="00E35C67" w:rsidRDefault="00E35C67" w:rsidP="002C41A7">
            <w:pPr>
              <w:pStyle w:val="IASBTableArial"/>
              <w:jc w:val="right"/>
            </w:pPr>
            <w:r>
              <w:t>10</w:t>
            </w:r>
          </w:p>
        </w:tc>
        <w:tc>
          <w:tcPr>
            <w:tcW w:w="1365" w:type="dxa"/>
            <w:tcBorders>
              <w:top w:val="nil"/>
              <w:left w:val="nil"/>
            </w:tcBorders>
            <w:vAlign w:val="bottom"/>
          </w:tcPr>
          <w:p w:rsidR="00E35C67" w:rsidRDefault="00E35C67" w:rsidP="002C41A7">
            <w:pPr>
              <w:pStyle w:val="IASBTableArial"/>
            </w:pPr>
            <w:r>
              <w:t>shares</w:t>
            </w:r>
          </w:p>
        </w:tc>
      </w:tr>
      <w:tr w:rsidR="00E35C67" w:rsidTr="002C41A7">
        <w:trPr>
          <w:gridAfter w:val="1"/>
          <w:wAfter w:w="1365" w:type="dxa"/>
          <w:cantSplit/>
        </w:trPr>
        <w:tc>
          <w:tcPr>
            <w:tcW w:w="5514" w:type="dxa"/>
            <w:tcBorders>
              <w:top w:val="nil"/>
            </w:tcBorders>
          </w:tcPr>
          <w:p w:rsidR="00E35C67" w:rsidRDefault="00E35C67" w:rsidP="002C41A7">
            <w:pPr>
              <w:pStyle w:val="IASBTableArial"/>
            </w:pPr>
          </w:p>
        </w:tc>
        <w:tc>
          <w:tcPr>
            <w:tcW w:w="1365" w:type="dxa"/>
            <w:tcBorders>
              <w:top w:val="nil"/>
              <w:left w:val="nil"/>
            </w:tcBorders>
          </w:tcPr>
          <w:p w:rsidR="00E35C67" w:rsidRDefault="00E35C67" w:rsidP="002C41A7">
            <w:pPr>
              <w:pStyle w:val="IASBTableArial"/>
            </w:pPr>
          </w:p>
        </w:tc>
      </w:tr>
      <w:tr w:rsidR="00E35C67" w:rsidTr="002C41A7">
        <w:trPr>
          <w:cantSplit/>
        </w:trPr>
        <w:tc>
          <w:tcPr>
            <w:tcW w:w="8244" w:type="dxa"/>
            <w:gridSpan w:val="3"/>
            <w:tcBorders>
              <w:top w:val="nil"/>
            </w:tcBorders>
            <w:vAlign w:val="bottom"/>
          </w:tcPr>
          <w:p w:rsidR="00E35C67" w:rsidRDefault="00E35C67" w:rsidP="002C41A7">
            <w:pPr>
              <w:pStyle w:val="IASBTableArial"/>
            </w:pPr>
            <w:r>
              <w:rPr>
                <w:i/>
              </w:rPr>
              <w:t>Value of</w:t>
            </w:r>
            <w:r>
              <w:t xml:space="preserve"> </w:t>
            </w:r>
            <w:r>
              <w:rPr>
                <w:b/>
                <w:i/>
              </w:rPr>
              <w:t>incremental</w:t>
            </w:r>
            <w:r>
              <w:t xml:space="preserve"> </w:t>
            </w:r>
            <w:r>
              <w:rPr>
                <w:i/>
              </w:rPr>
              <w:t>ordinary shares issued upon conversion</w:t>
            </w:r>
          </w:p>
        </w:tc>
      </w:tr>
      <w:tr w:rsidR="00E35C67" w:rsidTr="002C41A7">
        <w:trPr>
          <w:gridAfter w:val="1"/>
          <w:wAfter w:w="1365" w:type="dxa"/>
          <w:cantSplit/>
        </w:trPr>
        <w:tc>
          <w:tcPr>
            <w:tcW w:w="5514" w:type="dxa"/>
            <w:tcBorders>
              <w:top w:val="nil"/>
            </w:tcBorders>
          </w:tcPr>
          <w:p w:rsidR="00E35C67" w:rsidRDefault="00E35C67" w:rsidP="002C41A7">
            <w:pPr>
              <w:pStyle w:val="IASBTableArial"/>
            </w:pPr>
            <w:r>
              <w:t>CU40 per share x 10 incremental shares</w:t>
            </w:r>
          </w:p>
        </w:tc>
        <w:tc>
          <w:tcPr>
            <w:tcW w:w="1365" w:type="dxa"/>
            <w:tcBorders>
              <w:top w:val="nil"/>
              <w:left w:val="nil"/>
              <w:bottom w:val="double" w:sz="4" w:space="0" w:color="auto"/>
            </w:tcBorders>
            <w:vAlign w:val="bottom"/>
          </w:tcPr>
          <w:p w:rsidR="00E35C67" w:rsidRDefault="00E35C67" w:rsidP="002C41A7">
            <w:pPr>
              <w:pStyle w:val="IASBTableArial"/>
              <w:jc w:val="right"/>
            </w:pPr>
            <w:r>
              <w:t>CU400</w:t>
            </w:r>
          </w:p>
        </w:tc>
      </w:tr>
    </w:tbl>
    <w:p w:rsidR="00943461" w:rsidRDefault="00943461" w:rsidP="00E35C67">
      <w:pPr>
        <w:pStyle w:val="IASBNormalnpara"/>
      </w:pPr>
    </w:p>
    <w:p w:rsidR="00E35C67" w:rsidRDefault="00E35C67" w:rsidP="00E35C67">
      <w:pPr>
        <w:pStyle w:val="IASBNormalnpara"/>
      </w:pPr>
      <w:r>
        <w:t>IE50</w:t>
      </w:r>
      <w:r>
        <w:tab/>
        <w:t>The incremental consideration of CU400 is recognised as a loss in profit or loss.</w:t>
      </w:r>
    </w:p>
    <w:p w:rsidR="000E6961" w:rsidRDefault="000E6961" w:rsidP="00B64056"/>
    <w:p w:rsidR="00B64056" w:rsidRDefault="00B64056" w:rsidP="00B64056">
      <w:pPr>
        <w:sectPr w:rsidR="00B64056" w:rsidSect="00CB11AC">
          <w:headerReference w:type="even" r:id="rId30"/>
          <w:footerReference w:type="even" r:id="rId31"/>
          <w:footerReference w:type="default" r:id="rId32"/>
          <w:headerReference w:type="first" r:id="rId33"/>
          <w:footerReference w:type="first" r:id="rId34"/>
          <w:pgSz w:w="11907" w:h="16839"/>
          <w:pgMar w:top="1440" w:right="1440" w:bottom="1440" w:left="1440" w:header="720" w:footer="720" w:gutter="0"/>
          <w:cols w:space="708"/>
          <w:docGrid w:linePitch="360"/>
        </w:sectPr>
      </w:pPr>
    </w:p>
    <w:p w:rsidR="00B64056" w:rsidRDefault="00B64056" w:rsidP="00EF02E5">
      <w:pPr>
        <w:pStyle w:val="ConvSectionTitle"/>
      </w:pPr>
      <w:r>
        <w:lastRenderedPageBreak/>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32</w:t>
      </w:r>
      <w:r>
        <w:fldChar w:fldCharType="end"/>
      </w:r>
      <w:r w:rsidR="00E30B6B">
        <w:t xml:space="preserve"> t</w:t>
      </w:r>
      <w:r>
        <w:t>ext</w:t>
      </w:r>
    </w:p>
    <w:p w:rsidR="00B64056" w:rsidRDefault="00B64056" w:rsidP="00EF02E5">
      <w:pPr>
        <w:pStyle w:val="IASBNote"/>
      </w:pPr>
      <w:r>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32</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132</w:t>
      </w:r>
      <w:r>
        <w:fldChar w:fldCharType="end"/>
      </w:r>
      <w:r>
        <w:t>.</w:t>
      </w:r>
    </w:p>
    <w:p w:rsidR="00DE5B52" w:rsidRDefault="00DE5B52" w:rsidP="00DE5B52">
      <w:pPr>
        <w:pStyle w:val="IASBNormalnpara"/>
      </w:pPr>
      <w:r>
        <w:t>97A</w:t>
      </w:r>
      <w:r>
        <w:tab/>
        <w:t>IAS 1 (as revised in 2007) amended the terminology used throughout IFRSs. In addition it amended paragraph 40. An entity shall apply those amendments for annual periods beginning on or after 1 January 2009. If an entity applies IAS 1 (revised 2007) for an earlier period, the amendments shall be applied for that earlier period.</w:t>
      </w:r>
    </w:p>
    <w:p w:rsidR="00A9457E" w:rsidDel="00DE5B52" w:rsidRDefault="00A9457E" w:rsidP="00A9457E">
      <w:pPr>
        <w:pStyle w:val="IASBNormalnpara"/>
      </w:pPr>
      <w:r w:rsidDel="00DE5B52">
        <w:t>97D</w:t>
      </w:r>
      <w:r w:rsidDel="00DE5B52">
        <w:tab/>
        <w:t xml:space="preserve">Paragraph 4 was amended by </w:t>
      </w:r>
      <w:r w:rsidDel="00DE5B52">
        <w:rPr>
          <w:i/>
        </w:rPr>
        <w:t>Improvements to IFRSs</w:t>
      </w:r>
      <w:r w:rsidDel="00DE5B52">
        <w:t xml:space="preserve"> issued in May 2008. An entity shall apply that amendment for annual periods beginning on or after 1 January 2009. Earlier application is permitted. If an entity applies the amendment for an earlier period it shall disclose that fact and apply for that earlier period the amendments to paragraph 3 of IFRS 7, paragraph 1 of IAS 28 and paragraph 1 of IAS 31 issued in May 2008. An entity is permitted to apply the amendment prospectively.</w:t>
      </w:r>
    </w:p>
    <w:p w:rsidR="00A9457E" w:rsidRDefault="00A9457E" w:rsidP="00A9457E">
      <w:pPr>
        <w:pStyle w:val="IASBNormalnpara"/>
      </w:pPr>
      <w:r w:rsidDel="00DE5B52">
        <w:t>97E</w:t>
      </w:r>
      <w:r w:rsidDel="00DE5B52">
        <w:tab/>
        <w:t xml:space="preserve">Paragraphs 11 and 16 were amended by </w:t>
      </w:r>
      <w:r w:rsidDel="00DE5B52">
        <w:rPr>
          <w:i/>
        </w:rPr>
        <w:t>Classification of Rights Issues</w:t>
      </w:r>
      <w:r w:rsidDel="00DE5B52">
        <w:t xml:space="preserve"> issued in October 2009. An entity shall apply that amendment for annual periods beginning on or after 1 February 2010. Earlier application is permitted. If an entity applies the amendment for an earlier period, it shall disclose that fact.</w:t>
      </w:r>
    </w:p>
    <w:p w:rsidR="00FA7D47" w:rsidRDefault="00FA7D47" w:rsidP="00FA7D47">
      <w:pPr>
        <w:pStyle w:val="IASBNormalnpara"/>
      </w:pPr>
      <w:r>
        <w:t>97I</w:t>
      </w:r>
      <w:r>
        <w:tab/>
        <w:t xml:space="preserve">IFRS 10 and IFRS 11 </w:t>
      </w:r>
      <w:r>
        <w:rPr>
          <w:i/>
        </w:rPr>
        <w:t>Joint Arrangements</w:t>
      </w:r>
      <w:r>
        <w:t>, issued in May 2011, amended paragraphs 4(a) and AG29. An entity shall apply those amendments when it applies IFRS 10 and IFRS 11.</w:t>
      </w:r>
    </w:p>
    <w:p w:rsidR="00FA7D47" w:rsidRDefault="00FA7D47" w:rsidP="00FA7D47">
      <w:pPr>
        <w:pStyle w:val="IASBNormalnpara"/>
      </w:pPr>
      <w:r>
        <w:t>97J</w:t>
      </w:r>
      <w:r>
        <w:tab/>
        <w:t>IFRS 13, issued in May 2011, amended the definition of fair value in paragraph 11 and amended paragraphs 23 and AG31. An entity shall apply those amendments when it applies IFRS 13.</w:t>
      </w:r>
    </w:p>
    <w:p w:rsidR="00FA7D47" w:rsidRDefault="00FA7D47" w:rsidP="00FA7D47">
      <w:pPr>
        <w:pStyle w:val="IASBNormalnpara"/>
      </w:pPr>
      <w:r>
        <w:t>97K</w:t>
      </w:r>
      <w:r>
        <w:tab/>
      </w:r>
      <w:r>
        <w:rPr>
          <w:i/>
        </w:rPr>
        <w:t>Presentation of Items of Other Comprehensive Income</w:t>
      </w:r>
      <w:r>
        <w:t xml:space="preserve"> (Amendments to IAS 1), issued in June 2011, amended paragraph 40. An entity shall apply that amendment when it applies IAS 1 as amended in June 2011.</w:t>
      </w:r>
    </w:p>
    <w:p w:rsidR="00FA7D47" w:rsidRDefault="00FA7D47" w:rsidP="00FA7D47">
      <w:pPr>
        <w:pStyle w:val="IASBNormalnpara"/>
      </w:pPr>
      <w:r>
        <w:t>97L</w:t>
      </w:r>
      <w:r>
        <w:tab/>
      </w:r>
      <w:r>
        <w:rPr>
          <w:i/>
        </w:rPr>
        <w:t>Offsetting Financial Assets and Financial Liabilities</w:t>
      </w:r>
      <w:r>
        <w:t xml:space="preserve"> (Amendments to IAS 32), issued in December 2011, deleted paragraph AG38 and added paragraphs AG38A–AG38F. An entity shall apply those amendments for annual periods beginning on or after 1 January 2014. An entity shall apply those amendments retrospectively. Earlier application is permitted. If an entity applies those amendments from an earlier date, it shall disclose that fact and shall also make the disclosures required by </w:t>
      </w:r>
      <w:r>
        <w:rPr>
          <w:i/>
        </w:rPr>
        <w:t>Disclosures—Offsetting Financial Assets and Financial Liabilities</w:t>
      </w:r>
      <w:r>
        <w:t xml:space="preserve"> (Amendments to IFRS 7) issued in December 2011.</w:t>
      </w:r>
    </w:p>
    <w:p w:rsidR="00FA7D47" w:rsidRDefault="00FA7D47" w:rsidP="00FA7D47">
      <w:pPr>
        <w:pStyle w:val="IASBNormalnpara"/>
      </w:pPr>
      <w:r>
        <w:t>97M</w:t>
      </w:r>
      <w:r>
        <w:tab/>
      </w:r>
      <w:r>
        <w:rPr>
          <w:i/>
        </w:rPr>
        <w:t>Disclosures—Offsetting Financial Assets and Financial Liabilities</w:t>
      </w:r>
      <w:r>
        <w:t xml:space="preserve"> (Amendments to IFRS 7), issued in December 2011, amended paragraph 43 by requiring an entity to disclose the information required in paragraphs 13B–13E of IFRS 7 for recognised financial assets that are within the scope of paragraph 13A of IFRS 7. An entity shall apply that amendment for annual periods beginning on or after 1 January 2013 and interim periods within those annual periods. An entity shall provide the disclosures required by this amendment retrospectively.</w:t>
      </w:r>
    </w:p>
    <w:p w:rsidR="00FA7D47" w:rsidRDefault="00FA7D47" w:rsidP="00FA7D47">
      <w:pPr>
        <w:pStyle w:val="IASBNormalnpara"/>
      </w:pPr>
      <w:r>
        <w:t>97N</w:t>
      </w:r>
      <w:r>
        <w:tab/>
      </w:r>
      <w:r>
        <w:rPr>
          <w:i/>
        </w:rPr>
        <w:t>Annual Improvements 2009–2011 Cycle</w:t>
      </w:r>
      <w:r>
        <w:t xml:space="preserve">, issued in May 2012, amended paragraphs 35, 37 and 39 and added paragraph 35A. An entity shall apply that amendment retrospectively in accordance with IAS 8 </w:t>
      </w:r>
      <w:r>
        <w:rPr>
          <w:i/>
        </w:rPr>
        <w:t>Accounting Policies, Changes in Accounting Estimates and Errors</w:t>
      </w:r>
      <w:r>
        <w:t xml:space="preserve"> for annual periods beginning on or after 1 January 2013. Earlier application is permitted. If an entity applies that amendment for an earlier period it shall disclose that fact.</w:t>
      </w:r>
    </w:p>
    <w:p w:rsidR="00FA7D47" w:rsidRDefault="00FA7D47" w:rsidP="00FA7D47">
      <w:pPr>
        <w:pStyle w:val="IASBNormalnpara"/>
      </w:pPr>
      <w:r>
        <w:t>97O</w:t>
      </w:r>
      <w:r>
        <w:tab/>
      </w:r>
      <w:r>
        <w:rPr>
          <w:i/>
        </w:rPr>
        <w:t>Investment Entities</w:t>
      </w:r>
      <w:r>
        <w:t xml:space="preserve"> (Amendments to IFRS 10, IFRS 12 and IAS 27), issued in October 2012, amended paragraph 4. An entity shall apply that amendment for annual periods beginning on or after 1 January 2014. Earlier application of </w:t>
      </w:r>
      <w:r>
        <w:rPr>
          <w:i/>
        </w:rPr>
        <w:t>Investment Entities</w:t>
      </w:r>
      <w:r>
        <w:t xml:space="preserve"> is permitted. If an entity applies that amendment earlier it shall also apply all amendments included in </w:t>
      </w:r>
      <w:r>
        <w:rPr>
          <w:i/>
        </w:rPr>
        <w:t>Investment Entities</w:t>
      </w:r>
      <w:r>
        <w:t xml:space="preserve"> at the same time.</w:t>
      </w:r>
    </w:p>
    <w:p w:rsidR="00DE5B52" w:rsidRDefault="00DE5B52" w:rsidP="00DE5B52">
      <w:pPr>
        <w:pStyle w:val="IASBNormalnpara"/>
      </w:pPr>
      <w:r>
        <w:t>98</w:t>
      </w:r>
      <w:r>
        <w:tab/>
        <w:t xml:space="preserve">This Standard </w:t>
      </w:r>
      <w:r w:rsidR="00631F33">
        <w:t>supersedes IAS</w:t>
      </w:r>
      <w:r>
        <w:t xml:space="preserve"> 32 </w:t>
      </w:r>
      <w:r>
        <w:rPr>
          <w:i/>
        </w:rPr>
        <w:t>Financial Instruments: Disclosure and Presentation</w:t>
      </w:r>
      <w:r>
        <w:t xml:space="preserve"> revised in 2000.</w:t>
      </w:r>
      <w:r w:rsidR="00631F33" w:rsidRPr="00631F33">
        <w:rPr>
          <w:vertAlign w:val="superscript"/>
        </w:rPr>
        <w:t>4</w:t>
      </w:r>
    </w:p>
    <w:p w:rsidR="00631F33" w:rsidRDefault="00631F33" w:rsidP="00631F33">
      <w:pPr>
        <w:pStyle w:val="IASBNormalnparaL1"/>
      </w:pPr>
      <w:r>
        <w:rPr>
          <w:sz w:val="16"/>
          <w:szCs w:val="16"/>
        </w:rPr>
        <w:t>4</w:t>
      </w:r>
      <w:r>
        <w:rPr>
          <w:sz w:val="16"/>
          <w:szCs w:val="16"/>
        </w:rPr>
        <w:tab/>
      </w:r>
      <w:r w:rsidRPr="00264ABB">
        <w:rPr>
          <w:rStyle w:val="FootnoteReference"/>
          <w:sz w:val="16"/>
          <w:szCs w:val="16"/>
          <w:vertAlign w:val="baseline"/>
        </w:rPr>
        <w:t xml:space="preserve">In August 2005 the IASB relocated all disclosures relating to financial instruments to IFRS 7 </w:t>
      </w:r>
      <w:r w:rsidRPr="00264ABB">
        <w:rPr>
          <w:rStyle w:val="FootnoteReference"/>
          <w:i/>
          <w:sz w:val="16"/>
          <w:szCs w:val="16"/>
          <w:vertAlign w:val="baseline"/>
        </w:rPr>
        <w:t>Financial Instruments: Disclosures</w:t>
      </w:r>
      <w:r w:rsidRPr="00264ABB">
        <w:rPr>
          <w:rStyle w:val="FootnoteReference"/>
          <w:sz w:val="16"/>
          <w:szCs w:val="16"/>
          <w:vertAlign w:val="baseline"/>
        </w:rPr>
        <w:t>.</w:t>
      </w:r>
    </w:p>
    <w:p w:rsidR="00DE5B52" w:rsidRDefault="00DE5B52" w:rsidP="00DE5B52">
      <w:pPr>
        <w:pStyle w:val="IASBNormalnpara"/>
      </w:pPr>
      <w:r>
        <w:t>99</w:t>
      </w:r>
      <w:r>
        <w:tab/>
        <w:t xml:space="preserve">This Standard supersedes the following Interpretations: </w:t>
      </w:r>
    </w:p>
    <w:p w:rsidR="00DE5B52" w:rsidRDefault="00DE5B52" w:rsidP="00DE5B52">
      <w:pPr>
        <w:pStyle w:val="IASBNormalnparaL1"/>
      </w:pPr>
      <w:r>
        <w:t>(a)</w:t>
      </w:r>
      <w:r>
        <w:tab/>
        <w:t xml:space="preserve">SIC-5 </w:t>
      </w:r>
      <w:r>
        <w:rPr>
          <w:i/>
        </w:rPr>
        <w:t>Classification of Financial Instruments—Contingent Settlement Provisions</w:t>
      </w:r>
      <w:r>
        <w:t>;</w:t>
      </w:r>
    </w:p>
    <w:p w:rsidR="00DE5B52" w:rsidRDefault="00DE5B52" w:rsidP="00DE5B52">
      <w:pPr>
        <w:pStyle w:val="IASBNormalnparaL1"/>
      </w:pPr>
      <w:r>
        <w:t>(b)</w:t>
      </w:r>
      <w:r>
        <w:tab/>
        <w:t xml:space="preserve">SIC-16 </w:t>
      </w:r>
      <w:r>
        <w:rPr>
          <w:i/>
        </w:rPr>
        <w:t>Share Capital—Reacquired Own Equity Instruments (Treasury Shares)</w:t>
      </w:r>
      <w:r>
        <w:t>; and</w:t>
      </w:r>
    </w:p>
    <w:p w:rsidR="00DE5B52" w:rsidRDefault="00DE5B52" w:rsidP="00DE5B52">
      <w:pPr>
        <w:pStyle w:val="IASBNormalnparaL1"/>
      </w:pPr>
      <w:r>
        <w:t>(c)</w:t>
      </w:r>
      <w:r>
        <w:tab/>
        <w:t xml:space="preserve">SIC-17 </w:t>
      </w:r>
      <w:r>
        <w:rPr>
          <w:i/>
        </w:rPr>
        <w:t>Equity—Costs of an Equity Transaction</w:t>
      </w:r>
      <w:r>
        <w:t>.</w:t>
      </w:r>
    </w:p>
    <w:p w:rsidR="00DE5B52" w:rsidRDefault="00DE5B52" w:rsidP="00DE5B52">
      <w:pPr>
        <w:pStyle w:val="IASBNormalnpara"/>
      </w:pPr>
      <w:r>
        <w:t>100</w:t>
      </w:r>
      <w:r>
        <w:tab/>
        <w:t xml:space="preserve">This Standard withdraws draft SIC Interpretation D34 </w:t>
      </w:r>
      <w:r>
        <w:rPr>
          <w:i/>
        </w:rPr>
        <w:t>Financial Instruments—Instruments or Rights Redeemable by the Holder</w:t>
      </w:r>
      <w:r>
        <w:t>.</w:t>
      </w:r>
    </w:p>
    <w:sectPr w:rsidR="00DE5B52" w:rsidSect="006046BC">
      <w:footerReference w:type="default" r:id="rId35"/>
      <w:headerReference w:type="first" r:id="rId36"/>
      <w:footerReference w:type="first" r:id="rId37"/>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06" w:rsidRDefault="00011B06">
      <w:r>
        <w:separator/>
      </w:r>
    </w:p>
  </w:endnote>
  <w:endnote w:type="continuationSeparator" w:id="0">
    <w:p w:rsidR="00011B06" w:rsidRDefault="0001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rPr>
        <w:b/>
      </w:rPr>
    </w:pPr>
    <w:r>
      <w:rPr>
        <w:b/>
      </w:rPr>
      <w:fldChar w:fldCharType="begin" w:fldLock="1"/>
    </w:r>
    <w:r>
      <w:rPr>
        <w:b/>
      </w:rPr>
      <w:instrText xml:space="preserve"> REF DocTypeAbb \* charformat </w:instrText>
    </w:r>
    <w:r>
      <w:rPr>
        <w:b/>
      </w:rPr>
      <w:fldChar w:fldCharType="separate"/>
    </w:r>
    <w:r w:rsidRPr="00B64056">
      <w:rPr>
        <w:b/>
      </w:rPr>
      <w:t>AASB</w:t>
    </w:r>
    <w:r>
      <w:rPr>
        <w:b/>
      </w:rPr>
      <w:fldChar w:fldCharType="end"/>
    </w:r>
    <w:r w:rsidRPr="00B64056">
      <w:rPr>
        <w:b/>
      </w:rPr>
      <w:t xml:space="preserve"> </w:t>
    </w:r>
    <w:r>
      <w:rPr>
        <w:b/>
      </w:rPr>
      <w:fldChar w:fldCharType="begin" w:fldLock="1"/>
    </w:r>
    <w:r>
      <w:rPr>
        <w:b/>
      </w:rPr>
      <w:instrText xml:space="preserve"> REF DocNo \* charformat </w:instrText>
    </w:r>
    <w:r>
      <w:rPr>
        <w:b/>
      </w:rPr>
      <w:fldChar w:fldCharType="separate"/>
    </w:r>
    <w:r w:rsidRPr="00B64056">
      <w:rPr>
        <w:b/>
      </w:rPr>
      <w:t>132</w:t>
    </w:r>
    <w:r>
      <w:rPr>
        <w:b/>
      </w:rPr>
      <w:fldChar w:fldCharType="end"/>
    </w:r>
    <w:r w:rsidRPr="00B64056">
      <w:rPr>
        <w:b/>
      </w:rPr>
      <w:tab/>
    </w:r>
    <w:r>
      <w:fldChar w:fldCharType="begin"/>
    </w:r>
    <w:r>
      <w:instrText xml:space="preserve"> PAGE </w:instrText>
    </w:r>
    <w:r>
      <w:fldChar w:fldCharType="separate"/>
    </w:r>
    <w:r w:rsidR="00243C82">
      <w:rPr>
        <w:noProof/>
      </w:rPr>
      <w:t>26</w:t>
    </w:r>
    <w:r>
      <w:fldChar w:fldCharType="end"/>
    </w:r>
    <w:r w:rsidRPr="00B64056">
      <w:rPr>
        <w:b/>
      </w:rPr>
      <w:tab/>
    </w:r>
    <w:r>
      <w:rPr>
        <w:b/>
      </w:rPr>
      <w:t>GUIDANCE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rPr>
        <w:b/>
      </w:rPr>
    </w:pPr>
    <w:r>
      <w:rPr>
        <w:b/>
      </w:rPr>
      <w:fldChar w:fldCharType="begin" w:fldLock="1"/>
    </w:r>
    <w:r>
      <w:rPr>
        <w:b/>
      </w:rPr>
      <w:instrText xml:space="preserve"> REF DocTypeAbb \* charformat </w:instrText>
    </w:r>
    <w:r>
      <w:rPr>
        <w:b/>
      </w:rPr>
      <w:fldChar w:fldCharType="separate"/>
    </w:r>
    <w:r w:rsidRPr="00B64056">
      <w:rPr>
        <w:b/>
      </w:rPr>
      <w:t>AASB</w:t>
    </w:r>
    <w:r>
      <w:rPr>
        <w:b/>
      </w:rPr>
      <w:fldChar w:fldCharType="end"/>
    </w:r>
    <w:r w:rsidRPr="00B64056">
      <w:rPr>
        <w:b/>
      </w:rPr>
      <w:t xml:space="preserve"> </w:t>
    </w:r>
    <w:r>
      <w:rPr>
        <w:b/>
      </w:rPr>
      <w:fldChar w:fldCharType="begin" w:fldLock="1"/>
    </w:r>
    <w:r>
      <w:rPr>
        <w:b/>
      </w:rPr>
      <w:instrText xml:space="preserve"> REF DocNo \* charformat </w:instrText>
    </w:r>
    <w:r>
      <w:rPr>
        <w:b/>
      </w:rPr>
      <w:fldChar w:fldCharType="separate"/>
    </w:r>
    <w:r w:rsidRPr="00B64056">
      <w:rPr>
        <w:b/>
      </w:rPr>
      <w:t>132</w:t>
    </w:r>
    <w:r>
      <w:rPr>
        <w:b/>
      </w:rPr>
      <w:fldChar w:fldCharType="end"/>
    </w:r>
    <w:r w:rsidRPr="00B64056">
      <w:rPr>
        <w:b/>
      </w:rPr>
      <w:tab/>
    </w:r>
    <w:r>
      <w:fldChar w:fldCharType="begin"/>
    </w:r>
    <w:r>
      <w:instrText xml:space="preserve"> PAGE </w:instrText>
    </w:r>
    <w:r>
      <w:fldChar w:fldCharType="separate"/>
    </w:r>
    <w:r w:rsidR="00243C82">
      <w:rPr>
        <w:noProof/>
      </w:rPr>
      <w:t>44</w:t>
    </w:r>
    <w:r>
      <w:fldChar w:fldCharType="end"/>
    </w:r>
    <w:r w:rsidRPr="00B64056">
      <w:rPr>
        <w:b/>
      </w:rPr>
      <w:tab/>
    </w:r>
    <w:r>
      <w:rPr>
        <w:b/>
      </w:rPr>
      <w:t>EXAMPLES</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rsidP="00EF02E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6405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64056">
      <w:rPr>
        <w:b/>
      </w:rPr>
      <w:t>132</w:t>
    </w:r>
    <w:r w:rsidRPr="00705552">
      <w:rPr>
        <w:b/>
      </w:rPr>
      <w:fldChar w:fldCharType="end"/>
    </w:r>
    <w:r>
      <w:tab/>
    </w:r>
    <w:r>
      <w:fldChar w:fldCharType="begin"/>
    </w:r>
    <w:r>
      <w:instrText xml:space="preserve"> page </w:instrText>
    </w:r>
    <w:r>
      <w:fldChar w:fldCharType="separate"/>
    </w:r>
    <w:r w:rsidR="00243C82">
      <w:rPr>
        <w:noProof/>
      </w:rPr>
      <w:t>48</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B64056">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B64056">
      <w:rPr>
        <w:b/>
      </w:rPr>
      <w:t>32</w:t>
    </w:r>
    <w:r>
      <w:rPr>
        <w:b/>
      </w:rPr>
      <w:fldChar w:fldCharType="end"/>
    </w:r>
    <w:r>
      <w:rPr>
        <w:b/>
      </w:rPr>
      <w:t xml:space="preserve"> TEXT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6405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64056">
      <w:rPr>
        <w:b/>
      </w:rPr>
      <w:t>132</w:t>
    </w:r>
    <w:r w:rsidRPr="00705552">
      <w:rPr>
        <w:b/>
      </w:rPr>
      <w:fldChar w:fldCharType="end"/>
    </w:r>
    <w:r>
      <w:tab/>
    </w:r>
    <w:r>
      <w:fldChar w:fldCharType="begin"/>
    </w:r>
    <w:r>
      <w:instrText xml:space="preserve"> page </w:instrText>
    </w:r>
    <w:r>
      <w:fldChar w:fldCharType="separate"/>
    </w:r>
    <w:r w:rsidR="000D6746">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705552" w:rsidRDefault="00011B06" w:rsidP="00EF02E5">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6405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64056">
      <w:rPr>
        <w:b/>
      </w:rPr>
      <w:t>132</w:t>
    </w:r>
    <w:r w:rsidRPr="00705552">
      <w:rPr>
        <w:b/>
      </w:rPr>
      <w:fldChar w:fldCharType="end"/>
    </w:r>
    <w:r>
      <w:tab/>
    </w:r>
    <w:r>
      <w:fldChar w:fldCharType="begin"/>
    </w:r>
    <w:r>
      <w:instrText xml:space="preserve"> page </w:instrText>
    </w:r>
    <w:r>
      <w:fldChar w:fldCharType="separate"/>
    </w:r>
    <w:r w:rsidR="000D6746">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rsidP="00EF02E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6405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64056">
      <w:rPr>
        <w:b/>
      </w:rPr>
      <w:t>132</w:t>
    </w:r>
    <w:r w:rsidRPr="00705552">
      <w:rPr>
        <w:b/>
      </w:rPr>
      <w:fldChar w:fldCharType="end"/>
    </w:r>
    <w:r>
      <w:tab/>
    </w:r>
    <w:r>
      <w:fldChar w:fldCharType="begin"/>
    </w:r>
    <w:r>
      <w:instrText xml:space="preserve"> page </w:instrText>
    </w:r>
    <w:r>
      <w:fldChar w:fldCharType="separate"/>
    </w:r>
    <w:r w:rsidR="00243C82">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rPr>
        <w:b/>
      </w:rPr>
    </w:pPr>
    <w:r>
      <w:rPr>
        <w:b/>
      </w:rPr>
      <w:fldChar w:fldCharType="begin" w:fldLock="1"/>
    </w:r>
    <w:r>
      <w:rPr>
        <w:b/>
      </w:rPr>
      <w:instrText xml:space="preserve"> REF DocTypeAbb \* charformat </w:instrText>
    </w:r>
    <w:r>
      <w:rPr>
        <w:b/>
      </w:rPr>
      <w:fldChar w:fldCharType="separate"/>
    </w:r>
    <w:r w:rsidRPr="00B64056">
      <w:rPr>
        <w:b/>
      </w:rPr>
      <w:t>AASB</w:t>
    </w:r>
    <w:r>
      <w:rPr>
        <w:b/>
      </w:rPr>
      <w:fldChar w:fldCharType="end"/>
    </w:r>
    <w:r w:rsidRPr="00B64056">
      <w:rPr>
        <w:b/>
      </w:rPr>
      <w:t xml:space="preserve"> </w:t>
    </w:r>
    <w:r>
      <w:rPr>
        <w:b/>
      </w:rPr>
      <w:fldChar w:fldCharType="begin" w:fldLock="1"/>
    </w:r>
    <w:r>
      <w:rPr>
        <w:b/>
      </w:rPr>
      <w:instrText xml:space="preserve"> REF DocNo \* charformat </w:instrText>
    </w:r>
    <w:r>
      <w:rPr>
        <w:b/>
      </w:rPr>
      <w:fldChar w:fldCharType="separate"/>
    </w:r>
    <w:r w:rsidRPr="00B64056">
      <w:rPr>
        <w:b/>
      </w:rPr>
      <w:t>132</w:t>
    </w:r>
    <w:r>
      <w:rPr>
        <w:b/>
      </w:rPr>
      <w:fldChar w:fldCharType="end"/>
    </w:r>
    <w:r w:rsidRPr="00B64056">
      <w:rPr>
        <w:b/>
      </w:rPr>
      <w:tab/>
    </w:r>
    <w:r>
      <w:fldChar w:fldCharType="begin"/>
    </w:r>
    <w:r>
      <w:instrText xml:space="preserve"> PAGE </w:instrText>
    </w:r>
    <w:r>
      <w:fldChar w:fldCharType="separate"/>
    </w:r>
    <w:r w:rsidR="00243C82">
      <w:rPr>
        <w:noProof/>
      </w:rPr>
      <w:t>17</w:t>
    </w:r>
    <w:r>
      <w:fldChar w:fldCharType="end"/>
    </w:r>
    <w:r w:rsidRPr="00B64056">
      <w:rPr>
        <w:b/>
      </w:rPr>
      <w:tab/>
    </w:r>
    <w:r>
      <w:rPr>
        <w:b/>
      </w:rPr>
      <w:fldChar w:fldCharType="begin" w:fldLock="1"/>
    </w:r>
    <w:r>
      <w:rPr>
        <w:b/>
      </w:rPr>
      <w:instrText xml:space="preserve"> REF DocType \* charformat \* upper </w:instrText>
    </w:r>
    <w:r>
      <w:rPr>
        <w:b/>
      </w:rPr>
      <w:fldChar w:fldCharType="separate"/>
    </w:r>
    <w:r w:rsidRPr="00B64056">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06" w:rsidRDefault="00011B06">
      <w:r>
        <w:separator/>
      </w:r>
    </w:p>
  </w:footnote>
  <w:footnote w:type="continuationSeparator" w:id="0">
    <w:p w:rsidR="00011B06" w:rsidRDefault="00011B06">
      <w:r>
        <w:continuationSeparator/>
      </w:r>
    </w:p>
  </w:footnote>
  <w:footnote w:id="1">
    <w:p w:rsidR="00011B06" w:rsidRPr="00264ABB" w:rsidRDefault="00011B06" w:rsidP="002C2F1F">
      <w:pPr>
        <w:shd w:val="clear" w:color="auto" w:fill="FFFFFF"/>
        <w:ind w:left="284" w:hanging="284"/>
        <w:jc w:val="both"/>
        <w:rPr>
          <w:rStyle w:val="FootnoteReference"/>
          <w:sz w:val="16"/>
          <w:szCs w:val="16"/>
          <w:vertAlign w:val="baseline"/>
          <w:lang w:val="en-US"/>
        </w:rPr>
      </w:pPr>
      <w:r w:rsidRPr="00264ABB">
        <w:rPr>
          <w:rStyle w:val="FootnoteReference"/>
          <w:sz w:val="16"/>
          <w:szCs w:val="16"/>
          <w:vertAlign w:val="baseline"/>
        </w:rPr>
        <w:footnoteRef/>
      </w:r>
      <w:r w:rsidRPr="00264ABB">
        <w:rPr>
          <w:sz w:val="16"/>
          <w:szCs w:val="16"/>
        </w:rPr>
        <w:tab/>
      </w:r>
      <w:r w:rsidRPr="00264ABB">
        <w:rPr>
          <w:rStyle w:val="FootnoteReference"/>
          <w:sz w:val="16"/>
          <w:szCs w:val="16"/>
          <w:vertAlign w:val="baseline"/>
        </w:rPr>
        <w:t>In this Standard, monetary amounts are denominated in ‘currency units (CU)’.</w:t>
      </w:r>
    </w:p>
  </w:footnote>
  <w:footnote w:id="2">
    <w:p w:rsidR="00011B06" w:rsidRPr="00264ABB" w:rsidRDefault="00011B06" w:rsidP="002C2F1F">
      <w:pPr>
        <w:shd w:val="clear" w:color="auto" w:fill="FFFFFF"/>
        <w:ind w:left="284" w:hanging="284"/>
        <w:jc w:val="both"/>
        <w:rPr>
          <w:rStyle w:val="FootnoteReference"/>
          <w:sz w:val="16"/>
          <w:szCs w:val="16"/>
          <w:vertAlign w:val="baseline"/>
          <w:lang w:val="en-US"/>
        </w:rPr>
      </w:pPr>
      <w:r w:rsidRPr="00264ABB">
        <w:rPr>
          <w:rStyle w:val="FootnoteReference"/>
          <w:sz w:val="16"/>
          <w:szCs w:val="16"/>
          <w:vertAlign w:val="baseline"/>
        </w:rPr>
        <w:footnoteRef/>
      </w:r>
      <w:r w:rsidRPr="00264ABB">
        <w:rPr>
          <w:sz w:val="16"/>
          <w:szCs w:val="16"/>
        </w:rPr>
        <w:tab/>
      </w:r>
      <w:r w:rsidRPr="00264ABB">
        <w:rPr>
          <w:rStyle w:val="FootnoteReference"/>
          <w:sz w:val="16"/>
          <w:szCs w:val="16"/>
          <w:vertAlign w:val="baseline"/>
        </w:rPr>
        <w:t>In this guidance, monetary amounts are denominated in ‘currency units (CU)’.</w:t>
      </w:r>
    </w:p>
  </w:footnote>
  <w:footnote w:id="3">
    <w:p w:rsidR="00011B06" w:rsidRPr="00264ABB" w:rsidRDefault="00011B06" w:rsidP="002C2F1F">
      <w:pPr>
        <w:shd w:val="clear" w:color="auto" w:fill="FFFFFF"/>
        <w:ind w:left="284" w:hanging="284"/>
        <w:jc w:val="both"/>
        <w:rPr>
          <w:rStyle w:val="FootnoteReference"/>
          <w:sz w:val="16"/>
          <w:szCs w:val="16"/>
          <w:vertAlign w:val="baseline"/>
          <w:lang w:val="en-US"/>
        </w:rPr>
      </w:pPr>
      <w:r w:rsidRPr="00264ABB">
        <w:rPr>
          <w:rStyle w:val="FootnoteReference"/>
          <w:sz w:val="16"/>
          <w:szCs w:val="16"/>
          <w:vertAlign w:val="baseline"/>
        </w:rPr>
        <w:footnoteRef/>
      </w:r>
      <w:r w:rsidRPr="00264ABB">
        <w:rPr>
          <w:sz w:val="16"/>
          <w:szCs w:val="16"/>
        </w:rPr>
        <w:tab/>
      </w:r>
      <w:r w:rsidRPr="00264ABB">
        <w:rPr>
          <w:rStyle w:val="FootnoteReference"/>
          <w:sz w:val="16"/>
          <w:szCs w:val="16"/>
          <w:vertAlign w:val="baseline"/>
        </w:rPr>
        <w:t>This is true of most, but not all derivatives, eg in some cross-currency interest rate swaps principal is exchanged on inception (and re-exchanged on maturity).</w:t>
      </w:r>
    </w:p>
  </w:footnote>
  <w:footnote w:id="4">
    <w:p w:rsidR="00011B06" w:rsidRDefault="00011B06" w:rsidP="002C2F1F">
      <w:pPr>
        <w:ind w:left="284" w:hanging="284"/>
        <w:jc w:val="both"/>
      </w:pPr>
      <w:r w:rsidRPr="002A438E">
        <w:rPr>
          <w:rStyle w:val="FootnoteReference"/>
          <w:sz w:val="16"/>
          <w:szCs w:val="16"/>
          <w:vertAlign w:val="baseline"/>
        </w:rPr>
        <w:footnoteRef/>
      </w:r>
      <w:r>
        <w:tab/>
      </w:r>
      <w:r>
        <w:rPr>
          <w:rStyle w:val="FootnoteReference"/>
          <w:sz w:val="16"/>
          <w:szCs w:val="20"/>
          <w:vertAlign w:val="baseline"/>
        </w:rPr>
        <w:t>In these examples, monetary amounts are denominated in ‘currency units (CU)’.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Default="00011B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06" w:rsidRPr="00B64056" w:rsidRDefault="00011B06" w:rsidP="00B6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61"/>
    <w:rsid w:val="00011B06"/>
    <w:rsid w:val="00026908"/>
    <w:rsid w:val="00064591"/>
    <w:rsid w:val="00087972"/>
    <w:rsid w:val="000B4EC8"/>
    <w:rsid w:val="000D6746"/>
    <w:rsid w:val="000E6961"/>
    <w:rsid w:val="00111DF0"/>
    <w:rsid w:val="00132E77"/>
    <w:rsid w:val="00173C9A"/>
    <w:rsid w:val="00187FBD"/>
    <w:rsid w:val="001A63B5"/>
    <w:rsid w:val="002112F7"/>
    <w:rsid w:val="002400A1"/>
    <w:rsid w:val="00243C82"/>
    <w:rsid w:val="00264ABB"/>
    <w:rsid w:val="00284B2B"/>
    <w:rsid w:val="00292183"/>
    <w:rsid w:val="002A649D"/>
    <w:rsid w:val="002B7F49"/>
    <w:rsid w:val="002C2F1F"/>
    <w:rsid w:val="002C41A7"/>
    <w:rsid w:val="0030609D"/>
    <w:rsid w:val="00311274"/>
    <w:rsid w:val="00320627"/>
    <w:rsid w:val="00334CB0"/>
    <w:rsid w:val="0033641B"/>
    <w:rsid w:val="0033662C"/>
    <w:rsid w:val="003A31FE"/>
    <w:rsid w:val="003A7EED"/>
    <w:rsid w:val="003C7AC1"/>
    <w:rsid w:val="003E245F"/>
    <w:rsid w:val="00453CA4"/>
    <w:rsid w:val="00454FCF"/>
    <w:rsid w:val="004658C9"/>
    <w:rsid w:val="00476282"/>
    <w:rsid w:val="00595652"/>
    <w:rsid w:val="005E4254"/>
    <w:rsid w:val="005E60F6"/>
    <w:rsid w:val="005F7281"/>
    <w:rsid w:val="006046BC"/>
    <w:rsid w:val="0062679F"/>
    <w:rsid w:val="00631F33"/>
    <w:rsid w:val="0067258D"/>
    <w:rsid w:val="0068733C"/>
    <w:rsid w:val="006A7209"/>
    <w:rsid w:val="006A73B2"/>
    <w:rsid w:val="006C0D04"/>
    <w:rsid w:val="006D14C1"/>
    <w:rsid w:val="006D7548"/>
    <w:rsid w:val="0070114D"/>
    <w:rsid w:val="0072110E"/>
    <w:rsid w:val="00736422"/>
    <w:rsid w:val="00752786"/>
    <w:rsid w:val="00752F1E"/>
    <w:rsid w:val="00772CDD"/>
    <w:rsid w:val="007A7E39"/>
    <w:rsid w:val="007C5E26"/>
    <w:rsid w:val="007D0B65"/>
    <w:rsid w:val="00891799"/>
    <w:rsid w:val="008A431A"/>
    <w:rsid w:val="00906AF4"/>
    <w:rsid w:val="00913CE3"/>
    <w:rsid w:val="0094312D"/>
    <w:rsid w:val="00943461"/>
    <w:rsid w:val="00995CB4"/>
    <w:rsid w:val="009B08DD"/>
    <w:rsid w:val="009F404D"/>
    <w:rsid w:val="00A45CB6"/>
    <w:rsid w:val="00A9457E"/>
    <w:rsid w:val="00AA346C"/>
    <w:rsid w:val="00AA642D"/>
    <w:rsid w:val="00AA7E0F"/>
    <w:rsid w:val="00AB1CCD"/>
    <w:rsid w:val="00B20A9A"/>
    <w:rsid w:val="00B24074"/>
    <w:rsid w:val="00B64056"/>
    <w:rsid w:val="00BC0788"/>
    <w:rsid w:val="00BC6B64"/>
    <w:rsid w:val="00BE5AD7"/>
    <w:rsid w:val="00BF45B4"/>
    <w:rsid w:val="00C30A7B"/>
    <w:rsid w:val="00C74412"/>
    <w:rsid w:val="00CB11AC"/>
    <w:rsid w:val="00CB1BED"/>
    <w:rsid w:val="00CC3590"/>
    <w:rsid w:val="00D031AE"/>
    <w:rsid w:val="00D425F8"/>
    <w:rsid w:val="00D7745C"/>
    <w:rsid w:val="00DC1DD3"/>
    <w:rsid w:val="00DE5B52"/>
    <w:rsid w:val="00E30B6B"/>
    <w:rsid w:val="00E35C67"/>
    <w:rsid w:val="00E3631E"/>
    <w:rsid w:val="00E71E66"/>
    <w:rsid w:val="00E77449"/>
    <w:rsid w:val="00EF02E5"/>
    <w:rsid w:val="00F37836"/>
    <w:rsid w:val="00F50A78"/>
    <w:rsid w:val="00F663C9"/>
    <w:rsid w:val="00F7566F"/>
    <w:rsid w:val="00FA6816"/>
    <w:rsid w:val="00FA7D47"/>
    <w:rsid w:val="00FE34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311274"/>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311274"/>
    <w:pPr>
      <w:tabs>
        <w:tab w:val="left" w:pos="4253"/>
      </w:tabs>
      <w:spacing w:before="100" w:after="100"/>
      <w:jc w:val="both"/>
    </w:pPr>
    <w:rPr>
      <w:sz w:val="19"/>
      <w:lang w:eastAsia="en-US"/>
    </w:rPr>
  </w:style>
  <w:style w:type="paragraph" w:customStyle="1" w:styleId="IASBNormalnpara">
    <w:name w:val="IASB Normal npara"/>
    <w:basedOn w:val="IASBNormal"/>
    <w:uiPriority w:val="8"/>
    <w:rsid w:val="00311274"/>
    <w:pPr>
      <w:tabs>
        <w:tab w:val="clear" w:pos="4253"/>
      </w:tabs>
      <w:spacing w:after="0"/>
      <w:ind w:left="782" w:hanging="782"/>
    </w:pPr>
  </w:style>
  <w:style w:type="paragraph" w:customStyle="1" w:styleId="IASBSectionTitle1Ind">
    <w:name w:val="IASB Section Title 1 Ind"/>
    <w:basedOn w:val="Normal"/>
    <w:uiPriority w:val="8"/>
    <w:rsid w:val="00311274"/>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311274"/>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311274"/>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311274"/>
    <w:pPr>
      <w:spacing w:before="240"/>
      <w:ind w:left="782"/>
    </w:pPr>
  </w:style>
  <w:style w:type="paragraph" w:customStyle="1" w:styleId="IASBSectionTitle3NonInd">
    <w:name w:val="IASB Section Title 3 NonInd"/>
    <w:basedOn w:val="Normal"/>
    <w:uiPriority w:val="8"/>
    <w:rsid w:val="00311274"/>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311274"/>
    <w:pPr>
      <w:spacing w:before="240"/>
      <w:ind w:left="782"/>
    </w:pPr>
  </w:style>
  <w:style w:type="paragraph" w:customStyle="1" w:styleId="IASBSectionTitle4NonInd">
    <w:name w:val="IASB Section Title 4 NonInd"/>
    <w:basedOn w:val="Normal"/>
    <w:uiPriority w:val="8"/>
    <w:rsid w:val="00311274"/>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311274"/>
    <w:pPr>
      <w:ind w:left="782"/>
    </w:pPr>
  </w:style>
  <w:style w:type="paragraph" w:customStyle="1" w:styleId="IASBSectionTitle5NonInd">
    <w:name w:val="IASB Section Title 5 NonInd"/>
    <w:basedOn w:val="Normal"/>
    <w:uiPriority w:val="8"/>
    <w:rsid w:val="00311274"/>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311274"/>
    <w:pPr>
      <w:ind w:left="782"/>
    </w:pPr>
  </w:style>
  <w:style w:type="paragraph" w:customStyle="1" w:styleId="IASBSectionTitle6NonInd">
    <w:name w:val="IASB Section Title 6 NonInd"/>
    <w:basedOn w:val="IASBSectionTitle5NonInd"/>
    <w:uiPriority w:val="8"/>
    <w:rsid w:val="00311274"/>
    <w:pPr>
      <w:outlineLvl w:val="5"/>
    </w:pPr>
    <w:rPr>
      <w:b w:val="0"/>
      <w:i/>
    </w:rPr>
  </w:style>
  <w:style w:type="paragraph" w:customStyle="1" w:styleId="IASBSectionTitle6Ind">
    <w:name w:val="IASB Section Title 6 Ind"/>
    <w:basedOn w:val="IASBSectionTitle6NonInd"/>
    <w:uiPriority w:val="8"/>
    <w:rsid w:val="00311274"/>
    <w:pPr>
      <w:ind w:left="782"/>
    </w:pPr>
  </w:style>
  <w:style w:type="paragraph" w:customStyle="1" w:styleId="IASBTitle">
    <w:name w:val="IASB Title"/>
    <w:uiPriority w:val="8"/>
    <w:rsid w:val="00311274"/>
    <w:pPr>
      <w:keepNext/>
      <w:keepLines/>
      <w:spacing w:before="300" w:after="400"/>
    </w:pPr>
    <w:rPr>
      <w:rFonts w:cs="Arial"/>
      <w:sz w:val="36"/>
      <w:lang w:eastAsia="en-US"/>
    </w:rPr>
  </w:style>
  <w:style w:type="paragraph" w:customStyle="1" w:styleId="IASBNormalnparaL1">
    <w:name w:val="IASB Normal nparaL1"/>
    <w:basedOn w:val="IASBNormalnpara"/>
    <w:uiPriority w:val="8"/>
    <w:rsid w:val="00311274"/>
    <w:pPr>
      <w:ind w:left="1564"/>
    </w:pPr>
  </w:style>
  <w:style w:type="paragraph" w:customStyle="1" w:styleId="IASBNormalnparaP">
    <w:name w:val="IASB Normal nparaP"/>
    <w:basedOn w:val="IASBNormal"/>
    <w:uiPriority w:val="8"/>
    <w:rsid w:val="00311274"/>
    <w:pPr>
      <w:ind w:left="782"/>
    </w:pPr>
  </w:style>
  <w:style w:type="paragraph" w:customStyle="1" w:styleId="IASBIdentifier">
    <w:name w:val="IASB Identifier"/>
    <w:basedOn w:val="IASBTitle"/>
    <w:uiPriority w:val="8"/>
    <w:rsid w:val="00311274"/>
    <w:pPr>
      <w:spacing w:after="200"/>
    </w:pPr>
    <w:rPr>
      <w:rFonts w:ascii="Arial" w:hAnsi="Arial"/>
      <w:b/>
      <w:sz w:val="23"/>
    </w:rPr>
  </w:style>
  <w:style w:type="paragraph" w:customStyle="1" w:styleId="IASBTOCPrimary">
    <w:name w:val="IASB TOC Primary"/>
    <w:basedOn w:val="Normal"/>
    <w:uiPriority w:val="8"/>
    <w:rsid w:val="00311274"/>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311274"/>
    <w:pPr>
      <w:spacing w:before="30" w:after="30"/>
    </w:pPr>
    <w:rPr>
      <w:rFonts w:ascii="Arial" w:hAnsi="Arial" w:cs="Arial"/>
      <w:i/>
      <w:sz w:val="18"/>
      <w:szCs w:val="20"/>
    </w:rPr>
  </w:style>
  <w:style w:type="paragraph" w:customStyle="1" w:styleId="IASBTOCSecondary">
    <w:name w:val="IASB TOC Secondary"/>
    <w:basedOn w:val="Normal"/>
    <w:uiPriority w:val="8"/>
    <w:rsid w:val="00311274"/>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311274"/>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311274"/>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311274"/>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311274"/>
    <w:rPr>
      <w:i/>
    </w:rPr>
  </w:style>
  <w:style w:type="paragraph" w:customStyle="1" w:styleId="IASBBlockquote">
    <w:name w:val="IASB Blockquote"/>
    <w:basedOn w:val="IASBNormal"/>
    <w:uiPriority w:val="8"/>
    <w:rsid w:val="00311274"/>
    <w:pPr>
      <w:ind w:left="1565"/>
    </w:pPr>
    <w:rPr>
      <w:sz w:val="16"/>
    </w:rPr>
  </w:style>
  <w:style w:type="character" w:customStyle="1" w:styleId="IASBEduinsert">
    <w:name w:val="IASB Edu insert"/>
    <w:uiPriority w:val="8"/>
    <w:qFormat/>
    <w:rsid w:val="00311274"/>
  </w:style>
  <w:style w:type="character" w:styleId="FootnoteReference">
    <w:name w:val="footnote reference"/>
    <w:uiPriority w:val="99"/>
    <w:semiHidden/>
    <w:unhideWhenUsed/>
    <w:rsid w:val="00311274"/>
    <w:rPr>
      <w:vertAlign w:val="superscript"/>
    </w:rPr>
  </w:style>
  <w:style w:type="paragraph" w:styleId="FootnoteText">
    <w:name w:val="footnote text"/>
    <w:basedOn w:val="IASBSectionTitle2Ind"/>
    <w:next w:val="IASBBlockquote"/>
    <w:link w:val="FootnoteTextChar"/>
    <w:uiPriority w:val="99"/>
    <w:semiHidden/>
    <w:rsid w:val="00311274"/>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311274"/>
    <w:rPr>
      <w:sz w:val="16"/>
      <w:shd w:val="clear" w:color="auto" w:fill="99CCFF"/>
      <w:lang w:eastAsia="en-US"/>
    </w:rPr>
  </w:style>
  <w:style w:type="paragraph" w:customStyle="1" w:styleId="IASBNormalL1">
    <w:name w:val="IASB Normal L1"/>
    <w:basedOn w:val="IASBNormalnpara"/>
    <w:uiPriority w:val="8"/>
    <w:rsid w:val="00311274"/>
  </w:style>
  <w:style w:type="paragraph" w:styleId="Header">
    <w:name w:val="header"/>
    <w:basedOn w:val="Normal"/>
    <w:link w:val="HeaderChar"/>
    <w:uiPriority w:val="99"/>
    <w:rsid w:val="00311274"/>
    <w:pPr>
      <w:tabs>
        <w:tab w:val="center" w:pos="4536"/>
        <w:tab w:val="right" w:pos="9072"/>
      </w:tabs>
    </w:pPr>
    <w:rPr>
      <w:sz w:val="20"/>
    </w:rPr>
  </w:style>
  <w:style w:type="character" w:customStyle="1" w:styleId="HeaderChar">
    <w:name w:val="Header Char"/>
    <w:link w:val="Header"/>
    <w:uiPriority w:val="99"/>
    <w:rsid w:val="00311274"/>
    <w:rPr>
      <w:szCs w:val="24"/>
      <w:lang w:eastAsia="en-US"/>
    </w:rPr>
  </w:style>
  <w:style w:type="paragraph" w:styleId="Footer">
    <w:name w:val="footer"/>
    <w:basedOn w:val="Normal"/>
    <w:link w:val="FooterChar"/>
    <w:uiPriority w:val="99"/>
    <w:rsid w:val="00311274"/>
    <w:pPr>
      <w:tabs>
        <w:tab w:val="center" w:pos="4536"/>
        <w:tab w:val="right" w:pos="9072"/>
      </w:tabs>
    </w:pPr>
  </w:style>
  <w:style w:type="character" w:customStyle="1" w:styleId="FooterChar">
    <w:name w:val="Footer Char"/>
    <w:link w:val="Footer"/>
    <w:uiPriority w:val="99"/>
    <w:rsid w:val="00311274"/>
    <w:rPr>
      <w:sz w:val="19"/>
      <w:szCs w:val="24"/>
      <w:lang w:eastAsia="en-US"/>
    </w:rPr>
  </w:style>
  <w:style w:type="paragraph" w:customStyle="1" w:styleId="IASBRubricL1">
    <w:name w:val="IASB RubricL1"/>
    <w:basedOn w:val="IASBRubric"/>
    <w:uiPriority w:val="8"/>
    <w:rsid w:val="00311274"/>
    <w:pPr>
      <w:ind w:left="782" w:hanging="782"/>
      <w:jc w:val="left"/>
    </w:pPr>
    <w:rPr>
      <w:lang w:eastAsia="en-GB"/>
    </w:rPr>
  </w:style>
  <w:style w:type="paragraph" w:customStyle="1" w:styleId="IASBRubricL2">
    <w:name w:val="IASB RubricL2"/>
    <w:basedOn w:val="IASBRubricL1"/>
    <w:uiPriority w:val="8"/>
    <w:rsid w:val="00311274"/>
    <w:pPr>
      <w:tabs>
        <w:tab w:val="left" w:pos="782"/>
      </w:tabs>
      <w:ind w:left="1565" w:hanging="1565"/>
    </w:pPr>
  </w:style>
  <w:style w:type="paragraph" w:customStyle="1" w:styleId="IASBRubricL3">
    <w:name w:val="IASB RubricL3"/>
    <w:basedOn w:val="IASBRubricL2"/>
    <w:uiPriority w:val="8"/>
    <w:rsid w:val="00311274"/>
    <w:pPr>
      <w:tabs>
        <w:tab w:val="clear" w:pos="782"/>
        <w:tab w:val="left" w:pos="1565"/>
      </w:tabs>
      <w:ind w:left="2347" w:hanging="2347"/>
    </w:pPr>
  </w:style>
  <w:style w:type="paragraph" w:customStyle="1" w:styleId="IASBNormalnparaL2">
    <w:name w:val="IASB Normal nparaL2"/>
    <w:basedOn w:val="IASBNormalnparaL1"/>
    <w:uiPriority w:val="8"/>
    <w:rsid w:val="00311274"/>
    <w:pPr>
      <w:ind w:left="2347"/>
    </w:pPr>
  </w:style>
  <w:style w:type="paragraph" w:customStyle="1" w:styleId="IASBNormalnparaL3">
    <w:name w:val="IASB Normal nparaL3"/>
    <w:basedOn w:val="IASBNormalnparaL2"/>
    <w:uiPriority w:val="8"/>
    <w:rsid w:val="00311274"/>
    <w:pPr>
      <w:ind w:left="3129"/>
    </w:pPr>
  </w:style>
  <w:style w:type="paragraph" w:customStyle="1" w:styleId="IASBNormalnparaL4">
    <w:name w:val="IASB Normal nparaL4"/>
    <w:basedOn w:val="IASBNormalnparaL3"/>
    <w:uiPriority w:val="8"/>
    <w:rsid w:val="00311274"/>
    <w:pPr>
      <w:ind w:left="3912"/>
    </w:pPr>
  </w:style>
  <w:style w:type="paragraph" w:customStyle="1" w:styleId="IASBNormalnparaL5">
    <w:name w:val="IASB Normal nparaL5"/>
    <w:basedOn w:val="IASBNormalnparaL4"/>
    <w:uiPriority w:val="8"/>
    <w:rsid w:val="00311274"/>
    <w:pPr>
      <w:ind w:left="4694"/>
    </w:pPr>
  </w:style>
  <w:style w:type="paragraph" w:customStyle="1" w:styleId="IASBNormalnparaL1P">
    <w:name w:val="IASB Normal nparaL1P"/>
    <w:basedOn w:val="IASBNormalnparaL2"/>
    <w:uiPriority w:val="8"/>
    <w:rsid w:val="00311274"/>
    <w:pPr>
      <w:ind w:left="1565" w:firstLine="0"/>
    </w:pPr>
  </w:style>
  <w:style w:type="paragraph" w:customStyle="1" w:styleId="IASBNormalnparaL2P">
    <w:name w:val="IASB Normal nparaL2P"/>
    <w:basedOn w:val="IASBNormalnparaL1P"/>
    <w:uiPriority w:val="8"/>
    <w:rsid w:val="00311274"/>
    <w:pPr>
      <w:ind w:left="2347"/>
    </w:pPr>
  </w:style>
  <w:style w:type="paragraph" w:customStyle="1" w:styleId="IASBNormalnparaL3P">
    <w:name w:val="IASB Normal nparaL3P"/>
    <w:basedOn w:val="IASBNormalnparaL2P"/>
    <w:uiPriority w:val="8"/>
    <w:rsid w:val="00311274"/>
    <w:pPr>
      <w:ind w:left="3130"/>
    </w:pPr>
  </w:style>
  <w:style w:type="paragraph" w:customStyle="1" w:styleId="IASBNormalnparaL4P">
    <w:name w:val="IASB Normal nparaL4P"/>
    <w:basedOn w:val="IASBNormalnparaL3P"/>
    <w:uiPriority w:val="8"/>
    <w:rsid w:val="00311274"/>
    <w:pPr>
      <w:ind w:left="3912"/>
    </w:pPr>
  </w:style>
  <w:style w:type="paragraph" w:customStyle="1" w:styleId="IASBNormalnparaL5P">
    <w:name w:val="IASB Normal nparaL5P"/>
    <w:basedOn w:val="IASBNormalnparaL4P"/>
    <w:uiPriority w:val="8"/>
    <w:rsid w:val="00311274"/>
    <w:pPr>
      <w:ind w:left="4751"/>
    </w:pPr>
  </w:style>
  <w:style w:type="paragraph" w:customStyle="1" w:styleId="IASBBlockquoteL1">
    <w:name w:val="IASB BlockquoteL1"/>
    <w:basedOn w:val="IASBBlockquote"/>
    <w:uiPriority w:val="8"/>
    <w:rsid w:val="00311274"/>
    <w:pPr>
      <w:ind w:left="2347" w:hanging="782"/>
    </w:pPr>
  </w:style>
  <w:style w:type="paragraph" w:customStyle="1" w:styleId="IASBBlockquoteL2">
    <w:name w:val="IASB BlockquoteL2"/>
    <w:basedOn w:val="IASBBlockquoteL1"/>
    <w:uiPriority w:val="8"/>
    <w:rsid w:val="00311274"/>
    <w:pPr>
      <w:ind w:left="3129"/>
    </w:pPr>
  </w:style>
  <w:style w:type="paragraph" w:customStyle="1" w:styleId="IASBNormalL2">
    <w:name w:val="IASB Normal L2"/>
    <w:basedOn w:val="IASBNormalL1"/>
    <w:uiPriority w:val="8"/>
    <w:rsid w:val="00311274"/>
    <w:pPr>
      <w:ind w:left="1564"/>
    </w:pPr>
  </w:style>
  <w:style w:type="paragraph" w:customStyle="1" w:styleId="IASBTOCQuartery">
    <w:name w:val="IASB TOC Quartery"/>
    <w:basedOn w:val="IASBTOCTertiary"/>
    <w:uiPriority w:val="8"/>
    <w:rsid w:val="00311274"/>
    <w:pPr>
      <w:ind w:left="851"/>
    </w:pPr>
  </w:style>
  <w:style w:type="paragraph" w:customStyle="1" w:styleId="IASBNoteTitle">
    <w:name w:val="IASB Note Title"/>
    <w:basedOn w:val="IASBTOCPrimary"/>
    <w:uiPriority w:val="8"/>
    <w:rsid w:val="00311274"/>
    <w:pPr>
      <w:jc w:val="center"/>
    </w:pPr>
    <w:rPr>
      <w:b w:val="0"/>
      <w:caps w:val="0"/>
      <w:sz w:val="24"/>
    </w:rPr>
  </w:style>
  <w:style w:type="paragraph" w:customStyle="1" w:styleId="IASBNormalL1P">
    <w:name w:val="IASB Normal L1P"/>
    <w:basedOn w:val="IASBNormalL1"/>
    <w:uiPriority w:val="8"/>
    <w:qFormat/>
    <w:rsid w:val="00311274"/>
    <w:pPr>
      <w:ind w:firstLine="0"/>
    </w:pPr>
  </w:style>
  <w:style w:type="paragraph" w:customStyle="1" w:styleId="IASBNormalL2P">
    <w:name w:val="IASB Normal L2P"/>
    <w:basedOn w:val="IASBNormalL1P"/>
    <w:uiPriority w:val="8"/>
    <w:qFormat/>
    <w:rsid w:val="00311274"/>
    <w:pPr>
      <w:ind w:left="1565"/>
    </w:pPr>
  </w:style>
  <w:style w:type="paragraph" w:customStyle="1" w:styleId="IASBNormalnparaC">
    <w:name w:val="IASB Normal nparaC"/>
    <w:basedOn w:val="IASBNormalnpara"/>
    <w:uiPriority w:val="8"/>
    <w:qFormat/>
    <w:rsid w:val="00311274"/>
    <w:pPr>
      <w:spacing w:before="0"/>
    </w:pPr>
  </w:style>
  <w:style w:type="paragraph" w:customStyle="1" w:styleId="IASBEdupara">
    <w:name w:val="IASB Edu para"/>
    <w:basedOn w:val="IASBNormal"/>
    <w:uiPriority w:val="8"/>
    <w:qFormat/>
    <w:rsid w:val="00311274"/>
  </w:style>
  <w:style w:type="paragraph" w:customStyle="1" w:styleId="IASBTableBoldTNR">
    <w:name w:val="IASB Table Bold TNR"/>
    <w:basedOn w:val="Normal"/>
    <w:uiPriority w:val="8"/>
    <w:qFormat/>
    <w:rsid w:val="00311274"/>
    <w:pPr>
      <w:spacing w:before="120"/>
    </w:pPr>
    <w:rPr>
      <w:b/>
      <w:szCs w:val="20"/>
      <w:lang w:eastAsia="en-GB"/>
    </w:rPr>
  </w:style>
  <w:style w:type="paragraph" w:customStyle="1" w:styleId="IASBTableHeaderTNR">
    <w:name w:val="IASB Table Header TNR"/>
    <w:basedOn w:val="Normal"/>
    <w:uiPriority w:val="8"/>
    <w:qFormat/>
    <w:rsid w:val="00311274"/>
    <w:pPr>
      <w:keepNext/>
      <w:spacing w:before="120" w:after="200" w:line="276" w:lineRule="auto"/>
    </w:pPr>
    <w:rPr>
      <w:szCs w:val="20"/>
      <w:lang w:eastAsia="en-GB"/>
    </w:rPr>
  </w:style>
  <w:style w:type="paragraph" w:customStyle="1" w:styleId="IASBTableTNR">
    <w:name w:val="IASB Table TNR"/>
    <w:basedOn w:val="Normal"/>
    <w:uiPriority w:val="8"/>
    <w:qFormat/>
    <w:rsid w:val="00311274"/>
    <w:pPr>
      <w:spacing w:before="120"/>
    </w:pPr>
    <w:rPr>
      <w:szCs w:val="20"/>
      <w:lang w:eastAsia="en-GB"/>
    </w:rPr>
  </w:style>
  <w:style w:type="paragraph" w:customStyle="1" w:styleId="IASBTableArial">
    <w:name w:val="IASB Table Arial"/>
    <w:basedOn w:val="Normal"/>
    <w:uiPriority w:val="8"/>
    <w:rsid w:val="00311274"/>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311274"/>
    <w:rPr>
      <w:b/>
    </w:rPr>
  </w:style>
  <w:style w:type="paragraph" w:customStyle="1" w:styleId="IASBTableHeaderArial">
    <w:name w:val="IASB Table Header Arial"/>
    <w:basedOn w:val="IASBTableArial"/>
    <w:uiPriority w:val="8"/>
    <w:qFormat/>
    <w:rsid w:val="00311274"/>
    <w:pPr>
      <w:keepNext/>
      <w:spacing w:after="200" w:line="276" w:lineRule="auto"/>
    </w:pPr>
  </w:style>
  <w:style w:type="character" w:styleId="EndnoteReference">
    <w:name w:val="endnote reference"/>
    <w:uiPriority w:val="99"/>
    <w:semiHidden/>
    <w:unhideWhenUsed/>
    <w:rsid w:val="00311274"/>
    <w:rPr>
      <w:vertAlign w:val="superscript"/>
    </w:rPr>
  </w:style>
  <w:style w:type="paragraph" w:customStyle="1" w:styleId="ConvSectionTitle">
    <w:name w:val="Conv Section Title"/>
    <w:basedOn w:val="IASBSectionTitle1NonInd"/>
    <w:uiPriority w:val="9"/>
    <w:qFormat/>
    <w:rsid w:val="00311274"/>
    <w:pPr>
      <w:pBdr>
        <w:bottom w:val="none" w:sz="0" w:space="0" w:color="auto"/>
      </w:pBdr>
    </w:pPr>
  </w:style>
  <w:style w:type="paragraph" w:customStyle="1" w:styleId="ConvStandardTitle1">
    <w:name w:val="Conv Standard Title 1"/>
    <w:basedOn w:val="Normal"/>
    <w:next w:val="ConvStandardTitle2"/>
    <w:uiPriority w:val="9"/>
    <w:qFormat/>
    <w:rsid w:val="00311274"/>
    <w:pPr>
      <w:spacing w:before="300"/>
    </w:pPr>
    <w:rPr>
      <w:rFonts w:ascii="Arial" w:hAnsi="Arial"/>
      <w:b/>
      <w:sz w:val="26"/>
    </w:rPr>
  </w:style>
  <w:style w:type="paragraph" w:customStyle="1" w:styleId="ConvStandardTitle2">
    <w:name w:val="Conv Standard Title2"/>
    <w:basedOn w:val="ConvStandardTitle1"/>
    <w:uiPriority w:val="9"/>
    <w:qFormat/>
    <w:rsid w:val="00311274"/>
    <w:pPr>
      <w:spacing w:before="0" w:after="200"/>
    </w:pPr>
    <w:rPr>
      <w:i/>
    </w:rPr>
  </w:style>
  <w:style w:type="paragraph" w:customStyle="1" w:styleId="AASBBase">
    <w:name w:val="AASB Base"/>
    <w:qFormat/>
    <w:rsid w:val="00311274"/>
    <w:pPr>
      <w:jc w:val="both"/>
    </w:pPr>
    <w:rPr>
      <w:sz w:val="19"/>
      <w:lang w:eastAsia="en-US"/>
    </w:rPr>
  </w:style>
  <w:style w:type="paragraph" w:customStyle="1" w:styleId="AASBPara">
    <w:name w:val="AASB Para"/>
    <w:basedOn w:val="AASBBase"/>
    <w:qFormat/>
    <w:rsid w:val="00311274"/>
    <w:pPr>
      <w:spacing w:after="200"/>
    </w:pPr>
  </w:style>
  <w:style w:type="paragraph" w:customStyle="1" w:styleId="AASBStandardCover">
    <w:name w:val="AASB Standard Cover"/>
    <w:semiHidden/>
    <w:qFormat/>
    <w:rsid w:val="00311274"/>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311274"/>
    <w:pPr>
      <w:jc w:val="right"/>
    </w:pPr>
    <w:rPr>
      <w:b w:val="0"/>
      <w:sz w:val="24"/>
    </w:rPr>
  </w:style>
  <w:style w:type="paragraph" w:customStyle="1" w:styleId="AASBStandardNumber">
    <w:name w:val="AASB Standard Number"/>
    <w:basedOn w:val="AASBStandardCover"/>
    <w:semiHidden/>
    <w:qFormat/>
    <w:rsid w:val="00311274"/>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311274"/>
    <w:pPr>
      <w:spacing w:before="800"/>
    </w:pPr>
    <w:rPr>
      <w:b w:val="0"/>
      <w:sz w:val="50"/>
    </w:rPr>
  </w:style>
  <w:style w:type="paragraph" w:customStyle="1" w:styleId="AASBInterpretationCover">
    <w:name w:val="AASB Interpretation Cover"/>
    <w:basedOn w:val="AASBStandardCover"/>
    <w:semiHidden/>
    <w:qFormat/>
    <w:rsid w:val="00311274"/>
    <w:rPr>
      <w:color w:val="41AD49"/>
    </w:rPr>
  </w:style>
  <w:style w:type="paragraph" w:customStyle="1" w:styleId="AASBInterpretationDate">
    <w:name w:val="AASB Interpretation Date"/>
    <w:basedOn w:val="AASBStandardDate"/>
    <w:semiHidden/>
    <w:qFormat/>
    <w:rsid w:val="00311274"/>
    <w:rPr>
      <w:color w:val="41AD49"/>
    </w:rPr>
  </w:style>
  <w:style w:type="paragraph" w:customStyle="1" w:styleId="AASBInterpretationNumber">
    <w:name w:val="AASB Interpretation Number"/>
    <w:basedOn w:val="AASBStandardNumber"/>
    <w:semiHidden/>
    <w:qFormat/>
    <w:rsid w:val="00311274"/>
    <w:rPr>
      <w:color w:val="41AD49"/>
    </w:rPr>
  </w:style>
  <w:style w:type="paragraph" w:customStyle="1" w:styleId="AASBInterpretationTitle">
    <w:name w:val="AASB Interpretation Title"/>
    <w:basedOn w:val="AASBStandardTitle"/>
    <w:semiHidden/>
    <w:qFormat/>
    <w:rsid w:val="00311274"/>
    <w:rPr>
      <w:color w:val="41AD49"/>
    </w:rPr>
  </w:style>
  <w:style w:type="table" w:styleId="TableGrid">
    <w:name w:val="Table Grid"/>
    <w:basedOn w:val="TableNormal"/>
    <w:uiPriority w:val="59"/>
    <w:rsid w:val="00311274"/>
    <w:tblPr/>
  </w:style>
  <w:style w:type="paragraph" w:customStyle="1" w:styleId="ContentsHeading">
    <w:name w:val="Contents Heading"/>
    <w:basedOn w:val="AASBBase"/>
    <w:next w:val="ContentsLevel1"/>
    <w:qFormat/>
    <w:rsid w:val="00311274"/>
    <w:pPr>
      <w:spacing w:after="60"/>
      <w:jc w:val="right"/>
    </w:pPr>
    <w:rPr>
      <w:i/>
    </w:rPr>
  </w:style>
  <w:style w:type="paragraph" w:customStyle="1" w:styleId="ContentsLevel1">
    <w:name w:val="Contents Level1"/>
    <w:basedOn w:val="AASBBase"/>
    <w:qFormat/>
    <w:rsid w:val="00311274"/>
    <w:pPr>
      <w:tabs>
        <w:tab w:val="right" w:pos="9027"/>
      </w:tabs>
      <w:spacing w:after="60"/>
      <w:ind w:right="1134"/>
    </w:pPr>
    <w:rPr>
      <w:b/>
      <w:caps/>
    </w:rPr>
  </w:style>
  <w:style w:type="paragraph" w:customStyle="1" w:styleId="ContentsLevel2">
    <w:name w:val="Contents Level2"/>
    <w:basedOn w:val="ContentsLevel1"/>
    <w:uiPriority w:val="7"/>
    <w:qFormat/>
    <w:rsid w:val="00311274"/>
    <w:rPr>
      <w:caps w:val="0"/>
    </w:rPr>
  </w:style>
  <w:style w:type="paragraph" w:customStyle="1" w:styleId="ContentsLevel3">
    <w:name w:val="Contents Level3"/>
    <w:basedOn w:val="ContentsLevel2"/>
    <w:uiPriority w:val="7"/>
    <w:qFormat/>
    <w:rsid w:val="00311274"/>
    <w:pPr>
      <w:ind w:left="510"/>
    </w:pPr>
    <w:rPr>
      <w:b w:val="0"/>
    </w:rPr>
  </w:style>
  <w:style w:type="paragraph" w:customStyle="1" w:styleId="ContentsLevel4">
    <w:name w:val="Contents Level4"/>
    <w:basedOn w:val="ContentsLevel3"/>
    <w:uiPriority w:val="7"/>
    <w:qFormat/>
    <w:rsid w:val="00311274"/>
    <w:pPr>
      <w:ind w:left="850"/>
    </w:pPr>
  </w:style>
  <w:style w:type="paragraph" w:styleId="BalloonText">
    <w:name w:val="Balloon Text"/>
    <w:basedOn w:val="Normal"/>
    <w:link w:val="BalloonTextChar"/>
    <w:uiPriority w:val="99"/>
    <w:semiHidden/>
    <w:unhideWhenUsed/>
    <w:rsid w:val="00311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4"/>
    <w:rPr>
      <w:rFonts w:ascii="Segoe UI" w:hAnsi="Segoe UI" w:cs="Segoe UI"/>
      <w:sz w:val="18"/>
      <w:szCs w:val="18"/>
      <w:lang w:eastAsia="en-US"/>
    </w:rPr>
  </w:style>
  <w:style w:type="paragraph" w:customStyle="1" w:styleId="RDRM1">
    <w:name w:val="RDRM1"/>
    <w:basedOn w:val="IASBNormalnpara"/>
    <w:uiPriority w:val="5"/>
    <w:qFormat/>
    <w:rsid w:val="00311274"/>
    <w:pPr>
      <w:shd w:val="pct15" w:color="auto" w:fill="auto"/>
    </w:pPr>
  </w:style>
  <w:style w:type="paragraph" w:customStyle="1" w:styleId="RDRM2">
    <w:name w:val="RDRM2"/>
    <w:basedOn w:val="RDRM1"/>
    <w:uiPriority w:val="5"/>
    <w:qFormat/>
    <w:rsid w:val="00311274"/>
    <w:pPr>
      <w:tabs>
        <w:tab w:val="left" w:pos="782"/>
      </w:tabs>
      <w:ind w:left="1565" w:hanging="1565"/>
    </w:pPr>
  </w:style>
  <w:style w:type="paragraph" w:customStyle="1" w:styleId="RDRM3">
    <w:name w:val="RDRM3"/>
    <w:basedOn w:val="RDRM2"/>
    <w:uiPriority w:val="5"/>
    <w:qFormat/>
    <w:rsid w:val="00311274"/>
    <w:pPr>
      <w:tabs>
        <w:tab w:val="clear" w:pos="782"/>
        <w:tab w:val="left" w:pos="1565"/>
      </w:tabs>
      <w:ind w:left="2347" w:hanging="2347"/>
    </w:pPr>
  </w:style>
  <w:style w:type="paragraph" w:customStyle="1" w:styleId="RDRM4">
    <w:name w:val="RDRM4"/>
    <w:basedOn w:val="RDRM3"/>
    <w:uiPriority w:val="5"/>
    <w:qFormat/>
    <w:rsid w:val="00311274"/>
    <w:pPr>
      <w:tabs>
        <w:tab w:val="clear" w:pos="1565"/>
        <w:tab w:val="left" w:pos="2347"/>
      </w:tabs>
      <w:ind w:left="3130" w:hanging="3130"/>
    </w:pPr>
  </w:style>
  <w:style w:type="paragraph" w:customStyle="1" w:styleId="AusPlain">
    <w:name w:val="Aus Plain"/>
    <w:basedOn w:val="IASBNormalnpara"/>
    <w:uiPriority w:val="1"/>
    <w:qFormat/>
    <w:rsid w:val="00311274"/>
    <w:pPr>
      <w:ind w:left="1565" w:hanging="1565"/>
    </w:pPr>
  </w:style>
  <w:style w:type="paragraph" w:customStyle="1" w:styleId="AusBold">
    <w:name w:val="Aus Bold"/>
    <w:basedOn w:val="AusPlain"/>
    <w:uiPriority w:val="2"/>
    <w:qFormat/>
    <w:rsid w:val="00311274"/>
    <w:rPr>
      <w:b/>
    </w:rPr>
  </w:style>
  <w:style w:type="paragraph" w:customStyle="1" w:styleId="AusPlainRDR">
    <w:name w:val="Aus Plain RDR"/>
    <w:basedOn w:val="AusPlain"/>
    <w:uiPriority w:val="3"/>
    <w:qFormat/>
    <w:rsid w:val="00311274"/>
    <w:pPr>
      <w:shd w:val="pct15" w:color="auto" w:fill="auto"/>
    </w:pPr>
  </w:style>
  <w:style w:type="paragraph" w:customStyle="1" w:styleId="AusBoldRDR">
    <w:name w:val="Aus Bold RDR"/>
    <w:basedOn w:val="AusBold"/>
    <w:uiPriority w:val="4"/>
    <w:qFormat/>
    <w:rsid w:val="00311274"/>
    <w:pPr>
      <w:shd w:val="pct15" w:color="auto" w:fill="auto"/>
    </w:pPr>
  </w:style>
  <w:style w:type="paragraph" w:customStyle="1" w:styleId="RDR11">
    <w:name w:val="RDR11"/>
    <w:basedOn w:val="IASBNormalnparaL1"/>
    <w:uiPriority w:val="6"/>
    <w:qFormat/>
    <w:rsid w:val="00311274"/>
    <w:pPr>
      <w:shd w:val="pct15" w:color="auto" w:fill="auto"/>
    </w:pPr>
  </w:style>
  <w:style w:type="paragraph" w:customStyle="1" w:styleId="RDR12">
    <w:name w:val="RDR12"/>
    <w:basedOn w:val="RDR11"/>
    <w:uiPriority w:val="6"/>
    <w:qFormat/>
    <w:rsid w:val="00311274"/>
    <w:pPr>
      <w:tabs>
        <w:tab w:val="left" w:pos="1565"/>
      </w:tabs>
      <w:ind w:left="2347" w:hanging="1565"/>
    </w:pPr>
  </w:style>
  <w:style w:type="paragraph" w:customStyle="1" w:styleId="RDR13">
    <w:name w:val="RDR13"/>
    <w:basedOn w:val="RDR12"/>
    <w:uiPriority w:val="6"/>
    <w:qFormat/>
    <w:rsid w:val="00311274"/>
    <w:pPr>
      <w:tabs>
        <w:tab w:val="clear" w:pos="1565"/>
        <w:tab w:val="left" w:pos="2347"/>
      </w:tabs>
      <w:ind w:left="3129" w:hanging="2347"/>
    </w:pPr>
  </w:style>
  <w:style w:type="paragraph" w:customStyle="1" w:styleId="RDR21">
    <w:name w:val="RDR21"/>
    <w:basedOn w:val="IASBNormalnparaL2"/>
    <w:uiPriority w:val="6"/>
    <w:qFormat/>
    <w:rsid w:val="00311274"/>
    <w:pPr>
      <w:shd w:val="pct15" w:color="auto" w:fill="auto"/>
    </w:pPr>
  </w:style>
  <w:style w:type="paragraph" w:customStyle="1" w:styleId="RDR22">
    <w:name w:val="RDR22"/>
    <w:basedOn w:val="RDR21"/>
    <w:uiPriority w:val="6"/>
    <w:qFormat/>
    <w:rsid w:val="00311274"/>
    <w:pPr>
      <w:tabs>
        <w:tab w:val="left" w:pos="2347"/>
      </w:tabs>
      <w:ind w:left="3130" w:hanging="1565"/>
    </w:pPr>
  </w:style>
  <w:style w:type="table" w:styleId="TableGrid1">
    <w:name w:val="Table Grid 1"/>
    <w:basedOn w:val="TableNormal"/>
    <w:uiPriority w:val="99"/>
    <w:semiHidden/>
    <w:unhideWhenUsed/>
    <w:rsid w:val="00311274"/>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A7D47"/>
    <w:rPr>
      <w:sz w:val="16"/>
      <w:szCs w:val="16"/>
    </w:rPr>
  </w:style>
  <w:style w:type="paragraph" w:styleId="CommentText">
    <w:name w:val="annotation text"/>
    <w:basedOn w:val="Normal"/>
    <w:link w:val="CommentTextChar"/>
    <w:uiPriority w:val="99"/>
    <w:semiHidden/>
    <w:unhideWhenUsed/>
    <w:rsid w:val="00FA7D47"/>
    <w:rPr>
      <w:sz w:val="20"/>
      <w:szCs w:val="20"/>
    </w:rPr>
  </w:style>
  <w:style w:type="character" w:customStyle="1" w:styleId="CommentTextChar">
    <w:name w:val="Comment Text Char"/>
    <w:basedOn w:val="DefaultParagraphFont"/>
    <w:link w:val="CommentText"/>
    <w:uiPriority w:val="99"/>
    <w:semiHidden/>
    <w:rsid w:val="00FA7D47"/>
    <w:rPr>
      <w:lang w:eastAsia="en-US"/>
    </w:rPr>
  </w:style>
  <w:style w:type="paragraph" w:styleId="CommentSubject">
    <w:name w:val="annotation subject"/>
    <w:basedOn w:val="CommentText"/>
    <w:next w:val="CommentText"/>
    <w:link w:val="CommentSubjectChar"/>
    <w:uiPriority w:val="99"/>
    <w:semiHidden/>
    <w:unhideWhenUsed/>
    <w:rsid w:val="00FA7D47"/>
    <w:rPr>
      <w:b/>
      <w:bCs/>
    </w:rPr>
  </w:style>
  <w:style w:type="character" w:customStyle="1" w:styleId="CommentSubjectChar">
    <w:name w:val="Comment Subject Char"/>
    <w:basedOn w:val="CommentTextChar"/>
    <w:link w:val="CommentSubject"/>
    <w:uiPriority w:val="99"/>
    <w:semiHidden/>
    <w:rsid w:val="00FA7D47"/>
    <w:rPr>
      <w:b/>
      <w:bCs/>
      <w:lang w:eastAsia="en-US"/>
    </w:rPr>
  </w:style>
  <w:style w:type="paragraph" w:customStyle="1" w:styleId="NumPlain1">
    <w:name w:val="Num Plain1"/>
    <w:basedOn w:val="Normal"/>
    <w:link w:val="NumPlain1Char"/>
    <w:rsid w:val="002B7F49"/>
    <w:pPr>
      <w:spacing w:after="200" w:line="200" w:lineRule="exact"/>
      <w:ind w:left="510" w:hanging="510"/>
    </w:pPr>
    <w:rPr>
      <w:sz w:val="20"/>
      <w:szCs w:val="20"/>
      <w:lang w:eastAsia="x-none"/>
    </w:rPr>
  </w:style>
  <w:style w:type="character" w:customStyle="1" w:styleId="NumPlain1Char">
    <w:name w:val="Num Plain1 Char"/>
    <w:link w:val="NumPlain1"/>
    <w:rsid w:val="002B7F49"/>
    <w:rPr>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311274"/>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311274"/>
    <w:pPr>
      <w:tabs>
        <w:tab w:val="left" w:pos="4253"/>
      </w:tabs>
      <w:spacing w:before="100" w:after="100"/>
      <w:jc w:val="both"/>
    </w:pPr>
    <w:rPr>
      <w:sz w:val="19"/>
      <w:lang w:eastAsia="en-US"/>
    </w:rPr>
  </w:style>
  <w:style w:type="paragraph" w:customStyle="1" w:styleId="IASBNormalnpara">
    <w:name w:val="IASB Normal npara"/>
    <w:basedOn w:val="IASBNormal"/>
    <w:uiPriority w:val="8"/>
    <w:rsid w:val="00311274"/>
    <w:pPr>
      <w:tabs>
        <w:tab w:val="clear" w:pos="4253"/>
      </w:tabs>
      <w:spacing w:after="0"/>
      <w:ind w:left="782" w:hanging="782"/>
    </w:pPr>
  </w:style>
  <w:style w:type="paragraph" w:customStyle="1" w:styleId="IASBSectionTitle1Ind">
    <w:name w:val="IASB Section Title 1 Ind"/>
    <w:basedOn w:val="Normal"/>
    <w:uiPriority w:val="8"/>
    <w:rsid w:val="00311274"/>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311274"/>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311274"/>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311274"/>
    <w:pPr>
      <w:spacing w:before="240"/>
      <w:ind w:left="782"/>
    </w:pPr>
  </w:style>
  <w:style w:type="paragraph" w:customStyle="1" w:styleId="IASBSectionTitle3NonInd">
    <w:name w:val="IASB Section Title 3 NonInd"/>
    <w:basedOn w:val="Normal"/>
    <w:uiPriority w:val="8"/>
    <w:rsid w:val="00311274"/>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311274"/>
    <w:pPr>
      <w:spacing w:before="240"/>
      <w:ind w:left="782"/>
    </w:pPr>
  </w:style>
  <w:style w:type="paragraph" w:customStyle="1" w:styleId="IASBSectionTitle4NonInd">
    <w:name w:val="IASB Section Title 4 NonInd"/>
    <w:basedOn w:val="Normal"/>
    <w:uiPriority w:val="8"/>
    <w:rsid w:val="00311274"/>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311274"/>
    <w:pPr>
      <w:ind w:left="782"/>
    </w:pPr>
  </w:style>
  <w:style w:type="paragraph" w:customStyle="1" w:styleId="IASBSectionTitle5NonInd">
    <w:name w:val="IASB Section Title 5 NonInd"/>
    <w:basedOn w:val="Normal"/>
    <w:uiPriority w:val="8"/>
    <w:rsid w:val="00311274"/>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311274"/>
    <w:pPr>
      <w:ind w:left="782"/>
    </w:pPr>
  </w:style>
  <w:style w:type="paragraph" w:customStyle="1" w:styleId="IASBSectionTitle6NonInd">
    <w:name w:val="IASB Section Title 6 NonInd"/>
    <w:basedOn w:val="IASBSectionTitle5NonInd"/>
    <w:uiPriority w:val="8"/>
    <w:rsid w:val="00311274"/>
    <w:pPr>
      <w:outlineLvl w:val="5"/>
    </w:pPr>
    <w:rPr>
      <w:b w:val="0"/>
      <w:i/>
    </w:rPr>
  </w:style>
  <w:style w:type="paragraph" w:customStyle="1" w:styleId="IASBSectionTitle6Ind">
    <w:name w:val="IASB Section Title 6 Ind"/>
    <w:basedOn w:val="IASBSectionTitle6NonInd"/>
    <w:uiPriority w:val="8"/>
    <w:rsid w:val="00311274"/>
    <w:pPr>
      <w:ind w:left="782"/>
    </w:pPr>
  </w:style>
  <w:style w:type="paragraph" w:customStyle="1" w:styleId="IASBTitle">
    <w:name w:val="IASB Title"/>
    <w:uiPriority w:val="8"/>
    <w:rsid w:val="00311274"/>
    <w:pPr>
      <w:keepNext/>
      <w:keepLines/>
      <w:spacing w:before="300" w:after="400"/>
    </w:pPr>
    <w:rPr>
      <w:rFonts w:cs="Arial"/>
      <w:sz w:val="36"/>
      <w:lang w:eastAsia="en-US"/>
    </w:rPr>
  </w:style>
  <w:style w:type="paragraph" w:customStyle="1" w:styleId="IASBNormalnparaL1">
    <w:name w:val="IASB Normal nparaL1"/>
    <w:basedOn w:val="IASBNormalnpara"/>
    <w:uiPriority w:val="8"/>
    <w:rsid w:val="00311274"/>
    <w:pPr>
      <w:ind w:left="1564"/>
    </w:pPr>
  </w:style>
  <w:style w:type="paragraph" w:customStyle="1" w:styleId="IASBNormalnparaP">
    <w:name w:val="IASB Normal nparaP"/>
    <w:basedOn w:val="IASBNormal"/>
    <w:uiPriority w:val="8"/>
    <w:rsid w:val="00311274"/>
    <w:pPr>
      <w:ind w:left="782"/>
    </w:pPr>
  </w:style>
  <w:style w:type="paragraph" w:customStyle="1" w:styleId="IASBIdentifier">
    <w:name w:val="IASB Identifier"/>
    <w:basedOn w:val="IASBTitle"/>
    <w:uiPriority w:val="8"/>
    <w:rsid w:val="00311274"/>
    <w:pPr>
      <w:spacing w:after="200"/>
    </w:pPr>
    <w:rPr>
      <w:rFonts w:ascii="Arial" w:hAnsi="Arial"/>
      <w:b/>
      <w:sz w:val="23"/>
    </w:rPr>
  </w:style>
  <w:style w:type="paragraph" w:customStyle="1" w:styleId="IASBTOCPrimary">
    <w:name w:val="IASB TOC Primary"/>
    <w:basedOn w:val="Normal"/>
    <w:uiPriority w:val="8"/>
    <w:rsid w:val="00311274"/>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311274"/>
    <w:pPr>
      <w:spacing w:before="30" w:after="30"/>
    </w:pPr>
    <w:rPr>
      <w:rFonts w:ascii="Arial" w:hAnsi="Arial" w:cs="Arial"/>
      <w:i/>
      <w:sz w:val="18"/>
      <w:szCs w:val="20"/>
    </w:rPr>
  </w:style>
  <w:style w:type="paragraph" w:customStyle="1" w:styleId="IASBTOCSecondary">
    <w:name w:val="IASB TOC Secondary"/>
    <w:basedOn w:val="Normal"/>
    <w:uiPriority w:val="8"/>
    <w:rsid w:val="00311274"/>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311274"/>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311274"/>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311274"/>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311274"/>
    <w:rPr>
      <w:i/>
    </w:rPr>
  </w:style>
  <w:style w:type="paragraph" w:customStyle="1" w:styleId="IASBBlockquote">
    <w:name w:val="IASB Blockquote"/>
    <w:basedOn w:val="IASBNormal"/>
    <w:uiPriority w:val="8"/>
    <w:rsid w:val="00311274"/>
    <w:pPr>
      <w:ind w:left="1565"/>
    </w:pPr>
    <w:rPr>
      <w:sz w:val="16"/>
    </w:rPr>
  </w:style>
  <w:style w:type="character" w:customStyle="1" w:styleId="IASBEduinsert">
    <w:name w:val="IASB Edu insert"/>
    <w:uiPriority w:val="8"/>
    <w:qFormat/>
    <w:rsid w:val="00311274"/>
  </w:style>
  <w:style w:type="character" w:styleId="FootnoteReference">
    <w:name w:val="footnote reference"/>
    <w:uiPriority w:val="99"/>
    <w:semiHidden/>
    <w:unhideWhenUsed/>
    <w:rsid w:val="00311274"/>
    <w:rPr>
      <w:vertAlign w:val="superscript"/>
    </w:rPr>
  </w:style>
  <w:style w:type="paragraph" w:styleId="FootnoteText">
    <w:name w:val="footnote text"/>
    <w:basedOn w:val="IASBSectionTitle2Ind"/>
    <w:next w:val="IASBBlockquote"/>
    <w:link w:val="FootnoteTextChar"/>
    <w:uiPriority w:val="99"/>
    <w:semiHidden/>
    <w:rsid w:val="00311274"/>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311274"/>
    <w:rPr>
      <w:sz w:val="16"/>
      <w:shd w:val="clear" w:color="auto" w:fill="99CCFF"/>
      <w:lang w:eastAsia="en-US"/>
    </w:rPr>
  </w:style>
  <w:style w:type="paragraph" w:customStyle="1" w:styleId="IASBNormalL1">
    <w:name w:val="IASB Normal L1"/>
    <w:basedOn w:val="IASBNormalnpara"/>
    <w:uiPriority w:val="8"/>
    <w:rsid w:val="00311274"/>
  </w:style>
  <w:style w:type="paragraph" w:styleId="Header">
    <w:name w:val="header"/>
    <w:basedOn w:val="Normal"/>
    <w:link w:val="HeaderChar"/>
    <w:uiPriority w:val="99"/>
    <w:rsid w:val="00311274"/>
    <w:pPr>
      <w:tabs>
        <w:tab w:val="center" w:pos="4536"/>
        <w:tab w:val="right" w:pos="9072"/>
      </w:tabs>
    </w:pPr>
    <w:rPr>
      <w:sz w:val="20"/>
    </w:rPr>
  </w:style>
  <w:style w:type="character" w:customStyle="1" w:styleId="HeaderChar">
    <w:name w:val="Header Char"/>
    <w:link w:val="Header"/>
    <w:uiPriority w:val="99"/>
    <w:rsid w:val="00311274"/>
    <w:rPr>
      <w:szCs w:val="24"/>
      <w:lang w:eastAsia="en-US"/>
    </w:rPr>
  </w:style>
  <w:style w:type="paragraph" w:styleId="Footer">
    <w:name w:val="footer"/>
    <w:basedOn w:val="Normal"/>
    <w:link w:val="FooterChar"/>
    <w:uiPriority w:val="99"/>
    <w:rsid w:val="00311274"/>
    <w:pPr>
      <w:tabs>
        <w:tab w:val="center" w:pos="4536"/>
        <w:tab w:val="right" w:pos="9072"/>
      </w:tabs>
    </w:pPr>
  </w:style>
  <w:style w:type="character" w:customStyle="1" w:styleId="FooterChar">
    <w:name w:val="Footer Char"/>
    <w:link w:val="Footer"/>
    <w:uiPriority w:val="99"/>
    <w:rsid w:val="00311274"/>
    <w:rPr>
      <w:sz w:val="19"/>
      <w:szCs w:val="24"/>
      <w:lang w:eastAsia="en-US"/>
    </w:rPr>
  </w:style>
  <w:style w:type="paragraph" w:customStyle="1" w:styleId="IASBRubricL1">
    <w:name w:val="IASB RubricL1"/>
    <w:basedOn w:val="IASBRubric"/>
    <w:uiPriority w:val="8"/>
    <w:rsid w:val="00311274"/>
    <w:pPr>
      <w:ind w:left="782" w:hanging="782"/>
      <w:jc w:val="left"/>
    </w:pPr>
    <w:rPr>
      <w:lang w:eastAsia="en-GB"/>
    </w:rPr>
  </w:style>
  <w:style w:type="paragraph" w:customStyle="1" w:styleId="IASBRubricL2">
    <w:name w:val="IASB RubricL2"/>
    <w:basedOn w:val="IASBRubricL1"/>
    <w:uiPriority w:val="8"/>
    <w:rsid w:val="00311274"/>
    <w:pPr>
      <w:tabs>
        <w:tab w:val="left" w:pos="782"/>
      </w:tabs>
      <w:ind w:left="1565" w:hanging="1565"/>
    </w:pPr>
  </w:style>
  <w:style w:type="paragraph" w:customStyle="1" w:styleId="IASBRubricL3">
    <w:name w:val="IASB RubricL3"/>
    <w:basedOn w:val="IASBRubricL2"/>
    <w:uiPriority w:val="8"/>
    <w:rsid w:val="00311274"/>
    <w:pPr>
      <w:tabs>
        <w:tab w:val="clear" w:pos="782"/>
        <w:tab w:val="left" w:pos="1565"/>
      </w:tabs>
      <w:ind w:left="2347" w:hanging="2347"/>
    </w:pPr>
  </w:style>
  <w:style w:type="paragraph" w:customStyle="1" w:styleId="IASBNormalnparaL2">
    <w:name w:val="IASB Normal nparaL2"/>
    <w:basedOn w:val="IASBNormalnparaL1"/>
    <w:uiPriority w:val="8"/>
    <w:rsid w:val="00311274"/>
    <w:pPr>
      <w:ind w:left="2347"/>
    </w:pPr>
  </w:style>
  <w:style w:type="paragraph" w:customStyle="1" w:styleId="IASBNormalnparaL3">
    <w:name w:val="IASB Normal nparaL3"/>
    <w:basedOn w:val="IASBNormalnparaL2"/>
    <w:uiPriority w:val="8"/>
    <w:rsid w:val="00311274"/>
    <w:pPr>
      <w:ind w:left="3129"/>
    </w:pPr>
  </w:style>
  <w:style w:type="paragraph" w:customStyle="1" w:styleId="IASBNormalnparaL4">
    <w:name w:val="IASB Normal nparaL4"/>
    <w:basedOn w:val="IASBNormalnparaL3"/>
    <w:uiPriority w:val="8"/>
    <w:rsid w:val="00311274"/>
    <w:pPr>
      <w:ind w:left="3912"/>
    </w:pPr>
  </w:style>
  <w:style w:type="paragraph" w:customStyle="1" w:styleId="IASBNormalnparaL5">
    <w:name w:val="IASB Normal nparaL5"/>
    <w:basedOn w:val="IASBNormalnparaL4"/>
    <w:uiPriority w:val="8"/>
    <w:rsid w:val="00311274"/>
    <w:pPr>
      <w:ind w:left="4694"/>
    </w:pPr>
  </w:style>
  <w:style w:type="paragraph" w:customStyle="1" w:styleId="IASBNormalnparaL1P">
    <w:name w:val="IASB Normal nparaL1P"/>
    <w:basedOn w:val="IASBNormalnparaL2"/>
    <w:uiPriority w:val="8"/>
    <w:rsid w:val="00311274"/>
    <w:pPr>
      <w:ind w:left="1565" w:firstLine="0"/>
    </w:pPr>
  </w:style>
  <w:style w:type="paragraph" w:customStyle="1" w:styleId="IASBNormalnparaL2P">
    <w:name w:val="IASB Normal nparaL2P"/>
    <w:basedOn w:val="IASBNormalnparaL1P"/>
    <w:uiPriority w:val="8"/>
    <w:rsid w:val="00311274"/>
    <w:pPr>
      <w:ind w:left="2347"/>
    </w:pPr>
  </w:style>
  <w:style w:type="paragraph" w:customStyle="1" w:styleId="IASBNormalnparaL3P">
    <w:name w:val="IASB Normal nparaL3P"/>
    <w:basedOn w:val="IASBNormalnparaL2P"/>
    <w:uiPriority w:val="8"/>
    <w:rsid w:val="00311274"/>
    <w:pPr>
      <w:ind w:left="3130"/>
    </w:pPr>
  </w:style>
  <w:style w:type="paragraph" w:customStyle="1" w:styleId="IASBNormalnparaL4P">
    <w:name w:val="IASB Normal nparaL4P"/>
    <w:basedOn w:val="IASBNormalnparaL3P"/>
    <w:uiPriority w:val="8"/>
    <w:rsid w:val="00311274"/>
    <w:pPr>
      <w:ind w:left="3912"/>
    </w:pPr>
  </w:style>
  <w:style w:type="paragraph" w:customStyle="1" w:styleId="IASBNormalnparaL5P">
    <w:name w:val="IASB Normal nparaL5P"/>
    <w:basedOn w:val="IASBNormalnparaL4P"/>
    <w:uiPriority w:val="8"/>
    <w:rsid w:val="00311274"/>
    <w:pPr>
      <w:ind w:left="4751"/>
    </w:pPr>
  </w:style>
  <w:style w:type="paragraph" w:customStyle="1" w:styleId="IASBBlockquoteL1">
    <w:name w:val="IASB BlockquoteL1"/>
    <w:basedOn w:val="IASBBlockquote"/>
    <w:uiPriority w:val="8"/>
    <w:rsid w:val="00311274"/>
    <w:pPr>
      <w:ind w:left="2347" w:hanging="782"/>
    </w:pPr>
  </w:style>
  <w:style w:type="paragraph" w:customStyle="1" w:styleId="IASBBlockquoteL2">
    <w:name w:val="IASB BlockquoteL2"/>
    <w:basedOn w:val="IASBBlockquoteL1"/>
    <w:uiPriority w:val="8"/>
    <w:rsid w:val="00311274"/>
    <w:pPr>
      <w:ind w:left="3129"/>
    </w:pPr>
  </w:style>
  <w:style w:type="paragraph" w:customStyle="1" w:styleId="IASBNormalL2">
    <w:name w:val="IASB Normal L2"/>
    <w:basedOn w:val="IASBNormalL1"/>
    <w:uiPriority w:val="8"/>
    <w:rsid w:val="00311274"/>
    <w:pPr>
      <w:ind w:left="1564"/>
    </w:pPr>
  </w:style>
  <w:style w:type="paragraph" w:customStyle="1" w:styleId="IASBTOCQuartery">
    <w:name w:val="IASB TOC Quartery"/>
    <w:basedOn w:val="IASBTOCTertiary"/>
    <w:uiPriority w:val="8"/>
    <w:rsid w:val="00311274"/>
    <w:pPr>
      <w:ind w:left="851"/>
    </w:pPr>
  </w:style>
  <w:style w:type="paragraph" w:customStyle="1" w:styleId="IASBNoteTitle">
    <w:name w:val="IASB Note Title"/>
    <w:basedOn w:val="IASBTOCPrimary"/>
    <w:uiPriority w:val="8"/>
    <w:rsid w:val="00311274"/>
    <w:pPr>
      <w:jc w:val="center"/>
    </w:pPr>
    <w:rPr>
      <w:b w:val="0"/>
      <w:caps w:val="0"/>
      <w:sz w:val="24"/>
    </w:rPr>
  </w:style>
  <w:style w:type="paragraph" w:customStyle="1" w:styleId="IASBNormalL1P">
    <w:name w:val="IASB Normal L1P"/>
    <w:basedOn w:val="IASBNormalL1"/>
    <w:uiPriority w:val="8"/>
    <w:qFormat/>
    <w:rsid w:val="00311274"/>
    <w:pPr>
      <w:ind w:firstLine="0"/>
    </w:pPr>
  </w:style>
  <w:style w:type="paragraph" w:customStyle="1" w:styleId="IASBNormalL2P">
    <w:name w:val="IASB Normal L2P"/>
    <w:basedOn w:val="IASBNormalL1P"/>
    <w:uiPriority w:val="8"/>
    <w:qFormat/>
    <w:rsid w:val="00311274"/>
    <w:pPr>
      <w:ind w:left="1565"/>
    </w:pPr>
  </w:style>
  <w:style w:type="paragraph" w:customStyle="1" w:styleId="IASBNormalnparaC">
    <w:name w:val="IASB Normal nparaC"/>
    <w:basedOn w:val="IASBNormalnpara"/>
    <w:uiPriority w:val="8"/>
    <w:qFormat/>
    <w:rsid w:val="00311274"/>
    <w:pPr>
      <w:spacing w:before="0"/>
    </w:pPr>
  </w:style>
  <w:style w:type="paragraph" w:customStyle="1" w:styleId="IASBEdupara">
    <w:name w:val="IASB Edu para"/>
    <w:basedOn w:val="IASBNormal"/>
    <w:uiPriority w:val="8"/>
    <w:qFormat/>
    <w:rsid w:val="00311274"/>
  </w:style>
  <w:style w:type="paragraph" w:customStyle="1" w:styleId="IASBTableBoldTNR">
    <w:name w:val="IASB Table Bold TNR"/>
    <w:basedOn w:val="Normal"/>
    <w:uiPriority w:val="8"/>
    <w:qFormat/>
    <w:rsid w:val="00311274"/>
    <w:pPr>
      <w:spacing w:before="120"/>
    </w:pPr>
    <w:rPr>
      <w:b/>
      <w:szCs w:val="20"/>
      <w:lang w:eastAsia="en-GB"/>
    </w:rPr>
  </w:style>
  <w:style w:type="paragraph" w:customStyle="1" w:styleId="IASBTableHeaderTNR">
    <w:name w:val="IASB Table Header TNR"/>
    <w:basedOn w:val="Normal"/>
    <w:uiPriority w:val="8"/>
    <w:qFormat/>
    <w:rsid w:val="00311274"/>
    <w:pPr>
      <w:keepNext/>
      <w:spacing w:before="120" w:after="200" w:line="276" w:lineRule="auto"/>
    </w:pPr>
    <w:rPr>
      <w:szCs w:val="20"/>
      <w:lang w:eastAsia="en-GB"/>
    </w:rPr>
  </w:style>
  <w:style w:type="paragraph" w:customStyle="1" w:styleId="IASBTableTNR">
    <w:name w:val="IASB Table TNR"/>
    <w:basedOn w:val="Normal"/>
    <w:uiPriority w:val="8"/>
    <w:qFormat/>
    <w:rsid w:val="00311274"/>
    <w:pPr>
      <w:spacing w:before="120"/>
    </w:pPr>
    <w:rPr>
      <w:szCs w:val="20"/>
      <w:lang w:eastAsia="en-GB"/>
    </w:rPr>
  </w:style>
  <w:style w:type="paragraph" w:customStyle="1" w:styleId="IASBTableArial">
    <w:name w:val="IASB Table Arial"/>
    <w:basedOn w:val="Normal"/>
    <w:uiPriority w:val="8"/>
    <w:rsid w:val="00311274"/>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311274"/>
    <w:rPr>
      <w:b/>
    </w:rPr>
  </w:style>
  <w:style w:type="paragraph" w:customStyle="1" w:styleId="IASBTableHeaderArial">
    <w:name w:val="IASB Table Header Arial"/>
    <w:basedOn w:val="IASBTableArial"/>
    <w:uiPriority w:val="8"/>
    <w:qFormat/>
    <w:rsid w:val="00311274"/>
    <w:pPr>
      <w:keepNext/>
      <w:spacing w:after="200" w:line="276" w:lineRule="auto"/>
    </w:pPr>
  </w:style>
  <w:style w:type="character" w:styleId="EndnoteReference">
    <w:name w:val="endnote reference"/>
    <w:uiPriority w:val="99"/>
    <w:semiHidden/>
    <w:unhideWhenUsed/>
    <w:rsid w:val="00311274"/>
    <w:rPr>
      <w:vertAlign w:val="superscript"/>
    </w:rPr>
  </w:style>
  <w:style w:type="paragraph" w:customStyle="1" w:styleId="ConvSectionTitle">
    <w:name w:val="Conv Section Title"/>
    <w:basedOn w:val="IASBSectionTitle1NonInd"/>
    <w:uiPriority w:val="9"/>
    <w:qFormat/>
    <w:rsid w:val="00311274"/>
    <w:pPr>
      <w:pBdr>
        <w:bottom w:val="none" w:sz="0" w:space="0" w:color="auto"/>
      </w:pBdr>
    </w:pPr>
  </w:style>
  <w:style w:type="paragraph" w:customStyle="1" w:styleId="ConvStandardTitle1">
    <w:name w:val="Conv Standard Title 1"/>
    <w:basedOn w:val="Normal"/>
    <w:next w:val="ConvStandardTitle2"/>
    <w:uiPriority w:val="9"/>
    <w:qFormat/>
    <w:rsid w:val="00311274"/>
    <w:pPr>
      <w:spacing w:before="300"/>
    </w:pPr>
    <w:rPr>
      <w:rFonts w:ascii="Arial" w:hAnsi="Arial"/>
      <w:b/>
      <w:sz w:val="26"/>
    </w:rPr>
  </w:style>
  <w:style w:type="paragraph" w:customStyle="1" w:styleId="ConvStandardTitle2">
    <w:name w:val="Conv Standard Title2"/>
    <w:basedOn w:val="ConvStandardTitle1"/>
    <w:uiPriority w:val="9"/>
    <w:qFormat/>
    <w:rsid w:val="00311274"/>
    <w:pPr>
      <w:spacing w:before="0" w:after="200"/>
    </w:pPr>
    <w:rPr>
      <w:i/>
    </w:rPr>
  </w:style>
  <w:style w:type="paragraph" w:customStyle="1" w:styleId="AASBBase">
    <w:name w:val="AASB Base"/>
    <w:qFormat/>
    <w:rsid w:val="00311274"/>
    <w:pPr>
      <w:jc w:val="both"/>
    </w:pPr>
    <w:rPr>
      <w:sz w:val="19"/>
      <w:lang w:eastAsia="en-US"/>
    </w:rPr>
  </w:style>
  <w:style w:type="paragraph" w:customStyle="1" w:styleId="AASBPara">
    <w:name w:val="AASB Para"/>
    <w:basedOn w:val="AASBBase"/>
    <w:qFormat/>
    <w:rsid w:val="00311274"/>
    <w:pPr>
      <w:spacing w:after="200"/>
    </w:pPr>
  </w:style>
  <w:style w:type="paragraph" w:customStyle="1" w:styleId="AASBStandardCover">
    <w:name w:val="AASB Standard Cover"/>
    <w:semiHidden/>
    <w:qFormat/>
    <w:rsid w:val="00311274"/>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311274"/>
    <w:pPr>
      <w:jc w:val="right"/>
    </w:pPr>
    <w:rPr>
      <w:b w:val="0"/>
      <w:sz w:val="24"/>
    </w:rPr>
  </w:style>
  <w:style w:type="paragraph" w:customStyle="1" w:styleId="AASBStandardNumber">
    <w:name w:val="AASB Standard Number"/>
    <w:basedOn w:val="AASBStandardCover"/>
    <w:semiHidden/>
    <w:qFormat/>
    <w:rsid w:val="00311274"/>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311274"/>
    <w:pPr>
      <w:spacing w:before="800"/>
    </w:pPr>
    <w:rPr>
      <w:b w:val="0"/>
      <w:sz w:val="50"/>
    </w:rPr>
  </w:style>
  <w:style w:type="paragraph" w:customStyle="1" w:styleId="AASBInterpretationCover">
    <w:name w:val="AASB Interpretation Cover"/>
    <w:basedOn w:val="AASBStandardCover"/>
    <w:semiHidden/>
    <w:qFormat/>
    <w:rsid w:val="00311274"/>
    <w:rPr>
      <w:color w:val="41AD49"/>
    </w:rPr>
  </w:style>
  <w:style w:type="paragraph" w:customStyle="1" w:styleId="AASBInterpretationDate">
    <w:name w:val="AASB Interpretation Date"/>
    <w:basedOn w:val="AASBStandardDate"/>
    <w:semiHidden/>
    <w:qFormat/>
    <w:rsid w:val="00311274"/>
    <w:rPr>
      <w:color w:val="41AD49"/>
    </w:rPr>
  </w:style>
  <w:style w:type="paragraph" w:customStyle="1" w:styleId="AASBInterpretationNumber">
    <w:name w:val="AASB Interpretation Number"/>
    <w:basedOn w:val="AASBStandardNumber"/>
    <w:semiHidden/>
    <w:qFormat/>
    <w:rsid w:val="00311274"/>
    <w:rPr>
      <w:color w:val="41AD49"/>
    </w:rPr>
  </w:style>
  <w:style w:type="paragraph" w:customStyle="1" w:styleId="AASBInterpretationTitle">
    <w:name w:val="AASB Interpretation Title"/>
    <w:basedOn w:val="AASBStandardTitle"/>
    <w:semiHidden/>
    <w:qFormat/>
    <w:rsid w:val="00311274"/>
    <w:rPr>
      <w:color w:val="41AD49"/>
    </w:rPr>
  </w:style>
  <w:style w:type="table" w:styleId="TableGrid">
    <w:name w:val="Table Grid"/>
    <w:basedOn w:val="TableNormal"/>
    <w:uiPriority w:val="59"/>
    <w:rsid w:val="00311274"/>
    <w:tblPr/>
  </w:style>
  <w:style w:type="paragraph" w:customStyle="1" w:styleId="ContentsHeading">
    <w:name w:val="Contents Heading"/>
    <w:basedOn w:val="AASBBase"/>
    <w:next w:val="ContentsLevel1"/>
    <w:qFormat/>
    <w:rsid w:val="00311274"/>
    <w:pPr>
      <w:spacing w:after="60"/>
      <w:jc w:val="right"/>
    </w:pPr>
    <w:rPr>
      <w:i/>
    </w:rPr>
  </w:style>
  <w:style w:type="paragraph" w:customStyle="1" w:styleId="ContentsLevel1">
    <w:name w:val="Contents Level1"/>
    <w:basedOn w:val="AASBBase"/>
    <w:qFormat/>
    <w:rsid w:val="00311274"/>
    <w:pPr>
      <w:tabs>
        <w:tab w:val="right" w:pos="9027"/>
      </w:tabs>
      <w:spacing w:after="60"/>
      <w:ind w:right="1134"/>
    </w:pPr>
    <w:rPr>
      <w:b/>
      <w:caps/>
    </w:rPr>
  </w:style>
  <w:style w:type="paragraph" w:customStyle="1" w:styleId="ContentsLevel2">
    <w:name w:val="Contents Level2"/>
    <w:basedOn w:val="ContentsLevel1"/>
    <w:uiPriority w:val="7"/>
    <w:qFormat/>
    <w:rsid w:val="00311274"/>
    <w:rPr>
      <w:caps w:val="0"/>
    </w:rPr>
  </w:style>
  <w:style w:type="paragraph" w:customStyle="1" w:styleId="ContentsLevel3">
    <w:name w:val="Contents Level3"/>
    <w:basedOn w:val="ContentsLevel2"/>
    <w:uiPriority w:val="7"/>
    <w:qFormat/>
    <w:rsid w:val="00311274"/>
    <w:pPr>
      <w:ind w:left="510"/>
    </w:pPr>
    <w:rPr>
      <w:b w:val="0"/>
    </w:rPr>
  </w:style>
  <w:style w:type="paragraph" w:customStyle="1" w:styleId="ContentsLevel4">
    <w:name w:val="Contents Level4"/>
    <w:basedOn w:val="ContentsLevel3"/>
    <w:uiPriority w:val="7"/>
    <w:qFormat/>
    <w:rsid w:val="00311274"/>
    <w:pPr>
      <w:ind w:left="850"/>
    </w:pPr>
  </w:style>
  <w:style w:type="paragraph" w:styleId="BalloonText">
    <w:name w:val="Balloon Text"/>
    <w:basedOn w:val="Normal"/>
    <w:link w:val="BalloonTextChar"/>
    <w:uiPriority w:val="99"/>
    <w:semiHidden/>
    <w:unhideWhenUsed/>
    <w:rsid w:val="00311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4"/>
    <w:rPr>
      <w:rFonts w:ascii="Segoe UI" w:hAnsi="Segoe UI" w:cs="Segoe UI"/>
      <w:sz w:val="18"/>
      <w:szCs w:val="18"/>
      <w:lang w:eastAsia="en-US"/>
    </w:rPr>
  </w:style>
  <w:style w:type="paragraph" w:customStyle="1" w:styleId="RDRM1">
    <w:name w:val="RDRM1"/>
    <w:basedOn w:val="IASBNormalnpara"/>
    <w:uiPriority w:val="5"/>
    <w:qFormat/>
    <w:rsid w:val="00311274"/>
    <w:pPr>
      <w:shd w:val="pct15" w:color="auto" w:fill="auto"/>
    </w:pPr>
  </w:style>
  <w:style w:type="paragraph" w:customStyle="1" w:styleId="RDRM2">
    <w:name w:val="RDRM2"/>
    <w:basedOn w:val="RDRM1"/>
    <w:uiPriority w:val="5"/>
    <w:qFormat/>
    <w:rsid w:val="00311274"/>
    <w:pPr>
      <w:tabs>
        <w:tab w:val="left" w:pos="782"/>
      </w:tabs>
      <w:ind w:left="1565" w:hanging="1565"/>
    </w:pPr>
  </w:style>
  <w:style w:type="paragraph" w:customStyle="1" w:styleId="RDRM3">
    <w:name w:val="RDRM3"/>
    <w:basedOn w:val="RDRM2"/>
    <w:uiPriority w:val="5"/>
    <w:qFormat/>
    <w:rsid w:val="00311274"/>
    <w:pPr>
      <w:tabs>
        <w:tab w:val="clear" w:pos="782"/>
        <w:tab w:val="left" w:pos="1565"/>
      </w:tabs>
      <w:ind w:left="2347" w:hanging="2347"/>
    </w:pPr>
  </w:style>
  <w:style w:type="paragraph" w:customStyle="1" w:styleId="RDRM4">
    <w:name w:val="RDRM4"/>
    <w:basedOn w:val="RDRM3"/>
    <w:uiPriority w:val="5"/>
    <w:qFormat/>
    <w:rsid w:val="00311274"/>
    <w:pPr>
      <w:tabs>
        <w:tab w:val="clear" w:pos="1565"/>
        <w:tab w:val="left" w:pos="2347"/>
      </w:tabs>
      <w:ind w:left="3130" w:hanging="3130"/>
    </w:pPr>
  </w:style>
  <w:style w:type="paragraph" w:customStyle="1" w:styleId="AusPlain">
    <w:name w:val="Aus Plain"/>
    <w:basedOn w:val="IASBNormalnpara"/>
    <w:uiPriority w:val="1"/>
    <w:qFormat/>
    <w:rsid w:val="00311274"/>
    <w:pPr>
      <w:ind w:left="1565" w:hanging="1565"/>
    </w:pPr>
  </w:style>
  <w:style w:type="paragraph" w:customStyle="1" w:styleId="AusBold">
    <w:name w:val="Aus Bold"/>
    <w:basedOn w:val="AusPlain"/>
    <w:uiPriority w:val="2"/>
    <w:qFormat/>
    <w:rsid w:val="00311274"/>
    <w:rPr>
      <w:b/>
    </w:rPr>
  </w:style>
  <w:style w:type="paragraph" w:customStyle="1" w:styleId="AusPlainRDR">
    <w:name w:val="Aus Plain RDR"/>
    <w:basedOn w:val="AusPlain"/>
    <w:uiPriority w:val="3"/>
    <w:qFormat/>
    <w:rsid w:val="00311274"/>
    <w:pPr>
      <w:shd w:val="pct15" w:color="auto" w:fill="auto"/>
    </w:pPr>
  </w:style>
  <w:style w:type="paragraph" w:customStyle="1" w:styleId="AusBoldRDR">
    <w:name w:val="Aus Bold RDR"/>
    <w:basedOn w:val="AusBold"/>
    <w:uiPriority w:val="4"/>
    <w:qFormat/>
    <w:rsid w:val="00311274"/>
    <w:pPr>
      <w:shd w:val="pct15" w:color="auto" w:fill="auto"/>
    </w:pPr>
  </w:style>
  <w:style w:type="paragraph" w:customStyle="1" w:styleId="RDR11">
    <w:name w:val="RDR11"/>
    <w:basedOn w:val="IASBNormalnparaL1"/>
    <w:uiPriority w:val="6"/>
    <w:qFormat/>
    <w:rsid w:val="00311274"/>
    <w:pPr>
      <w:shd w:val="pct15" w:color="auto" w:fill="auto"/>
    </w:pPr>
  </w:style>
  <w:style w:type="paragraph" w:customStyle="1" w:styleId="RDR12">
    <w:name w:val="RDR12"/>
    <w:basedOn w:val="RDR11"/>
    <w:uiPriority w:val="6"/>
    <w:qFormat/>
    <w:rsid w:val="00311274"/>
    <w:pPr>
      <w:tabs>
        <w:tab w:val="left" w:pos="1565"/>
      </w:tabs>
      <w:ind w:left="2347" w:hanging="1565"/>
    </w:pPr>
  </w:style>
  <w:style w:type="paragraph" w:customStyle="1" w:styleId="RDR13">
    <w:name w:val="RDR13"/>
    <w:basedOn w:val="RDR12"/>
    <w:uiPriority w:val="6"/>
    <w:qFormat/>
    <w:rsid w:val="00311274"/>
    <w:pPr>
      <w:tabs>
        <w:tab w:val="clear" w:pos="1565"/>
        <w:tab w:val="left" w:pos="2347"/>
      </w:tabs>
      <w:ind w:left="3129" w:hanging="2347"/>
    </w:pPr>
  </w:style>
  <w:style w:type="paragraph" w:customStyle="1" w:styleId="RDR21">
    <w:name w:val="RDR21"/>
    <w:basedOn w:val="IASBNormalnparaL2"/>
    <w:uiPriority w:val="6"/>
    <w:qFormat/>
    <w:rsid w:val="00311274"/>
    <w:pPr>
      <w:shd w:val="pct15" w:color="auto" w:fill="auto"/>
    </w:pPr>
  </w:style>
  <w:style w:type="paragraph" w:customStyle="1" w:styleId="RDR22">
    <w:name w:val="RDR22"/>
    <w:basedOn w:val="RDR21"/>
    <w:uiPriority w:val="6"/>
    <w:qFormat/>
    <w:rsid w:val="00311274"/>
    <w:pPr>
      <w:tabs>
        <w:tab w:val="left" w:pos="2347"/>
      </w:tabs>
      <w:ind w:left="3130" w:hanging="1565"/>
    </w:pPr>
  </w:style>
  <w:style w:type="table" w:styleId="TableGrid1">
    <w:name w:val="Table Grid 1"/>
    <w:basedOn w:val="TableNormal"/>
    <w:uiPriority w:val="99"/>
    <w:semiHidden/>
    <w:unhideWhenUsed/>
    <w:rsid w:val="00311274"/>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A7D47"/>
    <w:rPr>
      <w:sz w:val="16"/>
      <w:szCs w:val="16"/>
    </w:rPr>
  </w:style>
  <w:style w:type="paragraph" w:styleId="CommentText">
    <w:name w:val="annotation text"/>
    <w:basedOn w:val="Normal"/>
    <w:link w:val="CommentTextChar"/>
    <w:uiPriority w:val="99"/>
    <w:semiHidden/>
    <w:unhideWhenUsed/>
    <w:rsid w:val="00FA7D47"/>
    <w:rPr>
      <w:sz w:val="20"/>
      <w:szCs w:val="20"/>
    </w:rPr>
  </w:style>
  <w:style w:type="character" w:customStyle="1" w:styleId="CommentTextChar">
    <w:name w:val="Comment Text Char"/>
    <w:basedOn w:val="DefaultParagraphFont"/>
    <w:link w:val="CommentText"/>
    <w:uiPriority w:val="99"/>
    <w:semiHidden/>
    <w:rsid w:val="00FA7D47"/>
    <w:rPr>
      <w:lang w:eastAsia="en-US"/>
    </w:rPr>
  </w:style>
  <w:style w:type="paragraph" w:styleId="CommentSubject">
    <w:name w:val="annotation subject"/>
    <w:basedOn w:val="CommentText"/>
    <w:next w:val="CommentText"/>
    <w:link w:val="CommentSubjectChar"/>
    <w:uiPriority w:val="99"/>
    <w:semiHidden/>
    <w:unhideWhenUsed/>
    <w:rsid w:val="00FA7D47"/>
    <w:rPr>
      <w:b/>
      <w:bCs/>
    </w:rPr>
  </w:style>
  <w:style w:type="character" w:customStyle="1" w:styleId="CommentSubjectChar">
    <w:name w:val="Comment Subject Char"/>
    <w:basedOn w:val="CommentTextChar"/>
    <w:link w:val="CommentSubject"/>
    <w:uiPriority w:val="99"/>
    <w:semiHidden/>
    <w:rsid w:val="00FA7D47"/>
    <w:rPr>
      <w:b/>
      <w:bCs/>
      <w:lang w:eastAsia="en-US"/>
    </w:rPr>
  </w:style>
  <w:style w:type="paragraph" w:customStyle="1" w:styleId="NumPlain1">
    <w:name w:val="Num Plain1"/>
    <w:basedOn w:val="Normal"/>
    <w:link w:val="NumPlain1Char"/>
    <w:rsid w:val="002B7F49"/>
    <w:pPr>
      <w:spacing w:after="200" w:line="200" w:lineRule="exact"/>
      <w:ind w:left="510" w:hanging="510"/>
    </w:pPr>
    <w:rPr>
      <w:sz w:val="20"/>
      <w:szCs w:val="20"/>
      <w:lang w:eastAsia="x-none"/>
    </w:rPr>
  </w:style>
  <w:style w:type="character" w:customStyle="1" w:styleId="NumPlain1Char">
    <w:name w:val="Num Plain1 Char"/>
    <w:link w:val="NumPlain1"/>
    <w:rsid w:val="002B7F49"/>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9BBB-5914-45B1-9A50-8021D685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309</TotalTime>
  <Pages>48</Pages>
  <Words>24687</Words>
  <Characters>127842</Characters>
  <Application>Microsoft Office Word</Application>
  <DocSecurity>0</DocSecurity>
  <Lines>1065</Lines>
  <Paragraphs>304</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152225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Clark M. Anstis</cp:lastModifiedBy>
  <cp:revision>30</cp:revision>
  <dcterms:created xsi:type="dcterms:W3CDTF">2015-07-23T23:28:00Z</dcterms:created>
  <dcterms:modified xsi:type="dcterms:W3CDTF">2015-08-20T08:40:00Z</dcterms:modified>
</cp:coreProperties>
</file>