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DA" w:rsidRPr="000C5DAC" w:rsidRDefault="002533F0" w:rsidP="00126429">
      <w:pPr>
        <w:spacing w:before="0" w:after="120"/>
        <w:ind w:right="91"/>
        <w:jc w:val="center"/>
        <w:rPr>
          <w:rFonts w:ascii="Arial" w:hAnsi="Arial" w:cs="Arial"/>
          <w:b/>
          <w:szCs w:val="24"/>
          <w:u w:val="single"/>
        </w:rPr>
      </w:pPr>
      <w:bookmarkStart w:id="0" w:name="_GoBack"/>
      <w:bookmarkEnd w:id="0"/>
      <w:r w:rsidRPr="000C5DAC">
        <w:rPr>
          <w:rFonts w:ascii="Arial" w:hAnsi="Arial" w:cs="Arial"/>
          <w:b/>
          <w:szCs w:val="24"/>
          <w:u w:val="single"/>
        </w:rPr>
        <w:t>EXPLANATORY STATEMENT</w:t>
      </w:r>
      <w:r w:rsidR="00B54C30" w:rsidRPr="000C5DAC">
        <w:rPr>
          <w:rFonts w:ascii="Arial" w:hAnsi="Arial" w:cs="Arial"/>
          <w:b/>
          <w:szCs w:val="24"/>
          <w:u w:val="single"/>
        </w:rPr>
        <w:t xml:space="preserve"> </w:t>
      </w:r>
    </w:p>
    <w:p w:rsidR="002533F0" w:rsidRPr="000C5DAC" w:rsidRDefault="002533F0" w:rsidP="002533F0">
      <w:pPr>
        <w:spacing w:before="0"/>
        <w:ind w:right="91"/>
        <w:jc w:val="center"/>
        <w:rPr>
          <w:rFonts w:ascii="Arial" w:hAnsi="Arial" w:cs="Arial"/>
          <w:b/>
          <w:szCs w:val="24"/>
          <w:u w:val="single"/>
        </w:rPr>
      </w:pPr>
    </w:p>
    <w:p w:rsidR="002533F0" w:rsidRPr="000C5DAC" w:rsidRDefault="002533F0" w:rsidP="002533F0">
      <w:pPr>
        <w:spacing w:before="0"/>
        <w:ind w:right="91"/>
        <w:jc w:val="center"/>
        <w:rPr>
          <w:rFonts w:ascii="Arial" w:hAnsi="Arial" w:cs="Arial"/>
          <w:szCs w:val="24"/>
        </w:rPr>
      </w:pPr>
      <w:r w:rsidRPr="000C5DAC">
        <w:rPr>
          <w:rFonts w:ascii="Arial" w:hAnsi="Arial" w:cs="Arial"/>
          <w:szCs w:val="24"/>
        </w:rPr>
        <w:t>Issued by the authority of the</w:t>
      </w:r>
      <w:r w:rsidR="00AD1645" w:rsidRPr="000C5DAC">
        <w:rPr>
          <w:rFonts w:ascii="Arial" w:hAnsi="Arial" w:cs="Arial"/>
          <w:szCs w:val="24"/>
        </w:rPr>
        <w:t xml:space="preserve"> Minister</w:t>
      </w:r>
      <w:r w:rsidR="00C455A2" w:rsidRPr="000C5DAC">
        <w:rPr>
          <w:rFonts w:ascii="Arial" w:hAnsi="Arial" w:cs="Arial"/>
          <w:szCs w:val="24"/>
        </w:rPr>
        <w:t xml:space="preserve"> for</w:t>
      </w:r>
      <w:r w:rsidR="00AD1645" w:rsidRPr="000C5DAC">
        <w:rPr>
          <w:rFonts w:ascii="Arial" w:hAnsi="Arial" w:cs="Arial"/>
          <w:szCs w:val="24"/>
        </w:rPr>
        <w:t xml:space="preserve"> </w:t>
      </w:r>
      <w:r w:rsidR="000C5DAC" w:rsidRPr="000C5DAC">
        <w:rPr>
          <w:rFonts w:ascii="Arial" w:hAnsi="Arial" w:cs="Arial"/>
          <w:szCs w:val="24"/>
        </w:rPr>
        <w:t>Social Services</w:t>
      </w:r>
      <w:r w:rsidR="00446D6C" w:rsidRPr="000C5DAC">
        <w:rPr>
          <w:rFonts w:ascii="Arial" w:hAnsi="Arial" w:cs="Arial"/>
          <w:szCs w:val="24"/>
        </w:rPr>
        <w:t xml:space="preserve"> </w:t>
      </w:r>
    </w:p>
    <w:p w:rsidR="000C5DAC" w:rsidRPr="000C5DAC" w:rsidRDefault="000C5DAC" w:rsidP="000C5DAC">
      <w:pPr>
        <w:autoSpaceDE w:val="0"/>
        <w:autoSpaceDN w:val="0"/>
        <w:adjustRightInd w:val="0"/>
        <w:jc w:val="center"/>
        <w:rPr>
          <w:rFonts w:ascii="Arial" w:hAnsi="Arial" w:cs="Arial"/>
          <w:b/>
          <w:bCs/>
          <w:szCs w:val="24"/>
        </w:rPr>
      </w:pPr>
      <w:r w:rsidRPr="000C5DAC">
        <w:rPr>
          <w:rFonts w:ascii="Arial" w:hAnsi="Arial" w:cs="Arial"/>
          <w:bCs/>
          <w:i/>
          <w:szCs w:val="24"/>
        </w:rPr>
        <w:t>Social Security Act 1991</w:t>
      </w:r>
    </w:p>
    <w:p w:rsidR="000C5DAC" w:rsidRPr="000C5DAC" w:rsidRDefault="000C5DAC" w:rsidP="000C5DAC">
      <w:pPr>
        <w:autoSpaceDE w:val="0"/>
        <w:autoSpaceDN w:val="0"/>
        <w:adjustRightInd w:val="0"/>
        <w:jc w:val="center"/>
        <w:rPr>
          <w:rFonts w:ascii="Arial" w:hAnsi="Arial" w:cs="Arial"/>
          <w:bCs/>
          <w:i/>
          <w:szCs w:val="24"/>
        </w:rPr>
      </w:pPr>
      <w:r w:rsidRPr="000C5DAC">
        <w:rPr>
          <w:rFonts w:ascii="Arial" w:hAnsi="Arial" w:cs="Arial"/>
          <w:bCs/>
          <w:i/>
          <w:szCs w:val="24"/>
        </w:rPr>
        <w:t>Social Security (Class of Visas – Qualification for Special Benefit) Determination 2015 (No. 2)</w:t>
      </w:r>
    </w:p>
    <w:p w:rsidR="002533F0" w:rsidRPr="000C5DAC" w:rsidRDefault="002533F0" w:rsidP="002533F0">
      <w:pPr>
        <w:spacing w:before="0"/>
        <w:ind w:right="91"/>
        <w:jc w:val="center"/>
        <w:rPr>
          <w:rFonts w:ascii="Arial" w:hAnsi="Arial" w:cs="Arial"/>
          <w:i/>
          <w:szCs w:val="24"/>
        </w:rPr>
      </w:pPr>
    </w:p>
    <w:p w:rsidR="002533F0" w:rsidRPr="000C5DAC" w:rsidRDefault="0083135C" w:rsidP="002533F0">
      <w:pPr>
        <w:spacing w:before="0"/>
        <w:ind w:right="91"/>
        <w:rPr>
          <w:rFonts w:ascii="Arial" w:hAnsi="Arial" w:cs="Arial"/>
          <w:b/>
          <w:szCs w:val="24"/>
        </w:rPr>
      </w:pPr>
      <w:r w:rsidRPr="000C5DAC">
        <w:rPr>
          <w:rFonts w:ascii="Arial" w:hAnsi="Arial" w:cs="Arial"/>
          <w:b/>
          <w:szCs w:val="24"/>
        </w:rPr>
        <w:t>Purpose</w:t>
      </w:r>
    </w:p>
    <w:p w:rsidR="004D336A" w:rsidRPr="000C5DAC" w:rsidRDefault="000C5DAC" w:rsidP="004B54CA">
      <w:pPr>
        <w:rPr>
          <w:rStyle w:val="BookTitle"/>
          <w:rFonts w:ascii="Arial" w:hAnsi="Arial" w:cs="Arial"/>
          <w:i w:val="0"/>
          <w:iCs w:val="0"/>
          <w:smallCaps w:val="0"/>
          <w:spacing w:val="0"/>
          <w:szCs w:val="24"/>
        </w:rPr>
      </w:pPr>
      <w:r w:rsidRPr="000C5DAC">
        <w:rPr>
          <w:rStyle w:val="BookTitle"/>
          <w:rFonts w:ascii="Arial" w:hAnsi="Arial" w:cs="Arial"/>
          <w:i w:val="0"/>
          <w:iCs w:val="0"/>
          <w:smallCaps w:val="0"/>
          <w:spacing w:val="0"/>
          <w:szCs w:val="24"/>
        </w:rPr>
        <w:t xml:space="preserve">The purpose of this Determination is to consolidate </w:t>
      </w:r>
      <w:r w:rsidR="003618E8">
        <w:rPr>
          <w:rStyle w:val="BookTitle"/>
          <w:rFonts w:ascii="Arial" w:hAnsi="Arial" w:cs="Arial"/>
          <w:i w:val="0"/>
          <w:iCs w:val="0"/>
          <w:smallCaps w:val="0"/>
          <w:spacing w:val="0"/>
          <w:szCs w:val="24"/>
        </w:rPr>
        <w:t xml:space="preserve">and remove redundant elements of </w:t>
      </w:r>
      <w:r w:rsidRPr="000C5DAC">
        <w:rPr>
          <w:rStyle w:val="BookTitle"/>
          <w:rFonts w:ascii="Arial" w:hAnsi="Arial" w:cs="Arial"/>
          <w:i w:val="0"/>
          <w:iCs w:val="0"/>
          <w:smallCaps w:val="0"/>
          <w:spacing w:val="0"/>
          <w:szCs w:val="24"/>
        </w:rPr>
        <w:t xml:space="preserve">a number of determinations made under </w:t>
      </w:r>
      <w:r w:rsidRPr="000C5DAC">
        <w:rPr>
          <w:rFonts w:ascii="Arial" w:hAnsi="Arial" w:cs="Arial"/>
          <w:bCs/>
          <w:szCs w:val="24"/>
        </w:rPr>
        <w:t>subparagraph 729(2</w:t>
      </w:r>
      <w:proofErr w:type="gramStart"/>
      <w:r w:rsidRPr="000C5DAC">
        <w:rPr>
          <w:rFonts w:ascii="Arial" w:hAnsi="Arial" w:cs="Arial"/>
          <w:bCs/>
          <w:szCs w:val="24"/>
        </w:rPr>
        <w:t>)(</w:t>
      </w:r>
      <w:proofErr w:type="gramEnd"/>
      <w:r w:rsidRPr="000C5DAC">
        <w:rPr>
          <w:rFonts w:ascii="Arial" w:hAnsi="Arial" w:cs="Arial"/>
          <w:bCs/>
          <w:szCs w:val="24"/>
        </w:rPr>
        <w:t xml:space="preserve">f)(v) of the </w:t>
      </w:r>
      <w:r w:rsidRPr="000C5DAC">
        <w:rPr>
          <w:rFonts w:ascii="Arial" w:hAnsi="Arial" w:cs="Arial"/>
          <w:bCs/>
          <w:i/>
          <w:szCs w:val="24"/>
        </w:rPr>
        <w:t>Social Security Act 1991</w:t>
      </w:r>
      <w:r w:rsidRPr="000C5DAC">
        <w:rPr>
          <w:rFonts w:ascii="Arial" w:hAnsi="Arial" w:cs="Arial"/>
          <w:bCs/>
          <w:szCs w:val="24"/>
        </w:rPr>
        <w:t xml:space="preserve"> (the Act).  </w:t>
      </w:r>
    </w:p>
    <w:p w:rsidR="0015134A" w:rsidRPr="000C5DAC" w:rsidRDefault="0015134A" w:rsidP="004B54CA">
      <w:pPr>
        <w:rPr>
          <w:rStyle w:val="BookTitle"/>
          <w:rFonts w:ascii="Arial" w:hAnsi="Arial" w:cs="Arial"/>
          <w:b/>
          <w:i w:val="0"/>
          <w:iCs w:val="0"/>
          <w:smallCaps w:val="0"/>
          <w:spacing w:val="0"/>
          <w:szCs w:val="24"/>
        </w:rPr>
      </w:pPr>
      <w:r w:rsidRPr="000C5DAC">
        <w:rPr>
          <w:rStyle w:val="BookTitle"/>
          <w:rFonts w:ascii="Arial" w:hAnsi="Arial" w:cs="Arial"/>
          <w:b/>
          <w:i w:val="0"/>
          <w:iCs w:val="0"/>
          <w:smallCaps w:val="0"/>
          <w:spacing w:val="0"/>
          <w:szCs w:val="24"/>
        </w:rPr>
        <w:t>Background</w:t>
      </w:r>
    </w:p>
    <w:p w:rsidR="000C5DAC" w:rsidRPr="000C5DAC" w:rsidRDefault="000C5DAC" w:rsidP="000C5DAC">
      <w:pPr>
        <w:rPr>
          <w:rFonts w:ascii="Arial" w:hAnsi="Arial" w:cs="Arial"/>
          <w:bCs/>
          <w:szCs w:val="24"/>
        </w:rPr>
      </w:pPr>
      <w:r w:rsidRPr="000C5DAC">
        <w:rPr>
          <w:rFonts w:ascii="Arial" w:hAnsi="Arial" w:cs="Arial"/>
          <w:bCs/>
          <w:szCs w:val="24"/>
        </w:rPr>
        <w:t>In broad terms, a person may be qualified for special benefit under the Act if they are:</w:t>
      </w:r>
    </w:p>
    <w:p w:rsidR="000C5DAC" w:rsidRDefault="000C5DAC" w:rsidP="000C5DAC">
      <w:pPr>
        <w:pStyle w:val="ListParagraph"/>
        <w:numPr>
          <w:ilvl w:val="0"/>
          <w:numId w:val="16"/>
        </w:numPr>
        <w:rPr>
          <w:rFonts w:ascii="Arial" w:hAnsi="Arial" w:cs="Arial"/>
          <w:bCs/>
          <w:szCs w:val="24"/>
        </w:rPr>
      </w:pPr>
      <w:r>
        <w:rPr>
          <w:rFonts w:ascii="Arial" w:hAnsi="Arial" w:cs="Arial"/>
          <w:bCs/>
          <w:szCs w:val="24"/>
        </w:rPr>
        <w:t>in severe financial hardship;</w:t>
      </w:r>
    </w:p>
    <w:p w:rsidR="000C5DAC" w:rsidRDefault="000C5DAC" w:rsidP="000C5DAC">
      <w:pPr>
        <w:pStyle w:val="ListParagraph"/>
        <w:numPr>
          <w:ilvl w:val="0"/>
          <w:numId w:val="16"/>
        </w:numPr>
        <w:rPr>
          <w:rFonts w:ascii="Arial" w:hAnsi="Arial" w:cs="Arial"/>
          <w:bCs/>
          <w:szCs w:val="24"/>
        </w:rPr>
      </w:pPr>
      <w:r>
        <w:rPr>
          <w:rFonts w:ascii="Arial" w:hAnsi="Arial" w:cs="Arial"/>
          <w:bCs/>
          <w:szCs w:val="24"/>
        </w:rPr>
        <w:t>unable to earn a sufficient livelihood for themselves and dependants due to reasons beyond their control;</w:t>
      </w:r>
    </w:p>
    <w:p w:rsidR="000C5DAC" w:rsidRDefault="000C5DAC" w:rsidP="000C5DAC">
      <w:pPr>
        <w:pStyle w:val="ListParagraph"/>
        <w:numPr>
          <w:ilvl w:val="0"/>
          <w:numId w:val="16"/>
        </w:numPr>
        <w:rPr>
          <w:rFonts w:ascii="Arial" w:hAnsi="Arial" w:cs="Arial"/>
          <w:bCs/>
          <w:szCs w:val="24"/>
        </w:rPr>
      </w:pPr>
      <w:r>
        <w:rPr>
          <w:rFonts w:ascii="Arial" w:hAnsi="Arial" w:cs="Arial"/>
          <w:bCs/>
          <w:szCs w:val="24"/>
        </w:rPr>
        <w:t>not qualified for any other income support payment; and</w:t>
      </w:r>
    </w:p>
    <w:p w:rsidR="000C5DAC" w:rsidRPr="000C5DAC" w:rsidRDefault="000C5DAC" w:rsidP="000C5DAC">
      <w:pPr>
        <w:pStyle w:val="ListParagraph"/>
        <w:numPr>
          <w:ilvl w:val="0"/>
          <w:numId w:val="16"/>
        </w:numPr>
        <w:rPr>
          <w:rFonts w:ascii="Arial" w:hAnsi="Arial" w:cs="Arial"/>
          <w:bCs/>
          <w:szCs w:val="24"/>
        </w:rPr>
      </w:pPr>
      <w:proofErr w:type="gramStart"/>
      <w:r>
        <w:rPr>
          <w:rFonts w:ascii="Arial" w:hAnsi="Arial" w:cs="Arial"/>
          <w:bCs/>
          <w:szCs w:val="24"/>
        </w:rPr>
        <w:t>an</w:t>
      </w:r>
      <w:proofErr w:type="gramEnd"/>
      <w:r>
        <w:rPr>
          <w:rFonts w:ascii="Arial" w:hAnsi="Arial" w:cs="Arial"/>
          <w:bCs/>
          <w:szCs w:val="24"/>
        </w:rPr>
        <w:t xml:space="preserve"> Australian resident or the holder of a temporary visa in a class of visas determined by the Minister for the purpose</w:t>
      </w:r>
      <w:r w:rsidR="003618E8">
        <w:rPr>
          <w:rFonts w:ascii="Arial" w:hAnsi="Arial" w:cs="Arial"/>
          <w:bCs/>
          <w:szCs w:val="24"/>
        </w:rPr>
        <w:t>s</w:t>
      </w:r>
      <w:r>
        <w:rPr>
          <w:rFonts w:ascii="Arial" w:hAnsi="Arial" w:cs="Arial"/>
          <w:bCs/>
          <w:szCs w:val="24"/>
        </w:rPr>
        <w:t xml:space="preserve"> of subparagraph 729(2)(f)(v) of the Act.</w:t>
      </w:r>
    </w:p>
    <w:p w:rsidR="00043E25" w:rsidRPr="000C5DAC" w:rsidRDefault="000C5DAC" w:rsidP="00043E2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number of different visa classes have been determined for the purpose</w:t>
      </w:r>
      <w:r w:rsidR="007D5C58">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of subparagraph 729(2</w:t>
      </w:r>
      <w:proofErr w:type="gramStart"/>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f)(v) of the Act</w:t>
      </w:r>
      <w:r w:rsidR="00C01CC3">
        <w:rPr>
          <w:rStyle w:val="BookTitle"/>
          <w:rFonts w:ascii="Arial" w:hAnsi="Arial" w:cs="Arial"/>
          <w:i w:val="0"/>
          <w:iCs w:val="0"/>
          <w:smallCaps w:val="0"/>
          <w:spacing w:val="0"/>
          <w:szCs w:val="24"/>
        </w:rPr>
        <w:t xml:space="preserve"> in seven separate determinations</w:t>
      </w:r>
      <w:r>
        <w:rPr>
          <w:rStyle w:val="BookTitle"/>
          <w:rFonts w:ascii="Arial" w:hAnsi="Arial" w:cs="Arial"/>
          <w:i w:val="0"/>
          <w:iCs w:val="0"/>
          <w:smallCaps w:val="0"/>
          <w:spacing w:val="0"/>
          <w:szCs w:val="24"/>
        </w:rPr>
        <w:t>.</w:t>
      </w:r>
      <w:r w:rsidR="00C01CC3">
        <w:rPr>
          <w:rStyle w:val="BookTitle"/>
          <w:rFonts w:ascii="Arial" w:hAnsi="Arial" w:cs="Arial"/>
          <w:i w:val="0"/>
          <w:iCs w:val="0"/>
          <w:smallCaps w:val="0"/>
          <w:spacing w:val="0"/>
          <w:szCs w:val="24"/>
        </w:rPr>
        <w:t xml:space="preserve">  This Determination </w:t>
      </w:r>
      <w:r w:rsidR="00435CA9">
        <w:rPr>
          <w:rStyle w:val="BookTitle"/>
          <w:rFonts w:ascii="Arial" w:hAnsi="Arial" w:cs="Arial"/>
          <w:i w:val="0"/>
          <w:iCs w:val="0"/>
          <w:smallCaps w:val="0"/>
          <w:spacing w:val="0"/>
          <w:szCs w:val="24"/>
        </w:rPr>
        <w:t>revokes</w:t>
      </w:r>
      <w:r w:rsidR="00C01CC3">
        <w:rPr>
          <w:rStyle w:val="BookTitle"/>
          <w:rFonts w:ascii="Arial" w:hAnsi="Arial" w:cs="Arial"/>
          <w:i w:val="0"/>
          <w:iCs w:val="0"/>
          <w:smallCaps w:val="0"/>
          <w:spacing w:val="0"/>
          <w:szCs w:val="24"/>
        </w:rPr>
        <w:t xml:space="preserve"> those separate determinations </w:t>
      </w:r>
      <w:r w:rsidR="00435CA9">
        <w:rPr>
          <w:rStyle w:val="BookTitle"/>
          <w:rFonts w:ascii="Arial" w:hAnsi="Arial" w:cs="Arial"/>
          <w:i w:val="0"/>
          <w:iCs w:val="0"/>
          <w:smallCaps w:val="0"/>
          <w:spacing w:val="0"/>
          <w:szCs w:val="24"/>
        </w:rPr>
        <w:t xml:space="preserve">and consolidates the visa classes </w:t>
      </w:r>
      <w:r w:rsidR="00C01CC3">
        <w:rPr>
          <w:rStyle w:val="BookTitle"/>
          <w:rFonts w:ascii="Arial" w:hAnsi="Arial" w:cs="Arial"/>
          <w:i w:val="0"/>
          <w:iCs w:val="0"/>
          <w:smallCaps w:val="0"/>
          <w:spacing w:val="0"/>
          <w:szCs w:val="24"/>
        </w:rPr>
        <w:t xml:space="preserve">into one determination.  </w:t>
      </w:r>
      <w:r w:rsidR="00043E25">
        <w:rPr>
          <w:rStyle w:val="BookTitle"/>
          <w:rFonts w:ascii="Arial" w:hAnsi="Arial" w:cs="Arial"/>
          <w:i w:val="0"/>
          <w:iCs w:val="0"/>
          <w:smallCaps w:val="0"/>
          <w:spacing w:val="0"/>
          <w:szCs w:val="24"/>
        </w:rPr>
        <w:t xml:space="preserve">Some redundant visa classes which are determined in the separate determinations have not been included in this Determination.  </w:t>
      </w:r>
    </w:p>
    <w:p w:rsidR="00043E25" w:rsidRDefault="00435CA9" w:rsidP="000C5DAC">
      <w:pPr>
        <w:rPr>
          <w:rFonts w:ascii="Arial" w:hAnsi="Arial" w:cs="Arial"/>
        </w:rPr>
      </w:pPr>
      <w:r w:rsidRPr="00435CA9">
        <w:rPr>
          <w:rFonts w:ascii="Arial" w:hAnsi="Arial" w:cs="Arial"/>
        </w:rPr>
        <w:t xml:space="preserve">Under subsection 33(3) of the </w:t>
      </w:r>
      <w:r w:rsidRPr="00435CA9">
        <w:rPr>
          <w:rFonts w:ascii="Arial" w:hAnsi="Arial" w:cs="Arial"/>
          <w:i/>
        </w:rPr>
        <w:t>Acts Interpretation Act 1901</w:t>
      </w:r>
      <w:r w:rsidRPr="00435CA9">
        <w:rPr>
          <w:rFonts w:ascii="Arial" w:hAnsi="Arial" w:cs="Arial"/>
        </w:rPr>
        <w:t>, where an Act confers a power to make any instrument of a legislative or administrative character, the power shall be construed as including a power exercisable in the like manner and subject to the like conditions (if any) to revoke such instrument</w:t>
      </w:r>
      <w:r>
        <w:rPr>
          <w:rFonts w:ascii="Arial" w:hAnsi="Arial" w:cs="Arial"/>
        </w:rPr>
        <w:t xml:space="preserve">.  </w:t>
      </w:r>
    </w:p>
    <w:p w:rsidR="000B4130" w:rsidRPr="00BC76EB" w:rsidRDefault="000B4130" w:rsidP="000C5DAC">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0B4130" w:rsidRPr="00BC76EB" w:rsidRDefault="0042132E" w:rsidP="004B54CA">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Th</w:t>
      </w:r>
      <w:r w:rsidR="00E519DC">
        <w:rPr>
          <w:rStyle w:val="BookTitle"/>
          <w:rFonts w:ascii="Arial" w:hAnsi="Arial" w:cs="Arial"/>
          <w:i w:val="0"/>
          <w:iCs w:val="0"/>
          <w:smallCaps w:val="0"/>
          <w:spacing w:val="0"/>
          <w:szCs w:val="24"/>
        </w:rPr>
        <w:t>is</w:t>
      </w:r>
      <w:r w:rsidRPr="00BC76EB">
        <w:rPr>
          <w:rStyle w:val="BookTitle"/>
          <w:rFonts w:ascii="Arial" w:hAnsi="Arial" w:cs="Arial"/>
          <w:i w:val="0"/>
          <w:iCs w:val="0"/>
          <w:smallCaps w:val="0"/>
          <w:spacing w:val="0"/>
          <w:szCs w:val="24"/>
        </w:rPr>
        <w:t xml:space="preserve"> </w:t>
      </w:r>
      <w:r w:rsidR="002926E3" w:rsidRPr="00BC76EB">
        <w:rPr>
          <w:rStyle w:val="BookTitle"/>
          <w:rFonts w:ascii="Arial" w:hAnsi="Arial" w:cs="Arial"/>
          <w:i w:val="0"/>
          <w:iCs w:val="0"/>
          <w:smallCaps w:val="0"/>
          <w:spacing w:val="0"/>
          <w:szCs w:val="24"/>
        </w:rPr>
        <w:t>D</w:t>
      </w:r>
      <w:r w:rsidR="0077461F" w:rsidRPr="00BC76EB">
        <w:rPr>
          <w:rStyle w:val="BookTitle"/>
          <w:rFonts w:ascii="Arial" w:hAnsi="Arial" w:cs="Arial"/>
          <w:i w:val="0"/>
          <w:iCs w:val="0"/>
          <w:smallCaps w:val="0"/>
          <w:spacing w:val="0"/>
          <w:szCs w:val="24"/>
        </w:rPr>
        <w:t>etermination</w:t>
      </w:r>
      <w:r w:rsidR="000B4130" w:rsidRPr="00BC76EB">
        <w:rPr>
          <w:rStyle w:val="BookTitle"/>
          <w:rFonts w:ascii="Arial" w:hAnsi="Arial" w:cs="Arial"/>
          <w:i w:val="0"/>
          <w:iCs w:val="0"/>
          <w:smallCaps w:val="0"/>
          <w:spacing w:val="0"/>
          <w:szCs w:val="24"/>
        </w:rPr>
        <w:t xml:space="preserve"> commences on </w:t>
      </w:r>
      <w:r w:rsidR="00C01CC3">
        <w:rPr>
          <w:rStyle w:val="BookTitle"/>
          <w:rFonts w:ascii="Arial" w:hAnsi="Arial" w:cs="Arial"/>
          <w:i w:val="0"/>
          <w:iCs w:val="0"/>
          <w:smallCaps w:val="0"/>
          <w:spacing w:val="0"/>
          <w:szCs w:val="24"/>
        </w:rPr>
        <w:t>1 October 2015</w:t>
      </w:r>
      <w:r w:rsidR="000B4130" w:rsidRPr="00BC76EB">
        <w:rPr>
          <w:rStyle w:val="BookTitle"/>
          <w:rFonts w:ascii="Arial" w:hAnsi="Arial" w:cs="Arial"/>
          <w:i w:val="0"/>
          <w:iCs w:val="0"/>
          <w:smallCaps w:val="0"/>
          <w:spacing w:val="0"/>
          <w:szCs w:val="24"/>
        </w:rPr>
        <w:t>.</w:t>
      </w:r>
    </w:p>
    <w:p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435CA9" w:rsidRDefault="00435CA9" w:rsidP="00E01E71">
      <w:pPr>
        <w:rPr>
          <w:rFonts w:ascii="Arial" w:hAnsi="Arial" w:cs="Arial"/>
          <w:szCs w:val="24"/>
        </w:rPr>
      </w:pPr>
      <w:r>
        <w:rPr>
          <w:rFonts w:ascii="Arial" w:hAnsi="Arial" w:cs="Arial"/>
          <w:szCs w:val="24"/>
        </w:rPr>
        <w:t>The Department of Immigration and Border Protection was consulted to assist with ensur</w:t>
      </w:r>
      <w:r w:rsidR="0019288B">
        <w:rPr>
          <w:rFonts w:ascii="Arial" w:hAnsi="Arial" w:cs="Arial"/>
          <w:szCs w:val="24"/>
        </w:rPr>
        <w:t>ing</w:t>
      </w:r>
      <w:r>
        <w:rPr>
          <w:rFonts w:ascii="Arial" w:hAnsi="Arial" w:cs="Arial"/>
          <w:szCs w:val="24"/>
        </w:rPr>
        <w:t xml:space="preserve"> that the visa classes determined by this Determination are current.</w:t>
      </w:r>
    </w:p>
    <w:p w:rsidR="00435CA9" w:rsidRDefault="00435CA9" w:rsidP="00E01E71">
      <w:pPr>
        <w:rPr>
          <w:rFonts w:ascii="Arial" w:hAnsi="Arial" w:cs="Arial"/>
          <w:szCs w:val="24"/>
        </w:rPr>
      </w:pPr>
      <w:r>
        <w:rPr>
          <w:rFonts w:ascii="Arial" w:hAnsi="Arial" w:cs="Arial"/>
          <w:szCs w:val="24"/>
        </w:rPr>
        <w:t xml:space="preserve">The Attorney-General’s Department was consulted to ensure an accurate description of offences </w:t>
      </w:r>
      <w:r w:rsidR="00B54DD4">
        <w:rPr>
          <w:rFonts w:ascii="Arial" w:hAnsi="Arial" w:cs="Arial"/>
          <w:szCs w:val="24"/>
        </w:rPr>
        <w:t>set out i</w:t>
      </w:r>
      <w:r w:rsidR="0019288B">
        <w:rPr>
          <w:rFonts w:ascii="Arial" w:hAnsi="Arial" w:cs="Arial"/>
          <w:szCs w:val="24"/>
        </w:rPr>
        <w:t xml:space="preserve">n subsection 4(2) of the Determination.   </w:t>
      </w:r>
    </w:p>
    <w:p w:rsidR="00435CA9" w:rsidRDefault="00435CA9" w:rsidP="00E01E71">
      <w:pPr>
        <w:rPr>
          <w:rFonts w:ascii="Arial" w:hAnsi="Arial" w:cs="Arial"/>
          <w:szCs w:val="24"/>
        </w:rPr>
      </w:pPr>
      <w:r>
        <w:rPr>
          <w:rFonts w:ascii="Arial" w:hAnsi="Arial" w:cs="Arial"/>
          <w:szCs w:val="24"/>
        </w:rPr>
        <w:lastRenderedPageBreak/>
        <w:t xml:space="preserve">Public consultation was considered unnecessary because this Determination is administrative in nature in consolidating current determinations.  There are no </w:t>
      </w:r>
      <w:r w:rsidR="0019288B">
        <w:rPr>
          <w:rFonts w:ascii="Arial" w:hAnsi="Arial" w:cs="Arial"/>
          <w:szCs w:val="24"/>
        </w:rPr>
        <w:t xml:space="preserve">substantive </w:t>
      </w:r>
      <w:r>
        <w:rPr>
          <w:rFonts w:ascii="Arial" w:hAnsi="Arial" w:cs="Arial"/>
          <w:szCs w:val="24"/>
        </w:rPr>
        <w:t xml:space="preserve">changes to </w:t>
      </w:r>
      <w:r w:rsidR="0019288B">
        <w:rPr>
          <w:rFonts w:ascii="Arial" w:hAnsi="Arial" w:cs="Arial"/>
          <w:szCs w:val="24"/>
        </w:rPr>
        <w:t>the law as a result of this Determination.</w:t>
      </w:r>
    </w:p>
    <w:p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rsidR="0019288B" w:rsidRPr="0019288B" w:rsidRDefault="0019288B" w:rsidP="00C37944">
      <w:pPr>
        <w:spacing w:before="120"/>
        <w:rPr>
          <w:rFonts w:ascii="Arial" w:hAnsi="Arial" w:cs="Arial"/>
          <w:szCs w:val="24"/>
        </w:rPr>
      </w:pPr>
      <w:r w:rsidRPr="0019288B">
        <w:rPr>
          <w:rFonts w:ascii="Arial" w:hAnsi="Arial" w:cs="Arial"/>
          <w:szCs w:val="24"/>
        </w:rPr>
        <w:t>Th</w:t>
      </w:r>
      <w:r w:rsidR="00E519DC">
        <w:rPr>
          <w:rFonts w:ascii="Arial" w:hAnsi="Arial" w:cs="Arial"/>
          <w:szCs w:val="24"/>
        </w:rPr>
        <w:t>is</w:t>
      </w:r>
      <w:r w:rsidRPr="0019288B">
        <w:rPr>
          <w:rFonts w:ascii="Arial" w:hAnsi="Arial" w:cs="Arial"/>
          <w:szCs w:val="24"/>
        </w:rPr>
        <w:t xml:space="preserve"> Determination does not require a Regulation Impact Statement because the Determination is not regulatory in nature, will not impact on business activity and will have no or minimal compliance costs or competition impact.</w:t>
      </w:r>
    </w:p>
    <w:p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871F28" w:rsidRPr="00BC76EB">
        <w:rPr>
          <w:rStyle w:val="BookTitle"/>
          <w:rFonts w:ascii="Arial" w:hAnsi="Arial" w:cs="Arial"/>
          <w:i w:val="0"/>
          <w:iCs w:val="0"/>
          <w:smallCaps w:val="0"/>
          <w:spacing w:val="0"/>
          <w:szCs w:val="24"/>
        </w:rPr>
        <w:t xml:space="preserve"> </w:t>
      </w:r>
    </w:p>
    <w:p w:rsidR="00446D6C" w:rsidRPr="00760A08" w:rsidRDefault="00760A08"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how the Determination is to be cited, that is, as the </w:t>
      </w:r>
      <w:r>
        <w:rPr>
          <w:rStyle w:val="BookTitle"/>
          <w:rFonts w:ascii="Arial" w:hAnsi="Arial" w:cs="Arial"/>
          <w:iCs w:val="0"/>
          <w:smallCaps w:val="0"/>
          <w:spacing w:val="0"/>
          <w:szCs w:val="24"/>
        </w:rPr>
        <w:t xml:space="preserve">Social Security </w:t>
      </w:r>
      <w:r w:rsidRPr="000C5DAC">
        <w:rPr>
          <w:rFonts w:ascii="Arial" w:hAnsi="Arial" w:cs="Arial"/>
          <w:bCs/>
          <w:i/>
          <w:szCs w:val="24"/>
        </w:rPr>
        <w:t xml:space="preserve">Class of Visas – Qualification for Special Benefit) Determination 2015 </w:t>
      </w:r>
      <w:r>
        <w:rPr>
          <w:rFonts w:ascii="Arial" w:hAnsi="Arial" w:cs="Arial"/>
          <w:bCs/>
          <w:i/>
          <w:szCs w:val="24"/>
        </w:rPr>
        <w:t xml:space="preserve">    </w:t>
      </w:r>
      <w:r w:rsidRPr="000C5DAC">
        <w:rPr>
          <w:rFonts w:ascii="Arial" w:hAnsi="Arial" w:cs="Arial"/>
          <w:bCs/>
          <w:i/>
          <w:szCs w:val="24"/>
        </w:rPr>
        <w:t>(No. 2)</w:t>
      </w:r>
      <w:r>
        <w:rPr>
          <w:rFonts w:ascii="Arial" w:hAnsi="Arial" w:cs="Arial"/>
          <w:bCs/>
          <w:szCs w:val="24"/>
        </w:rPr>
        <w:t>.</w:t>
      </w:r>
    </w:p>
    <w:p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 </w:t>
      </w:r>
      <w:r w:rsidR="00871F28" w:rsidRPr="00BC76EB">
        <w:rPr>
          <w:rStyle w:val="BookTitle"/>
          <w:rFonts w:ascii="Arial" w:hAnsi="Arial" w:cs="Arial"/>
          <w:i w:val="0"/>
          <w:iCs w:val="0"/>
          <w:smallCaps w:val="0"/>
          <w:spacing w:val="0"/>
          <w:szCs w:val="24"/>
        </w:rPr>
        <w:t xml:space="preserve"> </w:t>
      </w:r>
    </w:p>
    <w:p w:rsidR="0095196E" w:rsidRDefault="0095196E" w:rsidP="006546B7">
      <w:pPr>
        <w:shd w:val="clear" w:color="auto" w:fill="FFFFFF"/>
        <w:spacing w:before="0"/>
        <w:textAlignment w:val="top"/>
        <w:rPr>
          <w:rFonts w:ascii="Arial" w:hAnsi="Arial" w:cs="Arial"/>
          <w:color w:val="111111"/>
          <w:szCs w:val="24"/>
        </w:rPr>
      </w:pPr>
    </w:p>
    <w:p w:rsidR="00760A08" w:rsidRDefault="00760A08" w:rsidP="006546B7">
      <w:pPr>
        <w:shd w:val="clear" w:color="auto" w:fill="FFFFFF"/>
        <w:spacing w:before="0"/>
        <w:textAlignment w:val="top"/>
        <w:rPr>
          <w:rFonts w:ascii="Arial" w:hAnsi="Arial" w:cs="Arial"/>
          <w:color w:val="000000" w:themeColor="text1"/>
          <w:szCs w:val="24"/>
        </w:rPr>
      </w:pPr>
      <w:r>
        <w:rPr>
          <w:rFonts w:ascii="Arial" w:hAnsi="Arial" w:cs="Arial"/>
          <w:color w:val="111111"/>
          <w:szCs w:val="24"/>
        </w:rPr>
        <w:t xml:space="preserve">This section provides that the Determination commences on 1 October 2015.  This is the day on which the </w:t>
      </w:r>
      <w:r w:rsidR="00E752E9">
        <w:rPr>
          <w:rFonts w:ascii="Arial" w:hAnsi="Arial" w:cs="Arial"/>
          <w:i/>
          <w:color w:val="111111"/>
          <w:szCs w:val="24"/>
        </w:rPr>
        <w:t>Social Security (Class of Visas – Qualification for Special Benefit) Determination 2005</w:t>
      </w:r>
      <w:r w:rsidR="00E752E9">
        <w:rPr>
          <w:rFonts w:ascii="Arial" w:hAnsi="Arial" w:cs="Arial"/>
          <w:color w:val="111111"/>
          <w:szCs w:val="24"/>
        </w:rPr>
        <w:t xml:space="preserve"> and the </w:t>
      </w:r>
      <w:r>
        <w:rPr>
          <w:rFonts w:ascii="Arial" w:hAnsi="Arial" w:cs="Arial"/>
          <w:i/>
          <w:color w:val="000000" w:themeColor="text1"/>
          <w:szCs w:val="24"/>
        </w:rPr>
        <w:t>Social Security (Class of Visas – Qualification for Special Benefit) Determination 2005 (No. 2)</w:t>
      </w:r>
      <w:r>
        <w:rPr>
          <w:rFonts w:ascii="Arial" w:hAnsi="Arial" w:cs="Arial"/>
          <w:color w:val="000000" w:themeColor="text1"/>
          <w:szCs w:val="24"/>
        </w:rPr>
        <w:t xml:space="preserve"> </w:t>
      </w:r>
      <w:r w:rsidR="00DA167C">
        <w:rPr>
          <w:rFonts w:ascii="Arial" w:hAnsi="Arial" w:cs="Arial"/>
          <w:color w:val="000000" w:themeColor="text1"/>
          <w:szCs w:val="24"/>
        </w:rPr>
        <w:t>c</w:t>
      </w:r>
      <w:r>
        <w:rPr>
          <w:rFonts w:ascii="Arial" w:hAnsi="Arial" w:cs="Arial"/>
          <w:color w:val="000000" w:themeColor="text1"/>
          <w:szCs w:val="24"/>
        </w:rPr>
        <w:t>ease.</w:t>
      </w:r>
    </w:p>
    <w:p w:rsidR="00DA167C" w:rsidRDefault="00DA167C" w:rsidP="006546B7">
      <w:pPr>
        <w:shd w:val="clear" w:color="auto" w:fill="FFFFFF"/>
        <w:spacing w:before="0"/>
        <w:textAlignment w:val="top"/>
        <w:rPr>
          <w:rFonts w:ascii="Arial" w:hAnsi="Arial" w:cs="Arial"/>
          <w:color w:val="000000" w:themeColor="text1"/>
          <w:szCs w:val="24"/>
        </w:rPr>
      </w:pPr>
    </w:p>
    <w:p w:rsidR="00DA167C" w:rsidRDefault="00DA167C" w:rsidP="006546B7">
      <w:pPr>
        <w:shd w:val="clear" w:color="auto" w:fill="FFFFFF"/>
        <w:spacing w:before="0"/>
        <w:textAlignment w:val="top"/>
        <w:rPr>
          <w:rFonts w:ascii="Arial" w:hAnsi="Arial" w:cs="Arial"/>
          <w:color w:val="000000" w:themeColor="text1"/>
          <w:szCs w:val="24"/>
          <w:u w:val="single"/>
        </w:rPr>
      </w:pPr>
      <w:r>
        <w:rPr>
          <w:rFonts w:ascii="Arial" w:hAnsi="Arial" w:cs="Arial"/>
          <w:color w:val="000000" w:themeColor="text1"/>
          <w:szCs w:val="24"/>
          <w:u w:val="single"/>
        </w:rPr>
        <w:t xml:space="preserve">Section 3 </w:t>
      </w:r>
    </w:p>
    <w:p w:rsidR="00DA167C" w:rsidRDefault="00DA167C" w:rsidP="006546B7">
      <w:pPr>
        <w:shd w:val="clear" w:color="auto" w:fill="FFFFFF"/>
        <w:spacing w:before="0"/>
        <w:textAlignment w:val="top"/>
        <w:rPr>
          <w:rFonts w:ascii="Arial" w:hAnsi="Arial" w:cs="Arial"/>
          <w:color w:val="000000" w:themeColor="text1"/>
          <w:szCs w:val="24"/>
          <w:u w:val="single"/>
        </w:rPr>
      </w:pPr>
    </w:p>
    <w:p w:rsidR="00FF586E" w:rsidRDefault="00DA167C" w:rsidP="006546B7">
      <w:pPr>
        <w:shd w:val="clear" w:color="auto" w:fill="FFFFFF"/>
        <w:spacing w:before="0"/>
        <w:textAlignment w:val="top"/>
        <w:rPr>
          <w:rFonts w:ascii="Arial" w:hAnsi="Arial" w:cs="Arial"/>
          <w:color w:val="111111"/>
          <w:szCs w:val="24"/>
        </w:rPr>
      </w:pPr>
      <w:r w:rsidRPr="00E519DC">
        <w:rPr>
          <w:rFonts w:ascii="Arial" w:hAnsi="Arial" w:cs="Arial"/>
          <w:color w:val="111111"/>
          <w:szCs w:val="24"/>
        </w:rPr>
        <w:t xml:space="preserve">Section 3 provides that </w:t>
      </w:r>
      <w:r w:rsidR="005E2B91" w:rsidRPr="00E519DC">
        <w:rPr>
          <w:rFonts w:ascii="Arial" w:hAnsi="Arial" w:cs="Arial"/>
          <w:color w:val="111111"/>
          <w:szCs w:val="24"/>
        </w:rPr>
        <w:t>five</w:t>
      </w:r>
      <w:r w:rsidRPr="00E519DC">
        <w:rPr>
          <w:rFonts w:ascii="Arial" w:hAnsi="Arial" w:cs="Arial"/>
          <w:color w:val="111111"/>
          <w:szCs w:val="24"/>
        </w:rPr>
        <w:t xml:space="preserve"> determinations are revoked.  Those </w:t>
      </w:r>
      <w:r w:rsidR="005E2B91" w:rsidRPr="00E519DC">
        <w:rPr>
          <w:rFonts w:ascii="Arial" w:hAnsi="Arial" w:cs="Arial"/>
          <w:color w:val="111111"/>
          <w:szCs w:val="24"/>
        </w:rPr>
        <w:t>five</w:t>
      </w:r>
      <w:r w:rsidRPr="00E519DC">
        <w:rPr>
          <w:rFonts w:ascii="Arial" w:hAnsi="Arial" w:cs="Arial"/>
          <w:color w:val="111111"/>
          <w:szCs w:val="24"/>
        </w:rPr>
        <w:t xml:space="preserve"> determinations determine visa classes for the purpose</w:t>
      </w:r>
      <w:r w:rsidR="00E519DC">
        <w:rPr>
          <w:rFonts w:ascii="Arial" w:hAnsi="Arial" w:cs="Arial"/>
          <w:color w:val="111111"/>
          <w:szCs w:val="24"/>
        </w:rPr>
        <w:t>s</w:t>
      </w:r>
      <w:r w:rsidRPr="00E519DC">
        <w:rPr>
          <w:rFonts w:ascii="Arial" w:hAnsi="Arial" w:cs="Arial"/>
          <w:color w:val="111111"/>
          <w:szCs w:val="24"/>
        </w:rPr>
        <w:t xml:space="preserve"> of subparagraph 729(2</w:t>
      </w:r>
      <w:proofErr w:type="gramStart"/>
      <w:r w:rsidRPr="00E519DC">
        <w:rPr>
          <w:rFonts w:ascii="Arial" w:hAnsi="Arial" w:cs="Arial"/>
          <w:color w:val="111111"/>
          <w:szCs w:val="24"/>
        </w:rPr>
        <w:t>)(</w:t>
      </w:r>
      <w:proofErr w:type="gramEnd"/>
      <w:r w:rsidRPr="00E519DC">
        <w:rPr>
          <w:rFonts w:ascii="Arial" w:hAnsi="Arial" w:cs="Arial"/>
          <w:color w:val="111111"/>
          <w:szCs w:val="24"/>
        </w:rPr>
        <w:t>f)(v) of the Act.  The visa classes determined in those determinations</w:t>
      </w:r>
      <w:r w:rsidR="00B54DD4" w:rsidRPr="00E519DC">
        <w:rPr>
          <w:rFonts w:ascii="Arial" w:hAnsi="Arial" w:cs="Arial"/>
          <w:color w:val="111111"/>
          <w:szCs w:val="24"/>
        </w:rPr>
        <w:t>, and</w:t>
      </w:r>
      <w:r w:rsidRPr="00E519DC">
        <w:rPr>
          <w:rFonts w:ascii="Arial" w:hAnsi="Arial" w:cs="Arial"/>
          <w:color w:val="111111"/>
          <w:szCs w:val="24"/>
        </w:rPr>
        <w:t xml:space="preserve"> which remain in effect</w:t>
      </w:r>
      <w:r w:rsidR="00B54DD4" w:rsidRPr="00E519DC">
        <w:rPr>
          <w:rFonts w:ascii="Arial" w:hAnsi="Arial" w:cs="Arial"/>
          <w:color w:val="111111"/>
          <w:szCs w:val="24"/>
        </w:rPr>
        <w:t xml:space="preserve"> under the </w:t>
      </w:r>
      <w:r w:rsidR="00B54DD4" w:rsidRPr="00E519DC">
        <w:rPr>
          <w:rFonts w:ascii="Arial" w:hAnsi="Arial" w:cs="Arial"/>
          <w:i/>
          <w:color w:val="111111"/>
          <w:szCs w:val="24"/>
        </w:rPr>
        <w:t>Migration Regulations 1994</w:t>
      </w:r>
      <w:r w:rsidR="00B54DD4" w:rsidRPr="00E519DC">
        <w:rPr>
          <w:rFonts w:ascii="Arial" w:hAnsi="Arial" w:cs="Arial"/>
          <w:color w:val="111111"/>
          <w:szCs w:val="24"/>
        </w:rPr>
        <w:t>,</w:t>
      </w:r>
      <w:r w:rsidRPr="00E519DC">
        <w:rPr>
          <w:rFonts w:ascii="Arial" w:hAnsi="Arial" w:cs="Arial"/>
          <w:color w:val="111111"/>
          <w:szCs w:val="24"/>
        </w:rPr>
        <w:t xml:space="preserve"> are now determined in this Determination.  As such, it is possible to revoke the </w:t>
      </w:r>
      <w:r w:rsidR="005E2B91" w:rsidRPr="00E519DC">
        <w:rPr>
          <w:rFonts w:ascii="Arial" w:hAnsi="Arial" w:cs="Arial"/>
          <w:color w:val="111111"/>
          <w:szCs w:val="24"/>
        </w:rPr>
        <w:t>five</w:t>
      </w:r>
      <w:r w:rsidRPr="00E519DC">
        <w:rPr>
          <w:rFonts w:ascii="Arial" w:hAnsi="Arial" w:cs="Arial"/>
          <w:color w:val="111111"/>
          <w:szCs w:val="24"/>
        </w:rPr>
        <w:t xml:space="preserve"> determinations.</w:t>
      </w:r>
      <w:r>
        <w:rPr>
          <w:rFonts w:ascii="Arial" w:hAnsi="Arial" w:cs="Arial"/>
          <w:color w:val="111111"/>
          <w:szCs w:val="24"/>
        </w:rPr>
        <w:t xml:space="preserve">  </w:t>
      </w:r>
    </w:p>
    <w:p w:rsidR="00FF586E" w:rsidRDefault="00FF586E" w:rsidP="006546B7">
      <w:pPr>
        <w:shd w:val="clear" w:color="auto" w:fill="FFFFFF"/>
        <w:spacing w:before="0"/>
        <w:textAlignment w:val="top"/>
        <w:rPr>
          <w:rFonts w:ascii="Arial" w:hAnsi="Arial" w:cs="Arial"/>
          <w:color w:val="111111"/>
          <w:szCs w:val="24"/>
        </w:rPr>
      </w:pPr>
    </w:p>
    <w:p w:rsidR="00DA167C" w:rsidRDefault="00DA167C" w:rsidP="006546B7">
      <w:pPr>
        <w:shd w:val="clear" w:color="auto" w:fill="FFFFFF"/>
        <w:spacing w:before="0"/>
        <w:textAlignment w:val="top"/>
        <w:rPr>
          <w:rStyle w:val="BookTitle"/>
          <w:rFonts w:ascii="Arial" w:hAnsi="Arial" w:cs="Arial"/>
          <w:i w:val="0"/>
          <w:iCs w:val="0"/>
          <w:smallCaps w:val="0"/>
          <w:spacing w:val="0"/>
        </w:rPr>
      </w:pPr>
      <w:r>
        <w:rPr>
          <w:rFonts w:ascii="Arial" w:hAnsi="Arial" w:cs="Arial"/>
          <w:color w:val="111111"/>
          <w:szCs w:val="24"/>
        </w:rPr>
        <w:t xml:space="preserve">The </w:t>
      </w:r>
      <w:r w:rsidR="005E2B91">
        <w:rPr>
          <w:rFonts w:ascii="Arial" w:hAnsi="Arial" w:cs="Arial"/>
          <w:i/>
          <w:color w:val="111111"/>
          <w:szCs w:val="24"/>
        </w:rPr>
        <w:t xml:space="preserve">Social Security (Class of Visas – Qualification for Special Benefit) Determination 2005 </w:t>
      </w:r>
      <w:r w:rsidR="005E2B91">
        <w:rPr>
          <w:rFonts w:ascii="Arial" w:hAnsi="Arial" w:cs="Arial"/>
          <w:color w:val="111111"/>
          <w:szCs w:val="24"/>
        </w:rPr>
        <w:t xml:space="preserve">and the </w:t>
      </w:r>
      <w:r>
        <w:rPr>
          <w:rFonts w:ascii="Arial" w:hAnsi="Arial" w:cs="Arial"/>
          <w:i/>
          <w:color w:val="111111"/>
          <w:szCs w:val="24"/>
        </w:rPr>
        <w:t xml:space="preserve">Social Security (Class of Visas – Qualification for Special Benefit) Determination 2005 (No. 2) </w:t>
      </w:r>
      <w:r>
        <w:rPr>
          <w:rFonts w:ascii="Arial" w:hAnsi="Arial" w:cs="Arial"/>
          <w:color w:val="111111"/>
          <w:szCs w:val="24"/>
        </w:rPr>
        <w:t>ha</w:t>
      </w:r>
      <w:r w:rsidR="005E2B91">
        <w:rPr>
          <w:rFonts w:ascii="Arial" w:hAnsi="Arial" w:cs="Arial"/>
          <w:color w:val="111111"/>
          <w:szCs w:val="24"/>
        </w:rPr>
        <w:t>ve</w:t>
      </w:r>
      <w:r>
        <w:rPr>
          <w:rFonts w:ascii="Arial" w:hAnsi="Arial" w:cs="Arial"/>
          <w:color w:val="111111"/>
          <w:szCs w:val="24"/>
        </w:rPr>
        <w:t xml:space="preserve"> not been revoked because th</w:t>
      </w:r>
      <w:r w:rsidR="005E2B91">
        <w:rPr>
          <w:rFonts w:ascii="Arial" w:hAnsi="Arial" w:cs="Arial"/>
          <w:color w:val="111111"/>
          <w:szCs w:val="24"/>
        </w:rPr>
        <w:t>ose</w:t>
      </w:r>
      <w:r>
        <w:rPr>
          <w:rFonts w:ascii="Arial" w:hAnsi="Arial" w:cs="Arial"/>
          <w:color w:val="111111"/>
          <w:szCs w:val="24"/>
        </w:rPr>
        <w:t xml:space="preserve"> determination</w:t>
      </w:r>
      <w:r w:rsidR="005E2B91">
        <w:rPr>
          <w:rFonts w:ascii="Arial" w:hAnsi="Arial" w:cs="Arial"/>
          <w:color w:val="111111"/>
          <w:szCs w:val="24"/>
        </w:rPr>
        <w:t>s</w:t>
      </w:r>
      <w:r>
        <w:rPr>
          <w:rFonts w:ascii="Arial" w:hAnsi="Arial" w:cs="Arial"/>
          <w:color w:val="111111"/>
          <w:szCs w:val="24"/>
        </w:rPr>
        <w:t xml:space="preserve"> </w:t>
      </w:r>
      <w:r w:rsidR="00FF586E" w:rsidRPr="00EA4251">
        <w:rPr>
          <w:rStyle w:val="BookTitle"/>
          <w:rFonts w:ascii="Arial" w:hAnsi="Arial" w:cs="Arial"/>
          <w:i w:val="0"/>
          <w:iCs w:val="0"/>
          <w:smallCaps w:val="0"/>
          <w:spacing w:val="0"/>
          <w:szCs w:val="24"/>
        </w:rPr>
        <w:t xml:space="preserve">cease under Part 6 of the </w:t>
      </w:r>
      <w:r w:rsidR="00FF586E" w:rsidRPr="00EA4251">
        <w:rPr>
          <w:rStyle w:val="BookTitle"/>
          <w:rFonts w:ascii="Arial" w:hAnsi="Arial" w:cs="Arial"/>
          <w:iCs w:val="0"/>
          <w:smallCaps w:val="0"/>
          <w:spacing w:val="0"/>
        </w:rPr>
        <w:t xml:space="preserve">Legislative Instruments Act 2003 </w:t>
      </w:r>
      <w:r w:rsidR="00FF586E" w:rsidRPr="00EA4251">
        <w:rPr>
          <w:rStyle w:val="BookTitle"/>
          <w:rFonts w:ascii="Arial" w:hAnsi="Arial" w:cs="Arial"/>
          <w:i w:val="0"/>
          <w:iCs w:val="0"/>
          <w:smallCaps w:val="0"/>
          <w:spacing w:val="0"/>
        </w:rPr>
        <w:t>(sunsetting of legislat</w:t>
      </w:r>
      <w:r w:rsidR="00FF586E">
        <w:rPr>
          <w:rStyle w:val="BookTitle"/>
          <w:rFonts w:ascii="Arial" w:hAnsi="Arial" w:cs="Arial"/>
          <w:i w:val="0"/>
          <w:iCs w:val="0"/>
          <w:smallCaps w:val="0"/>
          <w:spacing w:val="0"/>
        </w:rPr>
        <w:t>ive instruments) on 1 October 2015.  This is the same day that this Determination commences.</w:t>
      </w:r>
    </w:p>
    <w:p w:rsidR="00FF586E" w:rsidRDefault="00FF586E" w:rsidP="006546B7">
      <w:pPr>
        <w:shd w:val="clear" w:color="auto" w:fill="FFFFFF"/>
        <w:spacing w:before="0"/>
        <w:textAlignment w:val="top"/>
        <w:rPr>
          <w:rStyle w:val="BookTitle"/>
          <w:rFonts w:ascii="Arial" w:hAnsi="Arial" w:cs="Arial"/>
          <w:i w:val="0"/>
          <w:iCs w:val="0"/>
          <w:smallCaps w:val="0"/>
          <w:spacing w:val="0"/>
        </w:rPr>
      </w:pPr>
    </w:p>
    <w:p w:rsidR="00FF586E" w:rsidRDefault="00FF586E" w:rsidP="006546B7">
      <w:pPr>
        <w:shd w:val="clear" w:color="auto" w:fill="FFFFFF"/>
        <w:spacing w:before="0"/>
        <w:textAlignment w:val="top"/>
        <w:rPr>
          <w:rStyle w:val="BookTitle"/>
          <w:rFonts w:ascii="Arial" w:hAnsi="Arial" w:cs="Arial"/>
          <w:i w:val="0"/>
          <w:iCs w:val="0"/>
          <w:smallCaps w:val="0"/>
          <w:spacing w:val="0"/>
          <w:u w:val="single"/>
        </w:rPr>
      </w:pPr>
      <w:r>
        <w:rPr>
          <w:rStyle w:val="BookTitle"/>
          <w:rFonts w:ascii="Arial" w:hAnsi="Arial" w:cs="Arial"/>
          <w:i w:val="0"/>
          <w:iCs w:val="0"/>
          <w:smallCaps w:val="0"/>
          <w:spacing w:val="0"/>
          <w:u w:val="single"/>
        </w:rPr>
        <w:t>Section 4</w:t>
      </w:r>
    </w:p>
    <w:p w:rsidR="00FF586E" w:rsidRDefault="00FF586E" w:rsidP="006546B7">
      <w:pPr>
        <w:shd w:val="clear" w:color="auto" w:fill="FFFFFF"/>
        <w:spacing w:before="0"/>
        <w:textAlignment w:val="top"/>
        <w:rPr>
          <w:rStyle w:val="BookTitle"/>
          <w:rFonts w:ascii="Arial" w:hAnsi="Arial" w:cs="Arial"/>
          <w:i w:val="0"/>
          <w:iCs w:val="0"/>
          <w:smallCaps w:val="0"/>
          <w:spacing w:val="0"/>
          <w:u w:val="single"/>
        </w:rPr>
      </w:pPr>
    </w:p>
    <w:p w:rsidR="00FF586E" w:rsidRDefault="005E2B91" w:rsidP="006546B7">
      <w:pPr>
        <w:shd w:val="clear" w:color="auto" w:fill="FFFFFF"/>
        <w:spacing w:before="0"/>
        <w:textAlignment w:val="top"/>
        <w:rPr>
          <w:rFonts w:ascii="Arial" w:hAnsi="Arial" w:cs="Arial"/>
          <w:color w:val="111111"/>
          <w:szCs w:val="24"/>
        </w:rPr>
      </w:pPr>
      <w:r>
        <w:rPr>
          <w:rFonts w:ascii="Arial" w:hAnsi="Arial" w:cs="Arial"/>
          <w:color w:val="111111"/>
          <w:szCs w:val="24"/>
        </w:rPr>
        <w:t>Subs</w:t>
      </w:r>
      <w:r w:rsidR="00FF586E">
        <w:rPr>
          <w:rFonts w:ascii="Arial" w:hAnsi="Arial" w:cs="Arial"/>
          <w:color w:val="111111"/>
          <w:szCs w:val="24"/>
        </w:rPr>
        <w:t xml:space="preserve">ection </w:t>
      </w:r>
      <w:r>
        <w:rPr>
          <w:rFonts w:ascii="Arial" w:hAnsi="Arial" w:cs="Arial"/>
          <w:color w:val="111111"/>
          <w:szCs w:val="24"/>
        </w:rPr>
        <w:t xml:space="preserve">4(1) </w:t>
      </w:r>
      <w:r w:rsidR="00FF586E">
        <w:rPr>
          <w:rFonts w:ascii="Arial" w:hAnsi="Arial" w:cs="Arial"/>
          <w:color w:val="111111"/>
          <w:szCs w:val="24"/>
        </w:rPr>
        <w:t>determines classes of visas for the purpose</w:t>
      </w:r>
      <w:r w:rsidR="00E519DC">
        <w:rPr>
          <w:rFonts w:ascii="Arial" w:hAnsi="Arial" w:cs="Arial"/>
          <w:color w:val="111111"/>
          <w:szCs w:val="24"/>
        </w:rPr>
        <w:t>s</w:t>
      </w:r>
      <w:r w:rsidR="00FF586E">
        <w:rPr>
          <w:rFonts w:ascii="Arial" w:hAnsi="Arial" w:cs="Arial"/>
          <w:color w:val="111111"/>
          <w:szCs w:val="24"/>
        </w:rPr>
        <w:t xml:space="preserve"> of subparagraph 729(2</w:t>
      </w:r>
      <w:proofErr w:type="gramStart"/>
      <w:r w:rsidR="00FF586E">
        <w:rPr>
          <w:rFonts w:ascii="Arial" w:hAnsi="Arial" w:cs="Arial"/>
          <w:color w:val="111111"/>
          <w:szCs w:val="24"/>
        </w:rPr>
        <w:t>)(</w:t>
      </w:r>
      <w:proofErr w:type="gramEnd"/>
      <w:r w:rsidR="00FF586E">
        <w:rPr>
          <w:rFonts w:ascii="Arial" w:hAnsi="Arial" w:cs="Arial"/>
          <w:color w:val="111111"/>
          <w:szCs w:val="24"/>
        </w:rPr>
        <w:t xml:space="preserve">f)(v) of the Act.  </w:t>
      </w:r>
      <w:r>
        <w:rPr>
          <w:rFonts w:ascii="Arial" w:hAnsi="Arial" w:cs="Arial"/>
          <w:color w:val="111111"/>
          <w:szCs w:val="24"/>
        </w:rPr>
        <w:t>A holder or former holder of one of these classes of visa is qualified for special benefit if the other qualification requirements are met.</w:t>
      </w:r>
      <w:r w:rsidR="00C64251">
        <w:rPr>
          <w:rFonts w:ascii="Arial" w:hAnsi="Arial" w:cs="Arial"/>
          <w:color w:val="111111"/>
          <w:szCs w:val="24"/>
        </w:rPr>
        <w:t xml:space="preserve">  The classes of visa are:</w:t>
      </w:r>
    </w:p>
    <w:p w:rsidR="00C64251" w:rsidRPr="00930157" w:rsidRDefault="00C64251" w:rsidP="00C64251">
      <w:pPr>
        <w:pStyle w:val="subsection"/>
        <w:numPr>
          <w:ilvl w:val="0"/>
          <w:numId w:val="19"/>
        </w:numPr>
        <w:rPr>
          <w:rFonts w:ascii="Arial" w:hAnsi="Arial" w:cs="Arial"/>
          <w:sz w:val="24"/>
          <w:szCs w:val="24"/>
        </w:rPr>
      </w:pPr>
      <w:r w:rsidRPr="00930157">
        <w:rPr>
          <w:rFonts w:ascii="Arial" w:hAnsi="Arial" w:cs="Arial"/>
          <w:sz w:val="24"/>
          <w:szCs w:val="24"/>
        </w:rPr>
        <w:t>Subclass 070</w:t>
      </w:r>
      <w:r>
        <w:rPr>
          <w:rFonts w:ascii="Arial" w:hAnsi="Arial" w:cs="Arial"/>
          <w:sz w:val="24"/>
          <w:szCs w:val="24"/>
        </w:rPr>
        <w:t xml:space="preserve"> (</w:t>
      </w:r>
      <w:r w:rsidRPr="00930157">
        <w:rPr>
          <w:rFonts w:ascii="Arial" w:hAnsi="Arial" w:cs="Arial"/>
          <w:sz w:val="24"/>
          <w:szCs w:val="24"/>
        </w:rPr>
        <w:t>Bridging</w:t>
      </w:r>
      <w:r w:rsidR="00AD7971">
        <w:rPr>
          <w:rFonts w:ascii="Arial" w:hAnsi="Arial" w:cs="Arial"/>
          <w:sz w:val="24"/>
          <w:szCs w:val="24"/>
        </w:rPr>
        <w:t xml:space="preserve"> (Removal Pending)</w:t>
      </w:r>
      <w:r>
        <w:rPr>
          <w:rFonts w:ascii="Arial" w:hAnsi="Arial" w:cs="Arial"/>
          <w:sz w:val="24"/>
          <w:szCs w:val="24"/>
        </w:rPr>
        <w:t>);</w:t>
      </w:r>
      <w:r w:rsidRPr="00930157">
        <w:rPr>
          <w:rFonts w:ascii="Arial" w:hAnsi="Arial" w:cs="Arial"/>
          <w:sz w:val="24"/>
          <w:szCs w:val="24"/>
        </w:rPr>
        <w:t xml:space="preserve">  </w:t>
      </w:r>
    </w:p>
    <w:p w:rsidR="00C64251" w:rsidRPr="00E519DC" w:rsidRDefault="00C64251" w:rsidP="00E519DC">
      <w:pPr>
        <w:pStyle w:val="subsection"/>
        <w:numPr>
          <w:ilvl w:val="0"/>
          <w:numId w:val="19"/>
        </w:numPr>
        <w:spacing w:before="0"/>
        <w:ind w:left="714" w:hanging="357"/>
        <w:rPr>
          <w:rFonts w:ascii="Arial" w:hAnsi="Arial" w:cs="Arial"/>
          <w:sz w:val="24"/>
          <w:szCs w:val="24"/>
        </w:rPr>
      </w:pPr>
      <w:r w:rsidRPr="00391A54">
        <w:rPr>
          <w:rFonts w:ascii="Arial" w:hAnsi="Arial" w:cs="Arial"/>
          <w:sz w:val="24"/>
          <w:szCs w:val="24"/>
        </w:rPr>
        <w:t>Subclass 309 (Partner</w:t>
      </w:r>
      <w:r w:rsidR="00E752E9">
        <w:rPr>
          <w:rFonts w:ascii="Arial" w:hAnsi="Arial" w:cs="Arial"/>
          <w:sz w:val="24"/>
          <w:szCs w:val="24"/>
        </w:rPr>
        <w:t xml:space="preserve"> (Provisional)</w:t>
      </w:r>
      <w:r w:rsidRPr="00391A54">
        <w:rPr>
          <w:rFonts w:ascii="Arial" w:hAnsi="Arial" w:cs="Arial"/>
          <w:sz w:val="24"/>
          <w:szCs w:val="24"/>
        </w:rPr>
        <w:t xml:space="preserve">); </w:t>
      </w:r>
    </w:p>
    <w:p w:rsidR="00C64251" w:rsidRPr="001E58F7" w:rsidRDefault="00C64251" w:rsidP="00E519DC">
      <w:pPr>
        <w:pStyle w:val="subsection"/>
        <w:numPr>
          <w:ilvl w:val="0"/>
          <w:numId w:val="19"/>
        </w:numPr>
        <w:spacing w:before="0"/>
        <w:ind w:left="714" w:hanging="357"/>
        <w:rPr>
          <w:rFonts w:ascii="Arial" w:hAnsi="Arial" w:cs="Arial"/>
          <w:sz w:val="24"/>
          <w:szCs w:val="24"/>
        </w:rPr>
      </w:pPr>
      <w:r w:rsidRPr="001E58F7">
        <w:rPr>
          <w:rFonts w:ascii="Arial" w:hAnsi="Arial" w:cs="Arial"/>
          <w:sz w:val="24"/>
          <w:szCs w:val="24"/>
        </w:rPr>
        <w:t>Subclass 449</w:t>
      </w:r>
      <w:r>
        <w:rPr>
          <w:rFonts w:ascii="Arial" w:hAnsi="Arial" w:cs="Arial"/>
          <w:sz w:val="24"/>
          <w:szCs w:val="24"/>
        </w:rPr>
        <w:t xml:space="preserve"> (</w:t>
      </w:r>
      <w:r w:rsidRPr="001E58F7">
        <w:rPr>
          <w:rFonts w:ascii="Arial" w:hAnsi="Arial" w:cs="Arial"/>
          <w:sz w:val="24"/>
          <w:szCs w:val="24"/>
        </w:rPr>
        <w:t>Humanitarian Stay (Temporary)</w:t>
      </w:r>
      <w:r>
        <w:rPr>
          <w:rFonts w:ascii="Arial" w:hAnsi="Arial" w:cs="Arial"/>
          <w:sz w:val="24"/>
          <w:szCs w:val="24"/>
        </w:rPr>
        <w:t>)</w:t>
      </w:r>
      <w:r w:rsidRPr="001E58F7">
        <w:rPr>
          <w:rFonts w:ascii="Arial" w:hAnsi="Arial" w:cs="Arial"/>
          <w:sz w:val="24"/>
          <w:szCs w:val="24"/>
        </w:rPr>
        <w:t xml:space="preserve">; </w:t>
      </w:r>
    </w:p>
    <w:p w:rsidR="00C64251" w:rsidRPr="001E58F7" w:rsidRDefault="00C64251" w:rsidP="00E519DC">
      <w:pPr>
        <w:pStyle w:val="subsection"/>
        <w:numPr>
          <w:ilvl w:val="0"/>
          <w:numId w:val="19"/>
        </w:numPr>
        <w:spacing w:before="0"/>
        <w:rPr>
          <w:rFonts w:ascii="Arial" w:hAnsi="Arial" w:cs="Arial"/>
          <w:sz w:val="24"/>
          <w:szCs w:val="24"/>
        </w:rPr>
      </w:pPr>
      <w:r w:rsidRPr="001E58F7">
        <w:rPr>
          <w:rFonts w:ascii="Arial" w:hAnsi="Arial" w:cs="Arial"/>
          <w:sz w:val="24"/>
          <w:szCs w:val="24"/>
        </w:rPr>
        <w:t xml:space="preserve">Subclass 785 </w:t>
      </w:r>
      <w:r>
        <w:rPr>
          <w:rFonts w:ascii="Arial" w:hAnsi="Arial" w:cs="Arial"/>
          <w:sz w:val="24"/>
          <w:szCs w:val="24"/>
        </w:rPr>
        <w:t>(</w:t>
      </w:r>
      <w:r w:rsidRPr="001E58F7">
        <w:rPr>
          <w:rFonts w:ascii="Arial" w:hAnsi="Arial" w:cs="Arial"/>
          <w:sz w:val="24"/>
          <w:szCs w:val="24"/>
        </w:rPr>
        <w:t>Temporary Protection</w:t>
      </w:r>
      <w:r>
        <w:rPr>
          <w:rFonts w:ascii="Arial" w:hAnsi="Arial" w:cs="Arial"/>
          <w:sz w:val="24"/>
          <w:szCs w:val="24"/>
        </w:rPr>
        <w:t>)</w:t>
      </w:r>
      <w:r w:rsidRPr="001E58F7">
        <w:rPr>
          <w:rFonts w:ascii="Arial" w:hAnsi="Arial" w:cs="Arial"/>
          <w:sz w:val="24"/>
          <w:szCs w:val="24"/>
        </w:rPr>
        <w:t xml:space="preserve">; </w:t>
      </w:r>
    </w:p>
    <w:p w:rsidR="00C64251" w:rsidRPr="001E58F7" w:rsidRDefault="00C64251" w:rsidP="00E519DC">
      <w:pPr>
        <w:pStyle w:val="subsection"/>
        <w:numPr>
          <w:ilvl w:val="0"/>
          <w:numId w:val="19"/>
        </w:numPr>
        <w:spacing w:before="0"/>
        <w:rPr>
          <w:rFonts w:ascii="Arial" w:hAnsi="Arial" w:cs="Arial"/>
          <w:sz w:val="24"/>
          <w:szCs w:val="24"/>
        </w:rPr>
      </w:pPr>
      <w:r w:rsidRPr="001E58F7">
        <w:rPr>
          <w:rFonts w:ascii="Arial" w:hAnsi="Arial" w:cs="Arial"/>
          <w:sz w:val="24"/>
          <w:szCs w:val="24"/>
        </w:rPr>
        <w:lastRenderedPageBreak/>
        <w:t>Subclass 786</w:t>
      </w:r>
      <w:r>
        <w:rPr>
          <w:rFonts w:ascii="Arial" w:hAnsi="Arial" w:cs="Arial"/>
          <w:sz w:val="24"/>
          <w:szCs w:val="24"/>
        </w:rPr>
        <w:t xml:space="preserve"> (</w:t>
      </w:r>
      <w:r w:rsidRPr="001E58F7">
        <w:rPr>
          <w:rFonts w:ascii="Arial" w:hAnsi="Arial" w:cs="Arial"/>
          <w:sz w:val="24"/>
          <w:szCs w:val="24"/>
        </w:rPr>
        <w:t>Temporary (Humanitarian Concern)</w:t>
      </w:r>
      <w:r>
        <w:rPr>
          <w:rFonts w:ascii="Arial" w:hAnsi="Arial" w:cs="Arial"/>
          <w:sz w:val="24"/>
          <w:szCs w:val="24"/>
        </w:rPr>
        <w:t>)</w:t>
      </w:r>
      <w:r w:rsidRPr="001E58F7">
        <w:rPr>
          <w:rFonts w:ascii="Arial" w:hAnsi="Arial" w:cs="Arial"/>
          <w:sz w:val="24"/>
          <w:szCs w:val="24"/>
        </w:rPr>
        <w:t xml:space="preserve">; </w:t>
      </w:r>
    </w:p>
    <w:p w:rsidR="00C64251" w:rsidRPr="001E58F7" w:rsidRDefault="00C64251" w:rsidP="00E519DC">
      <w:pPr>
        <w:pStyle w:val="subsection"/>
        <w:numPr>
          <w:ilvl w:val="0"/>
          <w:numId w:val="19"/>
        </w:numPr>
        <w:spacing w:before="0"/>
        <w:rPr>
          <w:rFonts w:ascii="Arial" w:hAnsi="Arial" w:cs="Arial"/>
          <w:sz w:val="24"/>
          <w:szCs w:val="24"/>
        </w:rPr>
      </w:pPr>
      <w:r w:rsidRPr="001E58F7">
        <w:rPr>
          <w:rFonts w:ascii="Arial" w:hAnsi="Arial" w:cs="Arial"/>
          <w:sz w:val="24"/>
          <w:szCs w:val="24"/>
        </w:rPr>
        <w:t>Subclass 790</w:t>
      </w:r>
      <w:r>
        <w:rPr>
          <w:rFonts w:ascii="Arial" w:hAnsi="Arial" w:cs="Arial"/>
          <w:sz w:val="24"/>
          <w:szCs w:val="24"/>
        </w:rPr>
        <w:t xml:space="preserve"> (</w:t>
      </w:r>
      <w:r w:rsidRPr="001E58F7">
        <w:rPr>
          <w:rFonts w:ascii="Arial" w:hAnsi="Arial" w:cs="Arial"/>
          <w:sz w:val="24"/>
          <w:szCs w:val="24"/>
        </w:rPr>
        <w:t>Safe Haven Enterprise</w:t>
      </w:r>
      <w:r>
        <w:rPr>
          <w:rFonts w:ascii="Arial" w:hAnsi="Arial" w:cs="Arial"/>
          <w:sz w:val="24"/>
          <w:szCs w:val="24"/>
        </w:rPr>
        <w:t>);</w:t>
      </w:r>
    </w:p>
    <w:p w:rsidR="00C64251" w:rsidRPr="00391A54" w:rsidRDefault="00C64251" w:rsidP="00E519DC">
      <w:pPr>
        <w:pStyle w:val="subsection"/>
        <w:numPr>
          <w:ilvl w:val="0"/>
          <w:numId w:val="19"/>
        </w:numPr>
        <w:spacing w:before="0"/>
        <w:rPr>
          <w:rFonts w:ascii="Arial" w:hAnsi="Arial" w:cs="Arial"/>
          <w:sz w:val="24"/>
          <w:szCs w:val="24"/>
        </w:rPr>
      </w:pPr>
      <w:r w:rsidRPr="00391A54">
        <w:rPr>
          <w:rFonts w:ascii="Arial" w:hAnsi="Arial" w:cs="Arial"/>
          <w:sz w:val="24"/>
          <w:szCs w:val="24"/>
        </w:rPr>
        <w:t>Subclass 820 (Partner); and</w:t>
      </w:r>
    </w:p>
    <w:p w:rsidR="00C64251" w:rsidRPr="00C64251" w:rsidRDefault="00C64251" w:rsidP="00E519DC">
      <w:pPr>
        <w:pStyle w:val="subsection"/>
        <w:numPr>
          <w:ilvl w:val="0"/>
          <w:numId w:val="19"/>
        </w:numPr>
        <w:spacing w:before="0"/>
        <w:rPr>
          <w:rFonts w:ascii="Arial" w:hAnsi="Arial" w:cs="Arial"/>
          <w:sz w:val="24"/>
          <w:szCs w:val="24"/>
        </w:rPr>
      </w:pPr>
      <w:proofErr w:type="gramStart"/>
      <w:r>
        <w:rPr>
          <w:rFonts w:ascii="Arial" w:hAnsi="Arial" w:cs="Arial"/>
          <w:sz w:val="24"/>
          <w:szCs w:val="24"/>
        </w:rPr>
        <w:t>if</w:t>
      </w:r>
      <w:proofErr w:type="gramEnd"/>
      <w:r>
        <w:rPr>
          <w:rFonts w:ascii="Arial" w:hAnsi="Arial" w:cs="Arial"/>
          <w:sz w:val="24"/>
          <w:szCs w:val="24"/>
        </w:rPr>
        <w:t xml:space="preserve"> certain circumstances are met, a criminal justice stay visa.</w:t>
      </w:r>
    </w:p>
    <w:p w:rsidR="005E2B91" w:rsidRDefault="005E2B91" w:rsidP="006546B7">
      <w:pPr>
        <w:shd w:val="clear" w:color="auto" w:fill="FFFFFF"/>
        <w:spacing w:before="0"/>
        <w:textAlignment w:val="top"/>
        <w:rPr>
          <w:rFonts w:ascii="Arial" w:hAnsi="Arial" w:cs="Arial"/>
          <w:color w:val="111111"/>
          <w:szCs w:val="24"/>
        </w:rPr>
      </w:pPr>
    </w:p>
    <w:p w:rsidR="00C64251" w:rsidRDefault="00C64251" w:rsidP="00C64251">
      <w:pPr>
        <w:shd w:val="clear" w:color="auto" w:fill="FFFFFF"/>
        <w:spacing w:before="0"/>
        <w:textAlignment w:val="top"/>
        <w:rPr>
          <w:rFonts w:ascii="Arial" w:hAnsi="Arial" w:cs="Arial"/>
          <w:color w:val="111111"/>
          <w:szCs w:val="24"/>
        </w:rPr>
      </w:pPr>
      <w:r>
        <w:rPr>
          <w:rFonts w:ascii="Arial" w:hAnsi="Arial" w:cs="Arial"/>
          <w:color w:val="111111"/>
          <w:szCs w:val="24"/>
        </w:rPr>
        <w:t>The circumstances for a criminal justice stay visa are that the visa was granted for the purpose of assisting in the administration of criminal justice in relation to an offence of trafficking</w:t>
      </w:r>
      <w:r w:rsidR="008A576A">
        <w:rPr>
          <w:rFonts w:ascii="Arial" w:hAnsi="Arial" w:cs="Arial"/>
          <w:color w:val="111111"/>
          <w:szCs w:val="24"/>
        </w:rPr>
        <w:t xml:space="preserve"> in persons</w:t>
      </w:r>
      <w:r>
        <w:rPr>
          <w:rFonts w:ascii="Arial" w:hAnsi="Arial" w:cs="Arial"/>
          <w:color w:val="111111"/>
          <w:szCs w:val="24"/>
        </w:rPr>
        <w:t>, slavery or slavery-like practices.</w:t>
      </w:r>
    </w:p>
    <w:p w:rsidR="00C64251" w:rsidRDefault="00C64251" w:rsidP="00C64251">
      <w:pPr>
        <w:shd w:val="clear" w:color="auto" w:fill="FFFFFF"/>
        <w:spacing w:before="0"/>
        <w:textAlignment w:val="top"/>
        <w:rPr>
          <w:rFonts w:ascii="Arial" w:hAnsi="Arial" w:cs="Arial"/>
          <w:color w:val="111111"/>
          <w:szCs w:val="24"/>
        </w:rPr>
      </w:pPr>
    </w:p>
    <w:p w:rsidR="00C64251" w:rsidRPr="004F605C" w:rsidRDefault="00C64251" w:rsidP="00C64251">
      <w:pPr>
        <w:shd w:val="clear" w:color="auto" w:fill="FFFFFF"/>
        <w:spacing w:before="0"/>
        <w:textAlignment w:val="top"/>
        <w:rPr>
          <w:rFonts w:ascii="Arial" w:hAnsi="Arial" w:cs="Arial"/>
          <w:color w:val="111111"/>
          <w:szCs w:val="24"/>
        </w:rPr>
      </w:pPr>
      <w:r>
        <w:rPr>
          <w:rFonts w:ascii="Arial" w:hAnsi="Arial" w:cs="Arial"/>
          <w:color w:val="111111"/>
          <w:szCs w:val="24"/>
        </w:rPr>
        <w:t xml:space="preserve">These offence descriptions are in slightly different terms to the offence descriptions currently set out in the </w:t>
      </w:r>
      <w:r>
        <w:rPr>
          <w:rFonts w:ascii="Arial" w:hAnsi="Arial" w:cs="Arial"/>
          <w:i/>
          <w:color w:val="111111"/>
          <w:szCs w:val="24"/>
        </w:rPr>
        <w:t>Social Security (Class of Visas – Qualification for Special Benefit) Determination 2004</w:t>
      </w:r>
      <w:r>
        <w:rPr>
          <w:rFonts w:ascii="Arial" w:hAnsi="Arial" w:cs="Arial"/>
          <w:color w:val="111111"/>
          <w:szCs w:val="24"/>
        </w:rPr>
        <w:t xml:space="preserve"> (the 2004 Determination).  The 2004 Determination refers to offences of people trafficking, sexual servitude or deceptive recruiting.  Since the 2004 Determination was made, the </w:t>
      </w:r>
      <w:r>
        <w:rPr>
          <w:rFonts w:ascii="Arial" w:hAnsi="Arial" w:cs="Arial"/>
          <w:i/>
          <w:color w:val="111111"/>
          <w:szCs w:val="24"/>
        </w:rPr>
        <w:t xml:space="preserve">Criminal Code Act 1995 </w:t>
      </w:r>
      <w:r>
        <w:rPr>
          <w:rFonts w:ascii="Arial" w:hAnsi="Arial" w:cs="Arial"/>
          <w:color w:val="111111"/>
          <w:szCs w:val="24"/>
        </w:rPr>
        <w:t xml:space="preserve">(the Criminal Code) has been amended and the offence descriptions in that determination do not accurately reflect all of the trafficking-related offences currently in the Criminal Code.  The new offence descriptions in this Determination now accurately reflect the trafficking-related offences in the Criminal Code. </w:t>
      </w:r>
    </w:p>
    <w:p w:rsidR="00C64251" w:rsidRDefault="00C64251" w:rsidP="00505802">
      <w:pPr>
        <w:shd w:val="clear" w:color="auto" w:fill="FFFFFF"/>
        <w:spacing w:before="0"/>
        <w:textAlignment w:val="top"/>
        <w:rPr>
          <w:rFonts w:ascii="Arial" w:hAnsi="Arial" w:cs="Arial"/>
          <w:color w:val="111111"/>
          <w:szCs w:val="24"/>
        </w:rPr>
      </w:pPr>
    </w:p>
    <w:p w:rsidR="00505802" w:rsidRDefault="005E2B91" w:rsidP="00505802">
      <w:pPr>
        <w:shd w:val="clear" w:color="auto" w:fill="FFFFFF"/>
        <w:spacing w:before="0"/>
        <w:textAlignment w:val="top"/>
        <w:rPr>
          <w:rFonts w:ascii="Arial" w:hAnsi="Arial" w:cs="Arial"/>
          <w:color w:val="111111"/>
          <w:szCs w:val="24"/>
        </w:rPr>
      </w:pPr>
      <w:r>
        <w:rPr>
          <w:rFonts w:ascii="Arial" w:hAnsi="Arial" w:cs="Arial"/>
          <w:color w:val="111111"/>
          <w:szCs w:val="24"/>
        </w:rPr>
        <w:t xml:space="preserve">Each of the visa classes determined in section 4 are currently determined in the </w:t>
      </w:r>
      <w:r w:rsidR="00E752E9">
        <w:rPr>
          <w:rFonts w:ascii="Arial" w:hAnsi="Arial" w:cs="Arial"/>
          <w:color w:val="111111"/>
          <w:szCs w:val="24"/>
        </w:rPr>
        <w:t>five</w:t>
      </w:r>
      <w:r>
        <w:rPr>
          <w:rFonts w:ascii="Arial" w:hAnsi="Arial" w:cs="Arial"/>
          <w:color w:val="111111"/>
          <w:szCs w:val="24"/>
        </w:rPr>
        <w:t xml:space="preserve"> separate determination</w:t>
      </w:r>
      <w:r w:rsidR="00962BB6">
        <w:rPr>
          <w:rFonts w:ascii="Arial" w:hAnsi="Arial" w:cs="Arial"/>
          <w:color w:val="111111"/>
          <w:szCs w:val="24"/>
        </w:rPr>
        <w:t>s</w:t>
      </w:r>
      <w:r>
        <w:rPr>
          <w:rFonts w:ascii="Arial" w:hAnsi="Arial" w:cs="Arial"/>
          <w:color w:val="111111"/>
          <w:szCs w:val="24"/>
        </w:rPr>
        <w:t xml:space="preserve"> made under subparagraph 729(2</w:t>
      </w:r>
      <w:proofErr w:type="gramStart"/>
      <w:r>
        <w:rPr>
          <w:rFonts w:ascii="Arial" w:hAnsi="Arial" w:cs="Arial"/>
          <w:color w:val="111111"/>
          <w:szCs w:val="24"/>
        </w:rPr>
        <w:t>)(</w:t>
      </w:r>
      <w:proofErr w:type="gramEnd"/>
      <w:r>
        <w:rPr>
          <w:rFonts w:ascii="Arial" w:hAnsi="Arial" w:cs="Arial"/>
          <w:color w:val="111111"/>
          <w:szCs w:val="24"/>
        </w:rPr>
        <w:t xml:space="preserve">f)(v) of the Act.  </w:t>
      </w:r>
      <w:r w:rsidR="00505802">
        <w:rPr>
          <w:rFonts w:ascii="Arial" w:hAnsi="Arial" w:cs="Arial"/>
          <w:color w:val="111111"/>
          <w:szCs w:val="24"/>
        </w:rPr>
        <w:t xml:space="preserve">Some of the references to visa classes have been changed to ensure an approach to referencing that is consistent with the </w:t>
      </w:r>
      <w:r w:rsidR="00505802">
        <w:rPr>
          <w:rFonts w:ascii="Arial" w:hAnsi="Arial" w:cs="Arial"/>
          <w:i/>
          <w:color w:val="111111"/>
          <w:szCs w:val="24"/>
        </w:rPr>
        <w:t>Migration Regulations 1994</w:t>
      </w:r>
      <w:r w:rsidR="00505802">
        <w:rPr>
          <w:rFonts w:ascii="Arial" w:hAnsi="Arial" w:cs="Arial"/>
          <w:color w:val="111111"/>
          <w:szCs w:val="24"/>
        </w:rPr>
        <w:t>.</w:t>
      </w:r>
    </w:p>
    <w:p w:rsidR="00505802" w:rsidRDefault="00505802" w:rsidP="006546B7">
      <w:pPr>
        <w:shd w:val="clear" w:color="auto" w:fill="FFFFFF"/>
        <w:spacing w:before="0"/>
        <w:textAlignment w:val="top"/>
        <w:rPr>
          <w:rFonts w:ascii="Arial" w:hAnsi="Arial" w:cs="Arial"/>
          <w:color w:val="111111"/>
          <w:szCs w:val="24"/>
        </w:rPr>
      </w:pPr>
    </w:p>
    <w:p w:rsidR="005E2B91" w:rsidRDefault="00505802" w:rsidP="006546B7">
      <w:pPr>
        <w:shd w:val="clear" w:color="auto" w:fill="FFFFFF"/>
        <w:spacing w:before="0"/>
        <w:textAlignment w:val="top"/>
        <w:rPr>
          <w:rFonts w:ascii="Arial" w:hAnsi="Arial" w:cs="Arial"/>
          <w:color w:val="111111"/>
          <w:szCs w:val="24"/>
        </w:rPr>
      </w:pPr>
      <w:r>
        <w:rPr>
          <w:rFonts w:ascii="Arial" w:hAnsi="Arial" w:cs="Arial"/>
          <w:color w:val="111111"/>
          <w:szCs w:val="24"/>
        </w:rPr>
        <w:t>S</w:t>
      </w:r>
      <w:r w:rsidR="005E2B91">
        <w:rPr>
          <w:rFonts w:ascii="Arial" w:hAnsi="Arial" w:cs="Arial"/>
          <w:color w:val="111111"/>
          <w:szCs w:val="24"/>
        </w:rPr>
        <w:t xml:space="preserve">ome visa classes that are currently determined in </w:t>
      </w:r>
      <w:r w:rsidR="00C47E2D">
        <w:rPr>
          <w:rFonts w:ascii="Arial" w:hAnsi="Arial" w:cs="Arial"/>
          <w:color w:val="111111"/>
          <w:szCs w:val="24"/>
        </w:rPr>
        <w:t xml:space="preserve">separate determinations </w:t>
      </w:r>
      <w:r w:rsidR="004F605C">
        <w:rPr>
          <w:rFonts w:ascii="Arial" w:hAnsi="Arial" w:cs="Arial"/>
          <w:color w:val="111111"/>
          <w:szCs w:val="24"/>
        </w:rPr>
        <w:t>have not been included</w:t>
      </w:r>
      <w:r w:rsidR="00C47E2D">
        <w:rPr>
          <w:rFonts w:ascii="Arial" w:hAnsi="Arial" w:cs="Arial"/>
          <w:color w:val="111111"/>
          <w:szCs w:val="24"/>
        </w:rPr>
        <w:t xml:space="preserve"> </w:t>
      </w:r>
      <w:r w:rsidR="00962BB6">
        <w:rPr>
          <w:rFonts w:ascii="Arial" w:hAnsi="Arial" w:cs="Arial"/>
          <w:color w:val="111111"/>
          <w:szCs w:val="24"/>
        </w:rPr>
        <w:t xml:space="preserve">in </w:t>
      </w:r>
      <w:r w:rsidR="00C47E2D">
        <w:rPr>
          <w:rFonts w:ascii="Arial" w:hAnsi="Arial" w:cs="Arial"/>
          <w:color w:val="111111"/>
          <w:szCs w:val="24"/>
        </w:rPr>
        <w:t xml:space="preserve">this Determination because they have been repealed.  The repealed visa classes which have not been </w:t>
      </w:r>
      <w:r w:rsidR="00962BB6">
        <w:rPr>
          <w:rFonts w:ascii="Arial" w:hAnsi="Arial" w:cs="Arial"/>
          <w:color w:val="111111"/>
          <w:szCs w:val="24"/>
        </w:rPr>
        <w:t>included</w:t>
      </w:r>
      <w:r w:rsidR="00C47E2D">
        <w:rPr>
          <w:rFonts w:ascii="Arial" w:hAnsi="Arial" w:cs="Arial"/>
          <w:color w:val="111111"/>
          <w:szCs w:val="24"/>
        </w:rPr>
        <w:t xml:space="preserve"> in this Determination are:</w:t>
      </w:r>
    </w:p>
    <w:p w:rsidR="00C47E2D" w:rsidRDefault="00C47E2D" w:rsidP="006546B7">
      <w:pPr>
        <w:shd w:val="clear" w:color="auto" w:fill="FFFFFF"/>
        <w:spacing w:before="0"/>
        <w:textAlignment w:val="top"/>
        <w:rPr>
          <w:rFonts w:ascii="Arial" w:hAnsi="Arial" w:cs="Arial"/>
          <w:color w:val="111111"/>
          <w:szCs w:val="24"/>
        </w:rPr>
      </w:pPr>
    </w:p>
    <w:p w:rsidR="00C47E2D" w:rsidRDefault="00C47E2D" w:rsidP="00C47E2D">
      <w:pPr>
        <w:pStyle w:val="ListParagraph"/>
        <w:numPr>
          <w:ilvl w:val="0"/>
          <w:numId w:val="17"/>
        </w:numPr>
        <w:shd w:val="clear" w:color="auto" w:fill="FFFFFF"/>
        <w:spacing w:before="0"/>
        <w:textAlignment w:val="top"/>
        <w:rPr>
          <w:rFonts w:ascii="Arial" w:hAnsi="Arial" w:cs="Arial"/>
          <w:color w:val="111111"/>
          <w:szCs w:val="24"/>
        </w:rPr>
      </w:pPr>
      <w:r>
        <w:rPr>
          <w:rFonts w:ascii="Arial" w:hAnsi="Arial" w:cs="Arial"/>
          <w:color w:val="111111"/>
          <w:szCs w:val="24"/>
        </w:rPr>
        <w:t>Subclass 310 (Interdependency</w:t>
      </w:r>
      <w:r w:rsidR="00962BB6">
        <w:rPr>
          <w:rFonts w:ascii="Arial" w:hAnsi="Arial" w:cs="Arial"/>
          <w:color w:val="111111"/>
          <w:szCs w:val="24"/>
        </w:rPr>
        <w:t xml:space="preserve"> (Provisional)</w:t>
      </w:r>
      <w:r>
        <w:rPr>
          <w:rFonts w:ascii="Arial" w:hAnsi="Arial" w:cs="Arial"/>
          <w:color w:val="111111"/>
          <w:szCs w:val="24"/>
        </w:rPr>
        <w:t>);</w:t>
      </w:r>
    </w:p>
    <w:p w:rsidR="00C47E2D" w:rsidRDefault="00C47E2D" w:rsidP="00C47E2D">
      <w:pPr>
        <w:pStyle w:val="ListParagraph"/>
        <w:numPr>
          <w:ilvl w:val="0"/>
          <w:numId w:val="17"/>
        </w:numPr>
        <w:shd w:val="clear" w:color="auto" w:fill="FFFFFF"/>
        <w:spacing w:before="0"/>
        <w:textAlignment w:val="top"/>
        <w:rPr>
          <w:rFonts w:ascii="Arial" w:hAnsi="Arial" w:cs="Arial"/>
          <w:color w:val="111111"/>
          <w:szCs w:val="24"/>
        </w:rPr>
      </w:pPr>
      <w:r>
        <w:rPr>
          <w:rFonts w:ascii="Arial" w:hAnsi="Arial" w:cs="Arial"/>
          <w:color w:val="111111"/>
          <w:szCs w:val="24"/>
        </w:rPr>
        <w:t>Subclass 447 (Secondary Movement Offshore Entry</w:t>
      </w:r>
      <w:r w:rsidR="00962BB6">
        <w:rPr>
          <w:rFonts w:ascii="Arial" w:hAnsi="Arial" w:cs="Arial"/>
          <w:color w:val="111111"/>
          <w:szCs w:val="24"/>
        </w:rPr>
        <w:t xml:space="preserve"> (Temporary)</w:t>
      </w:r>
      <w:r>
        <w:rPr>
          <w:rFonts w:ascii="Arial" w:hAnsi="Arial" w:cs="Arial"/>
          <w:color w:val="111111"/>
          <w:szCs w:val="24"/>
        </w:rPr>
        <w:t>);</w:t>
      </w:r>
    </w:p>
    <w:p w:rsidR="00C47E2D" w:rsidRDefault="00C47E2D" w:rsidP="00C47E2D">
      <w:pPr>
        <w:pStyle w:val="ListParagraph"/>
        <w:numPr>
          <w:ilvl w:val="0"/>
          <w:numId w:val="17"/>
        </w:numPr>
        <w:shd w:val="clear" w:color="auto" w:fill="FFFFFF"/>
        <w:spacing w:before="0"/>
        <w:textAlignment w:val="top"/>
        <w:rPr>
          <w:rFonts w:ascii="Arial" w:hAnsi="Arial" w:cs="Arial"/>
          <w:color w:val="111111"/>
          <w:szCs w:val="24"/>
        </w:rPr>
      </w:pPr>
      <w:r>
        <w:rPr>
          <w:rFonts w:ascii="Arial" w:hAnsi="Arial" w:cs="Arial"/>
          <w:color w:val="111111"/>
          <w:szCs w:val="24"/>
        </w:rPr>
        <w:t>Subclass 451 (Secondary Movement Relocation</w:t>
      </w:r>
      <w:r w:rsidR="00962BB6">
        <w:rPr>
          <w:rFonts w:ascii="Arial" w:hAnsi="Arial" w:cs="Arial"/>
          <w:color w:val="111111"/>
          <w:szCs w:val="24"/>
        </w:rPr>
        <w:t xml:space="preserve"> (Temporary)</w:t>
      </w:r>
      <w:r>
        <w:rPr>
          <w:rFonts w:ascii="Arial" w:hAnsi="Arial" w:cs="Arial"/>
          <w:color w:val="111111"/>
          <w:szCs w:val="24"/>
        </w:rPr>
        <w:t>);</w:t>
      </w:r>
    </w:p>
    <w:p w:rsidR="00C47E2D" w:rsidRDefault="00C47E2D" w:rsidP="00C47E2D">
      <w:pPr>
        <w:pStyle w:val="ListParagraph"/>
        <w:numPr>
          <w:ilvl w:val="0"/>
          <w:numId w:val="17"/>
        </w:numPr>
        <w:shd w:val="clear" w:color="auto" w:fill="FFFFFF"/>
        <w:spacing w:before="0"/>
        <w:textAlignment w:val="top"/>
        <w:rPr>
          <w:rFonts w:ascii="Arial" w:hAnsi="Arial" w:cs="Arial"/>
          <w:color w:val="111111"/>
          <w:szCs w:val="24"/>
        </w:rPr>
      </w:pPr>
      <w:r>
        <w:rPr>
          <w:rFonts w:ascii="Arial" w:hAnsi="Arial" w:cs="Arial"/>
          <w:color w:val="111111"/>
          <w:szCs w:val="24"/>
        </w:rPr>
        <w:t>Subclass 695 (Return Pending);</w:t>
      </w:r>
    </w:p>
    <w:p w:rsidR="00C47E2D" w:rsidRDefault="00C47E2D" w:rsidP="00C47E2D">
      <w:pPr>
        <w:pStyle w:val="ListParagraph"/>
        <w:numPr>
          <w:ilvl w:val="0"/>
          <w:numId w:val="17"/>
        </w:numPr>
        <w:shd w:val="clear" w:color="auto" w:fill="FFFFFF"/>
        <w:spacing w:before="0"/>
        <w:textAlignment w:val="top"/>
        <w:rPr>
          <w:rFonts w:ascii="Arial" w:hAnsi="Arial" w:cs="Arial"/>
          <w:color w:val="111111"/>
          <w:szCs w:val="24"/>
        </w:rPr>
      </w:pPr>
      <w:r>
        <w:rPr>
          <w:rFonts w:ascii="Arial" w:hAnsi="Arial" w:cs="Arial"/>
          <w:color w:val="111111"/>
          <w:szCs w:val="24"/>
        </w:rPr>
        <w:t>Subclass 787 (Witness Protection (Trafficking)</w:t>
      </w:r>
      <w:r w:rsidR="00962BB6">
        <w:rPr>
          <w:rFonts w:ascii="Arial" w:hAnsi="Arial" w:cs="Arial"/>
          <w:color w:val="111111"/>
          <w:szCs w:val="24"/>
        </w:rPr>
        <w:t xml:space="preserve"> (Temporary</w:t>
      </w:r>
      <w:r>
        <w:rPr>
          <w:rFonts w:ascii="Arial" w:hAnsi="Arial" w:cs="Arial"/>
          <w:color w:val="111111"/>
          <w:szCs w:val="24"/>
        </w:rPr>
        <w:t>)</w:t>
      </w:r>
      <w:r w:rsidR="00486C9A">
        <w:rPr>
          <w:rFonts w:ascii="Arial" w:hAnsi="Arial" w:cs="Arial"/>
          <w:color w:val="111111"/>
          <w:szCs w:val="24"/>
        </w:rPr>
        <w:t>)</w:t>
      </w:r>
      <w:r>
        <w:rPr>
          <w:rFonts w:ascii="Arial" w:hAnsi="Arial" w:cs="Arial"/>
          <w:color w:val="111111"/>
          <w:szCs w:val="24"/>
        </w:rPr>
        <w:t xml:space="preserve">; and </w:t>
      </w:r>
    </w:p>
    <w:p w:rsidR="00C47E2D" w:rsidRDefault="00C47E2D" w:rsidP="00C47E2D">
      <w:pPr>
        <w:pStyle w:val="ListParagraph"/>
        <w:numPr>
          <w:ilvl w:val="0"/>
          <w:numId w:val="17"/>
        </w:numPr>
        <w:shd w:val="clear" w:color="auto" w:fill="FFFFFF"/>
        <w:spacing w:before="0"/>
        <w:textAlignment w:val="top"/>
        <w:rPr>
          <w:rFonts w:ascii="Arial" w:hAnsi="Arial" w:cs="Arial"/>
          <w:color w:val="111111"/>
          <w:szCs w:val="24"/>
        </w:rPr>
      </w:pPr>
      <w:r>
        <w:rPr>
          <w:rFonts w:ascii="Arial" w:hAnsi="Arial" w:cs="Arial"/>
          <w:color w:val="111111"/>
          <w:szCs w:val="24"/>
        </w:rPr>
        <w:t>Subclass 826 (Interdependency</w:t>
      </w:r>
      <w:r w:rsidR="00E752E9">
        <w:rPr>
          <w:rFonts w:ascii="Arial" w:hAnsi="Arial" w:cs="Arial"/>
          <w:color w:val="111111"/>
          <w:szCs w:val="24"/>
        </w:rPr>
        <w:t xml:space="preserve"> (Provisional)</w:t>
      </w:r>
      <w:r>
        <w:rPr>
          <w:rFonts w:ascii="Arial" w:hAnsi="Arial" w:cs="Arial"/>
          <w:color w:val="111111"/>
          <w:szCs w:val="24"/>
        </w:rPr>
        <w:t>).</w:t>
      </w:r>
    </w:p>
    <w:p w:rsidR="009C4E81" w:rsidRDefault="009C4E81">
      <w:pPr>
        <w:spacing w:before="0" w:after="200" w:line="276" w:lineRule="auto"/>
        <w:rPr>
          <w:rFonts w:ascii="Arial" w:eastAsiaTheme="majorEastAsia" w:hAnsi="Arial" w:cs="Arial"/>
          <w:b/>
          <w:bCs/>
          <w:szCs w:val="24"/>
        </w:rPr>
      </w:pPr>
      <w:bookmarkStart w:id="1" w:name="_Toc290210739"/>
      <w:r>
        <w:rPr>
          <w:rFonts w:ascii="Arial" w:eastAsiaTheme="majorEastAsia" w:hAnsi="Arial" w:cs="Arial"/>
          <w:b/>
          <w:bCs/>
          <w:szCs w:val="24"/>
        </w:rPr>
        <w:br w:type="page"/>
      </w:r>
    </w:p>
    <w:p w:rsidR="009C4E81" w:rsidRPr="009C4E81" w:rsidRDefault="009C4E81" w:rsidP="009C4E81">
      <w:pPr>
        <w:spacing w:after="120"/>
        <w:jc w:val="center"/>
        <w:rPr>
          <w:rFonts w:ascii="Arial" w:hAnsi="Arial" w:cs="Arial"/>
          <w:b/>
          <w:sz w:val="28"/>
          <w:szCs w:val="28"/>
        </w:rPr>
      </w:pPr>
      <w:r w:rsidRPr="009C4E81">
        <w:rPr>
          <w:rFonts w:ascii="Arial" w:hAnsi="Arial" w:cs="Arial"/>
          <w:b/>
          <w:sz w:val="28"/>
          <w:szCs w:val="28"/>
        </w:rPr>
        <w:lastRenderedPageBreak/>
        <w:t>Statement of Compatibility with Human Rights</w:t>
      </w:r>
    </w:p>
    <w:p w:rsidR="009C4E81" w:rsidRPr="009C4E81" w:rsidRDefault="009C4E81" w:rsidP="009C4E81">
      <w:pPr>
        <w:spacing w:after="120"/>
        <w:jc w:val="center"/>
        <w:rPr>
          <w:rFonts w:ascii="Arial" w:hAnsi="Arial" w:cs="Arial"/>
          <w:szCs w:val="24"/>
        </w:rPr>
      </w:pPr>
      <w:r w:rsidRPr="009C4E81">
        <w:rPr>
          <w:rFonts w:ascii="Arial" w:hAnsi="Arial" w:cs="Arial"/>
          <w:i/>
          <w:szCs w:val="24"/>
        </w:rPr>
        <w:t>Prepared in accordance with Part 3 of the Human Rights (Parliamentary Scrutiny) Act 2011</w:t>
      </w:r>
    </w:p>
    <w:p w:rsidR="009C4E81" w:rsidRPr="009C4E81" w:rsidRDefault="009C4E81" w:rsidP="009C4E81">
      <w:pPr>
        <w:spacing w:after="120"/>
        <w:jc w:val="center"/>
        <w:rPr>
          <w:rFonts w:ascii="Arial" w:hAnsi="Arial" w:cs="Arial"/>
          <w:b/>
          <w:szCs w:val="24"/>
        </w:rPr>
      </w:pPr>
      <w:r w:rsidRPr="009C4E81">
        <w:rPr>
          <w:rFonts w:ascii="Arial" w:hAnsi="Arial" w:cs="Arial"/>
          <w:b/>
          <w:szCs w:val="24"/>
        </w:rPr>
        <w:t>Social Security (Class of Visas – Qualification for Special Benefit) Determination 2015 (No. 2)</w:t>
      </w:r>
    </w:p>
    <w:p w:rsidR="009C4E81" w:rsidRPr="009C4E81" w:rsidRDefault="009C4E81" w:rsidP="009C4E81">
      <w:pPr>
        <w:spacing w:after="120"/>
        <w:jc w:val="center"/>
        <w:rPr>
          <w:rFonts w:ascii="Arial" w:hAnsi="Arial" w:cs="Arial"/>
          <w:szCs w:val="24"/>
        </w:rPr>
      </w:pPr>
      <w:r w:rsidRPr="009C4E81">
        <w:rPr>
          <w:rFonts w:ascii="Arial" w:hAnsi="Arial" w:cs="Arial"/>
          <w:szCs w:val="24"/>
        </w:rPr>
        <w:t xml:space="preserve">The </w:t>
      </w:r>
      <w:r w:rsidRPr="009C4E81">
        <w:rPr>
          <w:rFonts w:ascii="Arial" w:hAnsi="Arial" w:cs="Arial"/>
          <w:i/>
          <w:szCs w:val="24"/>
        </w:rPr>
        <w:t>Social Security (Class of Visas – Qualification for Special Benefit) Determination 2015 (No. 2)</w:t>
      </w:r>
      <w:r w:rsidRPr="009C4E81">
        <w:rPr>
          <w:rFonts w:ascii="Arial" w:hAnsi="Arial" w:cs="Arial"/>
          <w:szCs w:val="24"/>
        </w:rPr>
        <w:t xml:space="preserve"> is compatible with the human rights and freedoms recognised or declared in the international instruments listed in section 3 of the </w:t>
      </w:r>
      <w:r w:rsidRPr="009C4E81">
        <w:rPr>
          <w:rFonts w:ascii="Arial" w:hAnsi="Arial" w:cs="Arial"/>
          <w:i/>
          <w:szCs w:val="24"/>
        </w:rPr>
        <w:t>Human Rights (Parliamentary Scrutiny) Act 2011</w:t>
      </w:r>
      <w:r w:rsidRPr="009C4E81">
        <w:rPr>
          <w:rFonts w:ascii="Arial" w:hAnsi="Arial" w:cs="Arial"/>
          <w:szCs w:val="24"/>
        </w:rPr>
        <w:t>.</w:t>
      </w:r>
    </w:p>
    <w:p w:rsidR="009C4E81" w:rsidRPr="009C4E81" w:rsidRDefault="009C4E81" w:rsidP="009C4E81">
      <w:pPr>
        <w:spacing w:after="120"/>
        <w:jc w:val="both"/>
        <w:rPr>
          <w:rFonts w:ascii="Arial" w:hAnsi="Arial" w:cs="Arial"/>
          <w:b/>
          <w:szCs w:val="24"/>
        </w:rPr>
      </w:pPr>
      <w:r w:rsidRPr="009C4E81">
        <w:rPr>
          <w:rFonts w:ascii="Arial" w:hAnsi="Arial" w:cs="Arial"/>
          <w:b/>
          <w:szCs w:val="24"/>
        </w:rPr>
        <w:t>Overview of the Legislative Instrument</w:t>
      </w:r>
    </w:p>
    <w:p w:rsidR="009C4E81" w:rsidRPr="009C4E81" w:rsidRDefault="009C4E81" w:rsidP="009C4E81">
      <w:pPr>
        <w:spacing w:after="120"/>
        <w:rPr>
          <w:rFonts w:ascii="Arial" w:hAnsi="Arial" w:cs="Arial"/>
          <w:szCs w:val="24"/>
        </w:rPr>
      </w:pPr>
      <w:r w:rsidRPr="009C4E81">
        <w:rPr>
          <w:rFonts w:ascii="Arial" w:hAnsi="Arial" w:cs="Arial"/>
          <w:szCs w:val="24"/>
        </w:rPr>
        <w:t xml:space="preserve">The </w:t>
      </w:r>
      <w:r w:rsidRPr="009C4E81">
        <w:rPr>
          <w:rFonts w:ascii="Arial" w:hAnsi="Arial" w:cs="Arial"/>
          <w:i/>
          <w:szCs w:val="24"/>
        </w:rPr>
        <w:t>Social Security (Class of Visas – Qualification for Special Benefit) Determination 2015 (No. 2)</w:t>
      </w:r>
      <w:r w:rsidRPr="009C4E81">
        <w:rPr>
          <w:rFonts w:ascii="Arial" w:hAnsi="Arial" w:cs="Arial"/>
          <w:szCs w:val="24"/>
        </w:rPr>
        <w:t xml:space="preserve"> is made under subparagraph 729(2</w:t>
      </w:r>
      <w:proofErr w:type="gramStart"/>
      <w:r w:rsidRPr="009C4E81">
        <w:rPr>
          <w:rFonts w:ascii="Arial" w:hAnsi="Arial" w:cs="Arial"/>
          <w:szCs w:val="24"/>
        </w:rPr>
        <w:t>)(</w:t>
      </w:r>
      <w:proofErr w:type="gramEnd"/>
      <w:r w:rsidRPr="009C4E81">
        <w:rPr>
          <w:rFonts w:ascii="Arial" w:hAnsi="Arial" w:cs="Arial"/>
          <w:szCs w:val="24"/>
        </w:rPr>
        <w:t xml:space="preserve">f)(v) of the </w:t>
      </w:r>
      <w:r w:rsidRPr="009C4E81">
        <w:rPr>
          <w:rFonts w:ascii="Arial" w:hAnsi="Arial" w:cs="Arial"/>
          <w:i/>
          <w:szCs w:val="24"/>
        </w:rPr>
        <w:t>Social Security Act 1991</w:t>
      </w:r>
      <w:r w:rsidRPr="009C4E81">
        <w:rPr>
          <w:rFonts w:ascii="Arial" w:hAnsi="Arial" w:cs="Arial"/>
          <w:szCs w:val="24"/>
        </w:rPr>
        <w:t xml:space="preserve">.  </w:t>
      </w:r>
    </w:p>
    <w:p w:rsidR="009C4E81" w:rsidRPr="009C4E81" w:rsidRDefault="009C4E81" w:rsidP="009C4E81">
      <w:pPr>
        <w:spacing w:after="120"/>
        <w:rPr>
          <w:rFonts w:ascii="Arial" w:hAnsi="Arial" w:cs="Arial"/>
          <w:szCs w:val="24"/>
        </w:rPr>
      </w:pPr>
      <w:r w:rsidRPr="009C4E81">
        <w:rPr>
          <w:rFonts w:ascii="Arial" w:hAnsi="Arial" w:cs="Arial"/>
          <w:szCs w:val="24"/>
        </w:rPr>
        <w:t>The purpose of the Determination is to allow the holders of the determined visas to qualify for Special Benefit, and consequently, a suite of ancillary social security and family payments such as Family Tax Benefit, Education Entry Payment, Rent Assistance, Health Care Card and Pharmaceutical Allowance.</w:t>
      </w:r>
    </w:p>
    <w:p w:rsidR="009C4E81" w:rsidRPr="009C4E81" w:rsidRDefault="009C4E81" w:rsidP="009C4E81">
      <w:pPr>
        <w:spacing w:after="120"/>
        <w:rPr>
          <w:rFonts w:ascii="Arial" w:hAnsi="Arial" w:cs="Arial"/>
          <w:szCs w:val="24"/>
        </w:rPr>
      </w:pPr>
      <w:r w:rsidRPr="009C4E81">
        <w:rPr>
          <w:rFonts w:ascii="Arial" w:hAnsi="Arial" w:cs="Arial"/>
          <w:szCs w:val="24"/>
        </w:rPr>
        <w:t>The Determination consolidates a number of determinations currently made under subparagraph 729(2</w:t>
      </w:r>
      <w:proofErr w:type="gramStart"/>
      <w:r w:rsidRPr="009C4E81">
        <w:rPr>
          <w:rFonts w:ascii="Arial" w:hAnsi="Arial" w:cs="Arial"/>
          <w:szCs w:val="24"/>
        </w:rPr>
        <w:t>)(</w:t>
      </w:r>
      <w:proofErr w:type="gramEnd"/>
      <w:r w:rsidRPr="009C4E81">
        <w:rPr>
          <w:rFonts w:ascii="Arial" w:hAnsi="Arial" w:cs="Arial"/>
          <w:szCs w:val="24"/>
        </w:rPr>
        <w:t xml:space="preserve">f)(v) of the </w:t>
      </w:r>
      <w:r w:rsidRPr="009C4E81">
        <w:rPr>
          <w:rFonts w:ascii="Arial" w:hAnsi="Arial" w:cs="Arial"/>
          <w:i/>
          <w:szCs w:val="24"/>
        </w:rPr>
        <w:t>Social Security Act 1991</w:t>
      </w:r>
      <w:r w:rsidRPr="009C4E81">
        <w:rPr>
          <w:rFonts w:ascii="Arial" w:hAnsi="Arial" w:cs="Arial"/>
          <w:szCs w:val="24"/>
        </w:rPr>
        <w:t>.</w:t>
      </w:r>
    </w:p>
    <w:p w:rsidR="009C4E81" w:rsidRPr="009C4E81" w:rsidRDefault="009C4E81" w:rsidP="009C4E81">
      <w:pPr>
        <w:spacing w:after="120"/>
        <w:rPr>
          <w:rFonts w:ascii="Arial" w:hAnsi="Arial" w:cs="Arial"/>
          <w:b/>
          <w:szCs w:val="24"/>
        </w:rPr>
      </w:pPr>
      <w:r w:rsidRPr="009C4E81">
        <w:rPr>
          <w:rFonts w:ascii="Arial" w:hAnsi="Arial" w:cs="Arial"/>
          <w:b/>
          <w:szCs w:val="24"/>
        </w:rPr>
        <w:t>Human rights implications</w:t>
      </w:r>
    </w:p>
    <w:p w:rsidR="009C4E81" w:rsidRPr="009C4E81" w:rsidRDefault="009C4E81" w:rsidP="009C4E81">
      <w:pPr>
        <w:autoSpaceDE w:val="0"/>
        <w:autoSpaceDN w:val="0"/>
        <w:adjustRightInd w:val="0"/>
        <w:rPr>
          <w:rFonts w:ascii="Arial" w:hAnsi="Arial" w:cs="Arial"/>
          <w:szCs w:val="24"/>
        </w:rPr>
      </w:pPr>
      <w:r w:rsidRPr="009C4E81">
        <w:rPr>
          <w:rFonts w:ascii="Arial" w:hAnsi="Arial" w:cs="Arial"/>
          <w:szCs w:val="24"/>
        </w:rPr>
        <w:t>This Determination engages or gives effect to the following human rights:</w:t>
      </w:r>
    </w:p>
    <w:p w:rsidR="009C4E81" w:rsidRPr="009C4E81" w:rsidRDefault="009C4E81" w:rsidP="009C4E81">
      <w:pPr>
        <w:pStyle w:val="ListParagraph"/>
        <w:numPr>
          <w:ilvl w:val="0"/>
          <w:numId w:val="20"/>
        </w:numPr>
        <w:autoSpaceDE w:val="0"/>
        <w:autoSpaceDN w:val="0"/>
        <w:adjustRightInd w:val="0"/>
        <w:ind w:left="714" w:hanging="357"/>
        <w:rPr>
          <w:rFonts w:ascii="Arial" w:hAnsi="Arial" w:cs="Arial"/>
          <w:szCs w:val="24"/>
        </w:rPr>
      </w:pPr>
      <w:r w:rsidRPr="009C4E81">
        <w:rPr>
          <w:rFonts w:ascii="Arial" w:hAnsi="Arial" w:cs="Arial"/>
          <w:szCs w:val="24"/>
        </w:rPr>
        <w:t>the right to social security contained in Article 9 of the International Covenant on Economic, Social and Cultural Rights (ICESCR), Article 24 of the United Nations (UN) 1951 Convention and 1967 Protocol Relating to the Status of Refugees, Article 28 of the Convention on the Rights of Persons with Disabilities (CRPD), and Articles 11(1)(e) and 14(2)(c) of the Convention on the Elimination of All Forms of Discrimination Against Women (CEDAW); and</w:t>
      </w:r>
    </w:p>
    <w:p w:rsidR="009C4E81" w:rsidRPr="009C4E81" w:rsidRDefault="009C4E81" w:rsidP="009C4E81">
      <w:pPr>
        <w:pStyle w:val="ListParagraph"/>
        <w:numPr>
          <w:ilvl w:val="0"/>
          <w:numId w:val="20"/>
        </w:numPr>
        <w:autoSpaceDE w:val="0"/>
        <w:autoSpaceDN w:val="0"/>
        <w:adjustRightInd w:val="0"/>
        <w:rPr>
          <w:rFonts w:ascii="Arial" w:hAnsi="Arial" w:cs="Arial"/>
          <w:szCs w:val="24"/>
        </w:rPr>
      </w:pPr>
      <w:r w:rsidRPr="009C4E81">
        <w:rPr>
          <w:rFonts w:ascii="Arial" w:hAnsi="Arial" w:cs="Arial"/>
          <w:szCs w:val="24"/>
        </w:rPr>
        <w:t xml:space="preserve">the right to an adequate standard of living contained in Article 11(1) of the ICESCR, Article 28 of the CRPD and Article 14(2)(h) of the CEDAW. </w:t>
      </w:r>
    </w:p>
    <w:p w:rsidR="009C4E81" w:rsidRPr="009C4E81" w:rsidRDefault="009C4E81" w:rsidP="009C4E81">
      <w:pPr>
        <w:spacing w:after="120"/>
        <w:rPr>
          <w:rFonts w:ascii="Arial" w:hAnsi="Arial" w:cs="Arial"/>
          <w:szCs w:val="24"/>
        </w:rPr>
      </w:pPr>
      <w:r w:rsidRPr="009C4E81">
        <w:rPr>
          <w:rFonts w:ascii="Arial" w:hAnsi="Arial" w:cs="Arial"/>
          <w:szCs w:val="24"/>
        </w:rPr>
        <w:t xml:space="preserve">The Determination will assist Australia to meet its international obligations under the ICESCR, the UN Refugees Convention and Protocol, the CRPD and the CEDAW by providing that holders of the determined visas meet the residence requirements for qualification for Special Benefit. The Determination will also promote an adequate standard of living for those who are granted the determined visas. </w:t>
      </w:r>
    </w:p>
    <w:p w:rsidR="009C4E81" w:rsidRPr="009C4E81" w:rsidRDefault="009C4E81" w:rsidP="009C4E81">
      <w:pPr>
        <w:keepNext/>
        <w:spacing w:after="120"/>
        <w:rPr>
          <w:rFonts w:ascii="Arial" w:hAnsi="Arial" w:cs="Arial"/>
          <w:b/>
          <w:szCs w:val="24"/>
        </w:rPr>
      </w:pPr>
      <w:r w:rsidRPr="009C4E81">
        <w:rPr>
          <w:rFonts w:ascii="Arial" w:hAnsi="Arial" w:cs="Arial"/>
          <w:b/>
          <w:szCs w:val="24"/>
        </w:rPr>
        <w:t>Conclusion</w:t>
      </w:r>
    </w:p>
    <w:p w:rsidR="009C4E81" w:rsidRPr="009C4E81" w:rsidRDefault="009C4E81" w:rsidP="009C4E81">
      <w:pPr>
        <w:spacing w:after="120"/>
        <w:rPr>
          <w:rFonts w:ascii="Arial" w:hAnsi="Arial" w:cs="Arial"/>
          <w:szCs w:val="24"/>
        </w:rPr>
      </w:pPr>
      <w:r w:rsidRPr="009C4E81">
        <w:rPr>
          <w:rFonts w:ascii="Arial" w:hAnsi="Arial" w:cs="Arial"/>
          <w:szCs w:val="24"/>
        </w:rPr>
        <w:t>This Determination is compatible with human rights as it promotes the right to social security and an adequate standard of living for holders of the determined visas.</w:t>
      </w:r>
    </w:p>
    <w:p w:rsidR="00C37944" w:rsidRPr="00BC76EB" w:rsidRDefault="007713EE" w:rsidP="009C4E81">
      <w:pPr>
        <w:jc w:val="center"/>
        <w:rPr>
          <w:rFonts w:ascii="Arial" w:eastAsiaTheme="majorEastAsia" w:hAnsi="Arial" w:cs="Arial"/>
          <w:b/>
          <w:bCs/>
          <w:szCs w:val="24"/>
        </w:rPr>
      </w:pPr>
      <w:r>
        <w:rPr>
          <w:rFonts w:ascii="Arial" w:hAnsi="Arial" w:cs="Arial"/>
          <w:b/>
          <w:bCs/>
        </w:rPr>
        <w:t xml:space="preserve">The Hon </w:t>
      </w:r>
      <w:r w:rsidR="00476349" w:rsidRPr="00476349">
        <w:rPr>
          <w:rFonts w:ascii="Arial" w:hAnsi="Arial" w:cs="Arial"/>
          <w:b/>
          <w:bCs/>
        </w:rPr>
        <w:t>Christian Porter</w:t>
      </w:r>
      <w:r>
        <w:rPr>
          <w:rFonts w:ascii="Arial" w:hAnsi="Arial" w:cs="Arial"/>
          <w:b/>
          <w:bCs/>
        </w:rPr>
        <w:t xml:space="preserve"> MP</w:t>
      </w:r>
      <w:r w:rsidR="009C4E81" w:rsidRPr="009C4E81">
        <w:rPr>
          <w:rFonts w:ascii="Arial" w:hAnsi="Arial" w:cs="Arial"/>
          <w:b/>
          <w:bCs/>
        </w:rPr>
        <w:t>, Minister for Social Services</w:t>
      </w:r>
    </w:p>
    <w:bookmarkEnd w:id="1"/>
    <w:sectPr w:rsidR="00C37944"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45" w:rsidRDefault="00AD1645" w:rsidP="00AD1645">
      <w:pPr>
        <w:spacing w:before="0"/>
      </w:pPr>
      <w:r>
        <w:separator/>
      </w:r>
    </w:p>
  </w:endnote>
  <w:endnote w:type="continuationSeparator" w:id="0">
    <w:p w:rsidR="00AD1645" w:rsidRDefault="00AD164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45" w:rsidRDefault="00AD1645" w:rsidP="00AD1645">
      <w:pPr>
        <w:spacing w:before="0"/>
      </w:pPr>
      <w:r>
        <w:separator/>
      </w:r>
    </w:p>
  </w:footnote>
  <w:footnote w:type="continuationSeparator" w:id="0">
    <w:p w:rsidR="00AD1645" w:rsidRDefault="00AD1645"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D493004"/>
    <w:multiLevelType w:val="hybridMultilevel"/>
    <w:tmpl w:val="6A8AC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0C95BBD"/>
    <w:multiLevelType w:val="hybridMultilevel"/>
    <w:tmpl w:val="4EA8EB42"/>
    <w:lvl w:ilvl="0" w:tplc="CF0ECA82">
      <w:start w:val="1"/>
      <w:numFmt w:val="lowerLetter"/>
      <w:lvlText w:val="(%1)"/>
      <w:lvlJc w:val="left"/>
      <w:pPr>
        <w:ind w:left="2770" w:hanging="360"/>
      </w:pPr>
      <w:rPr>
        <w:rFonts w:ascii="Arial" w:eastAsia="Times New Roman" w:hAnsi="Arial" w:cs="Arial"/>
        <w:i w:val="0"/>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4">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A04612A"/>
    <w:multiLevelType w:val="hybridMultilevel"/>
    <w:tmpl w:val="9B1E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AFA3702"/>
    <w:multiLevelType w:val="hybridMultilevel"/>
    <w:tmpl w:val="B18E2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73914263"/>
    <w:multiLevelType w:val="hybridMultilevel"/>
    <w:tmpl w:val="094AC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2"/>
  </w:num>
  <w:num w:numId="5">
    <w:abstractNumId w:val="11"/>
  </w:num>
  <w:num w:numId="6">
    <w:abstractNumId w:val="1"/>
  </w:num>
  <w:num w:numId="7">
    <w:abstractNumId w:val="8"/>
  </w:num>
  <w:num w:numId="8">
    <w:abstractNumId w:val="14"/>
  </w:num>
  <w:num w:numId="9">
    <w:abstractNumId w:val="6"/>
  </w:num>
  <w:num w:numId="10">
    <w:abstractNumId w:val="15"/>
  </w:num>
  <w:num w:numId="11">
    <w:abstractNumId w:val="2"/>
  </w:num>
  <w:num w:numId="12">
    <w:abstractNumId w:val="4"/>
  </w:num>
  <w:num w:numId="13">
    <w:abstractNumId w:val="0"/>
  </w:num>
  <w:num w:numId="14">
    <w:abstractNumId w:val="7"/>
  </w:num>
  <w:num w:numId="15">
    <w:abstractNumId w:val="5"/>
  </w:num>
  <w:num w:numId="16">
    <w:abstractNumId w:val="17"/>
  </w:num>
  <w:num w:numId="17">
    <w:abstractNumId w:val="16"/>
  </w:num>
  <w:num w:numId="18">
    <w:abstractNumId w:val="13"/>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21ED2"/>
    <w:rsid w:val="00030B79"/>
    <w:rsid w:val="00031D0B"/>
    <w:rsid w:val="00043B6D"/>
    <w:rsid w:val="00043E25"/>
    <w:rsid w:val="00051C3F"/>
    <w:rsid w:val="00066DAE"/>
    <w:rsid w:val="00074C1A"/>
    <w:rsid w:val="000760DC"/>
    <w:rsid w:val="000844AF"/>
    <w:rsid w:val="00084B46"/>
    <w:rsid w:val="00085730"/>
    <w:rsid w:val="00096B8D"/>
    <w:rsid w:val="000A3595"/>
    <w:rsid w:val="000A772F"/>
    <w:rsid w:val="000B4130"/>
    <w:rsid w:val="000C2DDB"/>
    <w:rsid w:val="000C5204"/>
    <w:rsid w:val="000C5DAC"/>
    <w:rsid w:val="000D365F"/>
    <w:rsid w:val="000E02A0"/>
    <w:rsid w:val="000E1A0A"/>
    <w:rsid w:val="000E3915"/>
    <w:rsid w:val="000E4852"/>
    <w:rsid w:val="0011719D"/>
    <w:rsid w:val="00126429"/>
    <w:rsid w:val="001310C6"/>
    <w:rsid w:val="00140359"/>
    <w:rsid w:val="001502F9"/>
    <w:rsid w:val="0015134A"/>
    <w:rsid w:val="00152472"/>
    <w:rsid w:val="00163809"/>
    <w:rsid w:val="0016653C"/>
    <w:rsid w:val="00167C1D"/>
    <w:rsid w:val="00191AEC"/>
    <w:rsid w:val="001920F3"/>
    <w:rsid w:val="0019288B"/>
    <w:rsid w:val="001A737C"/>
    <w:rsid w:val="001B5379"/>
    <w:rsid w:val="001C64F9"/>
    <w:rsid w:val="001D69AF"/>
    <w:rsid w:val="001E5B72"/>
    <w:rsid w:val="001E5D12"/>
    <w:rsid w:val="001E630D"/>
    <w:rsid w:val="001E7422"/>
    <w:rsid w:val="001F4805"/>
    <w:rsid w:val="001F4E3C"/>
    <w:rsid w:val="002154EE"/>
    <w:rsid w:val="00224887"/>
    <w:rsid w:val="002329E1"/>
    <w:rsid w:val="002334D9"/>
    <w:rsid w:val="00234F9E"/>
    <w:rsid w:val="0024760C"/>
    <w:rsid w:val="002533F0"/>
    <w:rsid w:val="002642C7"/>
    <w:rsid w:val="00264C31"/>
    <w:rsid w:val="00274CAF"/>
    <w:rsid w:val="00276D06"/>
    <w:rsid w:val="00276F09"/>
    <w:rsid w:val="002810A5"/>
    <w:rsid w:val="00283079"/>
    <w:rsid w:val="002926E3"/>
    <w:rsid w:val="002A0E63"/>
    <w:rsid w:val="002A2A71"/>
    <w:rsid w:val="002A523B"/>
    <w:rsid w:val="002A6007"/>
    <w:rsid w:val="002A63EA"/>
    <w:rsid w:val="002B0175"/>
    <w:rsid w:val="002C1403"/>
    <w:rsid w:val="002C1938"/>
    <w:rsid w:val="002C2252"/>
    <w:rsid w:val="002C6177"/>
    <w:rsid w:val="002D0F1C"/>
    <w:rsid w:val="002D35D8"/>
    <w:rsid w:val="002D4522"/>
    <w:rsid w:val="002E0BB1"/>
    <w:rsid w:val="00300D8B"/>
    <w:rsid w:val="003119FD"/>
    <w:rsid w:val="00334F9D"/>
    <w:rsid w:val="00337065"/>
    <w:rsid w:val="003430FC"/>
    <w:rsid w:val="003434E2"/>
    <w:rsid w:val="00345FFE"/>
    <w:rsid w:val="0035378F"/>
    <w:rsid w:val="003606C5"/>
    <w:rsid w:val="003618E8"/>
    <w:rsid w:val="00365424"/>
    <w:rsid w:val="00374A77"/>
    <w:rsid w:val="00380666"/>
    <w:rsid w:val="00387D89"/>
    <w:rsid w:val="00391A54"/>
    <w:rsid w:val="00392EB6"/>
    <w:rsid w:val="00393D4E"/>
    <w:rsid w:val="00394743"/>
    <w:rsid w:val="003A04AD"/>
    <w:rsid w:val="003B2BB8"/>
    <w:rsid w:val="003B44E1"/>
    <w:rsid w:val="003C3368"/>
    <w:rsid w:val="003C54B6"/>
    <w:rsid w:val="003D34FF"/>
    <w:rsid w:val="003D71F6"/>
    <w:rsid w:val="003E1784"/>
    <w:rsid w:val="00400273"/>
    <w:rsid w:val="00420387"/>
    <w:rsid w:val="0042132E"/>
    <w:rsid w:val="00435CA9"/>
    <w:rsid w:val="00446D6C"/>
    <w:rsid w:val="0045240C"/>
    <w:rsid w:val="00453FC9"/>
    <w:rsid w:val="00454405"/>
    <w:rsid w:val="00456FBD"/>
    <w:rsid w:val="004646E1"/>
    <w:rsid w:val="00470C3D"/>
    <w:rsid w:val="004726FF"/>
    <w:rsid w:val="00476349"/>
    <w:rsid w:val="004814F1"/>
    <w:rsid w:val="00482411"/>
    <w:rsid w:val="00486C9A"/>
    <w:rsid w:val="004956ED"/>
    <w:rsid w:val="0049646F"/>
    <w:rsid w:val="00497768"/>
    <w:rsid w:val="004A0C19"/>
    <w:rsid w:val="004A126A"/>
    <w:rsid w:val="004A24AF"/>
    <w:rsid w:val="004B3147"/>
    <w:rsid w:val="004B54CA"/>
    <w:rsid w:val="004C163F"/>
    <w:rsid w:val="004D336A"/>
    <w:rsid w:val="004E3A61"/>
    <w:rsid w:val="004E5CBF"/>
    <w:rsid w:val="004F1CD0"/>
    <w:rsid w:val="004F264A"/>
    <w:rsid w:val="004F5308"/>
    <w:rsid w:val="004F605C"/>
    <w:rsid w:val="004F69ED"/>
    <w:rsid w:val="00505802"/>
    <w:rsid w:val="00511520"/>
    <w:rsid w:val="00527238"/>
    <w:rsid w:val="005332C8"/>
    <w:rsid w:val="00540BD8"/>
    <w:rsid w:val="0055503B"/>
    <w:rsid w:val="00562CBC"/>
    <w:rsid w:val="00566538"/>
    <w:rsid w:val="00566BF6"/>
    <w:rsid w:val="00570884"/>
    <w:rsid w:val="00576330"/>
    <w:rsid w:val="0057641C"/>
    <w:rsid w:val="005766D2"/>
    <w:rsid w:val="00591D1A"/>
    <w:rsid w:val="00594251"/>
    <w:rsid w:val="005C390A"/>
    <w:rsid w:val="005C3AA9"/>
    <w:rsid w:val="005C54B4"/>
    <w:rsid w:val="005C78B2"/>
    <w:rsid w:val="005E2B91"/>
    <w:rsid w:val="005E4167"/>
    <w:rsid w:val="005E4362"/>
    <w:rsid w:val="005E4607"/>
    <w:rsid w:val="005E7B26"/>
    <w:rsid w:val="005F41C9"/>
    <w:rsid w:val="005F5E17"/>
    <w:rsid w:val="00600147"/>
    <w:rsid w:val="00614C63"/>
    <w:rsid w:val="00620404"/>
    <w:rsid w:val="00622668"/>
    <w:rsid w:val="00622B71"/>
    <w:rsid w:val="00624E34"/>
    <w:rsid w:val="00632F44"/>
    <w:rsid w:val="006402A6"/>
    <w:rsid w:val="006407D3"/>
    <w:rsid w:val="0064167D"/>
    <w:rsid w:val="00650B9C"/>
    <w:rsid w:val="00650C1C"/>
    <w:rsid w:val="006546B7"/>
    <w:rsid w:val="006643AB"/>
    <w:rsid w:val="0067070B"/>
    <w:rsid w:val="00681C7F"/>
    <w:rsid w:val="00683FF5"/>
    <w:rsid w:val="00687351"/>
    <w:rsid w:val="00690CCD"/>
    <w:rsid w:val="006A1F70"/>
    <w:rsid w:val="006A4CE7"/>
    <w:rsid w:val="006A5D55"/>
    <w:rsid w:val="006A6D51"/>
    <w:rsid w:val="006C5E5E"/>
    <w:rsid w:val="006E1B19"/>
    <w:rsid w:val="006F0769"/>
    <w:rsid w:val="00701486"/>
    <w:rsid w:val="00720E42"/>
    <w:rsid w:val="0073766B"/>
    <w:rsid w:val="00760A08"/>
    <w:rsid w:val="00762A05"/>
    <w:rsid w:val="00771003"/>
    <w:rsid w:val="007713EE"/>
    <w:rsid w:val="0077461F"/>
    <w:rsid w:val="0078126B"/>
    <w:rsid w:val="00785261"/>
    <w:rsid w:val="007907A8"/>
    <w:rsid w:val="007938F3"/>
    <w:rsid w:val="0079557B"/>
    <w:rsid w:val="007A53DD"/>
    <w:rsid w:val="007B0256"/>
    <w:rsid w:val="007B69DD"/>
    <w:rsid w:val="007C4060"/>
    <w:rsid w:val="007C5234"/>
    <w:rsid w:val="007D5C58"/>
    <w:rsid w:val="007D6273"/>
    <w:rsid w:val="007E4FAD"/>
    <w:rsid w:val="007F44F6"/>
    <w:rsid w:val="00807CD7"/>
    <w:rsid w:val="00816CFA"/>
    <w:rsid w:val="0083135C"/>
    <w:rsid w:val="00841C22"/>
    <w:rsid w:val="00860BE9"/>
    <w:rsid w:val="0086269B"/>
    <w:rsid w:val="008707FE"/>
    <w:rsid w:val="00871F28"/>
    <w:rsid w:val="008761FF"/>
    <w:rsid w:val="00876679"/>
    <w:rsid w:val="00880E92"/>
    <w:rsid w:val="00896466"/>
    <w:rsid w:val="008A576A"/>
    <w:rsid w:val="008B026E"/>
    <w:rsid w:val="008B1AA5"/>
    <w:rsid w:val="008B4CF1"/>
    <w:rsid w:val="008D2D41"/>
    <w:rsid w:val="008D2FC2"/>
    <w:rsid w:val="008D59CA"/>
    <w:rsid w:val="008D68B6"/>
    <w:rsid w:val="008D7A97"/>
    <w:rsid w:val="008E1D0E"/>
    <w:rsid w:val="008E320A"/>
    <w:rsid w:val="008F5702"/>
    <w:rsid w:val="0090702B"/>
    <w:rsid w:val="009075FA"/>
    <w:rsid w:val="009140F6"/>
    <w:rsid w:val="00915A96"/>
    <w:rsid w:val="009225F0"/>
    <w:rsid w:val="00930624"/>
    <w:rsid w:val="00932E80"/>
    <w:rsid w:val="00935A03"/>
    <w:rsid w:val="009426E4"/>
    <w:rsid w:val="00946730"/>
    <w:rsid w:val="00950ACB"/>
    <w:rsid w:val="0095196E"/>
    <w:rsid w:val="00956519"/>
    <w:rsid w:val="00962BB6"/>
    <w:rsid w:val="00966756"/>
    <w:rsid w:val="00966F79"/>
    <w:rsid w:val="00967EBE"/>
    <w:rsid w:val="00985038"/>
    <w:rsid w:val="0099649B"/>
    <w:rsid w:val="009A4EAB"/>
    <w:rsid w:val="009A5D3E"/>
    <w:rsid w:val="009B71A9"/>
    <w:rsid w:val="009C4E81"/>
    <w:rsid w:val="009C63A9"/>
    <w:rsid w:val="009C63B6"/>
    <w:rsid w:val="009D1BE5"/>
    <w:rsid w:val="009F3C43"/>
    <w:rsid w:val="00A06B72"/>
    <w:rsid w:val="00A27CC8"/>
    <w:rsid w:val="00A27E85"/>
    <w:rsid w:val="00A34248"/>
    <w:rsid w:val="00A375D4"/>
    <w:rsid w:val="00A37984"/>
    <w:rsid w:val="00A42690"/>
    <w:rsid w:val="00A4616D"/>
    <w:rsid w:val="00A6045B"/>
    <w:rsid w:val="00A63D74"/>
    <w:rsid w:val="00A66DD0"/>
    <w:rsid w:val="00A719D2"/>
    <w:rsid w:val="00A763EC"/>
    <w:rsid w:val="00A8767B"/>
    <w:rsid w:val="00A94C22"/>
    <w:rsid w:val="00AA0F80"/>
    <w:rsid w:val="00AA37AC"/>
    <w:rsid w:val="00AA45C6"/>
    <w:rsid w:val="00AB7356"/>
    <w:rsid w:val="00AC271F"/>
    <w:rsid w:val="00AC635D"/>
    <w:rsid w:val="00AD1347"/>
    <w:rsid w:val="00AD1645"/>
    <w:rsid w:val="00AD7971"/>
    <w:rsid w:val="00AE11F6"/>
    <w:rsid w:val="00AE3176"/>
    <w:rsid w:val="00AF0E6A"/>
    <w:rsid w:val="00B01538"/>
    <w:rsid w:val="00B04EB0"/>
    <w:rsid w:val="00B261D9"/>
    <w:rsid w:val="00B33E33"/>
    <w:rsid w:val="00B376E6"/>
    <w:rsid w:val="00B52B87"/>
    <w:rsid w:val="00B54C30"/>
    <w:rsid w:val="00B54DD4"/>
    <w:rsid w:val="00B6472A"/>
    <w:rsid w:val="00B73680"/>
    <w:rsid w:val="00B74531"/>
    <w:rsid w:val="00B777D9"/>
    <w:rsid w:val="00B821A0"/>
    <w:rsid w:val="00BA2DB9"/>
    <w:rsid w:val="00BB0D37"/>
    <w:rsid w:val="00BC76EB"/>
    <w:rsid w:val="00BD25AE"/>
    <w:rsid w:val="00BD7E9D"/>
    <w:rsid w:val="00BE56A0"/>
    <w:rsid w:val="00BE7148"/>
    <w:rsid w:val="00BF2FB3"/>
    <w:rsid w:val="00C01CC3"/>
    <w:rsid w:val="00C21C68"/>
    <w:rsid w:val="00C2733D"/>
    <w:rsid w:val="00C37944"/>
    <w:rsid w:val="00C37BA8"/>
    <w:rsid w:val="00C4511C"/>
    <w:rsid w:val="00C455A2"/>
    <w:rsid w:val="00C47E2D"/>
    <w:rsid w:val="00C559BF"/>
    <w:rsid w:val="00C64251"/>
    <w:rsid w:val="00C7238E"/>
    <w:rsid w:val="00C77B41"/>
    <w:rsid w:val="00CA33B2"/>
    <w:rsid w:val="00CA3D78"/>
    <w:rsid w:val="00CA43C4"/>
    <w:rsid w:val="00CA6F15"/>
    <w:rsid w:val="00CB344C"/>
    <w:rsid w:val="00CB42CE"/>
    <w:rsid w:val="00CC7EC4"/>
    <w:rsid w:val="00CF0527"/>
    <w:rsid w:val="00D1706F"/>
    <w:rsid w:val="00D2075E"/>
    <w:rsid w:val="00D21D83"/>
    <w:rsid w:val="00D243C5"/>
    <w:rsid w:val="00D31C51"/>
    <w:rsid w:val="00D367AA"/>
    <w:rsid w:val="00D37C2C"/>
    <w:rsid w:val="00D459E0"/>
    <w:rsid w:val="00D61C4B"/>
    <w:rsid w:val="00D708CA"/>
    <w:rsid w:val="00D72F4B"/>
    <w:rsid w:val="00DA167C"/>
    <w:rsid w:val="00DB6E7A"/>
    <w:rsid w:val="00DC765C"/>
    <w:rsid w:val="00DD3BC1"/>
    <w:rsid w:val="00DE0717"/>
    <w:rsid w:val="00DE3A1F"/>
    <w:rsid w:val="00E01E71"/>
    <w:rsid w:val="00E027AF"/>
    <w:rsid w:val="00E15CFF"/>
    <w:rsid w:val="00E230ED"/>
    <w:rsid w:val="00E23C53"/>
    <w:rsid w:val="00E32139"/>
    <w:rsid w:val="00E44FD4"/>
    <w:rsid w:val="00E519DC"/>
    <w:rsid w:val="00E60CC7"/>
    <w:rsid w:val="00E708B1"/>
    <w:rsid w:val="00E72DC6"/>
    <w:rsid w:val="00E745BB"/>
    <w:rsid w:val="00E752E9"/>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6613"/>
    <w:rsid w:val="00EE2764"/>
    <w:rsid w:val="00EF54F0"/>
    <w:rsid w:val="00F0576D"/>
    <w:rsid w:val="00F108ED"/>
    <w:rsid w:val="00F227A4"/>
    <w:rsid w:val="00F328DA"/>
    <w:rsid w:val="00F35271"/>
    <w:rsid w:val="00F35580"/>
    <w:rsid w:val="00F502A9"/>
    <w:rsid w:val="00F52853"/>
    <w:rsid w:val="00F754A3"/>
    <w:rsid w:val="00F80205"/>
    <w:rsid w:val="00FA6F53"/>
    <w:rsid w:val="00FA7196"/>
    <w:rsid w:val="00FD2F20"/>
    <w:rsid w:val="00FD368E"/>
    <w:rsid w:val="00FD6BF4"/>
    <w:rsid w:val="00FD7A80"/>
    <w:rsid w:val="00FE5C69"/>
    <w:rsid w:val="00FF20B0"/>
    <w:rsid w:val="00FF5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ubsection">
    <w:name w:val="subsection"/>
    <w:aliases w:val="ss"/>
    <w:basedOn w:val="Normal"/>
    <w:rsid w:val="00C64251"/>
    <w:pPr>
      <w:tabs>
        <w:tab w:val="right" w:pos="1021"/>
      </w:tabs>
      <w:spacing w:before="180"/>
      <w:ind w:left="1134" w:hanging="1134"/>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ubsection">
    <w:name w:val="subsection"/>
    <w:aliases w:val="ss"/>
    <w:basedOn w:val="Normal"/>
    <w:rsid w:val="00C64251"/>
    <w:pPr>
      <w:tabs>
        <w:tab w:val="right" w:pos="1021"/>
      </w:tabs>
      <w:spacing w:before="180"/>
      <w:ind w:left="1134" w:hanging="1134"/>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1186">
      <w:bodyDiv w:val="1"/>
      <w:marLeft w:val="0"/>
      <w:marRight w:val="0"/>
      <w:marTop w:val="0"/>
      <w:marBottom w:val="0"/>
      <w:divBdr>
        <w:top w:val="none" w:sz="0" w:space="0" w:color="auto"/>
        <w:left w:val="none" w:sz="0" w:space="0" w:color="auto"/>
        <w:bottom w:val="none" w:sz="0" w:space="0" w:color="auto"/>
        <w:right w:val="none" w:sz="0" w:space="0" w:color="auto"/>
      </w:divBdr>
    </w:div>
    <w:div w:id="1704869221">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0EF17-9A0D-4ADC-A0C9-6BFC74E4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Burrowes, Megan</cp:lastModifiedBy>
  <cp:revision>2</cp:revision>
  <cp:lastPrinted>2015-09-29T05:37:00Z</cp:lastPrinted>
  <dcterms:created xsi:type="dcterms:W3CDTF">2015-09-29T06:08:00Z</dcterms:created>
  <dcterms:modified xsi:type="dcterms:W3CDTF">2015-09-29T06:08:00Z</dcterms:modified>
</cp:coreProperties>
</file>