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1C5E3" w14:textId="7C49E6CA" w:rsidR="00715914" w:rsidRPr="00F61B09" w:rsidRDefault="006E09D8" w:rsidP="009460DC">
      <w:pPr>
        <w:spacing w:after="600"/>
        <w:rPr>
          <w:sz w:val="28"/>
        </w:rPr>
      </w:pPr>
      <w:r w:rsidRPr="006E09D8">
        <w:rPr>
          <w:noProof/>
        </w:rPr>
        <w:drawing>
          <wp:inline distT="0" distB="0" distL="0" distR="0" wp14:anchorId="3DE23BAE" wp14:editId="1EF5F063">
            <wp:extent cx="52768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6850" cy="752475"/>
                    </a:xfrm>
                    <a:prstGeom prst="rect">
                      <a:avLst/>
                    </a:prstGeom>
                    <a:noFill/>
                    <a:ln>
                      <a:noFill/>
                    </a:ln>
                  </pic:spPr>
                </pic:pic>
              </a:graphicData>
            </a:graphic>
          </wp:inline>
        </w:drawing>
      </w:r>
    </w:p>
    <w:p w14:paraId="2E915E26" w14:textId="77777777" w:rsidR="00715914" w:rsidRDefault="00447DB4" w:rsidP="00715914">
      <w:pPr>
        <w:pStyle w:val="LI-Title"/>
      </w:pPr>
      <w:r w:rsidRPr="00F61B09">
        <w:t>A</w:t>
      </w:r>
      <w:r w:rsidR="00327DDF">
        <w:t xml:space="preserve">SIC </w:t>
      </w:r>
      <w:r w:rsidR="00327DDF" w:rsidRPr="005D3D41">
        <w:t xml:space="preserve">Corporations </w:t>
      </w:r>
      <w:r w:rsidR="00B37859">
        <w:t>(</w:t>
      </w:r>
      <w:r w:rsidR="00FE307B">
        <w:t>Derivative Transaction Reporting Exemption</w:t>
      </w:r>
      <w:r w:rsidR="00B37859">
        <w:t>)</w:t>
      </w:r>
      <w:r w:rsidR="00C11452">
        <w:t xml:space="preserve"> Instrument </w:t>
      </w:r>
      <w:r w:rsidR="00B37859">
        <w:t>2015</w:t>
      </w:r>
      <w:r w:rsidR="00E11D45">
        <w:t>/844</w:t>
      </w:r>
    </w:p>
    <w:p w14:paraId="19D59E21" w14:textId="77777777" w:rsidR="006F62C1" w:rsidRPr="006F62C1" w:rsidRDefault="006F62C1" w:rsidP="006F62C1">
      <w:pPr>
        <w:pBdr>
          <w:bottom w:val="single" w:sz="4" w:space="1" w:color="auto"/>
        </w:pBdr>
        <w:rPr>
          <w:lang w:eastAsia="en-AU"/>
        </w:rPr>
      </w:pPr>
    </w:p>
    <w:p w14:paraId="013D1C76" w14:textId="77777777" w:rsidR="00467057" w:rsidRDefault="00467057" w:rsidP="00774723">
      <w:pPr>
        <w:rPr>
          <w:b/>
          <w:bCs/>
          <w:sz w:val="28"/>
          <w:szCs w:val="28"/>
        </w:rPr>
      </w:pPr>
    </w:p>
    <w:p w14:paraId="2106A78E" w14:textId="77777777" w:rsidR="00774723" w:rsidRDefault="00774723" w:rsidP="00774723">
      <w:pPr>
        <w:rPr>
          <w:b/>
          <w:bCs/>
          <w:sz w:val="28"/>
          <w:szCs w:val="28"/>
        </w:rPr>
      </w:pPr>
      <w:r w:rsidRPr="00A41CB2">
        <w:rPr>
          <w:b/>
          <w:bCs/>
          <w:sz w:val="28"/>
          <w:szCs w:val="28"/>
        </w:rPr>
        <w:t>About this compilation</w:t>
      </w:r>
    </w:p>
    <w:p w14:paraId="3483A33A" w14:textId="33AB5FAA" w:rsidR="000E1BEC" w:rsidRPr="00A41CB2" w:rsidRDefault="000E1BEC" w:rsidP="00774723">
      <w:pPr>
        <w:rPr>
          <w:b/>
          <w:bCs/>
          <w:sz w:val="28"/>
          <w:szCs w:val="28"/>
        </w:rPr>
      </w:pPr>
      <w:r>
        <w:rPr>
          <w:b/>
          <w:bCs/>
          <w:sz w:val="28"/>
          <w:szCs w:val="28"/>
        </w:rPr>
        <w:br/>
      </w:r>
      <w:r w:rsidR="00467057" w:rsidRPr="00327F27">
        <w:rPr>
          <w:b/>
          <w:sz w:val="24"/>
          <w:szCs w:val="24"/>
        </w:rPr>
        <w:t xml:space="preserve">Compilation No. </w:t>
      </w:r>
      <w:r w:rsidR="00DF631D">
        <w:rPr>
          <w:b/>
          <w:sz w:val="24"/>
          <w:szCs w:val="24"/>
        </w:rPr>
        <w:t>10</w:t>
      </w:r>
    </w:p>
    <w:p w14:paraId="1756C503" w14:textId="77777777" w:rsidR="00774723" w:rsidRDefault="00774723" w:rsidP="00774723">
      <w:pPr>
        <w:rPr>
          <w:b/>
          <w:bCs/>
          <w:sz w:val="24"/>
          <w:szCs w:val="24"/>
        </w:rPr>
      </w:pPr>
    </w:p>
    <w:p w14:paraId="76D0B012" w14:textId="41B2941E" w:rsidR="00774723" w:rsidRDefault="00774723" w:rsidP="00774723">
      <w:pPr>
        <w:rPr>
          <w:sz w:val="24"/>
          <w:szCs w:val="24"/>
        </w:rPr>
      </w:pPr>
      <w:r w:rsidRPr="00A41CB2">
        <w:rPr>
          <w:sz w:val="24"/>
          <w:szCs w:val="24"/>
        </w:rPr>
        <w:t xml:space="preserve">This is a compilation of </w:t>
      </w:r>
      <w:r w:rsidRPr="00304580">
        <w:rPr>
          <w:i/>
          <w:sz w:val="24"/>
          <w:szCs w:val="24"/>
        </w:rPr>
        <w:t xml:space="preserve">ASIC Corporations (Derivative Transaction Reporting Exemption) Instrument 2015/844 </w:t>
      </w:r>
      <w:r w:rsidRPr="00A41CB2">
        <w:rPr>
          <w:sz w:val="24"/>
          <w:szCs w:val="24"/>
        </w:rPr>
        <w:t xml:space="preserve">as in force on </w:t>
      </w:r>
      <w:r w:rsidR="007733F6">
        <w:rPr>
          <w:sz w:val="24"/>
          <w:szCs w:val="24"/>
        </w:rPr>
        <w:t xml:space="preserve">1 </w:t>
      </w:r>
      <w:r w:rsidR="00DF631D">
        <w:rPr>
          <w:sz w:val="24"/>
          <w:szCs w:val="24"/>
        </w:rPr>
        <w:t>April 2020</w:t>
      </w:r>
      <w:r w:rsidRPr="00A41CB2">
        <w:rPr>
          <w:sz w:val="24"/>
          <w:szCs w:val="24"/>
        </w:rPr>
        <w:t xml:space="preserve">. It includes any commenced amendment affecting the </w:t>
      </w:r>
      <w:r>
        <w:rPr>
          <w:sz w:val="24"/>
          <w:szCs w:val="24"/>
        </w:rPr>
        <w:t xml:space="preserve">legislative instrument </w:t>
      </w:r>
      <w:r w:rsidRPr="00A41CB2">
        <w:rPr>
          <w:sz w:val="24"/>
          <w:szCs w:val="24"/>
        </w:rPr>
        <w:t>to</w:t>
      </w:r>
      <w:r>
        <w:rPr>
          <w:sz w:val="24"/>
          <w:szCs w:val="24"/>
        </w:rPr>
        <w:t xml:space="preserve"> </w:t>
      </w:r>
      <w:r w:rsidRPr="00A41CB2">
        <w:rPr>
          <w:sz w:val="24"/>
          <w:szCs w:val="24"/>
        </w:rPr>
        <w:t>that date.</w:t>
      </w:r>
    </w:p>
    <w:p w14:paraId="3EFF9448" w14:textId="77777777" w:rsidR="00774723" w:rsidRDefault="00774723" w:rsidP="00774723">
      <w:pPr>
        <w:rPr>
          <w:sz w:val="24"/>
          <w:szCs w:val="24"/>
        </w:rPr>
      </w:pPr>
    </w:p>
    <w:p w14:paraId="007DCEE3" w14:textId="77777777" w:rsidR="00467057" w:rsidRPr="00467057" w:rsidRDefault="00467057" w:rsidP="00467057">
      <w:pPr>
        <w:rPr>
          <w:sz w:val="24"/>
          <w:szCs w:val="24"/>
        </w:rPr>
      </w:pPr>
      <w:r w:rsidRPr="00467057">
        <w:rPr>
          <w:sz w:val="24"/>
          <w:szCs w:val="24"/>
        </w:rPr>
        <w:t>This compilation was prepared by the Australian Securities and Investments Commission.</w:t>
      </w:r>
    </w:p>
    <w:p w14:paraId="75767BBB" w14:textId="77777777" w:rsidR="00467057" w:rsidRPr="00467057" w:rsidRDefault="00467057" w:rsidP="00467057">
      <w:pPr>
        <w:rPr>
          <w:sz w:val="24"/>
          <w:szCs w:val="24"/>
        </w:rPr>
      </w:pPr>
    </w:p>
    <w:p w14:paraId="5D75A7A6" w14:textId="77777777" w:rsidR="00467057" w:rsidRPr="00467057" w:rsidRDefault="00467057" w:rsidP="00467057">
      <w:pPr>
        <w:rPr>
          <w:sz w:val="24"/>
          <w:szCs w:val="24"/>
        </w:rPr>
      </w:pPr>
      <w:r w:rsidRPr="00467057">
        <w:rPr>
          <w:sz w:val="24"/>
          <w:szCs w:val="24"/>
        </w:rPr>
        <w:t>The notes at the end of this compilation (the endnotes) include information</w:t>
      </w:r>
    </w:p>
    <w:p w14:paraId="71003F99" w14:textId="05AD7422" w:rsidR="00774723" w:rsidRPr="00A41CB2" w:rsidRDefault="00467057" w:rsidP="00467057">
      <w:pPr>
        <w:rPr>
          <w:sz w:val="24"/>
          <w:szCs w:val="24"/>
        </w:rPr>
      </w:pPr>
      <w:r w:rsidRPr="00467057">
        <w:rPr>
          <w:sz w:val="24"/>
          <w:szCs w:val="24"/>
        </w:rPr>
        <w:t>about amending instruments and the amendment history of each amended provision.</w:t>
      </w:r>
    </w:p>
    <w:p w14:paraId="11461E12" w14:textId="61234478" w:rsidR="00FC7D25" w:rsidRPr="00BB5C17" w:rsidRDefault="00FC7D25" w:rsidP="00096EA7">
      <w:pPr>
        <w:pStyle w:val="LI-Fronttext"/>
        <w:pBdr>
          <w:bottom w:val="single" w:sz="4" w:space="1" w:color="auto"/>
        </w:pBdr>
        <w:rPr>
          <w:sz w:val="24"/>
          <w:szCs w:val="24"/>
        </w:rPr>
      </w:pPr>
    </w:p>
    <w:p w14:paraId="49FC5C93" w14:textId="77777777" w:rsidR="00715914" w:rsidRPr="00F61B09" w:rsidRDefault="00715914" w:rsidP="00715914">
      <w:pPr>
        <w:pStyle w:val="Header"/>
        <w:tabs>
          <w:tab w:val="clear" w:pos="4150"/>
          <w:tab w:val="clear" w:pos="8307"/>
        </w:tabs>
      </w:pPr>
    </w:p>
    <w:p w14:paraId="71784A8B" w14:textId="77777777" w:rsidR="00715914" w:rsidRPr="00F61B09" w:rsidRDefault="00715914" w:rsidP="00715914">
      <w:pPr>
        <w:sectPr w:rsidR="00715914" w:rsidRPr="00F61B09" w:rsidSect="008945E0">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titlePg/>
          <w:docGrid w:linePitch="360"/>
        </w:sectPr>
      </w:pPr>
    </w:p>
    <w:p w14:paraId="2ED099DA" w14:textId="77777777" w:rsidR="00F67BCA" w:rsidRPr="00F61B09" w:rsidRDefault="00715914" w:rsidP="00E2168B">
      <w:pPr>
        <w:spacing w:before="280" w:after="240"/>
        <w:rPr>
          <w:sz w:val="36"/>
        </w:rPr>
      </w:pPr>
      <w:r w:rsidRPr="006E5320">
        <w:rPr>
          <w:b/>
          <w:sz w:val="32"/>
          <w:szCs w:val="32"/>
        </w:rPr>
        <w:lastRenderedPageBreak/>
        <w:t>Contents</w:t>
      </w:r>
    </w:p>
    <w:bookmarkStart w:id="0" w:name="BKCheck15B_2"/>
    <w:bookmarkEnd w:id="0"/>
    <w:p w14:paraId="55A2DCDC" w14:textId="2D5D5CDD" w:rsidR="00FE1BD9" w:rsidRDefault="008945E0">
      <w:pPr>
        <w:pStyle w:val="TOC1"/>
        <w:rPr>
          <w:rFonts w:asciiTheme="minorHAnsi" w:eastAsiaTheme="minorEastAsia" w:hAnsiTheme="minorHAnsi" w:cstheme="minorBidi"/>
          <w:b w:val="0"/>
          <w:noProof/>
          <w:kern w:val="0"/>
          <w:sz w:val="22"/>
          <w:szCs w:val="22"/>
        </w:rPr>
      </w:pPr>
      <w:r>
        <w:rPr>
          <w:b w:val="0"/>
          <w:sz w:val="28"/>
        </w:rPr>
        <w:fldChar w:fldCharType="begin"/>
      </w:r>
      <w:r>
        <w:rPr>
          <w:b w:val="0"/>
          <w:sz w:val="28"/>
        </w:rPr>
        <w:instrText xml:space="preserve"> TOC \t "LI - Heading 1,1,LI - Heading 2,2" </w:instrText>
      </w:r>
      <w:r>
        <w:rPr>
          <w:b w:val="0"/>
          <w:sz w:val="28"/>
        </w:rPr>
        <w:fldChar w:fldCharType="separate"/>
      </w:r>
      <w:r w:rsidR="00FE1BD9">
        <w:rPr>
          <w:noProof/>
        </w:rPr>
        <w:t>Part 1—Preliminary</w:t>
      </w:r>
      <w:r w:rsidR="00FE1BD9">
        <w:rPr>
          <w:noProof/>
        </w:rPr>
        <w:tab/>
      </w:r>
      <w:r w:rsidR="00FE1BD9">
        <w:rPr>
          <w:noProof/>
        </w:rPr>
        <w:fldChar w:fldCharType="begin"/>
      </w:r>
      <w:r w:rsidR="00FE1BD9">
        <w:rPr>
          <w:noProof/>
        </w:rPr>
        <w:instrText xml:space="preserve"> PAGEREF _Toc20409903 \h </w:instrText>
      </w:r>
      <w:r w:rsidR="00FE1BD9">
        <w:rPr>
          <w:noProof/>
        </w:rPr>
      </w:r>
      <w:r w:rsidR="00FE1BD9">
        <w:rPr>
          <w:noProof/>
        </w:rPr>
        <w:fldChar w:fldCharType="separate"/>
      </w:r>
      <w:r w:rsidR="00FE1BD9">
        <w:rPr>
          <w:noProof/>
        </w:rPr>
        <w:t>3</w:t>
      </w:r>
      <w:r w:rsidR="00FE1BD9">
        <w:rPr>
          <w:noProof/>
        </w:rPr>
        <w:fldChar w:fldCharType="end"/>
      </w:r>
    </w:p>
    <w:p w14:paraId="63FFB49E" w14:textId="109658F1" w:rsidR="00FE1BD9" w:rsidRDefault="00FE1BD9">
      <w:pPr>
        <w:pStyle w:val="TOC2"/>
        <w:tabs>
          <w:tab w:val="left" w:pos="147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sidR="008B4380">
        <w:rPr>
          <w:rFonts w:asciiTheme="minorHAnsi" w:eastAsiaTheme="minorEastAsia" w:hAnsiTheme="minorHAnsi" w:cstheme="minorBidi"/>
          <w:noProof/>
          <w:kern w:val="0"/>
          <w:sz w:val="22"/>
          <w:szCs w:val="22"/>
        </w:rPr>
        <w:tab/>
      </w:r>
      <w:r>
        <w:rPr>
          <w:noProof/>
        </w:rPr>
        <w:t>Name of legislative instrument</w:t>
      </w:r>
      <w:r>
        <w:rPr>
          <w:noProof/>
        </w:rPr>
        <w:tab/>
      </w:r>
      <w:r>
        <w:rPr>
          <w:noProof/>
        </w:rPr>
        <w:fldChar w:fldCharType="begin"/>
      </w:r>
      <w:r>
        <w:rPr>
          <w:noProof/>
        </w:rPr>
        <w:instrText xml:space="preserve"> PAGEREF _Toc20409904 \h </w:instrText>
      </w:r>
      <w:r>
        <w:rPr>
          <w:noProof/>
        </w:rPr>
      </w:r>
      <w:r>
        <w:rPr>
          <w:noProof/>
        </w:rPr>
        <w:fldChar w:fldCharType="separate"/>
      </w:r>
      <w:r>
        <w:rPr>
          <w:noProof/>
        </w:rPr>
        <w:t>3</w:t>
      </w:r>
      <w:r>
        <w:rPr>
          <w:noProof/>
        </w:rPr>
        <w:fldChar w:fldCharType="end"/>
      </w:r>
    </w:p>
    <w:p w14:paraId="63C1034A" w14:textId="11B0348C" w:rsidR="00FE1BD9" w:rsidRDefault="00FE1BD9">
      <w:pPr>
        <w:pStyle w:val="TOC2"/>
        <w:tabs>
          <w:tab w:val="left" w:pos="147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sidR="008B4380">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_Toc20409905 \h </w:instrText>
      </w:r>
      <w:r>
        <w:rPr>
          <w:noProof/>
        </w:rPr>
      </w:r>
      <w:r>
        <w:rPr>
          <w:noProof/>
        </w:rPr>
        <w:fldChar w:fldCharType="separate"/>
      </w:r>
      <w:r>
        <w:rPr>
          <w:noProof/>
        </w:rPr>
        <w:t>3</w:t>
      </w:r>
      <w:r>
        <w:rPr>
          <w:noProof/>
        </w:rPr>
        <w:fldChar w:fldCharType="end"/>
      </w:r>
    </w:p>
    <w:p w14:paraId="7EA80B51" w14:textId="6635DECA" w:rsidR="00FE1BD9" w:rsidRDefault="00FE1BD9">
      <w:pPr>
        <w:pStyle w:val="TOC2"/>
        <w:tabs>
          <w:tab w:val="left" w:pos="147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sidR="008B4380">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_Toc20409906 \h </w:instrText>
      </w:r>
      <w:r>
        <w:rPr>
          <w:noProof/>
        </w:rPr>
      </w:r>
      <w:r>
        <w:rPr>
          <w:noProof/>
        </w:rPr>
        <w:fldChar w:fldCharType="separate"/>
      </w:r>
      <w:r>
        <w:rPr>
          <w:noProof/>
        </w:rPr>
        <w:t>3</w:t>
      </w:r>
      <w:r>
        <w:rPr>
          <w:noProof/>
        </w:rPr>
        <w:fldChar w:fldCharType="end"/>
      </w:r>
    </w:p>
    <w:p w14:paraId="0FC70FAD" w14:textId="3F053596" w:rsidR="00FE1BD9" w:rsidRDefault="00FE1BD9">
      <w:pPr>
        <w:pStyle w:val="TOC1"/>
        <w:rPr>
          <w:rFonts w:asciiTheme="minorHAnsi" w:eastAsiaTheme="minorEastAsia" w:hAnsiTheme="minorHAnsi" w:cstheme="minorBidi"/>
          <w:b w:val="0"/>
          <w:noProof/>
          <w:kern w:val="0"/>
          <w:sz w:val="22"/>
          <w:szCs w:val="22"/>
        </w:rPr>
      </w:pPr>
      <w:r>
        <w:rPr>
          <w:noProof/>
        </w:rPr>
        <w:t>Part 2—Exemption</w:t>
      </w:r>
      <w:r>
        <w:rPr>
          <w:noProof/>
        </w:rPr>
        <w:tab/>
      </w:r>
      <w:r>
        <w:rPr>
          <w:noProof/>
        </w:rPr>
        <w:fldChar w:fldCharType="begin"/>
      </w:r>
      <w:r>
        <w:rPr>
          <w:noProof/>
        </w:rPr>
        <w:instrText xml:space="preserve"> PAGEREF _Toc20409907 \h </w:instrText>
      </w:r>
      <w:r>
        <w:rPr>
          <w:noProof/>
        </w:rPr>
      </w:r>
      <w:r>
        <w:rPr>
          <w:noProof/>
        </w:rPr>
        <w:fldChar w:fldCharType="separate"/>
      </w:r>
      <w:r>
        <w:rPr>
          <w:noProof/>
        </w:rPr>
        <w:t>5</w:t>
      </w:r>
      <w:r>
        <w:rPr>
          <w:noProof/>
        </w:rPr>
        <w:fldChar w:fldCharType="end"/>
      </w:r>
    </w:p>
    <w:p w14:paraId="62B10D07" w14:textId="1E8FE367" w:rsidR="00FE1BD9" w:rsidRDefault="00FE1BD9">
      <w:pPr>
        <w:pStyle w:val="TOC2"/>
        <w:tabs>
          <w:tab w:val="left" w:pos="147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sidR="008B4380">
        <w:rPr>
          <w:rFonts w:asciiTheme="minorHAnsi" w:eastAsiaTheme="minorEastAsia" w:hAnsiTheme="minorHAnsi" w:cstheme="minorBidi"/>
          <w:noProof/>
          <w:kern w:val="0"/>
          <w:sz w:val="22"/>
          <w:szCs w:val="22"/>
        </w:rPr>
        <w:tab/>
      </w:r>
      <w:r>
        <w:rPr>
          <w:noProof/>
        </w:rPr>
        <w:t>Exemption 1 (Exchange-traded derivatives)</w:t>
      </w:r>
      <w:r>
        <w:rPr>
          <w:noProof/>
        </w:rPr>
        <w:tab/>
      </w:r>
      <w:r>
        <w:rPr>
          <w:noProof/>
        </w:rPr>
        <w:fldChar w:fldCharType="begin"/>
      </w:r>
      <w:r>
        <w:rPr>
          <w:noProof/>
        </w:rPr>
        <w:instrText xml:space="preserve"> PAGEREF _Toc20409908 \h </w:instrText>
      </w:r>
      <w:r>
        <w:rPr>
          <w:noProof/>
        </w:rPr>
      </w:r>
      <w:r>
        <w:rPr>
          <w:noProof/>
        </w:rPr>
        <w:fldChar w:fldCharType="separate"/>
      </w:r>
      <w:r>
        <w:rPr>
          <w:noProof/>
        </w:rPr>
        <w:t>5</w:t>
      </w:r>
      <w:r>
        <w:rPr>
          <w:noProof/>
        </w:rPr>
        <w:fldChar w:fldCharType="end"/>
      </w:r>
    </w:p>
    <w:p w14:paraId="3D4DB3B0" w14:textId="74C383DB" w:rsidR="00FE1BD9" w:rsidRDefault="00FE1BD9">
      <w:pPr>
        <w:pStyle w:val="TOC2"/>
        <w:tabs>
          <w:tab w:val="left" w:pos="147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sidR="008B4380">
        <w:rPr>
          <w:rFonts w:asciiTheme="minorHAnsi" w:eastAsiaTheme="minorEastAsia" w:hAnsiTheme="minorHAnsi" w:cstheme="minorBidi"/>
          <w:noProof/>
          <w:kern w:val="0"/>
          <w:sz w:val="22"/>
          <w:szCs w:val="22"/>
        </w:rPr>
        <w:tab/>
      </w:r>
      <w:r>
        <w:rPr>
          <w:noProof/>
        </w:rPr>
        <w:t>Exemption 2 (Entity Information)</w:t>
      </w:r>
      <w:r>
        <w:rPr>
          <w:noProof/>
        </w:rPr>
        <w:tab/>
      </w:r>
      <w:r>
        <w:rPr>
          <w:noProof/>
        </w:rPr>
        <w:fldChar w:fldCharType="begin"/>
      </w:r>
      <w:r>
        <w:rPr>
          <w:noProof/>
        </w:rPr>
        <w:instrText xml:space="preserve"> PAGEREF _Toc20409909 \h </w:instrText>
      </w:r>
      <w:r>
        <w:rPr>
          <w:noProof/>
        </w:rPr>
      </w:r>
      <w:r>
        <w:rPr>
          <w:noProof/>
        </w:rPr>
        <w:fldChar w:fldCharType="separate"/>
      </w:r>
      <w:r>
        <w:rPr>
          <w:noProof/>
        </w:rPr>
        <w:t>9</w:t>
      </w:r>
      <w:r>
        <w:rPr>
          <w:noProof/>
        </w:rPr>
        <w:fldChar w:fldCharType="end"/>
      </w:r>
    </w:p>
    <w:p w14:paraId="68F34139" w14:textId="59832147" w:rsidR="00FE1BD9" w:rsidRDefault="00FE1BD9">
      <w:pPr>
        <w:pStyle w:val="TOC2"/>
        <w:tabs>
          <w:tab w:val="left" w:pos="1474"/>
        </w:tabs>
        <w:rPr>
          <w:rFonts w:asciiTheme="minorHAnsi" w:eastAsiaTheme="minorEastAsia" w:hAnsiTheme="minorHAnsi" w:cstheme="minorBidi"/>
          <w:noProof/>
          <w:kern w:val="0"/>
          <w:sz w:val="22"/>
          <w:szCs w:val="22"/>
        </w:rPr>
      </w:pPr>
      <w:r>
        <w:rPr>
          <w:noProof/>
        </w:rPr>
        <w:t>6A</w:t>
      </w:r>
      <w:r w:rsidR="008B4380">
        <w:rPr>
          <w:noProof/>
        </w:rPr>
        <w:tab/>
      </w:r>
      <w:r>
        <w:rPr>
          <w:noProof/>
        </w:rPr>
        <w:t>Exemption 2A (Reference Entity Information)</w:t>
      </w:r>
      <w:r>
        <w:rPr>
          <w:noProof/>
        </w:rPr>
        <w:tab/>
      </w:r>
      <w:r>
        <w:rPr>
          <w:noProof/>
        </w:rPr>
        <w:fldChar w:fldCharType="begin"/>
      </w:r>
      <w:r>
        <w:rPr>
          <w:noProof/>
        </w:rPr>
        <w:instrText xml:space="preserve"> PAGEREF _Toc20409910 \h </w:instrText>
      </w:r>
      <w:r>
        <w:rPr>
          <w:noProof/>
        </w:rPr>
      </w:r>
      <w:r>
        <w:rPr>
          <w:noProof/>
        </w:rPr>
        <w:fldChar w:fldCharType="separate"/>
      </w:r>
      <w:r>
        <w:rPr>
          <w:noProof/>
        </w:rPr>
        <w:t>11</w:t>
      </w:r>
      <w:r>
        <w:rPr>
          <w:noProof/>
        </w:rPr>
        <w:fldChar w:fldCharType="end"/>
      </w:r>
    </w:p>
    <w:p w14:paraId="571A2330" w14:textId="01B2C891" w:rsidR="00FE1BD9" w:rsidRDefault="00FE1BD9">
      <w:pPr>
        <w:pStyle w:val="TOC2"/>
        <w:tabs>
          <w:tab w:val="left" w:pos="1474"/>
        </w:tabs>
        <w:rPr>
          <w:rFonts w:asciiTheme="minorHAnsi" w:eastAsiaTheme="minorEastAsia" w:hAnsiTheme="minorHAnsi" w:cstheme="minorBidi"/>
          <w:noProof/>
          <w:kern w:val="0"/>
          <w:sz w:val="22"/>
          <w:szCs w:val="22"/>
        </w:rPr>
      </w:pPr>
      <w:r>
        <w:rPr>
          <w:noProof/>
        </w:rPr>
        <w:t>6B</w:t>
      </w:r>
      <w:r>
        <w:rPr>
          <w:rFonts w:asciiTheme="minorHAnsi" w:eastAsiaTheme="minorEastAsia" w:hAnsiTheme="minorHAnsi" w:cstheme="minorBidi"/>
          <w:noProof/>
          <w:kern w:val="0"/>
          <w:sz w:val="22"/>
          <w:szCs w:val="22"/>
        </w:rPr>
        <w:tab/>
      </w:r>
      <w:r w:rsidR="008B4380">
        <w:rPr>
          <w:rFonts w:asciiTheme="minorHAnsi" w:eastAsiaTheme="minorEastAsia" w:hAnsiTheme="minorHAnsi" w:cstheme="minorBidi"/>
          <w:noProof/>
          <w:kern w:val="0"/>
          <w:sz w:val="22"/>
          <w:szCs w:val="22"/>
        </w:rPr>
        <w:tab/>
      </w:r>
      <w:r>
        <w:rPr>
          <w:noProof/>
        </w:rPr>
        <w:t>Exemption 2B (Joint Counterparties)</w:t>
      </w:r>
      <w:r>
        <w:rPr>
          <w:noProof/>
        </w:rPr>
        <w:tab/>
      </w:r>
      <w:r>
        <w:rPr>
          <w:noProof/>
        </w:rPr>
        <w:fldChar w:fldCharType="begin"/>
      </w:r>
      <w:r>
        <w:rPr>
          <w:noProof/>
        </w:rPr>
        <w:instrText xml:space="preserve"> PAGEREF _Toc20409911 \h </w:instrText>
      </w:r>
      <w:r>
        <w:rPr>
          <w:noProof/>
        </w:rPr>
      </w:r>
      <w:r>
        <w:rPr>
          <w:noProof/>
        </w:rPr>
        <w:fldChar w:fldCharType="separate"/>
      </w:r>
      <w:r>
        <w:rPr>
          <w:noProof/>
        </w:rPr>
        <w:t>12</w:t>
      </w:r>
      <w:r>
        <w:rPr>
          <w:noProof/>
        </w:rPr>
        <w:fldChar w:fldCharType="end"/>
      </w:r>
    </w:p>
    <w:p w14:paraId="20C4CF77" w14:textId="1162B082" w:rsidR="00FE1BD9" w:rsidRDefault="00FE1BD9">
      <w:pPr>
        <w:pStyle w:val="TOC2"/>
        <w:tabs>
          <w:tab w:val="left" w:pos="147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sidR="008B4380">
        <w:rPr>
          <w:rFonts w:asciiTheme="minorHAnsi" w:eastAsiaTheme="minorEastAsia" w:hAnsiTheme="minorHAnsi" w:cstheme="minorBidi"/>
          <w:noProof/>
          <w:kern w:val="0"/>
          <w:sz w:val="22"/>
          <w:szCs w:val="22"/>
        </w:rPr>
        <w:tab/>
      </w:r>
      <w:r>
        <w:rPr>
          <w:noProof/>
        </w:rPr>
        <w:t>Exemption 3 (Name Information)</w:t>
      </w:r>
      <w:r>
        <w:rPr>
          <w:noProof/>
        </w:rPr>
        <w:tab/>
      </w:r>
      <w:r>
        <w:rPr>
          <w:noProof/>
        </w:rPr>
        <w:fldChar w:fldCharType="begin"/>
      </w:r>
      <w:r>
        <w:rPr>
          <w:noProof/>
        </w:rPr>
        <w:instrText xml:space="preserve"> PAGEREF _Toc20409912 \h </w:instrText>
      </w:r>
      <w:r>
        <w:rPr>
          <w:noProof/>
        </w:rPr>
      </w:r>
      <w:r>
        <w:rPr>
          <w:noProof/>
        </w:rPr>
        <w:fldChar w:fldCharType="separate"/>
      </w:r>
      <w:r>
        <w:rPr>
          <w:noProof/>
        </w:rPr>
        <w:t>13</w:t>
      </w:r>
      <w:r>
        <w:rPr>
          <w:noProof/>
        </w:rPr>
        <w:fldChar w:fldCharType="end"/>
      </w:r>
    </w:p>
    <w:p w14:paraId="3957D8B4" w14:textId="2B1BA83F" w:rsidR="00FE1BD9" w:rsidRDefault="00FE1BD9">
      <w:pPr>
        <w:pStyle w:val="TOC2"/>
        <w:tabs>
          <w:tab w:val="left" w:pos="147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sidR="008B4380">
        <w:rPr>
          <w:rFonts w:asciiTheme="minorHAnsi" w:eastAsiaTheme="minorEastAsia" w:hAnsiTheme="minorHAnsi" w:cstheme="minorBidi"/>
          <w:noProof/>
          <w:kern w:val="0"/>
          <w:sz w:val="22"/>
          <w:szCs w:val="22"/>
        </w:rPr>
        <w:tab/>
      </w:r>
      <w:r>
        <w:rPr>
          <w:noProof/>
        </w:rPr>
        <w:t>Exemption 4 (Privacy – Consent for historical counterparties)</w:t>
      </w:r>
      <w:r>
        <w:rPr>
          <w:noProof/>
        </w:rPr>
        <w:tab/>
      </w:r>
      <w:r>
        <w:rPr>
          <w:noProof/>
        </w:rPr>
        <w:fldChar w:fldCharType="begin"/>
      </w:r>
      <w:r>
        <w:rPr>
          <w:noProof/>
        </w:rPr>
        <w:instrText xml:space="preserve"> PAGEREF _Toc20409913 \h </w:instrText>
      </w:r>
      <w:r>
        <w:rPr>
          <w:noProof/>
        </w:rPr>
      </w:r>
      <w:r>
        <w:rPr>
          <w:noProof/>
        </w:rPr>
        <w:fldChar w:fldCharType="separate"/>
      </w:r>
      <w:r>
        <w:rPr>
          <w:noProof/>
        </w:rPr>
        <w:t>13</w:t>
      </w:r>
      <w:r>
        <w:rPr>
          <w:noProof/>
        </w:rPr>
        <w:fldChar w:fldCharType="end"/>
      </w:r>
    </w:p>
    <w:p w14:paraId="7A214E60" w14:textId="5B1190DF" w:rsidR="00FE1BD9" w:rsidRDefault="00FE1BD9">
      <w:pPr>
        <w:pStyle w:val="TOC2"/>
        <w:tabs>
          <w:tab w:val="left" w:pos="147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sidR="008B4380">
        <w:rPr>
          <w:rFonts w:asciiTheme="minorHAnsi" w:eastAsiaTheme="minorEastAsia" w:hAnsiTheme="minorHAnsi" w:cstheme="minorBidi"/>
          <w:noProof/>
          <w:kern w:val="0"/>
          <w:sz w:val="22"/>
          <w:szCs w:val="22"/>
        </w:rPr>
        <w:tab/>
      </w:r>
      <w:r>
        <w:rPr>
          <w:noProof/>
        </w:rPr>
        <w:t>Exemption 5 (Privacy – Foreign privacy restrictions)</w:t>
      </w:r>
      <w:r>
        <w:rPr>
          <w:noProof/>
        </w:rPr>
        <w:tab/>
      </w:r>
      <w:r>
        <w:rPr>
          <w:noProof/>
        </w:rPr>
        <w:fldChar w:fldCharType="begin"/>
      </w:r>
      <w:r>
        <w:rPr>
          <w:noProof/>
        </w:rPr>
        <w:instrText xml:space="preserve"> PAGEREF _Toc20409914 \h </w:instrText>
      </w:r>
      <w:r>
        <w:rPr>
          <w:noProof/>
        </w:rPr>
      </w:r>
      <w:r>
        <w:rPr>
          <w:noProof/>
        </w:rPr>
        <w:fldChar w:fldCharType="separate"/>
      </w:r>
      <w:r>
        <w:rPr>
          <w:noProof/>
        </w:rPr>
        <w:t>15</w:t>
      </w:r>
      <w:r>
        <w:rPr>
          <w:noProof/>
        </w:rPr>
        <w:fldChar w:fldCharType="end"/>
      </w:r>
    </w:p>
    <w:p w14:paraId="6AC8A2AC" w14:textId="67BD392A" w:rsidR="00FE1BD9" w:rsidRDefault="00FE1BD9" w:rsidP="008B4380">
      <w:pPr>
        <w:pStyle w:val="TOC2"/>
        <w:tabs>
          <w:tab w:val="left" w:pos="1474"/>
        </w:tabs>
        <w:ind w:left="1440" w:hanging="873"/>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sidR="008B4380">
        <w:rPr>
          <w:rFonts w:asciiTheme="minorHAnsi" w:eastAsiaTheme="minorEastAsia" w:hAnsiTheme="minorHAnsi" w:cstheme="minorBidi"/>
          <w:noProof/>
          <w:kern w:val="0"/>
          <w:sz w:val="22"/>
          <w:szCs w:val="22"/>
        </w:rPr>
        <w:tab/>
      </w:r>
      <w:r>
        <w:rPr>
          <w:noProof/>
        </w:rPr>
        <w:t>Exemption 6 (Privacy – Identifying Information of Government Entities)</w:t>
      </w:r>
      <w:r>
        <w:rPr>
          <w:noProof/>
        </w:rPr>
        <w:tab/>
      </w:r>
      <w:r>
        <w:rPr>
          <w:noProof/>
        </w:rPr>
        <w:fldChar w:fldCharType="begin"/>
      </w:r>
      <w:r>
        <w:rPr>
          <w:noProof/>
        </w:rPr>
        <w:instrText xml:space="preserve"> PAGEREF _Toc20409915 \h </w:instrText>
      </w:r>
      <w:r>
        <w:rPr>
          <w:noProof/>
        </w:rPr>
      </w:r>
      <w:r>
        <w:rPr>
          <w:noProof/>
        </w:rPr>
        <w:fldChar w:fldCharType="separate"/>
      </w:r>
      <w:r>
        <w:rPr>
          <w:noProof/>
        </w:rPr>
        <w:t>16</w:t>
      </w:r>
      <w:r>
        <w:rPr>
          <w:noProof/>
        </w:rPr>
        <w:fldChar w:fldCharType="end"/>
      </w:r>
    </w:p>
    <w:p w14:paraId="2E158C9B" w14:textId="7753D664" w:rsidR="00FE1BD9" w:rsidRDefault="00FE1BD9">
      <w:pPr>
        <w:pStyle w:val="TOC2"/>
        <w:tabs>
          <w:tab w:val="left" w:pos="147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sidR="008B4380">
        <w:rPr>
          <w:rFonts w:asciiTheme="minorHAnsi" w:eastAsiaTheme="minorEastAsia" w:hAnsiTheme="minorHAnsi" w:cstheme="minorBidi"/>
          <w:noProof/>
          <w:kern w:val="0"/>
          <w:sz w:val="22"/>
          <w:szCs w:val="22"/>
        </w:rPr>
        <w:tab/>
      </w:r>
      <w:r>
        <w:rPr>
          <w:noProof/>
        </w:rPr>
        <w:t>Exemption 7 (Trade identifiers)</w:t>
      </w:r>
      <w:r>
        <w:rPr>
          <w:noProof/>
        </w:rPr>
        <w:tab/>
      </w:r>
      <w:r>
        <w:rPr>
          <w:noProof/>
        </w:rPr>
        <w:fldChar w:fldCharType="begin"/>
      </w:r>
      <w:r>
        <w:rPr>
          <w:noProof/>
        </w:rPr>
        <w:instrText xml:space="preserve"> PAGEREF _Toc20409916 \h </w:instrText>
      </w:r>
      <w:r>
        <w:rPr>
          <w:noProof/>
        </w:rPr>
      </w:r>
      <w:r>
        <w:rPr>
          <w:noProof/>
        </w:rPr>
        <w:fldChar w:fldCharType="separate"/>
      </w:r>
      <w:r>
        <w:rPr>
          <w:noProof/>
        </w:rPr>
        <w:t>17</w:t>
      </w:r>
      <w:r>
        <w:rPr>
          <w:noProof/>
        </w:rPr>
        <w:fldChar w:fldCharType="end"/>
      </w:r>
    </w:p>
    <w:p w14:paraId="0BBFF459" w14:textId="3D9B708E" w:rsidR="00FE1BD9" w:rsidRDefault="00FE1BD9">
      <w:pPr>
        <w:pStyle w:val="TOC2"/>
        <w:tabs>
          <w:tab w:val="left" w:pos="1474"/>
        </w:tabs>
        <w:rPr>
          <w:rFonts w:asciiTheme="minorHAnsi" w:eastAsiaTheme="minorEastAsia" w:hAnsiTheme="minorHAnsi" w:cstheme="minorBidi"/>
          <w:noProof/>
          <w:kern w:val="0"/>
          <w:sz w:val="22"/>
          <w:szCs w:val="22"/>
        </w:rPr>
      </w:pPr>
      <w:r>
        <w:rPr>
          <w:noProof/>
        </w:rPr>
        <w:t>12</w:t>
      </w:r>
      <w:r>
        <w:rPr>
          <w:rFonts w:asciiTheme="minorHAnsi" w:eastAsiaTheme="minorEastAsia" w:hAnsiTheme="minorHAnsi" w:cstheme="minorBidi"/>
          <w:noProof/>
          <w:kern w:val="0"/>
          <w:sz w:val="22"/>
          <w:szCs w:val="22"/>
        </w:rPr>
        <w:tab/>
      </w:r>
      <w:r w:rsidR="008B4380">
        <w:rPr>
          <w:rFonts w:asciiTheme="minorHAnsi" w:eastAsiaTheme="minorEastAsia" w:hAnsiTheme="minorHAnsi" w:cstheme="minorBidi"/>
          <w:noProof/>
          <w:kern w:val="0"/>
          <w:sz w:val="22"/>
          <w:szCs w:val="22"/>
        </w:rPr>
        <w:tab/>
      </w:r>
      <w:r>
        <w:rPr>
          <w:noProof/>
        </w:rPr>
        <w:t>Exemption 8 (Collateral Reporting)</w:t>
      </w:r>
      <w:r>
        <w:rPr>
          <w:noProof/>
        </w:rPr>
        <w:tab/>
      </w:r>
      <w:r>
        <w:rPr>
          <w:noProof/>
        </w:rPr>
        <w:fldChar w:fldCharType="begin"/>
      </w:r>
      <w:r>
        <w:rPr>
          <w:noProof/>
        </w:rPr>
        <w:instrText xml:space="preserve"> PAGEREF _Toc20409917 \h </w:instrText>
      </w:r>
      <w:r>
        <w:rPr>
          <w:noProof/>
        </w:rPr>
      </w:r>
      <w:r>
        <w:rPr>
          <w:noProof/>
        </w:rPr>
        <w:fldChar w:fldCharType="separate"/>
      </w:r>
      <w:r>
        <w:rPr>
          <w:noProof/>
        </w:rPr>
        <w:t>18</w:t>
      </w:r>
      <w:r>
        <w:rPr>
          <w:noProof/>
        </w:rPr>
        <w:fldChar w:fldCharType="end"/>
      </w:r>
    </w:p>
    <w:p w14:paraId="5E0DAC3C" w14:textId="1EF70CF0" w:rsidR="00FE1BD9" w:rsidRDefault="00FE1BD9">
      <w:pPr>
        <w:pStyle w:val="TOC2"/>
        <w:tabs>
          <w:tab w:val="left" w:pos="1474"/>
        </w:tabs>
        <w:rPr>
          <w:rFonts w:asciiTheme="minorHAnsi" w:eastAsiaTheme="minorEastAsia" w:hAnsiTheme="minorHAnsi" w:cstheme="minorBidi"/>
          <w:noProof/>
          <w:kern w:val="0"/>
          <w:sz w:val="22"/>
          <w:szCs w:val="22"/>
        </w:rPr>
      </w:pPr>
      <w:r>
        <w:rPr>
          <w:noProof/>
        </w:rPr>
        <w:t>13</w:t>
      </w:r>
      <w:r>
        <w:rPr>
          <w:rFonts w:asciiTheme="minorHAnsi" w:eastAsiaTheme="minorEastAsia" w:hAnsiTheme="minorHAnsi" w:cstheme="minorBidi"/>
          <w:noProof/>
          <w:kern w:val="0"/>
          <w:sz w:val="22"/>
          <w:szCs w:val="22"/>
        </w:rPr>
        <w:tab/>
      </w:r>
      <w:r w:rsidR="008B4380">
        <w:rPr>
          <w:rFonts w:asciiTheme="minorHAnsi" w:eastAsiaTheme="minorEastAsia" w:hAnsiTheme="minorHAnsi" w:cstheme="minorBidi"/>
          <w:noProof/>
          <w:kern w:val="0"/>
          <w:sz w:val="22"/>
          <w:szCs w:val="22"/>
        </w:rPr>
        <w:tab/>
      </w:r>
      <w:r>
        <w:rPr>
          <w:noProof/>
        </w:rPr>
        <w:t>Exemption 9 (FX Securities Conversion Transactions)</w:t>
      </w:r>
      <w:r>
        <w:rPr>
          <w:noProof/>
        </w:rPr>
        <w:tab/>
      </w:r>
      <w:r>
        <w:rPr>
          <w:noProof/>
        </w:rPr>
        <w:fldChar w:fldCharType="begin"/>
      </w:r>
      <w:r>
        <w:rPr>
          <w:noProof/>
        </w:rPr>
        <w:instrText xml:space="preserve"> PAGEREF _Toc20409918 \h </w:instrText>
      </w:r>
      <w:r>
        <w:rPr>
          <w:noProof/>
        </w:rPr>
      </w:r>
      <w:r>
        <w:rPr>
          <w:noProof/>
        </w:rPr>
        <w:fldChar w:fldCharType="separate"/>
      </w:r>
      <w:r>
        <w:rPr>
          <w:noProof/>
        </w:rPr>
        <w:t>18</w:t>
      </w:r>
      <w:r>
        <w:rPr>
          <w:noProof/>
        </w:rPr>
        <w:fldChar w:fldCharType="end"/>
      </w:r>
    </w:p>
    <w:p w14:paraId="4D955296" w14:textId="22DCC009" w:rsidR="00FE1BD9" w:rsidRDefault="00FE1BD9">
      <w:pPr>
        <w:pStyle w:val="TOC2"/>
        <w:tabs>
          <w:tab w:val="left" w:pos="1474"/>
        </w:tabs>
        <w:rPr>
          <w:rFonts w:asciiTheme="minorHAnsi" w:eastAsiaTheme="minorEastAsia" w:hAnsiTheme="minorHAnsi" w:cstheme="minorBidi"/>
          <w:noProof/>
          <w:kern w:val="0"/>
          <w:sz w:val="22"/>
          <w:szCs w:val="22"/>
        </w:rPr>
      </w:pPr>
      <w:r>
        <w:rPr>
          <w:noProof/>
        </w:rPr>
        <w:t>14</w:t>
      </w:r>
      <w:r>
        <w:rPr>
          <w:rFonts w:asciiTheme="minorHAnsi" w:eastAsiaTheme="minorEastAsia" w:hAnsiTheme="minorHAnsi" w:cstheme="minorBidi"/>
          <w:noProof/>
          <w:kern w:val="0"/>
          <w:sz w:val="22"/>
          <w:szCs w:val="22"/>
        </w:rPr>
        <w:tab/>
      </w:r>
      <w:r w:rsidR="008B4380">
        <w:rPr>
          <w:rFonts w:asciiTheme="minorHAnsi" w:eastAsiaTheme="minorEastAsia" w:hAnsiTheme="minorHAnsi" w:cstheme="minorBidi"/>
          <w:noProof/>
          <w:kern w:val="0"/>
          <w:sz w:val="22"/>
          <w:szCs w:val="22"/>
        </w:rPr>
        <w:tab/>
      </w:r>
      <w:r>
        <w:rPr>
          <w:noProof/>
        </w:rPr>
        <w:t>Exemption 1 to 9 – Other conditions (Record-keeping)</w:t>
      </w:r>
      <w:r>
        <w:rPr>
          <w:noProof/>
        </w:rPr>
        <w:tab/>
      </w:r>
      <w:r>
        <w:rPr>
          <w:noProof/>
        </w:rPr>
        <w:fldChar w:fldCharType="begin"/>
      </w:r>
      <w:r>
        <w:rPr>
          <w:noProof/>
        </w:rPr>
        <w:instrText xml:space="preserve"> PAGEREF _Toc20409919 \h </w:instrText>
      </w:r>
      <w:r>
        <w:rPr>
          <w:noProof/>
        </w:rPr>
      </w:r>
      <w:r>
        <w:rPr>
          <w:noProof/>
        </w:rPr>
        <w:fldChar w:fldCharType="separate"/>
      </w:r>
      <w:r>
        <w:rPr>
          <w:noProof/>
        </w:rPr>
        <w:t>19</w:t>
      </w:r>
      <w:r>
        <w:rPr>
          <w:noProof/>
        </w:rPr>
        <w:fldChar w:fldCharType="end"/>
      </w:r>
    </w:p>
    <w:p w14:paraId="748E27B2" w14:textId="3FC098D9" w:rsidR="00FE1BD9" w:rsidRDefault="00FE1BD9">
      <w:pPr>
        <w:pStyle w:val="TOC1"/>
        <w:rPr>
          <w:rFonts w:asciiTheme="minorHAnsi" w:eastAsiaTheme="minorEastAsia" w:hAnsiTheme="minorHAnsi" w:cstheme="minorBidi"/>
          <w:b w:val="0"/>
          <w:noProof/>
          <w:kern w:val="0"/>
          <w:sz w:val="22"/>
          <w:szCs w:val="22"/>
        </w:rPr>
      </w:pPr>
      <w:r>
        <w:rPr>
          <w:noProof/>
        </w:rPr>
        <w:t>Endnotes</w:t>
      </w:r>
      <w:r>
        <w:rPr>
          <w:noProof/>
        </w:rPr>
        <w:tab/>
      </w:r>
      <w:r w:rsidR="008B4380">
        <w:rPr>
          <w:noProof/>
        </w:rPr>
        <w:tab/>
      </w:r>
      <w:r>
        <w:rPr>
          <w:noProof/>
        </w:rPr>
        <w:fldChar w:fldCharType="begin"/>
      </w:r>
      <w:r>
        <w:rPr>
          <w:noProof/>
        </w:rPr>
        <w:instrText xml:space="preserve"> PAGEREF _Toc20409920 \h </w:instrText>
      </w:r>
      <w:r>
        <w:rPr>
          <w:noProof/>
        </w:rPr>
      </w:r>
      <w:r>
        <w:rPr>
          <w:noProof/>
        </w:rPr>
        <w:fldChar w:fldCharType="separate"/>
      </w:r>
      <w:r>
        <w:rPr>
          <w:noProof/>
        </w:rPr>
        <w:t>19</w:t>
      </w:r>
      <w:r>
        <w:rPr>
          <w:noProof/>
        </w:rPr>
        <w:fldChar w:fldCharType="end"/>
      </w:r>
    </w:p>
    <w:p w14:paraId="0C95C463" w14:textId="1C4E3D34" w:rsidR="00FE1BD9" w:rsidRDefault="00FE1BD9">
      <w:pPr>
        <w:pStyle w:val="TOC2"/>
        <w:rPr>
          <w:rFonts w:asciiTheme="minorHAnsi" w:eastAsiaTheme="minorEastAsia" w:hAnsiTheme="minorHAnsi" w:cstheme="minorBidi"/>
          <w:noProof/>
          <w:kern w:val="0"/>
          <w:sz w:val="22"/>
          <w:szCs w:val="22"/>
        </w:rPr>
      </w:pPr>
      <w:r>
        <w:rPr>
          <w:noProof/>
        </w:rPr>
        <w:t>Endnote 1—Instrument history</w:t>
      </w:r>
      <w:r>
        <w:rPr>
          <w:noProof/>
        </w:rPr>
        <w:tab/>
      </w:r>
      <w:r>
        <w:rPr>
          <w:noProof/>
        </w:rPr>
        <w:fldChar w:fldCharType="begin"/>
      </w:r>
      <w:r>
        <w:rPr>
          <w:noProof/>
        </w:rPr>
        <w:instrText xml:space="preserve"> PAGEREF _Toc20409921 \h </w:instrText>
      </w:r>
      <w:r>
        <w:rPr>
          <w:noProof/>
        </w:rPr>
      </w:r>
      <w:r>
        <w:rPr>
          <w:noProof/>
        </w:rPr>
        <w:fldChar w:fldCharType="separate"/>
      </w:r>
      <w:r>
        <w:rPr>
          <w:noProof/>
        </w:rPr>
        <w:t>19</w:t>
      </w:r>
      <w:r>
        <w:rPr>
          <w:noProof/>
        </w:rPr>
        <w:fldChar w:fldCharType="end"/>
      </w:r>
    </w:p>
    <w:p w14:paraId="689BD305" w14:textId="4C2B045C" w:rsidR="00FE1BD9" w:rsidRDefault="00FE1BD9">
      <w:pPr>
        <w:pStyle w:val="TOC2"/>
        <w:rPr>
          <w:rFonts w:asciiTheme="minorHAnsi" w:eastAsiaTheme="minorEastAsia" w:hAnsiTheme="minorHAnsi" w:cstheme="minorBidi"/>
          <w:noProof/>
          <w:kern w:val="0"/>
          <w:sz w:val="22"/>
          <w:szCs w:val="22"/>
        </w:rPr>
      </w:pPr>
      <w:r>
        <w:rPr>
          <w:noProof/>
        </w:rPr>
        <w:t>Endnote 2—Amendment history</w:t>
      </w:r>
      <w:r>
        <w:rPr>
          <w:noProof/>
        </w:rPr>
        <w:tab/>
      </w:r>
      <w:r>
        <w:rPr>
          <w:noProof/>
        </w:rPr>
        <w:fldChar w:fldCharType="begin"/>
      </w:r>
      <w:r>
        <w:rPr>
          <w:noProof/>
        </w:rPr>
        <w:instrText xml:space="preserve"> PAGEREF _Toc20409922 \h </w:instrText>
      </w:r>
      <w:r>
        <w:rPr>
          <w:noProof/>
        </w:rPr>
      </w:r>
      <w:r>
        <w:rPr>
          <w:noProof/>
        </w:rPr>
        <w:fldChar w:fldCharType="separate"/>
      </w:r>
      <w:r>
        <w:rPr>
          <w:noProof/>
        </w:rPr>
        <w:t>20</w:t>
      </w:r>
      <w:r>
        <w:rPr>
          <w:noProof/>
        </w:rPr>
        <w:fldChar w:fldCharType="end"/>
      </w:r>
    </w:p>
    <w:p w14:paraId="6D09124C" w14:textId="77777777" w:rsidR="00670EA1" w:rsidRPr="00F61B09" w:rsidRDefault="008945E0" w:rsidP="00715914">
      <w:r>
        <w:rPr>
          <w:rFonts w:eastAsia="Times New Roman"/>
          <w:b/>
          <w:kern w:val="28"/>
          <w:sz w:val="28"/>
          <w:lang w:eastAsia="en-AU"/>
        </w:rPr>
        <w:fldChar w:fldCharType="end"/>
      </w:r>
    </w:p>
    <w:p w14:paraId="100FD3F7" w14:textId="77777777" w:rsidR="00670EA1" w:rsidRPr="00F61B09" w:rsidRDefault="00670EA1" w:rsidP="00715914">
      <w:pPr>
        <w:sectPr w:rsidR="00670EA1" w:rsidRPr="00F61B09" w:rsidSect="00F4215A">
          <w:headerReference w:type="even" r:id="rId18"/>
          <w:headerReference w:type="default" r:id="rId19"/>
          <w:footerReference w:type="even" r:id="rId20"/>
          <w:footerReference w:type="default" r:id="rId21"/>
          <w:headerReference w:type="first" r:id="rId22"/>
          <w:pgSz w:w="11907" w:h="16839"/>
          <w:pgMar w:top="1098" w:right="1797" w:bottom="1440" w:left="1797" w:header="720" w:footer="709" w:gutter="0"/>
          <w:pgNumType w:fmt="lowerRoman"/>
          <w:cols w:space="708"/>
          <w:docGrid w:linePitch="360"/>
        </w:sectPr>
      </w:pPr>
    </w:p>
    <w:p w14:paraId="4A4362DA" w14:textId="77777777" w:rsidR="00FA31DE" w:rsidRPr="00F61B09" w:rsidRDefault="00FA31DE" w:rsidP="006554FF">
      <w:pPr>
        <w:pStyle w:val="LI-Heading1"/>
      </w:pPr>
      <w:bookmarkStart w:id="1" w:name="BK_S3P1L1C1"/>
      <w:bookmarkStart w:id="2" w:name="_Toc20409903"/>
      <w:bookmarkEnd w:id="1"/>
      <w:r w:rsidRPr="006554FF">
        <w:lastRenderedPageBreak/>
        <w:t>Part</w:t>
      </w:r>
      <w:r w:rsidR="00F61B09" w:rsidRPr="006554FF">
        <w:t> </w:t>
      </w:r>
      <w:r w:rsidRPr="006E5320">
        <w:t>1</w:t>
      </w:r>
      <w:r w:rsidRPr="00F61B09">
        <w:t>—</w:t>
      </w:r>
      <w:r w:rsidRPr="00005446">
        <w:t>Preliminary</w:t>
      </w:r>
      <w:bookmarkEnd w:id="2"/>
    </w:p>
    <w:p w14:paraId="163420E9" w14:textId="77777777" w:rsidR="00FA31DE" w:rsidRDefault="00FA31DE" w:rsidP="00C11452">
      <w:pPr>
        <w:pStyle w:val="LI-Heading2"/>
        <w:rPr>
          <w:szCs w:val="24"/>
        </w:rPr>
      </w:pPr>
      <w:bookmarkStart w:id="3" w:name="_Toc20409904"/>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3"/>
    </w:p>
    <w:p w14:paraId="68DF4AB5" w14:textId="77777777" w:rsidR="00FA31DE" w:rsidRDefault="00FA31DE" w:rsidP="00005446">
      <w:pPr>
        <w:pStyle w:val="LI-BodyTextUnnumbered"/>
        <w:rPr>
          <w:szCs w:val="24"/>
        </w:rPr>
      </w:pPr>
      <w:r w:rsidRPr="008C0F29">
        <w:rPr>
          <w:szCs w:val="24"/>
        </w:rPr>
        <w:t xml:space="preserve">This </w:t>
      </w:r>
      <w:r w:rsidR="008C0F29" w:rsidRPr="00005446">
        <w:t xml:space="preserve">instrument </w:t>
      </w:r>
      <w:r w:rsidR="008C0F29" w:rsidRPr="008C0F29">
        <w:rPr>
          <w:szCs w:val="24"/>
        </w:rPr>
        <w:t>is</w:t>
      </w:r>
      <w:r w:rsidR="00F82322">
        <w:rPr>
          <w:szCs w:val="24"/>
        </w:rPr>
        <w:t xml:space="preserve"> the</w:t>
      </w:r>
      <w:r w:rsidR="008C0F29" w:rsidRPr="008C0F29">
        <w:rPr>
          <w:szCs w:val="24"/>
        </w:rPr>
        <w:t xml:space="preserve"> </w:t>
      </w:r>
      <w:r w:rsidR="008C0F29" w:rsidRPr="008C0F29">
        <w:rPr>
          <w:i/>
          <w:szCs w:val="24"/>
        </w:rPr>
        <w:t>A</w:t>
      </w:r>
      <w:r w:rsidR="00327DDF">
        <w:rPr>
          <w:i/>
          <w:szCs w:val="24"/>
        </w:rPr>
        <w:t xml:space="preserve">SIC Corporations </w:t>
      </w:r>
      <w:r w:rsidR="00B37859">
        <w:rPr>
          <w:i/>
          <w:szCs w:val="24"/>
        </w:rPr>
        <w:t>(</w:t>
      </w:r>
      <w:r w:rsidR="00FE307B">
        <w:rPr>
          <w:i/>
          <w:szCs w:val="24"/>
        </w:rPr>
        <w:t>Derivative Transaction Reporting Exemption)</w:t>
      </w:r>
      <w:r w:rsidR="00B37859">
        <w:rPr>
          <w:i/>
          <w:szCs w:val="24"/>
        </w:rPr>
        <w:t xml:space="preserve"> Instrument 2015</w:t>
      </w:r>
      <w:r w:rsidR="006F62C1">
        <w:rPr>
          <w:i/>
          <w:szCs w:val="24"/>
        </w:rPr>
        <w:t>/</w:t>
      </w:r>
      <w:r w:rsidR="00E11D45">
        <w:rPr>
          <w:i/>
          <w:szCs w:val="24"/>
        </w:rPr>
        <w:t>844</w:t>
      </w:r>
      <w:r w:rsidRPr="005D3D41">
        <w:rPr>
          <w:szCs w:val="24"/>
        </w:rPr>
        <w:t>.</w:t>
      </w:r>
    </w:p>
    <w:p w14:paraId="0BD2633A" w14:textId="77777777" w:rsidR="00FA31DE" w:rsidRPr="008C0F29" w:rsidRDefault="00FA31DE" w:rsidP="00EC4757">
      <w:pPr>
        <w:pStyle w:val="LI-Heading2"/>
        <w:spacing w:before="240"/>
        <w:rPr>
          <w:szCs w:val="24"/>
        </w:rPr>
      </w:pPr>
      <w:bookmarkStart w:id="4" w:name="_Toc20409905"/>
      <w:r w:rsidRPr="008C0F29">
        <w:rPr>
          <w:szCs w:val="24"/>
        </w:rPr>
        <w:t>3</w:t>
      </w:r>
      <w:r w:rsidR="00FC3EB8">
        <w:rPr>
          <w:szCs w:val="24"/>
        </w:rPr>
        <w:tab/>
      </w:r>
      <w:r w:rsidRPr="008C0F29">
        <w:rPr>
          <w:szCs w:val="24"/>
        </w:rPr>
        <w:t>Authority</w:t>
      </w:r>
      <w:bookmarkEnd w:id="4"/>
    </w:p>
    <w:p w14:paraId="21355209" w14:textId="77777777" w:rsidR="00FA31DE" w:rsidRPr="008C0F29"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61133E">
        <w:rPr>
          <w:szCs w:val="24"/>
        </w:rPr>
        <w:t>paragraph 907D(2)(a) of the</w:t>
      </w:r>
      <w:r w:rsidRPr="005D3D41">
        <w:rPr>
          <w:szCs w:val="24"/>
        </w:rPr>
        <w:t xml:space="preserve"> </w:t>
      </w:r>
      <w:r w:rsidR="00B37859" w:rsidRPr="00B37859">
        <w:rPr>
          <w:i/>
          <w:szCs w:val="24"/>
        </w:rPr>
        <w:t>Corporations Act 2001</w:t>
      </w:r>
      <w:r w:rsidRPr="008C0F29">
        <w:rPr>
          <w:szCs w:val="24"/>
        </w:rPr>
        <w:t>.</w:t>
      </w:r>
    </w:p>
    <w:p w14:paraId="1598D776" w14:textId="77777777" w:rsidR="00FA31DE" w:rsidRPr="00BB5C17" w:rsidRDefault="008C0F29" w:rsidP="00EC4757">
      <w:pPr>
        <w:pStyle w:val="LI-Heading2"/>
        <w:spacing w:before="240"/>
        <w:rPr>
          <w:szCs w:val="24"/>
        </w:rPr>
      </w:pPr>
      <w:bookmarkStart w:id="5" w:name="_Toc20409906"/>
      <w:r w:rsidRPr="00BB5C17">
        <w:rPr>
          <w:szCs w:val="24"/>
        </w:rPr>
        <w:t>4</w:t>
      </w:r>
      <w:r w:rsidR="00FC3EB8">
        <w:rPr>
          <w:szCs w:val="24"/>
        </w:rPr>
        <w:tab/>
      </w:r>
      <w:r w:rsidR="00FA31DE" w:rsidRPr="00BB5C17">
        <w:rPr>
          <w:szCs w:val="24"/>
        </w:rPr>
        <w:t>Definitions</w:t>
      </w:r>
      <w:bookmarkEnd w:id="5"/>
    </w:p>
    <w:p w14:paraId="238E7DD5" w14:textId="77777777" w:rsidR="00FA31DE" w:rsidRDefault="000F2320" w:rsidP="000F2320">
      <w:pPr>
        <w:pStyle w:val="LI-BodyTextNumbered"/>
      </w:pPr>
      <w:r>
        <w:t>(1)</w:t>
      </w:r>
      <w:r>
        <w:tab/>
      </w:r>
      <w:r w:rsidR="00FA31DE" w:rsidRPr="00005446">
        <w:t xml:space="preserve">In this </w:t>
      </w:r>
      <w:r w:rsidR="008C0F29" w:rsidRPr="00005446">
        <w:t>instrument</w:t>
      </w:r>
      <w:r w:rsidR="00FA31DE" w:rsidRPr="00005446">
        <w:t>:</w:t>
      </w:r>
    </w:p>
    <w:p w14:paraId="2C7E19CD" w14:textId="77777777" w:rsidR="00D8574B" w:rsidRDefault="000F2320" w:rsidP="00D8574B">
      <w:pPr>
        <w:pStyle w:val="LI-BodyTextUnnumbered"/>
      </w:pPr>
      <w:r w:rsidRPr="000F2320">
        <w:rPr>
          <w:b/>
          <w:i/>
        </w:rPr>
        <w:t>Act</w:t>
      </w:r>
      <w:r>
        <w:t xml:space="preserve"> means </w:t>
      </w:r>
      <w:r w:rsidR="0063243A">
        <w:t xml:space="preserve">the </w:t>
      </w:r>
      <w:r w:rsidRPr="000F2320">
        <w:rPr>
          <w:i/>
        </w:rPr>
        <w:t>Corporations Act 2001</w:t>
      </w:r>
      <w:r>
        <w:t>.</w:t>
      </w:r>
    </w:p>
    <w:p w14:paraId="7CB09F41" w14:textId="77777777" w:rsidR="00D8574B" w:rsidRDefault="00D8574B" w:rsidP="00D8574B">
      <w:pPr>
        <w:pStyle w:val="LI-BodyTextUnnumbered"/>
        <w:rPr>
          <w:sz w:val="23"/>
          <w:szCs w:val="23"/>
        </w:rPr>
      </w:pPr>
      <w:r w:rsidRPr="001549D0">
        <w:rPr>
          <w:b/>
          <w:i/>
          <w:sz w:val="23"/>
          <w:szCs w:val="23"/>
        </w:rPr>
        <w:t>Confirmation Platform</w:t>
      </w:r>
      <w:r w:rsidRPr="001549D0">
        <w:rPr>
          <w:sz w:val="23"/>
          <w:szCs w:val="23"/>
        </w:rPr>
        <w:t xml:space="preserve"> means an electronic trade confirmation platform.</w:t>
      </w:r>
    </w:p>
    <w:p w14:paraId="1EDA77A4" w14:textId="77777777" w:rsidR="00D8574B" w:rsidRPr="00D8574B" w:rsidRDefault="00D8574B" w:rsidP="00D8574B">
      <w:pPr>
        <w:pStyle w:val="LI-BodyTextUnnumbered"/>
      </w:pPr>
      <w:r>
        <w:rPr>
          <w:b/>
          <w:i/>
          <w:sz w:val="23"/>
          <w:szCs w:val="23"/>
        </w:rPr>
        <w:t xml:space="preserve">Entity Information </w:t>
      </w:r>
      <w:r w:rsidRPr="001549D0">
        <w:rPr>
          <w:sz w:val="23"/>
          <w:szCs w:val="23"/>
        </w:rPr>
        <w:t>means Derivative Tr</w:t>
      </w:r>
      <w:r>
        <w:rPr>
          <w:sz w:val="23"/>
          <w:szCs w:val="23"/>
        </w:rPr>
        <w:t>ade</w:t>
      </w:r>
      <w:r w:rsidRPr="001549D0">
        <w:rPr>
          <w:sz w:val="23"/>
          <w:szCs w:val="23"/>
        </w:rPr>
        <w:t xml:space="preserve"> Data ref</w:t>
      </w:r>
      <w:r>
        <w:rPr>
          <w:sz w:val="23"/>
          <w:szCs w:val="23"/>
        </w:rPr>
        <w:t>erred to in the following table</w:t>
      </w:r>
      <w:r w:rsidRPr="001549D0">
        <w:rPr>
          <w:sz w:val="23"/>
          <w:szCs w:val="23"/>
        </w:rPr>
        <w:t>:</w:t>
      </w:r>
    </w:p>
    <w:p w14:paraId="3E2C8367" w14:textId="77777777" w:rsidR="00D8574B" w:rsidRPr="001549D0" w:rsidRDefault="00D8574B" w:rsidP="00D8574B">
      <w:pPr>
        <w:pStyle w:val="Default"/>
        <w:ind w:left="360"/>
        <w:rPr>
          <w:rFonts w:ascii="Times New Roman" w:hAnsi="Times New Roman" w:cs="Times New Roman"/>
          <w:sz w:val="23"/>
          <w:szCs w:val="23"/>
        </w:rPr>
      </w:pPr>
    </w:p>
    <w:tbl>
      <w:tblPr>
        <w:tblW w:w="4321" w:type="pct"/>
        <w:tblInd w:w="1242"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4112"/>
        <w:gridCol w:w="3072"/>
      </w:tblGrid>
      <w:tr w:rsidR="00D8574B" w:rsidRPr="001549D0" w14:paraId="678E5985" w14:textId="77777777" w:rsidTr="00096EA7">
        <w:trPr>
          <w:tblHeader/>
        </w:trPr>
        <w:tc>
          <w:tcPr>
            <w:tcW w:w="2862" w:type="pct"/>
            <w:shd w:val="clear" w:color="auto" w:fill="C2E3FA"/>
          </w:tcPr>
          <w:p w14:paraId="4CB9E26E" w14:textId="77777777" w:rsidR="00D8574B" w:rsidRPr="001549D0" w:rsidRDefault="00D8574B" w:rsidP="00D8574B">
            <w:pPr>
              <w:pStyle w:val="tablehead"/>
              <w:rPr>
                <w:rFonts w:ascii="Times New Roman" w:hAnsi="Times New Roman" w:cs="Times New Roman"/>
              </w:rPr>
            </w:pPr>
            <w:r w:rsidRPr="001549D0">
              <w:rPr>
                <w:rFonts w:ascii="Times New Roman" w:hAnsi="Times New Roman" w:cs="Times New Roman"/>
              </w:rPr>
              <w:t>Table in Rules</w:t>
            </w:r>
          </w:p>
        </w:tc>
        <w:tc>
          <w:tcPr>
            <w:tcW w:w="2138" w:type="pct"/>
            <w:shd w:val="clear" w:color="auto" w:fill="C2E3FA"/>
          </w:tcPr>
          <w:p w14:paraId="123071E7" w14:textId="77777777" w:rsidR="00D8574B" w:rsidRPr="001549D0" w:rsidRDefault="00D8574B" w:rsidP="00096EA7">
            <w:pPr>
              <w:pStyle w:val="tablehead"/>
              <w:ind w:right="33"/>
              <w:rPr>
                <w:rFonts w:ascii="Times New Roman" w:hAnsi="Times New Roman" w:cs="Times New Roman"/>
              </w:rPr>
            </w:pPr>
            <w:r w:rsidRPr="001549D0">
              <w:rPr>
                <w:rFonts w:ascii="Times New Roman" w:hAnsi="Times New Roman" w:cs="Times New Roman"/>
              </w:rPr>
              <w:t>Items in Table</w:t>
            </w:r>
          </w:p>
        </w:tc>
      </w:tr>
      <w:tr w:rsidR="00D8574B" w:rsidRPr="001549D0" w14:paraId="48929E65" w14:textId="77777777" w:rsidTr="00096EA7">
        <w:tc>
          <w:tcPr>
            <w:tcW w:w="2862" w:type="pct"/>
          </w:tcPr>
          <w:p w14:paraId="5B0D42C5" w14:textId="77777777" w:rsidR="00D8574B" w:rsidRPr="001549D0" w:rsidRDefault="00D8574B" w:rsidP="00D8574B">
            <w:pPr>
              <w:pStyle w:val="tbltext"/>
              <w:rPr>
                <w:rFonts w:ascii="Times New Roman" w:hAnsi="Times New Roman" w:cs="Times New Roman"/>
              </w:rPr>
            </w:pPr>
            <w:r w:rsidRPr="001549D0">
              <w:rPr>
                <w:rFonts w:ascii="Times New Roman" w:hAnsi="Times New Roman" w:cs="Times New Roman"/>
              </w:rPr>
              <w:t>Table S2.1(1) (Derivative Transaction Information - Common data)</w:t>
            </w:r>
          </w:p>
        </w:tc>
        <w:tc>
          <w:tcPr>
            <w:tcW w:w="2138" w:type="pct"/>
          </w:tcPr>
          <w:p w14:paraId="26C75849" w14:textId="77777777" w:rsidR="00D8574B" w:rsidRPr="001549D0" w:rsidRDefault="00D8574B" w:rsidP="00285985">
            <w:pPr>
              <w:pStyle w:val="tbltext"/>
              <w:rPr>
                <w:rFonts w:ascii="Times New Roman" w:hAnsi="Times New Roman" w:cs="Times New Roman"/>
              </w:rPr>
            </w:pPr>
            <w:r>
              <w:rPr>
                <w:rFonts w:ascii="Times New Roman" w:hAnsi="Times New Roman" w:cs="Times New Roman"/>
              </w:rPr>
              <w:t xml:space="preserve">Part (a) of Items </w:t>
            </w:r>
            <w:r w:rsidRPr="001549D0">
              <w:rPr>
                <w:rFonts w:ascii="Times New Roman" w:hAnsi="Times New Roman" w:cs="Times New Roman"/>
              </w:rPr>
              <w:t>7</w:t>
            </w:r>
            <w:r>
              <w:rPr>
                <w:rFonts w:ascii="Times New Roman" w:hAnsi="Times New Roman" w:cs="Times New Roman"/>
              </w:rPr>
              <w:t>,</w:t>
            </w:r>
            <w:r w:rsidRPr="001549D0">
              <w:rPr>
                <w:rFonts w:ascii="Times New Roman" w:hAnsi="Times New Roman" w:cs="Times New Roman"/>
              </w:rPr>
              <w:t xml:space="preserve"> </w:t>
            </w:r>
            <w:r>
              <w:rPr>
                <w:rFonts w:ascii="Times New Roman" w:hAnsi="Times New Roman" w:cs="Times New Roman"/>
              </w:rPr>
              <w:t xml:space="preserve">10, 15 and 19 </w:t>
            </w:r>
          </w:p>
        </w:tc>
      </w:tr>
      <w:tr w:rsidR="00D8574B" w:rsidRPr="001549D0" w14:paraId="3BA08612" w14:textId="77777777" w:rsidTr="00096EA7">
        <w:tc>
          <w:tcPr>
            <w:tcW w:w="2862" w:type="pct"/>
          </w:tcPr>
          <w:p w14:paraId="3BD3532C" w14:textId="77777777" w:rsidR="00D8574B" w:rsidRPr="001549D0" w:rsidRDefault="00D8574B" w:rsidP="00D8574B">
            <w:pPr>
              <w:pStyle w:val="tbltext"/>
              <w:rPr>
                <w:rFonts w:ascii="Times New Roman" w:hAnsi="Times New Roman" w:cs="Times New Roman"/>
              </w:rPr>
            </w:pPr>
            <w:r w:rsidRPr="001549D0">
              <w:rPr>
                <w:rFonts w:ascii="Times New Roman" w:hAnsi="Times New Roman" w:cs="Times New Roman"/>
              </w:rPr>
              <w:t>Table S2.1(</w:t>
            </w:r>
            <w:r>
              <w:rPr>
                <w:rFonts w:ascii="Times New Roman" w:hAnsi="Times New Roman" w:cs="Times New Roman"/>
              </w:rPr>
              <w:t>3</w:t>
            </w:r>
            <w:r w:rsidRPr="001549D0">
              <w:rPr>
                <w:rFonts w:ascii="Times New Roman" w:hAnsi="Times New Roman" w:cs="Times New Roman"/>
              </w:rPr>
              <w:t>) (</w:t>
            </w:r>
            <w:r>
              <w:rPr>
                <w:rFonts w:ascii="Times New Roman" w:hAnsi="Times New Roman" w:cs="Times New Roman"/>
              </w:rPr>
              <w:t>Equity Derivative and Credit Derivative Data</w:t>
            </w:r>
            <w:r w:rsidRPr="001549D0">
              <w:rPr>
                <w:rFonts w:ascii="Times New Roman" w:hAnsi="Times New Roman" w:cs="Times New Roman"/>
              </w:rPr>
              <w:t>)</w:t>
            </w:r>
          </w:p>
        </w:tc>
        <w:tc>
          <w:tcPr>
            <w:tcW w:w="2138" w:type="pct"/>
          </w:tcPr>
          <w:p w14:paraId="352A8797" w14:textId="77777777" w:rsidR="00D8574B" w:rsidRDefault="00A94481" w:rsidP="00285985">
            <w:pPr>
              <w:pStyle w:val="tbltext"/>
              <w:rPr>
                <w:rFonts w:ascii="Times New Roman" w:hAnsi="Times New Roman" w:cs="Times New Roman"/>
              </w:rPr>
            </w:pPr>
            <w:r>
              <w:rPr>
                <w:rFonts w:ascii="Times New Roman" w:hAnsi="Times New Roman" w:cs="Times New Roman"/>
              </w:rPr>
              <w:t xml:space="preserve">Part (a) of Items </w:t>
            </w:r>
            <w:r w:rsidR="00D8574B">
              <w:rPr>
                <w:rFonts w:ascii="Times New Roman" w:hAnsi="Times New Roman" w:cs="Times New Roman"/>
              </w:rPr>
              <w:t>1, 3 and 5</w:t>
            </w:r>
          </w:p>
        </w:tc>
      </w:tr>
      <w:tr w:rsidR="00D8574B" w:rsidRPr="001549D0" w14:paraId="02F67918" w14:textId="77777777" w:rsidTr="00096EA7">
        <w:tc>
          <w:tcPr>
            <w:tcW w:w="2862" w:type="pct"/>
          </w:tcPr>
          <w:p w14:paraId="18442EB1" w14:textId="77777777" w:rsidR="00D8574B" w:rsidRPr="001549D0" w:rsidRDefault="00D8574B" w:rsidP="00D8574B">
            <w:pPr>
              <w:pStyle w:val="tbltext"/>
              <w:rPr>
                <w:rFonts w:ascii="Times New Roman" w:hAnsi="Times New Roman" w:cs="Times New Roman"/>
              </w:rPr>
            </w:pPr>
            <w:r>
              <w:rPr>
                <w:rFonts w:ascii="Times New Roman" w:hAnsi="Times New Roman" w:cs="Times New Roman"/>
              </w:rPr>
              <w:t>Table S2.1(5) (Interest rate derivative data)</w:t>
            </w:r>
          </w:p>
        </w:tc>
        <w:tc>
          <w:tcPr>
            <w:tcW w:w="2138" w:type="pct"/>
          </w:tcPr>
          <w:p w14:paraId="0AC00117" w14:textId="77777777" w:rsidR="00D8574B" w:rsidRDefault="00A94481" w:rsidP="00285985">
            <w:pPr>
              <w:pStyle w:val="tbltext"/>
              <w:rPr>
                <w:rFonts w:ascii="Times New Roman" w:hAnsi="Times New Roman" w:cs="Times New Roman"/>
              </w:rPr>
            </w:pPr>
            <w:r>
              <w:rPr>
                <w:rFonts w:ascii="Times New Roman" w:hAnsi="Times New Roman" w:cs="Times New Roman"/>
              </w:rPr>
              <w:t xml:space="preserve">Part (a) of Items </w:t>
            </w:r>
            <w:r w:rsidR="00D8574B">
              <w:rPr>
                <w:rFonts w:ascii="Times New Roman" w:hAnsi="Times New Roman" w:cs="Times New Roman"/>
              </w:rPr>
              <w:t>6, 8 and 10</w:t>
            </w:r>
          </w:p>
        </w:tc>
      </w:tr>
      <w:tr w:rsidR="00D8574B" w:rsidRPr="001549D0" w14:paraId="20028E68" w14:textId="77777777" w:rsidTr="00096EA7">
        <w:tc>
          <w:tcPr>
            <w:tcW w:w="2862" w:type="pct"/>
          </w:tcPr>
          <w:p w14:paraId="449047DD" w14:textId="77777777" w:rsidR="00D8574B" w:rsidRPr="001549D0" w:rsidRDefault="00D8574B" w:rsidP="00D8574B">
            <w:pPr>
              <w:pStyle w:val="tbltext"/>
              <w:rPr>
                <w:rFonts w:ascii="Times New Roman" w:hAnsi="Times New Roman" w:cs="Times New Roman"/>
                <w:color w:val="000000"/>
              </w:rPr>
            </w:pPr>
            <w:r w:rsidRPr="001549D0">
              <w:rPr>
                <w:rFonts w:ascii="Times New Roman" w:hAnsi="Times New Roman" w:cs="Times New Roman"/>
                <w:color w:val="000000"/>
              </w:rPr>
              <w:t>Table S2.2(1) (Derivative Position Information – Common data)</w:t>
            </w:r>
          </w:p>
        </w:tc>
        <w:tc>
          <w:tcPr>
            <w:tcW w:w="2138" w:type="pct"/>
          </w:tcPr>
          <w:p w14:paraId="6E21C153" w14:textId="77777777" w:rsidR="00D8574B" w:rsidRPr="001549D0" w:rsidRDefault="00D8574B" w:rsidP="00285985">
            <w:pPr>
              <w:pStyle w:val="tbltext"/>
              <w:rPr>
                <w:rFonts w:ascii="Times New Roman" w:hAnsi="Times New Roman" w:cs="Times New Roman"/>
                <w:color w:val="000000"/>
              </w:rPr>
            </w:pPr>
            <w:r>
              <w:rPr>
                <w:rFonts w:ascii="Times New Roman" w:hAnsi="Times New Roman" w:cs="Times New Roman"/>
                <w:color w:val="000000"/>
              </w:rPr>
              <w:t>Part (a) of Items 6, 8 and  15</w:t>
            </w:r>
          </w:p>
        </w:tc>
      </w:tr>
      <w:tr w:rsidR="00D8574B" w:rsidRPr="001549D0" w14:paraId="571CE31B" w14:textId="77777777" w:rsidTr="00096EA7">
        <w:tc>
          <w:tcPr>
            <w:tcW w:w="2862" w:type="pct"/>
          </w:tcPr>
          <w:p w14:paraId="1D1DEBFF" w14:textId="77777777" w:rsidR="00D8574B" w:rsidRPr="001549D0" w:rsidRDefault="00D8574B" w:rsidP="00D8574B">
            <w:pPr>
              <w:pStyle w:val="tbltext"/>
              <w:rPr>
                <w:rFonts w:ascii="Times New Roman" w:hAnsi="Times New Roman" w:cs="Times New Roman"/>
                <w:color w:val="000000"/>
              </w:rPr>
            </w:pPr>
            <w:r w:rsidRPr="001549D0">
              <w:rPr>
                <w:rFonts w:ascii="Times New Roman" w:hAnsi="Times New Roman" w:cs="Times New Roman"/>
              </w:rPr>
              <w:t>Table S2.</w:t>
            </w:r>
            <w:r>
              <w:rPr>
                <w:rFonts w:ascii="Times New Roman" w:hAnsi="Times New Roman" w:cs="Times New Roman"/>
              </w:rPr>
              <w:t>2</w:t>
            </w:r>
            <w:r w:rsidRPr="001549D0">
              <w:rPr>
                <w:rFonts w:ascii="Times New Roman" w:hAnsi="Times New Roman" w:cs="Times New Roman"/>
              </w:rPr>
              <w:t>(</w:t>
            </w:r>
            <w:r>
              <w:rPr>
                <w:rFonts w:ascii="Times New Roman" w:hAnsi="Times New Roman" w:cs="Times New Roman"/>
              </w:rPr>
              <w:t>3</w:t>
            </w:r>
            <w:r w:rsidRPr="001549D0">
              <w:rPr>
                <w:rFonts w:ascii="Times New Roman" w:hAnsi="Times New Roman" w:cs="Times New Roman"/>
              </w:rPr>
              <w:t>) (</w:t>
            </w:r>
            <w:r>
              <w:rPr>
                <w:rFonts w:ascii="Times New Roman" w:hAnsi="Times New Roman" w:cs="Times New Roman"/>
              </w:rPr>
              <w:t>Credit Derivative and Equity Derivative Data</w:t>
            </w:r>
            <w:r w:rsidRPr="001549D0">
              <w:rPr>
                <w:rFonts w:ascii="Times New Roman" w:hAnsi="Times New Roman" w:cs="Times New Roman"/>
              </w:rPr>
              <w:t>)</w:t>
            </w:r>
          </w:p>
        </w:tc>
        <w:tc>
          <w:tcPr>
            <w:tcW w:w="2138" w:type="pct"/>
          </w:tcPr>
          <w:p w14:paraId="1FF362AA" w14:textId="77777777" w:rsidR="00D8574B" w:rsidRDefault="00A94481" w:rsidP="00285985">
            <w:pPr>
              <w:pStyle w:val="tbltext"/>
              <w:rPr>
                <w:rFonts w:ascii="Times New Roman" w:hAnsi="Times New Roman" w:cs="Times New Roman"/>
                <w:color w:val="000000"/>
              </w:rPr>
            </w:pPr>
            <w:r>
              <w:rPr>
                <w:rFonts w:ascii="Times New Roman" w:hAnsi="Times New Roman" w:cs="Times New Roman"/>
              </w:rPr>
              <w:t xml:space="preserve">Part (a) of Items </w:t>
            </w:r>
            <w:r w:rsidR="00D8574B">
              <w:rPr>
                <w:rFonts w:ascii="Times New Roman" w:hAnsi="Times New Roman" w:cs="Times New Roman"/>
              </w:rPr>
              <w:t>1, 3 and 5</w:t>
            </w:r>
          </w:p>
        </w:tc>
      </w:tr>
      <w:tr w:rsidR="00D8574B" w:rsidRPr="001549D0" w14:paraId="56BC8B33" w14:textId="77777777" w:rsidTr="00096EA7">
        <w:tc>
          <w:tcPr>
            <w:tcW w:w="2862" w:type="pct"/>
          </w:tcPr>
          <w:p w14:paraId="0A416A5D" w14:textId="77777777" w:rsidR="00D8574B" w:rsidRPr="001549D0" w:rsidRDefault="00D8574B" w:rsidP="00D8574B">
            <w:pPr>
              <w:pStyle w:val="tbltext"/>
              <w:rPr>
                <w:rFonts w:ascii="Times New Roman" w:hAnsi="Times New Roman" w:cs="Times New Roman"/>
              </w:rPr>
            </w:pPr>
            <w:r>
              <w:rPr>
                <w:rFonts w:ascii="Times New Roman" w:hAnsi="Times New Roman" w:cs="Times New Roman"/>
              </w:rPr>
              <w:t>Table S2.2(5) (Interest rate derivative data)</w:t>
            </w:r>
          </w:p>
        </w:tc>
        <w:tc>
          <w:tcPr>
            <w:tcW w:w="2138" w:type="pct"/>
          </w:tcPr>
          <w:p w14:paraId="0A9A2650" w14:textId="77777777" w:rsidR="00D8574B" w:rsidRDefault="00A94481" w:rsidP="00285985">
            <w:pPr>
              <w:pStyle w:val="tbltext"/>
              <w:rPr>
                <w:rFonts w:ascii="Times New Roman" w:hAnsi="Times New Roman" w:cs="Times New Roman"/>
              </w:rPr>
            </w:pPr>
            <w:r>
              <w:rPr>
                <w:rFonts w:ascii="Times New Roman" w:hAnsi="Times New Roman" w:cs="Times New Roman"/>
              </w:rPr>
              <w:t xml:space="preserve">Part (a) of Items </w:t>
            </w:r>
            <w:r w:rsidR="00D8574B">
              <w:rPr>
                <w:rFonts w:ascii="Times New Roman" w:hAnsi="Times New Roman" w:cs="Times New Roman"/>
              </w:rPr>
              <w:t>5, 7 and 9</w:t>
            </w:r>
          </w:p>
        </w:tc>
      </w:tr>
    </w:tbl>
    <w:p w14:paraId="1A350FF4" w14:textId="77777777" w:rsidR="00D8574B" w:rsidRPr="00BD6416" w:rsidRDefault="00D8574B" w:rsidP="00D8574B">
      <w:pPr>
        <w:pStyle w:val="Default"/>
        <w:ind w:left="567"/>
        <w:rPr>
          <w:rFonts w:ascii="Times New Roman" w:hAnsi="Times New Roman" w:cs="Times New Roman"/>
          <w:i/>
          <w:sz w:val="23"/>
          <w:szCs w:val="23"/>
        </w:rPr>
      </w:pPr>
    </w:p>
    <w:p w14:paraId="00B1B0C0" w14:textId="77777777" w:rsidR="00D8574B" w:rsidRPr="001549D0" w:rsidRDefault="00D8574B" w:rsidP="00D8574B">
      <w:pPr>
        <w:pStyle w:val="Default"/>
        <w:ind w:left="1134"/>
        <w:rPr>
          <w:rFonts w:ascii="Times New Roman" w:hAnsi="Times New Roman" w:cs="Times New Roman"/>
          <w:sz w:val="23"/>
          <w:szCs w:val="23"/>
        </w:rPr>
      </w:pPr>
      <w:r w:rsidRPr="001549D0">
        <w:rPr>
          <w:rFonts w:ascii="Times New Roman" w:hAnsi="Times New Roman" w:cs="Times New Roman"/>
          <w:b/>
          <w:i/>
          <w:sz w:val="23"/>
          <w:szCs w:val="23"/>
        </w:rPr>
        <w:t>Identifying Information</w:t>
      </w:r>
      <w:r w:rsidRPr="001549D0">
        <w:rPr>
          <w:rFonts w:ascii="Times New Roman" w:hAnsi="Times New Roman" w:cs="Times New Roman"/>
          <w:sz w:val="23"/>
          <w:szCs w:val="23"/>
        </w:rPr>
        <w:t xml:space="preserve"> means Derivative Trade Data referred to in the following table, or substantially equivalent information:</w:t>
      </w:r>
    </w:p>
    <w:p w14:paraId="3BD67690" w14:textId="77777777" w:rsidR="00D8574B" w:rsidRPr="001549D0" w:rsidRDefault="00D8574B" w:rsidP="00D8574B">
      <w:pPr>
        <w:pStyle w:val="Default"/>
        <w:ind w:left="360"/>
        <w:rPr>
          <w:rFonts w:ascii="Times New Roman" w:hAnsi="Times New Roman" w:cs="Times New Roman"/>
          <w:sz w:val="23"/>
          <w:szCs w:val="23"/>
        </w:rPr>
      </w:pPr>
    </w:p>
    <w:tbl>
      <w:tblPr>
        <w:tblW w:w="4321" w:type="pct"/>
        <w:tblInd w:w="1242"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3917"/>
        <w:gridCol w:w="3267"/>
      </w:tblGrid>
      <w:tr w:rsidR="00D8574B" w:rsidRPr="001549D0" w14:paraId="43282A0A" w14:textId="77777777" w:rsidTr="00B70CE6">
        <w:trPr>
          <w:tblHeader/>
        </w:trPr>
        <w:tc>
          <w:tcPr>
            <w:tcW w:w="2726" w:type="pct"/>
            <w:shd w:val="clear" w:color="auto" w:fill="C2E3FA"/>
          </w:tcPr>
          <w:p w14:paraId="2D8F50BA" w14:textId="77777777" w:rsidR="00D8574B" w:rsidRPr="001549D0" w:rsidRDefault="00D8574B" w:rsidP="00285985">
            <w:pPr>
              <w:pStyle w:val="tablehead"/>
              <w:rPr>
                <w:rFonts w:ascii="Times New Roman" w:hAnsi="Times New Roman" w:cs="Times New Roman"/>
              </w:rPr>
            </w:pPr>
            <w:r w:rsidRPr="001549D0">
              <w:rPr>
                <w:rFonts w:ascii="Times New Roman" w:hAnsi="Times New Roman" w:cs="Times New Roman"/>
              </w:rPr>
              <w:t>Table in Rules</w:t>
            </w:r>
          </w:p>
        </w:tc>
        <w:tc>
          <w:tcPr>
            <w:tcW w:w="2274" w:type="pct"/>
            <w:shd w:val="clear" w:color="auto" w:fill="C2E3FA"/>
          </w:tcPr>
          <w:p w14:paraId="6E18A96A" w14:textId="77777777" w:rsidR="00D8574B" w:rsidRPr="001549D0" w:rsidRDefault="00D8574B" w:rsidP="00285985">
            <w:pPr>
              <w:pStyle w:val="tablehead"/>
              <w:rPr>
                <w:rFonts w:ascii="Times New Roman" w:hAnsi="Times New Roman" w:cs="Times New Roman"/>
              </w:rPr>
            </w:pPr>
            <w:r w:rsidRPr="001549D0">
              <w:rPr>
                <w:rFonts w:ascii="Times New Roman" w:hAnsi="Times New Roman" w:cs="Times New Roman"/>
              </w:rPr>
              <w:t>Items in Table</w:t>
            </w:r>
          </w:p>
        </w:tc>
      </w:tr>
      <w:tr w:rsidR="00D8574B" w:rsidRPr="001549D0" w14:paraId="15392BC1" w14:textId="77777777" w:rsidTr="00B70CE6">
        <w:tc>
          <w:tcPr>
            <w:tcW w:w="2726" w:type="pct"/>
          </w:tcPr>
          <w:p w14:paraId="76E19613" w14:textId="77777777" w:rsidR="00D8574B" w:rsidRPr="001549D0" w:rsidRDefault="00D8574B" w:rsidP="00285985">
            <w:pPr>
              <w:pStyle w:val="tbltext"/>
              <w:rPr>
                <w:rFonts w:ascii="Times New Roman" w:hAnsi="Times New Roman" w:cs="Times New Roman"/>
              </w:rPr>
            </w:pPr>
            <w:r w:rsidRPr="001549D0">
              <w:rPr>
                <w:rFonts w:ascii="Times New Roman" w:hAnsi="Times New Roman" w:cs="Times New Roman"/>
              </w:rPr>
              <w:t>Table S2.1(1) (Derivative Transaction Information - Common data)</w:t>
            </w:r>
          </w:p>
        </w:tc>
        <w:tc>
          <w:tcPr>
            <w:tcW w:w="2274" w:type="pct"/>
          </w:tcPr>
          <w:p w14:paraId="47474BF1" w14:textId="77777777" w:rsidR="00D8574B" w:rsidRPr="001549D0" w:rsidRDefault="00D8574B" w:rsidP="00285985">
            <w:pPr>
              <w:pStyle w:val="tbltext"/>
              <w:rPr>
                <w:rFonts w:ascii="Times New Roman" w:hAnsi="Times New Roman" w:cs="Times New Roman"/>
              </w:rPr>
            </w:pPr>
            <w:r w:rsidRPr="001549D0">
              <w:rPr>
                <w:rFonts w:ascii="Times New Roman" w:hAnsi="Times New Roman" w:cs="Times New Roman"/>
              </w:rPr>
              <w:t>7, 8, 10 and 11</w:t>
            </w:r>
          </w:p>
        </w:tc>
      </w:tr>
      <w:tr w:rsidR="00D8574B" w:rsidRPr="001549D0" w14:paraId="22E0EEC3" w14:textId="77777777" w:rsidTr="00B70CE6">
        <w:tc>
          <w:tcPr>
            <w:tcW w:w="2726" w:type="pct"/>
          </w:tcPr>
          <w:p w14:paraId="4D503E5D" w14:textId="77777777" w:rsidR="00D8574B" w:rsidRPr="001549D0" w:rsidRDefault="00D8574B" w:rsidP="00285985">
            <w:pPr>
              <w:pStyle w:val="tbltext"/>
              <w:rPr>
                <w:rFonts w:ascii="Times New Roman" w:hAnsi="Times New Roman" w:cs="Times New Roman"/>
              </w:rPr>
            </w:pPr>
            <w:r w:rsidRPr="001549D0">
              <w:rPr>
                <w:rFonts w:ascii="Times New Roman" w:hAnsi="Times New Roman" w:cs="Times New Roman"/>
              </w:rPr>
              <w:t>Table S2.1(3) (Derivative Transaction Information - Equity derivative and credit derivative data)</w:t>
            </w:r>
          </w:p>
        </w:tc>
        <w:tc>
          <w:tcPr>
            <w:tcW w:w="2274" w:type="pct"/>
          </w:tcPr>
          <w:p w14:paraId="1A7558EB" w14:textId="77777777" w:rsidR="00D8574B" w:rsidRPr="001549D0" w:rsidRDefault="00D8574B" w:rsidP="00285985">
            <w:pPr>
              <w:pStyle w:val="tbltext"/>
              <w:rPr>
                <w:rFonts w:ascii="Times New Roman" w:hAnsi="Times New Roman" w:cs="Times New Roman"/>
              </w:rPr>
            </w:pPr>
            <w:r w:rsidRPr="001549D0">
              <w:rPr>
                <w:rFonts w:ascii="Times New Roman" w:hAnsi="Times New Roman" w:cs="Times New Roman"/>
              </w:rPr>
              <w:t>1, 2, 3 and 4</w:t>
            </w:r>
          </w:p>
        </w:tc>
      </w:tr>
      <w:tr w:rsidR="00D8574B" w:rsidRPr="001549D0" w14:paraId="670C0214" w14:textId="77777777" w:rsidTr="00B70CE6">
        <w:tc>
          <w:tcPr>
            <w:tcW w:w="2726" w:type="pct"/>
          </w:tcPr>
          <w:p w14:paraId="2A347BF1" w14:textId="77777777" w:rsidR="00D8574B" w:rsidRPr="001549D0" w:rsidRDefault="00D8574B" w:rsidP="00285985">
            <w:pPr>
              <w:pStyle w:val="tbltext"/>
              <w:rPr>
                <w:rFonts w:ascii="Times New Roman" w:hAnsi="Times New Roman" w:cs="Times New Roman"/>
                <w:color w:val="000000"/>
              </w:rPr>
            </w:pPr>
            <w:r w:rsidRPr="001549D0">
              <w:rPr>
                <w:rFonts w:ascii="Times New Roman" w:hAnsi="Times New Roman" w:cs="Times New Roman"/>
                <w:color w:val="000000"/>
              </w:rPr>
              <w:lastRenderedPageBreak/>
              <w:t>Table S2.1(5) (Derivative Transaction Information - Interest rate derivative data)</w:t>
            </w:r>
          </w:p>
        </w:tc>
        <w:tc>
          <w:tcPr>
            <w:tcW w:w="2274" w:type="pct"/>
          </w:tcPr>
          <w:p w14:paraId="3A83A2DE" w14:textId="77777777" w:rsidR="00D8574B" w:rsidRPr="001549D0" w:rsidRDefault="00D8574B" w:rsidP="00285985">
            <w:pPr>
              <w:pStyle w:val="tbltext"/>
              <w:rPr>
                <w:rFonts w:ascii="Times New Roman" w:hAnsi="Times New Roman" w:cs="Times New Roman"/>
                <w:color w:val="000000"/>
              </w:rPr>
            </w:pPr>
            <w:r w:rsidRPr="001549D0">
              <w:rPr>
                <w:rFonts w:ascii="Times New Roman" w:hAnsi="Times New Roman" w:cs="Times New Roman"/>
                <w:color w:val="000000"/>
              </w:rPr>
              <w:t>6, 7, 8, 9, 10 and 11</w:t>
            </w:r>
          </w:p>
        </w:tc>
      </w:tr>
      <w:tr w:rsidR="00D8574B" w:rsidRPr="001549D0" w14:paraId="04B9D800" w14:textId="77777777" w:rsidTr="00B70CE6">
        <w:tc>
          <w:tcPr>
            <w:tcW w:w="2726" w:type="pct"/>
          </w:tcPr>
          <w:p w14:paraId="52B89487" w14:textId="77777777" w:rsidR="00D8574B" w:rsidRPr="001549D0" w:rsidRDefault="00D8574B" w:rsidP="00285985">
            <w:pPr>
              <w:pStyle w:val="tbltext"/>
              <w:rPr>
                <w:rFonts w:ascii="Times New Roman" w:hAnsi="Times New Roman" w:cs="Times New Roman"/>
                <w:color w:val="000000"/>
              </w:rPr>
            </w:pPr>
            <w:r w:rsidRPr="001549D0">
              <w:rPr>
                <w:rFonts w:ascii="Times New Roman" w:hAnsi="Times New Roman" w:cs="Times New Roman"/>
                <w:color w:val="000000"/>
              </w:rPr>
              <w:t>Table S2.2(1) (Derivative Position Information – Common data)</w:t>
            </w:r>
          </w:p>
        </w:tc>
        <w:tc>
          <w:tcPr>
            <w:tcW w:w="2274" w:type="pct"/>
          </w:tcPr>
          <w:p w14:paraId="0E26E207" w14:textId="77777777" w:rsidR="00D8574B" w:rsidRPr="001549D0" w:rsidRDefault="00D8574B" w:rsidP="00285985">
            <w:pPr>
              <w:pStyle w:val="tbltext"/>
              <w:rPr>
                <w:rFonts w:ascii="Times New Roman" w:hAnsi="Times New Roman" w:cs="Times New Roman"/>
                <w:color w:val="000000"/>
              </w:rPr>
            </w:pPr>
            <w:r w:rsidRPr="001549D0">
              <w:rPr>
                <w:rFonts w:ascii="Times New Roman" w:hAnsi="Times New Roman" w:cs="Times New Roman"/>
                <w:color w:val="000000"/>
              </w:rPr>
              <w:t>6, 7, 8 and 9</w:t>
            </w:r>
          </w:p>
        </w:tc>
      </w:tr>
      <w:tr w:rsidR="00D8574B" w:rsidRPr="001549D0" w14:paraId="3534F039" w14:textId="77777777" w:rsidTr="00B70CE6">
        <w:tc>
          <w:tcPr>
            <w:tcW w:w="2726" w:type="pct"/>
          </w:tcPr>
          <w:p w14:paraId="68A026FA" w14:textId="77777777" w:rsidR="00D8574B" w:rsidRPr="001549D0" w:rsidRDefault="00D8574B" w:rsidP="00285985">
            <w:pPr>
              <w:pStyle w:val="tbltext"/>
              <w:rPr>
                <w:rFonts w:ascii="Times New Roman" w:hAnsi="Times New Roman" w:cs="Times New Roman"/>
                <w:color w:val="000000"/>
              </w:rPr>
            </w:pPr>
            <w:r w:rsidRPr="001549D0">
              <w:rPr>
                <w:rFonts w:ascii="Times New Roman" w:hAnsi="Times New Roman" w:cs="Times New Roman"/>
                <w:color w:val="000000"/>
              </w:rPr>
              <w:t>Table S2.2(3)</w:t>
            </w:r>
            <w:r w:rsidRPr="001549D0">
              <w:rPr>
                <w:rFonts w:ascii="Times New Roman" w:hAnsi="Times New Roman" w:cs="Times New Roman"/>
                <w:color w:val="000000"/>
                <w:sz w:val="24"/>
                <w:szCs w:val="24"/>
                <w:lang w:eastAsia="en-US"/>
              </w:rPr>
              <w:t xml:space="preserve"> </w:t>
            </w:r>
            <w:r w:rsidRPr="001549D0">
              <w:rPr>
                <w:rFonts w:ascii="Times New Roman" w:hAnsi="Times New Roman" w:cs="Times New Roman"/>
                <w:color w:val="000000"/>
              </w:rPr>
              <w:t>(Derivative Position Information – Equity derivative and credit derivative data)</w:t>
            </w:r>
          </w:p>
        </w:tc>
        <w:tc>
          <w:tcPr>
            <w:tcW w:w="2274" w:type="pct"/>
          </w:tcPr>
          <w:p w14:paraId="630440C0" w14:textId="77777777" w:rsidR="00D8574B" w:rsidRPr="001549D0" w:rsidRDefault="00D8574B" w:rsidP="00285985">
            <w:pPr>
              <w:pStyle w:val="tbltext"/>
              <w:rPr>
                <w:rFonts w:ascii="Times New Roman" w:hAnsi="Times New Roman" w:cs="Times New Roman"/>
                <w:color w:val="000000"/>
              </w:rPr>
            </w:pPr>
            <w:r w:rsidRPr="001549D0">
              <w:rPr>
                <w:rFonts w:ascii="Times New Roman" w:hAnsi="Times New Roman" w:cs="Times New Roman"/>
                <w:color w:val="000000"/>
              </w:rPr>
              <w:t>1, 2, 3 and 4</w:t>
            </w:r>
          </w:p>
        </w:tc>
      </w:tr>
      <w:tr w:rsidR="00D8574B" w:rsidRPr="001549D0" w14:paraId="68861E90" w14:textId="77777777" w:rsidTr="00B70CE6">
        <w:tc>
          <w:tcPr>
            <w:tcW w:w="2726" w:type="pct"/>
          </w:tcPr>
          <w:p w14:paraId="4AF098D1" w14:textId="77777777" w:rsidR="00D8574B" w:rsidRPr="001549D0" w:rsidRDefault="00D8574B" w:rsidP="00285985">
            <w:pPr>
              <w:pStyle w:val="tbltext"/>
              <w:rPr>
                <w:rFonts w:ascii="Times New Roman" w:hAnsi="Times New Roman" w:cs="Times New Roman"/>
                <w:color w:val="000000"/>
              </w:rPr>
            </w:pPr>
            <w:r w:rsidRPr="001549D0">
              <w:rPr>
                <w:rFonts w:ascii="Times New Roman" w:hAnsi="Times New Roman" w:cs="Times New Roman"/>
                <w:color w:val="000000"/>
              </w:rPr>
              <w:t>Table S2.2(5)</w:t>
            </w:r>
            <w:r w:rsidRPr="001549D0">
              <w:rPr>
                <w:rFonts w:ascii="Times New Roman" w:hAnsi="Times New Roman" w:cs="Times New Roman"/>
                <w:color w:val="000000"/>
                <w:sz w:val="24"/>
                <w:szCs w:val="24"/>
                <w:lang w:eastAsia="en-US"/>
              </w:rPr>
              <w:t xml:space="preserve"> </w:t>
            </w:r>
            <w:r w:rsidRPr="001549D0">
              <w:rPr>
                <w:rFonts w:ascii="Times New Roman" w:hAnsi="Times New Roman" w:cs="Times New Roman"/>
                <w:color w:val="000000"/>
              </w:rPr>
              <w:t>(Derivative Position Information - Interest rate derivative data)</w:t>
            </w:r>
          </w:p>
        </w:tc>
        <w:tc>
          <w:tcPr>
            <w:tcW w:w="2274" w:type="pct"/>
          </w:tcPr>
          <w:p w14:paraId="0B23692A" w14:textId="77777777" w:rsidR="00D8574B" w:rsidRPr="001549D0" w:rsidRDefault="00D8574B" w:rsidP="00285985">
            <w:pPr>
              <w:pStyle w:val="tbltext"/>
              <w:rPr>
                <w:rFonts w:ascii="Times New Roman" w:hAnsi="Times New Roman" w:cs="Times New Roman"/>
                <w:color w:val="000000"/>
              </w:rPr>
            </w:pPr>
            <w:r w:rsidRPr="001549D0">
              <w:rPr>
                <w:rFonts w:ascii="Times New Roman" w:hAnsi="Times New Roman" w:cs="Times New Roman"/>
                <w:color w:val="000000"/>
              </w:rPr>
              <w:t>5, 6, 7, 8, 9 and 10</w:t>
            </w:r>
          </w:p>
        </w:tc>
      </w:tr>
    </w:tbl>
    <w:p w14:paraId="7C4F5DE4" w14:textId="77777777" w:rsidR="00D8574B" w:rsidRPr="001549D0" w:rsidRDefault="00D8574B" w:rsidP="00D8574B">
      <w:pPr>
        <w:pStyle w:val="Default"/>
        <w:ind w:left="360"/>
        <w:rPr>
          <w:rFonts w:ascii="Times New Roman" w:hAnsi="Times New Roman" w:cs="Times New Roman"/>
          <w:sz w:val="23"/>
          <w:szCs w:val="23"/>
        </w:rPr>
      </w:pPr>
    </w:p>
    <w:p w14:paraId="0BD1DD08" w14:textId="77777777" w:rsidR="00D8574B" w:rsidRPr="001549D0" w:rsidRDefault="00D8574B" w:rsidP="00D8574B">
      <w:pPr>
        <w:pStyle w:val="Default"/>
        <w:ind w:left="1134"/>
        <w:rPr>
          <w:rFonts w:ascii="Times New Roman" w:hAnsi="Times New Roman" w:cs="Times New Roman"/>
          <w:sz w:val="23"/>
          <w:szCs w:val="23"/>
        </w:rPr>
      </w:pPr>
      <w:r>
        <w:rPr>
          <w:rFonts w:ascii="Times New Roman" w:hAnsi="Times New Roman" w:cs="Times New Roman"/>
          <w:b/>
          <w:i/>
          <w:sz w:val="23"/>
          <w:szCs w:val="23"/>
        </w:rPr>
        <w:t xml:space="preserve">Name Information </w:t>
      </w:r>
      <w:r w:rsidRPr="001549D0">
        <w:rPr>
          <w:rFonts w:ascii="Times New Roman" w:hAnsi="Times New Roman" w:cs="Times New Roman"/>
          <w:sz w:val="23"/>
          <w:szCs w:val="23"/>
        </w:rPr>
        <w:t>means Derivative Tr</w:t>
      </w:r>
      <w:r>
        <w:rPr>
          <w:rFonts w:ascii="Times New Roman" w:hAnsi="Times New Roman" w:cs="Times New Roman"/>
          <w:sz w:val="23"/>
          <w:szCs w:val="23"/>
        </w:rPr>
        <w:t>ade</w:t>
      </w:r>
      <w:r w:rsidRPr="001549D0">
        <w:rPr>
          <w:rFonts w:ascii="Times New Roman" w:hAnsi="Times New Roman" w:cs="Times New Roman"/>
          <w:sz w:val="23"/>
          <w:szCs w:val="23"/>
        </w:rPr>
        <w:t xml:space="preserve"> Data referred to in the following table:</w:t>
      </w:r>
    </w:p>
    <w:p w14:paraId="0D193049" w14:textId="77777777" w:rsidR="00D8574B" w:rsidRPr="001549D0" w:rsidRDefault="00D8574B" w:rsidP="00D8574B">
      <w:pPr>
        <w:pStyle w:val="Default"/>
        <w:ind w:left="360"/>
        <w:rPr>
          <w:rFonts w:ascii="Times New Roman" w:hAnsi="Times New Roman" w:cs="Times New Roman"/>
          <w:sz w:val="23"/>
          <w:szCs w:val="23"/>
        </w:rPr>
      </w:pPr>
    </w:p>
    <w:tbl>
      <w:tblPr>
        <w:tblW w:w="4321" w:type="pct"/>
        <w:tblInd w:w="1242"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3917"/>
        <w:gridCol w:w="3267"/>
      </w:tblGrid>
      <w:tr w:rsidR="00D8574B" w:rsidRPr="001549D0" w14:paraId="12097AF3" w14:textId="77777777" w:rsidTr="00B70CE6">
        <w:trPr>
          <w:tblHeader/>
        </w:trPr>
        <w:tc>
          <w:tcPr>
            <w:tcW w:w="2726" w:type="pct"/>
            <w:shd w:val="clear" w:color="auto" w:fill="C2E3FA"/>
          </w:tcPr>
          <w:p w14:paraId="1A5E12B9" w14:textId="77777777" w:rsidR="00D8574B" w:rsidRPr="001549D0" w:rsidRDefault="00D8574B" w:rsidP="00D8574B">
            <w:pPr>
              <w:pStyle w:val="tablehead"/>
              <w:rPr>
                <w:rFonts w:ascii="Times New Roman" w:hAnsi="Times New Roman" w:cs="Times New Roman"/>
              </w:rPr>
            </w:pPr>
            <w:r w:rsidRPr="001549D0">
              <w:rPr>
                <w:rFonts w:ascii="Times New Roman" w:hAnsi="Times New Roman" w:cs="Times New Roman"/>
              </w:rPr>
              <w:t>Table in Rules</w:t>
            </w:r>
          </w:p>
        </w:tc>
        <w:tc>
          <w:tcPr>
            <w:tcW w:w="2274" w:type="pct"/>
            <w:shd w:val="clear" w:color="auto" w:fill="C2E3FA"/>
          </w:tcPr>
          <w:p w14:paraId="26011182" w14:textId="77777777" w:rsidR="00D8574B" w:rsidRPr="001549D0" w:rsidRDefault="00D8574B" w:rsidP="00285985">
            <w:pPr>
              <w:pStyle w:val="tablehead"/>
              <w:rPr>
                <w:rFonts w:ascii="Times New Roman" w:hAnsi="Times New Roman" w:cs="Times New Roman"/>
              </w:rPr>
            </w:pPr>
            <w:r w:rsidRPr="001549D0">
              <w:rPr>
                <w:rFonts w:ascii="Times New Roman" w:hAnsi="Times New Roman" w:cs="Times New Roman"/>
              </w:rPr>
              <w:t>Items in Table</w:t>
            </w:r>
          </w:p>
        </w:tc>
      </w:tr>
      <w:tr w:rsidR="00D8574B" w:rsidRPr="001549D0" w14:paraId="64AB4AAB" w14:textId="77777777" w:rsidTr="00B70CE6">
        <w:tc>
          <w:tcPr>
            <w:tcW w:w="2726" w:type="pct"/>
          </w:tcPr>
          <w:p w14:paraId="10BE8423" w14:textId="77777777" w:rsidR="00D8574B" w:rsidRPr="001549D0" w:rsidRDefault="00D8574B" w:rsidP="00D8574B">
            <w:pPr>
              <w:pStyle w:val="tbltext"/>
              <w:rPr>
                <w:rFonts w:ascii="Times New Roman" w:hAnsi="Times New Roman" w:cs="Times New Roman"/>
              </w:rPr>
            </w:pPr>
            <w:r w:rsidRPr="001549D0">
              <w:rPr>
                <w:rFonts w:ascii="Times New Roman" w:hAnsi="Times New Roman" w:cs="Times New Roman"/>
              </w:rPr>
              <w:t>Table S2.1(1) (Derivative Transaction Information - Common data)</w:t>
            </w:r>
          </w:p>
        </w:tc>
        <w:tc>
          <w:tcPr>
            <w:tcW w:w="2274" w:type="pct"/>
          </w:tcPr>
          <w:p w14:paraId="77DFED9B" w14:textId="77777777" w:rsidR="00D8574B" w:rsidRPr="001549D0" w:rsidRDefault="00D8574B" w:rsidP="00285985">
            <w:pPr>
              <w:pStyle w:val="tbltext"/>
              <w:rPr>
                <w:rFonts w:ascii="Times New Roman" w:hAnsi="Times New Roman" w:cs="Times New Roman"/>
              </w:rPr>
            </w:pPr>
            <w:r>
              <w:rPr>
                <w:rFonts w:ascii="Times New Roman" w:hAnsi="Times New Roman" w:cs="Times New Roman"/>
              </w:rPr>
              <w:t>8,</w:t>
            </w:r>
            <w:r w:rsidRPr="001549D0">
              <w:rPr>
                <w:rFonts w:ascii="Times New Roman" w:hAnsi="Times New Roman" w:cs="Times New Roman"/>
              </w:rPr>
              <w:t xml:space="preserve"> </w:t>
            </w:r>
            <w:r>
              <w:rPr>
                <w:rFonts w:ascii="Times New Roman" w:hAnsi="Times New Roman" w:cs="Times New Roman"/>
              </w:rPr>
              <w:t xml:space="preserve">11, 16, 20 </w:t>
            </w:r>
          </w:p>
        </w:tc>
      </w:tr>
      <w:tr w:rsidR="00D8574B" w:rsidRPr="001549D0" w14:paraId="08D6A720" w14:textId="77777777" w:rsidTr="00B70CE6">
        <w:tc>
          <w:tcPr>
            <w:tcW w:w="2726" w:type="pct"/>
          </w:tcPr>
          <w:p w14:paraId="1A5C699A" w14:textId="77777777" w:rsidR="00D8574B" w:rsidRPr="001549D0" w:rsidRDefault="00D8574B" w:rsidP="00D8574B">
            <w:pPr>
              <w:pStyle w:val="tbltext"/>
              <w:rPr>
                <w:rFonts w:ascii="Times New Roman" w:hAnsi="Times New Roman" w:cs="Times New Roman"/>
              </w:rPr>
            </w:pPr>
            <w:r w:rsidRPr="001549D0">
              <w:rPr>
                <w:rFonts w:ascii="Times New Roman" w:hAnsi="Times New Roman" w:cs="Times New Roman"/>
              </w:rPr>
              <w:t>Table S2.1(</w:t>
            </w:r>
            <w:r>
              <w:rPr>
                <w:rFonts w:ascii="Times New Roman" w:hAnsi="Times New Roman" w:cs="Times New Roman"/>
              </w:rPr>
              <w:t>3</w:t>
            </w:r>
            <w:r w:rsidRPr="001549D0">
              <w:rPr>
                <w:rFonts w:ascii="Times New Roman" w:hAnsi="Times New Roman" w:cs="Times New Roman"/>
              </w:rPr>
              <w:t>) (</w:t>
            </w:r>
            <w:r>
              <w:rPr>
                <w:rFonts w:ascii="Times New Roman" w:hAnsi="Times New Roman" w:cs="Times New Roman"/>
              </w:rPr>
              <w:t>Equity Derivative and Credit Derivative Data</w:t>
            </w:r>
            <w:r w:rsidRPr="001549D0">
              <w:rPr>
                <w:rFonts w:ascii="Times New Roman" w:hAnsi="Times New Roman" w:cs="Times New Roman"/>
              </w:rPr>
              <w:t>)</w:t>
            </w:r>
          </w:p>
        </w:tc>
        <w:tc>
          <w:tcPr>
            <w:tcW w:w="2274" w:type="pct"/>
          </w:tcPr>
          <w:p w14:paraId="664BE680" w14:textId="77777777" w:rsidR="00D8574B" w:rsidRDefault="00D8574B" w:rsidP="00285985">
            <w:pPr>
              <w:pStyle w:val="tbltext"/>
              <w:rPr>
                <w:rFonts w:ascii="Times New Roman" w:hAnsi="Times New Roman" w:cs="Times New Roman"/>
              </w:rPr>
            </w:pPr>
            <w:r>
              <w:rPr>
                <w:rFonts w:ascii="Times New Roman" w:hAnsi="Times New Roman" w:cs="Times New Roman"/>
                <w:color w:val="000000"/>
              </w:rPr>
              <w:t>2, 4 and 6</w:t>
            </w:r>
          </w:p>
        </w:tc>
      </w:tr>
      <w:tr w:rsidR="00D8574B" w:rsidRPr="001549D0" w14:paraId="084D50B9" w14:textId="77777777" w:rsidTr="00B70CE6">
        <w:tc>
          <w:tcPr>
            <w:tcW w:w="2726" w:type="pct"/>
          </w:tcPr>
          <w:p w14:paraId="2DD63C4F" w14:textId="77777777" w:rsidR="00D8574B" w:rsidRPr="001549D0" w:rsidRDefault="00D8574B" w:rsidP="00D8574B">
            <w:pPr>
              <w:pStyle w:val="tbltext"/>
              <w:rPr>
                <w:rFonts w:ascii="Times New Roman" w:hAnsi="Times New Roman" w:cs="Times New Roman"/>
              </w:rPr>
            </w:pPr>
            <w:r>
              <w:rPr>
                <w:rFonts w:ascii="Times New Roman" w:hAnsi="Times New Roman" w:cs="Times New Roman"/>
              </w:rPr>
              <w:t>Table S2.1(5) (Interest rate derivative data)</w:t>
            </w:r>
          </w:p>
        </w:tc>
        <w:tc>
          <w:tcPr>
            <w:tcW w:w="2274" w:type="pct"/>
          </w:tcPr>
          <w:p w14:paraId="0ED479B2" w14:textId="77777777" w:rsidR="00D8574B" w:rsidRDefault="00D8574B" w:rsidP="00285985">
            <w:pPr>
              <w:pStyle w:val="tbltext"/>
              <w:rPr>
                <w:rFonts w:ascii="Times New Roman" w:hAnsi="Times New Roman" w:cs="Times New Roman"/>
                <w:color w:val="000000"/>
              </w:rPr>
            </w:pPr>
            <w:r>
              <w:rPr>
                <w:rFonts w:ascii="Times New Roman" w:hAnsi="Times New Roman" w:cs="Times New Roman"/>
              </w:rPr>
              <w:t>7, 9 and 11</w:t>
            </w:r>
          </w:p>
        </w:tc>
      </w:tr>
      <w:tr w:rsidR="00D8574B" w:rsidRPr="001549D0" w14:paraId="04498958" w14:textId="77777777" w:rsidTr="00B70CE6">
        <w:tc>
          <w:tcPr>
            <w:tcW w:w="2726" w:type="pct"/>
          </w:tcPr>
          <w:p w14:paraId="191E7F62" w14:textId="77777777" w:rsidR="00D8574B" w:rsidRPr="001549D0" w:rsidRDefault="00D8574B" w:rsidP="00D8574B">
            <w:pPr>
              <w:pStyle w:val="tbltext"/>
              <w:rPr>
                <w:rFonts w:ascii="Times New Roman" w:hAnsi="Times New Roman" w:cs="Times New Roman"/>
                <w:color w:val="000000"/>
              </w:rPr>
            </w:pPr>
            <w:r w:rsidRPr="001549D0">
              <w:rPr>
                <w:rFonts w:ascii="Times New Roman" w:hAnsi="Times New Roman" w:cs="Times New Roman"/>
                <w:color w:val="000000"/>
              </w:rPr>
              <w:t>Table S2.2(1) (Derivative Position Information – Common data)</w:t>
            </w:r>
          </w:p>
        </w:tc>
        <w:tc>
          <w:tcPr>
            <w:tcW w:w="2274" w:type="pct"/>
          </w:tcPr>
          <w:p w14:paraId="42099297" w14:textId="77777777" w:rsidR="00D8574B" w:rsidRPr="001549D0" w:rsidRDefault="00D8574B" w:rsidP="00285985">
            <w:pPr>
              <w:pStyle w:val="tbltext"/>
              <w:rPr>
                <w:rFonts w:ascii="Times New Roman" w:hAnsi="Times New Roman" w:cs="Times New Roman"/>
                <w:color w:val="000000"/>
              </w:rPr>
            </w:pPr>
            <w:r>
              <w:rPr>
                <w:rFonts w:ascii="Times New Roman" w:hAnsi="Times New Roman" w:cs="Times New Roman"/>
                <w:color w:val="000000"/>
              </w:rPr>
              <w:t xml:space="preserve">7, 9 and 16 </w:t>
            </w:r>
          </w:p>
        </w:tc>
      </w:tr>
      <w:tr w:rsidR="00D8574B" w:rsidRPr="001549D0" w14:paraId="5E794FA6" w14:textId="77777777" w:rsidTr="00B70CE6">
        <w:tc>
          <w:tcPr>
            <w:tcW w:w="2726" w:type="pct"/>
          </w:tcPr>
          <w:p w14:paraId="1426AA52" w14:textId="77777777" w:rsidR="00D8574B" w:rsidRPr="001549D0" w:rsidRDefault="00D8574B" w:rsidP="00D8574B">
            <w:pPr>
              <w:pStyle w:val="tbltext"/>
              <w:rPr>
                <w:rFonts w:ascii="Times New Roman" w:hAnsi="Times New Roman" w:cs="Times New Roman"/>
                <w:color w:val="000000"/>
              </w:rPr>
            </w:pPr>
            <w:r w:rsidRPr="001549D0">
              <w:rPr>
                <w:rFonts w:ascii="Times New Roman" w:hAnsi="Times New Roman" w:cs="Times New Roman"/>
              </w:rPr>
              <w:t>Table S2.</w:t>
            </w:r>
            <w:r>
              <w:rPr>
                <w:rFonts w:ascii="Times New Roman" w:hAnsi="Times New Roman" w:cs="Times New Roman"/>
              </w:rPr>
              <w:t>2</w:t>
            </w:r>
            <w:r w:rsidRPr="001549D0">
              <w:rPr>
                <w:rFonts w:ascii="Times New Roman" w:hAnsi="Times New Roman" w:cs="Times New Roman"/>
              </w:rPr>
              <w:t>(</w:t>
            </w:r>
            <w:r>
              <w:rPr>
                <w:rFonts w:ascii="Times New Roman" w:hAnsi="Times New Roman" w:cs="Times New Roman"/>
              </w:rPr>
              <w:t>3</w:t>
            </w:r>
            <w:r w:rsidRPr="001549D0">
              <w:rPr>
                <w:rFonts w:ascii="Times New Roman" w:hAnsi="Times New Roman" w:cs="Times New Roman"/>
              </w:rPr>
              <w:t>) (</w:t>
            </w:r>
            <w:r>
              <w:rPr>
                <w:rFonts w:ascii="Times New Roman" w:hAnsi="Times New Roman" w:cs="Times New Roman"/>
              </w:rPr>
              <w:t>Credit Derivative and Equity Derivative Data</w:t>
            </w:r>
            <w:r w:rsidRPr="001549D0">
              <w:rPr>
                <w:rFonts w:ascii="Times New Roman" w:hAnsi="Times New Roman" w:cs="Times New Roman"/>
              </w:rPr>
              <w:t>)</w:t>
            </w:r>
          </w:p>
        </w:tc>
        <w:tc>
          <w:tcPr>
            <w:tcW w:w="2274" w:type="pct"/>
          </w:tcPr>
          <w:p w14:paraId="2A60CBDB" w14:textId="77777777" w:rsidR="00D8574B" w:rsidRDefault="00D8574B" w:rsidP="00285985">
            <w:pPr>
              <w:pStyle w:val="tbltext"/>
              <w:rPr>
                <w:rFonts w:ascii="Times New Roman" w:hAnsi="Times New Roman" w:cs="Times New Roman"/>
                <w:color w:val="000000"/>
              </w:rPr>
            </w:pPr>
            <w:r>
              <w:rPr>
                <w:rFonts w:ascii="Times New Roman" w:hAnsi="Times New Roman" w:cs="Times New Roman"/>
                <w:color w:val="000000"/>
              </w:rPr>
              <w:t>2, 4 and 6</w:t>
            </w:r>
          </w:p>
        </w:tc>
      </w:tr>
      <w:tr w:rsidR="00D8574B" w:rsidRPr="001549D0" w14:paraId="6A522734" w14:textId="77777777" w:rsidTr="00B70CE6">
        <w:tc>
          <w:tcPr>
            <w:tcW w:w="2726" w:type="pct"/>
          </w:tcPr>
          <w:p w14:paraId="6EF16AE5" w14:textId="77777777" w:rsidR="00D8574B" w:rsidRPr="001549D0" w:rsidRDefault="00D8574B" w:rsidP="00D8574B">
            <w:pPr>
              <w:pStyle w:val="tbltext"/>
              <w:rPr>
                <w:rFonts w:ascii="Times New Roman" w:hAnsi="Times New Roman" w:cs="Times New Roman"/>
              </w:rPr>
            </w:pPr>
            <w:r>
              <w:rPr>
                <w:rFonts w:ascii="Times New Roman" w:hAnsi="Times New Roman" w:cs="Times New Roman"/>
              </w:rPr>
              <w:t>Table S2.2(5) (Interest rate derivative data)</w:t>
            </w:r>
          </w:p>
        </w:tc>
        <w:tc>
          <w:tcPr>
            <w:tcW w:w="2274" w:type="pct"/>
          </w:tcPr>
          <w:p w14:paraId="3E9EB9FE" w14:textId="77777777" w:rsidR="00D8574B" w:rsidRDefault="00D8574B" w:rsidP="00285985">
            <w:pPr>
              <w:pStyle w:val="tbltext"/>
              <w:rPr>
                <w:rFonts w:ascii="Times New Roman" w:hAnsi="Times New Roman" w:cs="Times New Roman"/>
                <w:color w:val="000000"/>
              </w:rPr>
            </w:pPr>
            <w:r>
              <w:rPr>
                <w:rFonts w:ascii="Times New Roman" w:hAnsi="Times New Roman" w:cs="Times New Roman"/>
              </w:rPr>
              <w:t>6, 8 and 10</w:t>
            </w:r>
          </w:p>
        </w:tc>
      </w:tr>
    </w:tbl>
    <w:p w14:paraId="6CB6DF3D" w14:textId="77777777" w:rsidR="00D8574B" w:rsidRDefault="00D8574B" w:rsidP="00D8574B">
      <w:pPr>
        <w:pStyle w:val="Default"/>
        <w:ind w:left="567"/>
        <w:rPr>
          <w:rFonts w:ascii="Times New Roman" w:hAnsi="Times New Roman" w:cs="Times New Roman"/>
          <w:b/>
          <w:i/>
          <w:sz w:val="23"/>
          <w:szCs w:val="23"/>
        </w:rPr>
      </w:pPr>
    </w:p>
    <w:p w14:paraId="7C11F747" w14:textId="77777777" w:rsidR="007733F6" w:rsidRDefault="007733F6" w:rsidP="007733F6">
      <w:pPr>
        <w:pStyle w:val="LI-BodyTextUnnumbered"/>
      </w:pPr>
      <w:r>
        <w:rPr>
          <w:b/>
          <w:bCs/>
          <w:i/>
          <w:iCs/>
          <w:sz w:val="23"/>
          <w:szCs w:val="23"/>
        </w:rPr>
        <w:t>Relevant Foreign Jurisdiction</w:t>
      </w:r>
      <w:r>
        <w:rPr>
          <w:sz w:val="23"/>
          <w:szCs w:val="23"/>
        </w:rPr>
        <w:t xml:space="preserve"> means each of the following foreign jurisdictions:</w:t>
      </w:r>
    </w:p>
    <w:p w14:paraId="5848551B" w14:textId="1D1FEA81" w:rsidR="007733F6" w:rsidRDefault="007733F6" w:rsidP="007733F6">
      <w:pPr>
        <w:pStyle w:val="LI-BodyTextNumbered"/>
        <w:tabs>
          <w:tab w:val="left" w:pos="1701"/>
        </w:tabs>
        <w:ind w:firstLine="0"/>
      </w:pPr>
      <w:r>
        <w:t xml:space="preserve">(a)  </w:t>
      </w:r>
      <w:r>
        <w:tab/>
        <w:t>People’s Republic of China;</w:t>
      </w:r>
    </w:p>
    <w:p w14:paraId="556AC968" w14:textId="35F2A5BF" w:rsidR="00D8574B" w:rsidRDefault="007733F6" w:rsidP="007733F6">
      <w:pPr>
        <w:pStyle w:val="LI-BodyTextNumbered"/>
        <w:tabs>
          <w:tab w:val="left" w:pos="1701"/>
        </w:tabs>
        <w:ind w:firstLine="0"/>
        <w:rPr>
          <w:b/>
          <w:i/>
          <w:sz w:val="23"/>
          <w:szCs w:val="23"/>
        </w:rPr>
      </w:pPr>
      <w:r>
        <w:t xml:space="preserve">(b)  </w:t>
      </w:r>
      <w:r>
        <w:tab/>
        <w:t>Saudi Arabia.</w:t>
      </w:r>
    </w:p>
    <w:p w14:paraId="53E6027B" w14:textId="77777777" w:rsidR="007733F6" w:rsidRDefault="007733F6" w:rsidP="00D8574B">
      <w:pPr>
        <w:pStyle w:val="Default"/>
        <w:ind w:left="1134"/>
        <w:rPr>
          <w:rFonts w:ascii="Times New Roman" w:hAnsi="Times New Roman" w:cs="Times New Roman"/>
          <w:b/>
          <w:i/>
          <w:sz w:val="23"/>
          <w:szCs w:val="23"/>
        </w:rPr>
      </w:pPr>
    </w:p>
    <w:p w14:paraId="7CBD8939" w14:textId="6B310DA9" w:rsidR="00D8574B" w:rsidRPr="001549D0" w:rsidRDefault="00D8574B" w:rsidP="00D8574B">
      <w:pPr>
        <w:pStyle w:val="Default"/>
        <w:ind w:left="1134"/>
        <w:rPr>
          <w:rFonts w:ascii="Times New Roman" w:hAnsi="Times New Roman" w:cs="Times New Roman"/>
          <w:i/>
          <w:sz w:val="23"/>
          <w:szCs w:val="23"/>
        </w:rPr>
      </w:pPr>
      <w:r w:rsidRPr="001549D0">
        <w:rPr>
          <w:rFonts w:ascii="Times New Roman" w:hAnsi="Times New Roman" w:cs="Times New Roman"/>
          <w:b/>
          <w:i/>
          <w:sz w:val="23"/>
          <w:szCs w:val="23"/>
        </w:rPr>
        <w:t xml:space="preserve">Rules </w:t>
      </w:r>
      <w:r w:rsidRPr="001549D0">
        <w:rPr>
          <w:rFonts w:ascii="Times New Roman" w:hAnsi="Times New Roman" w:cs="Times New Roman"/>
          <w:sz w:val="23"/>
          <w:szCs w:val="23"/>
        </w:rPr>
        <w:t xml:space="preserve">means the </w:t>
      </w:r>
      <w:r w:rsidRPr="001549D0">
        <w:rPr>
          <w:rFonts w:ascii="Times New Roman" w:hAnsi="Times New Roman" w:cs="Times New Roman"/>
          <w:i/>
          <w:sz w:val="23"/>
          <w:szCs w:val="23"/>
        </w:rPr>
        <w:t>ASIC Derivative Transaction Rules (Reporting) 2013.</w:t>
      </w:r>
    </w:p>
    <w:p w14:paraId="0E4645DF" w14:textId="77777777" w:rsidR="00D8574B" w:rsidRPr="001549D0" w:rsidRDefault="00D8574B" w:rsidP="00D8574B">
      <w:pPr>
        <w:pStyle w:val="Default"/>
        <w:ind w:left="1134"/>
        <w:rPr>
          <w:rFonts w:ascii="Times New Roman" w:hAnsi="Times New Roman" w:cs="Times New Roman"/>
          <w:b/>
          <w:i/>
          <w:sz w:val="23"/>
          <w:szCs w:val="23"/>
        </w:rPr>
      </w:pPr>
    </w:p>
    <w:p w14:paraId="38F340B9" w14:textId="77777777" w:rsidR="00D8574B" w:rsidRPr="001549D0" w:rsidRDefault="00D8574B" w:rsidP="00D8574B">
      <w:pPr>
        <w:pStyle w:val="Default"/>
        <w:ind w:left="1134"/>
        <w:rPr>
          <w:rFonts w:ascii="Times New Roman" w:hAnsi="Times New Roman" w:cs="Times New Roman"/>
          <w:sz w:val="23"/>
          <w:szCs w:val="23"/>
        </w:rPr>
      </w:pPr>
      <w:r w:rsidRPr="001549D0">
        <w:rPr>
          <w:rFonts w:ascii="Times New Roman" w:hAnsi="Times New Roman" w:cs="Times New Roman"/>
          <w:b/>
          <w:i/>
          <w:sz w:val="23"/>
          <w:szCs w:val="23"/>
        </w:rPr>
        <w:t>Swap Execution Facility</w:t>
      </w:r>
      <w:r w:rsidRPr="001549D0">
        <w:rPr>
          <w:rFonts w:ascii="Times New Roman" w:hAnsi="Times New Roman" w:cs="Times New Roman"/>
          <w:sz w:val="23"/>
          <w:szCs w:val="23"/>
        </w:rPr>
        <w:t xml:space="preserve"> means a ‘swap execution facility’ as defined in section 1a(50) of the</w:t>
      </w:r>
      <w:r w:rsidRPr="00E96F27">
        <w:rPr>
          <w:rFonts w:ascii="Times New Roman" w:hAnsi="Times New Roman" w:cs="Times New Roman"/>
          <w:i/>
          <w:sz w:val="23"/>
          <w:szCs w:val="23"/>
        </w:rPr>
        <w:t xml:space="preserve"> </w:t>
      </w:r>
      <w:r w:rsidRPr="001549D0">
        <w:rPr>
          <w:rFonts w:ascii="Times New Roman" w:hAnsi="Times New Roman" w:cs="Times New Roman"/>
          <w:i/>
          <w:sz w:val="23"/>
          <w:szCs w:val="23"/>
        </w:rPr>
        <w:t>Commodity Exchange Act 1936</w:t>
      </w:r>
      <w:r w:rsidRPr="001549D0">
        <w:rPr>
          <w:rFonts w:ascii="Times New Roman" w:hAnsi="Times New Roman" w:cs="Times New Roman"/>
          <w:sz w:val="23"/>
          <w:szCs w:val="23"/>
        </w:rPr>
        <w:t xml:space="preserve"> (US).</w:t>
      </w:r>
    </w:p>
    <w:p w14:paraId="6706C256" w14:textId="77777777" w:rsidR="00D8574B" w:rsidRPr="001549D0" w:rsidRDefault="00D8574B" w:rsidP="00D8574B">
      <w:pPr>
        <w:autoSpaceDE w:val="0"/>
        <w:autoSpaceDN w:val="0"/>
        <w:adjustRightInd w:val="0"/>
        <w:rPr>
          <w:color w:val="000000"/>
          <w:sz w:val="23"/>
          <w:szCs w:val="23"/>
          <w:lang w:eastAsia="en-AU"/>
        </w:rPr>
      </w:pPr>
    </w:p>
    <w:p w14:paraId="095A41E0" w14:textId="77777777" w:rsidR="0040053F" w:rsidRPr="00D8574B" w:rsidRDefault="00D8574B" w:rsidP="00D8574B">
      <w:pPr>
        <w:pStyle w:val="Default"/>
        <w:spacing w:after="120"/>
        <w:ind w:left="1134" w:hanging="567"/>
        <w:rPr>
          <w:rFonts w:ascii="Times New Roman" w:hAnsi="Times New Roman" w:cs="Times New Roman"/>
          <w:sz w:val="23"/>
          <w:szCs w:val="23"/>
        </w:rPr>
        <w:sectPr w:rsidR="0040053F" w:rsidRPr="00D8574B" w:rsidSect="007D230B">
          <w:headerReference w:type="even" r:id="rId23"/>
          <w:headerReference w:type="default" r:id="rId24"/>
          <w:footerReference w:type="even" r:id="rId25"/>
          <w:headerReference w:type="first" r:id="rId26"/>
          <w:footerReference w:type="first" r:id="rId27"/>
          <w:pgSz w:w="11907" w:h="16839" w:code="9"/>
          <w:pgMar w:top="1534" w:right="1797" w:bottom="1440" w:left="1797" w:header="720" w:footer="709" w:gutter="0"/>
          <w:cols w:space="708"/>
          <w:docGrid w:linePitch="360"/>
        </w:sectPr>
      </w:pPr>
      <w:r>
        <w:rPr>
          <w:rFonts w:ascii="Times New Roman" w:hAnsi="Times New Roman" w:cs="Times New Roman"/>
          <w:sz w:val="23"/>
          <w:szCs w:val="23"/>
        </w:rPr>
        <w:t>(2)</w:t>
      </w:r>
      <w:r>
        <w:rPr>
          <w:rFonts w:ascii="Times New Roman" w:hAnsi="Times New Roman" w:cs="Times New Roman"/>
          <w:sz w:val="23"/>
          <w:szCs w:val="23"/>
        </w:rPr>
        <w:tab/>
      </w:r>
      <w:r w:rsidRPr="001549D0">
        <w:rPr>
          <w:rFonts w:ascii="Times New Roman" w:hAnsi="Times New Roman" w:cs="Times New Roman"/>
          <w:sz w:val="23"/>
          <w:szCs w:val="23"/>
        </w:rPr>
        <w:t>In this instrument, unless otherwise specified, capitalised terms have the meaning given by the Rules.</w:t>
      </w:r>
    </w:p>
    <w:p w14:paraId="669DDFAD" w14:textId="77777777" w:rsidR="00FA31DE" w:rsidRPr="00F61B09" w:rsidRDefault="00FA31DE" w:rsidP="006554FF">
      <w:pPr>
        <w:pStyle w:val="LI-Heading1"/>
      </w:pPr>
      <w:bookmarkStart w:id="6" w:name="_Toc20409907"/>
      <w:r w:rsidRPr="006554FF">
        <w:lastRenderedPageBreak/>
        <w:t>Part</w:t>
      </w:r>
      <w:r w:rsidR="005D0489" w:rsidRPr="006554FF">
        <w:t xml:space="preserve"> </w:t>
      </w:r>
      <w:r w:rsidR="005D0489" w:rsidRPr="006E5320">
        <w:t>2</w:t>
      </w:r>
      <w:r w:rsidRPr="00F61B09">
        <w:t>—</w:t>
      </w:r>
      <w:r w:rsidR="0061133E">
        <w:t>Exemption</w:t>
      </w:r>
      <w:bookmarkEnd w:id="6"/>
    </w:p>
    <w:p w14:paraId="519ADD9E" w14:textId="77777777" w:rsidR="00FA31DE" w:rsidRPr="005D3D41" w:rsidRDefault="00FC3EB8" w:rsidP="00005446">
      <w:pPr>
        <w:pStyle w:val="LI-Heading2"/>
      </w:pPr>
      <w:bookmarkStart w:id="7" w:name="_Toc20409908"/>
      <w:r>
        <w:t>5</w:t>
      </w:r>
      <w:r>
        <w:tab/>
      </w:r>
      <w:r w:rsidR="00DA4981">
        <w:t>Exemption 1 (</w:t>
      </w:r>
      <w:r w:rsidR="0061133E">
        <w:t>Exchange-traded derivatives</w:t>
      </w:r>
      <w:r w:rsidR="00DA4981">
        <w:t>)</w:t>
      </w:r>
      <w:bookmarkEnd w:id="7"/>
    </w:p>
    <w:p w14:paraId="3D34D436" w14:textId="77777777" w:rsidR="00FA31DE" w:rsidRDefault="00B37859" w:rsidP="009D1818">
      <w:pPr>
        <w:pStyle w:val="LI-Heading3"/>
        <w:rPr>
          <w:sz w:val="24"/>
          <w:szCs w:val="24"/>
        </w:rPr>
      </w:pPr>
      <w:r>
        <w:rPr>
          <w:sz w:val="24"/>
          <w:szCs w:val="24"/>
        </w:rPr>
        <w:t>Relief</w:t>
      </w:r>
    </w:p>
    <w:p w14:paraId="2EBDDEFB" w14:textId="1DDAD960" w:rsidR="0061133E" w:rsidRDefault="00B37859" w:rsidP="0061133E">
      <w:pPr>
        <w:pStyle w:val="LI-BodyTextNumbered"/>
      </w:pPr>
      <w:r>
        <w:t>(1)</w:t>
      </w:r>
      <w:r>
        <w:tab/>
      </w:r>
      <w:r w:rsidR="0061133E">
        <w:t>From 1 October 2015 to 30 September 20</w:t>
      </w:r>
      <w:r w:rsidR="00B91C08">
        <w:t>20</w:t>
      </w:r>
      <w:r w:rsidR="0061133E">
        <w:t>, a Reporting Entity does not have to comply with Rule 2.2.1 of the Rules in relation to a Derivative (</w:t>
      </w:r>
      <w:r w:rsidR="0061133E" w:rsidRPr="0061133E">
        <w:rPr>
          <w:b/>
          <w:i/>
        </w:rPr>
        <w:t>Exchange-Traded Derivative</w:t>
      </w:r>
      <w:r w:rsidR="0061133E">
        <w:t>) where:</w:t>
      </w:r>
    </w:p>
    <w:p w14:paraId="603A656C" w14:textId="77777777" w:rsidR="00341F04" w:rsidRDefault="00341F04" w:rsidP="00341F04">
      <w:pPr>
        <w:pStyle w:val="LI-BodyTextNumbered"/>
        <w:ind w:left="1701"/>
      </w:pPr>
      <w:r>
        <w:rPr>
          <w:szCs w:val="20"/>
        </w:rPr>
        <w:t>(a)</w:t>
      </w:r>
      <w:r>
        <w:rPr>
          <w:szCs w:val="20"/>
        </w:rPr>
        <w:tab/>
        <w:t>the entry into of the arrangement that is the Derivative takes place on a financial market that is not operated in this jurisdiction and the following apply:</w:t>
      </w:r>
    </w:p>
    <w:p w14:paraId="3B51D8A5" w14:textId="77777777" w:rsidR="00341F04" w:rsidRDefault="00341F04" w:rsidP="00341F04">
      <w:pPr>
        <w:pStyle w:val="LI-BodyTextNumbered"/>
        <w:ind w:left="2268"/>
      </w:pPr>
      <w:r>
        <w:rPr>
          <w:iCs/>
          <w:color w:val="000000"/>
        </w:rPr>
        <w:t>(i)</w:t>
      </w:r>
      <w:r>
        <w:rPr>
          <w:iCs/>
          <w:color w:val="000000"/>
        </w:rPr>
        <w:tab/>
        <w:t>the entry into of the arrangement that is the Derivative is in accordance with the operating rules of the financial market;</w:t>
      </w:r>
    </w:p>
    <w:p w14:paraId="4DF107CF" w14:textId="77777777" w:rsidR="00341F04" w:rsidRDefault="00341F04" w:rsidP="00341F04">
      <w:pPr>
        <w:pStyle w:val="LI-BodyTextNumbered"/>
        <w:ind w:left="2268"/>
      </w:pPr>
      <w:r>
        <w:rPr>
          <w:iCs/>
          <w:color w:val="000000"/>
        </w:rPr>
        <w:t>(ii)</w:t>
      </w:r>
      <w:r>
        <w:rPr>
          <w:iCs/>
          <w:color w:val="000000"/>
        </w:rPr>
        <w:tab/>
        <w:t>the terms of the Derivative are documented under or prescribed by the operating rules of the financial market;</w:t>
      </w:r>
    </w:p>
    <w:p w14:paraId="32C5702F" w14:textId="77777777" w:rsidR="00341F04" w:rsidRDefault="00341F04" w:rsidP="00341F04">
      <w:pPr>
        <w:pStyle w:val="LI-BodyTextNumbered"/>
        <w:ind w:left="2268"/>
        <w:rPr>
          <w:rFonts w:eastAsia="Calibri"/>
          <w:iCs/>
          <w:lang w:eastAsia="en-US"/>
        </w:rPr>
      </w:pPr>
      <w:r>
        <w:rPr>
          <w:rFonts w:eastAsia="Calibri"/>
          <w:iCs/>
          <w:lang w:eastAsia="en-US"/>
        </w:rPr>
        <w:t>(iii)</w:t>
      </w:r>
      <w:r>
        <w:rPr>
          <w:rFonts w:eastAsia="Calibri"/>
          <w:iCs/>
          <w:lang w:eastAsia="en-US"/>
        </w:rPr>
        <w:tab/>
        <w:t>the Derivative is made available in one or more series in accordance with the operating rules of the financial market and the terms of the arrangement constituting the Derivative are the same as for every other Derivative in the same series, with the exception of price; or</w:t>
      </w:r>
    </w:p>
    <w:p w14:paraId="5B6D88B3" w14:textId="77777777" w:rsidR="00341F04" w:rsidRDefault="00341F04" w:rsidP="00341F04">
      <w:pPr>
        <w:pStyle w:val="LI-BodyTextNumbered"/>
        <w:ind w:left="1701"/>
      </w:pPr>
      <w:r>
        <w:rPr>
          <w:color w:val="000000"/>
        </w:rPr>
        <w:t>(b)</w:t>
      </w:r>
      <w:r>
        <w:rPr>
          <w:color w:val="000000"/>
        </w:rPr>
        <w:tab/>
        <w:t>the Derivative is:</w:t>
      </w:r>
    </w:p>
    <w:p w14:paraId="14221BC3" w14:textId="77777777" w:rsidR="00341F04" w:rsidRDefault="00341F04" w:rsidP="00341F04">
      <w:pPr>
        <w:pStyle w:val="LI-BodyTextNumbered"/>
        <w:ind w:left="2268"/>
      </w:pPr>
      <w:r>
        <w:rPr>
          <w:iCs/>
          <w:color w:val="000000"/>
        </w:rPr>
        <w:t>(i)</w:t>
      </w:r>
      <w:r>
        <w:rPr>
          <w:iCs/>
          <w:color w:val="000000"/>
        </w:rPr>
        <w:tab/>
        <w:t>able to be traded (within the meaning of section 761A of the Act) on a Relevant Financial Market; and</w:t>
      </w:r>
    </w:p>
    <w:p w14:paraId="77F88F89" w14:textId="6299360E" w:rsidR="00B37859" w:rsidRPr="00341F04" w:rsidRDefault="00341F04" w:rsidP="00341F04">
      <w:pPr>
        <w:pStyle w:val="LI-BodyTextNumbered"/>
        <w:ind w:left="2268"/>
        <w:rPr>
          <w:rFonts w:eastAsia="Calibri"/>
          <w:iCs/>
          <w:lang w:eastAsia="en-US"/>
        </w:rPr>
      </w:pPr>
      <w:r>
        <w:rPr>
          <w:rFonts w:eastAsia="Calibri"/>
          <w:iCs/>
          <w:lang w:eastAsia="en-US"/>
        </w:rPr>
        <w:t>(ii)</w:t>
      </w:r>
      <w:r>
        <w:rPr>
          <w:rFonts w:eastAsia="Calibri"/>
          <w:iCs/>
          <w:lang w:eastAsia="en-US"/>
        </w:rPr>
        <w:tab/>
        <w:t>the entry into of the arrangement that is the Derivative takes place on the Relevant Financial Market.</w:t>
      </w:r>
    </w:p>
    <w:p w14:paraId="15A7720F" w14:textId="77777777" w:rsidR="0061133E" w:rsidRDefault="0061133E" w:rsidP="0061133E">
      <w:pPr>
        <w:pStyle w:val="LI-Heading3"/>
        <w:ind w:left="1134" w:hanging="567"/>
        <w:rPr>
          <w:i w:val="0"/>
          <w:sz w:val="24"/>
          <w:szCs w:val="24"/>
        </w:rPr>
      </w:pPr>
      <w:r w:rsidRPr="0061133E">
        <w:rPr>
          <w:i w:val="0"/>
          <w:sz w:val="24"/>
          <w:szCs w:val="24"/>
        </w:rPr>
        <w:t>(2)</w:t>
      </w:r>
      <w:r w:rsidRPr="0061133E">
        <w:rPr>
          <w:i w:val="0"/>
          <w:sz w:val="24"/>
          <w:szCs w:val="24"/>
        </w:rPr>
        <w:tab/>
        <w:t>A Reporting Entity does not have to comply with subsection 907D(3) of the Act in relation to the condition in paragraph 7 of ASIC Instrument [14/0952].</w:t>
      </w:r>
    </w:p>
    <w:p w14:paraId="53CF6385" w14:textId="77777777" w:rsidR="00B37859" w:rsidRDefault="0061133E" w:rsidP="00B37859">
      <w:pPr>
        <w:pStyle w:val="LI-Heading3"/>
      </w:pPr>
      <w:r>
        <w:t>Condition</w:t>
      </w:r>
    </w:p>
    <w:p w14:paraId="5629B663" w14:textId="77777777" w:rsidR="0061133E" w:rsidRDefault="00B37859" w:rsidP="0061133E">
      <w:pPr>
        <w:pStyle w:val="LI-BodyTextNumbered"/>
      </w:pPr>
      <w:r>
        <w:t>(</w:t>
      </w:r>
      <w:r w:rsidR="00DA4981">
        <w:t>3</w:t>
      </w:r>
      <w:r>
        <w:t>)</w:t>
      </w:r>
      <w:r>
        <w:tab/>
      </w:r>
      <w:r w:rsidR="008F062C">
        <w:t>A</w:t>
      </w:r>
      <w:r w:rsidR="0061133E">
        <w:t xml:space="preserve"> Reporting Entity </w:t>
      </w:r>
      <w:r w:rsidR="008F062C">
        <w:t>that relies on the exemption in subsection (</w:t>
      </w:r>
      <w:r w:rsidR="0063243A">
        <w:t>1</w:t>
      </w:r>
      <w:r w:rsidR="008F062C">
        <w:t>) or (</w:t>
      </w:r>
      <w:r w:rsidR="0063243A">
        <w:t>2</w:t>
      </w:r>
      <w:r w:rsidR="008F062C">
        <w:t xml:space="preserve">) </w:t>
      </w:r>
      <w:r w:rsidR="0061133E">
        <w:t xml:space="preserve">must report in accordance with the Rules: </w:t>
      </w:r>
    </w:p>
    <w:p w14:paraId="1946E256" w14:textId="02454299" w:rsidR="0061133E" w:rsidRDefault="0061133E" w:rsidP="0061133E">
      <w:pPr>
        <w:pStyle w:val="LI-BodyTextNumbered"/>
        <w:ind w:left="1701"/>
      </w:pPr>
      <w:r>
        <w:t>(a)</w:t>
      </w:r>
      <w:r>
        <w:tab/>
        <w:t>information about each of its Reportable Transactions in an Exchange-Traded Derivative starting from no later than 1 October 20</w:t>
      </w:r>
      <w:r w:rsidR="00B91C08">
        <w:t>20</w:t>
      </w:r>
      <w:r>
        <w:t>; and</w:t>
      </w:r>
    </w:p>
    <w:p w14:paraId="4F65C612" w14:textId="17DAAFEC" w:rsidR="0061133E" w:rsidRDefault="0061133E" w:rsidP="0061133E">
      <w:pPr>
        <w:pStyle w:val="LI-BodyTextNumbered"/>
        <w:ind w:left="1701"/>
      </w:pPr>
      <w:r>
        <w:t>(b)</w:t>
      </w:r>
      <w:r>
        <w:tab/>
        <w:t>the Derivative Position Information set out in Part S2.2 of Schedule 2 of the Rules, about each of its outstanding positions in an Exchange-Traded Derivative as at 1 October 20</w:t>
      </w:r>
      <w:r w:rsidR="00B91C08">
        <w:t>20</w:t>
      </w:r>
      <w:r>
        <w:t xml:space="preserve"> or such earlier </w:t>
      </w:r>
      <w:r>
        <w:lastRenderedPageBreak/>
        <w:t>date as the Reporting Entity starts to report its Reportable Transactions in the Exchange-Traded Derivative.</w:t>
      </w:r>
    </w:p>
    <w:p w14:paraId="55F9C31D" w14:textId="77777777" w:rsidR="00341F04" w:rsidRDefault="00341F04" w:rsidP="00341F04">
      <w:pPr>
        <w:pStyle w:val="LI-BodyTextNumbered"/>
      </w:pPr>
      <w:r>
        <w:t>(3A)</w:t>
      </w:r>
      <w:r>
        <w:tab/>
        <w:t>Subject to subsection (3B), a Reporting Entity that relies on the exemption in paragraph (1)(a) in relation to a Derivative entered into on a financial market must, within 10 business days after entering into the Derivative, give ASIC a written notice (</w:t>
      </w:r>
      <w:r>
        <w:rPr>
          <w:b/>
          <w:i/>
        </w:rPr>
        <w:t>Opt-In Notice</w:t>
      </w:r>
      <w:r>
        <w:t>) containing the following information:</w:t>
      </w:r>
    </w:p>
    <w:p w14:paraId="69BF070D" w14:textId="77777777" w:rsidR="00341F04" w:rsidRDefault="00341F04" w:rsidP="00341F04">
      <w:pPr>
        <w:pStyle w:val="LI-BodyTextParaa"/>
        <w:rPr>
          <w:rFonts w:eastAsia="Calibri"/>
        </w:rPr>
      </w:pPr>
      <w:r>
        <w:rPr>
          <w:rFonts w:eastAsia="Calibri"/>
        </w:rPr>
        <w:t>(a)</w:t>
      </w:r>
      <w:r>
        <w:rPr>
          <w:rFonts w:eastAsia="Calibri"/>
        </w:rPr>
        <w:tab/>
        <w:t xml:space="preserve">the name of the Reporting Entity; </w:t>
      </w:r>
    </w:p>
    <w:p w14:paraId="607E5D8E" w14:textId="77777777" w:rsidR="00341F04" w:rsidRDefault="00341F04" w:rsidP="00341F04">
      <w:pPr>
        <w:pStyle w:val="LI-BodyTextParaa"/>
        <w:rPr>
          <w:rFonts w:eastAsia="Calibri"/>
        </w:rPr>
      </w:pPr>
      <w:r>
        <w:rPr>
          <w:rFonts w:eastAsia="Calibri"/>
        </w:rPr>
        <w:t>(b)</w:t>
      </w:r>
      <w:r>
        <w:rPr>
          <w:rFonts w:eastAsia="Calibri"/>
        </w:rPr>
        <w:tab/>
        <w:t xml:space="preserve">the name of the financial market; </w:t>
      </w:r>
    </w:p>
    <w:p w14:paraId="6AD7F6A3" w14:textId="77777777" w:rsidR="00341F04" w:rsidRDefault="00341F04" w:rsidP="00341F04">
      <w:pPr>
        <w:pStyle w:val="LI-BodyTextParaa"/>
        <w:rPr>
          <w:rFonts w:eastAsia="Calibri"/>
        </w:rPr>
      </w:pPr>
      <w:r>
        <w:rPr>
          <w:rFonts w:eastAsia="Calibri"/>
        </w:rPr>
        <w:t>(c)</w:t>
      </w:r>
      <w:r>
        <w:rPr>
          <w:rFonts w:eastAsia="Calibri"/>
        </w:rPr>
        <w:tab/>
        <w:t xml:space="preserve">the Market Identifier Code (MIC) issued in accordance with ISO 10383:2012 for the financial market; </w:t>
      </w:r>
    </w:p>
    <w:p w14:paraId="7A1DB430" w14:textId="77777777" w:rsidR="00341F04" w:rsidRDefault="00341F04" w:rsidP="00341F04">
      <w:pPr>
        <w:pStyle w:val="LI-BodyTextParaa"/>
        <w:rPr>
          <w:rFonts w:eastAsia="Calibri"/>
        </w:rPr>
      </w:pPr>
      <w:r>
        <w:rPr>
          <w:rFonts w:eastAsia="Calibri"/>
        </w:rPr>
        <w:t>(d)</w:t>
      </w:r>
      <w:r>
        <w:rPr>
          <w:rFonts w:eastAsia="Calibri"/>
        </w:rPr>
        <w:tab/>
        <w:t>the date the Reporting Entity entered into the Derivative.</w:t>
      </w:r>
    </w:p>
    <w:p w14:paraId="609681B5" w14:textId="77777777" w:rsidR="00341F04" w:rsidRDefault="00341F04" w:rsidP="00341F04">
      <w:pPr>
        <w:pStyle w:val="LI-BodyTextNumbered"/>
        <w:rPr>
          <w:rFonts w:eastAsia="Calibri"/>
        </w:rPr>
      </w:pPr>
      <w:r>
        <w:rPr>
          <w:rFonts w:eastAsia="Calibri"/>
        </w:rPr>
        <w:t xml:space="preserve">(3B)  The condition in subsection (3A) does not apply to a Reporting Entity in relation to a financial market if: </w:t>
      </w:r>
    </w:p>
    <w:p w14:paraId="08FAE8BB" w14:textId="77777777" w:rsidR="00341F04" w:rsidRDefault="00341F04" w:rsidP="00341F04">
      <w:pPr>
        <w:pStyle w:val="LI-BodyTextParaa"/>
        <w:rPr>
          <w:rFonts w:eastAsia="Calibri"/>
        </w:rPr>
      </w:pPr>
      <w:r>
        <w:rPr>
          <w:rFonts w:eastAsia="Calibri"/>
        </w:rPr>
        <w:t>(a)</w:t>
      </w:r>
      <w:r>
        <w:rPr>
          <w:rFonts w:eastAsia="Calibri"/>
        </w:rPr>
        <w:tab/>
        <w:t xml:space="preserve">the Reporting Entity has previously given ASIC an Opt-in Notice in relation to the financial market: or </w:t>
      </w:r>
    </w:p>
    <w:p w14:paraId="1CBEF799" w14:textId="77777777" w:rsidR="00341F04" w:rsidRDefault="00341F04" w:rsidP="00341F04">
      <w:pPr>
        <w:pStyle w:val="LI-BodyTextParaa"/>
        <w:rPr>
          <w:rFonts w:eastAsia="Calibri"/>
        </w:rPr>
      </w:pPr>
      <w:r>
        <w:rPr>
          <w:rFonts w:eastAsia="Calibri"/>
        </w:rPr>
        <w:t>(b)</w:t>
      </w:r>
      <w:r>
        <w:rPr>
          <w:rFonts w:eastAsia="Calibri"/>
        </w:rPr>
        <w:tab/>
        <w:t xml:space="preserve">the financial market is: </w:t>
      </w:r>
    </w:p>
    <w:p w14:paraId="652D5BC2" w14:textId="77777777" w:rsidR="00341F04" w:rsidRDefault="00341F04" w:rsidP="00341F04">
      <w:pPr>
        <w:pStyle w:val="LI-BodyTextSubparai"/>
        <w:rPr>
          <w:rFonts w:eastAsia="Calibri"/>
        </w:rPr>
      </w:pPr>
      <w:r>
        <w:rPr>
          <w:rFonts w:eastAsia="Calibri"/>
        </w:rPr>
        <w:t>(i)</w:t>
      </w:r>
      <w:r>
        <w:rPr>
          <w:rFonts w:eastAsia="Calibri"/>
        </w:rPr>
        <w:tab/>
        <w:t xml:space="preserve">a Relevant Financial Market; or </w:t>
      </w:r>
    </w:p>
    <w:p w14:paraId="1825FDA4" w14:textId="77777777" w:rsidR="00341F04" w:rsidRDefault="00341F04" w:rsidP="00341F04">
      <w:pPr>
        <w:pStyle w:val="LI-BodyTextSubparai"/>
        <w:rPr>
          <w:rFonts w:eastAsia="Calibri"/>
        </w:rPr>
      </w:pPr>
      <w:r>
        <w:rPr>
          <w:rFonts w:eastAsia="Calibri"/>
        </w:rPr>
        <w:t>(ii)</w:t>
      </w:r>
      <w:r>
        <w:rPr>
          <w:rFonts w:eastAsia="Calibri"/>
        </w:rPr>
        <w:tab/>
        <w:t>a Regulated Foreign Market for the purposes of the Rules.</w:t>
      </w:r>
    </w:p>
    <w:p w14:paraId="04804018" w14:textId="77777777" w:rsidR="00341F04" w:rsidRDefault="00341F04" w:rsidP="00341F04">
      <w:pPr>
        <w:pStyle w:val="LI-BodyTextNumbered"/>
        <w:rPr>
          <w:rFonts w:eastAsia="Calibri"/>
        </w:rPr>
      </w:pPr>
      <w:r>
        <w:rPr>
          <w:rFonts w:eastAsia="Calibri"/>
        </w:rPr>
        <w:t>(3C)</w:t>
      </w:r>
      <w:r>
        <w:rPr>
          <w:rFonts w:eastAsia="Calibri"/>
        </w:rPr>
        <w:tab/>
        <w:t xml:space="preserve">In this section: </w:t>
      </w:r>
    </w:p>
    <w:p w14:paraId="39D42621" w14:textId="47277F15" w:rsidR="00341F04" w:rsidRDefault="00341F04" w:rsidP="00341F04">
      <w:pPr>
        <w:pStyle w:val="LI-BodyTextNumbered"/>
        <w:ind w:firstLine="0"/>
        <w:rPr>
          <w:i/>
        </w:rPr>
      </w:pPr>
      <w:r w:rsidRPr="00341F04">
        <w:rPr>
          <w:rStyle w:val="LI-BodyTextUnnumberedChar"/>
          <w:b/>
          <w:i/>
        </w:rPr>
        <w:t>ISO 10383:2012</w:t>
      </w:r>
      <w:r w:rsidRPr="00341F04">
        <w:rPr>
          <w:rStyle w:val="LI-BodyTextUnnumberedChar"/>
        </w:rPr>
        <w:t xml:space="preserve"> means ISO 10383:2012 </w:t>
      </w:r>
      <w:r w:rsidRPr="00341F04">
        <w:rPr>
          <w:rStyle w:val="LI-BodyTextUnnumberedChar"/>
          <w:i/>
        </w:rPr>
        <w:t>Securities and related financial instruments—Codes for exchanges and market identification (MIC)</w:t>
      </w:r>
      <w:r w:rsidRPr="00341F04">
        <w:rPr>
          <w:rStyle w:val="LI-BodyTextUnnumberedChar"/>
        </w:rPr>
        <w:t xml:space="preserve"> published by the International Organisation for Standardization as in force on the date of this instrument</w:t>
      </w:r>
      <w:r>
        <w:rPr>
          <w:iCs/>
        </w:rPr>
        <w:t>.</w:t>
      </w:r>
    </w:p>
    <w:p w14:paraId="0E6C8FA9" w14:textId="09D48A8E" w:rsidR="0061133E" w:rsidRPr="0061133E" w:rsidRDefault="0061133E" w:rsidP="0061133E">
      <w:pPr>
        <w:pStyle w:val="LI-BodyTextNumbered"/>
        <w:rPr>
          <w:i/>
        </w:rPr>
      </w:pPr>
      <w:r w:rsidRPr="0061133E">
        <w:rPr>
          <w:i/>
        </w:rPr>
        <w:t>Meaning of Relevant Financial Market</w:t>
      </w:r>
    </w:p>
    <w:p w14:paraId="75D0082E" w14:textId="77777777" w:rsidR="00DA4981" w:rsidRDefault="00DA4981" w:rsidP="00DA4981">
      <w:pPr>
        <w:pStyle w:val="LI-BodyTextNumbered"/>
      </w:pPr>
      <w:r>
        <w:t>(4)</w:t>
      </w:r>
      <w:r>
        <w:tab/>
        <w:t xml:space="preserve">For the purposes of the exemption in </w:t>
      </w:r>
      <w:r w:rsidR="008F062C">
        <w:t>subsection (1</w:t>
      </w:r>
      <w:r>
        <w:t xml:space="preserve">), and subject to subsection (5), each of the following financial markets is a </w:t>
      </w:r>
      <w:r w:rsidRPr="0063243A">
        <w:rPr>
          <w:b/>
          <w:i/>
        </w:rPr>
        <w:t>Relevant Financial Market</w:t>
      </w:r>
      <w:r>
        <w:t xml:space="preserve">: </w:t>
      </w:r>
    </w:p>
    <w:p w14:paraId="48D6B8FB" w14:textId="77777777" w:rsidR="00DA4981" w:rsidRDefault="00DA4981" w:rsidP="00DA4981">
      <w:pPr>
        <w:pStyle w:val="LI-BodyTextNumbered"/>
        <w:ind w:left="1701"/>
      </w:pPr>
      <w:r>
        <w:t>(a)</w:t>
      </w:r>
      <w:r>
        <w:tab/>
        <w:t>BATS Options;</w:t>
      </w:r>
    </w:p>
    <w:p w14:paraId="70836127" w14:textId="77777777" w:rsidR="00DA4981" w:rsidRDefault="00DA4981" w:rsidP="00DA4981">
      <w:pPr>
        <w:pStyle w:val="LI-BodyTextNumbered"/>
        <w:ind w:left="1701"/>
      </w:pPr>
      <w:r>
        <w:t>(b)</w:t>
      </w:r>
      <w:r>
        <w:tab/>
        <w:t>Borsa Istanbul;</w:t>
      </w:r>
    </w:p>
    <w:p w14:paraId="7B330B8D" w14:textId="77777777" w:rsidR="00DA4981" w:rsidRDefault="00DA4981" w:rsidP="00DA4981">
      <w:pPr>
        <w:pStyle w:val="LI-BodyTextNumbered"/>
        <w:ind w:left="1701"/>
      </w:pPr>
      <w:r>
        <w:t>(c)</w:t>
      </w:r>
      <w:r>
        <w:tab/>
        <w:t>Boston Options Exchange;</w:t>
      </w:r>
    </w:p>
    <w:p w14:paraId="704F201F" w14:textId="77777777" w:rsidR="00DA4981" w:rsidRDefault="00DA4981" w:rsidP="00DA4981">
      <w:pPr>
        <w:pStyle w:val="LI-BodyTextNumbered"/>
        <w:ind w:left="1701"/>
      </w:pPr>
      <w:r>
        <w:t>(d)</w:t>
      </w:r>
      <w:r>
        <w:tab/>
        <w:t>BSE Limited (Bombay Stock Exchange);</w:t>
      </w:r>
    </w:p>
    <w:p w14:paraId="269047DD" w14:textId="77777777" w:rsidR="00DA4981" w:rsidRDefault="00DA4981" w:rsidP="00DA4981">
      <w:pPr>
        <w:pStyle w:val="LI-BodyTextNumbered"/>
        <w:ind w:left="1701"/>
      </w:pPr>
      <w:r>
        <w:t>(e)</w:t>
      </w:r>
      <w:r>
        <w:tab/>
        <w:t>Bursa Malaysia - Bursa Malaysia Derivatives;</w:t>
      </w:r>
    </w:p>
    <w:p w14:paraId="0821B3D8" w14:textId="77777777" w:rsidR="00DA4981" w:rsidRDefault="00DA4981" w:rsidP="00DA4981">
      <w:pPr>
        <w:pStyle w:val="LI-BodyTextNumbered"/>
        <w:ind w:left="1701"/>
      </w:pPr>
      <w:r>
        <w:lastRenderedPageBreak/>
        <w:t>(f)</w:t>
      </w:r>
      <w:r>
        <w:tab/>
        <w:t>CEGH Gas Exchange of Vienna Stock Exchange;</w:t>
      </w:r>
    </w:p>
    <w:p w14:paraId="0FFD0EAF" w14:textId="77777777" w:rsidR="00DA4981" w:rsidRDefault="00DA4981" w:rsidP="00DA4981">
      <w:pPr>
        <w:pStyle w:val="LI-BodyTextNumbered"/>
        <w:ind w:left="1701"/>
      </w:pPr>
      <w:r>
        <w:t>(g)</w:t>
      </w:r>
      <w:r>
        <w:tab/>
        <w:t>Chicago Climate Futures Exchange;</w:t>
      </w:r>
    </w:p>
    <w:p w14:paraId="7A28FF4D" w14:textId="77777777" w:rsidR="00DA4981" w:rsidRDefault="00DA4981" w:rsidP="00DA4981">
      <w:pPr>
        <w:pStyle w:val="LI-BodyTextNumbered"/>
        <w:ind w:left="1701"/>
      </w:pPr>
      <w:r>
        <w:t>(h)</w:t>
      </w:r>
      <w:r>
        <w:tab/>
        <w:t>Chicago Mercantile Exchange;</w:t>
      </w:r>
    </w:p>
    <w:p w14:paraId="11D721DD" w14:textId="77777777" w:rsidR="00DA4981" w:rsidRDefault="00DA4981" w:rsidP="00DA4981">
      <w:pPr>
        <w:pStyle w:val="LI-BodyTextNumbered"/>
        <w:ind w:left="1701"/>
      </w:pPr>
      <w:r>
        <w:t>(i)</w:t>
      </w:r>
      <w:r>
        <w:tab/>
        <w:t>China Financial Futures Exchange;</w:t>
      </w:r>
    </w:p>
    <w:p w14:paraId="053ADC8D" w14:textId="77777777" w:rsidR="00DA4981" w:rsidRDefault="00DA4981" w:rsidP="00DA4981">
      <w:pPr>
        <w:pStyle w:val="LI-BodyTextNumbered"/>
        <w:ind w:left="1701"/>
      </w:pPr>
      <w:r>
        <w:t>(j)</w:t>
      </w:r>
      <w:r>
        <w:tab/>
        <w:t>Dalian Commodities Exchange;</w:t>
      </w:r>
    </w:p>
    <w:p w14:paraId="3E2BC8B7" w14:textId="77777777" w:rsidR="00DA4981" w:rsidRDefault="00DA4981" w:rsidP="00DA4981">
      <w:pPr>
        <w:pStyle w:val="LI-BodyTextNumbered"/>
        <w:ind w:left="1701"/>
      </w:pPr>
      <w:r>
        <w:t>(k)</w:t>
      </w:r>
      <w:r>
        <w:tab/>
        <w:t>Dubai Gold &amp; Commodities Exchange;</w:t>
      </w:r>
    </w:p>
    <w:p w14:paraId="30BFF6DD" w14:textId="77777777" w:rsidR="00DA4981" w:rsidRDefault="00DA4981" w:rsidP="00DA4981">
      <w:pPr>
        <w:pStyle w:val="LI-BodyTextNumbered"/>
        <w:ind w:left="1701"/>
      </w:pPr>
      <w:r>
        <w:t>(l)</w:t>
      </w:r>
      <w:r>
        <w:tab/>
        <w:t>Dubai Mercantile Exchange;</w:t>
      </w:r>
    </w:p>
    <w:p w14:paraId="4F6E42B8" w14:textId="77777777" w:rsidR="00DA4981" w:rsidRDefault="00DA4981" w:rsidP="00DA4981">
      <w:pPr>
        <w:pStyle w:val="LI-BodyTextNumbered"/>
        <w:ind w:left="1701"/>
      </w:pPr>
      <w:r>
        <w:t>(m)</w:t>
      </w:r>
      <w:r>
        <w:tab/>
        <w:t>EDGX Exchange, Inc;</w:t>
      </w:r>
    </w:p>
    <w:p w14:paraId="54025CCB" w14:textId="77777777" w:rsidR="00DA4981" w:rsidRDefault="00DA4981" w:rsidP="00DA4981">
      <w:pPr>
        <w:pStyle w:val="LI-BodyTextNumbered"/>
        <w:ind w:left="1701"/>
      </w:pPr>
      <w:r>
        <w:t>(n)</w:t>
      </w:r>
      <w:r>
        <w:tab/>
        <w:t>Electronic Liquidity Exchange operated by ELX Futures LP;</w:t>
      </w:r>
    </w:p>
    <w:p w14:paraId="79AEAA50" w14:textId="77777777" w:rsidR="00DA4981" w:rsidRDefault="00DA4981" w:rsidP="00DA4981">
      <w:pPr>
        <w:pStyle w:val="LI-BodyTextNumbered"/>
        <w:ind w:left="1701"/>
      </w:pPr>
      <w:r>
        <w:t>(o)</w:t>
      </w:r>
      <w:r>
        <w:tab/>
        <w:t>EPEX Spot SE;</w:t>
      </w:r>
    </w:p>
    <w:p w14:paraId="3CC8C5B6" w14:textId="77777777" w:rsidR="00DA4981" w:rsidRDefault="00DA4981" w:rsidP="00DA4981">
      <w:pPr>
        <w:pStyle w:val="LI-BodyTextNumbered"/>
        <w:ind w:left="1701"/>
      </w:pPr>
      <w:r>
        <w:t>(p)</w:t>
      </w:r>
      <w:r>
        <w:tab/>
        <w:t>European Climate Exchange;</w:t>
      </w:r>
    </w:p>
    <w:p w14:paraId="7D559A53" w14:textId="77777777" w:rsidR="00DA4981" w:rsidRDefault="00DA4981" w:rsidP="005353CB">
      <w:pPr>
        <w:pStyle w:val="LI-BodyTextNumbered"/>
        <w:ind w:left="1701"/>
      </w:pPr>
      <w:r>
        <w:t>(q)</w:t>
      </w:r>
      <w:r>
        <w:tab/>
        <w:t>European Energy Exchange;</w:t>
      </w:r>
    </w:p>
    <w:p w14:paraId="580E5FBB" w14:textId="77777777" w:rsidR="00DA4981" w:rsidRDefault="00DA4981" w:rsidP="00DA4981">
      <w:pPr>
        <w:pStyle w:val="LI-BodyTextNumbered"/>
        <w:ind w:left="1701"/>
      </w:pPr>
      <w:r>
        <w:t>(</w:t>
      </w:r>
      <w:r w:rsidR="00DF189C">
        <w:t>r</w:t>
      </w:r>
      <w:r>
        <w:t>)</w:t>
      </w:r>
      <w:r>
        <w:tab/>
        <w:t>European Exchange;</w:t>
      </w:r>
    </w:p>
    <w:p w14:paraId="3A7B7342" w14:textId="77777777" w:rsidR="00DA4981" w:rsidRDefault="00DA4981" w:rsidP="00DA4981">
      <w:pPr>
        <w:pStyle w:val="LI-BodyTextNumbered"/>
        <w:ind w:left="1701"/>
      </w:pPr>
      <w:r>
        <w:t>(</w:t>
      </w:r>
      <w:r w:rsidR="00DF189C">
        <w:t>s</w:t>
      </w:r>
      <w:r>
        <w:t>)</w:t>
      </w:r>
      <w:r>
        <w:tab/>
        <w:t>Hong Kong Exchange &amp; Clearing Ltd;</w:t>
      </w:r>
    </w:p>
    <w:p w14:paraId="2D017B27" w14:textId="77777777" w:rsidR="00DA4981" w:rsidRDefault="00DA4981" w:rsidP="00DA4981">
      <w:pPr>
        <w:pStyle w:val="LI-BodyTextNumbered"/>
        <w:ind w:left="1701"/>
      </w:pPr>
      <w:r>
        <w:t>(</w:t>
      </w:r>
      <w:r w:rsidR="00DF189C">
        <w:t>t</w:t>
      </w:r>
      <w:r>
        <w:t>)</w:t>
      </w:r>
      <w:r>
        <w:tab/>
        <w:t xml:space="preserve">HUPX Ltd Hungarian Power Exchange; </w:t>
      </w:r>
    </w:p>
    <w:p w14:paraId="2CDE4848" w14:textId="77777777" w:rsidR="00DA4981" w:rsidRDefault="00DA4981" w:rsidP="00DA4981">
      <w:pPr>
        <w:pStyle w:val="LI-BodyTextNumbered"/>
        <w:ind w:left="1701"/>
      </w:pPr>
      <w:r>
        <w:t>(</w:t>
      </w:r>
      <w:r w:rsidR="00DF189C">
        <w:t>u</w:t>
      </w:r>
      <w:r>
        <w:t>)</w:t>
      </w:r>
      <w:r>
        <w:tab/>
        <w:t>ICE Endex;</w:t>
      </w:r>
    </w:p>
    <w:p w14:paraId="6687C613" w14:textId="77777777" w:rsidR="00DA4981" w:rsidRDefault="00DA4981" w:rsidP="00DA4981">
      <w:pPr>
        <w:pStyle w:val="LI-BodyTextNumbered"/>
        <w:ind w:left="1701"/>
      </w:pPr>
      <w:r>
        <w:t>(</w:t>
      </w:r>
      <w:r w:rsidR="00DF189C">
        <w:t>v</w:t>
      </w:r>
      <w:r>
        <w:t>)</w:t>
      </w:r>
      <w:r>
        <w:tab/>
        <w:t>Jakarta Futures Exchange;</w:t>
      </w:r>
    </w:p>
    <w:p w14:paraId="01C6B188" w14:textId="77777777" w:rsidR="00DA4981" w:rsidRDefault="00DA4981" w:rsidP="00DA4981">
      <w:pPr>
        <w:pStyle w:val="LI-BodyTextNumbered"/>
        <w:ind w:left="1701"/>
      </w:pPr>
      <w:r>
        <w:t>(</w:t>
      </w:r>
      <w:r w:rsidR="00DF189C">
        <w:t>w</w:t>
      </w:r>
      <w:r>
        <w:t>)</w:t>
      </w:r>
      <w:r>
        <w:tab/>
        <w:t>Johannesberg Stock Exchange;</w:t>
      </w:r>
    </w:p>
    <w:p w14:paraId="3E954DBA" w14:textId="77777777" w:rsidR="00DA4981" w:rsidRDefault="00DA4981" w:rsidP="00DA4981">
      <w:pPr>
        <w:pStyle w:val="LI-BodyTextNumbered"/>
        <w:ind w:left="1701"/>
      </w:pPr>
      <w:r>
        <w:t>(</w:t>
      </w:r>
      <w:r w:rsidR="00DF189C">
        <w:t>x</w:t>
      </w:r>
      <w:r>
        <w:t>)</w:t>
      </w:r>
      <w:r>
        <w:tab/>
        <w:t>Korea Exchange;</w:t>
      </w:r>
    </w:p>
    <w:p w14:paraId="00D3AF92" w14:textId="77777777" w:rsidR="00DA4981" w:rsidRDefault="00DA4981" w:rsidP="00DA4981">
      <w:pPr>
        <w:pStyle w:val="LI-BodyTextNumbered"/>
        <w:ind w:left="1701"/>
      </w:pPr>
      <w:r>
        <w:t>(</w:t>
      </w:r>
      <w:r w:rsidR="00DF189C">
        <w:t>y</w:t>
      </w:r>
      <w:r>
        <w:t>)</w:t>
      </w:r>
      <w:r>
        <w:tab/>
        <w:t>LSE Derivatives Market;</w:t>
      </w:r>
    </w:p>
    <w:p w14:paraId="540313BC" w14:textId="77777777" w:rsidR="00DA4981" w:rsidRDefault="00DA4981" w:rsidP="00DA4981">
      <w:pPr>
        <w:pStyle w:val="LI-BodyTextNumbered"/>
        <w:ind w:left="1701"/>
      </w:pPr>
      <w:r>
        <w:t>(</w:t>
      </w:r>
      <w:r w:rsidR="005353CB">
        <w:t>z</w:t>
      </w:r>
      <w:r>
        <w:t>)</w:t>
      </w:r>
      <w:r>
        <w:tab/>
        <w:t>Mexican Derivatives Exchange;</w:t>
      </w:r>
    </w:p>
    <w:p w14:paraId="1518E6C5" w14:textId="77777777" w:rsidR="00DA4981" w:rsidRDefault="00DA4981" w:rsidP="00DA4981">
      <w:pPr>
        <w:pStyle w:val="LI-BodyTextNumbered"/>
        <w:ind w:left="1701"/>
      </w:pPr>
      <w:r>
        <w:t>(</w:t>
      </w:r>
      <w:r w:rsidR="00DF189C">
        <w:t>aa</w:t>
      </w:r>
      <w:r>
        <w:t>)</w:t>
      </w:r>
      <w:r>
        <w:tab/>
        <w:t>Minneapolis Grain Exchange;</w:t>
      </w:r>
    </w:p>
    <w:p w14:paraId="7759DFD7" w14:textId="77777777" w:rsidR="00DA4981" w:rsidRDefault="00DA4981" w:rsidP="00DA4981">
      <w:pPr>
        <w:pStyle w:val="LI-BodyTextNumbered"/>
        <w:ind w:left="1701"/>
      </w:pPr>
      <w:r>
        <w:t>(</w:t>
      </w:r>
      <w:r w:rsidR="00DF189C">
        <w:t>bb</w:t>
      </w:r>
      <w:r>
        <w:t>)</w:t>
      </w:r>
      <w:r>
        <w:tab/>
        <w:t>Montreal Climate Exchange;</w:t>
      </w:r>
    </w:p>
    <w:p w14:paraId="4DED37DC" w14:textId="77777777" w:rsidR="00DA4981" w:rsidRDefault="00DA4981" w:rsidP="00DA4981">
      <w:pPr>
        <w:pStyle w:val="LI-BodyTextNumbered"/>
        <w:ind w:left="1701"/>
      </w:pPr>
      <w:r>
        <w:t>(</w:t>
      </w:r>
      <w:r w:rsidR="00DF189C">
        <w:t>cc</w:t>
      </w:r>
      <w:r>
        <w:t>)</w:t>
      </w:r>
      <w:r>
        <w:tab/>
        <w:t>Montreal Exchange;</w:t>
      </w:r>
    </w:p>
    <w:p w14:paraId="2084DD66" w14:textId="77777777" w:rsidR="00DA4981" w:rsidRDefault="00DA4981" w:rsidP="00DA4981">
      <w:pPr>
        <w:pStyle w:val="LI-BodyTextNumbered"/>
        <w:ind w:left="1701"/>
      </w:pPr>
      <w:r>
        <w:t>(</w:t>
      </w:r>
      <w:r w:rsidR="00DF189C">
        <w:t>dd</w:t>
      </w:r>
      <w:r>
        <w:t>)</w:t>
      </w:r>
      <w:r>
        <w:tab/>
        <w:t>Moscow Exchange MICEX-RTS (Moscow Exchange);</w:t>
      </w:r>
    </w:p>
    <w:p w14:paraId="242E49CE" w14:textId="77777777" w:rsidR="00DA4981" w:rsidRDefault="00DA4981" w:rsidP="00DA4981">
      <w:pPr>
        <w:pStyle w:val="LI-BodyTextNumbered"/>
        <w:ind w:left="1701"/>
      </w:pPr>
      <w:r>
        <w:t>(</w:t>
      </w:r>
      <w:r w:rsidR="00DF189C">
        <w:t>ee</w:t>
      </w:r>
      <w:r>
        <w:t>)</w:t>
      </w:r>
      <w:r>
        <w:tab/>
        <w:t xml:space="preserve">Moscow Stock Exchange; </w:t>
      </w:r>
    </w:p>
    <w:p w14:paraId="1ED21CB5" w14:textId="77777777" w:rsidR="00DA4981" w:rsidRDefault="00DA4981" w:rsidP="00DA4981">
      <w:pPr>
        <w:pStyle w:val="LI-BodyTextNumbered"/>
        <w:ind w:left="1701"/>
      </w:pPr>
      <w:r>
        <w:t>(</w:t>
      </w:r>
      <w:r w:rsidR="00DF189C">
        <w:t>ff</w:t>
      </w:r>
      <w:r>
        <w:t>)</w:t>
      </w:r>
      <w:r>
        <w:tab/>
        <w:t xml:space="preserve">NASDAQ OMX Armenia; </w:t>
      </w:r>
    </w:p>
    <w:p w14:paraId="7DA4206B" w14:textId="77777777" w:rsidR="00DA4981" w:rsidRDefault="00DA4981" w:rsidP="00DA4981">
      <w:pPr>
        <w:pStyle w:val="LI-BodyTextNumbered"/>
        <w:ind w:left="1701"/>
      </w:pPr>
      <w:r>
        <w:lastRenderedPageBreak/>
        <w:t>(</w:t>
      </w:r>
      <w:r w:rsidR="00DF189C">
        <w:t>gg</w:t>
      </w:r>
      <w:r>
        <w:t>)</w:t>
      </w:r>
      <w:r>
        <w:tab/>
        <w:t>NASDAQ OMX Iceland;</w:t>
      </w:r>
    </w:p>
    <w:p w14:paraId="1C7CB2D1" w14:textId="77777777" w:rsidR="00DA4981" w:rsidRDefault="00DA4981" w:rsidP="00DA4981">
      <w:pPr>
        <w:pStyle w:val="LI-BodyTextNumbered"/>
        <w:ind w:left="1701"/>
      </w:pPr>
      <w:r>
        <w:t>(</w:t>
      </w:r>
      <w:r w:rsidR="00DF189C">
        <w:t>hh</w:t>
      </w:r>
      <w:r>
        <w:t>)</w:t>
      </w:r>
      <w:r>
        <w:tab/>
        <w:t>NASDAQ OMX NLX;</w:t>
      </w:r>
    </w:p>
    <w:p w14:paraId="76E4BED5" w14:textId="77777777" w:rsidR="00DA4981" w:rsidRDefault="00DA4981" w:rsidP="00DA4981">
      <w:pPr>
        <w:pStyle w:val="LI-BodyTextNumbered"/>
        <w:ind w:left="1701"/>
      </w:pPr>
      <w:r>
        <w:t>(</w:t>
      </w:r>
      <w:r w:rsidR="00DF189C">
        <w:t>ii</w:t>
      </w:r>
      <w:r>
        <w:t>)</w:t>
      </w:r>
      <w:r>
        <w:tab/>
        <w:t>National Stock Exchange of India;</w:t>
      </w:r>
    </w:p>
    <w:p w14:paraId="4079F973" w14:textId="77777777" w:rsidR="00DA4981" w:rsidRDefault="00DA4981" w:rsidP="00DA4981">
      <w:pPr>
        <w:pStyle w:val="LI-BodyTextNumbered"/>
        <w:ind w:left="1701"/>
      </w:pPr>
      <w:r>
        <w:t>(</w:t>
      </w:r>
      <w:r w:rsidR="00DF189C">
        <w:t>jj</w:t>
      </w:r>
      <w:r>
        <w:t>)</w:t>
      </w:r>
      <w:r>
        <w:tab/>
        <w:t>New York Mercantile Exchange;</w:t>
      </w:r>
    </w:p>
    <w:p w14:paraId="22638539" w14:textId="77777777" w:rsidR="00DA4981" w:rsidRDefault="00DA4981" w:rsidP="00DA4981">
      <w:pPr>
        <w:pStyle w:val="LI-BodyTextNumbered"/>
        <w:ind w:left="1701"/>
      </w:pPr>
      <w:r>
        <w:t>(</w:t>
      </w:r>
      <w:r w:rsidR="00DF189C">
        <w:t>kk</w:t>
      </w:r>
      <w:r>
        <w:t>)</w:t>
      </w:r>
      <w:r>
        <w:tab/>
        <w:t>New York Stock Exchange;</w:t>
      </w:r>
    </w:p>
    <w:p w14:paraId="5EFAAA61" w14:textId="77777777" w:rsidR="00DA4981" w:rsidRDefault="00DA4981" w:rsidP="00DA4981">
      <w:pPr>
        <w:pStyle w:val="LI-BodyTextNumbered"/>
        <w:ind w:left="1701"/>
      </w:pPr>
      <w:r>
        <w:t>(</w:t>
      </w:r>
      <w:r w:rsidR="00DF189C">
        <w:t>ll</w:t>
      </w:r>
      <w:r>
        <w:t>)</w:t>
      </w:r>
      <w:r>
        <w:tab/>
        <w:t xml:space="preserve">New Zealand Exchange; </w:t>
      </w:r>
    </w:p>
    <w:p w14:paraId="516740CD" w14:textId="77777777" w:rsidR="00DA4981" w:rsidRDefault="00DA4981" w:rsidP="00DA4981">
      <w:pPr>
        <w:pStyle w:val="LI-BodyTextNumbered"/>
        <w:ind w:left="1701"/>
      </w:pPr>
      <w:r>
        <w:t>(</w:t>
      </w:r>
      <w:r w:rsidR="00DF189C">
        <w:t>mm</w:t>
      </w:r>
      <w:r>
        <w:t>)</w:t>
      </w:r>
      <w:r>
        <w:tab/>
        <w:t xml:space="preserve">Nodal Exchange; </w:t>
      </w:r>
    </w:p>
    <w:p w14:paraId="012DD217" w14:textId="77777777" w:rsidR="00DA4981" w:rsidRDefault="00DA4981" w:rsidP="00DA4981">
      <w:pPr>
        <w:pStyle w:val="LI-BodyTextNumbered"/>
        <w:ind w:left="1701"/>
      </w:pPr>
      <w:r>
        <w:t>(</w:t>
      </w:r>
      <w:r w:rsidR="00DF189C">
        <w:t>nn</w:t>
      </w:r>
      <w:r>
        <w:t>)</w:t>
      </w:r>
      <w:r>
        <w:tab/>
        <w:t>NYMEX Emissions;</w:t>
      </w:r>
    </w:p>
    <w:p w14:paraId="55E1791F" w14:textId="77777777" w:rsidR="00DA4981" w:rsidRDefault="00DA4981" w:rsidP="00DA4981">
      <w:pPr>
        <w:pStyle w:val="LI-BodyTextNumbered"/>
        <w:ind w:left="1701"/>
      </w:pPr>
      <w:r>
        <w:t>(</w:t>
      </w:r>
      <w:r w:rsidR="00DF189C">
        <w:t>oo</w:t>
      </w:r>
      <w:r>
        <w:t>)</w:t>
      </w:r>
      <w:r>
        <w:tab/>
        <w:t>NYSE Amex LLC;</w:t>
      </w:r>
    </w:p>
    <w:p w14:paraId="45F08004" w14:textId="77777777" w:rsidR="00DA4981" w:rsidRDefault="00DA4981" w:rsidP="00DA4981">
      <w:pPr>
        <w:pStyle w:val="LI-BodyTextNumbered"/>
        <w:ind w:left="1701"/>
      </w:pPr>
      <w:r>
        <w:t>(</w:t>
      </w:r>
      <w:r w:rsidR="00DF189C">
        <w:t>pp</w:t>
      </w:r>
      <w:r>
        <w:t>)</w:t>
      </w:r>
      <w:r>
        <w:tab/>
        <w:t>NYSE Amex Option;</w:t>
      </w:r>
    </w:p>
    <w:p w14:paraId="366BF205" w14:textId="77777777" w:rsidR="00DA4981" w:rsidRDefault="00DA4981" w:rsidP="00DA4981">
      <w:pPr>
        <w:pStyle w:val="LI-BodyTextNumbered"/>
        <w:ind w:left="1701"/>
      </w:pPr>
      <w:r>
        <w:t>(</w:t>
      </w:r>
      <w:r w:rsidR="00DF189C">
        <w:t>qq</w:t>
      </w:r>
      <w:r>
        <w:t>)</w:t>
      </w:r>
      <w:r>
        <w:tab/>
        <w:t>NYSE Arca Europe;</w:t>
      </w:r>
    </w:p>
    <w:p w14:paraId="6630781D" w14:textId="77777777" w:rsidR="00DA4981" w:rsidRDefault="00DA4981" w:rsidP="00DA4981">
      <w:pPr>
        <w:pStyle w:val="LI-BodyTextNumbered"/>
        <w:ind w:left="1701"/>
      </w:pPr>
      <w:r>
        <w:t>(</w:t>
      </w:r>
      <w:r w:rsidR="00DF189C">
        <w:t>rr</w:t>
      </w:r>
      <w:r>
        <w:t>)</w:t>
      </w:r>
      <w:r>
        <w:tab/>
        <w:t>NYSE Arca;</w:t>
      </w:r>
    </w:p>
    <w:p w14:paraId="6C7CE99E" w14:textId="77777777" w:rsidR="00DA4981" w:rsidRDefault="00DA4981" w:rsidP="00DA4981">
      <w:pPr>
        <w:pStyle w:val="LI-BodyTextNumbered"/>
        <w:ind w:left="1701"/>
      </w:pPr>
      <w:r>
        <w:t>(</w:t>
      </w:r>
      <w:r w:rsidR="00DF189C">
        <w:t>ss</w:t>
      </w:r>
      <w:r>
        <w:t>)</w:t>
      </w:r>
      <w:r>
        <w:tab/>
        <w:t>NYSE Brussels;</w:t>
      </w:r>
    </w:p>
    <w:p w14:paraId="0F1B409F" w14:textId="77777777" w:rsidR="00DA4981" w:rsidRDefault="00DA4981" w:rsidP="00DA4981">
      <w:pPr>
        <w:pStyle w:val="LI-BodyTextNumbered"/>
        <w:ind w:left="1701"/>
      </w:pPr>
      <w:r>
        <w:t>(</w:t>
      </w:r>
      <w:r w:rsidR="00DF189C">
        <w:t>tt</w:t>
      </w:r>
      <w:r>
        <w:t>)</w:t>
      </w:r>
      <w:r>
        <w:tab/>
        <w:t>NYSE LIFFE Amsterdam;</w:t>
      </w:r>
    </w:p>
    <w:p w14:paraId="238ACEBB" w14:textId="77777777" w:rsidR="00DA4981" w:rsidRDefault="00DA4981" w:rsidP="00DA4981">
      <w:pPr>
        <w:pStyle w:val="LI-BodyTextNumbered"/>
        <w:ind w:left="1701"/>
      </w:pPr>
      <w:r>
        <w:t>(</w:t>
      </w:r>
      <w:r w:rsidR="00DF189C">
        <w:t>uu</w:t>
      </w:r>
      <w:r>
        <w:t>)</w:t>
      </w:r>
      <w:r>
        <w:tab/>
        <w:t>NYSE LIFFE London;</w:t>
      </w:r>
    </w:p>
    <w:p w14:paraId="1F29B3E7" w14:textId="77777777" w:rsidR="00DA4981" w:rsidRDefault="00DA4981" w:rsidP="00DA4981">
      <w:pPr>
        <w:pStyle w:val="LI-BodyTextNumbered"/>
        <w:ind w:left="1701"/>
      </w:pPr>
      <w:r>
        <w:t>(</w:t>
      </w:r>
      <w:r w:rsidR="00DF189C">
        <w:t>vv</w:t>
      </w:r>
      <w:r>
        <w:t>)</w:t>
      </w:r>
      <w:r>
        <w:tab/>
        <w:t>NYSE LIFFE Paris;</w:t>
      </w:r>
    </w:p>
    <w:p w14:paraId="1DE761D6" w14:textId="77777777" w:rsidR="00DA4981" w:rsidRDefault="00DA4981" w:rsidP="00DA4981">
      <w:pPr>
        <w:pStyle w:val="LI-BodyTextNumbered"/>
        <w:ind w:left="1701"/>
      </w:pPr>
      <w:r>
        <w:t>(</w:t>
      </w:r>
      <w:r w:rsidR="00DF189C">
        <w:t>ww</w:t>
      </w:r>
      <w:r>
        <w:t>)</w:t>
      </w:r>
      <w:r>
        <w:tab/>
        <w:t>OneChicago (Single stock futures);</w:t>
      </w:r>
    </w:p>
    <w:p w14:paraId="50A11C11" w14:textId="77777777" w:rsidR="00DA4981" w:rsidRDefault="00DA4981" w:rsidP="00DA4981">
      <w:pPr>
        <w:pStyle w:val="LI-BodyTextNumbered"/>
        <w:ind w:left="1701"/>
      </w:pPr>
      <w:r>
        <w:t>(</w:t>
      </w:r>
      <w:r w:rsidR="00DF189C">
        <w:t>xx</w:t>
      </w:r>
      <w:r>
        <w:t>)</w:t>
      </w:r>
      <w:r>
        <w:tab/>
        <w:t xml:space="preserve">Oslo Bors; </w:t>
      </w:r>
    </w:p>
    <w:p w14:paraId="4FBEA366" w14:textId="77777777" w:rsidR="00DA4981" w:rsidRDefault="00DA4981" w:rsidP="00DA4981">
      <w:pPr>
        <w:pStyle w:val="LI-BodyTextNumbered"/>
        <w:ind w:left="1701"/>
      </w:pPr>
      <w:r>
        <w:t>(</w:t>
      </w:r>
      <w:r w:rsidR="00DF189C">
        <w:t>yy</w:t>
      </w:r>
      <w:r>
        <w:t>)</w:t>
      </w:r>
      <w:r>
        <w:tab/>
        <w:t>Power Exchange Central Europe;</w:t>
      </w:r>
    </w:p>
    <w:p w14:paraId="5F8F571F" w14:textId="77777777" w:rsidR="00DA4981" w:rsidRDefault="00DA4981" w:rsidP="00DA4981">
      <w:pPr>
        <w:pStyle w:val="LI-BodyTextNumbered"/>
        <w:ind w:left="1701"/>
      </w:pPr>
      <w:r>
        <w:t>(</w:t>
      </w:r>
      <w:r w:rsidR="00DF189C">
        <w:t>zz</w:t>
      </w:r>
      <w:r>
        <w:t>)</w:t>
      </w:r>
      <w:r>
        <w:tab/>
        <w:t>Powernext;</w:t>
      </w:r>
    </w:p>
    <w:p w14:paraId="190E1CA7" w14:textId="77777777" w:rsidR="00DA4981" w:rsidRDefault="00DA4981" w:rsidP="00DA4981">
      <w:pPr>
        <w:pStyle w:val="LI-BodyTextNumbered"/>
        <w:ind w:left="1701"/>
      </w:pPr>
      <w:r>
        <w:t>(</w:t>
      </w:r>
      <w:r w:rsidR="00DF189C">
        <w:t>aaa</w:t>
      </w:r>
      <w:r>
        <w:t>)</w:t>
      </w:r>
      <w:r>
        <w:tab/>
        <w:t>Shanghai Futures Exchange</w:t>
      </w:r>
      <w:r w:rsidR="005353CB">
        <w:t>;</w:t>
      </w:r>
    </w:p>
    <w:p w14:paraId="4D6DE4B8" w14:textId="77777777" w:rsidR="00DA4981" w:rsidRDefault="00DA4981" w:rsidP="00DA4981">
      <w:pPr>
        <w:pStyle w:val="LI-BodyTextNumbered"/>
        <w:ind w:left="1701"/>
      </w:pPr>
      <w:r>
        <w:t>(</w:t>
      </w:r>
      <w:r w:rsidR="00DF189C">
        <w:t>bbb</w:t>
      </w:r>
      <w:r>
        <w:t>)</w:t>
      </w:r>
      <w:r>
        <w:tab/>
        <w:t>Singapore Commodity Exchange SGX-DT;</w:t>
      </w:r>
    </w:p>
    <w:p w14:paraId="0BEC4D93" w14:textId="77777777" w:rsidR="00DA4981" w:rsidRDefault="00DA4981" w:rsidP="00DA4981">
      <w:pPr>
        <w:pStyle w:val="LI-BodyTextNumbered"/>
        <w:ind w:left="1701"/>
      </w:pPr>
      <w:r>
        <w:t>(</w:t>
      </w:r>
      <w:r w:rsidR="00DF189C">
        <w:t>ccc</w:t>
      </w:r>
      <w:r>
        <w:t>)</w:t>
      </w:r>
      <w:r>
        <w:tab/>
        <w:t>South African Futures Exchange (SAFEX), including SAFEX APD Agricultural Products as part of JSE Limited;</w:t>
      </w:r>
    </w:p>
    <w:p w14:paraId="0368B502" w14:textId="77777777" w:rsidR="00DA4981" w:rsidRDefault="00DA4981" w:rsidP="00DA4981">
      <w:pPr>
        <w:pStyle w:val="LI-BodyTextNumbered"/>
        <w:ind w:left="1701"/>
      </w:pPr>
      <w:r>
        <w:t>(</w:t>
      </w:r>
      <w:r w:rsidR="00DF189C">
        <w:t>ddd</w:t>
      </w:r>
      <w:r>
        <w:t>)</w:t>
      </w:r>
      <w:r>
        <w:tab/>
        <w:t>Taiwan Futures Exchange;</w:t>
      </w:r>
    </w:p>
    <w:p w14:paraId="62F4AE78" w14:textId="77777777" w:rsidR="00DA4981" w:rsidRDefault="00DA4981" w:rsidP="00DA4981">
      <w:pPr>
        <w:pStyle w:val="LI-BodyTextNumbered"/>
        <w:ind w:left="1701"/>
      </w:pPr>
      <w:r>
        <w:t>(</w:t>
      </w:r>
      <w:r w:rsidR="00DF189C">
        <w:t>eee</w:t>
      </w:r>
      <w:r>
        <w:t>)</w:t>
      </w:r>
      <w:r>
        <w:tab/>
        <w:t>Tel Aviv Stock Exchange Ltd;</w:t>
      </w:r>
    </w:p>
    <w:p w14:paraId="5FD619E4" w14:textId="77777777" w:rsidR="00DA4981" w:rsidRDefault="00DA4981" w:rsidP="00DA4981">
      <w:pPr>
        <w:pStyle w:val="LI-BodyTextNumbered"/>
        <w:ind w:left="1701"/>
      </w:pPr>
      <w:r>
        <w:t>(</w:t>
      </w:r>
      <w:r w:rsidR="00DF189C">
        <w:t>fff</w:t>
      </w:r>
      <w:r>
        <w:t>)</w:t>
      </w:r>
      <w:r>
        <w:tab/>
        <w:t>Thailand Futures Exchange as part of Stock Exchange of Thailand;</w:t>
      </w:r>
    </w:p>
    <w:p w14:paraId="33AC3A0A" w14:textId="77777777" w:rsidR="00DA4981" w:rsidRDefault="00DA4981" w:rsidP="00DA4981">
      <w:pPr>
        <w:pStyle w:val="LI-BodyTextNumbered"/>
        <w:ind w:left="1701"/>
      </w:pPr>
      <w:r>
        <w:lastRenderedPageBreak/>
        <w:t>(</w:t>
      </w:r>
      <w:r w:rsidR="00DF189C">
        <w:t>ggg</w:t>
      </w:r>
      <w:r>
        <w:t>)</w:t>
      </w:r>
      <w:r>
        <w:tab/>
        <w:t xml:space="preserve">Tokyo Commodity Exchange; </w:t>
      </w:r>
    </w:p>
    <w:p w14:paraId="713B4EEC" w14:textId="77777777" w:rsidR="00DA4981" w:rsidRDefault="00DA4981" w:rsidP="00DA4981">
      <w:pPr>
        <w:pStyle w:val="LI-BodyTextNumbered"/>
        <w:ind w:left="1701"/>
      </w:pPr>
      <w:r>
        <w:t>(</w:t>
      </w:r>
      <w:r w:rsidR="00DF189C">
        <w:t>hhh</w:t>
      </w:r>
      <w:r>
        <w:t>)</w:t>
      </w:r>
      <w:r>
        <w:tab/>
        <w:t xml:space="preserve">Tokyo Financial Exchange; </w:t>
      </w:r>
    </w:p>
    <w:p w14:paraId="0B4FA3E8" w14:textId="0BC33354" w:rsidR="00DA4981" w:rsidRDefault="00DA4981" w:rsidP="00DA4981">
      <w:pPr>
        <w:pStyle w:val="LI-BodyTextNumbered"/>
        <w:ind w:left="1701"/>
      </w:pPr>
      <w:r>
        <w:t>(</w:t>
      </w:r>
      <w:r w:rsidR="00DF189C">
        <w:t>iii</w:t>
      </w:r>
      <w:r w:rsidR="00091C20">
        <w:t>)</w:t>
      </w:r>
      <w:r w:rsidR="00091C20">
        <w:tab/>
        <w:t>Turkish Derivatives Exchange;</w:t>
      </w:r>
    </w:p>
    <w:p w14:paraId="7EF4ADF9" w14:textId="5DBB509C" w:rsidR="00091C20" w:rsidRDefault="00091C20" w:rsidP="00DA4981">
      <w:pPr>
        <w:pStyle w:val="LI-BodyTextNumbered"/>
        <w:ind w:left="1701"/>
      </w:pPr>
      <w:r w:rsidRPr="00091C20">
        <w:t>(jjj)</w:t>
      </w:r>
      <w:r w:rsidRPr="00091C20">
        <w:tab/>
        <w:t>Eurex Zurich.</w:t>
      </w:r>
    </w:p>
    <w:p w14:paraId="094FAB9D" w14:textId="77777777" w:rsidR="00DA4981" w:rsidRDefault="00DA4981" w:rsidP="00DA4981">
      <w:pPr>
        <w:pStyle w:val="LI-BodyTextNumbered"/>
      </w:pPr>
      <w:bookmarkStart w:id="8" w:name="_Ref367202307"/>
      <w:bookmarkStart w:id="9" w:name="_Ref382813548"/>
      <w:r>
        <w:rPr>
          <w:sz w:val="23"/>
          <w:szCs w:val="23"/>
        </w:rPr>
        <w:t>(5)</w:t>
      </w:r>
      <w:r>
        <w:rPr>
          <w:sz w:val="23"/>
          <w:szCs w:val="23"/>
        </w:rPr>
        <w:tab/>
      </w:r>
      <w:r w:rsidRPr="001549D0">
        <w:rPr>
          <w:sz w:val="23"/>
          <w:szCs w:val="23"/>
        </w:rPr>
        <w:t>A financial market is not a Relevant Financial Market if</w:t>
      </w:r>
      <w:bookmarkEnd w:id="8"/>
      <w:r w:rsidRPr="001549D0">
        <w:rPr>
          <w:sz w:val="23"/>
          <w:szCs w:val="23"/>
        </w:rPr>
        <w:t xml:space="preserve"> </w:t>
      </w:r>
      <w:r>
        <w:rPr>
          <w:sz w:val="23"/>
          <w:szCs w:val="23"/>
        </w:rPr>
        <w:t xml:space="preserve">the financial market </w:t>
      </w:r>
      <w:r w:rsidRPr="001549D0">
        <w:rPr>
          <w:sz w:val="23"/>
          <w:szCs w:val="23"/>
        </w:rPr>
        <w:t>is a Regulated Foreign Market for the purposes of</w:t>
      </w:r>
      <w:r>
        <w:rPr>
          <w:sz w:val="23"/>
          <w:szCs w:val="23"/>
        </w:rPr>
        <w:t xml:space="preserve"> </w:t>
      </w:r>
      <w:r w:rsidRPr="001549D0">
        <w:rPr>
          <w:sz w:val="23"/>
          <w:szCs w:val="23"/>
        </w:rPr>
        <w:t>the Rules.</w:t>
      </w:r>
      <w:bookmarkEnd w:id="9"/>
    </w:p>
    <w:p w14:paraId="50775F94" w14:textId="77777777" w:rsidR="00DA4981" w:rsidRPr="005D3D41" w:rsidRDefault="00DA4981" w:rsidP="00DA4981">
      <w:pPr>
        <w:pStyle w:val="LI-Heading2"/>
      </w:pPr>
      <w:bookmarkStart w:id="10" w:name="_Toc20409909"/>
      <w:r>
        <w:t>6</w:t>
      </w:r>
      <w:r>
        <w:tab/>
        <w:t>Exemption 2 (Entity Information)</w:t>
      </w:r>
      <w:bookmarkEnd w:id="10"/>
    </w:p>
    <w:p w14:paraId="0E9A9DCA" w14:textId="77777777" w:rsidR="00DA4981" w:rsidRDefault="00DA4981" w:rsidP="00DA4981">
      <w:pPr>
        <w:pStyle w:val="LI-Heading3"/>
        <w:rPr>
          <w:sz w:val="24"/>
          <w:szCs w:val="24"/>
        </w:rPr>
      </w:pPr>
      <w:r>
        <w:rPr>
          <w:sz w:val="24"/>
          <w:szCs w:val="24"/>
        </w:rPr>
        <w:t>Relief</w:t>
      </w:r>
    </w:p>
    <w:p w14:paraId="35E1A2DC" w14:textId="6C87C6D1" w:rsidR="00492EFB" w:rsidRDefault="00492EFB" w:rsidP="00492EFB">
      <w:pPr>
        <w:pStyle w:val="LI-BodyTextNumbered"/>
      </w:pPr>
      <w:bookmarkStart w:id="11" w:name="_Hlk20397096"/>
      <w:r>
        <w:t>(1A)</w:t>
      </w:r>
      <w:r>
        <w:tab/>
        <w:t xml:space="preserve">From </w:t>
      </w:r>
      <w:r w:rsidRPr="00341F04">
        <w:t xml:space="preserve">the </w:t>
      </w:r>
      <w:r w:rsidR="00C56644">
        <w:t xml:space="preserve">day after the </w:t>
      </w:r>
      <w:r w:rsidRPr="00341F04">
        <w:t>Exemption End Date</w:t>
      </w:r>
      <w:r>
        <w:t xml:space="preserve">, a Reporting Entity does not have to comply with Rule 2.2.1 of the Rules to the extent that: </w:t>
      </w:r>
    </w:p>
    <w:p w14:paraId="2C319C2D" w14:textId="77777777" w:rsidR="00492EFB" w:rsidRDefault="00492EFB" w:rsidP="00492EFB">
      <w:pPr>
        <w:pStyle w:val="LI-BodyTextNumbered"/>
        <w:ind w:left="1701"/>
      </w:pPr>
      <w:r>
        <w:t>(a)</w:t>
      </w:r>
      <w:r>
        <w:tab/>
        <w:t>Rule 2.2.1 requires the Reporting Entity to report Entity Information about an entity (</w:t>
      </w:r>
      <w:r w:rsidRPr="00AF239B">
        <w:rPr>
          <w:b/>
          <w:i/>
        </w:rPr>
        <w:t>Relevant Entity</w:t>
      </w:r>
      <w:r>
        <w:t>) in relation to a Reportable Transaction or a Reportable Position to a Trade Repository;</w:t>
      </w:r>
    </w:p>
    <w:p w14:paraId="0641446A" w14:textId="3FE85921" w:rsidR="00492EFB" w:rsidRDefault="00492EFB" w:rsidP="00492EFB">
      <w:pPr>
        <w:pStyle w:val="LI-BodyTextNumbered"/>
        <w:ind w:left="1701"/>
      </w:pPr>
      <w:r>
        <w:t>(b)</w:t>
      </w:r>
      <w:r>
        <w:tab/>
        <w:t>the Reportable Transaction or Reportable Position relates to an OTC Derivative entered into on or before the Exemption End Date</w:t>
      </w:r>
      <w:r w:rsidR="002D6C5B">
        <w:t>;</w:t>
      </w:r>
      <w:r>
        <w:t xml:space="preserve"> and</w:t>
      </w:r>
    </w:p>
    <w:p w14:paraId="10EA56B9" w14:textId="77777777" w:rsidR="00492EFB" w:rsidRDefault="00492EFB" w:rsidP="00492EFB">
      <w:pPr>
        <w:pStyle w:val="LI-BodyTextNumbered"/>
        <w:ind w:left="1701"/>
      </w:pPr>
      <w:r>
        <w:t>(c)</w:t>
      </w:r>
      <w:r>
        <w:tab/>
        <w:t>the Entity Information is not available for the Relevant Entity.</w:t>
      </w:r>
    </w:p>
    <w:p w14:paraId="090DC43D" w14:textId="693FC82C" w:rsidR="00492EFB" w:rsidRDefault="00492EFB" w:rsidP="00492EFB">
      <w:pPr>
        <w:pStyle w:val="LI-BodyTextNumbered"/>
      </w:pPr>
      <w:r>
        <w:t>(1B)</w:t>
      </w:r>
      <w:r>
        <w:tab/>
        <w:t>From the</w:t>
      </w:r>
      <w:r w:rsidRPr="00341F04">
        <w:t xml:space="preserve"> </w:t>
      </w:r>
      <w:r w:rsidR="00C56644">
        <w:t xml:space="preserve">day after the </w:t>
      </w:r>
      <w:r w:rsidRPr="00341F04">
        <w:t>Exemption End Date</w:t>
      </w:r>
      <w:r>
        <w:t xml:space="preserve">, a Reporting Entity does not have to comply with Rule 2.2.1 of the Rules to the extent that: </w:t>
      </w:r>
    </w:p>
    <w:p w14:paraId="702E0125" w14:textId="77777777" w:rsidR="00492EFB" w:rsidRDefault="00492EFB" w:rsidP="00492EFB">
      <w:pPr>
        <w:pStyle w:val="LI-BodyTextNumbered"/>
        <w:ind w:left="1701"/>
      </w:pPr>
      <w:r>
        <w:t>(a)</w:t>
      </w:r>
      <w:r>
        <w:tab/>
        <w:t>Rule 2.2.1 requires the Reporting Entity to report Entity Information about an entity (</w:t>
      </w:r>
      <w:r w:rsidRPr="00DA4981">
        <w:rPr>
          <w:b/>
          <w:i/>
        </w:rPr>
        <w:t>Relevant Entity</w:t>
      </w:r>
      <w:r>
        <w:t xml:space="preserve">) in relation to a Reportable Transaction or Reportable Position to a Trade Repository; </w:t>
      </w:r>
    </w:p>
    <w:p w14:paraId="2FEECFFE" w14:textId="77777777" w:rsidR="00492EFB" w:rsidRDefault="00492EFB" w:rsidP="00492EFB">
      <w:pPr>
        <w:pStyle w:val="LI-BodyTextNumbered"/>
        <w:ind w:left="1701"/>
      </w:pPr>
      <w:r>
        <w:t>(b)</w:t>
      </w:r>
      <w:r>
        <w:tab/>
        <w:t xml:space="preserve">the Relevant Entity is not a Reporting Entity referred to in column 2 of Table S1.1 of the Rules; </w:t>
      </w:r>
    </w:p>
    <w:p w14:paraId="77AE1E4F" w14:textId="4A2AFE2A" w:rsidR="00492EFB" w:rsidRDefault="00492EFB" w:rsidP="00492EFB">
      <w:pPr>
        <w:pStyle w:val="LI-BodyTextNumbered"/>
        <w:ind w:left="1701"/>
      </w:pPr>
      <w:r>
        <w:t>(c)</w:t>
      </w:r>
      <w:r>
        <w:tab/>
        <w:t>the Reportable Transaction or Reportable Position relates to an OTC Derivative entered into after the Exemption End Date; and</w:t>
      </w:r>
    </w:p>
    <w:p w14:paraId="6DCDB123" w14:textId="77777777" w:rsidR="00492EFB" w:rsidRDefault="00492EFB" w:rsidP="00492EFB">
      <w:pPr>
        <w:pStyle w:val="LI-BodyTextNumbered"/>
        <w:ind w:left="1701"/>
      </w:pPr>
      <w:r>
        <w:t>(d)</w:t>
      </w:r>
      <w:r>
        <w:tab/>
        <w:t>the Entity Information is not available for the Relevant Entity.</w:t>
      </w:r>
    </w:p>
    <w:bookmarkEnd w:id="11"/>
    <w:p w14:paraId="4348FAB2" w14:textId="79A513D9" w:rsidR="00341F04" w:rsidRDefault="00341F04" w:rsidP="00492EFB">
      <w:pPr>
        <w:pStyle w:val="LI-BodyTextNumbered"/>
      </w:pPr>
      <w:r>
        <w:t>(1</w:t>
      </w:r>
      <w:r w:rsidR="00492EFB">
        <w:t>C</w:t>
      </w:r>
      <w:r>
        <w:t>)</w:t>
      </w:r>
      <w:r>
        <w:tab/>
        <w:t xml:space="preserve">In </w:t>
      </w:r>
      <w:bookmarkStart w:id="12" w:name="_Hlk20397687"/>
      <w:r w:rsidR="006E56B7">
        <w:t>subsections (1A) and (1B)</w:t>
      </w:r>
      <w:bookmarkEnd w:id="12"/>
      <w:r>
        <w:t xml:space="preserve">, </w:t>
      </w:r>
      <w:r>
        <w:rPr>
          <w:b/>
          <w:i/>
        </w:rPr>
        <w:t>Exemption End Date</w:t>
      </w:r>
      <w:r>
        <w:t xml:space="preserve"> means:</w:t>
      </w:r>
    </w:p>
    <w:p w14:paraId="61C645EB" w14:textId="77777777" w:rsidR="00341F04" w:rsidRDefault="00341F04" w:rsidP="00341F04">
      <w:pPr>
        <w:pStyle w:val="LI-BodyTextParaa"/>
      </w:pPr>
      <w:bookmarkStart w:id="13" w:name="_Hlk20400048"/>
      <w:r>
        <w:t>(a)</w:t>
      </w:r>
      <w:r>
        <w:tab/>
        <w:t xml:space="preserve">30 September 2019 if the Relevant Entity: </w:t>
      </w:r>
    </w:p>
    <w:p w14:paraId="0E753E9C" w14:textId="77777777" w:rsidR="00341F04" w:rsidRDefault="00341F04" w:rsidP="00341F04">
      <w:pPr>
        <w:pStyle w:val="LI-BodyTextSubparai"/>
      </w:pPr>
      <w:r>
        <w:t>(i)</w:t>
      </w:r>
      <w:r>
        <w:tab/>
        <w:t>is incorporated or formed in this jurisdiction; or</w:t>
      </w:r>
    </w:p>
    <w:p w14:paraId="42EFB246" w14:textId="77777777" w:rsidR="00341F04" w:rsidRDefault="00341F04" w:rsidP="00341F04">
      <w:pPr>
        <w:pStyle w:val="LI-BodyTextSubparai"/>
      </w:pPr>
      <w:r>
        <w:t>(ii)</w:t>
      </w:r>
      <w:r>
        <w:tab/>
        <w:t>is a counterparty to the OTC Derivative to which the Reportable Transaction or Reportable Position relates as the result of a transaction entered into by a branch of the Relevant Entity that is located in this jurisdiction; and</w:t>
      </w:r>
    </w:p>
    <w:bookmarkEnd w:id="13"/>
    <w:p w14:paraId="6FD43D12" w14:textId="00970BD6" w:rsidR="00341F04" w:rsidRDefault="00341F04" w:rsidP="00341F04">
      <w:pPr>
        <w:pStyle w:val="LI-BodyTextParaa"/>
        <w:rPr>
          <w:i/>
        </w:rPr>
      </w:pPr>
      <w:r>
        <w:lastRenderedPageBreak/>
        <w:t>(b)</w:t>
      </w:r>
      <w:r>
        <w:tab/>
        <w:t>otherwise, 31 March 2020.</w:t>
      </w:r>
    </w:p>
    <w:p w14:paraId="03FB32B5" w14:textId="30094CCE" w:rsidR="001F3155" w:rsidRPr="001F3155" w:rsidRDefault="001F3155" w:rsidP="00DA4981">
      <w:pPr>
        <w:pStyle w:val="LI-BodyTextNumbered"/>
        <w:rPr>
          <w:i/>
        </w:rPr>
      </w:pPr>
      <w:r w:rsidRPr="001F3155">
        <w:rPr>
          <w:i/>
        </w:rPr>
        <w:t>Where relief applies</w:t>
      </w:r>
    </w:p>
    <w:p w14:paraId="56D5028C" w14:textId="600FE6B6" w:rsidR="00DA4981" w:rsidRDefault="00DA4981" w:rsidP="00DA4981">
      <w:pPr>
        <w:pStyle w:val="LI-BodyTextNumbered"/>
      </w:pPr>
      <w:r>
        <w:t>(2)</w:t>
      </w:r>
      <w:r>
        <w:tab/>
      </w:r>
      <w:r w:rsidR="00563F7A">
        <w:t>The exemptions in subsections (1A) and (1B) apply</w:t>
      </w:r>
      <w:r>
        <w:t xml:space="preserve"> where the Reporting Entity reports to the Trade Repository the internal entity identifier for the Relevant Entity used by the Reporting Entity.</w:t>
      </w:r>
    </w:p>
    <w:p w14:paraId="0264D095" w14:textId="77777777" w:rsidR="00341F04" w:rsidRDefault="00341F04" w:rsidP="00341F04">
      <w:pPr>
        <w:pStyle w:val="LI-Heading3"/>
        <w:rPr>
          <w:sz w:val="24"/>
        </w:rPr>
      </w:pPr>
      <w:r>
        <w:t>Conditions</w:t>
      </w:r>
    </w:p>
    <w:p w14:paraId="70A2A8B0" w14:textId="6BCE15D2" w:rsidR="00341F04" w:rsidRDefault="00341F04" w:rsidP="00A1608B">
      <w:pPr>
        <w:pStyle w:val="LI-BodyTextNumbered"/>
      </w:pPr>
      <w:r>
        <w:t>(3)</w:t>
      </w:r>
      <w:r>
        <w:tab/>
      </w:r>
      <w:bookmarkStart w:id="14" w:name="_Hlk20398163"/>
      <w:r w:rsidR="00F71A05" w:rsidRPr="00F71A05">
        <w:t>Subject to subsection (8), it is a condition of the exemption in subsection (1A)</w:t>
      </w:r>
      <w:r w:rsidR="00190248">
        <w:t xml:space="preserve"> that the </w:t>
      </w:r>
      <w:bookmarkEnd w:id="14"/>
      <w:r>
        <w:t>Reporting Entity must use its best efforts to obtain the Entity Information as soon as reasonably practicable, including by maintaining and following documented procedures for one or both of the following:</w:t>
      </w:r>
    </w:p>
    <w:p w14:paraId="2B2E4980" w14:textId="77777777" w:rsidR="00341F04" w:rsidRDefault="00341F04" w:rsidP="00341F04">
      <w:pPr>
        <w:pStyle w:val="LI-BodyTextParaa"/>
      </w:pPr>
      <w:r>
        <w:t>(a)</w:t>
      </w:r>
      <w:r>
        <w:tab/>
        <w:t xml:space="preserve">requesting that Relevant Entities obtain Entity Information and provide it to the Reporting Entity; </w:t>
      </w:r>
    </w:p>
    <w:p w14:paraId="29C66AB9" w14:textId="77777777" w:rsidR="00341F04" w:rsidRDefault="00341F04" w:rsidP="00341F04">
      <w:pPr>
        <w:pStyle w:val="LI-BodyTextParaa"/>
      </w:pPr>
      <w:r>
        <w:t>(b)</w:t>
      </w:r>
      <w:r>
        <w:tab/>
        <w:t>obtaining the Entity Information on behalf of Relevant Entities.</w:t>
      </w:r>
    </w:p>
    <w:p w14:paraId="1C905F07" w14:textId="38184657" w:rsidR="000902EA" w:rsidRDefault="00035934" w:rsidP="000902EA">
      <w:pPr>
        <w:pStyle w:val="LI-BodyTextNumbered"/>
      </w:pPr>
      <w:r>
        <w:t>(3A)</w:t>
      </w:r>
      <w:r>
        <w:tab/>
      </w:r>
      <w:r w:rsidR="00F71A05" w:rsidRPr="00F71A05">
        <w:t>Subject to subsection (8), it</w:t>
      </w:r>
      <w:r>
        <w:t xml:space="preserve"> is a condition of the exemption in subsection (1</w:t>
      </w:r>
      <w:r w:rsidR="00190248">
        <w:t>B</w:t>
      </w:r>
      <w:r>
        <w:t>) that the Reporting Entity must use its best efforts to obtain the Entity Information as soon as reasonably practicable, including by maintaining and following documented procedures for</w:t>
      </w:r>
      <w:r w:rsidR="000902EA" w:rsidRPr="000902EA">
        <w:t xml:space="preserve"> </w:t>
      </w:r>
      <w:r w:rsidR="000902EA">
        <w:t>one or both of the following:</w:t>
      </w:r>
    </w:p>
    <w:p w14:paraId="7B89CD9A" w14:textId="150C146F" w:rsidR="00B42BED" w:rsidRDefault="00B42BED" w:rsidP="00B42BED">
      <w:pPr>
        <w:pStyle w:val="LI-BodyTextParaa"/>
      </w:pPr>
      <w:r>
        <w:t>(a)</w:t>
      </w:r>
      <w:r>
        <w:tab/>
        <w:t xml:space="preserve">requiring the Relevant Entity to: </w:t>
      </w:r>
    </w:p>
    <w:p w14:paraId="70A1832E" w14:textId="3C5D79B7" w:rsidR="00B42BED" w:rsidRDefault="00B42BED" w:rsidP="00B42BED">
      <w:pPr>
        <w:pStyle w:val="LI-BodyTextSubparai"/>
      </w:pPr>
      <w:r>
        <w:t>(i)</w:t>
      </w:r>
      <w:r>
        <w:tab/>
      </w:r>
      <w:r w:rsidR="00E76CAD">
        <w:t>apply for the issue of Entity Information</w:t>
      </w:r>
      <w:r w:rsidR="00E76CAD" w:rsidRPr="00174D44">
        <w:t xml:space="preserve"> </w:t>
      </w:r>
      <w:r w:rsidR="00E76CAD">
        <w:t xml:space="preserve">within </w:t>
      </w:r>
      <w:r w:rsidR="00C56644">
        <w:t>2</w:t>
      </w:r>
      <w:r w:rsidR="00E76CAD">
        <w:t xml:space="preserve"> Business Day</w:t>
      </w:r>
      <w:r w:rsidR="00C56644">
        <w:t>s</w:t>
      </w:r>
      <w:r w:rsidR="00E76CAD">
        <w:t xml:space="preserve"> after the requirement to report the Entity Information arises, unless an application for the issue of Entity Information in relation to the Relevant Entity has already been made</w:t>
      </w:r>
      <w:r>
        <w:t xml:space="preserve">; </w:t>
      </w:r>
      <w:r w:rsidR="006A3BEC">
        <w:t>and</w:t>
      </w:r>
    </w:p>
    <w:p w14:paraId="7F326DD3" w14:textId="123A9742" w:rsidR="00B42BED" w:rsidRDefault="00B42BED" w:rsidP="00B42BED">
      <w:pPr>
        <w:pStyle w:val="LI-BodyTextSubparai"/>
      </w:pPr>
      <w:r>
        <w:t>(ii)</w:t>
      </w:r>
      <w:r>
        <w:tab/>
      </w:r>
      <w:r w:rsidR="006A3BEC">
        <w:t>provide the Entity Information</w:t>
      </w:r>
      <w:r w:rsidR="00A56BDD">
        <w:t xml:space="preserve"> to the Reporting Entity as soon as reasonably practical after it is issued</w:t>
      </w:r>
      <w:r w:rsidR="007848C9">
        <w:t xml:space="preserve"> to the Relevant Entity</w:t>
      </w:r>
      <w:r>
        <w:t xml:space="preserve">; </w:t>
      </w:r>
      <w:r w:rsidR="001B046F">
        <w:t>or</w:t>
      </w:r>
    </w:p>
    <w:p w14:paraId="3C8FB3EA" w14:textId="46DBE382" w:rsidR="00A56BDD" w:rsidRDefault="00657412" w:rsidP="00657412">
      <w:pPr>
        <w:pStyle w:val="LI-BodyTextParaa"/>
      </w:pPr>
      <w:r>
        <w:t>(b)</w:t>
      </w:r>
      <w:r>
        <w:tab/>
      </w:r>
      <w:r w:rsidR="00A56BDD">
        <w:t>apply for the issue of Entity Information</w:t>
      </w:r>
      <w:r w:rsidR="00A56BDD" w:rsidRPr="00174D44">
        <w:t xml:space="preserve"> </w:t>
      </w:r>
      <w:r w:rsidR="00A56BDD">
        <w:t xml:space="preserve">on behalf of the Relevant Entity within </w:t>
      </w:r>
      <w:r w:rsidR="00C56644">
        <w:t>2</w:t>
      </w:r>
      <w:r w:rsidR="00A56BDD">
        <w:t xml:space="preserve"> Business Day</w:t>
      </w:r>
      <w:r w:rsidR="00C56644">
        <w:t>s</w:t>
      </w:r>
      <w:r w:rsidR="00A56BDD">
        <w:t xml:space="preserve"> after the requirement to report the Entity Information arises, unless an application for the issue of Entity Information in relation to the Relevant Entity has already been made.</w:t>
      </w:r>
    </w:p>
    <w:p w14:paraId="3BF91007" w14:textId="58249E28" w:rsidR="00341F04" w:rsidRDefault="00341F04" w:rsidP="00035934">
      <w:pPr>
        <w:pStyle w:val="LI-BodyTextNumbered"/>
      </w:pPr>
      <w:r>
        <w:t>(4)</w:t>
      </w:r>
      <w:r>
        <w:tab/>
        <w:t>As soon as reasonably practicable after Entity Information for a Relevant Entity is available, including on a public website, the Reporting Entity must use all reasonable endeavours to report the Entity Information to the Trade Repository, unless the Derivative to which the Entity Information relates has been terminated or has expired.</w:t>
      </w:r>
    </w:p>
    <w:p w14:paraId="5CE8A7B2" w14:textId="216A4F61" w:rsidR="00341F04" w:rsidRDefault="00341F04" w:rsidP="00341F04">
      <w:pPr>
        <w:pStyle w:val="LI-BodyTextNumbered"/>
      </w:pPr>
      <w:r>
        <w:t>(5)</w:t>
      </w:r>
      <w:r>
        <w:tab/>
        <w:t xml:space="preserve">The Reporting Entity must, on written request by ASIC, provide ASIC with a written statement reporting on the Reporting Entity’s compliance with the conditions in </w:t>
      </w:r>
      <w:r w:rsidR="004A2114">
        <w:t xml:space="preserve">subsection (3) or (3A) (as applicable) and subsection (4) </w:t>
      </w:r>
      <w:r>
        <w:t>during the period specified in the request.</w:t>
      </w:r>
    </w:p>
    <w:p w14:paraId="63B50C56" w14:textId="64E6370D" w:rsidR="00341F04" w:rsidRDefault="00341F04" w:rsidP="00341F04">
      <w:pPr>
        <w:pStyle w:val="LI-BodyTextNumbered"/>
      </w:pPr>
      <w:r>
        <w:lastRenderedPageBreak/>
        <w:t>(6)</w:t>
      </w:r>
      <w:r>
        <w:tab/>
        <w:t>The Reporting Entity must provide the statement under subsection (5) within the time specified in the written request by ASIC or, if no time is specified, within a reasonable time.</w:t>
      </w:r>
    </w:p>
    <w:p w14:paraId="3FE01805" w14:textId="77777777" w:rsidR="00F6465E" w:rsidRPr="001F3155" w:rsidRDefault="00F6465E" w:rsidP="00F6465E">
      <w:pPr>
        <w:pStyle w:val="LI-BodyTextNumbered"/>
        <w:rPr>
          <w:i/>
        </w:rPr>
      </w:pPr>
      <w:r w:rsidRPr="001F3155">
        <w:rPr>
          <w:i/>
        </w:rPr>
        <w:t>Exclusion</w:t>
      </w:r>
    </w:p>
    <w:p w14:paraId="54FDE287" w14:textId="71E6CB5D" w:rsidR="00C93828" w:rsidRDefault="00F6465E" w:rsidP="00C93828">
      <w:pPr>
        <w:pStyle w:val="LI-BodyTextNumbered"/>
      </w:pPr>
      <w:r>
        <w:t>(7)</w:t>
      </w:r>
      <w:r>
        <w:tab/>
      </w:r>
      <w:r w:rsidR="00F71A05" w:rsidRPr="00F71A05">
        <w:t>Subject to subsection (8), the</w:t>
      </w:r>
      <w:r>
        <w:t xml:space="preserve"> exemption in subsection (1B) </w:t>
      </w:r>
      <w:r w:rsidR="001B7207">
        <w:t>ceases to apply in relation to a Reporting</w:t>
      </w:r>
      <w:r w:rsidR="006F6105">
        <w:t xml:space="preserve"> Entity and a Relevant Entity if</w:t>
      </w:r>
      <w:r w:rsidR="00C93828">
        <w:t xml:space="preserve">: </w:t>
      </w:r>
    </w:p>
    <w:p w14:paraId="2B219D7B" w14:textId="29278C80" w:rsidR="00C93828" w:rsidRDefault="00B004F4" w:rsidP="00CD2279">
      <w:pPr>
        <w:pStyle w:val="LI-BodyTextNumbered"/>
        <w:numPr>
          <w:ilvl w:val="0"/>
          <w:numId w:val="23"/>
        </w:numPr>
      </w:pPr>
      <w:r>
        <w:t xml:space="preserve">Rule 2.2.1 requires </w:t>
      </w:r>
      <w:r w:rsidR="00C93828">
        <w:t xml:space="preserve">the Reporting Entity </w:t>
      </w:r>
      <w:r>
        <w:t>to report Entity Information in relation to the Relevant Entity</w:t>
      </w:r>
      <w:r w:rsidR="00C93828">
        <w:t xml:space="preserve"> after the Exemption End Date</w:t>
      </w:r>
      <w:r>
        <w:t xml:space="preserve"> in relation to an OTC Derivative entered into after the Exemption End Date</w:t>
      </w:r>
      <w:r w:rsidR="00C93828">
        <w:t>;</w:t>
      </w:r>
      <w:r w:rsidR="00277EE3">
        <w:t xml:space="preserve"> and</w:t>
      </w:r>
    </w:p>
    <w:p w14:paraId="2A82DF86" w14:textId="3DA8E4E5" w:rsidR="00C93828" w:rsidRDefault="00AC05FF" w:rsidP="00CD2279">
      <w:pPr>
        <w:pStyle w:val="LI-BodyTextNumbered"/>
        <w:numPr>
          <w:ilvl w:val="0"/>
          <w:numId w:val="23"/>
        </w:numPr>
      </w:pPr>
      <w:r>
        <w:t xml:space="preserve">an application for the issue of Entity Information in relation to the Relevant Entity has not been made </w:t>
      </w:r>
      <w:r w:rsidR="00C56644">
        <w:t>within 2</w:t>
      </w:r>
      <w:r>
        <w:t xml:space="preserve"> Business Day</w:t>
      </w:r>
      <w:r w:rsidR="00C56644">
        <w:t>s</w:t>
      </w:r>
      <w:r>
        <w:t xml:space="preserve"> after the </w:t>
      </w:r>
      <w:r w:rsidR="00B004F4">
        <w:t>requirement to report</w:t>
      </w:r>
      <w:r w:rsidR="009A7E81">
        <w:t xml:space="preserve"> the Entity Information arises.</w:t>
      </w:r>
    </w:p>
    <w:p w14:paraId="419B8F34" w14:textId="089779EE" w:rsidR="00F71A05" w:rsidRPr="00F71A05" w:rsidRDefault="00F71A05" w:rsidP="00F71A05">
      <w:pPr>
        <w:pStyle w:val="LI-Heading3"/>
        <w:rPr>
          <w:sz w:val="24"/>
          <w:szCs w:val="24"/>
        </w:rPr>
      </w:pPr>
      <w:r w:rsidRPr="00F71A05">
        <w:rPr>
          <w:sz w:val="24"/>
          <w:szCs w:val="24"/>
        </w:rPr>
        <w:t>New Zealand registered banks</w:t>
      </w:r>
    </w:p>
    <w:p w14:paraId="0D5242A5" w14:textId="3B924B6F" w:rsidR="00F71A05" w:rsidRDefault="00F71A05" w:rsidP="00F71A05">
      <w:pPr>
        <w:pStyle w:val="LI-BodyTextNumbered"/>
      </w:pPr>
      <w:r>
        <w:t>(8)     The conditio</w:t>
      </w:r>
      <w:bookmarkStart w:id="15" w:name="_GoBack"/>
      <w:bookmarkEnd w:id="15"/>
      <w:r>
        <w:t>ns in subsections (3) and (3A) and the exclusion in subsection (7) do not apply to a Reporting Entity if all the following are satisfied:</w:t>
      </w:r>
    </w:p>
    <w:p w14:paraId="75F9711B" w14:textId="5C855F39" w:rsidR="00F71A05" w:rsidRDefault="00F71A05" w:rsidP="00F71A05">
      <w:pPr>
        <w:pStyle w:val="LI-BodyTextParaa"/>
      </w:pPr>
      <w:r>
        <w:t xml:space="preserve">(a)     the Reporting Entity is a New Zealand registered bank within the meaning of the </w:t>
      </w:r>
      <w:r w:rsidRPr="008B4380">
        <w:rPr>
          <w:i/>
        </w:rPr>
        <w:t>Banking Act 1959</w:t>
      </w:r>
      <w:r>
        <w:t>;</w:t>
      </w:r>
    </w:p>
    <w:p w14:paraId="106458CE" w14:textId="786121B9" w:rsidR="00F71A05" w:rsidRDefault="00F71A05" w:rsidP="00F71A05">
      <w:pPr>
        <w:pStyle w:val="LI-BodyTextParaa"/>
      </w:pPr>
      <w:r>
        <w:t>(b)     the Relevant Entity is not an Australian entity;</w:t>
      </w:r>
    </w:p>
    <w:p w14:paraId="0F25DC0C" w14:textId="0E8CD282" w:rsidR="00F71A05" w:rsidRDefault="00F71A05" w:rsidP="00F71A05">
      <w:pPr>
        <w:pStyle w:val="LI-BodyTextParaa"/>
      </w:pPr>
      <w:r>
        <w:t xml:space="preserve">(c)     the Relevant Entity is not a covered counterparty within the meaning of </w:t>
      </w:r>
      <w:r w:rsidRPr="008B4380">
        <w:rPr>
          <w:i/>
        </w:rPr>
        <w:t>Prudential Standard CPS 226 Margining and risk mitigation for non-centrally cleared derivatives</w:t>
      </w:r>
      <w:r>
        <w:t xml:space="preserve">; </w:t>
      </w:r>
    </w:p>
    <w:p w14:paraId="11514F5A" w14:textId="42B1A23E" w:rsidR="00F71A05" w:rsidRDefault="00F71A05" w:rsidP="00F71A05">
      <w:pPr>
        <w:pStyle w:val="LI-SectionNote"/>
        <w:ind w:left="2268"/>
      </w:pPr>
      <w:r>
        <w:t xml:space="preserve">Note:    </w:t>
      </w:r>
      <w:r w:rsidRPr="008B4380">
        <w:rPr>
          <w:i/>
        </w:rPr>
        <w:t>Prudential Standard CPS 226 Margining and risk mitigation for non-centrally cleared derivatives</w:t>
      </w:r>
      <w:r>
        <w:t xml:space="preserve"> is the Schedule to </w:t>
      </w:r>
      <w:r w:rsidRPr="008B4380">
        <w:rPr>
          <w:i/>
        </w:rPr>
        <w:t>Banking, Insurance, Life Insurance and Superannuation (prudential standard) determination No. 1 of 2019</w:t>
      </w:r>
      <w:r>
        <w:t>.</w:t>
      </w:r>
    </w:p>
    <w:p w14:paraId="1361F4B2" w14:textId="775DD8D4" w:rsidR="00F71A05" w:rsidRDefault="00F71A05" w:rsidP="00F71A05">
      <w:pPr>
        <w:pStyle w:val="LI-BodyTextParaa"/>
      </w:pPr>
      <w:r>
        <w:t>(d)     the Reporting Entity does not have a credit support annex (or other industry standard credit support documents) in place with the Relevant Entity.</w:t>
      </w:r>
    </w:p>
    <w:p w14:paraId="517CB836" w14:textId="62F87C57" w:rsidR="00B91CC7" w:rsidRPr="005D3D41" w:rsidRDefault="00B91CC7" w:rsidP="00B91CC7">
      <w:pPr>
        <w:pStyle w:val="LI-Heading2"/>
      </w:pPr>
      <w:bookmarkStart w:id="16" w:name="_Toc20409910"/>
      <w:r>
        <w:t>6A</w:t>
      </w:r>
      <w:r>
        <w:tab/>
        <w:t>Exemption 2A (Reference Entity Information)</w:t>
      </w:r>
      <w:bookmarkEnd w:id="16"/>
    </w:p>
    <w:p w14:paraId="38B3DCCA" w14:textId="77777777" w:rsidR="00B91CC7" w:rsidRDefault="00B91CC7" w:rsidP="00B91CC7">
      <w:pPr>
        <w:pStyle w:val="LI-Heading3"/>
        <w:rPr>
          <w:sz w:val="24"/>
          <w:szCs w:val="24"/>
        </w:rPr>
      </w:pPr>
      <w:r>
        <w:rPr>
          <w:sz w:val="24"/>
          <w:szCs w:val="24"/>
        </w:rPr>
        <w:t>Relief</w:t>
      </w:r>
    </w:p>
    <w:p w14:paraId="7B7D9D03" w14:textId="4B9776FD" w:rsidR="009D6A7D" w:rsidRDefault="009D6A7D" w:rsidP="009D6A7D">
      <w:pPr>
        <w:pStyle w:val="LI-BodyTextNumbered"/>
      </w:pPr>
      <w:r>
        <w:t>(1)</w:t>
      </w:r>
      <w:r>
        <w:tab/>
        <w:t>A Reporting Entity does not have to comply with Rule 2.2.1 of the Rules to the extent that Rule 2.2.1 requires the Reporting Entity to report the information in paragraph (a) of item 5 of Table S2.1(3) in the Rules (</w:t>
      </w:r>
      <w:r w:rsidRPr="00D7714C">
        <w:rPr>
          <w:b/>
          <w:i/>
        </w:rPr>
        <w:t>Reference Entity Information</w:t>
      </w:r>
      <w:r>
        <w:t>) about an entity (</w:t>
      </w:r>
      <w:r w:rsidRPr="00DA4981">
        <w:rPr>
          <w:b/>
          <w:i/>
        </w:rPr>
        <w:t>Re</w:t>
      </w:r>
      <w:r>
        <w:rPr>
          <w:b/>
          <w:i/>
        </w:rPr>
        <w:t>ference</w:t>
      </w:r>
      <w:r w:rsidRPr="00DA4981">
        <w:rPr>
          <w:b/>
          <w:i/>
        </w:rPr>
        <w:t xml:space="preserve"> Entity</w:t>
      </w:r>
      <w:r>
        <w:t>) in relation to a Reportable Transaction or Reportable Position to a Trade Repository.</w:t>
      </w:r>
    </w:p>
    <w:p w14:paraId="17932D2B" w14:textId="77777777" w:rsidR="008B4380" w:rsidRDefault="008B4380">
      <w:pPr>
        <w:spacing w:line="240" w:lineRule="auto"/>
        <w:rPr>
          <w:rFonts w:eastAsia="Times New Roman"/>
          <w:i/>
          <w:sz w:val="24"/>
          <w:szCs w:val="24"/>
          <w:lang w:eastAsia="en-AU"/>
        </w:rPr>
      </w:pPr>
      <w:bookmarkStart w:id="17" w:name="_Hlk20401398"/>
      <w:r>
        <w:rPr>
          <w:i/>
        </w:rPr>
        <w:br w:type="page"/>
      </w:r>
    </w:p>
    <w:p w14:paraId="20505179" w14:textId="338BDC67" w:rsidR="00B91CC7" w:rsidRPr="001F3155" w:rsidRDefault="00B91CC7" w:rsidP="00B91CC7">
      <w:pPr>
        <w:pStyle w:val="LI-BodyTextNumbered"/>
        <w:rPr>
          <w:i/>
        </w:rPr>
      </w:pPr>
      <w:r w:rsidRPr="001F3155">
        <w:rPr>
          <w:i/>
        </w:rPr>
        <w:lastRenderedPageBreak/>
        <w:t>Where relief applies</w:t>
      </w:r>
    </w:p>
    <w:p w14:paraId="1A41844F" w14:textId="77777777" w:rsidR="007F51D2" w:rsidRDefault="00B91CC7" w:rsidP="00B91CC7">
      <w:pPr>
        <w:pStyle w:val="LI-BodyTextNumbered"/>
      </w:pPr>
      <w:r>
        <w:t>(2)</w:t>
      </w:r>
      <w:r>
        <w:tab/>
        <w:t>The exemption in subsection (1)</w:t>
      </w:r>
      <w:r w:rsidR="00821FCF">
        <w:t xml:space="preserve"> applies</w:t>
      </w:r>
      <w:r>
        <w:t xml:space="preserve"> where</w:t>
      </w:r>
      <w:r w:rsidR="007F51D2">
        <w:t>:</w:t>
      </w:r>
    </w:p>
    <w:p w14:paraId="4EAB4554" w14:textId="595B85BF" w:rsidR="007F51D2" w:rsidRDefault="007F51D2" w:rsidP="007F51D2">
      <w:pPr>
        <w:pStyle w:val="LI-BodyTextNumbered"/>
        <w:ind w:left="1701"/>
      </w:pPr>
      <w:r>
        <w:t>(a)</w:t>
      </w:r>
      <w:r>
        <w:tab/>
        <w:t>the Reportable Transaction or Reportable Position relates to an OTC Derivative that is a credit default swap</w:t>
      </w:r>
      <w:r w:rsidR="00A60247">
        <w:t xml:space="preserve"> or a total return swap</w:t>
      </w:r>
      <w:r>
        <w:t>;</w:t>
      </w:r>
      <w:r w:rsidR="00DD75EA">
        <w:t xml:space="preserve"> and</w:t>
      </w:r>
    </w:p>
    <w:p w14:paraId="1B8F8AF3" w14:textId="77777777" w:rsidR="007F51D2" w:rsidRDefault="007F51D2" w:rsidP="007F51D2">
      <w:pPr>
        <w:pStyle w:val="LI-BodyTextNumbered"/>
        <w:ind w:left="1701"/>
      </w:pPr>
      <w:r>
        <w:t>(b)</w:t>
      </w:r>
      <w:r>
        <w:tab/>
        <w:t xml:space="preserve">the Reporting Entity reports to the Trade Repository the CDS </w:t>
      </w:r>
      <w:r w:rsidRPr="00251797">
        <w:t>Reference Entity</w:t>
      </w:r>
      <w:r>
        <w:t xml:space="preserve"> Database code (also known as a “RED code”) issued by </w:t>
      </w:r>
      <w:r w:rsidRPr="00251797">
        <w:t xml:space="preserve">IHS Markit </w:t>
      </w:r>
      <w:r>
        <w:t>for the Reference Entity.</w:t>
      </w:r>
    </w:p>
    <w:p w14:paraId="516DCB4C" w14:textId="626AD938" w:rsidR="00A01EC8" w:rsidRPr="005D3D41" w:rsidRDefault="00A01EC8" w:rsidP="00A01EC8">
      <w:pPr>
        <w:pStyle w:val="LI-Heading2"/>
      </w:pPr>
      <w:bookmarkStart w:id="18" w:name="_Toc20409911"/>
      <w:bookmarkEnd w:id="17"/>
      <w:r>
        <w:t>6B</w:t>
      </w:r>
      <w:r>
        <w:tab/>
        <w:t>Exemption 2B (Joint Counterparties)</w:t>
      </w:r>
      <w:bookmarkEnd w:id="18"/>
    </w:p>
    <w:p w14:paraId="7C1CF600" w14:textId="77777777" w:rsidR="00A01EC8" w:rsidRDefault="00A01EC8" w:rsidP="00A01EC8">
      <w:pPr>
        <w:pStyle w:val="LI-Heading3"/>
        <w:rPr>
          <w:sz w:val="24"/>
          <w:szCs w:val="24"/>
        </w:rPr>
      </w:pPr>
      <w:r>
        <w:rPr>
          <w:sz w:val="24"/>
          <w:szCs w:val="24"/>
        </w:rPr>
        <w:t>Relief</w:t>
      </w:r>
    </w:p>
    <w:p w14:paraId="47A19C2A" w14:textId="312177AB" w:rsidR="009D6A7D" w:rsidRDefault="009D6A7D" w:rsidP="009D6A7D">
      <w:pPr>
        <w:pStyle w:val="LI-BodyTextNumbered"/>
      </w:pPr>
      <w:r>
        <w:t>(1)</w:t>
      </w:r>
      <w:r>
        <w:tab/>
        <w:t>A Reporting Entity does not have to comply with Rule 2.2.1 of the Rules to the extent that.</w:t>
      </w:r>
    </w:p>
    <w:p w14:paraId="1DF0C111" w14:textId="77777777" w:rsidR="009D6A7D" w:rsidRDefault="009D6A7D" w:rsidP="009D6A7D">
      <w:pPr>
        <w:pStyle w:val="LI-BodyTextNumbered"/>
        <w:ind w:left="1701"/>
      </w:pPr>
      <w:r>
        <w:t>(a)</w:t>
      </w:r>
      <w:r>
        <w:tab/>
        <w:t>Rule 2.2.1 requires the Reporting Entity to report Entity Information about an entity (</w:t>
      </w:r>
      <w:r w:rsidRPr="003D2BBC">
        <w:rPr>
          <w:b/>
          <w:i/>
        </w:rPr>
        <w:t>Relevant Entity</w:t>
      </w:r>
      <w:r>
        <w:t>) in relation to a Reportable Transaction or a Reportable Position to a Trade Repository;</w:t>
      </w:r>
    </w:p>
    <w:p w14:paraId="382B596E" w14:textId="6365C200" w:rsidR="009D6A7D" w:rsidRDefault="009D6A7D" w:rsidP="009D6A7D">
      <w:pPr>
        <w:pStyle w:val="LI-BodyTextNumbered"/>
        <w:ind w:left="1701"/>
      </w:pPr>
      <w:r>
        <w:t>(b)</w:t>
      </w:r>
      <w:r>
        <w:tab/>
        <w:t>the Relevant Entity is comprised</w:t>
      </w:r>
      <w:r w:rsidR="00510D6D">
        <w:t xml:space="preserve"> of</w:t>
      </w:r>
      <w:r>
        <w:t xml:space="preserve"> </w:t>
      </w:r>
      <w:r w:rsidR="00173B1F">
        <w:t xml:space="preserve">two or more </w:t>
      </w:r>
      <w:r w:rsidR="00A60247">
        <w:t>counterparties</w:t>
      </w:r>
      <w:r>
        <w:t xml:space="preserve"> that entered into the OTC Derivative the subject of the Reportable Transaction or Reportable </w:t>
      </w:r>
      <w:r w:rsidR="00286854">
        <w:t xml:space="preserve">Position </w:t>
      </w:r>
      <w:r w:rsidR="007D1914">
        <w:t>as joint or joint and several counterparties</w:t>
      </w:r>
      <w:r w:rsidR="00BC1936">
        <w:t>;</w:t>
      </w:r>
      <w:r>
        <w:t xml:space="preserve"> and</w:t>
      </w:r>
    </w:p>
    <w:p w14:paraId="7212A9E6" w14:textId="77777777" w:rsidR="009D6A7D" w:rsidRDefault="009D6A7D" w:rsidP="009D6A7D">
      <w:pPr>
        <w:pStyle w:val="LI-BodyTextNumbered"/>
        <w:ind w:left="1701"/>
      </w:pPr>
      <w:r>
        <w:t>(c)</w:t>
      </w:r>
      <w:r>
        <w:tab/>
        <w:t>Entity Information is not available for the Relevant Entity.</w:t>
      </w:r>
    </w:p>
    <w:p w14:paraId="3C1D1792" w14:textId="6FAD61BB" w:rsidR="00A01EC8" w:rsidRPr="001F3155" w:rsidRDefault="00A01EC8" w:rsidP="00A01EC8">
      <w:pPr>
        <w:pStyle w:val="LI-BodyTextNumbered"/>
        <w:rPr>
          <w:i/>
        </w:rPr>
      </w:pPr>
      <w:r w:rsidRPr="001F3155">
        <w:rPr>
          <w:i/>
        </w:rPr>
        <w:t>Where relief applies</w:t>
      </w:r>
    </w:p>
    <w:p w14:paraId="431E107C" w14:textId="1F2579C9" w:rsidR="00A01EC8" w:rsidRPr="00D86A74" w:rsidRDefault="00A01EC8" w:rsidP="00A01EC8">
      <w:pPr>
        <w:pStyle w:val="LI-BodyTextNumbered"/>
      </w:pPr>
      <w:r>
        <w:t>(2)</w:t>
      </w:r>
      <w:r>
        <w:tab/>
        <w:t>The exemption in subsection (1) applies where the Reporting Entity reports to the Trade Repository</w:t>
      </w:r>
      <w:r w:rsidR="002C1EF1" w:rsidRPr="002C1EF1">
        <w:t xml:space="preserve"> </w:t>
      </w:r>
      <w:r w:rsidR="002C1EF1">
        <w:t xml:space="preserve">the internal entity identifier for the </w:t>
      </w:r>
      <w:r w:rsidR="002C1EF1" w:rsidRPr="00D86A74">
        <w:t>Relevant Entity used by the Reporting Entity</w:t>
      </w:r>
      <w:r w:rsidRPr="00D86A74">
        <w:t>.</w:t>
      </w:r>
    </w:p>
    <w:p w14:paraId="273D2404" w14:textId="77777777" w:rsidR="00B47F53" w:rsidRPr="00D86A74" w:rsidRDefault="00B47F53" w:rsidP="00B47F53">
      <w:pPr>
        <w:pStyle w:val="LI-BodyTextNumbered"/>
        <w:rPr>
          <w:i/>
        </w:rPr>
      </w:pPr>
      <w:r w:rsidRPr="00D86A74">
        <w:rPr>
          <w:i/>
        </w:rPr>
        <w:t>Conditions</w:t>
      </w:r>
    </w:p>
    <w:p w14:paraId="6F9B6FE9" w14:textId="4263774D" w:rsidR="00B47F53" w:rsidRPr="00D86A74" w:rsidRDefault="00B47F53" w:rsidP="00B47F53">
      <w:pPr>
        <w:pStyle w:val="LI-BodyTextNumbered"/>
      </w:pPr>
      <w:r w:rsidRPr="00D86A74">
        <w:t>(3)</w:t>
      </w:r>
      <w:r w:rsidRPr="00D86A74">
        <w:tab/>
        <w:t xml:space="preserve">The Reporting Entity must maintain records of the </w:t>
      </w:r>
      <w:r w:rsidR="00A60247">
        <w:t>counterparties</w:t>
      </w:r>
      <w:r w:rsidRPr="00D86A74">
        <w:t xml:space="preserve"> that comprise the joint or joint and several counterparties to the OTC Derivative, and must be able to link those </w:t>
      </w:r>
      <w:r w:rsidR="00A60247">
        <w:t>counterparties</w:t>
      </w:r>
      <w:r w:rsidRPr="00D86A74">
        <w:t xml:space="preserve"> to the internal entity identifier reported by the Reporting Entity to the Trade Repository.</w:t>
      </w:r>
    </w:p>
    <w:p w14:paraId="39214245" w14:textId="77777777" w:rsidR="00B47F53" w:rsidRPr="00D86A74" w:rsidRDefault="00B47F53" w:rsidP="00B47F53">
      <w:pPr>
        <w:pStyle w:val="LI-BodyTextNumbered"/>
      </w:pPr>
      <w:r w:rsidRPr="00D86A74">
        <w:t>(4)</w:t>
      </w:r>
      <w:r w:rsidRPr="00D86A74">
        <w:tab/>
        <w:t>The Reporting Entity must, on written request by ASIC, provide ASIC with a written statement reporting on the Reporting Entity’s compliance with the condition in subsection (3) during the period specified in the request.</w:t>
      </w:r>
    </w:p>
    <w:p w14:paraId="4BF81806" w14:textId="7CE49824" w:rsidR="00B47F53" w:rsidRPr="00D86A74" w:rsidRDefault="00B47F53" w:rsidP="00B47F53">
      <w:pPr>
        <w:pStyle w:val="LI-BodyTextNumbered"/>
      </w:pPr>
      <w:r w:rsidRPr="00D86A74">
        <w:t>(5)</w:t>
      </w:r>
      <w:r w:rsidRPr="00D86A74">
        <w:tab/>
        <w:t xml:space="preserve">The Reporting Entity must, on written request by ASIC, provide ASIC with a written statement identifying the </w:t>
      </w:r>
      <w:r w:rsidR="00A60247">
        <w:t>counterparties</w:t>
      </w:r>
      <w:r w:rsidRPr="00D86A74">
        <w:t xml:space="preserve"> that comprise the joint or joint and several counterparties that are linked to an internal entity </w:t>
      </w:r>
      <w:r w:rsidRPr="00D86A74">
        <w:lastRenderedPageBreak/>
        <w:t>identifier that has been reported by the Reporting Entity to the Trade Repository.</w:t>
      </w:r>
    </w:p>
    <w:p w14:paraId="07BE788C" w14:textId="77777777" w:rsidR="00B47F53" w:rsidRDefault="00B47F53" w:rsidP="00B47F53">
      <w:pPr>
        <w:pStyle w:val="LI-BodyTextNumbered"/>
      </w:pPr>
      <w:r w:rsidRPr="00D86A74">
        <w:t>(6)</w:t>
      </w:r>
      <w:r w:rsidRPr="00D86A74">
        <w:tab/>
        <w:t>The Reporting Entity must provide a written statement under subsection (4) or (5) within the time specified in the written request by ASIC or, if no time is specified, within a reasonable time.</w:t>
      </w:r>
    </w:p>
    <w:p w14:paraId="44CFA8EC" w14:textId="79597003" w:rsidR="00DA4981" w:rsidRPr="005D3D41" w:rsidRDefault="00A80A31" w:rsidP="00DA4981">
      <w:pPr>
        <w:pStyle w:val="LI-Heading2"/>
      </w:pPr>
      <w:r>
        <w:t xml:space="preserve"> </w:t>
      </w:r>
      <w:bookmarkStart w:id="19" w:name="_Toc20409912"/>
      <w:r w:rsidR="001F3155">
        <w:t>7</w:t>
      </w:r>
      <w:r w:rsidR="00DA4981">
        <w:tab/>
        <w:t xml:space="preserve">Exemption </w:t>
      </w:r>
      <w:r w:rsidR="001F3155">
        <w:t>3</w:t>
      </w:r>
      <w:r w:rsidR="00DA4981">
        <w:t xml:space="preserve"> (</w:t>
      </w:r>
      <w:r w:rsidR="001F3155">
        <w:t>Name</w:t>
      </w:r>
      <w:r w:rsidR="00DA4981">
        <w:t xml:space="preserve"> Information)</w:t>
      </w:r>
      <w:bookmarkEnd w:id="19"/>
    </w:p>
    <w:p w14:paraId="6D904D6F" w14:textId="77777777" w:rsidR="00DA4981" w:rsidRPr="001F3155" w:rsidRDefault="00DA4981" w:rsidP="00DA4981">
      <w:pPr>
        <w:pStyle w:val="LI-Heading3"/>
        <w:rPr>
          <w:sz w:val="24"/>
          <w:szCs w:val="24"/>
        </w:rPr>
      </w:pPr>
      <w:r w:rsidRPr="001F3155">
        <w:rPr>
          <w:sz w:val="24"/>
          <w:szCs w:val="24"/>
        </w:rPr>
        <w:t>Relief</w:t>
      </w:r>
    </w:p>
    <w:p w14:paraId="53F78426" w14:textId="41DA0006" w:rsidR="00FE307B" w:rsidRPr="001F3155" w:rsidRDefault="00DA4981" w:rsidP="00FE307B">
      <w:pPr>
        <w:pStyle w:val="LI-BodyTextNumbered"/>
      </w:pPr>
      <w:r w:rsidRPr="001F3155">
        <w:t>(1)</w:t>
      </w:r>
      <w:r w:rsidRPr="001F3155">
        <w:tab/>
      </w:r>
      <w:bookmarkStart w:id="20" w:name="_Ref399276719"/>
      <w:r w:rsidRPr="001F3155">
        <w:t xml:space="preserve">From 1 October 2015 to </w:t>
      </w:r>
      <w:r w:rsidR="00370680">
        <w:t>30 September 2020</w:t>
      </w:r>
      <w:r w:rsidRPr="001F3155">
        <w:t>, a Reporting Entity does not have to comply with Rule 2.2.1 of the Rules to the extent that Rule requires the Reporting Entity to report Name Information about an entity (</w:t>
      </w:r>
      <w:r w:rsidRPr="001F3155">
        <w:rPr>
          <w:b/>
          <w:i/>
        </w:rPr>
        <w:t>Relevant Entity</w:t>
      </w:r>
      <w:r w:rsidRPr="001F3155">
        <w:t>) in relation to a Reportable Transaction or Reportable Position to a Trade Repository.</w:t>
      </w:r>
    </w:p>
    <w:p w14:paraId="59958423" w14:textId="77777777" w:rsidR="001F3155" w:rsidRPr="001F3155" w:rsidRDefault="001F3155" w:rsidP="001F3155">
      <w:pPr>
        <w:pStyle w:val="LI-BodyTextNumbered"/>
        <w:rPr>
          <w:i/>
        </w:rPr>
      </w:pPr>
      <w:r w:rsidRPr="001F3155">
        <w:rPr>
          <w:i/>
        </w:rPr>
        <w:t>Where relief applies</w:t>
      </w:r>
    </w:p>
    <w:p w14:paraId="57FB26DA" w14:textId="77777777" w:rsidR="00FE307B" w:rsidRPr="001F3155" w:rsidRDefault="00FE307B" w:rsidP="001F3155">
      <w:pPr>
        <w:pStyle w:val="LI-BodyTextNumbered"/>
        <w:rPr>
          <w:b/>
        </w:rPr>
      </w:pPr>
      <w:r w:rsidRPr="001F3155">
        <w:t>(2)</w:t>
      </w:r>
      <w:r w:rsidRPr="001F3155">
        <w:tab/>
      </w:r>
      <w:r w:rsidR="00DA4981" w:rsidRPr="001F3155">
        <w:t xml:space="preserve">The exemption in </w:t>
      </w:r>
      <w:r w:rsidRPr="001F3155">
        <w:t>subsection (1)</w:t>
      </w:r>
      <w:r w:rsidR="00DA4981" w:rsidRPr="001F3155">
        <w:t xml:space="preserve"> applies where the Reporting Entity reports to the Trade Repository an identifier for the Relevant Entity that is a Legal Entity Identifier (</w:t>
      </w:r>
      <w:r w:rsidR="00DA4981" w:rsidRPr="001F3155">
        <w:rPr>
          <w:b/>
          <w:i/>
        </w:rPr>
        <w:t>LEI</w:t>
      </w:r>
      <w:r w:rsidR="00DA4981" w:rsidRPr="001F3155">
        <w:t>), interim entity identifier, Designated Business Identifier or Business Identifier Code (</w:t>
      </w:r>
      <w:r w:rsidR="00DA4981" w:rsidRPr="001F3155">
        <w:rPr>
          <w:b/>
          <w:i/>
        </w:rPr>
        <w:t>BIC Code</w:t>
      </w:r>
      <w:bookmarkEnd w:id="20"/>
      <w:r w:rsidR="00DA4981" w:rsidRPr="001F3155">
        <w:t>).</w:t>
      </w:r>
      <w:r w:rsidR="00DA4981" w:rsidRPr="001F3155">
        <w:rPr>
          <w:b/>
          <w:i/>
        </w:rPr>
        <w:t xml:space="preserve"> </w:t>
      </w:r>
    </w:p>
    <w:p w14:paraId="590E67DD" w14:textId="77777777" w:rsidR="00FE307B" w:rsidRDefault="001F3155" w:rsidP="001F3155">
      <w:pPr>
        <w:pStyle w:val="LI-Heading2"/>
      </w:pPr>
      <w:bookmarkStart w:id="21" w:name="_Toc20409913"/>
      <w:r>
        <w:t>8</w:t>
      </w:r>
      <w:r>
        <w:tab/>
      </w:r>
      <w:r w:rsidR="00FE307B">
        <w:t>Exemption 4 (Privacy – Consent for historical counterparties)</w:t>
      </w:r>
      <w:bookmarkEnd w:id="21"/>
    </w:p>
    <w:p w14:paraId="18B36DFE" w14:textId="77777777" w:rsidR="001F3155" w:rsidRPr="001F3155" w:rsidRDefault="001F3155" w:rsidP="00FE307B">
      <w:pPr>
        <w:pStyle w:val="LI-BodyTextNumbered"/>
        <w:rPr>
          <w:i/>
        </w:rPr>
      </w:pPr>
      <w:r w:rsidRPr="001F3155">
        <w:rPr>
          <w:i/>
        </w:rPr>
        <w:t>Relief</w:t>
      </w:r>
    </w:p>
    <w:p w14:paraId="368F618C" w14:textId="75AB9CA7" w:rsidR="00FE307B" w:rsidRDefault="001F3155" w:rsidP="00FE307B">
      <w:pPr>
        <w:pStyle w:val="LI-BodyTextNumbered"/>
      </w:pPr>
      <w:r>
        <w:t>(1)</w:t>
      </w:r>
      <w:r w:rsidR="00FE307B">
        <w:tab/>
        <w:t xml:space="preserve">From 1 October 2015 to </w:t>
      </w:r>
      <w:r w:rsidR="00F04EFF" w:rsidRPr="00F04EFF">
        <w:t>30 September 2020</w:t>
      </w:r>
      <w:r w:rsidR="00FE307B">
        <w:t>, a Reporting Entity does not have to comply with Rule 2.2.1 of the Rules to the extent that Rule requires the Reporting Entity to report Identifyin</w:t>
      </w:r>
      <w:r w:rsidR="008F062C">
        <w:t>g Information in relation to a</w:t>
      </w:r>
      <w:r w:rsidR="00FE307B">
        <w:t xml:space="preserve"> Historic Reportable Position to a Trade Repository, where at the time the Identifying Information is required to be reported:</w:t>
      </w:r>
    </w:p>
    <w:p w14:paraId="359DFB25" w14:textId="77777777" w:rsidR="00FE307B" w:rsidRDefault="00FE307B" w:rsidP="001F3155">
      <w:pPr>
        <w:pStyle w:val="LI-BodyTextNumbered"/>
        <w:ind w:left="1701"/>
      </w:pPr>
      <w:r>
        <w:t>(a)</w:t>
      </w:r>
      <w:r>
        <w:tab/>
        <w:t>the Reporting Entity has not obtained the express consent (</w:t>
      </w:r>
      <w:r w:rsidRPr="001F3155">
        <w:rPr>
          <w:b/>
          <w:i/>
        </w:rPr>
        <w:t>Consent</w:t>
      </w:r>
      <w:r>
        <w:t>) of the counterparty (</w:t>
      </w:r>
      <w:r w:rsidRPr="001F3155">
        <w:rPr>
          <w:b/>
          <w:i/>
        </w:rPr>
        <w:t>Relevant Counterparty</w:t>
      </w:r>
      <w:r>
        <w:t>) to which the Identifying Information relates to the Identifying Information being reported; and</w:t>
      </w:r>
    </w:p>
    <w:p w14:paraId="08B898A1" w14:textId="77777777" w:rsidR="00FE307B" w:rsidRDefault="00FE307B" w:rsidP="001F3155">
      <w:pPr>
        <w:pStyle w:val="LI-BodyTextNumbered"/>
        <w:ind w:left="1701"/>
      </w:pPr>
      <w:r>
        <w:t>(b)</w:t>
      </w:r>
      <w:r>
        <w:tab/>
        <w:t>the Reporting En</w:t>
      </w:r>
      <w:r w:rsidR="001F3155">
        <w:t>tity is of the reasonable view</w:t>
      </w:r>
      <w:r>
        <w:t xml:space="preserve"> that if the Reporting Entity reported the Identifying Information without obtaining the Consent, the</w:t>
      </w:r>
      <w:r w:rsidR="001F3155">
        <w:t xml:space="preserve"> Reporting Entity would breach</w:t>
      </w:r>
      <w:r>
        <w:t>:</w:t>
      </w:r>
    </w:p>
    <w:p w14:paraId="2CC41854" w14:textId="77777777" w:rsidR="00FE307B" w:rsidRDefault="00FE307B" w:rsidP="001F3155">
      <w:pPr>
        <w:pStyle w:val="LI-BodyTextSubparai"/>
      </w:pPr>
      <w:r>
        <w:t>(i)</w:t>
      </w:r>
      <w:r>
        <w:tab/>
        <w:t>a duty of confidence owed by the Reporting Entity to the Relevant Counterparty which is actionable at law by the Relevant Counterparty; or</w:t>
      </w:r>
    </w:p>
    <w:p w14:paraId="79E61F0F" w14:textId="77777777" w:rsidR="00FE307B" w:rsidRDefault="00FE307B" w:rsidP="001F3155">
      <w:pPr>
        <w:pStyle w:val="LI-BodyTextSubparai"/>
      </w:pPr>
      <w:r>
        <w:t>(ii)</w:t>
      </w:r>
      <w:r>
        <w:tab/>
        <w:t>a contractual duty owed by the Reporting Entity to the Relevant Counterparty; or</w:t>
      </w:r>
    </w:p>
    <w:p w14:paraId="0C428CC5" w14:textId="77777777" w:rsidR="00FE307B" w:rsidRDefault="00FE307B" w:rsidP="001F3155">
      <w:pPr>
        <w:pStyle w:val="LI-BodyTextSubparai"/>
      </w:pPr>
      <w:r>
        <w:lastRenderedPageBreak/>
        <w:t>(iii)</w:t>
      </w:r>
      <w:r>
        <w:tab/>
        <w:t>a provision of a law or regulation of a foreign jurisdiction that applies to the Reporting Entity in its dealings with the Relevant Counterparty.</w:t>
      </w:r>
    </w:p>
    <w:p w14:paraId="701F20E1" w14:textId="77777777" w:rsidR="001F3155" w:rsidRPr="001F3155" w:rsidRDefault="001F3155" w:rsidP="001F3155">
      <w:pPr>
        <w:pStyle w:val="LI-BodyTextNumbered"/>
        <w:rPr>
          <w:i/>
        </w:rPr>
      </w:pPr>
      <w:r w:rsidRPr="001F3155">
        <w:rPr>
          <w:i/>
        </w:rPr>
        <w:t>Conditions</w:t>
      </w:r>
    </w:p>
    <w:p w14:paraId="753D443B" w14:textId="77777777" w:rsidR="001F3155" w:rsidRDefault="001F3155" w:rsidP="001F3155">
      <w:pPr>
        <w:pStyle w:val="LI-BodyTextNumbered"/>
      </w:pPr>
      <w:r>
        <w:t>(2)</w:t>
      </w:r>
      <w:r>
        <w:tab/>
        <w:t>The Reporting Entity must use all reasonable endeavours to obtain the Consent from the Relevant Counterparty as soon as reasonably practicable.</w:t>
      </w:r>
    </w:p>
    <w:p w14:paraId="4A6F8C3C" w14:textId="77777777" w:rsidR="001F3155" w:rsidRDefault="001F3155" w:rsidP="001F3155">
      <w:pPr>
        <w:pStyle w:val="LI-BodyTextNumbered"/>
      </w:pPr>
      <w:r>
        <w:t>(3)</w:t>
      </w:r>
      <w:r>
        <w:tab/>
        <w:t>As soon as reasonably practicable after the Relevant Counterparty gives the Consent, the Reporting Entity must use all reasonable endeavours to report the Identifying Information to the Trade Repository to which the Historic Reportable Position was reported, unless the OTC Derivative the subject of the Historic Reportable Position has been terminated or has expired.</w:t>
      </w:r>
    </w:p>
    <w:p w14:paraId="3463BCEE" w14:textId="77777777" w:rsidR="001F3155" w:rsidRPr="001F3155" w:rsidRDefault="001F3155" w:rsidP="00096EA7">
      <w:pPr>
        <w:pStyle w:val="LI-BodyTextNumbered"/>
      </w:pPr>
      <w:r>
        <w:t>(4)</w:t>
      </w:r>
      <w:r>
        <w:tab/>
        <w:t>The Reporting Entity must</w:t>
      </w:r>
      <w:r w:rsidR="00B70CE6">
        <w:t>,</w:t>
      </w:r>
      <w:r w:rsidR="005353CB" w:rsidDel="005353CB">
        <w:t xml:space="preserve"> </w:t>
      </w:r>
      <w:r>
        <w:t xml:space="preserve">on </w:t>
      </w:r>
      <w:r w:rsidR="00B70CE6">
        <w:t xml:space="preserve">written </w:t>
      </w:r>
      <w:r>
        <w:t>request by ASIC, provide ASIC with a document reporting on the Reporting Entity’s</w:t>
      </w:r>
      <w:r w:rsidRPr="00B70CE6">
        <w:t xml:space="preserve"> </w:t>
      </w:r>
      <w:r w:rsidR="005353CB" w:rsidRPr="00096EA7">
        <w:t>reasonable endeavours to obtain the Consent from the Relevant Counterparty</w:t>
      </w:r>
      <w:r w:rsidR="00B70CE6" w:rsidRPr="00096EA7">
        <w:t>,</w:t>
      </w:r>
      <w:r w:rsidRPr="00B70CE6">
        <w:t xml:space="preserve"> </w:t>
      </w:r>
      <w:r>
        <w:t>within the time specified in the request or if no time is specified, within a reasonable time, covering the period up to the time of the request.</w:t>
      </w:r>
    </w:p>
    <w:p w14:paraId="7153B5D9" w14:textId="77777777" w:rsidR="00FE307B" w:rsidRPr="001F3155" w:rsidRDefault="001F3155" w:rsidP="00FE307B">
      <w:pPr>
        <w:pStyle w:val="LI-BodyTextNumbered"/>
        <w:rPr>
          <w:i/>
        </w:rPr>
      </w:pPr>
      <w:r w:rsidRPr="001F3155">
        <w:rPr>
          <w:i/>
        </w:rPr>
        <w:t>Exclusion</w:t>
      </w:r>
    </w:p>
    <w:p w14:paraId="3374394C" w14:textId="77777777" w:rsidR="00FE307B" w:rsidRDefault="001F3155" w:rsidP="00FE307B">
      <w:pPr>
        <w:pStyle w:val="LI-BodyTextNumbered"/>
      </w:pPr>
      <w:r>
        <w:t>(5)</w:t>
      </w:r>
      <w:r w:rsidR="00FE307B">
        <w:tab/>
        <w:t xml:space="preserve">The exemption in </w:t>
      </w:r>
      <w:r>
        <w:t>subsection (1)</w:t>
      </w:r>
      <w:r w:rsidR="00FE307B">
        <w:t xml:space="preserve"> does not apply if the Reporting Entity has entered into </w:t>
      </w:r>
      <w:r w:rsidR="005255A0">
        <w:t xml:space="preserve">one or more </w:t>
      </w:r>
      <w:r w:rsidR="00FE307B">
        <w:t>OTC Derivative</w:t>
      </w:r>
      <w:r w:rsidR="005255A0">
        <w:t>s</w:t>
      </w:r>
      <w:r w:rsidR="00FE307B">
        <w:t xml:space="preserve"> with the Relevant Counterparty on or after 1 January 2015.   </w:t>
      </w:r>
    </w:p>
    <w:p w14:paraId="0CC6EF01" w14:textId="77777777" w:rsidR="00FE307B" w:rsidRPr="001F3155" w:rsidRDefault="001F3155" w:rsidP="00FE307B">
      <w:pPr>
        <w:pStyle w:val="LI-BodyTextNumbered"/>
        <w:rPr>
          <w:i/>
        </w:rPr>
      </w:pPr>
      <w:r w:rsidRPr="001F3155">
        <w:rPr>
          <w:i/>
        </w:rPr>
        <w:t>Definitions</w:t>
      </w:r>
      <w:r w:rsidR="00FE307B" w:rsidRPr="001F3155">
        <w:rPr>
          <w:i/>
        </w:rPr>
        <w:t xml:space="preserve"> </w:t>
      </w:r>
    </w:p>
    <w:p w14:paraId="46CBBD66" w14:textId="77777777" w:rsidR="00FE307B" w:rsidRDefault="001F3155" w:rsidP="001F3155">
      <w:pPr>
        <w:pStyle w:val="LI-BodyTextNumbered"/>
      </w:pPr>
      <w:r>
        <w:t>(6)</w:t>
      </w:r>
      <w:r w:rsidR="00FE307B">
        <w:tab/>
        <w:t xml:space="preserve">For the purposes of </w:t>
      </w:r>
      <w:r>
        <w:t>this section:</w:t>
      </w:r>
    </w:p>
    <w:p w14:paraId="112DC933" w14:textId="77777777" w:rsidR="00FE307B" w:rsidRDefault="00FE307B" w:rsidP="001F3155">
      <w:pPr>
        <w:pStyle w:val="LI-BodyTextNumbered"/>
        <w:ind w:firstLine="0"/>
      </w:pPr>
      <w:r w:rsidRPr="001F3155">
        <w:rPr>
          <w:b/>
          <w:i/>
        </w:rPr>
        <w:t>Agency Agreement</w:t>
      </w:r>
      <w:r>
        <w:t xml:space="preserve"> means a legally binding agreement between the Relevant Counterparty and an Intermediary that has an Historic OTC Derivatives (Intermediary) Agreement with the Reporting Entity.</w:t>
      </w:r>
    </w:p>
    <w:p w14:paraId="248C6685" w14:textId="77777777" w:rsidR="00FE307B" w:rsidRDefault="00FE307B" w:rsidP="001F3155">
      <w:pPr>
        <w:pStyle w:val="LI-BodyTextNumbered"/>
        <w:ind w:firstLine="0"/>
      </w:pPr>
      <w:r w:rsidRPr="001F3155">
        <w:rPr>
          <w:b/>
          <w:i/>
        </w:rPr>
        <w:t>Historic OTC Derivatives Agreement</w:t>
      </w:r>
      <w:r>
        <w:t xml:space="preserve"> means a legally binding agreement between the Relevant Counterparty and the Reporting Entity that was in place as at 31 May 2014, under which the Relevant Counterparty:</w:t>
      </w:r>
    </w:p>
    <w:p w14:paraId="3945D09D" w14:textId="77777777" w:rsidR="00FE307B" w:rsidRDefault="00FE307B" w:rsidP="001F3155">
      <w:pPr>
        <w:pStyle w:val="LI-BodyTextNumbered"/>
        <w:ind w:left="1701"/>
      </w:pPr>
      <w:r>
        <w:t>(a)</w:t>
      </w:r>
      <w:r>
        <w:tab/>
        <w:t>may enter into OTC Derivatives with the Reporting Entity; or</w:t>
      </w:r>
    </w:p>
    <w:p w14:paraId="4660D7C6" w14:textId="77777777" w:rsidR="00FE307B" w:rsidRDefault="00FE307B" w:rsidP="001F3155">
      <w:pPr>
        <w:pStyle w:val="LI-BodyTextNumbered"/>
        <w:ind w:left="1701"/>
      </w:pPr>
      <w:r>
        <w:t>(b)</w:t>
      </w:r>
      <w:r>
        <w:tab/>
        <w:t>had entered into one or more OTC Derivatives with the Reporting Entity on or before 31 May 2014.</w:t>
      </w:r>
    </w:p>
    <w:p w14:paraId="0C429E60" w14:textId="77777777" w:rsidR="00FE307B" w:rsidRDefault="00FE307B" w:rsidP="001F3155">
      <w:pPr>
        <w:pStyle w:val="LI-BodyTextNumbered"/>
        <w:ind w:firstLine="0"/>
      </w:pPr>
      <w:r w:rsidRPr="001F3155">
        <w:rPr>
          <w:b/>
          <w:i/>
        </w:rPr>
        <w:t>Historic OTC Derivatives (Intermediary) Agreement</w:t>
      </w:r>
      <w:r>
        <w:t xml:space="preserve"> means a legally binding agreement between a person (the </w:t>
      </w:r>
      <w:r w:rsidRPr="0063243A">
        <w:rPr>
          <w:b/>
          <w:i/>
        </w:rPr>
        <w:t>Intermediary</w:t>
      </w:r>
      <w:r>
        <w:t>) and the Reporting Entity that was in place as at 31 May 2014, under which the Intermediary:</w:t>
      </w:r>
    </w:p>
    <w:p w14:paraId="72C27B60" w14:textId="77777777" w:rsidR="00FE307B" w:rsidRDefault="00FE307B" w:rsidP="001F3155">
      <w:pPr>
        <w:pStyle w:val="LI-BodyTextNumbered"/>
        <w:ind w:left="1701"/>
      </w:pPr>
      <w:r>
        <w:lastRenderedPageBreak/>
        <w:t>(a)</w:t>
      </w:r>
      <w:r>
        <w:tab/>
        <w:t>may enter into OTC Derivatives with the Reporting Entity on behalf of other persons, pursuant to legally binding agreements between the Intermediary and those other persons; or</w:t>
      </w:r>
    </w:p>
    <w:p w14:paraId="2A03FC0D" w14:textId="77777777" w:rsidR="00FE307B" w:rsidRDefault="00FE307B" w:rsidP="001F3155">
      <w:pPr>
        <w:pStyle w:val="LI-BodyTextNumbered"/>
        <w:ind w:left="1701"/>
      </w:pPr>
      <w:r>
        <w:t>(b)</w:t>
      </w:r>
      <w:r>
        <w:tab/>
        <w:t>had entered into one or more OTC Derivatives with the Reporting Entity on behalf of other persons, on or bef</w:t>
      </w:r>
      <w:r w:rsidR="001F3155">
        <w:t>ore 31 May 2014.</w:t>
      </w:r>
    </w:p>
    <w:p w14:paraId="75E94108" w14:textId="77777777" w:rsidR="00FE307B" w:rsidRDefault="00FE307B" w:rsidP="001F3155">
      <w:pPr>
        <w:pStyle w:val="LI-BodyTextNumbered"/>
        <w:ind w:firstLine="0"/>
      </w:pPr>
      <w:r w:rsidRPr="001F3155">
        <w:rPr>
          <w:b/>
          <w:i/>
        </w:rPr>
        <w:t>Historic Reportable Position</w:t>
      </w:r>
      <w:r>
        <w:t xml:space="preserve"> means a Reportable Position that was entered into:</w:t>
      </w:r>
    </w:p>
    <w:p w14:paraId="1070C699" w14:textId="77777777" w:rsidR="00FE307B" w:rsidRDefault="00FE307B" w:rsidP="001F3155">
      <w:pPr>
        <w:pStyle w:val="LI-BodyTextNumbered"/>
        <w:ind w:left="1701"/>
      </w:pPr>
      <w:r>
        <w:t>(a)</w:t>
      </w:r>
      <w:r>
        <w:tab/>
        <w:t>before 1 January 2015; and</w:t>
      </w:r>
    </w:p>
    <w:p w14:paraId="517F8444" w14:textId="77777777" w:rsidR="00FE307B" w:rsidRDefault="00FE307B" w:rsidP="001F3155">
      <w:pPr>
        <w:pStyle w:val="LI-BodyTextNumbered"/>
        <w:ind w:left="1701"/>
      </w:pPr>
      <w:r>
        <w:t>(b)</w:t>
      </w:r>
      <w:r>
        <w:tab/>
        <w:t>pursuant to:</w:t>
      </w:r>
    </w:p>
    <w:p w14:paraId="240216BF" w14:textId="77777777" w:rsidR="00FE307B" w:rsidRDefault="00FE307B" w:rsidP="001F3155">
      <w:pPr>
        <w:pStyle w:val="LI-BodyTextSubparai"/>
      </w:pPr>
      <w:r>
        <w:t>(i)</w:t>
      </w:r>
      <w:r>
        <w:tab/>
        <w:t>an Historic OTC Derivatives Agreement between the Relevant Counterparty and the Reporting Entity; or</w:t>
      </w:r>
    </w:p>
    <w:p w14:paraId="7F2F6264" w14:textId="77777777" w:rsidR="00FE307B" w:rsidRDefault="00FE307B" w:rsidP="001F3155">
      <w:pPr>
        <w:pStyle w:val="LI-BodyTextSubparai"/>
      </w:pPr>
      <w:r>
        <w:t>(ii)</w:t>
      </w:r>
      <w:r>
        <w:tab/>
        <w:t>an  Agency Agreement that was in place as at 31 July 2014, under which the Relevant Counterparty had entered into one or more OTC Derivatives with the Reporting Entity through the Intermed</w:t>
      </w:r>
      <w:r w:rsidR="001F3155">
        <w:t>iary on or before 31 July 2014.</w:t>
      </w:r>
    </w:p>
    <w:p w14:paraId="57DEA1B2" w14:textId="77777777" w:rsidR="007C55C8" w:rsidRPr="005D3D41" w:rsidRDefault="0081672F" w:rsidP="007C55C8">
      <w:pPr>
        <w:pStyle w:val="LI-Heading2"/>
      </w:pPr>
      <w:bookmarkStart w:id="22" w:name="_Toc20409914"/>
      <w:r>
        <w:t>9</w:t>
      </w:r>
      <w:r w:rsidR="007C55C8">
        <w:tab/>
        <w:t>Exemption 5 (Privacy – Foreign privacy restrictions)</w:t>
      </w:r>
      <w:bookmarkEnd w:id="22"/>
    </w:p>
    <w:p w14:paraId="12EDFDD0" w14:textId="77777777" w:rsidR="001F3155" w:rsidRPr="007C55C8" w:rsidRDefault="007C55C8" w:rsidP="007C55C8">
      <w:pPr>
        <w:pStyle w:val="LI-Heading3"/>
        <w:rPr>
          <w:sz w:val="24"/>
          <w:szCs w:val="24"/>
        </w:rPr>
      </w:pPr>
      <w:r w:rsidRPr="001F3155">
        <w:rPr>
          <w:sz w:val="24"/>
          <w:szCs w:val="24"/>
        </w:rPr>
        <w:t>Relief</w:t>
      </w:r>
    </w:p>
    <w:p w14:paraId="4F2EC75D" w14:textId="4AB92949" w:rsidR="001F3155" w:rsidRDefault="007C55C8" w:rsidP="001F3155">
      <w:pPr>
        <w:pStyle w:val="LI-BodyTextNumbered"/>
      </w:pPr>
      <w:r>
        <w:t>(1)</w:t>
      </w:r>
      <w:r w:rsidR="001F3155">
        <w:tab/>
        <w:t xml:space="preserve">From 1 October 2015 to </w:t>
      </w:r>
      <w:r w:rsidR="00F04EFF" w:rsidRPr="00F04EFF">
        <w:t>30 September 2020</w:t>
      </w:r>
      <w:r w:rsidR="001F3155">
        <w:t>, a Reporting Entity does not have to comply with Rule 2.2.1 of the Rules to the extent that Rule requires the Reporting Entity to report Identifying Information in relation to a Reportable Transaction or Reportable Position to a Trade Repository, where at the time the Identifying Information is required to be reported:</w:t>
      </w:r>
    </w:p>
    <w:p w14:paraId="50A31A78" w14:textId="77777777" w:rsidR="001F3155" w:rsidRDefault="001F3155" w:rsidP="007C55C8">
      <w:pPr>
        <w:pStyle w:val="LI-BodyTextNumbered"/>
        <w:ind w:left="1701"/>
      </w:pPr>
      <w:r>
        <w:t>(a)</w:t>
      </w:r>
      <w:r>
        <w:tab/>
        <w:t>the Reporting Entity is of the reasonable view that the Reporting Entity would breach a law or regulation of a Relevant Foreign Jurisdiction if the Reporting Entity reported the Identifying Information to the Trade Repository; and</w:t>
      </w:r>
    </w:p>
    <w:p w14:paraId="1C3B45B6" w14:textId="77777777" w:rsidR="001F3155" w:rsidRDefault="001F3155" w:rsidP="007C55C8">
      <w:pPr>
        <w:pStyle w:val="LI-BodyTextNumbered"/>
        <w:ind w:left="1701"/>
      </w:pPr>
      <w:r>
        <w:t>(b)</w:t>
      </w:r>
      <w:r>
        <w:tab/>
        <w:t>the Reporting Entity has a written opinion of external legal counsel that supports the view referred to in</w:t>
      </w:r>
      <w:r w:rsidR="0063243A">
        <w:t xml:space="preserve"> </w:t>
      </w:r>
      <w:r>
        <w:t>paragraph (a); and</w:t>
      </w:r>
    </w:p>
    <w:p w14:paraId="28EE21F9" w14:textId="77777777" w:rsidR="001F3155" w:rsidRDefault="001F3155" w:rsidP="007C55C8">
      <w:pPr>
        <w:pStyle w:val="LI-BodyTextNumbered"/>
        <w:ind w:left="1701"/>
      </w:pPr>
      <w:r>
        <w:t>(c)</w:t>
      </w:r>
      <w:r>
        <w:tab/>
        <w:t xml:space="preserve">the Reporting Entity is reasonably satisfied that the law or regulation the subject of the written </w:t>
      </w:r>
      <w:r w:rsidR="0063243A">
        <w:t xml:space="preserve">legal opinion referred to in </w:t>
      </w:r>
      <w:r>
        <w:t>paragraph (b) has not changed in any relevant respect since the date the opinion was issued.</w:t>
      </w:r>
    </w:p>
    <w:p w14:paraId="529A128A" w14:textId="77777777" w:rsidR="001F3155" w:rsidRPr="007C55C8" w:rsidRDefault="007C55C8" w:rsidP="001F3155">
      <w:pPr>
        <w:pStyle w:val="LI-BodyTextNumbered"/>
        <w:rPr>
          <w:i/>
        </w:rPr>
      </w:pPr>
      <w:r>
        <w:rPr>
          <w:i/>
        </w:rPr>
        <w:t>Conditions</w:t>
      </w:r>
    </w:p>
    <w:p w14:paraId="7BC6241A" w14:textId="77777777" w:rsidR="001F3155" w:rsidRDefault="007C55C8" w:rsidP="007C55C8">
      <w:pPr>
        <w:pStyle w:val="LI-BodyTextNumbered"/>
      </w:pPr>
      <w:r>
        <w:t>(2)</w:t>
      </w:r>
      <w:r w:rsidR="001F3155">
        <w:tab/>
      </w:r>
      <w:r>
        <w:t>As</w:t>
      </w:r>
      <w:r w:rsidR="001F3155">
        <w:t xml:space="preserve"> soon as reasonably practicable after the Reporting Entity becomes reasonably satisfied that the Reporting Entity would no longer breach the law or regulation of the Relevant Foreign Jurisdiction if the Reporting Entity reported the Identifying Information to the Trade Repository, the </w:t>
      </w:r>
      <w:r w:rsidR="001F3155">
        <w:lastRenderedPageBreak/>
        <w:t>Reporting Entity must use all reasonable endeavours to report the Identifying Information to the Trade Repository to which the Reportable Transaction or Reportable Position was reported, unless the OTC Derivative the subject of the Reportable Transaction or Reportable Position has been terminated or has expired</w:t>
      </w:r>
      <w:r>
        <w:t>.</w:t>
      </w:r>
    </w:p>
    <w:p w14:paraId="7B63EFD4" w14:textId="77777777" w:rsidR="007C55C8" w:rsidRDefault="001F3155" w:rsidP="007C55C8">
      <w:pPr>
        <w:pStyle w:val="LI-BodyTextNumbered"/>
      </w:pPr>
      <w:r>
        <w:t>(</w:t>
      </w:r>
      <w:r w:rsidR="007C55C8">
        <w:t>3</w:t>
      </w:r>
      <w:r>
        <w:t>)</w:t>
      </w:r>
      <w:r>
        <w:tab/>
      </w:r>
      <w:r w:rsidR="007C55C8">
        <w:t>T</w:t>
      </w:r>
      <w:r>
        <w:t xml:space="preserve">he Reporting Entity must, on request by ASIC and as soon as reasonably practicable following such request, give ASIC a copy of the written legal opinion referred to in </w:t>
      </w:r>
      <w:r w:rsidR="007C55C8">
        <w:t>paragraph (1)</w:t>
      </w:r>
      <w:r>
        <w:t>(b) in respect of the Relevant Foreign Jurisdiction.</w:t>
      </w:r>
    </w:p>
    <w:p w14:paraId="43F497EB" w14:textId="77777777" w:rsidR="007C55C8" w:rsidRPr="007C55C8" w:rsidRDefault="0081672F" w:rsidP="007C55C8">
      <w:pPr>
        <w:pStyle w:val="LI-Heading2"/>
      </w:pPr>
      <w:bookmarkStart w:id="23" w:name="_Toc20409915"/>
      <w:r>
        <w:t>10</w:t>
      </w:r>
      <w:r w:rsidR="007C55C8" w:rsidRPr="007C55C8">
        <w:tab/>
        <w:t>Exemption 6 (Privacy – Identifying Information of Government Entities)</w:t>
      </w:r>
      <w:bookmarkEnd w:id="23"/>
    </w:p>
    <w:p w14:paraId="1974EE9C" w14:textId="77777777" w:rsidR="007C55C8" w:rsidRPr="007C55C8" w:rsidRDefault="007C55C8" w:rsidP="007C55C8">
      <w:pPr>
        <w:pStyle w:val="LI-Heading3"/>
        <w:rPr>
          <w:sz w:val="24"/>
          <w:szCs w:val="24"/>
        </w:rPr>
      </w:pPr>
      <w:bookmarkStart w:id="24" w:name="_Ref428196058"/>
      <w:bookmarkStart w:id="25" w:name="_Ref428270620"/>
      <w:r w:rsidRPr="001F3155">
        <w:rPr>
          <w:sz w:val="24"/>
          <w:szCs w:val="24"/>
        </w:rPr>
        <w:t>Relief</w:t>
      </w:r>
    </w:p>
    <w:p w14:paraId="35F2A127" w14:textId="77777777" w:rsidR="007C55C8" w:rsidRDefault="007C55C8" w:rsidP="007C55C8">
      <w:pPr>
        <w:pStyle w:val="LI-BodyTextNumbered"/>
      </w:pPr>
      <w:r>
        <w:t>(1)</w:t>
      </w:r>
      <w:r>
        <w:tab/>
      </w:r>
      <w:r w:rsidRPr="001549D0">
        <w:t xml:space="preserve">From </w:t>
      </w:r>
      <w:r>
        <w:t xml:space="preserve">1 October 2015 to 30 September 2016, </w:t>
      </w:r>
      <w:r w:rsidRPr="001549D0">
        <w:t xml:space="preserve">a Reporting Entity does not have to comply with Rule 2.2.1 of the Rules to the extent that Rule requires the Reporting Entity to report Identifying Information </w:t>
      </w:r>
      <w:r>
        <w:t xml:space="preserve">about a Government Entity </w:t>
      </w:r>
      <w:r w:rsidRPr="001549D0">
        <w:t>in relation to a Reportable Transaction or Reportable Position to a Trade Repository</w:t>
      </w:r>
      <w:bookmarkStart w:id="26" w:name="_Ref403987449"/>
      <w:bookmarkStart w:id="27" w:name="_Ref410210735"/>
      <w:bookmarkEnd w:id="24"/>
      <w:r>
        <w:t xml:space="preserve"> where </w:t>
      </w:r>
      <w:r w:rsidRPr="001549D0">
        <w:t>at the time the Identifying Information is required to be reported</w:t>
      </w:r>
      <w:r>
        <w:t>, the Reporting Entity has not obtained the consent (</w:t>
      </w:r>
      <w:r w:rsidRPr="004F76DF">
        <w:rPr>
          <w:b/>
          <w:i/>
        </w:rPr>
        <w:t>Consent</w:t>
      </w:r>
      <w:r>
        <w:t>) of the Government Entity to the Identifying Information being reported.</w:t>
      </w:r>
    </w:p>
    <w:p w14:paraId="381D1DC6" w14:textId="77777777" w:rsidR="007C55C8" w:rsidRPr="007C55C8" w:rsidRDefault="007C55C8" w:rsidP="007C55C8">
      <w:pPr>
        <w:pStyle w:val="LI-BodyTextNumbered"/>
        <w:rPr>
          <w:i/>
        </w:rPr>
      </w:pPr>
      <w:r w:rsidRPr="007C55C8">
        <w:rPr>
          <w:i/>
        </w:rPr>
        <w:t>Condition</w:t>
      </w:r>
      <w:r>
        <w:rPr>
          <w:i/>
        </w:rPr>
        <w:t>s</w:t>
      </w:r>
    </w:p>
    <w:p w14:paraId="500C0F25" w14:textId="77777777" w:rsidR="007C55C8" w:rsidRDefault="007C55C8" w:rsidP="007C55C8">
      <w:pPr>
        <w:pStyle w:val="LI-BodyTextNumbered"/>
      </w:pPr>
      <w:r>
        <w:t>(2)</w:t>
      </w:r>
      <w:r>
        <w:tab/>
        <w:t xml:space="preserve">Before relying on the exemption in subsection (1) the Reporting Entity must have given ASIC a written notice (an </w:t>
      </w:r>
      <w:r w:rsidRPr="007C55C8">
        <w:rPr>
          <w:b/>
          <w:i/>
        </w:rPr>
        <w:t>Opt-In Notice</w:t>
      </w:r>
      <w:r>
        <w:t>) containing the following information:</w:t>
      </w:r>
    </w:p>
    <w:p w14:paraId="79ADCC97" w14:textId="77777777" w:rsidR="007C55C8" w:rsidRDefault="007C55C8" w:rsidP="007C55C8">
      <w:pPr>
        <w:pStyle w:val="LI-BodyTextNumbered"/>
        <w:ind w:left="1701"/>
      </w:pPr>
      <w:r>
        <w:t>(a)</w:t>
      </w:r>
      <w:r>
        <w:tab/>
        <w:t xml:space="preserve">the name of the Reporting Entity; </w:t>
      </w:r>
    </w:p>
    <w:p w14:paraId="1B8EA801" w14:textId="77777777" w:rsidR="007C55C8" w:rsidRDefault="007C55C8" w:rsidP="007C55C8">
      <w:pPr>
        <w:pStyle w:val="LI-BodyTextNumbered"/>
        <w:ind w:left="1701"/>
      </w:pPr>
      <w:r>
        <w:t>(b)</w:t>
      </w:r>
      <w:r>
        <w:tab/>
        <w:t xml:space="preserve">each Prescribed Class for which the Reporting Entity intends to rely on the exemption; </w:t>
      </w:r>
    </w:p>
    <w:p w14:paraId="4ACFFE76" w14:textId="77777777" w:rsidR="007C55C8" w:rsidRDefault="007C55C8" w:rsidP="007C55C8">
      <w:pPr>
        <w:pStyle w:val="LI-BodyTextNumbered"/>
        <w:ind w:left="1701"/>
      </w:pPr>
      <w:r>
        <w:t>(c)</w:t>
      </w:r>
      <w:r>
        <w:tab/>
        <w:t>for each Government Entity in relation to which the Reporting Entity intends to rely on the exemption:</w:t>
      </w:r>
    </w:p>
    <w:p w14:paraId="2861D560" w14:textId="77777777" w:rsidR="007C55C8" w:rsidRDefault="007C55C8" w:rsidP="007C55C8">
      <w:pPr>
        <w:pStyle w:val="LI-BodyTextSubparai"/>
      </w:pPr>
      <w:r>
        <w:t>(i)</w:t>
      </w:r>
      <w:r>
        <w:tab/>
        <w:t xml:space="preserve">the paragraph of the definition of </w:t>
      </w:r>
      <w:r w:rsidRPr="00B70CE6">
        <w:rPr>
          <w:b/>
          <w:i/>
        </w:rPr>
        <w:t>Government Entity</w:t>
      </w:r>
      <w:r>
        <w:t xml:space="preserve"> </w:t>
      </w:r>
      <w:r w:rsidR="0063243A">
        <w:t xml:space="preserve">in </w:t>
      </w:r>
      <w:r w:rsidR="00AD5755">
        <w:t xml:space="preserve">subsection (6) </w:t>
      </w:r>
      <w:r>
        <w:t>which applies in relation to the Government Entity</w:t>
      </w:r>
      <w:r w:rsidRPr="00A94481">
        <w:t>;</w:t>
      </w:r>
    </w:p>
    <w:p w14:paraId="4C439BEA" w14:textId="77777777" w:rsidR="007C55C8" w:rsidRDefault="007C55C8" w:rsidP="007C55C8">
      <w:pPr>
        <w:pStyle w:val="LI-BodyTextSubparai"/>
      </w:pPr>
      <w:r>
        <w:t>(ii)</w:t>
      </w:r>
      <w:r>
        <w:tab/>
        <w:t>the geographic region where the Government Entity is located;</w:t>
      </w:r>
    </w:p>
    <w:p w14:paraId="58C14A41" w14:textId="77777777" w:rsidR="007C55C8" w:rsidRDefault="007C55C8" w:rsidP="007C55C8">
      <w:pPr>
        <w:pStyle w:val="LI-SectionNote"/>
      </w:pPr>
      <w:r>
        <w:t xml:space="preserve">Note: </w:t>
      </w:r>
      <w:r>
        <w:tab/>
        <w:t>For example, the country or the continent in which the Government Entity is located.</w:t>
      </w:r>
    </w:p>
    <w:p w14:paraId="0A4A8F2F" w14:textId="77777777" w:rsidR="007C55C8" w:rsidRDefault="007C55C8" w:rsidP="007C55C8">
      <w:pPr>
        <w:pStyle w:val="LI-BodyTextNumbered"/>
        <w:ind w:left="1701"/>
      </w:pPr>
      <w:r>
        <w:t>(d)</w:t>
      </w:r>
      <w:r>
        <w:tab/>
        <w:t xml:space="preserve">the total number of Government Entities for which the Reporting Entity intends to rely on the exemption; </w:t>
      </w:r>
    </w:p>
    <w:p w14:paraId="6963C34E" w14:textId="77777777" w:rsidR="007C55C8" w:rsidRDefault="007C55C8" w:rsidP="007C55C8">
      <w:pPr>
        <w:pStyle w:val="LI-BodyTextNumbered"/>
        <w:ind w:left="1701"/>
      </w:pPr>
      <w:r>
        <w:lastRenderedPageBreak/>
        <w:t>(e)</w:t>
      </w:r>
      <w:r>
        <w:tab/>
        <w:t>the date from which the Reporting Entity intends to rely on the exemption, being a date no earlier than the date the Opt</w:t>
      </w:r>
      <w:r w:rsidR="00113BB7">
        <w:t>-In Notice is given to ASIC.</w:t>
      </w:r>
    </w:p>
    <w:p w14:paraId="3348813F" w14:textId="77777777" w:rsidR="007C55C8" w:rsidRDefault="007C55C8" w:rsidP="007C55C8">
      <w:pPr>
        <w:pStyle w:val="LI-BodyTextNumbered"/>
      </w:pPr>
      <w:r>
        <w:t>(3)</w:t>
      </w:r>
      <w:r>
        <w:tab/>
        <w:t xml:space="preserve">The Reporting Entity must give ASIC a replacement Opt-In Notice as soon as practicable after it becomes aware that the information in its most recent Opt-In Notice is no longer up to date. </w:t>
      </w:r>
    </w:p>
    <w:p w14:paraId="7F9315AA" w14:textId="77777777" w:rsidR="007C55C8" w:rsidRDefault="007C55C8" w:rsidP="007C55C8">
      <w:pPr>
        <w:pStyle w:val="MIRNote"/>
        <w:ind w:left="2268" w:hanging="567"/>
      </w:pPr>
      <w:r>
        <w:t>Note:</w:t>
      </w:r>
      <w:r>
        <w:tab/>
        <w:t>For example, if the Reporting Entity has obtained the Consent from a Government Entity covered by the Opt-In Notice, it will need to give ASIC a replacement Opt-In Notice.</w:t>
      </w:r>
    </w:p>
    <w:p w14:paraId="48B31B69" w14:textId="77777777" w:rsidR="007C55C8" w:rsidRDefault="007C55C8" w:rsidP="007C55C8">
      <w:pPr>
        <w:pStyle w:val="LI-BodyTextNumbered"/>
      </w:pPr>
      <w:r>
        <w:t>(4)</w:t>
      </w:r>
      <w:r>
        <w:tab/>
      </w:r>
      <w:r w:rsidR="00113BB7">
        <w:t>The</w:t>
      </w:r>
      <w:r>
        <w:t xml:space="preserve"> Reporting Entity must use all reasonable endeav</w:t>
      </w:r>
      <w:r w:rsidR="00113BB7">
        <w:t>ours to obtain the Consent from</w:t>
      </w:r>
      <w:r>
        <w:t xml:space="preserve"> the Government Entity, as </w:t>
      </w:r>
      <w:r w:rsidR="00113BB7">
        <w:t>soon as reasonably practicable.</w:t>
      </w:r>
    </w:p>
    <w:p w14:paraId="1A2F6057" w14:textId="77777777" w:rsidR="007C55C8" w:rsidRDefault="007C55C8" w:rsidP="007C55C8">
      <w:pPr>
        <w:pStyle w:val="LI-BodyTextNumbered"/>
      </w:pPr>
      <w:r>
        <w:t>(</w:t>
      </w:r>
      <w:r w:rsidR="00113BB7">
        <w:t>5</w:t>
      </w:r>
      <w:r>
        <w:t>)</w:t>
      </w:r>
      <w:r>
        <w:tab/>
      </w:r>
      <w:r w:rsidR="00113BB7">
        <w:t>A</w:t>
      </w:r>
      <w:r>
        <w:t xml:space="preserve">s soon as reasonably practicable after the Government Entity gives the Consent: </w:t>
      </w:r>
    </w:p>
    <w:p w14:paraId="268FB13D" w14:textId="77777777" w:rsidR="007C55C8" w:rsidRDefault="007C55C8" w:rsidP="00113BB7">
      <w:pPr>
        <w:pStyle w:val="LI-BodyTextNumbered"/>
        <w:ind w:left="1701"/>
      </w:pPr>
      <w:r>
        <w:t>(</w:t>
      </w:r>
      <w:r w:rsidR="00113BB7">
        <w:t>a</w:t>
      </w:r>
      <w:r>
        <w:t>)</w:t>
      </w:r>
      <w:r>
        <w:tab/>
        <w:t>the Reporting Entity must use all reasonable endeavours to report the Identifying Information to the Trade Repository to which the Reportable Transaction or Reportable Position was reported, unless the OTC Derivative the subject of the Reportable Transaction or Reportable Position has been terminated or has expired; and</w:t>
      </w:r>
    </w:p>
    <w:p w14:paraId="718F3D82" w14:textId="77777777" w:rsidR="007C55C8" w:rsidRDefault="007C55C8" w:rsidP="00113BB7">
      <w:pPr>
        <w:pStyle w:val="LI-BodyTextNumbered"/>
        <w:ind w:left="1701"/>
      </w:pPr>
      <w:r>
        <w:t>(</w:t>
      </w:r>
      <w:r w:rsidR="00113BB7">
        <w:t>b</w:t>
      </w:r>
      <w:r>
        <w:t>)</w:t>
      </w:r>
      <w:r>
        <w:tab/>
        <w:t>must give ASIC written notice that the Government Entity has given the Consent.</w:t>
      </w:r>
      <w:r>
        <w:tab/>
      </w:r>
    </w:p>
    <w:p w14:paraId="1F37A7F4" w14:textId="77777777" w:rsidR="00340042" w:rsidRPr="00340042" w:rsidRDefault="00340042" w:rsidP="00340042">
      <w:pPr>
        <w:pStyle w:val="LI-BodyTextNumbered"/>
        <w:rPr>
          <w:i/>
        </w:rPr>
      </w:pPr>
      <w:r>
        <w:rPr>
          <w:i/>
        </w:rPr>
        <w:t>Definition of Government Entity</w:t>
      </w:r>
    </w:p>
    <w:p w14:paraId="3532FB8E" w14:textId="77777777" w:rsidR="00113BB7" w:rsidRPr="00113BB7" w:rsidRDefault="00113BB7" w:rsidP="00113BB7">
      <w:pPr>
        <w:pStyle w:val="LI-BodyTextNumbered"/>
      </w:pPr>
      <w:r>
        <w:t>(6)</w:t>
      </w:r>
      <w:r>
        <w:tab/>
        <w:t xml:space="preserve">For the purposes of this section, </w:t>
      </w:r>
      <w:r>
        <w:rPr>
          <w:b/>
          <w:i/>
        </w:rPr>
        <w:t>Government Entity</w:t>
      </w:r>
      <w:r>
        <w:t xml:space="preserve"> means each of the following:</w:t>
      </w:r>
    </w:p>
    <w:p w14:paraId="7FE94E19" w14:textId="77777777" w:rsidR="00113BB7" w:rsidRDefault="00113BB7" w:rsidP="00113BB7">
      <w:pPr>
        <w:pStyle w:val="LI-BodyTextNumbered"/>
        <w:ind w:left="1701"/>
      </w:pPr>
      <w:r>
        <w:t>(a)</w:t>
      </w:r>
      <w:r>
        <w:tab/>
        <w:t>a government;</w:t>
      </w:r>
    </w:p>
    <w:p w14:paraId="34661B48" w14:textId="77777777" w:rsidR="00113BB7" w:rsidRDefault="00113BB7" w:rsidP="00113BB7">
      <w:pPr>
        <w:pStyle w:val="LI-BodyTextNumbered"/>
        <w:ind w:left="1701"/>
      </w:pPr>
      <w:r>
        <w:t>(b)</w:t>
      </w:r>
      <w:r>
        <w:tab/>
        <w:t xml:space="preserve">a sovereign wealth fund; </w:t>
      </w:r>
    </w:p>
    <w:p w14:paraId="4C3158EB" w14:textId="77777777" w:rsidR="00113BB7" w:rsidRDefault="00113BB7" w:rsidP="00113BB7">
      <w:pPr>
        <w:pStyle w:val="LI-BodyTextNumbered"/>
        <w:ind w:left="1701"/>
      </w:pPr>
      <w:r>
        <w:t>(c)</w:t>
      </w:r>
      <w:r>
        <w:tab/>
        <w:t xml:space="preserve">a central bank; </w:t>
      </w:r>
    </w:p>
    <w:p w14:paraId="1C2D1F51" w14:textId="77777777" w:rsidR="00113BB7" w:rsidRDefault="00113BB7" w:rsidP="00113BB7">
      <w:pPr>
        <w:pStyle w:val="LI-BodyTextNumbered"/>
        <w:ind w:left="1701"/>
      </w:pPr>
      <w:r>
        <w:t>(d)</w:t>
      </w:r>
      <w:r>
        <w:tab/>
        <w:t xml:space="preserve">an </w:t>
      </w:r>
      <w:r w:rsidR="005255A0">
        <w:t xml:space="preserve">agency </w:t>
      </w:r>
      <w:r>
        <w:t xml:space="preserve">of a government whose functions include managing public debt or providing funds for development or reconstruction purposes; </w:t>
      </w:r>
    </w:p>
    <w:p w14:paraId="0A172824" w14:textId="77777777" w:rsidR="003D4F43" w:rsidRDefault="00113BB7" w:rsidP="00113BB7">
      <w:pPr>
        <w:pStyle w:val="LI-BodyTextNumbered"/>
        <w:ind w:left="1701"/>
      </w:pPr>
      <w:r>
        <w:t>(e)</w:t>
      </w:r>
      <w:r>
        <w:tab/>
        <w:t xml:space="preserve">a financial institution </w:t>
      </w:r>
      <w:r w:rsidRPr="00FE6E61">
        <w:t>of which</w:t>
      </w:r>
      <w:r w:rsidR="003D4F43">
        <w:t>:</w:t>
      </w:r>
      <w:r w:rsidRPr="00FE6E61">
        <w:t xml:space="preserve"> </w:t>
      </w:r>
    </w:p>
    <w:p w14:paraId="356BAC05" w14:textId="77777777" w:rsidR="003D4F43" w:rsidRDefault="003D4F43" w:rsidP="00096EA7">
      <w:pPr>
        <w:pStyle w:val="LI-BodyTextNumbered"/>
        <w:ind w:left="1701" w:firstLine="0"/>
      </w:pPr>
      <w:r>
        <w:t>(i)</w:t>
      </w:r>
      <w:r>
        <w:tab/>
      </w:r>
      <w:r w:rsidR="00113BB7" w:rsidRPr="00FE6E61">
        <w:t>2 or more countries</w:t>
      </w:r>
      <w:r>
        <w:t>;</w:t>
      </w:r>
      <w:r w:rsidR="00113BB7" w:rsidRPr="00FE6E61">
        <w:t xml:space="preserve"> or </w:t>
      </w:r>
    </w:p>
    <w:p w14:paraId="7EB30578" w14:textId="77777777" w:rsidR="003D4F43" w:rsidRDefault="003D4F43" w:rsidP="00096EA7">
      <w:pPr>
        <w:pStyle w:val="LI-BodyTextNumbered"/>
        <w:ind w:left="1701" w:firstLine="0"/>
      </w:pPr>
      <w:r>
        <w:t>(ii)</w:t>
      </w:r>
      <w:r>
        <w:tab/>
      </w:r>
      <w:r w:rsidR="00113BB7" w:rsidRPr="00FE6E61">
        <w:t>the governments of 2 or more countries</w:t>
      </w:r>
      <w:r>
        <w:t>; or</w:t>
      </w:r>
    </w:p>
    <w:p w14:paraId="34E5BBA3" w14:textId="77777777" w:rsidR="003D4F43" w:rsidRDefault="003D4F43" w:rsidP="00096EA7">
      <w:pPr>
        <w:pStyle w:val="LI-BodyTextNumbered"/>
        <w:ind w:left="1701" w:firstLine="0"/>
      </w:pPr>
      <w:r>
        <w:t>(iii)</w:t>
      </w:r>
      <w:r>
        <w:tab/>
        <w:t>2 or more agencies of the governments of 2 or more countries;</w:t>
      </w:r>
    </w:p>
    <w:p w14:paraId="6C5C3D65" w14:textId="77777777" w:rsidR="00113BB7" w:rsidRPr="00113BB7" w:rsidRDefault="00113BB7" w:rsidP="00096EA7">
      <w:pPr>
        <w:pStyle w:val="LI-BodyTextNumbered"/>
        <w:ind w:left="2268"/>
        <w:rPr>
          <w:b/>
          <w:i/>
        </w:rPr>
      </w:pPr>
      <w:r w:rsidRPr="00FE6E61">
        <w:t>are members</w:t>
      </w:r>
      <w:r>
        <w:t>.</w:t>
      </w:r>
    </w:p>
    <w:p w14:paraId="29AC3C16" w14:textId="77777777" w:rsidR="00113BB7" w:rsidRPr="007C55C8" w:rsidRDefault="0081672F" w:rsidP="00113BB7">
      <w:pPr>
        <w:pStyle w:val="LI-Heading2"/>
      </w:pPr>
      <w:bookmarkStart w:id="28" w:name="_Toc20409916"/>
      <w:r>
        <w:lastRenderedPageBreak/>
        <w:t>11</w:t>
      </w:r>
      <w:r w:rsidR="00113BB7" w:rsidRPr="007C55C8">
        <w:tab/>
        <w:t xml:space="preserve">Exemption </w:t>
      </w:r>
      <w:r w:rsidR="00113BB7">
        <w:t>7</w:t>
      </w:r>
      <w:r w:rsidR="00113BB7" w:rsidRPr="007C55C8">
        <w:t xml:space="preserve"> (</w:t>
      </w:r>
      <w:r w:rsidR="00113BB7">
        <w:t>Trade identifiers</w:t>
      </w:r>
      <w:r w:rsidR="00113BB7" w:rsidRPr="007C55C8">
        <w:t>)</w:t>
      </w:r>
      <w:bookmarkEnd w:id="28"/>
    </w:p>
    <w:p w14:paraId="4F89DD26" w14:textId="77777777" w:rsidR="00113BB7" w:rsidRPr="00113BB7" w:rsidRDefault="00113BB7" w:rsidP="00113BB7">
      <w:pPr>
        <w:pStyle w:val="LI-Heading3"/>
        <w:rPr>
          <w:sz w:val="24"/>
          <w:szCs w:val="24"/>
        </w:rPr>
      </w:pPr>
      <w:r w:rsidRPr="001F3155">
        <w:rPr>
          <w:sz w:val="24"/>
          <w:szCs w:val="24"/>
        </w:rPr>
        <w:t>Relief</w:t>
      </w:r>
    </w:p>
    <w:p w14:paraId="76F5EDBE" w14:textId="239F5CF1" w:rsidR="00113BB7" w:rsidRDefault="00113BB7" w:rsidP="00113BB7">
      <w:pPr>
        <w:pStyle w:val="LI-BodyTextNumbered"/>
      </w:pPr>
      <w:r>
        <w:t>(1)</w:t>
      </w:r>
      <w:r>
        <w:tab/>
        <w:t xml:space="preserve">From 1 October 2015 to </w:t>
      </w:r>
      <w:r w:rsidR="00F71A05" w:rsidRPr="00F71A05">
        <w:t>30 September 2022</w:t>
      </w:r>
      <w:r>
        <w:t>, a Reporting Entity does not have to comply with paragraphs 2.2.1(1)(a) and (c) of the Rules to the extent those paragraphs require the Reporting Entity to report, for a Reportable Transaction, Derivative Transaction Information referred to in Item 1 of Table S2.1(1) of the Rules that is a ‘universal transaction identifier’ or a ‘single transaction identifier’.</w:t>
      </w:r>
    </w:p>
    <w:p w14:paraId="53AE844A" w14:textId="77777777" w:rsidR="00113BB7" w:rsidRPr="00113BB7" w:rsidRDefault="00113BB7" w:rsidP="00113BB7">
      <w:pPr>
        <w:pStyle w:val="LI-BodyTextNumbered"/>
        <w:rPr>
          <w:i/>
        </w:rPr>
      </w:pPr>
      <w:r>
        <w:rPr>
          <w:i/>
        </w:rPr>
        <w:t>Condition</w:t>
      </w:r>
    </w:p>
    <w:p w14:paraId="6915E4DF" w14:textId="77777777" w:rsidR="00113BB7" w:rsidRDefault="00113BB7" w:rsidP="00113BB7">
      <w:pPr>
        <w:pStyle w:val="LI-BodyTextNumbered"/>
      </w:pPr>
      <w:r>
        <w:t>(2)</w:t>
      </w:r>
      <w:r>
        <w:tab/>
        <w:t>The Reporting Entity must report, for the Reportable Transaction:</w:t>
      </w:r>
    </w:p>
    <w:p w14:paraId="7FC067F2" w14:textId="162907AF" w:rsidR="00F71A05" w:rsidRDefault="00F71A05" w:rsidP="008B4380">
      <w:pPr>
        <w:pStyle w:val="LI-BodyTextParaa"/>
      </w:pPr>
      <w:r w:rsidRPr="00F71A05">
        <w:rPr>
          <w:rStyle w:val="LI-BodyTextParaaChar"/>
        </w:rPr>
        <w:t>(a)     the trade identifier (if any) for the Reportable Transaction that the Reporting Entity is of the reasonable view would be required to be reported as a unique transaction identifier</w:t>
      </w:r>
      <w:r>
        <w:t xml:space="preserve">: </w:t>
      </w:r>
    </w:p>
    <w:p w14:paraId="08371F4C" w14:textId="3DF1761B" w:rsidR="00F71A05" w:rsidRDefault="00F71A05" w:rsidP="00F71A05">
      <w:pPr>
        <w:pStyle w:val="LI-BodyTextSubparai"/>
      </w:pPr>
      <w:r>
        <w:t>(i)      under requirements (</w:t>
      </w:r>
      <w:r w:rsidRPr="008B4380">
        <w:rPr>
          <w:b/>
          <w:i/>
        </w:rPr>
        <w:t>CFTC rules</w:t>
      </w:r>
      <w:r>
        <w:t>) issued by the Commodity Futures Trading Commission of the United States of America; and</w:t>
      </w:r>
    </w:p>
    <w:p w14:paraId="45C151B7" w14:textId="4BF51C0C" w:rsidR="00F71A05" w:rsidRDefault="00F71A05" w:rsidP="00F71A05">
      <w:pPr>
        <w:pStyle w:val="LI-BodyTextSubparai"/>
      </w:pPr>
      <w:r>
        <w:t>(ii)     on the assumption that neither the Rules nor this instrument require the Reporting Entity to report the Reportable Transaction; or</w:t>
      </w:r>
    </w:p>
    <w:p w14:paraId="21A33DAE" w14:textId="7CE8F7C8" w:rsidR="00F71A05" w:rsidRDefault="00F71A05" w:rsidP="00F71A05">
      <w:pPr>
        <w:pStyle w:val="LI-SectionNote"/>
        <w:ind w:left="2268"/>
      </w:pPr>
      <w:r>
        <w:t>Note:    The effect of subparagraph (ii) is that the Reporting Entity must form its reasonable view as to the requirements of the CFTC rules on the basis that the requirements of the CFTC rules are not affected by any Australian reporting requirements.</w:t>
      </w:r>
    </w:p>
    <w:p w14:paraId="7BCE025E" w14:textId="00049C3D" w:rsidR="00F71A05" w:rsidRDefault="00F71A05" w:rsidP="00F71A05">
      <w:pPr>
        <w:pStyle w:val="LI-Sectionparaa"/>
        <w:ind w:left="1701"/>
      </w:pPr>
      <w:r>
        <w:t>(b)     if paragraph (a) is not applicable—the trade identifier created by the Swap Execution Facility on which the Reportable Transaction was executed (if applicable); or</w:t>
      </w:r>
    </w:p>
    <w:p w14:paraId="492F9F82" w14:textId="447A01E7" w:rsidR="00F71A05" w:rsidRDefault="00F71A05" w:rsidP="00F71A05">
      <w:pPr>
        <w:pStyle w:val="LI-Sectionparaa"/>
        <w:ind w:left="1701"/>
      </w:pPr>
      <w:r>
        <w:t xml:space="preserve">(c)     if paragraphs (a) and (b) are not applicable—the trade identifier created by the provider of any of the Confirmation Platforms on which the Reportable Transaction was confirmed (if applicable); or </w:t>
      </w:r>
    </w:p>
    <w:p w14:paraId="44D93066" w14:textId="77777777" w:rsidR="00F71A05" w:rsidRDefault="00F71A05" w:rsidP="00F71A05">
      <w:pPr>
        <w:pStyle w:val="LI-Sectionparaa"/>
        <w:ind w:left="1701"/>
      </w:pPr>
      <w:r>
        <w:t xml:space="preserve">(d)     if paragraphs (a) to (c) are not applicable—the internal trade identifier used by the Reporting Counterparty; </w:t>
      </w:r>
    </w:p>
    <w:p w14:paraId="131C2779" w14:textId="26B33A88" w:rsidR="007C55C8" w:rsidRDefault="00113BB7" w:rsidP="00F71A05">
      <w:pPr>
        <w:pStyle w:val="LI-BodyTextNumbered"/>
        <w:ind w:firstLine="0"/>
      </w:pPr>
      <w:r>
        <w:t xml:space="preserve">(each, a </w:t>
      </w:r>
      <w:r w:rsidRPr="00113BB7">
        <w:rPr>
          <w:b/>
          <w:i/>
        </w:rPr>
        <w:t>Trade Identifier</w:t>
      </w:r>
      <w:r>
        <w:t xml:space="preserve">) and </w:t>
      </w:r>
      <w:r w:rsidR="00AD5755">
        <w:t xml:space="preserve">must </w:t>
      </w:r>
      <w:r>
        <w:t xml:space="preserve">report the Trade Identifier otherwise in accordance with the Rules as if the Trade Identifier </w:t>
      </w:r>
      <w:r w:rsidR="00AD5755">
        <w:t xml:space="preserve">were </w:t>
      </w:r>
      <w:r>
        <w:t>information reported under paragraph 2.2.1(1)(a) or (c) of the Rules (as applicable).</w:t>
      </w:r>
    </w:p>
    <w:p w14:paraId="3A231616" w14:textId="77777777" w:rsidR="00C46848" w:rsidRPr="007C55C8" w:rsidRDefault="00C46848" w:rsidP="00C46848">
      <w:pPr>
        <w:pStyle w:val="LI-Heading2"/>
      </w:pPr>
      <w:bookmarkStart w:id="29" w:name="_Toc20409917"/>
      <w:r>
        <w:lastRenderedPageBreak/>
        <w:t>1</w:t>
      </w:r>
      <w:r w:rsidR="0081672F">
        <w:t>2</w:t>
      </w:r>
      <w:r w:rsidRPr="007C55C8">
        <w:tab/>
        <w:t xml:space="preserve">Exemption </w:t>
      </w:r>
      <w:r>
        <w:t>8</w:t>
      </w:r>
      <w:r w:rsidRPr="007C55C8">
        <w:t xml:space="preserve"> (</w:t>
      </w:r>
      <w:r>
        <w:t>Collateral Reporting</w:t>
      </w:r>
      <w:r w:rsidRPr="007C55C8">
        <w:t>)</w:t>
      </w:r>
      <w:bookmarkEnd w:id="29"/>
    </w:p>
    <w:p w14:paraId="6F132E9E" w14:textId="77777777" w:rsidR="00C46848" w:rsidRPr="00C46848" w:rsidRDefault="00C46848" w:rsidP="00C46848">
      <w:pPr>
        <w:pStyle w:val="LI-Heading3"/>
        <w:rPr>
          <w:sz w:val="24"/>
          <w:szCs w:val="24"/>
        </w:rPr>
      </w:pPr>
      <w:r w:rsidRPr="001F3155">
        <w:rPr>
          <w:sz w:val="24"/>
          <w:szCs w:val="24"/>
        </w:rPr>
        <w:t>Relief</w:t>
      </w:r>
      <w:bookmarkEnd w:id="25"/>
      <w:bookmarkEnd w:id="26"/>
      <w:bookmarkEnd w:id="27"/>
    </w:p>
    <w:p w14:paraId="4DF0616D" w14:textId="77777777" w:rsidR="00C46848" w:rsidRDefault="00C46848" w:rsidP="00C46848">
      <w:pPr>
        <w:pStyle w:val="LI-BodyTextNumbered"/>
      </w:pPr>
      <w:r>
        <w:t>(1)</w:t>
      </w:r>
      <w:r>
        <w:tab/>
        <w:t xml:space="preserve">From 1 October 2015 to 30 October 2015, a Reporting Entity does not have to comply with subrules 2.2.1(1) or 2.2.2(1) of the Rules to the extent those subrules require the Reporting Entity to report: </w:t>
      </w:r>
    </w:p>
    <w:p w14:paraId="19D6805F" w14:textId="77777777" w:rsidR="00C46848" w:rsidRDefault="00C46848" w:rsidP="00C46848">
      <w:pPr>
        <w:pStyle w:val="LI-BodyTextNumbered"/>
        <w:ind w:left="1701"/>
      </w:pPr>
      <w:r>
        <w:t>(a)</w:t>
      </w:r>
      <w:r>
        <w:tab/>
        <w:t>the Derivative Transaction Information in items 40-44 (collateral) of Table S2.1(1) of the Rules, or any changes to that information; or</w:t>
      </w:r>
    </w:p>
    <w:p w14:paraId="550773F5" w14:textId="77777777" w:rsidR="00C46848" w:rsidRDefault="00C46848" w:rsidP="00C46848">
      <w:pPr>
        <w:pStyle w:val="LI-BodyTextNumbered"/>
        <w:ind w:left="1701"/>
      </w:pPr>
      <w:r>
        <w:t>(b)</w:t>
      </w:r>
      <w:r>
        <w:tab/>
        <w:t>the Derivative Position Information in items 27-31 (collateral) of Table S2.2(1) of the Rules, or changes to that information;</w:t>
      </w:r>
    </w:p>
    <w:p w14:paraId="19F867BB" w14:textId="77777777" w:rsidR="00C46848" w:rsidRDefault="00C46848" w:rsidP="00C46848">
      <w:pPr>
        <w:pStyle w:val="LI-BodyTextSubparai"/>
        <w:ind w:left="1134" w:firstLine="0"/>
      </w:pPr>
      <w:r>
        <w:t xml:space="preserve">(each, </w:t>
      </w:r>
      <w:r w:rsidRPr="00C46848">
        <w:rPr>
          <w:b/>
          <w:i/>
        </w:rPr>
        <w:t>Collateral Information</w:t>
      </w:r>
      <w:r>
        <w:t xml:space="preserve">). </w:t>
      </w:r>
    </w:p>
    <w:p w14:paraId="69B02FB9" w14:textId="77777777" w:rsidR="00C46848" w:rsidRPr="00C46848" w:rsidRDefault="00C46848" w:rsidP="00C46848">
      <w:pPr>
        <w:pStyle w:val="LI-BodyTextNumbered"/>
        <w:rPr>
          <w:i/>
        </w:rPr>
      </w:pPr>
      <w:r w:rsidRPr="00C46848">
        <w:rPr>
          <w:i/>
        </w:rPr>
        <w:t>Condition</w:t>
      </w:r>
    </w:p>
    <w:p w14:paraId="2723AE4A" w14:textId="77777777" w:rsidR="002B1AC6" w:rsidRDefault="00C46848" w:rsidP="00005307">
      <w:pPr>
        <w:pStyle w:val="LI-BodyTextSubparai"/>
        <w:ind w:left="1134"/>
      </w:pPr>
      <w:r>
        <w:t>(2)</w:t>
      </w:r>
      <w:r>
        <w:tab/>
        <w:t>The Reporting Entity uses its best endeavours to comply with subrules 2.2.1(1) and 2.2.2(1) of the Rules in relation to reporting the Collateral Information.</w:t>
      </w:r>
    </w:p>
    <w:p w14:paraId="1EE21DCF" w14:textId="77777777" w:rsidR="002B1AC6" w:rsidRPr="007C55C8" w:rsidRDefault="002B1AC6" w:rsidP="002B1AC6">
      <w:pPr>
        <w:pStyle w:val="LI-Heading2"/>
      </w:pPr>
      <w:bookmarkStart w:id="30" w:name="_Toc20409918"/>
      <w:r>
        <w:t>1</w:t>
      </w:r>
      <w:r w:rsidR="0081672F">
        <w:t>3</w:t>
      </w:r>
      <w:r w:rsidRPr="007C55C8">
        <w:tab/>
        <w:t xml:space="preserve">Exemption </w:t>
      </w:r>
      <w:r>
        <w:t>9</w:t>
      </w:r>
      <w:r w:rsidRPr="007C55C8">
        <w:t xml:space="preserve"> </w:t>
      </w:r>
      <w:r>
        <w:t>(FX Securities Conversion Transactions)</w:t>
      </w:r>
      <w:bookmarkEnd w:id="30"/>
      <w:r>
        <w:t xml:space="preserve">  </w:t>
      </w:r>
    </w:p>
    <w:p w14:paraId="639E4844" w14:textId="77777777" w:rsidR="002B1AC6" w:rsidRPr="002B1AC6" w:rsidRDefault="002B1AC6" w:rsidP="002B1AC6">
      <w:pPr>
        <w:pStyle w:val="LI-Heading3"/>
        <w:rPr>
          <w:sz w:val="24"/>
          <w:szCs w:val="24"/>
        </w:rPr>
      </w:pPr>
      <w:r w:rsidRPr="001F3155">
        <w:rPr>
          <w:sz w:val="24"/>
          <w:szCs w:val="24"/>
        </w:rPr>
        <w:t>Relief</w:t>
      </w:r>
    </w:p>
    <w:p w14:paraId="4A475023" w14:textId="3C3775DB" w:rsidR="002B1AC6" w:rsidRDefault="002B1AC6" w:rsidP="006B47C8">
      <w:pPr>
        <w:pStyle w:val="LI-BodyTextSubparai"/>
        <w:ind w:left="1134" w:firstLine="0"/>
      </w:pPr>
      <w:r>
        <w:t>From 1 October 2015 to 30 September 20</w:t>
      </w:r>
      <w:r w:rsidR="00B91C08">
        <w:t>20</w:t>
      </w:r>
      <w:r>
        <w:t>, a Reporting Entity does not have to comply with Rule 2.2.1 of the Rules to the extent that Rule requires the Reporting Entity to report a Reportable Transaction or Reportable Position in a foreign exchange contract:</w:t>
      </w:r>
    </w:p>
    <w:p w14:paraId="2CDA3D16" w14:textId="77777777" w:rsidR="002B1AC6" w:rsidRDefault="002B1AC6" w:rsidP="002B1AC6">
      <w:pPr>
        <w:pStyle w:val="LI-BodyTextSubparai"/>
        <w:ind w:left="1701"/>
      </w:pPr>
      <w:r>
        <w:t>(</w:t>
      </w:r>
      <w:r w:rsidR="006B47C8">
        <w:t>a</w:t>
      </w:r>
      <w:r>
        <w:t>)</w:t>
      </w:r>
      <w:r>
        <w:tab/>
        <w:t>that is entered into by the Reporting Entity solely to facilitate the settlement of a transaction for the purchase or sale of a foreign currency denominated security; and</w:t>
      </w:r>
    </w:p>
    <w:p w14:paraId="4B663DD2" w14:textId="77777777" w:rsidR="002B1AC6" w:rsidRDefault="002B1AC6" w:rsidP="006B47C8">
      <w:pPr>
        <w:pStyle w:val="LI-BodyTextSubparai"/>
        <w:ind w:left="1701"/>
      </w:pPr>
      <w:r>
        <w:t>(</w:t>
      </w:r>
      <w:r w:rsidR="006B47C8">
        <w:t>b</w:t>
      </w:r>
      <w:r>
        <w:t>)</w:t>
      </w:r>
      <w:r>
        <w:tab/>
        <w:t>under which consideration is provided to settle the transaction not more than 7 business days after the day on which th</w:t>
      </w:r>
      <w:r w:rsidR="006B47C8">
        <w:t xml:space="preserve">e transaction is entered into. </w:t>
      </w:r>
    </w:p>
    <w:p w14:paraId="2C5E9069" w14:textId="77777777" w:rsidR="002B1AC6" w:rsidRDefault="006B47C8" w:rsidP="006B47C8">
      <w:pPr>
        <w:pStyle w:val="LI-Heading2"/>
      </w:pPr>
      <w:bookmarkStart w:id="31" w:name="_Toc20409919"/>
      <w:r>
        <w:t>1</w:t>
      </w:r>
      <w:r w:rsidR="0081672F">
        <w:t>4</w:t>
      </w:r>
      <w:r w:rsidRPr="007C55C8">
        <w:tab/>
        <w:t xml:space="preserve">Exemption </w:t>
      </w:r>
      <w:r>
        <w:t xml:space="preserve">1 to 9 </w:t>
      </w:r>
      <w:r w:rsidR="002B1AC6">
        <w:t>– Other conditions (Record-keeping)</w:t>
      </w:r>
      <w:bookmarkEnd w:id="31"/>
    </w:p>
    <w:p w14:paraId="42D6CDEF" w14:textId="77777777" w:rsidR="002B1AC6" w:rsidRDefault="002B1AC6" w:rsidP="00B70CE6">
      <w:pPr>
        <w:pStyle w:val="LI-BodyTextSubparai"/>
        <w:ind w:left="1134" w:firstLine="0"/>
      </w:pPr>
      <w:r>
        <w:t>It is</w:t>
      </w:r>
      <w:r w:rsidR="004B4D4A">
        <w:t xml:space="preserve"> a</w:t>
      </w:r>
      <w:r>
        <w:t xml:space="preserve"> condition of each exemption in this instrument that the Reporting Entity must:</w:t>
      </w:r>
    </w:p>
    <w:p w14:paraId="45A70FBB" w14:textId="77777777" w:rsidR="002B1AC6" w:rsidRDefault="002B1AC6" w:rsidP="006B47C8">
      <w:pPr>
        <w:pStyle w:val="LI-BodyTextSubparai"/>
        <w:ind w:left="1701"/>
      </w:pPr>
      <w:r>
        <w:t>(a)</w:t>
      </w:r>
      <w:r>
        <w:tab/>
        <w:t xml:space="preserve">keep records that enable the Reporting Entity to demonstrate it has complied with the conditions in </w:t>
      </w:r>
      <w:r w:rsidR="00627433">
        <w:t>subsections</w:t>
      </w:r>
      <w:r>
        <w:t xml:space="preserve"> </w:t>
      </w:r>
      <w:r w:rsidR="00627433">
        <w:t>5(3)</w:t>
      </w:r>
      <w:r>
        <w:t xml:space="preserve">, </w:t>
      </w:r>
      <w:r w:rsidR="009F08C5">
        <w:t>8(2) to (4</w:t>
      </w:r>
      <w:r w:rsidR="00627433">
        <w:t xml:space="preserve">), 9(2) and (3), 10(2) to (5), 11(2) and 12(2) </w:t>
      </w:r>
      <w:r>
        <w:t>(as applicable) of this instrument; and</w:t>
      </w:r>
    </w:p>
    <w:p w14:paraId="351364D5" w14:textId="77777777" w:rsidR="002B1AC6" w:rsidRDefault="002B1AC6" w:rsidP="006B47C8">
      <w:pPr>
        <w:pStyle w:val="LI-BodyTextSubparai"/>
        <w:ind w:left="1701"/>
      </w:pPr>
      <w:r>
        <w:t>(b)</w:t>
      </w:r>
      <w:r>
        <w:tab/>
        <w:t>kee</w:t>
      </w:r>
      <w:r w:rsidR="006B47C8">
        <w:t xml:space="preserve">p the records referred to in </w:t>
      </w:r>
      <w:r>
        <w:t>paragraph (a) for a period of at least five years from the date the record is made or amended; and</w:t>
      </w:r>
    </w:p>
    <w:p w14:paraId="4410086F" w14:textId="77777777" w:rsidR="002B1AC6" w:rsidRDefault="002B1AC6" w:rsidP="006B47C8">
      <w:pPr>
        <w:pStyle w:val="LI-BodyTextSubparai"/>
        <w:ind w:left="1701"/>
      </w:pPr>
      <w:r>
        <w:lastRenderedPageBreak/>
        <w:t>(c)</w:t>
      </w:r>
      <w:r>
        <w:tab/>
        <w:t xml:space="preserve">on </w:t>
      </w:r>
      <w:r w:rsidR="009F08C5">
        <w:t xml:space="preserve">written request </w:t>
      </w:r>
      <w:r>
        <w:t xml:space="preserve">by ASIC, provide ASIC with records or other information relating to compliance with or determining whether there has been compliance with the conditions </w:t>
      </w:r>
      <w:r w:rsidR="00627433">
        <w:t>referred to in paragraph (a)</w:t>
      </w:r>
      <w:r>
        <w:t>, within the time specified in the request or if no time is specif</w:t>
      </w:r>
      <w:r w:rsidR="006B47C8">
        <w:t xml:space="preserve">ied, within a reasonable time. </w:t>
      </w:r>
    </w:p>
    <w:p w14:paraId="12B85A3B" w14:textId="77777777" w:rsidR="00774723" w:rsidRPr="00F61B09" w:rsidRDefault="00774723" w:rsidP="00774723">
      <w:pPr>
        <w:pStyle w:val="LI-Heading1"/>
      </w:pPr>
      <w:bookmarkStart w:id="32" w:name="_Toc402889769"/>
      <w:bookmarkStart w:id="33" w:name="_Toc420481767"/>
      <w:bookmarkStart w:id="34" w:name="_Toc420481879"/>
      <w:bookmarkStart w:id="35" w:name="_Toc20409920"/>
      <w:bookmarkStart w:id="36" w:name="_Toc401238162"/>
      <w:r>
        <w:t>Endnotes</w:t>
      </w:r>
      <w:bookmarkEnd w:id="32"/>
      <w:bookmarkEnd w:id="33"/>
      <w:bookmarkEnd w:id="34"/>
      <w:bookmarkEnd w:id="35"/>
    </w:p>
    <w:p w14:paraId="456A47B3" w14:textId="77777777" w:rsidR="00774723" w:rsidRDefault="00774723" w:rsidP="00774723">
      <w:pPr>
        <w:pStyle w:val="LI-Heading2"/>
        <w:spacing w:after="120"/>
      </w:pPr>
      <w:bookmarkStart w:id="37" w:name="_Toc402889770"/>
      <w:bookmarkStart w:id="38" w:name="_Toc420481768"/>
      <w:bookmarkStart w:id="39" w:name="_Toc420481880"/>
      <w:bookmarkStart w:id="40" w:name="_Toc20409921"/>
      <w:r>
        <w:t>Endnote 1—Instrument history</w:t>
      </w:r>
      <w:bookmarkEnd w:id="37"/>
      <w:bookmarkEnd w:id="38"/>
      <w:bookmarkEnd w:id="39"/>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087"/>
        <w:gridCol w:w="2115"/>
        <w:gridCol w:w="2059"/>
      </w:tblGrid>
      <w:tr w:rsidR="00774723" w:rsidRPr="005E3EF5" w14:paraId="6E55173D" w14:textId="77777777" w:rsidTr="00815696">
        <w:trPr>
          <w:tblHeader/>
        </w:trPr>
        <w:tc>
          <w:tcPr>
            <w:tcW w:w="2106" w:type="dxa"/>
            <w:shd w:val="clear" w:color="auto" w:fill="auto"/>
          </w:tcPr>
          <w:bookmarkEnd w:id="36"/>
          <w:p w14:paraId="194D75B2" w14:textId="77777777" w:rsidR="00774723" w:rsidRPr="005E3EF5" w:rsidRDefault="00774723" w:rsidP="00815696">
            <w:pPr>
              <w:pStyle w:val="LI-Notestableheader"/>
              <w:rPr>
                <w:lang w:val="en-US"/>
              </w:rPr>
            </w:pPr>
            <w:r w:rsidRPr="005E3EF5">
              <w:rPr>
                <w:lang w:val="en-US"/>
              </w:rPr>
              <w:t>Instrument number</w:t>
            </w:r>
          </w:p>
        </w:tc>
        <w:tc>
          <w:tcPr>
            <w:tcW w:w="2141" w:type="dxa"/>
            <w:shd w:val="clear" w:color="auto" w:fill="auto"/>
          </w:tcPr>
          <w:p w14:paraId="4BA8F512" w14:textId="77777777" w:rsidR="00774723" w:rsidRPr="005E3EF5" w:rsidRDefault="00774723" w:rsidP="00815696">
            <w:pPr>
              <w:pStyle w:val="LI-Notestableheader"/>
              <w:rPr>
                <w:lang w:val="en-US"/>
              </w:rPr>
            </w:pPr>
            <w:r w:rsidRPr="005E3EF5">
              <w:rPr>
                <w:lang w:val="en-US"/>
              </w:rPr>
              <w:t>Date of FRLI registration</w:t>
            </w:r>
          </w:p>
        </w:tc>
        <w:tc>
          <w:tcPr>
            <w:tcW w:w="2162" w:type="dxa"/>
            <w:shd w:val="clear" w:color="auto" w:fill="auto"/>
          </w:tcPr>
          <w:p w14:paraId="2BCE915A" w14:textId="77777777" w:rsidR="00774723" w:rsidRPr="005E3EF5" w:rsidRDefault="00774723" w:rsidP="00815696">
            <w:pPr>
              <w:pStyle w:val="LI-Notestableheader"/>
              <w:rPr>
                <w:lang w:val="en-US"/>
              </w:rPr>
            </w:pPr>
            <w:r>
              <w:rPr>
                <w:lang w:val="en-US"/>
              </w:rPr>
              <w:t>Date of commencement</w:t>
            </w:r>
          </w:p>
        </w:tc>
        <w:tc>
          <w:tcPr>
            <w:tcW w:w="2120" w:type="dxa"/>
            <w:shd w:val="clear" w:color="auto" w:fill="auto"/>
          </w:tcPr>
          <w:p w14:paraId="2EAAED0F" w14:textId="77777777" w:rsidR="00774723" w:rsidRPr="005E3EF5" w:rsidRDefault="00774723" w:rsidP="00815696">
            <w:pPr>
              <w:pStyle w:val="LI-Notestableheader"/>
              <w:rPr>
                <w:lang w:val="en-US"/>
              </w:rPr>
            </w:pPr>
            <w:r w:rsidRPr="005E3EF5">
              <w:rPr>
                <w:lang w:val="en-US"/>
              </w:rPr>
              <w:t>Application, saving or transitional provisions</w:t>
            </w:r>
          </w:p>
        </w:tc>
      </w:tr>
      <w:tr w:rsidR="00774723" w:rsidRPr="005E3EF5" w14:paraId="768DD27D" w14:textId="77777777" w:rsidTr="00815696">
        <w:tc>
          <w:tcPr>
            <w:tcW w:w="2106" w:type="dxa"/>
            <w:shd w:val="clear" w:color="auto" w:fill="auto"/>
          </w:tcPr>
          <w:p w14:paraId="5169613E" w14:textId="4581F91C" w:rsidR="00774723" w:rsidRPr="005E3EF5" w:rsidRDefault="00774723" w:rsidP="00815696">
            <w:pPr>
              <w:pStyle w:val="LI-Notestabletext"/>
              <w:rPr>
                <w:lang w:val="en-US"/>
              </w:rPr>
            </w:pPr>
            <w:r>
              <w:rPr>
                <w:lang w:val="en-US"/>
              </w:rPr>
              <w:t>2015/844</w:t>
            </w:r>
          </w:p>
        </w:tc>
        <w:tc>
          <w:tcPr>
            <w:tcW w:w="2141" w:type="dxa"/>
            <w:shd w:val="clear" w:color="auto" w:fill="auto"/>
          </w:tcPr>
          <w:p w14:paraId="52C45885" w14:textId="7FEF873C" w:rsidR="00774723" w:rsidRPr="005E3EF5" w:rsidRDefault="00D25F90" w:rsidP="00815696">
            <w:pPr>
              <w:pStyle w:val="LI-Notestabletext"/>
              <w:rPr>
                <w:lang w:val="en-US"/>
              </w:rPr>
            </w:pPr>
            <w:r>
              <w:rPr>
                <w:lang w:val="en-US"/>
              </w:rPr>
              <w:t>30/9/2015</w:t>
            </w:r>
            <w:r w:rsidR="00774723" w:rsidRPr="005E3EF5">
              <w:rPr>
                <w:lang w:val="en-US"/>
              </w:rPr>
              <w:t xml:space="preserve"> (</w:t>
            </w:r>
            <w:r w:rsidR="00774723" w:rsidRPr="005E3EF5">
              <w:rPr>
                <w:i/>
                <w:lang w:val="en-US"/>
              </w:rPr>
              <w:t>see</w:t>
            </w:r>
            <w:r w:rsidR="00774723" w:rsidRPr="005E3EF5">
              <w:rPr>
                <w:lang w:val="en-US"/>
              </w:rPr>
              <w:t xml:space="preserve"> </w:t>
            </w:r>
            <w:r w:rsidRPr="00D25F90">
              <w:rPr>
                <w:lang w:val="en-US"/>
              </w:rPr>
              <w:t>F2015L01530</w:t>
            </w:r>
            <w:r w:rsidR="00774723" w:rsidRPr="005E3EF5">
              <w:rPr>
                <w:lang w:val="en-US"/>
              </w:rPr>
              <w:t>)</w:t>
            </w:r>
          </w:p>
        </w:tc>
        <w:tc>
          <w:tcPr>
            <w:tcW w:w="2162" w:type="dxa"/>
            <w:shd w:val="clear" w:color="auto" w:fill="auto"/>
          </w:tcPr>
          <w:p w14:paraId="5184CDB7" w14:textId="1F2219A8" w:rsidR="00774723" w:rsidRPr="005E3EF5" w:rsidRDefault="00D25F90" w:rsidP="00815696">
            <w:pPr>
              <w:pStyle w:val="LI-Notestabletext"/>
              <w:rPr>
                <w:lang w:val="en-US"/>
              </w:rPr>
            </w:pPr>
            <w:r>
              <w:rPr>
                <w:lang w:val="en-US"/>
              </w:rPr>
              <w:t>1/10/2015</w:t>
            </w:r>
          </w:p>
        </w:tc>
        <w:tc>
          <w:tcPr>
            <w:tcW w:w="2120" w:type="dxa"/>
            <w:shd w:val="clear" w:color="auto" w:fill="auto"/>
          </w:tcPr>
          <w:p w14:paraId="6ED4D8CB" w14:textId="77777777" w:rsidR="00774723" w:rsidRPr="005E3EF5" w:rsidRDefault="00774723" w:rsidP="00815696">
            <w:pPr>
              <w:pStyle w:val="LI-Notestabletext"/>
              <w:rPr>
                <w:lang w:val="en-US"/>
              </w:rPr>
            </w:pPr>
          </w:p>
        </w:tc>
      </w:tr>
      <w:tr w:rsidR="00774723" w:rsidRPr="005E3EF5" w14:paraId="241E55E0" w14:textId="77777777" w:rsidTr="00815696">
        <w:tc>
          <w:tcPr>
            <w:tcW w:w="2106" w:type="dxa"/>
            <w:shd w:val="clear" w:color="auto" w:fill="auto"/>
          </w:tcPr>
          <w:p w14:paraId="1AE0AE5C" w14:textId="3D322E31" w:rsidR="00774723" w:rsidRPr="005E3EF5" w:rsidRDefault="00B12505" w:rsidP="00815696">
            <w:pPr>
              <w:pStyle w:val="LI-Notestabletext"/>
              <w:rPr>
                <w:lang w:val="en-US"/>
              </w:rPr>
            </w:pPr>
            <w:r>
              <w:rPr>
                <w:lang w:val="en-US"/>
              </w:rPr>
              <w:t>2016/0043</w:t>
            </w:r>
          </w:p>
        </w:tc>
        <w:tc>
          <w:tcPr>
            <w:tcW w:w="2141" w:type="dxa"/>
            <w:shd w:val="clear" w:color="auto" w:fill="auto"/>
          </w:tcPr>
          <w:p w14:paraId="388DBD2A" w14:textId="489B3796" w:rsidR="00774723" w:rsidRPr="005E3EF5" w:rsidRDefault="00B12505" w:rsidP="00815696">
            <w:pPr>
              <w:pStyle w:val="LI-Notestabletext"/>
              <w:rPr>
                <w:lang w:val="en-US"/>
              </w:rPr>
            </w:pPr>
            <w:r>
              <w:rPr>
                <w:lang w:val="en-US"/>
              </w:rPr>
              <w:t>29/1/2016</w:t>
            </w:r>
            <w:r w:rsidR="00774723" w:rsidRPr="005E3EF5">
              <w:rPr>
                <w:lang w:val="en-US"/>
              </w:rPr>
              <w:t xml:space="preserve"> (</w:t>
            </w:r>
            <w:r w:rsidR="00774723" w:rsidRPr="005E3EF5">
              <w:rPr>
                <w:i/>
                <w:lang w:val="en-US"/>
              </w:rPr>
              <w:t>see</w:t>
            </w:r>
            <w:r w:rsidR="00774723" w:rsidRPr="005E3EF5">
              <w:rPr>
                <w:lang w:val="en-US"/>
              </w:rPr>
              <w:t xml:space="preserve"> </w:t>
            </w:r>
            <w:r w:rsidRPr="00B12505">
              <w:rPr>
                <w:lang w:val="en-US"/>
              </w:rPr>
              <w:t>F2016L00072</w:t>
            </w:r>
            <w:r w:rsidR="00774723" w:rsidRPr="005E3EF5">
              <w:rPr>
                <w:lang w:val="en-US"/>
              </w:rPr>
              <w:t>)</w:t>
            </w:r>
          </w:p>
        </w:tc>
        <w:tc>
          <w:tcPr>
            <w:tcW w:w="2162" w:type="dxa"/>
            <w:shd w:val="clear" w:color="auto" w:fill="auto"/>
          </w:tcPr>
          <w:p w14:paraId="309EC183" w14:textId="3F28AA2F" w:rsidR="00774723" w:rsidRPr="005E3EF5" w:rsidRDefault="00B12505" w:rsidP="00815696">
            <w:pPr>
              <w:pStyle w:val="LI-Notestabletext"/>
              <w:rPr>
                <w:lang w:val="en-US"/>
              </w:rPr>
            </w:pPr>
            <w:r>
              <w:rPr>
                <w:lang w:val="en-US"/>
              </w:rPr>
              <w:t>29/1/2016</w:t>
            </w:r>
          </w:p>
        </w:tc>
        <w:tc>
          <w:tcPr>
            <w:tcW w:w="2120" w:type="dxa"/>
            <w:shd w:val="clear" w:color="auto" w:fill="auto"/>
          </w:tcPr>
          <w:p w14:paraId="55727C7B" w14:textId="77777777" w:rsidR="00774723" w:rsidRPr="005E3EF5" w:rsidRDefault="00774723" w:rsidP="00815696">
            <w:pPr>
              <w:pStyle w:val="LI-Notestabletext"/>
              <w:rPr>
                <w:lang w:val="en-US"/>
              </w:rPr>
            </w:pPr>
            <w:r w:rsidRPr="005E3EF5">
              <w:rPr>
                <w:lang w:val="en-US"/>
              </w:rPr>
              <w:t>-</w:t>
            </w:r>
          </w:p>
        </w:tc>
      </w:tr>
      <w:tr w:rsidR="00BD1D57" w:rsidRPr="005E3EF5" w14:paraId="4FFF6D2D" w14:textId="77777777" w:rsidTr="00815696">
        <w:tc>
          <w:tcPr>
            <w:tcW w:w="2106" w:type="dxa"/>
            <w:shd w:val="clear" w:color="auto" w:fill="auto"/>
          </w:tcPr>
          <w:p w14:paraId="65CC7BC0" w14:textId="45F215EA" w:rsidR="00BD1D57" w:rsidRDefault="00BD1D57" w:rsidP="00815696">
            <w:pPr>
              <w:pStyle w:val="LI-Notestabletext"/>
              <w:rPr>
                <w:lang w:val="en-US"/>
              </w:rPr>
            </w:pPr>
            <w:r>
              <w:rPr>
                <w:lang w:val="en-US"/>
              </w:rPr>
              <w:t>2016/913</w:t>
            </w:r>
          </w:p>
        </w:tc>
        <w:tc>
          <w:tcPr>
            <w:tcW w:w="2141" w:type="dxa"/>
            <w:shd w:val="clear" w:color="auto" w:fill="auto"/>
          </w:tcPr>
          <w:p w14:paraId="70B454BB" w14:textId="787037BC" w:rsidR="00BD1D57" w:rsidRDefault="00BD1D57" w:rsidP="00815696">
            <w:pPr>
              <w:pStyle w:val="LI-Notestabletext"/>
              <w:rPr>
                <w:lang w:val="en-US"/>
              </w:rPr>
            </w:pPr>
            <w:r>
              <w:rPr>
                <w:lang w:val="en-US"/>
              </w:rPr>
              <w:t>27/9/2016 (</w:t>
            </w:r>
            <w:r w:rsidRPr="00A45DF2">
              <w:rPr>
                <w:i/>
                <w:lang w:val="en-US"/>
              </w:rPr>
              <w:t xml:space="preserve">see </w:t>
            </w:r>
            <w:r>
              <w:rPr>
                <w:lang w:val="en-US"/>
              </w:rPr>
              <w:t>F2016L01496)</w:t>
            </w:r>
          </w:p>
        </w:tc>
        <w:tc>
          <w:tcPr>
            <w:tcW w:w="2162" w:type="dxa"/>
            <w:shd w:val="clear" w:color="auto" w:fill="auto"/>
          </w:tcPr>
          <w:p w14:paraId="51237DEC" w14:textId="041721F5" w:rsidR="00BD1D57" w:rsidRDefault="00BD1D57" w:rsidP="00815696">
            <w:pPr>
              <w:pStyle w:val="LI-Notestabletext"/>
              <w:rPr>
                <w:lang w:val="en-US"/>
              </w:rPr>
            </w:pPr>
            <w:r>
              <w:rPr>
                <w:lang w:val="en-US"/>
              </w:rPr>
              <w:t>28/9/2016</w:t>
            </w:r>
          </w:p>
        </w:tc>
        <w:tc>
          <w:tcPr>
            <w:tcW w:w="2120" w:type="dxa"/>
            <w:shd w:val="clear" w:color="auto" w:fill="auto"/>
          </w:tcPr>
          <w:p w14:paraId="59A2A777" w14:textId="074235BE" w:rsidR="00BD1D57" w:rsidRPr="005E3EF5" w:rsidRDefault="00467057" w:rsidP="00815696">
            <w:pPr>
              <w:pStyle w:val="LI-Notestabletext"/>
              <w:rPr>
                <w:lang w:val="en-US"/>
              </w:rPr>
            </w:pPr>
            <w:r>
              <w:rPr>
                <w:lang w:val="en-US"/>
              </w:rPr>
              <w:t>-</w:t>
            </w:r>
          </w:p>
        </w:tc>
      </w:tr>
      <w:tr w:rsidR="00A038F1" w:rsidRPr="005E3EF5" w14:paraId="054F68C3" w14:textId="77777777" w:rsidTr="00815696">
        <w:tc>
          <w:tcPr>
            <w:tcW w:w="2106" w:type="dxa"/>
            <w:shd w:val="clear" w:color="auto" w:fill="auto"/>
          </w:tcPr>
          <w:p w14:paraId="2393082B" w14:textId="7E376EAA" w:rsidR="00A038F1" w:rsidRDefault="00A038F1" w:rsidP="00815696">
            <w:pPr>
              <w:pStyle w:val="LI-Notestabletext"/>
              <w:rPr>
                <w:lang w:val="en-US"/>
              </w:rPr>
            </w:pPr>
            <w:r>
              <w:rPr>
                <w:lang w:val="en-US"/>
              </w:rPr>
              <w:t>2017/0036</w:t>
            </w:r>
          </w:p>
        </w:tc>
        <w:tc>
          <w:tcPr>
            <w:tcW w:w="2141" w:type="dxa"/>
            <w:shd w:val="clear" w:color="auto" w:fill="auto"/>
          </w:tcPr>
          <w:p w14:paraId="5AAD145D" w14:textId="154EA5F5" w:rsidR="00A038F1" w:rsidRDefault="00A038F1" w:rsidP="00815696">
            <w:pPr>
              <w:pStyle w:val="LI-Notestabletext"/>
              <w:rPr>
                <w:lang w:val="en-US"/>
              </w:rPr>
            </w:pPr>
            <w:r w:rsidRPr="00A038F1">
              <w:rPr>
                <w:lang w:val="en-US"/>
              </w:rPr>
              <w:t>25/1/2017</w:t>
            </w:r>
            <w:r>
              <w:rPr>
                <w:lang w:val="en-US"/>
              </w:rPr>
              <w:t xml:space="preserve"> (</w:t>
            </w:r>
            <w:r w:rsidRPr="00A038F1">
              <w:rPr>
                <w:i/>
                <w:lang w:val="en-US"/>
              </w:rPr>
              <w:t>see</w:t>
            </w:r>
            <w:r>
              <w:rPr>
                <w:lang w:val="en-US"/>
              </w:rPr>
              <w:t xml:space="preserve"> </w:t>
            </w:r>
            <w:r w:rsidRPr="00A038F1">
              <w:rPr>
                <w:lang w:val="en-US"/>
              </w:rPr>
              <w:t>F2017L00065</w:t>
            </w:r>
            <w:r>
              <w:rPr>
                <w:lang w:val="en-US"/>
              </w:rPr>
              <w:t>)</w:t>
            </w:r>
          </w:p>
        </w:tc>
        <w:tc>
          <w:tcPr>
            <w:tcW w:w="2162" w:type="dxa"/>
            <w:shd w:val="clear" w:color="auto" w:fill="auto"/>
          </w:tcPr>
          <w:p w14:paraId="3CF31D36" w14:textId="054158F0" w:rsidR="00A038F1" w:rsidRDefault="00A038F1" w:rsidP="00815696">
            <w:pPr>
              <w:pStyle w:val="LI-Notestabletext"/>
              <w:rPr>
                <w:lang w:val="en-US"/>
              </w:rPr>
            </w:pPr>
            <w:r>
              <w:rPr>
                <w:lang w:val="en-US"/>
              </w:rPr>
              <w:t>26/1/2017</w:t>
            </w:r>
          </w:p>
        </w:tc>
        <w:tc>
          <w:tcPr>
            <w:tcW w:w="2120" w:type="dxa"/>
            <w:shd w:val="clear" w:color="auto" w:fill="auto"/>
          </w:tcPr>
          <w:p w14:paraId="55B469E5" w14:textId="36FD93C1" w:rsidR="00A038F1" w:rsidRDefault="00A038F1" w:rsidP="00815696">
            <w:pPr>
              <w:pStyle w:val="LI-Notestabletext"/>
              <w:rPr>
                <w:lang w:val="en-US"/>
              </w:rPr>
            </w:pPr>
            <w:r>
              <w:rPr>
                <w:lang w:val="en-US"/>
              </w:rPr>
              <w:t>-</w:t>
            </w:r>
          </w:p>
        </w:tc>
      </w:tr>
      <w:tr w:rsidR="00091C20" w:rsidRPr="005E3EF5" w14:paraId="1F2C5038" w14:textId="77777777" w:rsidTr="00815696">
        <w:tc>
          <w:tcPr>
            <w:tcW w:w="2106" w:type="dxa"/>
            <w:shd w:val="clear" w:color="auto" w:fill="auto"/>
          </w:tcPr>
          <w:p w14:paraId="11BE69B3" w14:textId="7C6FBEC4" w:rsidR="00091C20" w:rsidRDefault="00091C20" w:rsidP="00815696">
            <w:pPr>
              <w:pStyle w:val="LI-Notestabletext"/>
              <w:rPr>
                <w:lang w:val="en-US"/>
              </w:rPr>
            </w:pPr>
            <w:r>
              <w:rPr>
                <w:lang w:val="en-US"/>
              </w:rPr>
              <w:t>2017/0723</w:t>
            </w:r>
          </w:p>
        </w:tc>
        <w:tc>
          <w:tcPr>
            <w:tcW w:w="2141" w:type="dxa"/>
            <w:shd w:val="clear" w:color="auto" w:fill="auto"/>
          </w:tcPr>
          <w:p w14:paraId="50E9BE62" w14:textId="5F79BD03" w:rsidR="00091C20" w:rsidRPr="00A038F1" w:rsidRDefault="00091C20" w:rsidP="00815696">
            <w:pPr>
              <w:pStyle w:val="LI-Notestabletext"/>
              <w:rPr>
                <w:lang w:val="en-US"/>
              </w:rPr>
            </w:pPr>
            <w:r>
              <w:rPr>
                <w:lang w:val="en-US"/>
              </w:rPr>
              <w:t>12/9/2017 (</w:t>
            </w:r>
            <w:r w:rsidRPr="00091C20">
              <w:rPr>
                <w:i/>
                <w:lang w:val="en-US"/>
              </w:rPr>
              <w:t>see</w:t>
            </w:r>
            <w:r>
              <w:rPr>
                <w:lang w:val="en-US"/>
              </w:rPr>
              <w:t xml:space="preserve"> </w:t>
            </w:r>
            <w:r w:rsidRPr="00091C20">
              <w:rPr>
                <w:lang w:val="en-US"/>
              </w:rPr>
              <w:t>F2017L01160</w:t>
            </w:r>
            <w:r>
              <w:rPr>
                <w:lang w:val="en-US"/>
              </w:rPr>
              <w:t>)</w:t>
            </w:r>
          </w:p>
        </w:tc>
        <w:tc>
          <w:tcPr>
            <w:tcW w:w="2162" w:type="dxa"/>
            <w:shd w:val="clear" w:color="auto" w:fill="auto"/>
          </w:tcPr>
          <w:p w14:paraId="3239A4F2" w14:textId="5C5515B2" w:rsidR="00091C20" w:rsidRDefault="00091C20" w:rsidP="00815696">
            <w:pPr>
              <w:pStyle w:val="LI-Notestabletext"/>
              <w:rPr>
                <w:lang w:val="en-US"/>
              </w:rPr>
            </w:pPr>
            <w:r>
              <w:rPr>
                <w:lang w:val="en-US"/>
              </w:rPr>
              <w:t>13/9/2017</w:t>
            </w:r>
          </w:p>
        </w:tc>
        <w:tc>
          <w:tcPr>
            <w:tcW w:w="2120" w:type="dxa"/>
            <w:shd w:val="clear" w:color="auto" w:fill="auto"/>
          </w:tcPr>
          <w:p w14:paraId="6879AE9B" w14:textId="472E464C" w:rsidR="00091C20" w:rsidRDefault="00091C20" w:rsidP="00815696">
            <w:pPr>
              <w:pStyle w:val="LI-Notestabletext"/>
              <w:rPr>
                <w:lang w:val="en-US"/>
              </w:rPr>
            </w:pPr>
            <w:r>
              <w:rPr>
                <w:lang w:val="en-US"/>
              </w:rPr>
              <w:t>-</w:t>
            </w:r>
          </w:p>
        </w:tc>
      </w:tr>
      <w:tr w:rsidR="00C03083" w:rsidRPr="005E3EF5" w14:paraId="39F18AF9" w14:textId="77777777" w:rsidTr="00815696">
        <w:tc>
          <w:tcPr>
            <w:tcW w:w="2106" w:type="dxa"/>
            <w:shd w:val="clear" w:color="auto" w:fill="auto"/>
          </w:tcPr>
          <w:p w14:paraId="5FEA73B0" w14:textId="5FADF346" w:rsidR="00C03083" w:rsidRDefault="00C03083" w:rsidP="00815696">
            <w:pPr>
              <w:pStyle w:val="LI-Notestabletext"/>
              <w:rPr>
                <w:lang w:val="en-US"/>
              </w:rPr>
            </w:pPr>
            <w:r>
              <w:rPr>
                <w:lang w:val="en-US"/>
              </w:rPr>
              <w:t>2017/861</w:t>
            </w:r>
          </w:p>
        </w:tc>
        <w:tc>
          <w:tcPr>
            <w:tcW w:w="2141" w:type="dxa"/>
            <w:shd w:val="clear" w:color="auto" w:fill="auto"/>
          </w:tcPr>
          <w:p w14:paraId="40650DE4" w14:textId="7F8F22C2" w:rsidR="00C03083" w:rsidRDefault="00C03083" w:rsidP="00815696">
            <w:pPr>
              <w:pStyle w:val="LI-Notestabletext"/>
              <w:rPr>
                <w:lang w:val="en-US"/>
              </w:rPr>
            </w:pPr>
            <w:r>
              <w:rPr>
                <w:lang w:val="en-US"/>
              </w:rPr>
              <w:t>28/9/2017 (</w:t>
            </w:r>
            <w:r w:rsidRPr="00C03083">
              <w:rPr>
                <w:i/>
                <w:lang w:val="en-US"/>
              </w:rPr>
              <w:t xml:space="preserve">see </w:t>
            </w:r>
            <w:r w:rsidRPr="00C03083">
              <w:rPr>
                <w:lang w:val="en-US"/>
              </w:rPr>
              <w:t>F2017L01294</w:t>
            </w:r>
            <w:r>
              <w:rPr>
                <w:lang w:val="en-US"/>
              </w:rPr>
              <w:t>)</w:t>
            </w:r>
          </w:p>
        </w:tc>
        <w:tc>
          <w:tcPr>
            <w:tcW w:w="2162" w:type="dxa"/>
            <w:shd w:val="clear" w:color="auto" w:fill="auto"/>
          </w:tcPr>
          <w:p w14:paraId="7FD2AD54" w14:textId="31357B4B" w:rsidR="00C03083" w:rsidRDefault="00C03083" w:rsidP="00815696">
            <w:pPr>
              <w:pStyle w:val="LI-Notestabletext"/>
              <w:rPr>
                <w:lang w:val="en-US"/>
              </w:rPr>
            </w:pPr>
            <w:r>
              <w:rPr>
                <w:lang w:val="en-US"/>
              </w:rPr>
              <w:t>29/9/2017</w:t>
            </w:r>
          </w:p>
        </w:tc>
        <w:tc>
          <w:tcPr>
            <w:tcW w:w="2120" w:type="dxa"/>
            <w:shd w:val="clear" w:color="auto" w:fill="auto"/>
          </w:tcPr>
          <w:p w14:paraId="505076FC" w14:textId="6BC7A7A9" w:rsidR="00C03083" w:rsidRDefault="00C03083" w:rsidP="00815696">
            <w:pPr>
              <w:pStyle w:val="LI-Notestabletext"/>
              <w:rPr>
                <w:lang w:val="en-US"/>
              </w:rPr>
            </w:pPr>
            <w:r>
              <w:rPr>
                <w:lang w:val="en-US"/>
              </w:rPr>
              <w:t>-</w:t>
            </w:r>
          </w:p>
        </w:tc>
      </w:tr>
      <w:tr w:rsidR="00304580" w:rsidRPr="005E3EF5" w14:paraId="77D844BD" w14:textId="77777777" w:rsidTr="00815696">
        <w:tc>
          <w:tcPr>
            <w:tcW w:w="2106" w:type="dxa"/>
            <w:shd w:val="clear" w:color="auto" w:fill="auto"/>
          </w:tcPr>
          <w:p w14:paraId="15F0BDF1" w14:textId="55250E3B" w:rsidR="00304580" w:rsidRDefault="00304580" w:rsidP="00815696">
            <w:pPr>
              <w:pStyle w:val="LI-Notestabletext"/>
              <w:rPr>
                <w:lang w:val="en-US"/>
              </w:rPr>
            </w:pPr>
            <w:r>
              <w:rPr>
                <w:lang w:val="en-US"/>
              </w:rPr>
              <w:t>2018/172</w:t>
            </w:r>
          </w:p>
        </w:tc>
        <w:tc>
          <w:tcPr>
            <w:tcW w:w="2141" w:type="dxa"/>
            <w:shd w:val="clear" w:color="auto" w:fill="auto"/>
          </w:tcPr>
          <w:p w14:paraId="4FB37F92" w14:textId="3FDCC5E1" w:rsidR="00304580" w:rsidRDefault="00304580" w:rsidP="00815696">
            <w:pPr>
              <w:pStyle w:val="LI-Notestabletext"/>
              <w:rPr>
                <w:lang w:val="en-US"/>
              </w:rPr>
            </w:pPr>
            <w:r>
              <w:rPr>
                <w:lang w:val="en-US"/>
              </w:rPr>
              <w:t>23/3/2018 (</w:t>
            </w:r>
            <w:r w:rsidRPr="00304580">
              <w:rPr>
                <w:i/>
                <w:lang w:val="en-US"/>
              </w:rPr>
              <w:t xml:space="preserve">see </w:t>
            </w:r>
            <w:r w:rsidRPr="00304580">
              <w:rPr>
                <w:lang w:val="en-US"/>
              </w:rPr>
              <w:t>F2018L00360</w:t>
            </w:r>
            <w:r>
              <w:rPr>
                <w:lang w:val="en-US"/>
              </w:rPr>
              <w:t>)</w:t>
            </w:r>
          </w:p>
        </w:tc>
        <w:tc>
          <w:tcPr>
            <w:tcW w:w="2162" w:type="dxa"/>
            <w:shd w:val="clear" w:color="auto" w:fill="auto"/>
          </w:tcPr>
          <w:p w14:paraId="3431E6A5" w14:textId="13A02ECB" w:rsidR="00304580" w:rsidRDefault="00304580" w:rsidP="00815696">
            <w:pPr>
              <w:pStyle w:val="LI-Notestabletext"/>
              <w:rPr>
                <w:lang w:val="en-US"/>
              </w:rPr>
            </w:pPr>
            <w:r>
              <w:rPr>
                <w:lang w:val="en-US"/>
              </w:rPr>
              <w:t>24/3/2018</w:t>
            </w:r>
          </w:p>
        </w:tc>
        <w:tc>
          <w:tcPr>
            <w:tcW w:w="2120" w:type="dxa"/>
            <w:shd w:val="clear" w:color="auto" w:fill="auto"/>
          </w:tcPr>
          <w:p w14:paraId="796A2347" w14:textId="118285F6" w:rsidR="00304580" w:rsidRDefault="00304580" w:rsidP="00815696">
            <w:pPr>
              <w:pStyle w:val="LI-Notestabletext"/>
              <w:rPr>
                <w:lang w:val="en-US"/>
              </w:rPr>
            </w:pPr>
            <w:r>
              <w:rPr>
                <w:lang w:val="en-US"/>
              </w:rPr>
              <w:t>-</w:t>
            </w:r>
          </w:p>
        </w:tc>
      </w:tr>
      <w:tr w:rsidR="00B91C08" w:rsidRPr="005E3EF5" w14:paraId="0A43A7CB" w14:textId="77777777" w:rsidTr="00815696">
        <w:tc>
          <w:tcPr>
            <w:tcW w:w="2106" w:type="dxa"/>
            <w:shd w:val="clear" w:color="auto" w:fill="auto"/>
          </w:tcPr>
          <w:p w14:paraId="1D66C1DF" w14:textId="46B88B1E" w:rsidR="00B91C08" w:rsidRDefault="00B91C08" w:rsidP="00815696">
            <w:pPr>
              <w:pStyle w:val="LI-Notestabletext"/>
              <w:rPr>
                <w:lang w:val="en-US"/>
              </w:rPr>
            </w:pPr>
            <w:r>
              <w:rPr>
                <w:lang w:val="en-US"/>
              </w:rPr>
              <w:t>2018/810</w:t>
            </w:r>
          </w:p>
        </w:tc>
        <w:tc>
          <w:tcPr>
            <w:tcW w:w="2141" w:type="dxa"/>
            <w:shd w:val="clear" w:color="auto" w:fill="auto"/>
          </w:tcPr>
          <w:p w14:paraId="0A283F76" w14:textId="3CFE62AB" w:rsidR="00B91C08" w:rsidRDefault="00B91C08" w:rsidP="00815696">
            <w:pPr>
              <w:pStyle w:val="LI-Notestabletext"/>
              <w:rPr>
                <w:lang w:val="en-US"/>
              </w:rPr>
            </w:pPr>
            <w:r>
              <w:rPr>
                <w:lang w:val="en-US"/>
              </w:rPr>
              <w:t>24/9/2018 (</w:t>
            </w:r>
            <w:r w:rsidRPr="00B91C08">
              <w:rPr>
                <w:i/>
                <w:lang w:val="en-US"/>
              </w:rPr>
              <w:t xml:space="preserve">see </w:t>
            </w:r>
            <w:r w:rsidRPr="00B91C08">
              <w:rPr>
                <w:lang w:val="en-US"/>
              </w:rPr>
              <w:t>F2018L01334</w:t>
            </w:r>
            <w:r>
              <w:rPr>
                <w:lang w:val="en-US"/>
              </w:rPr>
              <w:t>)</w:t>
            </w:r>
          </w:p>
        </w:tc>
        <w:tc>
          <w:tcPr>
            <w:tcW w:w="2162" w:type="dxa"/>
            <w:shd w:val="clear" w:color="auto" w:fill="auto"/>
          </w:tcPr>
          <w:p w14:paraId="4517553A" w14:textId="197C18EE" w:rsidR="00B91C08" w:rsidRDefault="00B91C08" w:rsidP="00815696">
            <w:pPr>
              <w:pStyle w:val="LI-Notestabletext"/>
              <w:rPr>
                <w:lang w:val="en-US"/>
              </w:rPr>
            </w:pPr>
            <w:r>
              <w:rPr>
                <w:lang w:val="en-US"/>
              </w:rPr>
              <w:t>25/9/2018</w:t>
            </w:r>
          </w:p>
        </w:tc>
        <w:tc>
          <w:tcPr>
            <w:tcW w:w="2120" w:type="dxa"/>
            <w:shd w:val="clear" w:color="auto" w:fill="auto"/>
          </w:tcPr>
          <w:p w14:paraId="2B2D773A" w14:textId="40282264" w:rsidR="00B91C08" w:rsidRDefault="00B91C08" w:rsidP="00815696">
            <w:pPr>
              <w:pStyle w:val="LI-Notestabletext"/>
              <w:rPr>
                <w:lang w:val="en-US"/>
              </w:rPr>
            </w:pPr>
            <w:r>
              <w:rPr>
                <w:lang w:val="en-US"/>
              </w:rPr>
              <w:t>-</w:t>
            </w:r>
          </w:p>
        </w:tc>
      </w:tr>
      <w:tr w:rsidR="00F04EFF" w:rsidRPr="005E3EF5" w14:paraId="303A05AD" w14:textId="77777777" w:rsidTr="00815696">
        <w:tc>
          <w:tcPr>
            <w:tcW w:w="2106" w:type="dxa"/>
            <w:shd w:val="clear" w:color="auto" w:fill="auto"/>
          </w:tcPr>
          <w:p w14:paraId="2F97C59D" w14:textId="42440EC1" w:rsidR="00F04EFF" w:rsidRDefault="00F04EFF" w:rsidP="00815696">
            <w:pPr>
              <w:pStyle w:val="LI-Notestabletext"/>
              <w:rPr>
                <w:lang w:val="en-US"/>
              </w:rPr>
            </w:pPr>
            <w:r>
              <w:rPr>
                <w:lang w:val="en-US"/>
              </w:rPr>
              <w:t>2019/169</w:t>
            </w:r>
          </w:p>
        </w:tc>
        <w:tc>
          <w:tcPr>
            <w:tcW w:w="2141" w:type="dxa"/>
            <w:shd w:val="clear" w:color="auto" w:fill="auto"/>
          </w:tcPr>
          <w:p w14:paraId="6C84E07D" w14:textId="59E133CA" w:rsidR="00F04EFF" w:rsidRDefault="00F04EFF" w:rsidP="00815696">
            <w:pPr>
              <w:pStyle w:val="LI-Notestabletext"/>
              <w:rPr>
                <w:lang w:val="en-US"/>
              </w:rPr>
            </w:pPr>
            <w:r>
              <w:rPr>
                <w:lang w:val="en-US"/>
              </w:rPr>
              <w:t>13/3/2019 (</w:t>
            </w:r>
            <w:r w:rsidRPr="00F04EFF">
              <w:rPr>
                <w:i/>
                <w:lang w:val="en-US"/>
              </w:rPr>
              <w:t xml:space="preserve">see </w:t>
            </w:r>
            <w:r w:rsidRPr="00F04EFF">
              <w:rPr>
                <w:lang w:val="en-US"/>
              </w:rPr>
              <w:t>F2019L00284</w:t>
            </w:r>
            <w:r>
              <w:rPr>
                <w:lang w:val="en-US"/>
              </w:rPr>
              <w:t>)</w:t>
            </w:r>
          </w:p>
        </w:tc>
        <w:tc>
          <w:tcPr>
            <w:tcW w:w="2162" w:type="dxa"/>
            <w:shd w:val="clear" w:color="auto" w:fill="auto"/>
          </w:tcPr>
          <w:p w14:paraId="40A50E0D" w14:textId="1F763A65" w:rsidR="00F04EFF" w:rsidRDefault="00F04EFF" w:rsidP="00815696">
            <w:pPr>
              <w:pStyle w:val="LI-Notestabletext"/>
              <w:rPr>
                <w:lang w:val="en-US"/>
              </w:rPr>
            </w:pPr>
            <w:r>
              <w:rPr>
                <w:lang w:val="en-US"/>
              </w:rPr>
              <w:t>14/3/2019</w:t>
            </w:r>
          </w:p>
        </w:tc>
        <w:tc>
          <w:tcPr>
            <w:tcW w:w="2120" w:type="dxa"/>
            <w:shd w:val="clear" w:color="auto" w:fill="auto"/>
          </w:tcPr>
          <w:p w14:paraId="1718DF45" w14:textId="2F9C76D7" w:rsidR="00F04EFF" w:rsidRDefault="00F04EFF" w:rsidP="00815696">
            <w:pPr>
              <w:pStyle w:val="LI-Notestabletext"/>
              <w:rPr>
                <w:lang w:val="en-US"/>
              </w:rPr>
            </w:pPr>
            <w:r>
              <w:rPr>
                <w:lang w:val="en-US"/>
              </w:rPr>
              <w:t>-</w:t>
            </w:r>
          </w:p>
        </w:tc>
      </w:tr>
      <w:tr w:rsidR="00AC6549" w:rsidRPr="005E3EF5" w14:paraId="15FDAD27" w14:textId="77777777" w:rsidTr="00815696">
        <w:tc>
          <w:tcPr>
            <w:tcW w:w="2106" w:type="dxa"/>
            <w:shd w:val="clear" w:color="auto" w:fill="auto"/>
          </w:tcPr>
          <w:p w14:paraId="4011FA40" w14:textId="7E29898E" w:rsidR="00AC6549" w:rsidRDefault="00AC6549" w:rsidP="00815696">
            <w:pPr>
              <w:pStyle w:val="LI-Notestabletext"/>
              <w:rPr>
                <w:lang w:val="en-US"/>
              </w:rPr>
            </w:pPr>
            <w:r>
              <w:rPr>
                <w:lang w:val="en-US"/>
              </w:rPr>
              <w:t>2019/958</w:t>
            </w:r>
          </w:p>
        </w:tc>
        <w:tc>
          <w:tcPr>
            <w:tcW w:w="2141" w:type="dxa"/>
            <w:shd w:val="clear" w:color="auto" w:fill="auto"/>
          </w:tcPr>
          <w:p w14:paraId="0CBA3B00" w14:textId="24B3557B" w:rsidR="00AC6549" w:rsidRDefault="00AC6549" w:rsidP="00815696">
            <w:pPr>
              <w:pStyle w:val="LI-Notestabletext"/>
              <w:rPr>
                <w:lang w:val="en-US"/>
              </w:rPr>
            </w:pPr>
            <w:r>
              <w:rPr>
                <w:lang w:val="en-US"/>
              </w:rPr>
              <w:t>1/10/2019 (</w:t>
            </w:r>
            <w:r w:rsidRPr="00AC6549">
              <w:rPr>
                <w:i/>
                <w:iCs/>
                <w:lang w:val="en-US"/>
              </w:rPr>
              <w:t>see</w:t>
            </w:r>
            <w:r>
              <w:rPr>
                <w:lang w:val="en-US"/>
              </w:rPr>
              <w:t xml:space="preserve"> F2019L01301)</w:t>
            </w:r>
          </w:p>
        </w:tc>
        <w:tc>
          <w:tcPr>
            <w:tcW w:w="2162" w:type="dxa"/>
            <w:shd w:val="clear" w:color="auto" w:fill="auto"/>
          </w:tcPr>
          <w:p w14:paraId="5F7628FE" w14:textId="7E84DD7B" w:rsidR="00AC6549" w:rsidRDefault="00AC6549" w:rsidP="00815696">
            <w:pPr>
              <w:pStyle w:val="LI-Notestabletext"/>
              <w:rPr>
                <w:lang w:val="en-US"/>
              </w:rPr>
            </w:pPr>
            <w:r>
              <w:rPr>
                <w:lang w:val="en-US"/>
              </w:rPr>
              <w:t>1/10/2019</w:t>
            </w:r>
          </w:p>
        </w:tc>
        <w:tc>
          <w:tcPr>
            <w:tcW w:w="2120" w:type="dxa"/>
            <w:shd w:val="clear" w:color="auto" w:fill="auto"/>
          </w:tcPr>
          <w:p w14:paraId="530F88BD" w14:textId="73DB78C7" w:rsidR="00AC6549" w:rsidRDefault="00DF631D" w:rsidP="00815696">
            <w:pPr>
              <w:pStyle w:val="LI-Notestabletext"/>
              <w:rPr>
                <w:lang w:val="en-US"/>
              </w:rPr>
            </w:pPr>
            <w:r>
              <w:rPr>
                <w:lang w:val="en-US"/>
              </w:rPr>
              <w:t>-</w:t>
            </w:r>
          </w:p>
        </w:tc>
      </w:tr>
      <w:tr w:rsidR="00DF631D" w:rsidRPr="005E3EF5" w14:paraId="2F14F560" w14:textId="77777777" w:rsidTr="00815696">
        <w:tc>
          <w:tcPr>
            <w:tcW w:w="2106" w:type="dxa"/>
            <w:shd w:val="clear" w:color="auto" w:fill="auto"/>
          </w:tcPr>
          <w:p w14:paraId="286216A1" w14:textId="79678CA3" w:rsidR="00DF631D" w:rsidRDefault="00DF631D" w:rsidP="00815696">
            <w:pPr>
              <w:pStyle w:val="LI-Notestabletext"/>
              <w:rPr>
                <w:lang w:val="en-US"/>
              </w:rPr>
            </w:pPr>
            <w:r>
              <w:rPr>
                <w:lang w:val="en-US"/>
              </w:rPr>
              <w:t>2020/242</w:t>
            </w:r>
          </w:p>
        </w:tc>
        <w:tc>
          <w:tcPr>
            <w:tcW w:w="2141" w:type="dxa"/>
            <w:shd w:val="clear" w:color="auto" w:fill="auto"/>
          </w:tcPr>
          <w:p w14:paraId="560AF268" w14:textId="2F40D960" w:rsidR="00DF631D" w:rsidRDefault="00DF631D" w:rsidP="00815696">
            <w:pPr>
              <w:pStyle w:val="LI-Notestabletext"/>
              <w:rPr>
                <w:lang w:val="en-US"/>
              </w:rPr>
            </w:pPr>
            <w:r>
              <w:rPr>
                <w:lang w:val="en-US"/>
              </w:rPr>
              <w:t>27/3/2020 (</w:t>
            </w:r>
            <w:r w:rsidRPr="00DF631D">
              <w:rPr>
                <w:i/>
                <w:lang w:val="en-US"/>
              </w:rPr>
              <w:t xml:space="preserve">see </w:t>
            </w:r>
            <w:r w:rsidRPr="00DF631D">
              <w:rPr>
                <w:lang w:val="en-US"/>
              </w:rPr>
              <w:t>F2020L00332</w:t>
            </w:r>
            <w:r>
              <w:rPr>
                <w:lang w:val="en-US"/>
              </w:rPr>
              <w:t>)</w:t>
            </w:r>
          </w:p>
        </w:tc>
        <w:tc>
          <w:tcPr>
            <w:tcW w:w="2162" w:type="dxa"/>
            <w:shd w:val="clear" w:color="auto" w:fill="auto"/>
          </w:tcPr>
          <w:p w14:paraId="7D026A67" w14:textId="1BF80E87" w:rsidR="00DF631D" w:rsidRDefault="00DF631D" w:rsidP="00815696">
            <w:pPr>
              <w:pStyle w:val="LI-Notestabletext"/>
              <w:rPr>
                <w:lang w:val="en-US"/>
              </w:rPr>
            </w:pPr>
            <w:r>
              <w:rPr>
                <w:lang w:val="en-US"/>
              </w:rPr>
              <w:t>1/4/2020</w:t>
            </w:r>
          </w:p>
        </w:tc>
        <w:tc>
          <w:tcPr>
            <w:tcW w:w="2120" w:type="dxa"/>
            <w:shd w:val="clear" w:color="auto" w:fill="auto"/>
          </w:tcPr>
          <w:p w14:paraId="60B8DD77" w14:textId="7F35CB33" w:rsidR="00DF631D" w:rsidRDefault="00DF631D" w:rsidP="00815696">
            <w:pPr>
              <w:pStyle w:val="LI-Notestabletext"/>
              <w:rPr>
                <w:lang w:val="en-US"/>
              </w:rPr>
            </w:pPr>
            <w:r>
              <w:rPr>
                <w:lang w:val="en-US"/>
              </w:rPr>
              <w:t>-</w:t>
            </w:r>
          </w:p>
        </w:tc>
      </w:tr>
    </w:tbl>
    <w:p w14:paraId="3089AC1D" w14:textId="77777777" w:rsidR="00774723" w:rsidRPr="00210E88" w:rsidRDefault="00774723" w:rsidP="00774723">
      <w:pPr>
        <w:pStyle w:val="LI-Heading2"/>
      </w:pPr>
      <w:bookmarkStart w:id="41" w:name="_Toc402889771"/>
      <w:bookmarkStart w:id="42" w:name="_Toc420481769"/>
      <w:bookmarkStart w:id="43" w:name="_Toc420481881"/>
      <w:bookmarkStart w:id="44" w:name="_Toc20409922"/>
      <w:r>
        <w:t>Endnote 2—Amendment history</w:t>
      </w:r>
      <w:bookmarkEnd w:id="41"/>
      <w:bookmarkEnd w:id="42"/>
      <w:bookmarkEnd w:id="43"/>
      <w:bookmarkEnd w:id="44"/>
    </w:p>
    <w:p w14:paraId="2C9C9F04" w14:textId="45AC931F" w:rsidR="00774723" w:rsidRDefault="00774723" w:rsidP="00774723">
      <w:pPr>
        <w:pStyle w:val="LI-Notestabletext"/>
      </w:pPr>
      <w:r w:rsidRPr="00C76A81">
        <w:t>ad. = added or</w:t>
      </w:r>
      <w:r w:rsidR="00EB011E">
        <w:t xml:space="preserve"> inserted   am. = amended    </w:t>
      </w:r>
      <w:r w:rsidR="00467057" w:rsidRPr="008346B8">
        <w:t xml:space="preserve">LA = </w:t>
      </w:r>
      <w:r w:rsidR="00467057" w:rsidRPr="008346B8">
        <w:rPr>
          <w:i/>
        </w:rPr>
        <w:t>Legislation Act 2003</w:t>
      </w:r>
      <w:r w:rsidR="00EB011E">
        <w:rPr>
          <w:i/>
        </w:rPr>
        <w:t xml:space="preserve">   </w:t>
      </w:r>
      <w:r w:rsidR="00EB011E">
        <w:t xml:space="preserve">rep. = repealed   </w:t>
      </w:r>
      <w:r w:rsidRPr="00C76A81">
        <w:t>rs. = repealed and substituted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144"/>
      </w:tblGrid>
      <w:tr w:rsidR="005D7DB5" w14:paraId="327B69E9" w14:textId="77777777" w:rsidTr="00DC7869">
        <w:trPr>
          <w:tblHeader/>
        </w:trPr>
        <w:tc>
          <w:tcPr>
            <w:tcW w:w="2159" w:type="dxa"/>
            <w:shd w:val="clear" w:color="auto" w:fill="auto"/>
          </w:tcPr>
          <w:p w14:paraId="0F8D2510" w14:textId="77777777" w:rsidR="00774723" w:rsidRDefault="00774723" w:rsidP="00815696">
            <w:pPr>
              <w:pStyle w:val="LI-Notestableheader"/>
            </w:pPr>
            <w:r w:rsidRPr="005E3EF5">
              <w:rPr>
                <w:lang w:val="en-US"/>
              </w:rPr>
              <w:t>Provision affected</w:t>
            </w:r>
            <w:r w:rsidRPr="005E3EF5">
              <w:rPr>
                <w:lang w:val="en-US"/>
              </w:rPr>
              <w:tab/>
            </w:r>
          </w:p>
        </w:tc>
        <w:tc>
          <w:tcPr>
            <w:tcW w:w="6144" w:type="dxa"/>
            <w:shd w:val="clear" w:color="auto" w:fill="auto"/>
          </w:tcPr>
          <w:p w14:paraId="34D38AAA" w14:textId="77777777" w:rsidR="00774723" w:rsidRDefault="00774723" w:rsidP="00815696">
            <w:pPr>
              <w:pStyle w:val="LI-Notestableheader"/>
            </w:pPr>
            <w:r w:rsidRPr="005E3EF5">
              <w:rPr>
                <w:lang w:val="en-US"/>
              </w:rPr>
              <w:t>How affected</w:t>
            </w:r>
          </w:p>
        </w:tc>
      </w:tr>
      <w:tr w:rsidR="00467057" w:rsidRPr="005E3EF5" w14:paraId="773F212B" w14:textId="77777777" w:rsidTr="00DC7869">
        <w:tc>
          <w:tcPr>
            <w:tcW w:w="2159" w:type="dxa"/>
            <w:shd w:val="clear" w:color="auto" w:fill="auto"/>
          </w:tcPr>
          <w:p w14:paraId="255BB988" w14:textId="66573678" w:rsidR="00467057" w:rsidRDefault="00467057" w:rsidP="00815696">
            <w:pPr>
              <w:pStyle w:val="LI-Notestabletext"/>
              <w:rPr>
                <w:lang w:val="en-US"/>
              </w:rPr>
            </w:pPr>
            <w:r w:rsidRPr="00467057">
              <w:rPr>
                <w:lang w:val="en-US"/>
              </w:rPr>
              <w:t>Section 2</w:t>
            </w:r>
          </w:p>
        </w:tc>
        <w:tc>
          <w:tcPr>
            <w:tcW w:w="6144" w:type="dxa"/>
            <w:shd w:val="clear" w:color="auto" w:fill="auto"/>
          </w:tcPr>
          <w:p w14:paraId="4AE967C7" w14:textId="0E5252E1" w:rsidR="00467057" w:rsidRDefault="00467057" w:rsidP="005D7DB5">
            <w:pPr>
              <w:pStyle w:val="LI-Notestabletext"/>
              <w:rPr>
                <w:lang w:val="en-US"/>
              </w:rPr>
            </w:pPr>
            <w:r w:rsidRPr="00467057">
              <w:rPr>
                <w:lang w:val="en-US"/>
              </w:rPr>
              <w:t>rep. s48D LA</w:t>
            </w:r>
          </w:p>
        </w:tc>
      </w:tr>
      <w:tr w:rsidR="00F04EFF" w:rsidRPr="005E3EF5" w14:paraId="7577AEA2" w14:textId="77777777" w:rsidTr="00DC7869">
        <w:tc>
          <w:tcPr>
            <w:tcW w:w="2159" w:type="dxa"/>
            <w:shd w:val="clear" w:color="auto" w:fill="auto"/>
          </w:tcPr>
          <w:p w14:paraId="674F6D71" w14:textId="0E8B4886" w:rsidR="00F04EFF" w:rsidRDefault="00F04EFF" w:rsidP="00815696">
            <w:pPr>
              <w:pStyle w:val="LI-Notestabletext"/>
              <w:rPr>
                <w:lang w:val="en-US"/>
              </w:rPr>
            </w:pPr>
            <w:r>
              <w:rPr>
                <w:lang w:val="en-US"/>
              </w:rPr>
              <w:t>Subsection 4(1)</w:t>
            </w:r>
          </w:p>
        </w:tc>
        <w:tc>
          <w:tcPr>
            <w:tcW w:w="6144" w:type="dxa"/>
            <w:shd w:val="clear" w:color="auto" w:fill="auto"/>
          </w:tcPr>
          <w:p w14:paraId="6D26682E" w14:textId="112B0194" w:rsidR="00F04EFF" w:rsidRDefault="00F04EFF" w:rsidP="005D7DB5">
            <w:pPr>
              <w:pStyle w:val="LI-Notestabletext"/>
              <w:rPr>
                <w:lang w:val="en-US"/>
              </w:rPr>
            </w:pPr>
            <w:r>
              <w:rPr>
                <w:lang w:val="en-US"/>
              </w:rPr>
              <w:t>am. 2019/169</w:t>
            </w:r>
          </w:p>
        </w:tc>
      </w:tr>
      <w:tr w:rsidR="00B91C08" w:rsidRPr="005E3EF5" w14:paraId="0042F245" w14:textId="77777777" w:rsidTr="00DC7869">
        <w:tc>
          <w:tcPr>
            <w:tcW w:w="2159" w:type="dxa"/>
            <w:shd w:val="clear" w:color="auto" w:fill="auto"/>
          </w:tcPr>
          <w:p w14:paraId="08B0D597" w14:textId="406793DF" w:rsidR="00B91C08" w:rsidRDefault="00B91C08" w:rsidP="00815696">
            <w:pPr>
              <w:pStyle w:val="LI-Notestabletext"/>
              <w:rPr>
                <w:lang w:val="en-US"/>
              </w:rPr>
            </w:pPr>
            <w:r>
              <w:rPr>
                <w:lang w:val="en-US"/>
              </w:rPr>
              <w:t>Su</w:t>
            </w:r>
            <w:r w:rsidR="00F04EFF">
              <w:rPr>
                <w:lang w:val="en-US"/>
              </w:rPr>
              <w:t>b</w:t>
            </w:r>
            <w:r>
              <w:rPr>
                <w:lang w:val="en-US"/>
              </w:rPr>
              <w:t>section 5(1)</w:t>
            </w:r>
          </w:p>
        </w:tc>
        <w:tc>
          <w:tcPr>
            <w:tcW w:w="6144" w:type="dxa"/>
            <w:shd w:val="clear" w:color="auto" w:fill="auto"/>
          </w:tcPr>
          <w:p w14:paraId="02FEB3C3" w14:textId="1ECE4764" w:rsidR="00B91C08" w:rsidRDefault="00B91C08" w:rsidP="005D7DB5">
            <w:pPr>
              <w:pStyle w:val="LI-Notestabletext"/>
              <w:rPr>
                <w:lang w:val="en-US"/>
              </w:rPr>
            </w:pPr>
            <w:r>
              <w:rPr>
                <w:lang w:val="en-US"/>
              </w:rPr>
              <w:t>am. 2018/810</w:t>
            </w:r>
            <w:r w:rsidR="00F04EFF">
              <w:rPr>
                <w:lang w:val="en-US"/>
              </w:rPr>
              <w:t xml:space="preserve"> and 2019/169</w:t>
            </w:r>
          </w:p>
        </w:tc>
      </w:tr>
      <w:tr w:rsidR="00B91C08" w:rsidRPr="005E3EF5" w14:paraId="72CB74AC" w14:textId="77777777" w:rsidTr="00DC7869">
        <w:tc>
          <w:tcPr>
            <w:tcW w:w="2159" w:type="dxa"/>
            <w:shd w:val="clear" w:color="auto" w:fill="auto"/>
          </w:tcPr>
          <w:p w14:paraId="7F61B4FB" w14:textId="1D2543F5" w:rsidR="00B91C08" w:rsidRDefault="00B91C08" w:rsidP="00815696">
            <w:pPr>
              <w:pStyle w:val="LI-Notestabletext"/>
              <w:rPr>
                <w:lang w:val="en-US"/>
              </w:rPr>
            </w:pPr>
            <w:r>
              <w:rPr>
                <w:lang w:val="en-US"/>
              </w:rPr>
              <w:t>Paragraph 5(3)(a)</w:t>
            </w:r>
          </w:p>
        </w:tc>
        <w:tc>
          <w:tcPr>
            <w:tcW w:w="6144" w:type="dxa"/>
            <w:shd w:val="clear" w:color="auto" w:fill="auto"/>
          </w:tcPr>
          <w:p w14:paraId="62690AAD" w14:textId="2D0E877B" w:rsidR="00B91C08" w:rsidRDefault="00B91C08" w:rsidP="005D7DB5">
            <w:pPr>
              <w:pStyle w:val="LI-Notestabletext"/>
              <w:rPr>
                <w:lang w:val="en-US"/>
              </w:rPr>
            </w:pPr>
            <w:r>
              <w:rPr>
                <w:lang w:val="en-US"/>
              </w:rPr>
              <w:t>am. 2018/810</w:t>
            </w:r>
          </w:p>
        </w:tc>
      </w:tr>
      <w:tr w:rsidR="00B91C08" w:rsidRPr="005E3EF5" w14:paraId="64DA88B1" w14:textId="77777777" w:rsidTr="00DC7869">
        <w:tc>
          <w:tcPr>
            <w:tcW w:w="2159" w:type="dxa"/>
            <w:shd w:val="clear" w:color="auto" w:fill="auto"/>
          </w:tcPr>
          <w:p w14:paraId="0B4057ED" w14:textId="6CD5A6BC" w:rsidR="00B91C08" w:rsidRDefault="00B91C08" w:rsidP="00815696">
            <w:pPr>
              <w:pStyle w:val="LI-Notestabletext"/>
              <w:rPr>
                <w:lang w:val="en-US"/>
              </w:rPr>
            </w:pPr>
            <w:r>
              <w:rPr>
                <w:lang w:val="en-US"/>
              </w:rPr>
              <w:t>Paragraph 5(3)(b)</w:t>
            </w:r>
          </w:p>
        </w:tc>
        <w:tc>
          <w:tcPr>
            <w:tcW w:w="6144" w:type="dxa"/>
            <w:shd w:val="clear" w:color="auto" w:fill="auto"/>
          </w:tcPr>
          <w:p w14:paraId="3E79E1DC" w14:textId="165B5981" w:rsidR="00B91C08" w:rsidRDefault="00B91C08" w:rsidP="005D7DB5">
            <w:pPr>
              <w:pStyle w:val="LI-Notestabletext"/>
              <w:rPr>
                <w:lang w:val="en-US"/>
              </w:rPr>
            </w:pPr>
            <w:r>
              <w:rPr>
                <w:lang w:val="en-US"/>
              </w:rPr>
              <w:t>am. 2018/810</w:t>
            </w:r>
          </w:p>
        </w:tc>
      </w:tr>
      <w:tr w:rsidR="00F04EFF" w:rsidRPr="005E3EF5" w14:paraId="5CEC9739" w14:textId="77777777" w:rsidTr="00DC7869">
        <w:tc>
          <w:tcPr>
            <w:tcW w:w="2159" w:type="dxa"/>
            <w:shd w:val="clear" w:color="auto" w:fill="auto"/>
          </w:tcPr>
          <w:p w14:paraId="5AEAE874" w14:textId="1D00249A" w:rsidR="00F04EFF" w:rsidRDefault="00F04EFF" w:rsidP="00815696">
            <w:pPr>
              <w:pStyle w:val="LI-Notestabletext"/>
              <w:rPr>
                <w:lang w:val="en-US"/>
              </w:rPr>
            </w:pPr>
            <w:r>
              <w:rPr>
                <w:lang w:val="en-US"/>
              </w:rPr>
              <w:lastRenderedPageBreak/>
              <w:t>Subsection 5(3A)–(3C)</w:t>
            </w:r>
          </w:p>
        </w:tc>
        <w:tc>
          <w:tcPr>
            <w:tcW w:w="6144" w:type="dxa"/>
            <w:shd w:val="clear" w:color="auto" w:fill="auto"/>
          </w:tcPr>
          <w:p w14:paraId="00E499CA" w14:textId="0CA6F5FA" w:rsidR="00F04EFF" w:rsidRDefault="00F04EFF" w:rsidP="005D7DB5">
            <w:pPr>
              <w:pStyle w:val="LI-Notestabletext"/>
              <w:rPr>
                <w:lang w:val="en-US"/>
              </w:rPr>
            </w:pPr>
            <w:r>
              <w:rPr>
                <w:lang w:val="en-US"/>
              </w:rPr>
              <w:t>ad. 2019/169</w:t>
            </w:r>
          </w:p>
        </w:tc>
      </w:tr>
      <w:tr w:rsidR="00091C20" w:rsidRPr="005E3EF5" w14:paraId="4DBCE9DE" w14:textId="77777777" w:rsidTr="00DC7869">
        <w:tc>
          <w:tcPr>
            <w:tcW w:w="2159" w:type="dxa"/>
            <w:shd w:val="clear" w:color="auto" w:fill="auto"/>
          </w:tcPr>
          <w:p w14:paraId="53A0D054" w14:textId="1542FE3B" w:rsidR="00091C20" w:rsidRPr="00467057" w:rsidRDefault="00B91C08" w:rsidP="00815696">
            <w:pPr>
              <w:pStyle w:val="LI-Notestabletext"/>
              <w:rPr>
                <w:lang w:val="en-US"/>
              </w:rPr>
            </w:pPr>
            <w:r>
              <w:rPr>
                <w:lang w:val="en-US"/>
              </w:rPr>
              <w:t>Subsection</w:t>
            </w:r>
            <w:r w:rsidR="00091C20">
              <w:rPr>
                <w:lang w:val="en-US"/>
              </w:rPr>
              <w:t xml:space="preserve"> 5(4)</w:t>
            </w:r>
          </w:p>
        </w:tc>
        <w:tc>
          <w:tcPr>
            <w:tcW w:w="6144" w:type="dxa"/>
            <w:shd w:val="clear" w:color="auto" w:fill="auto"/>
          </w:tcPr>
          <w:p w14:paraId="5B6506A6" w14:textId="40881164" w:rsidR="00091C20" w:rsidRPr="00467057" w:rsidRDefault="00091C20" w:rsidP="005D7DB5">
            <w:pPr>
              <w:pStyle w:val="LI-Notestabletext"/>
              <w:rPr>
                <w:lang w:val="en-US"/>
              </w:rPr>
            </w:pPr>
            <w:r>
              <w:rPr>
                <w:lang w:val="en-US"/>
              </w:rPr>
              <w:t>am. 2017/0723</w:t>
            </w:r>
          </w:p>
        </w:tc>
      </w:tr>
      <w:tr w:rsidR="00B91C08" w:rsidRPr="005E3EF5" w14:paraId="6A3DD1EA" w14:textId="77777777" w:rsidTr="00DC7869">
        <w:tc>
          <w:tcPr>
            <w:tcW w:w="2159" w:type="dxa"/>
            <w:shd w:val="clear" w:color="auto" w:fill="auto"/>
          </w:tcPr>
          <w:p w14:paraId="3978491F" w14:textId="52476443" w:rsidR="00B91C08" w:rsidRDefault="00B91C08" w:rsidP="00815696">
            <w:pPr>
              <w:pStyle w:val="LI-Notestabletext"/>
              <w:rPr>
                <w:lang w:val="en-US"/>
              </w:rPr>
            </w:pPr>
            <w:r>
              <w:rPr>
                <w:lang w:val="en-US"/>
              </w:rPr>
              <w:t>Subsection 6(1)</w:t>
            </w:r>
          </w:p>
        </w:tc>
        <w:tc>
          <w:tcPr>
            <w:tcW w:w="6144" w:type="dxa"/>
            <w:shd w:val="clear" w:color="auto" w:fill="auto"/>
          </w:tcPr>
          <w:p w14:paraId="3D416D28" w14:textId="77777777" w:rsidR="00B91C08" w:rsidRDefault="00B91C08" w:rsidP="005D7DB5">
            <w:pPr>
              <w:pStyle w:val="LI-Notestabletext"/>
              <w:rPr>
                <w:lang w:val="en-US"/>
              </w:rPr>
            </w:pPr>
            <w:r w:rsidRPr="00B91C08">
              <w:rPr>
                <w:lang w:val="en-US"/>
              </w:rPr>
              <w:t>am. 2018/810</w:t>
            </w:r>
            <w:r w:rsidR="00F04EFF">
              <w:rPr>
                <w:lang w:val="en-US"/>
              </w:rPr>
              <w:t xml:space="preserve"> and 2019/169</w:t>
            </w:r>
          </w:p>
          <w:p w14:paraId="5699ED9F" w14:textId="7DAB1219" w:rsidR="000B63FA" w:rsidRDefault="000B63FA" w:rsidP="005D7DB5">
            <w:pPr>
              <w:pStyle w:val="LI-Notestabletext"/>
              <w:rPr>
                <w:lang w:val="en-US"/>
              </w:rPr>
            </w:pPr>
            <w:r>
              <w:rPr>
                <w:lang w:val="en-US"/>
              </w:rPr>
              <w:t>rep. 2020/242</w:t>
            </w:r>
          </w:p>
        </w:tc>
      </w:tr>
      <w:tr w:rsidR="00F04EFF" w:rsidRPr="005E3EF5" w14:paraId="448EEF03" w14:textId="77777777" w:rsidTr="00DC7869">
        <w:tc>
          <w:tcPr>
            <w:tcW w:w="2159" w:type="dxa"/>
            <w:shd w:val="clear" w:color="auto" w:fill="auto"/>
          </w:tcPr>
          <w:p w14:paraId="23828620" w14:textId="1BE2AE0E" w:rsidR="00F04EFF" w:rsidRDefault="00F04EFF" w:rsidP="00815696">
            <w:pPr>
              <w:pStyle w:val="LI-Notestabletext"/>
              <w:rPr>
                <w:lang w:val="en-US"/>
              </w:rPr>
            </w:pPr>
            <w:r>
              <w:rPr>
                <w:lang w:val="en-US"/>
              </w:rPr>
              <w:t>Subsection 6(1A)</w:t>
            </w:r>
          </w:p>
        </w:tc>
        <w:tc>
          <w:tcPr>
            <w:tcW w:w="6144" w:type="dxa"/>
            <w:shd w:val="clear" w:color="auto" w:fill="auto"/>
          </w:tcPr>
          <w:p w14:paraId="61604048" w14:textId="044F9729" w:rsidR="00F04EFF" w:rsidRPr="00B91C08" w:rsidRDefault="00F04EFF" w:rsidP="005D7DB5">
            <w:pPr>
              <w:pStyle w:val="LI-Notestabletext"/>
              <w:rPr>
                <w:lang w:val="en-US"/>
              </w:rPr>
            </w:pPr>
            <w:r>
              <w:rPr>
                <w:lang w:val="en-US"/>
              </w:rPr>
              <w:t>ad. 2019/169</w:t>
            </w:r>
            <w:r w:rsidR="00DC7869">
              <w:rPr>
                <w:lang w:val="en-US"/>
              </w:rPr>
              <w:t>, am. 2019/958</w:t>
            </w:r>
          </w:p>
        </w:tc>
      </w:tr>
      <w:tr w:rsidR="00DC7869" w:rsidRPr="005E3EF5" w14:paraId="55681EB3" w14:textId="77777777" w:rsidTr="00DC7869">
        <w:tc>
          <w:tcPr>
            <w:tcW w:w="2159" w:type="dxa"/>
            <w:shd w:val="clear" w:color="auto" w:fill="auto"/>
          </w:tcPr>
          <w:p w14:paraId="411B3CC9" w14:textId="5097C3B7" w:rsidR="00DC7869" w:rsidRDefault="00DC7869" w:rsidP="00DC7869">
            <w:pPr>
              <w:pStyle w:val="LI-Notestabletext"/>
              <w:rPr>
                <w:lang w:val="en-US"/>
              </w:rPr>
            </w:pPr>
            <w:r>
              <w:rPr>
                <w:lang w:val="en-US"/>
              </w:rPr>
              <w:t>Subsection 6(1B)</w:t>
            </w:r>
          </w:p>
        </w:tc>
        <w:tc>
          <w:tcPr>
            <w:tcW w:w="6144" w:type="dxa"/>
            <w:shd w:val="clear" w:color="auto" w:fill="auto"/>
          </w:tcPr>
          <w:p w14:paraId="4CF7B1AD" w14:textId="130384A8" w:rsidR="00DC7869" w:rsidRDefault="00DC7869" w:rsidP="00DC7869">
            <w:pPr>
              <w:pStyle w:val="LI-Notestabletext"/>
              <w:rPr>
                <w:lang w:val="en-US"/>
              </w:rPr>
            </w:pPr>
            <w:r>
              <w:rPr>
                <w:lang w:val="en-US"/>
              </w:rPr>
              <w:t>ad. 2019/958</w:t>
            </w:r>
          </w:p>
        </w:tc>
      </w:tr>
      <w:tr w:rsidR="00DC7869" w:rsidRPr="005E3EF5" w14:paraId="0AB5FBF7" w14:textId="77777777" w:rsidTr="00DC7869">
        <w:tc>
          <w:tcPr>
            <w:tcW w:w="2159" w:type="dxa"/>
            <w:shd w:val="clear" w:color="auto" w:fill="auto"/>
          </w:tcPr>
          <w:p w14:paraId="3A94DBAE" w14:textId="5D464911" w:rsidR="00DC7869" w:rsidRDefault="00DC7869" w:rsidP="00DC7869">
            <w:pPr>
              <w:pStyle w:val="LI-Notestabletext"/>
              <w:rPr>
                <w:lang w:val="en-US"/>
              </w:rPr>
            </w:pPr>
            <w:r>
              <w:rPr>
                <w:lang w:val="en-US"/>
              </w:rPr>
              <w:t>Subsection 6(1C)</w:t>
            </w:r>
          </w:p>
        </w:tc>
        <w:tc>
          <w:tcPr>
            <w:tcW w:w="6144" w:type="dxa"/>
            <w:shd w:val="clear" w:color="auto" w:fill="auto"/>
          </w:tcPr>
          <w:p w14:paraId="3011F02B" w14:textId="77777777" w:rsidR="00DC7869" w:rsidRDefault="00DC7869" w:rsidP="00DC7869">
            <w:pPr>
              <w:pStyle w:val="LI-Notestabletext"/>
              <w:rPr>
                <w:lang w:val="en-US"/>
              </w:rPr>
            </w:pPr>
            <w:r>
              <w:rPr>
                <w:lang w:val="en-US"/>
              </w:rPr>
              <w:t>ad. 2019/958</w:t>
            </w:r>
          </w:p>
          <w:p w14:paraId="7BBC87E3" w14:textId="6476B8D3" w:rsidR="000B63FA" w:rsidRDefault="000B63FA" w:rsidP="00DC7869">
            <w:pPr>
              <w:pStyle w:val="LI-Notestabletext"/>
              <w:rPr>
                <w:lang w:val="en-US"/>
              </w:rPr>
            </w:pPr>
            <w:r>
              <w:rPr>
                <w:lang w:val="en-US"/>
              </w:rPr>
              <w:t>am. 2020/242</w:t>
            </w:r>
          </w:p>
        </w:tc>
      </w:tr>
      <w:tr w:rsidR="00DC7869" w:rsidRPr="005E3EF5" w14:paraId="005DCE2E" w14:textId="77777777" w:rsidTr="00DC7869">
        <w:tc>
          <w:tcPr>
            <w:tcW w:w="2159" w:type="dxa"/>
            <w:shd w:val="clear" w:color="auto" w:fill="auto"/>
          </w:tcPr>
          <w:p w14:paraId="2D2B8DAC" w14:textId="54B78554" w:rsidR="00DC7869" w:rsidRDefault="00DC7869" w:rsidP="00DC7869">
            <w:pPr>
              <w:pStyle w:val="LI-Notestabletext"/>
              <w:rPr>
                <w:lang w:val="en-US"/>
              </w:rPr>
            </w:pPr>
            <w:r>
              <w:rPr>
                <w:lang w:val="en-US"/>
              </w:rPr>
              <w:t>Subsection 6(2)</w:t>
            </w:r>
          </w:p>
        </w:tc>
        <w:tc>
          <w:tcPr>
            <w:tcW w:w="6144" w:type="dxa"/>
            <w:shd w:val="clear" w:color="auto" w:fill="auto"/>
          </w:tcPr>
          <w:p w14:paraId="7AE6B940" w14:textId="3FDF6C92" w:rsidR="00DC7869" w:rsidRDefault="00DC7869" w:rsidP="00DC7869">
            <w:pPr>
              <w:pStyle w:val="LI-Notestabletext"/>
              <w:rPr>
                <w:lang w:val="en-US"/>
              </w:rPr>
            </w:pPr>
            <w:r>
              <w:rPr>
                <w:lang w:val="en-US"/>
              </w:rPr>
              <w:t>am. 2019/958</w:t>
            </w:r>
            <w:r w:rsidR="000B63FA">
              <w:rPr>
                <w:lang w:val="en-US"/>
              </w:rPr>
              <w:t xml:space="preserve"> and 2020/242</w:t>
            </w:r>
          </w:p>
        </w:tc>
      </w:tr>
      <w:tr w:rsidR="00DC7869" w:rsidRPr="005E3EF5" w14:paraId="10A93CC2" w14:textId="77777777" w:rsidTr="00DC7869">
        <w:tc>
          <w:tcPr>
            <w:tcW w:w="2159" w:type="dxa"/>
            <w:shd w:val="clear" w:color="auto" w:fill="auto"/>
          </w:tcPr>
          <w:p w14:paraId="2175313E" w14:textId="0ACEA5E9" w:rsidR="00DC7869" w:rsidRDefault="00DC7869" w:rsidP="00DC7869">
            <w:pPr>
              <w:pStyle w:val="LI-Notestabletext"/>
              <w:rPr>
                <w:lang w:val="en-US"/>
              </w:rPr>
            </w:pPr>
            <w:r>
              <w:rPr>
                <w:lang w:val="en-US"/>
              </w:rPr>
              <w:t>Subsection 6(3)</w:t>
            </w:r>
          </w:p>
        </w:tc>
        <w:tc>
          <w:tcPr>
            <w:tcW w:w="6144" w:type="dxa"/>
            <w:shd w:val="clear" w:color="auto" w:fill="auto"/>
          </w:tcPr>
          <w:p w14:paraId="27EED68A" w14:textId="2EAA4DB0" w:rsidR="00DC7869" w:rsidRDefault="00DC7869" w:rsidP="00DC7869">
            <w:pPr>
              <w:pStyle w:val="LI-Notestabletext"/>
              <w:rPr>
                <w:lang w:val="en-US"/>
              </w:rPr>
            </w:pPr>
            <w:r>
              <w:rPr>
                <w:lang w:val="en-US"/>
              </w:rPr>
              <w:t>am. 2019/958</w:t>
            </w:r>
            <w:r w:rsidR="000B63FA">
              <w:rPr>
                <w:lang w:val="en-US"/>
              </w:rPr>
              <w:t xml:space="preserve"> and 2020/242</w:t>
            </w:r>
          </w:p>
        </w:tc>
      </w:tr>
      <w:tr w:rsidR="00DC7869" w:rsidRPr="005E3EF5" w14:paraId="5D34256B" w14:textId="77777777" w:rsidTr="00DC7869">
        <w:tc>
          <w:tcPr>
            <w:tcW w:w="2159" w:type="dxa"/>
            <w:shd w:val="clear" w:color="auto" w:fill="auto"/>
          </w:tcPr>
          <w:p w14:paraId="427AA640" w14:textId="3D3906B9" w:rsidR="00DC7869" w:rsidRDefault="00DC7869" w:rsidP="00DC7869">
            <w:pPr>
              <w:pStyle w:val="LI-Notestabletext"/>
              <w:rPr>
                <w:lang w:val="en-US"/>
              </w:rPr>
            </w:pPr>
            <w:r>
              <w:rPr>
                <w:lang w:val="en-US"/>
              </w:rPr>
              <w:t>Subsection 6(3A)</w:t>
            </w:r>
          </w:p>
        </w:tc>
        <w:tc>
          <w:tcPr>
            <w:tcW w:w="6144" w:type="dxa"/>
            <w:shd w:val="clear" w:color="auto" w:fill="auto"/>
          </w:tcPr>
          <w:p w14:paraId="364F89F5" w14:textId="77777777" w:rsidR="00DC7869" w:rsidRDefault="00DC7869" w:rsidP="00DC7869">
            <w:pPr>
              <w:pStyle w:val="LI-Notestabletext"/>
              <w:rPr>
                <w:lang w:val="en-US"/>
              </w:rPr>
            </w:pPr>
            <w:r>
              <w:rPr>
                <w:lang w:val="en-US"/>
              </w:rPr>
              <w:t>ad. 2019/958</w:t>
            </w:r>
          </w:p>
          <w:p w14:paraId="7648AD7A" w14:textId="5B5B4C46" w:rsidR="000B63FA" w:rsidRDefault="000B63FA" w:rsidP="00DC7869">
            <w:pPr>
              <w:pStyle w:val="LI-Notestabletext"/>
              <w:rPr>
                <w:lang w:val="en-US"/>
              </w:rPr>
            </w:pPr>
            <w:r>
              <w:rPr>
                <w:lang w:val="en-US"/>
              </w:rPr>
              <w:t>am. 2020/242</w:t>
            </w:r>
          </w:p>
        </w:tc>
      </w:tr>
      <w:tr w:rsidR="00DC7869" w:rsidRPr="005E3EF5" w14:paraId="5B31F655" w14:textId="77777777" w:rsidTr="00DC7869">
        <w:tc>
          <w:tcPr>
            <w:tcW w:w="2159" w:type="dxa"/>
            <w:shd w:val="clear" w:color="auto" w:fill="auto"/>
          </w:tcPr>
          <w:p w14:paraId="5369CFC7" w14:textId="2DE3317A" w:rsidR="00DC7869" w:rsidRDefault="00DC7869" w:rsidP="00DC7869">
            <w:pPr>
              <w:pStyle w:val="LI-Notestabletext"/>
              <w:rPr>
                <w:lang w:val="en-US"/>
              </w:rPr>
            </w:pPr>
            <w:r>
              <w:rPr>
                <w:lang w:val="en-US"/>
              </w:rPr>
              <w:t>Subsection 6(4)</w:t>
            </w:r>
          </w:p>
        </w:tc>
        <w:tc>
          <w:tcPr>
            <w:tcW w:w="6144" w:type="dxa"/>
            <w:shd w:val="clear" w:color="auto" w:fill="auto"/>
          </w:tcPr>
          <w:p w14:paraId="1D54D9BD" w14:textId="1D53805A" w:rsidR="00DC7869" w:rsidRDefault="00DC7869" w:rsidP="00DC7869">
            <w:pPr>
              <w:pStyle w:val="LI-Notestabletext"/>
              <w:rPr>
                <w:lang w:val="en-US"/>
              </w:rPr>
            </w:pPr>
            <w:r>
              <w:rPr>
                <w:lang w:val="en-US"/>
              </w:rPr>
              <w:t>ad. 2019/169</w:t>
            </w:r>
          </w:p>
        </w:tc>
      </w:tr>
      <w:tr w:rsidR="00DC7869" w:rsidRPr="005E3EF5" w14:paraId="640BCE5F" w14:textId="77777777" w:rsidTr="00DC7869">
        <w:tc>
          <w:tcPr>
            <w:tcW w:w="2159" w:type="dxa"/>
            <w:shd w:val="clear" w:color="auto" w:fill="auto"/>
          </w:tcPr>
          <w:p w14:paraId="36F1CD57" w14:textId="5E7161A4" w:rsidR="00DC7869" w:rsidRDefault="00DC7869" w:rsidP="00DC7869">
            <w:pPr>
              <w:pStyle w:val="LI-Notestabletext"/>
              <w:rPr>
                <w:lang w:val="en-US"/>
              </w:rPr>
            </w:pPr>
            <w:r>
              <w:rPr>
                <w:lang w:val="en-US"/>
              </w:rPr>
              <w:t>Subsection 6(5)</w:t>
            </w:r>
          </w:p>
        </w:tc>
        <w:tc>
          <w:tcPr>
            <w:tcW w:w="6144" w:type="dxa"/>
            <w:shd w:val="clear" w:color="auto" w:fill="auto"/>
          </w:tcPr>
          <w:p w14:paraId="755F4CA2" w14:textId="3599E7DC" w:rsidR="00DC7869" w:rsidRDefault="00DC7869" w:rsidP="00DC7869">
            <w:pPr>
              <w:pStyle w:val="LI-Notestabletext"/>
              <w:rPr>
                <w:lang w:val="en-US"/>
              </w:rPr>
            </w:pPr>
            <w:r>
              <w:rPr>
                <w:lang w:val="en-US"/>
              </w:rPr>
              <w:t>ad. 2019/169, am. 2019/958</w:t>
            </w:r>
          </w:p>
        </w:tc>
      </w:tr>
      <w:tr w:rsidR="00DC7869" w:rsidRPr="005E3EF5" w14:paraId="48BA0156" w14:textId="77777777" w:rsidTr="00DC7869">
        <w:tc>
          <w:tcPr>
            <w:tcW w:w="2159" w:type="dxa"/>
            <w:shd w:val="clear" w:color="auto" w:fill="auto"/>
          </w:tcPr>
          <w:p w14:paraId="59AF9AC7" w14:textId="27E96303" w:rsidR="00DC7869" w:rsidRDefault="00DC7869" w:rsidP="00DC7869">
            <w:pPr>
              <w:pStyle w:val="LI-Notestabletext"/>
              <w:rPr>
                <w:lang w:val="en-US"/>
              </w:rPr>
            </w:pPr>
            <w:r>
              <w:rPr>
                <w:lang w:val="en-US"/>
              </w:rPr>
              <w:t>Subsection 6(6)</w:t>
            </w:r>
          </w:p>
        </w:tc>
        <w:tc>
          <w:tcPr>
            <w:tcW w:w="6144" w:type="dxa"/>
            <w:shd w:val="clear" w:color="auto" w:fill="auto"/>
          </w:tcPr>
          <w:p w14:paraId="40D1B92E" w14:textId="7A6FEAA4" w:rsidR="00DC7869" w:rsidRDefault="00DC7869" w:rsidP="00DC7869">
            <w:pPr>
              <w:pStyle w:val="LI-Notestabletext"/>
              <w:rPr>
                <w:lang w:val="en-US"/>
              </w:rPr>
            </w:pPr>
            <w:r>
              <w:rPr>
                <w:lang w:val="en-US"/>
              </w:rPr>
              <w:t>ad. 2019/169</w:t>
            </w:r>
          </w:p>
        </w:tc>
      </w:tr>
      <w:tr w:rsidR="00DC7869" w:rsidRPr="005E3EF5" w14:paraId="6F97504F" w14:textId="77777777" w:rsidTr="00DC7869">
        <w:tc>
          <w:tcPr>
            <w:tcW w:w="2159" w:type="dxa"/>
            <w:shd w:val="clear" w:color="auto" w:fill="auto"/>
          </w:tcPr>
          <w:p w14:paraId="3544261B" w14:textId="52C51ED3" w:rsidR="00DC7869" w:rsidRDefault="00DC7869" w:rsidP="00DC7869">
            <w:pPr>
              <w:pStyle w:val="LI-Notestabletext"/>
              <w:rPr>
                <w:lang w:val="en-US"/>
              </w:rPr>
            </w:pPr>
            <w:r>
              <w:rPr>
                <w:lang w:val="en-US"/>
              </w:rPr>
              <w:t>Subsection 6(7)</w:t>
            </w:r>
          </w:p>
        </w:tc>
        <w:tc>
          <w:tcPr>
            <w:tcW w:w="6144" w:type="dxa"/>
            <w:shd w:val="clear" w:color="auto" w:fill="auto"/>
          </w:tcPr>
          <w:p w14:paraId="55905EF2" w14:textId="77777777" w:rsidR="00DC7869" w:rsidRDefault="00DC7869" w:rsidP="00DC7869">
            <w:pPr>
              <w:pStyle w:val="LI-Notestabletext"/>
              <w:rPr>
                <w:lang w:val="en-US"/>
              </w:rPr>
            </w:pPr>
            <w:r>
              <w:rPr>
                <w:lang w:val="en-US"/>
              </w:rPr>
              <w:t>ad. 2019/958</w:t>
            </w:r>
          </w:p>
          <w:p w14:paraId="1276B8AC" w14:textId="5A76B411" w:rsidR="000B63FA" w:rsidRDefault="000B63FA" w:rsidP="00DC7869">
            <w:pPr>
              <w:pStyle w:val="LI-Notestabletext"/>
              <w:rPr>
                <w:lang w:val="en-US"/>
              </w:rPr>
            </w:pPr>
            <w:r>
              <w:rPr>
                <w:lang w:val="en-US"/>
              </w:rPr>
              <w:t>am. 2020/242</w:t>
            </w:r>
          </w:p>
        </w:tc>
      </w:tr>
      <w:tr w:rsidR="000B63FA" w:rsidRPr="005E3EF5" w14:paraId="4B8B6A27" w14:textId="77777777" w:rsidTr="00DC7869">
        <w:tc>
          <w:tcPr>
            <w:tcW w:w="2159" w:type="dxa"/>
            <w:shd w:val="clear" w:color="auto" w:fill="auto"/>
          </w:tcPr>
          <w:p w14:paraId="36BE91A0" w14:textId="6D33B210" w:rsidR="000B63FA" w:rsidRDefault="000B63FA" w:rsidP="00DC7869">
            <w:pPr>
              <w:pStyle w:val="LI-Notestabletext"/>
              <w:rPr>
                <w:lang w:val="en-US"/>
              </w:rPr>
            </w:pPr>
            <w:r>
              <w:rPr>
                <w:lang w:val="en-US"/>
              </w:rPr>
              <w:t>Subsection 6(8)</w:t>
            </w:r>
          </w:p>
        </w:tc>
        <w:tc>
          <w:tcPr>
            <w:tcW w:w="6144" w:type="dxa"/>
            <w:shd w:val="clear" w:color="auto" w:fill="auto"/>
          </w:tcPr>
          <w:p w14:paraId="47E5877C" w14:textId="199386D0" w:rsidR="000B63FA" w:rsidRDefault="000B63FA" w:rsidP="00DC7869">
            <w:pPr>
              <w:pStyle w:val="LI-Notestabletext"/>
              <w:rPr>
                <w:lang w:val="en-US"/>
              </w:rPr>
            </w:pPr>
            <w:r>
              <w:rPr>
                <w:lang w:val="en-US"/>
              </w:rPr>
              <w:t>ad. 2020/202</w:t>
            </w:r>
          </w:p>
        </w:tc>
      </w:tr>
      <w:tr w:rsidR="006524D7" w:rsidRPr="005E3EF5" w14:paraId="0DFBA5A5" w14:textId="77777777" w:rsidTr="00DC7869">
        <w:tc>
          <w:tcPr>
            <w:tcW w:w="2159" w:type="dxa"/>
            <w:shd w:val="clear" w:color="auto" w:fill="auto"/>
          </w:tcPr>
          <w:p w14:paraId="7129A8A7" w14:textId="0E044553" w:rsidR="006524D7" w:rsidRDefault="006524D7" w:rsidP="00DC7869">
            <w:pPr>
              <w:pStyle w:val="LI-Notestabletext"/>
              <w:rPr>
                <w:lang w:val="en-US"/>
              </w:rPr>
            </w:pPr>
            <w:r>
              <w:rPr>
                <w:lang w:val="en-US"/>
              </w:rPr>
              <w:t>Section 6A</w:t>
            </w:r>
          </w:p>
        </w:tc>
        <w:tc>
          <w:tcPr>
            <w:tcW w:w="6144" w:type="dxa"/>
            <w:shd w:val="clear" w:color="auto" w:fill="auto"/>
          </w:tcPr>
          <w:p w14:paraId="663803EE" w14:textId="375C85C1" w:rsidR="006524D7" w:rsidRDefault="006524D7" w:rsidP="00DC7869">
            <w:pPr>
              <w:pStyle w:val="LI-Notestabletext"/>
              <w:rPr>
                <w:lang w:val="en-US"/>
              </w:rPr>
            </w:pPr>
            <w:r>
              <w:rPr>
                <w:lang w:val="en-US"/>
              </w:rPr>
              <w:t>ad. 2019/958</w:t>
            </w:r>
          </w:p>
        </w:tc>
      </w:tr>
      <w:tr w:rsidR="006524D7" w:rsidRPr="005E3EF5" w14:paraId="1D12ED2C" w14:textId="77777777" w:rsidTr="00DC7869">
        <w:tc>
          <w:tcPr>
            <w:tcW w:w="2159" w:type="dxa"/>
            <w:shd w:val="clear" w:color="auto" w:fill="auto"/>
          </w:tcPr>
          <w:p w14:paraId="5E95EB16" w14:textId="37614377" w:rsidR="006524D7" w:rsidRDefault="006524D7" w:rsidP="00DC7869">
            <w:pPr>
              <w:pStyle w:val="LI-Notestabletext"/>
              <w:rPr>
                <w:lang w:val="en-US"/>
              </w:rPr>
            </w:pPr>
            <w:r>
              <w:rPr>
                <w:lang w:val="en-US"/>
              </w:rPr>
              <w:t>Section 6B</w:t>
            </w:r>
          </w:p>
        </w:tc>
        <w:tc>
          <w:tcPr>
            <w:tcW w:w="6144" w:type="dxa"/>
            <w:shd w:val="clear" w:color="auto" w:fill="auto"/>
          </w:tcPr>
          <w:p w14:paraId="38688714" w14:textId="17D678ED" w:rsidR="006524D7" w:rsidRDefault="006524D7" w:rsidP="00DC7869">
            <w:pPr>
              <w:pStyle w:val="LI-Notestabletext"/>
              <w:rPr>
                <w:lang w:val="en-US"/>
              </w:rPr>
            </w:pPr>
            <w:r>
              <w:rPr>
                <w:lang w:val="en-US"/>
              </w:rPr>
              <w:t>ad. 2019/958</w:t>
            </w:r>
          </w:p>
        </w:tc>
      </w:tr>
      <w:tr w:rsidR="00DC7869" w:rsidRPr="005E3EF5" w14:paraId="5B0034CF" w14:textId="77777777" w:rsidTr="00DC7869">
        <w:tc>
          <w:tcPr>
            <w:tcW w:w="2159" w:type="dxa"/>
            <w:shd w:val="clear" w:color="auto" w:fill="auto"/>
          </w:tcPr>
          <w:p w14:paraId="4261F1A8" w14:textId="728B4399" w:rsidR="00DC7869" w:rsidRDefault="00DC7869" w:rsidP="00DC7869">
            <w:pPr>
              <w:pStyle w:val="LI-Notestabletext"/>
              <w:rPr>
                <w:lang w:val="en-US"/>
              </w:rPr>
            </w:pPr>
            <w:r>
              <w:rPr>
                <w:lang w:val="en-US"/>
              </w:rPr>
              <w:t>Subsection 7(1)</w:t>
            </w:r>
          </w:p>
        </w:tc>
        <w:tc>
          <w:tcPr>
            <w:tcW w:w="6144" w:type="dxa"/>
            <w:shd w:val="clear" w:color="auto" w:fill="auto"/>
          </w:tcPr>
          <w:p w14:paraId="42809C7D" w14:textId="283AB0F6" w:rsidR="00DC7869" w:rsidRDefault="00DC7869" w:rsidP="00DC7869">
            <w:pPr>
              <w:pStyle w:val="LI-Notestabletext"/>
              <w:rPr>
                <w:lang w:val="en-US"/>
              </w:rPr>
            </w:pPr>
            <w:r>
              <w:rPr>
                <w:lang w:val="en-US"/>
              </w:rPr>
              <w:t>am. 2016/913 and 2018/810</w:t>
            </w:r>
          </w:p>
        </w:tc>
      </w:tr>
      <w:tr w:rsidR="00DC7869" w:rsidRPr="005E3EF5" w14:paraId="27354C1E" w14:textId="77777777" w:rsidTr="00DC7869">
        <w:tc>
          <w:tcPr>
            <w:tcW w:w="2159" w:type="dxa"/>
            <w:shd w:val="clear" w:color="auto" w:fill="auto"/>
          </w:tcPr>
          <w:p w14:paraId="2B45F3DA" w14:textId="49249AA4" w:rsidR="00DC7869" w:rsidRDefault="00DC7869" w:rsidP="00DC7869">
            <w:pPr>
              <w:pStyle w:val="LI-Notestabletext"/>
              <w:rPr>
                <w:lang w:val="en-US"/>
              </w:rPr>
            </w:pPr>
            <w:r>
              <w:rPr>
                <w:lang w:val="en-US"/>
              </w:rPr>
              <w:t>Subsection 8(1)</w:t>
            </w:r>
          </w:p>
        </w:tc>
        <w:tc>
          <w:tcPr>
            <w:tcW w:w="6144" w:type="dxa"/>
            <w:shd w:val="clear" w:color="auto" w:fill="auto"/>
          </w:tcPr>
          <w:p w14:paraId="35A8C90A" w14:textId="1A223776" w:rsidR="00DC7869" w:rsidRDefault="00DC7869" w:rsidP="00DC7869">
            <w:pPr>
              <w:pStyle w:val="LI-Notestabletext"/>
              <w:rPr>
                <w:lang w:val="en-US"/>
              </w:rPr>
            </w:pPr>
            <w:r w:rsidRPr="00B91C08">
              <w:rPr>
                <w:lang w:val="en-US"/>
              </w:rPr>
              <w:t>am. 2018/810</w:t>
            </w:r>
            <w:r>
              <w:rPr>
                <w:lang w:val="en-US"/>
              </w:rPr>
              <w:t xml:space="preserve"> and 2019/169</w:t>
            </w:r>
          </w:p>
        </w:tc>
      </w:tr>
      <w:tr w:rsidR="00DC7869" w:rsidRPr="005E3EF5" w14:paraId="73B3FADC" w14:textId="77777777" w:rsidTr="00DC7869">
        <w:tc>
          <w:tcPr>
            <w:tcW w:w="2159" w:type="dxa"/>
            <w:shd w:val="clear" w:color="auto" w:fill="auto"/>
          </w:tcPr>
          <w:p w14:paraId="746C8030" w14:textId="5BCBDCBE" w:rsidR="00DC7869" w:rsidRDefault="00DC7869" w:rsidP="00DC7869">
            <w:pPr>
              <w:pStyle w:val="LI-Notestabletext"/>
              <w:rPr>
                <w:lang w:val="en-US"/>
              </w:rPr>
            </w:pPr>
            <w:r>
              <w:rPr>
                <w:lang w:val="en-US"/>
              </w:rPr>
              <w:t>Subsection 9(1)</w:t>
            </w:r>
          </w:p>
        </w:tc>
        <w:tc>
          <w:tcPr>
            <w:tcW w:w="6144" w:type="dxa"/>
            <w:shd w:val="clear" w:color="auto" w:fill="auto"/>
          </w:tcPr>
          <w:p w14:paraId="017EACB3" w14:textId="29460D54" w:rsidR="00DC7869" w:rsidRDefault="00DC7869" w:rsidP="00DC7869">
            <w:pPr>
              <w:pStyle w:val="LI-Notestabletext"/>
              <w:rPr>
                <w:lang w:val="en-US"/>
              </w:rPr>
            </w:pPr>
            <w:r>
              <w:rPr>
                <w:lang w:val="en-US"/>
              </w:rPr>
              <w:t>am. 2016/913; 2018/810 and 2019/169</w:t>
            </w:r>
          </w:p>
        </w:tc>
      </w:tr>
      <w:tr w:rsidR="00DC7869" w:rsidRPr="005E3EF5" w14:paraId="7BAE6201" w14:textId="77777777" w:rsidTr="00DC7869">
        <w:tc>
          <w:tcPr>
            <w:tcW w:w="2159" w:type="dxa"/>
            <w:shd w:val="clear" w:color="auto" w:fill="auto"/>
          </w:tcPr>
          <w:p w14:paraId="0A01E093" w14:textId="259CE8F7" w:rsidR="00DC7869" w:rsidRDefault="00DC7869" w:rsidP="00DC7869">
            <w:pPr>
              <w:pStyle w:val="LI-Notestabletext"/>
              <w:rPr>
                <w:lang w:val="en-US"/>
              </w:rPr>
            </w:pPr>
            <w:r w:rsidRPr="00A038F1">
              <w:rPr>
                <w:lang w:val="en-US"/>
              </w:rPr>
              <w:t>Subsection 11(1)</w:t>
            </w:r>
          </w:p>
        </w:tc>
        <w:tc>
          <w:tcPr>
            <w:tcW w:w="6144" w:type="dxa"/>
            <w:shd w:val="clear" w:color="auto" w:fill="auto"/>
          </w:tcPr>
          <w:p w14:paraId="05111710" w14:textId="75565D66" w:rsidR="00DC7869" w:rsidRDefault="00DC7869" w:rsidP="00DC7869">
            <w:pPr>
              <w:pStyle w:val="LI-Notestabletext"/>
              <w:rPr>
                <w:lang w:val="en-US"/>
              </w:rPr>
            </w:pPr>
            <w:r>
              <w:rPr>
                <w:lang w:val="en-US"/>
              </w:rPr>
              <w:t xml:space="preserve">am. 2016/0043; </w:t>
            </w:r>
            <w:r w:rsidRPr="00A038F1">
              <w:rPr>
                <w:lang w:val="en-US"/>
              </w:rPr>
              <w:t>2017/0036</w:t>
            </w:r>
            <w:r>
              <w:rPr>
                <w:lang w:val="en-US"/>
              </w:rPr>
              <w:t>; 2017/861</w:t>
            </w:r>
            <w:r w:rsidR="000B63FA">
              <w:rPr>
                <w:lang w:val="en-US"/>
              </w:rPr>
              <w:t xml:space="preserve">; </w:t>
            </w:r>
            <w:r>
              <w:rPr>
                <w:lang w:val="en-US"/>
              </w:rPr>
              <w:t>2018/172</w:t>
            </w:r>
            <w:r w:rsidR="000B63FA">
              <w:rPr>
                <w:lang w:val="en-US"/>
              </w:rPr>
              <w:t xml:space="preserve"> and 2020/242</w:t>
            </w:r>
          </w:p>
        </w:tc>
      </w:tr>
      <w:tr w:rsidR="000B63FA" w:rsidRPr="005E3EF5" w14:paraId="6534F486" w14:textId="77777777" w:rsidTr="00DC7869">
        <w:tc>
          <w:tcPr>
            <w:tcW w:w="2159" w:type="dxa"/>
            <w:shd w:val="clear" w:color="auto" w:fill="auto"/>
          </w:tcPr>
          <w:p w14:paraId="5D2357AE" w14:textId="34BD268E" w:rsidR="000B63FA" w:rsidRPr="00A038F1" w:rsidRDefault="000B63FA" w:rsidP="00DC7869">
            <w:pPr>
              <w:pStyle w:val="LI-Notestabletext"/>
              <w:rPr>
                <w:lang w:val="en-US"/>
              </w:rPr>
            </w:pPr>
            <w:r>
              <w:rPr>
                <w:lang w:val="en-US"/>
              </w:rPr>
              <w:t>Subsection 11(2)</w:t>
            </w:r>
          </w:p>
        </w:tc>
        <w:tc>
          <w:tcPr>
            <w:tcW w:w="6144" w:type="dxa"/>
            <w:shd w:val="clear" w:color="auto" w:fill="auto"/>
          </w:tcPr>
          <w:p w14:paraId="2FE7A86C" w14:textId="2FD31F32" w:rsidR="000B63FA" w:rsidRDefault="000B63FA" w:rsidP="00DC7869">
            <w:pPr>
              <w:pStyle w:val="LI-Notestabletext"/>
              <w:rPr>
                <w:lang w:val="en-US"/>
              </w:rPr>
            </w:pPr>
            <w:r>
              <w:rPr>
                <w:lang w:val="en-US"/>
              </w:rPr>
              <w:t>am. 2020/242</w:t>
            </w:r>
          </w:p>
        </w:tc>
      </w:tr>
      <w:tr w:rsidR="00DC7869" w:rsidRPr="005E3EF5" w14:paraId="44B09933" w14:textId="77777777" w:rsidTr="00DC7869">
        <w:tc>
          <w:tcPr>
            <w:tcW w:w="2159" w:type="dxa"/>
            <w:shd w:val="clear" w:color="auto" w:fill="auto"/>
          </w:tcPr>
          <w:p w14:paraId="084BC786" w14:textId="12BE6D2E" w:rsidR="00DC7869" w:rsidRDefault="00DC7869" w:rsidP="00DC7869">
            <w:pPr>
              <w:pStyle w:val="LI-Notestabletext"/>
              <w:rPr>
                <w:lang w:val="en-US"/>
              </w:rPr>
            </w:pPr>
            <w:r>
              <w:rPr>
                <w:lang w:val="en-US"/>
              </w:rPr>
              <w:t>Section 13</w:t>
            </w:r>
          </w:p>
        </w:tc>
        <w:tc>
          <w:tcPr>
            <w:tcW w:w="6144" w:type="dxa"/>
            <w:shd w:val="clear" w:color="auto" w:fill="auto"/>
          </w:tcPr>
          <w:p w14:paraId="5E32248A" w14:textId="64B7DD91" w:rsidR="00DC7869" w:rsidRDefault="00DC7869" w:rsidP="00DC7869">
            <w:pPr>
              <w:pStyle w:val="LI-Notestabletext"/>
              <w:rPr>
                <w:lang w:val="en-US"/>
              </w:rPr>
            </w:pPr>
            <w:r>
              <w:rPr>
                <w:lang w:val="en-US"/>
              </w:rPr>
              <w:t>am. 2016/913 and 2018/810</w:t>
            </w:r>
          </w:p>
        </w:tc>
      </w:tr>
    </w:tbl>
    <w:p w14:paraId="02073EBB" w14:textId="77777777" w:rsidR="00774723" w:rsidRPr="00933962" w:rsidRDefault="00774723" w:rsidP="00774723">
      <w:pPr>
        <w:pStyle w:val="LI-BodyTextUnnumbered"/>
      </w:pPr>
    </w:p>
    <w:p w14:paraId="362067FC" w14:textId="77777777" w:rsidR="002B1AC6" w:rsidRDefault="002B1AC6" w:rsidP="002B1AC6">
      <w:pPr>
        <w:pStyle w:val="LI-BodyTextSubparai"/>
        <w:ind w:left="1134"/>
      </w:pPr>
    </w:p>
    <w:sectPr w:rsidR="002B1AC6" w:rsidSect="0040053F">
      <w:headerReference w:type="even" r:id="rId28"/>
      <w:headerReference w:type="default" r:id="rId29"/>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6D3E2" w14:textId="77777777" w:rsidR="00645E73" w:rsidRDefault="00645E73" w:rsidP="00715914">
      <w:pPr>
        <w:spacing w:line="240" w:lineRule="auto"/>
      </w:pPr>
      <w:r>
        <w:separator/>
      </w:r>
    </w:p>
  </w:endnote>
  <w:endnote w:type="continuationSeparator" w:id="0">
    <w:p w14:paraId="02B240DA" w14:textId="77777777" w:rsidR="00645E73" w:rsidRDefault="00645E73" w:rsidP="00715914">
      <w:pPr>
        <w:spacing w:line="240" w:lineRule="auto"/>
      </w:pPr>
      <w:r>
        <w:continuationSeparator/>
      </w:r>
    </w:p>
  </w:endnote>
  <w:endnote w:type="continuationNotice" w:id="1">
    <w:p w14:paraId="2AD0406E" w14:textId="77777777" w:rsidR="00645E73" w:rsidRDefault="00645E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313"/>
    </w:tblGrid>
    <w:tr w:rsidR="00645E73" w:rsidRPr="00081794" w14:paraId="1313B992" w14:textId="77777777" w:rsidTr="00081794">
      <w:tc>
        <w:tcPr>
          <w:tcW w:w="8472" w:type="dxa"/>
          <w:shd w:val="clear" w:color="auto" w:fill="auto"/>
        </w:tcPr>
        <w:p w14:paraId="35838F0D" w14:textId="34EC7278" w:rsidR="00645E73" w:rsidRPr="00081794" w:rsidRDefault="00645E73" w:rsidP="00081794">
          <w:pPr>
            <w:jc w:val="right"/>
            <w:rPr>
              <w:sz w:val="18"/>
            </w:rPr>
          </w:pPr>
          <w:r>
            <w:rPr>
              <w:noProof/>
            </w:rPr>
            <mc:AlternateContent>
              <mc:Choice Requires="wps">
                <w:drawing>
                  <wp:anchor distT="0" distB="0" distL="114300" distR="114300" simplePos="0" relativeHeight="251658243" behindDoc="1" locked="0" layoutInCell="1" allowOverlap="1" wp14:anchorId="43BA0650" wp14:editId="26981F10">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ABBFF85" w14:textId="77777777" w:rsidR="00645E73" w:rsidRPr="00284719" w:rsidRDefault="00645E73"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A0650"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E19RTcHAwAAygYAAA4AAAAAAAAAAAAAAAAALgIAAGRycy9lMm9Eb2Mu&#10;eG1sUEsBAi0AFAAGAAgAAAAhADwCUpLfAAAACgEAAA8AAAAAAAAAAAAAAAAAYQUAAGRycy9kb3du&#10;cmV2LnhtbFBLBQYAAAAABAAEAPMAAABtBgAAAAA=&#10;" stroked="f">
                    <v:stroke joinstyle="round"/>
                    <v:path arrowok="t"/>
                    <v:textbox>
                      <w:txbxContent>
                        <w:p w14:paraId="2ABBFF85" w14:textId="77777777" w:rsidR="00645E73" w:rsidRPr="00284719" w:rsidRDefault="00645E73"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081794">
            <w:rPr>
              <w:i/>
              <w:noProof/>
              <w:sz w:val="18"/>
            </w:rPr>
            <w:t>I14KE197.v07.docx</w:t>
          </w:r>
          <w:r w:rsidRPr="00081794">
            <w:rPr>
              <w:i/>
              <w:sz w:val="18"/>
            </w:rPr>
            <w:t xml:space="preserve"> </w:t>
          </w:r>
          <w:r w:rsidRPr="00081794">
            <w:rPr>
              <w:i/>
              <w:noProof/>
              <w:sz w:val="18"/>
            </w:rPr>
            <w:t>25/6/2014 3:37 PM</w:t>
          </w:r>
        </w:p>
      </w:tc>
    </w:tr>
  </w:tbl>
  <w:p w14:paraId="76C2D354" w14:textId="77777777" w:rsidR="00645E73" w:rsidRPr="007500C8" w:rsidRDefault="00645E73"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F6944" w14:textId="526F9B62" w:rsidR="00645E73" w:rsidRDefault="00645E73" w:rsidP="007500C8">
    <w:pPr>
      <w:pStyle w:val="Footer"/>
    </w:pPr>
    <w:r>
      <w:rPr>
        <w:noProof/>
      </w:rPr>
      <mc:AlternateContent>
        <mc:Choice Requires="wps">
          <w:drawing>
            <wp:anchor distT="0" distB="0" distL="114300" distR="114300" simplePos="0" relativeHeight="251658242" behindDoc="1" locked="0" layoutInCell="1" allowOverlap="1" wp14:anchorId="52911130" wp14:editId="6E7D27DF">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8E3A4BE" w14:textId="77777777" w:rsidR="00645E73" w:rsidRPr="00284719" w:rsidRDefault="00645E73"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11130"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BaJmCQHAwAAygYAAA4AAAAAAAAAAAAAAAAALgIAAGRycy9lMm9Eb2Mu&#10;eG1sUEsBAi0AFAAGAAgAAAAhADwCUpLfAAAACgEAAA8AAAAAAAAAAAAAAAAAYQUAAGRycy9kb3du&#10;cmV2LnhtbFBLBQYAAAAABAAEAPMAAABtBgAAAAA=&#10;" stroked="f">
              <v:stroke joinstyle="round"/>
              <v:path arrowok="t"/>
              <v:textbox>
                <w:txbxContent>
                  <w:p w14:paraId="68E3A4BE" w14:textId="77777777" w:rsidR="00645E73" w:rsidRPr="00284719" w:rsidRDefault="00645E73"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645E73" w:rsidRPr="00081794" w14:paraId="19838EB2" w14:textId="77777777" w:rsidTr="00081794">
      <w:tc>
        <w:tcPr>
          <w:tcW w:w="8472" w:type="dxa"/>
          <w:shd w:val="clear" w:color="auto" w:fill="auto"/>
        </w:tcPr>
        <w:p w14:paraId="4D46359C" w14:textId="77777777" w:rsidR="00645E73" w:rsidRPr="00081794" w:rsidRDefault="00645E73" w:rsidP="00102CA6">
          <w:pPr>
            <w:rPr>
              <w:sz w:val="18"/>
            </w:rPr>
          </w:pPr>
        </w:p>
      </w:tc>
    </w:tr>
  </w:tbl>
  <w:p w14:paraId="67060127" w14:textId="77777777" w:rsidR="00645E73" w:rsidRPr="007500C8" w:rsidRDefault="00645E73"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6955" w14:textId="77777777" w:rsidR="00645E73" w:rsidRPr="00ED79B6" w:rsidRDefault="00645E73"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5A7E4" w14:textId="77777777" w:rsidR="00645E73" w:rsidRPr="00E2168B" w:rsidRDefault="00645E73" w:rsidP="00E2168B">
    <w:pPr>
      <w:pStyle w:val="LI-Footer"/>
    </w:pPr>
    <w:r w:rsidRPr="00A52B0F">
      <w:fldChar w:fldCharType="begin"/>
    </w:r>
    <w:r w:rsidRPr="00A52B0F">
      <w:instrText xml:space="preserve"> PAGE  \* Arabic  \* MERGEFORMAT </w:instrText>
    </w:r>
    <w:r w:rsidRPr="00A52B0F">
      <w:fldChar w:fldCharType="separate"/>
    </w:r>
    <w:r>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9E4F" w14:textId="77777777" w:rsidR="00645E73" w:rsidRPr="00E33C1C" w:rsidRDefault="00645E73" w:rsidP="00243EC0">
    <w:pPr>
      <w:pStyle w:val="LI-Footer"/>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rPr>
        <w:noProof/>
      </w:rPr>
      <w:t>16</w:t>
    </w:r>
    <w:r w:rsidRPr="00A52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59A2" w14:textId="77777777" w:rsidR="00645E73" w:rsidRPr="00243EC0" w:rsidRDefault="00645E73" w:rsidP="00E2168B">
    <w:pPr>
      <w:pStyle w:val="LI-Footer"/>
    </w:pPr>
    <w:r w:rsidRPr="00A52B0F">
      <w:fldChar w:fldCharType="begin"/>
    </w:r>
    <w:r w:rsidRPr="00A52B0F">
      <w:instrText xml:space="preserve"> PAGE  \* Arabic  \* MERGEFORMAT </w:instrText>
    </w:r>
    <w:r w:rsidRPr="00A52B0F">
      <w:fldChar w:fldCharType="separate"/>
    </w:r>
    <w:r>
      <w:rPr>
        <w:noProof/>
      </w:rPr>
      <w:t>4</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F5743" w14:textId="77777777" w:rsidR="00645E73" w:rsidRPr="00E33C1C" w:rsidRDefault="00645E73"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645E73" w:rsidRPr="00081794" w14:paraId="6431AE9F" w14:textId="77777777" w:rsidTr="00081794">
      <w:tc>
        <w:tcPr>
          <w:tcW w:w="1384" w:type="dxa"/>
          <w:tcBorders>
            <w:top w:val="nil"/>
            <w:left w:val="nil"/>
            <w:bottom w:val="nil"/>
            <w:right w:val="nil"/>
          </w:tcBorders>
          <w:shd w:val="clear" w:color="auto" w:fill="auto"/>
        </w:tcPr>
        <w:p w14:paraId="4DE395CF" w14:textId="77777777" w:rsidR="00645E73" w:rsidRPr="00081794" w:rsidRDefault="00645E73" w:rsidP="00081794">
          <w:pPr>
            <w:spacing w:line="0" w:lineRule="atLeast"/>
            <w:rPr>
              <w:sz w:val="18"/>
            </w:rPr>
          </w:pPr>
        </w:p>
      </w:tc>
      <w:tc>
        <w:tcPr>
          <w:tcW w:w="6379" w:type="dxa"/>
          <w:tcBorders>
            <w:top w:val="nil"/>
            <w:left w:val="nil"/>
            <w:bottom w:val="nil"/>
            <w:right w:val="nil"/>
          </w:tcBorders>
          <w:shd w:val="clear" w:color="auto" w:fill="auto"/>
        </w:tcPr>
        <w:p w14:paraId="2EF6F267" w14:textId="77777777" w:rsidR="00645E73" w:rsidRPr="00081794" w:rsidRDefault="00645E73"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shd w:val="clear" w:color="auto" w:fill="auto"/>
        </w:tcPr>
        <w:p w14:paraId="52BE28D7" w14:textId="77777777" w:rsidR="00645E73" w:rsidRPr="00081794" w:rsidRDefault="00645E73"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Pr="00081794">
            <w:rPr>
              <w:i/>
              <w:noProof/>
              <w:sz w:val="18"/>
            </w:rPr>
            <w:t>4</w:t>
          </w:r>
          <w:r w:rsidRPr="00081794">
            <w:rPr>
              <w:i/>
              <w:sz w:val="18"/>
            </w:rPr>
            <w:fldChar w:fldCharType="end"/>
          </w:r>
        </w:p>
      </w:tc>
    </w:tr>
    <w:tr w:rsidR="00645E73" w:rsidRPr="00081794" w14:paraId="18E63FB5"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610506E4" w14:textId="77777777" w:rsidR="00645E73" w:rsidRPr="00081794" w:rsidRDefault="00645E73" w:rsidP="00102CA6">
          <w:pPr>
            <w:rPr>
              <w:sz w:val="18"/>
            </w:rPr>
          </w:pPr>
          <w:r w:rsidRPr="00081794">
            <w:rPr>
              <w:i/>
              <w:noProof/>
              <w:sz w:val="18"/>
            </w:rPr>
            <w:t>I14KE197.v01.docx</w:t>
          </w:r>
          <w:r w:rsidRPr="00081794">
            <w:rPr>
              <w:i/>
              <w:sz w:val="18"/>
            </w:rPr>
            <w:t xml:space="preserve"> </w:t>
          </w:r>
          <w:r w:rsidRPr="00081794">
            <w:rPr>
              <w:i/>
              <w:noProof/>
              <w:sz w:val="18"/>
            </w:rPr>
            <w:t>13/6/2014 3:07 PM</w:t>
          </w:r>
        </w:p>
      </w:tc>
    </w:tr>
  </w:tbl>
  <w:p w14:paraId="5426C54A" w14:textId="77777777" w:rsidR="00645E73" w:rsidRPr="00ED79B6" w:rsidRDefault="00645E73"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43B69" w14:textId="77777777" w:rsidR="00645E73" w:rsidRDefault="00645E73" w:rsidP="00715914">
      <w:pPr>
        <w:spacing w:line="240" w:lineRule="auto"/>
      </w:pPr>
      <w:r>
        <w:separator/>
      </w:r>
    </w:p>
  </w:footnote>
  <w:footnote w:type="continuationSeparator" w:id="0">
    <w:p w14:paraId="27372F8F" w14:textId="77777777" w:rsidR="00645E73" w:rsidRDefault="00645E73" w:rsidP="00715914">
      <w:pPr>
        <w:spacing w:line="240" w:lineRule="auto"/>
      </w:pPr>
      <w:r>
        <w:continuationSeparator/>
      </w:r>
    </w:p>
  </w:footnote>
  <w:footnote w:type="continuationNotice" w:id="1">
    <w:p w14:paraId="21E2DA97" w14:textId="77777777" w:rsidR="00645E73" w:rsidRDefault="00645E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F961" w14:textId="3D8DF9EE" w:rsidR="00645E73" w:rsidRPr="005F1388" w:rsidRDefault="00645E73"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46D6EC45" wp14:editId="763A81AE">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24D4E62" w14:textId="77777777" w:rsidR="00645E73" w:rsidRPr="00284719" w:rsidRDefault="00645E73"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6EC45"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y+mLoQMDAADDBgAADgAAAAAAAAAAAAAAAAAuAgAAZHJzL2Uyb0RvYy54bWxQSwEC&#10;LQAUAAYACAAAACEA5grfutwAAAAGAQAADwAAAAAAAAAAAAAAAABdBQAAZHJzL2Rvd25yZXYueG1s&#10;UEsFBgAAAAAEAAQA8wAAAGYGAAAAAA==&#10;" stroked="f">
              <v:stroke joinstyle="round"/>
              <v:path arrowok="t"/>
              <v:textbox>
                <w:txbxContent>
                  <w:p w14:paraId="224D4E62" w14:textId="77777777" w:rsidR="00645E73" w:rsidRPr="00284719" w:rsidRDefault="00645E73"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5439" w14:textId="77777777" w:rsidR="00645E73" w:rsidRPr="00243EC0" w:rsidRDefault="00645E73"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645E73" w:rsidRPr="00E40FF8" w14:paraId="2B9CA30E" w14:textId="77777777" w:rsidTr="00BF75C9">
      <w:tc>
        <w:tcPr>
          <w:tcW w:w="6804" w:type="dxa"/>
          <w:shd w:val="clear" w:color="auto" w:fill="auto"/>
        </w:tcPr>
        <w:p w14:paraId="0869EB0A" w14:textId="22C50585" w:rsidR="00645E73" w:rsidRDefault="008B4380" w:rsidP="00E40FF8">
          <w:pPr>
            <w:pStyle w:val="LI-Header"/>
            <w:pBdr>
              <w:bottom w:val="none" w:sz="0" w:space="0" w:color="auto"/>
            </w:pBdr>
            <w:jc w:val="left"/>
          </w:pPr>
          <w:r>
            <w:fldChar w:fldCharType="begin"/>
          </w:r>
          <w:r>
            <w:instrText xml:space="preserve"> STYLEREF  "LI - Title" </w:instrText>
          </w:r>
          <w:r>
            <w:fldChar w:fldCharType="separate"/>
          </w:r>
          <w:r>
            <w:rPr>
              <w:noProof/>
            </w:rPr>
            <w:t>ASIC Corporations (Derivative Transaction Reporting Exemption) Instrument 2015/844</w:t>
          </w:r>
          <w:r>
            <w:rPr>
              <w:noProof/>
            </w:rPr>
            <w:fldChar w:fldCharType="end"/>
          </w:r>
        </w:p>
      </w:tc>
      <w:tc>
        <w:tcPr>
          <w:tcW w:w="1509" w:type="dxa"/>
          <w:shd w:val="clear" w:color="auto" w:fill="auto"/>
        </w:tcPr>
        <w:p w14:paraId="626A85D2" w14:textId="4CC32B18" w:rsidR="00645E73" w:rsidRDefault="008B4380" w:rsidP="00E40FF8">
          <w:pPr>
            <w:pStyle w:val="LI-Header"/>
            <w:pBdr>
              <w:bottom w:val="none" w:sz="0" w:space="0" w:color="auto"/>
            </w:pBdr>
          </w:pPr>
          <w:r>
            <w:fldChar w:fldCharType="begin"/>
          </w:r>
          <w:r>
            <w:instrText xml:space="preserve"> STYLEREF  "LI - Heading 1" </w:instrText>
          </w:r>
          <w:r>
            <w:fldChar w:fldCharType="separate"/>
          </w:r>
          <w:r>
            <w:rPr>
              <w:noProof/>
            </w:rPr>
            <w:t>Part 2—Exemption</w:t>
          </w:r>
          <w:r>
            <w:rPr>
              <w:noProof/>
            </w:rPr>
            <w:fldChar w:fldCharType="end"/>
          </w:r>
        </w:p>
      </w:tc>
    </w:tr>
  </w:tbl>
  <w:p w14:paraId="33281ACA" w14:textId="77777777" w:rsidR="00645E73" w:rsidRPr="00F4215A" w:rsidRDefault="00645E73" w:rsidP="00F4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5F4E8" w14:textId="18C383B6" w:rsidR="00645E73" w:rsidRPr="005F1388" w:rsidRDefault="00645E73"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3E32F3A6" wp14:editId="36A95235">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A1F2D5E" w14:textId="77777777" w:rsidR="00645E73" w:rsidRPr="00284719" w:rsidRDefault="00645E73"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2F3A6"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K8Bg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AmSSvAYDAADKBgAADgAAAAAAAAAAAAAAAAAuAgAAZHJzL2Uyb0RvYy54bWxQ&#10;SwECLQAUAAYACAAAACEA5grfutwAAAAGAQAADwAAAAAAAAAAAAAAAABgBQAAZHJzL2Rvd25yZXYu&#10;eG1sUEsFBgAAAAAEAAQA8wAAAGkGAAAAAA==&#10;" stroked="f">
              <v:stroke joinstyle="round"/>
              <v:path arrowok="t"/>
              <v:textbox>
                <w:txbxContent>
                  <w:p w14:paraId="3A1F2D5E" w14:textId="77777777" w:rsidR="00645E73" w:rsidRPr="00284719" w:rsidRDefault="00645E73"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63111" w14:textId="77777777" w:rsidR="00645E73" w:rsidRPr="005F1388" w:rsidRDefault="00645E73"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3A877" w14:textId="77777777" w:rsidR="00645E73" w:rsidRDefault="00645E73"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645E73" w:rsidRPr="00E40FF8" w14:paraId="2A958782" w14:textId="77777777" w:rsidTr="00BF75C9">
      <w:tc>
        <w:tcPr>
          <w:tcW w:w="6804" w:type="dxa"/>
          <w:shd w:val="clear" w:color="auto" w:fill="auto"/>
        </w:tcPr>
        <w:p w14:paraId="2C54E559" w14:textId="0C20F0A2" w:rsidR="00645E73" w:rsidRDefault="008B4380" w:rsidP="00E40FF8">
          <w:pPr>
            <w:pStyle w:val="LI-Header"/>
            <w:pBdr>
              <w:bottom w:val="none" w:sz="0" w:space="0" w:color="auto"/>
            </w:pBdr>
            <w:jc w:val="left"/>
          </w:pPr>
          <w:r>
            <w:fldChar w:fldCharType="begin"/>
          </w:r>
          <w:r>
            <w:instrText xml:space="preserve"> STYLEREF  "LI - Title" </w:instrText>
          </w:r>
          <w:r>
            <w:fldChar w:fldCharType="separate"/>
          </w:r>
          <w:r>
            <w:rPr>
              <w:noProof/>
            </w:rPr>
            <w:t>ASIC Corporations (Derivative Transaction Reporting Exemption) Instrument 2015/844</w:t>
          </w:r>
          <w:r>
            <w:rPr>
              <w:noProof/>
            </w:rPr>
            <w:fldChar w:fldCharType="end"/>
          </w:r>
        </w:p>
      </w:tc>
      <w:tc>
        <w:tcPr>
          <w:tcW w:w="1509" w:type="dxa"/>
          <w:shd w:val="clear" w:color="auto" w:fill="auto"/>
        </w:tcPr>
        <w:p w14:paraId="4FEF4E23" w14:textId="77777777" w:rsidR="00645E73" w:rsidRDefault="00645E73" w:rsidP="00E40FF8">
          <w:pPr>
            <w:pStyle w:val="LI-Header"/>
            <w:pBdr>
              <w:bottom w:val="none" w:sz="0" w:space="0" w:color="auto"/>
            </w:pBdr>
          </w:pPr>
        </w:p>
      </w:tc>
    </w:tr>
  </w:tbl>
  <w:p w14:paraId="457C4431" w14:textId="77777777" w:rsidR="00645E73" w:rsidRPr="008945E0" w:rsidRDefault="00645E73"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40073" w14:textId="77777777" w:rsidR="00645E73" w:rsidRPr="00ED79B6" w:rsidRDefault="00645E73"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7A32" w14:textId="77777777" w:rsidR="00645E73" w:rsidRPr="00243EC0" w:rsidRDefault="00645E73"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2—Exemption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645E73" w14:paraId="655D352D" w14:textId="77777777" w:rsidTr="00BF75C9">
      <w:tc>
        <w:tcPr>
          <w:tcW w:w="6804" w:type="dxa"/>
          <w:shd w:val="clear" w:color="auto" w:fill="auto"/>
        </w:tcPr>
        <w:p w14:paraId="299DCEBB" w14:textId="11405208" w:rsidR="00645E73" w:rsidRDefault="008B4380" w:rsidP="00E40FF8">
          <w:pPr>
            <w:pStyle w:val="LI-Header"/>
            <w:pBdr>
              <w:bottom w:val="none" w:sz="0" w:space="0" w:color="auto"/>
            </w:pBdr>
            <w:jc w:val="left"/>
          </w:pPr>
          <w:r>
            <w:fldChar w:fldCharType="begin"/>
          </w:r>
          <w:r>
            <w:instrText xml:space="preserve"> STYLEREF  "LI - Title" </w:instrText>
          </w:r>
          <w:r>
            <w:fldChar w:fldCharType="separate"/>
          </w:r>
          <w:r>
            <w:rPr>
              <w:noProof/>
            </w:rPr>
            <w:t>ASIC Corporations (Derivative Transaction Reporting Exemption) Instrument 2015/844</w:t>
          </w:r>
          <w:r>
            <w:rPr>
              <w:noProof/>
            </w:rPr>
            <w:fldChar w:fldCharType="end"/>
          </w:r>
        </w:p>
      </w:tc>
      <w:tc>
        <w:tcPr>
          <w:tcW w:w="1509" w:type="dxa"/>
          <w:shd w:val="clear" w:color="auto" w:fill="auto"/>
        </w:tcPr>
        <w:p w14:paraId="26109628" w14:textId="33DB0258" w:rsidR="00645E73" w:rsidRDefault="008B4380" w:rsidP="00E40FF8">
          <w:pPr>
            <w:pStyle w:val="LI-Header"/>
            <w:pBdr>
              <w:bottom w:val="none" w:sz="0" w:space="0" w:color="auto"/>
            </w:pBdr>
          </w:pPr>
          <w:r>
            <w:fldChar w:fldCharType="begin"/>
          </w:r>
          <w:r>
            <w:instrText xml:space="preserve"> STYLEREF  "LI - Heading 1" </w:instrText>
          </w:r>
          <w:r>
            <w:fldChar w:fldCharType="separate"/>
          </w:r>
          <w:r>
            <w:rPr>
              <w:noProof/>
            </w:rPr>
            <w:t>Part 1—Preliminary</w:t>
          </w:r>
          <w:r>
            <w:rPr>
              <w:noProof/>
            </w:rPr>
            <w:fldChar w:fldCharType="end"/>
          </w:r>
        </w:p>
      </w:tc>
    </w:tr>
  </w:tbl>
  <w:p w14:paraId="43CDE57A" w14:textId="77777777" w:rsidR="00645E73" w:rsidRPr="00F4215A" w:rsidRDefault="00645E73"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EE766" w14:textId="77777777" w:rsidR="00645E73" w:rsidRPr="007A1328" w:rsidRDefault="00645E73"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4D47EB"/>
    <w:multiLevelType w:val="hybridMultilevel"/>
    <w:tmpl w:val="E250920A"/>
    <w:lvl w:ilvl="0" w:tplc="F29CFE2E">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079D4241"/>
    <w:multiLevelType w:val="hybridMultilevel"/>
    <w:tmpl w:val="505C27D0"/>
    <w:lvl w:ilvl="0" w:tplc="EBACB1BE">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6139C3"/>
    <w:multiLevelType w:val="hybridMultilevel"/>
    <w:tmpl w:val="6C5EEA9C"/>
    <w:lvl w:ilvl="0" w:tplc="CB68E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04844F2"/>
    <w:multiLevelType w:val="multilevel"/>
    <w:tmpl w:val="3214AE0A"/>
    <w:lvl w:ilvl="0">
      <w:start w:val="1"/>
      <w:numFmt w:val="decimal"/>
      <w:lvlText w:val="%1."/>
      <w:lvlJc w:val="left"/>
      <w:pPr>
        <w:ind w:left="360" w:hanging="360"/>
      </w:pPr>
      <w:rPr>
        <w:rFonts w:hint="default"/>
        <w:b w:val="0"/>
      </w:rPr>
    </w:lvl>
    <w:lvl w:ilvl="1">
      <w:start w:val="1"/>
      <w:numFmt w:val="lowerLetter"/>
      <w:lvlText w:val="(%2)"/>
      <w:lvlJc w:val="left"/>
      <w:pPr>
        <w:ind w:left="1495" w:hanging="360"/>
      </w:pPr>
      <w:rPr>
        <w:rFonts w:ascii="Times New Roman" w:eastAsia="Times New Roman" w:hAnsi="Times New Roman" w:cs="Times New Roman"/>
        <w:b w:val="0"/>
      </w:rPr>
    </w:lvl>
    <w:lvl w:ilvl="2">
      <w:start w:val="1"/>
      <w:numFmt w:val="lowerRoman"/>
      <w:lvlText w:val="(%3)"/>
      <w:lvlJc w:val="left"/>
      <w:pPr>
        <w:ind w:left="3348" w:hanging="360"/>
      </w:pPr>
      <w:rPr>
        <w:rFonts w:hint="default"/>
        <w:b w:val="0"/>
      </w:rPr>
    </w:lvl>
    <w:lvl w:ilvl="3">
      <w:start w:val="1"/>
      <w:numFmt w:val="decimal"/>
      <w:lvlText w:val="(%4)"/>
      <w:lvlJc w:val="left"/>
      <w:pPr>
        <w:ind w:left="3708" w:hanging="360"/>
      </w:pPr>
      <w:rPr>
        <w:rFonts w:hint="default"/>
      </w:rPr>
    </w:lvl>
    <w:lvl w:ilvl="4">
      <w:start w:val="1"/>
      <w:numFmt w:val="upperLetter"/>
      <w:lvlText w:val="(%5)"/>
      <w:lvlJc w:val="left"/>
      <w:pPr>
        <w:ind w:left="4068" w:hanging="360"/>
      </w:pPr>
      <w:rPr>
        <w:rFonts w:hint="default"/>
      </w:rPr>
    </w:lvl>
    <w:lvl w:ilvl="5">
      <w:start w:val="1"/>
      <w:numFmt w:val="lowerRoman"/>
      <w:lvlText w:val="(%6)"/>
      <w:lvlJc w:val="left"/>
      <w:pPr>
        <w:ind w:left="4428" w:hanging="360"/>
      </w:pPr>
      <w:rPr>
        <w:rFonts w:hint="default"/>
      </w:rPr>
    </w:lvl>
    <w:lvl w:ilvl="6">
      <w:start w:val="1"/>
      <w:numFmt w:val="decimal"/>
      <w:lvlText w:val="%7."/>
      <w:lvlJc w:val="left"/>
      <w:pPr>
        <w:ind w:left="4788" w:hanging="360"/>
      </w:pPr>
      <w:rPr>
        <w:rFonts w:hint="default"/>
      </w:rPr>
    </w:lvl>
    <w:lvl w:ilvl="7">
      <w:start w:val="1"/>
      <w:numFmt w:val="lowerLetter"/>
      <w:lvlText w:val="%8."/>
      <w:lvlJc w:val="left"/>
      <w:pPr>
        <w:ind w:left="5148" w:hanging="360"/>
      </w:pPr>
      <w:rPr>
        <w:rFonts w:hint="default"/>
      </w:rPr>
    </w:lvl>
    <w:lvl w:ilvl="8">
      <w:start w:val="1"/>
      <w:numFmt w:val="lowerRoman"/>
      <w:lvlText w:val="%9."/>
      <w:lvlJc w:val="left"/>
      <w:pPr>
        <w:ind w:left="5508" w:hanging="360"/>
      </w:pPr>
      <w:rPr>
        <w:rFonts w:hint="default"/>
      </w:rPr>
    </w:lvl>
  </w:abstractNum>
  <w:abstractNum w:abstractNumId="16" w15:restartNumberingAfterBreak="0">
    <w:nsid w:val="23861473"/>
    <w:multiLevelType w:val="hybridMultilevel"/>
    <w:tmpl w:val="914ED2F2"/>
    <w:lvl w:ilvl="0" w:tplc="843429E4">
      <w:start w:val="1"/>
      <w:numFmt w:val="lowerLetter"/>
      <w:lvlText w:val="(%1)"/>
      <w:lvlJc w:val="left"/>
      <w:pPr>
        <w:ind w:left="1689" w:hanging="555"/>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A8132A"/>
    <w:multiLevelType w:val="hybridMultilevel"/>
    <w:tmpl w:val="AA2011FA"/>
    <w:lvl w:ilvl="0" w:tplc="0E5C27D0">
      <w:start w:val="1"/>
      <w:numFmt w:val="lowerLetter"/>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0" w15:restartNumberingAfterBreak="0">
    <w:nsid w:val="67D8102C"/>
    <w:multiLevelType w:val="hybridMultilevel"/>
    <w:tmpl w:val="1ECE4B9E"/>
    <w:lvl w:ilvl="0" w:tplc="E8DA8170">
      <w:start w:val="1"/>
      <w:numFmt w:val="lowerLetter"/>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1" w15:restartNumberingAfterBreak="0">
    <w:nsid w:val="7C77228B"/>
    <w:multiLevelType w:val="hybridMultilevel"/>
    <w:tmpl w:val="D0529740"/>
    <w:lvl w:ilvl="0" w:tplc="8CB0E5FE">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3"/>
  </w:num>
  <w:num w:numId="14">
    <w:abstractNumId w:val="18"/>
  </w:num>
  <w:num w:numId="15">
    <w:abstractNumId w:val="15"/>
    <w:lvlOverride w:ilvl="0">
      <w:lvl w:ilvl="0">
        <w:start w:val="1"/>
        <w:numFmt w:val="decimal"/>
        <w:lvlText w:val="%1."/>
        <w:lvlJc w:val="left"/>
        <w:pPr>
          <w:ind w:left="927" w:hanging="360"/>
        </w:pPr>
        <w:rPr>
          <w:rFonts w:hint="default"/>
        </w:rPr>
      </w:lvl>
    </w:lvlOverride>
    <w:lvlOverride w:ilvl="1">
      <w:lvl w:ilvl="1">
        <w:start w:val="1"/>
        <w:numFmt w:val="lowerLetter"/>
        <w:lvlText w:val="(%2)"/>
        <w:lvlJc w:val="left"/>
        <w:pPr>
          <w:ind w:left="1588" w:hanging="664"/>
        </w:pPr>
        <w:rPr>
          <w:rFonts w:hint="default"/>
        </w:rPr>
      </w:lvl>
    </w:lvlOverride>
    <w:lvlOverride w:ilvl="2">
      <w:lvl w:ilvl="2">
        <w:start w:val="1"/>
        <w:numFmt w:val="lowerRoman"/>
        <w:lvlText w:val="(%3)"/>
        <w:lvlJc w:val="left"/>
        <w:pPr>
          <w:ind w:left="1647" w:hanging="360"/>
        </w:pPr>
        <w:rPr>
          <w:rFonts w:hint="default"/>
        </w:rPr>
      </w:lvl>
    </w:lvlOverride>
    <w:lvlOverride w:ilvl="3">
      <w:lvl w:ilvl="3">
        <w:start w:val="1"/>
        <w:numFmt w:val="decimal"/>
        <w:lvlText w:val="(%4)"/>
        <w:lvlJc w:val="left"/>
        <w:pPr>
          <w:ind w:left="2007" w:hanging="360"/>
        </w:pPr>
        <w:rPr>
          <w:rFonts w:hint="default"/>
        </w:rPr>
      </w:lvl>
    </w:lvlOverride>
    <w:lvlOverride w:ilvl="4">
      <w:lvl w:ilvl="4">
        <w:start w:val="1"/>
        <w:numFmt w:val="upperLetter"/>
        <w:lvlText w:val="(%5)"/>
        <w:lvlJc w:val="left"/>
        <w:pPr>
          <w:ind w:left="2367" w:hanging="360"/>
        </w:pPr>
        <w:rPr>
          <w:rFonts w:hint="default"/>
        </w:rPr>
      </w:lvl>
    </w:lvlOverride>
    <w:lvlOverride w:ilvl="5">
      <w:lvl w:ilvl="5">
        <w:start w:val="1"/>
        <w:numFmt w:val="lowerRoman"/>
        <w:lvlText w:val="(%6)"/>
        <w:lvlJc w:val="left"/>
        <w:pPr>
          <w:ind w:left="2727" w:hanging="360"/>
        </w:pPr>
        <w:rPr>
          <w:rFonts w:hint="default"/>
        </w:rPr>
      </w:lvl>
    </w:lvlOverride>
    <w:lvlOverride w:ilvl="6">
      <w:lvl w:ilvl="6">
        <w:start w:val="1"/>
        <w:numFmt w:val="decimal"/>
        <w:lvlText w:val="%7."/>
        <w:lvlJc w:val="left"/>
        <w:pPr>
          <w:ind w:left="3087" w:hanging="360"/>
        </w:pPr>
        <w:rPr>
          <w:rFonts w:hint="default"/>
        </w:rPr>
      </w:lvl>
    </w:lvlOverride>
    <w:lvlOverride w:ilvl="7">
      <w:lvl w:ilvl="7">
        <w:start w:val="1"/>
        <w:numFmt w:val="lowerLetter"/>
        <w:lvlText w:val="%8."/>
        <w:lvlJc w:val="left"/>
        <w:pPr>
          <w:ind w:left="3447" w:hanging="360"/>
        </w:pPr>
        <w:rPr>
          <w:rFonts w:hint="default"/>
        </w:rPr>
      </w:lvl>
    </w:lvlOverride>
    <w:lvlOverride w:ilvl="8">
      <w:lvl w:ilvl="8">
        <w:start w:val="1"/>
        <w:numFmt w:val="lowerRoman"/>
        <w:lvlText w:val="%9."/>
        <w:lvlJc w:val="left"/>
        <w:pPr>
          <w:ind w:left="3807" w:hanging="360"/>
        </w:pPr>
        <w:rPr>
          <w:rFonts w:hint="default"/>
        </w:rPr>
      </w:lvl>
    </w:lvlOverride>
  </w:num>
  <w:num w:numId="16">
    <w:abstractNumId w:val="15"/>
  </w:num>
  <w:num w:numId="17">
    <w:abstractNumId w:val="14"/>
  </w:num>
  <w:num w:numId="18">
    <w:abstractNumId w:val="11"/>
  </w:num>
  <w:num w:numId="19">
    <w:abstractNumId w:val="12"/>
  </w:num>
  <w:num w:numId="20">
    <w:abstractNumId w:val="21"/>
  </w:num>
  <w:num w:numId="21">
    <w:abstractNumId w:val="16"/>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hideSpellingErrors/>
  <w:hideGrammaticalErrors/>
  <w:attachedTemplate r:id="rId1"/>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1C9"/>
    <w:rsid w:val="00004470"/>
    <w:rsid w:val="00005307"/>
    <w:rsid w:val="00005446"/>
    <w:rsid w:val="000136AF"/>
    <w:rsid w:val="0001395E"/>
    <w:rsid w:val="00013B8D"/>
    <w:rsid w:val="00017198"/>
    <w:rsid w:val="00023D53"/>
    <w:rsid w:val="00035934"/>
    <w:rsid w:val="00035C3D"/>
    <w:rsid w:val="0003681B"/>
    <w:rsid w:val="000437C1"/>
    <w:rsid w:val="0005365D"/>
    <w:rsid w:val="000614BF"/>
    <w:rsid w:val="0006250C"/>
    <w:rsid w:val="00062977"/>
    <w:rsid w:val="00064C53"/>
    <w:rsid w:val="00066015"/>
    <w:rsid w:val="0007143B"/>
    <w:rsid w:val="000769B4"/>
    <w:rsid w:val="00080E44"/>
    <w:rsid w:val="00081794"/>
    <w:rsid w:val="000902EA"/>
    <w:rsid w:val="00090B84"/>
    <w:rsid w:val="00091C20"/>
    <w:rsid w:val="00096EA7"/>
    <w:rsid w:val="000A142F"/>
    <w:rsid w:val="000A6C39"/>
    <w:rsid w:val="000B58FA"/>
    <w:rsid w:val="000B63FA"/>
    <w:rsid w:val="000C1DE8"/>
    <w:rsid w:val="000C55A0"/>
    <w:rsid w:val="000D05EF"/>
    <w:rsid w:val="000D7221"/>
    <w:rsid w:val="000E1BEC"/>
    <w:rsid w:val="000E2261"/>
    <w:rsid w:val="000E3C2E"/>
    <w:rsid w:val="000F1842"/>
    <w:rsid w:val="000F21C1"/>
    <w:rsid w:val="000F2320"/>
    <w:rsid w:val="000F2BCD"/>
    <w:rsid w:val="00102CA6"/>
    <w:rsid w:val="0010745C"/>
    <w:rsid w:val="00113BB7"/>
    <w:rsid w:val="0011642E"/>
    <w:rsid w:val="00132CEB"/>
    <w:rsid w:val="00137656"/>
    <w:rsid w:val="00142B62"/>
    <w:rsid w:val="0015122A"/>
    <w:rsid w:val="00153B32"/>
    <w:rsid w:val="00155DF5"/>
    <w:rsid w:val="00157B8B"/>
    <w:rsid w:val="00160A53"/>
    <w:rsid w:val="0016285D"/>
    <w:rsid w:val="00166C2F"/>
    <w:rsid w:val="00171A6E"/>
    <w:rsid w:val="00173B1F"/>
    <w:rsid w:val="00174D44"/>
    <w:rsid w:val="001809D7"/>
    <w:rsid w:val="00184048"/>
    <w:rsid w:val="001847C3"/>
    <w:rsid w:val="00190248"/>
    <w:rsid w:val="00191D92"/>
    <w:rsid w:val="001939E1"/>
    <w:rsid w:val="00194C3E"/>
    <w:rsid w:val="00195382"/>
    <w:rsid w:val="00195BD4"/>
    <w:rsid w:val="001A157E"/>
    <w:rsid w:val="001A6B7B"/>
    <w:rsid w:val="001B046F"/>
    <w:rsid w:val="001B7207"/>
    <w:rsid w:val="001B7949"/>
    <w:rsid w:val="001C61C5"/>
    <w:rsid w:val="001C69C4"/>
    <w:rsid w:val="001D37EF"/>
    <w:rsid w:val="001D5467"/>
    <w:rsid w:val="001D7DF5"/>
    <w:rsid w:val="001E3590"/>
    <w:rsid w:val="001E7407"/>
    <w:rsid w:val="001E78A2"/>
    <w:rsid w:val="001F3155"/>
    <w:rsid w:val="001F5D5E"/>
    <w:rsid w:val="001F6219"/>
    <w:rsid w:val="001F6C5D"/>
    <w:rsid w:val="001F6CD4"/>
    <w:rsid w:val="00206C4D"/>
    <w:rsid w:val="00207CFF"/>
    <w:rsid w:val="0021053C"/>
    <w:rsid w:val="0021582E"/>
    <w:rsid w:val="00215AF1"/>
    <w:rsid w:val="00220B20"/>
    <w:rsid w:val="002218FF"/>
    <w:rsid w:val="0023201E"/>
    <w:rsid w:val="002321E8"/>
    <w:rsid w:val="00236EEC"/>
    <w:rsid w:val="0024010F"/>
    <w:rsid w:val="00240749"/>
    <w:rsid w:val="00241C24"/>
    <w:rsid w:val="00243018"/>
    <w:rsid w:val="00243EC0"/>
    <w:rsid w:val="00244742"/>
    <w:rsid w:val="00251797"/>
    <w:rsid w:val="002564A4"/>
    <w:rsid w:val="00262EBC"/>
    <w:rsid w:val="0026736C"/>
    <w:rsid w:val="00271D28"/>
    <w:rsid w:val="00277EE3"/>
    <w:rsid w:val="00281308"/>
    <w:rsid w:val="00281813"/>
    <w:rsid w:val="00283E54"/>
    <w:rsid w:val="00284719"/>
    <w:rsid w:val="00285985"/>
    <w:rsid w:val="00286854"/>
    <w:rsid w:val="00297ECB"/>
    <w:rsid w:val="002A7BCF"/>
    <w:rsid w:val="002B19F3"/>
    <w:rsid w:val="002B1AC6"/>
    <w:rsid w:val="002B1EBD"/>
    <w:rsid w:val="002B4A0D"/>
    <w:rsid w:val="002C1EF1"/>
    <w:rsid w:val="002C252D"/>
    <w:rsid w:val="002C5BFB"/>
    <w:rsid w:val="002D043A"/>
    <w:rsid w:val="002D6224"/>
    <w:rsid w:val="002D6C5B"/>
    <w:rsid w:val="002E1330"/>
    <w:rsid w:val="002E3F4B"/>
    <w:rsid w:val="002E678A"/>
    <w:rsid w:val="002F4E58"/>
    <w:rsid w:val="0030281C"/>
    <w:rsid w:val="00304580"/>
    <w:rsid w:val="00304F8B"/>
    <w:rsid w:val="00313D9A"/>
    <w:rsid w:val="00315F65"/>
    <w:rsid w:val="00322A18"/>
    <w:rsid w:val="00327DDF"/>
    <w:rsid w:val="003354D2"/>
    <w:rsid w:val="00335BC6"/>
    <w:rsid w:val="00340042"/>
    <w:rsid w:val="003415D3"/>
    <w:rsid w:val="00341F04"/>
    <w:rsid w:val="00344701"/>
    <w:rsid w:val="003528DA"/>
    <w:rsid w:val="00352B0F"/>
    <w:rsid w:val="00356690"/>
    <w:rsid w:val="00357DD0"/>
    <w:rsid w:val="00360459"/>
    <w:rsid w:val="00365497"/>
    <w:rsid w:val="00370680"/>
    <w:rsid w:val="00371144"/>
    <w:rsid w:val="00387A96"/>
    <w:rsid w:val="00395B4F"/>
    <w:rsid w:val="00396E33"/>
    <w:rsid w:val="003A2A48"/>
    <w:rsid w:val="003B732F"/>
    <w:rsid w:val="003B746D"/>
    <w:rsid w:val="003C6231"/>
    <w:rsid w:val="003D0BFE"/>
    <w:rsid w:val="003D2BBC"/>
    <w:rsid w:val="003D4F43"/>
    <w:rsid w:val="003D5700"/>
    <w:rsid w:val="003E0F99"/>
    <w:rsid w:val="003E341B"/>
    <w:rsid w:val="0040053F"/>
    <w:rsid w:val="00404244"/>
    <w:rsid w:val="004100B4"/>
    <w:rsid w:val="004116CD"/>
    <w:rsid w:val="004144EC"/>
    <w:rsid w:val="00417EB9"/>
    <w:rsid w:val="004229A7"/>
    <w:rsid w:val="00424CA9"/>
    <w:rsid w:val="004259FD"/>
    <w:rsid w:val="00431E9B"/>
    <w:rsid w:val="00434A7B"/>
    <w:rsid w:val="00435EAE"/>
    <w:rsid w:val="004379E3"/>
    <w:rsid w:val="0044015E"/>
    <w:rsid w:val="0044291A"/>
    <w:rsid w:val="00444ABD"/>
    <w:rsid w:val="00447DB4"/>
    <w:rsid w:val="0046045B"/>
    <w:rsid w:val="00460F1D"/>
    <w:rsid w:val="00467057"/>
    <w:rsid w:val="00467661"/>
    <w:rsid w:val="004705B7"/>
    <w:rsid w:val="00472DBE"/>
    <w:rsid w:val="00474A19"/>
    <w:rsid w:val="004823C0"/>
    <w:rsid w:val="0048276B"/>
    <w:rsid w:val="0049276E"/>
    <w:rsid w:val="00492EFB"/>
    <w:rsid w:val="00496B5F"/>
    <w:rsid w:val="00496F97"/>
    <w:rsid w:val="004A117D"/>
    <w:rsid w:val="004A2114"/>
    <w:rsid w:val="004A2AD2"/>
    <w:rsid w:val="004A2BEB"/>
    <w:rsid w:val="004A44FC"/>
    <w:rsid w:val="004A5DB2"/>
    <w:rsid w:val="004B4D4A"/>
    <w:rsid w:val="004E063A"/>
    <w:rsid w:val="004E7BEC"/>
    <w:rsid w:val="0050044F"/>
    <w:rsid w:val="00505D3D"/>
    <w:rsid w:val="00506AF6"/>
    <w:rsid w:val="00507335"/>
    <w:rsid w:val="00510A38"/>
    <w:rsid w:val="00510D6D"/>
    <w:rsid w:val="00514097"/>
    <w:rsid w:val="00516B8D"/>
    <w:rsid w:val="00517494"/>
    <w:rsid w:val="00517E56"/>
    <w:rsid w:val="005201E6"/>
    <w:rsid w:val="00524780"/>
    <w:rsid w:val="005255A0"/>
    <w:rsid w:val="00531E70"/>
    <w:rsid w:val="00532049"/>
    <w:rsid w:val="00532A49"/>
    <w:rsid w:val="005353CB"/>
    <w:rsid w:val="005356A7"/>
    <w:rsid w:val="005363F5"/>
    <w:rsid w:val="00537FBC"/>
    <w:rsid w:val="005574D1"/>
    <w:rsid w:val="00563F7A"/>
    <w:rsid w:val="005657FE"/>
    <w:rsid w:val="00572BB1"/>
    <w:rsid w:val="0057670F"/>
    <w:rsid w:val="00584811"/>
    <w:rsid w:val="00585784"/>
    <w:rsid w:val="00593AA6"/>
    <w:rsid w:val="00593C1B"/>
    <w:rsid w:val="00594161"/>
    <w:rsid w:val="00594749"/>
    <w:rsid w:val="00595E50"/>
    <w:rsid w:val="005A73DD"/>
    <w:rsid w:val="005A7878"/>
    <w:rsid w:val="005B4067"/>
    <w:rsid w:val="005B7445"/>
    <w:rsid w:val="005B780C"/>
    <w:rsid w:val="005C3F41"/>
    <w:rsid w:val="005C7EF5"/>
    <w:rsid w:val="005D0489"/>
    <w:rsid w:val="005D2D09"/>
    <w:rsid w:val="005D3D41"/>
    <w:rsid w:val="005D7DB5"/>
    <w:rsid w:val="005E26CA"/>
    <w:rsid w:val="005E4810"/>
    <w:rsid w:val="005F65CD"/>
    <w:rsid w:val="00600219"/>
    <w:rsid w:val="00603DC4"/>
    <w:rsid w:val="00603DD7"/>
    <w:rsid w:val="00607A71"/>
    <w:rsid w:val="0061133E"/>
    <w:rsid w:val="00612831"/>
    <w:rsid w:val="0061330A"/>
    <w:rsid w:val="00615C50"/>
    <w:rsid w:val="006162B5"/>
    <w:rsid w:val="00616B67"/>
    <w:rsid w:val="00620076"/>
    <w:rsid w:val="00627433"/>
    <w:rsid w:val="006300DE"/>
    <w:rsid w:val="0063243A"/>
    <w:rsid w:val="00634044"/>
    <w:rsid w:val="00640161"/>
    <w:rsid w:val="00645E73"/>
    <w:rsid w:val="006524D7"/>
    <w:rsid w:val="00652769"/>
    <w:rsid w:val="0065542F"/>
    <w:rsid w:val="006554FF"/>
    <w:rsid w:val="00655572"/>
    <w:rsid w:val="00657412"/>
    <w:rsid w:val="00662430"/>
    <w:rsid w:val="006671F1"/>
    <w:rsid w:val="00670EA1"/>
    <w:rsid w:val="00677CC2"/>
    <w:rsid w:val="0068259D"/>
    <w:rsid w:val="0068362F"/>
    <w:rsid w:val="00685CC3"/>
    <w:rsid w:val="006905DE"/>
    <w:rsid w:val="0069207B"/>
    <w:rsid w:val="00696FCA"/>
    <w:rsid w:val="006A3BEC"/>
    <w:rsid w:val="006B0A9C"/>
    <w:rsid w:val="006B47C8"/>
    <w:rsid w:val="006B5789"/>
    <w:rsid w:val="006B6FB4"/>
    <w:rsid w:val="006C30C5"/>
    <w:rsid w:val="006C3D18"/>
    <w:rsid w:val="006C417C"/>
    <w:rsid w:val="006C48FA"/>
    <w:rsid w:val="006C5615"/>
    <w:rsid w:val="006C7F8C"/>
    <w:rsid w:val="006D2EC4"/>
    <w:rsid w:val="006E09D8"/>
    <w:rsid w:val="006E24AA"/>
    <w:rsid w:val="006E5320"/>
    <w:rsid w:val="006E56B7"/>
    <w:rsid w:val="006E6246"/>
    <w:rsid w:val="006F318F"/>
    <w:rsid w:val="006F4226"/>
    <w:rsid w:val="006F6105"/>
    <w:rsid w:val="006F62C1"/>
    <w:rsid w:val="006F76CB"/>
    <w:rsid w:val="0070017E"/>
    <w:rsid w:val="00700B2C"/>
    <w:rsid w:val="00703DC1"/>
    <w:rsid w:val="0070403A"/>
    <w:rsid w:val="007050A2"/>
    <w:rsid w:val="00713084"/>
    <w:rsid w:val="00714F20"/>
    <w:rsid w:val="0071590F"/>
    <w:rsid w:val="00715914"/>
    <w:rsid w:val="00723CF5"/>
    <w:rsid w:val="0072529A"/>
    <w:rsid w:val="00731E00"/>
    <w:rsid w:val="00741D0A"/>
    <w:rsid w:val="00741EE8"/>
    <w:rsid w:val="007440B7"/>
    <w:rsid w:val="00745370"/>
    <w:rsid w:val="007500C8"/>
    <w:rsid w:val="00756272"/>
    <w:rsid w:val="007662B5"/>
    <w:rsid w:val="0076681A"/>
    <w:rsid w:val="007715C9"/>
    <w:rsid w:val="00771613"/>
    <w:rsid w:val="007733F6"/>
    <w:rsid w:val="00774723"/>
    <w:rsid w:val="00774EDD"/>
    <w:rsid w:val="0077506D"/>
    <w:rsid w:val="007757EC"/>
    <w:rsid w:val="00783E89"/>
    <w:rsid w:val="007848C9"/>
    <w:rsid w:val="00785A9E"/>
    <w:rsid w:val="00793915"/>
    <w:rsid w:val="007B4C4F"/>
    <w:rsid w:val="007C2253"/>
    <w:rsid w:val="007C55C8"/>
    <w:rsid w:val="007C6BE3"/>
    <w:rsid w:val="007D1914"/>
    <w:rsid w:val="007D230B"/>
    <w:rsid w:val="007D4B52"/>
    <w:rsid w:val="007E163D"/>
    <w:rsid w:val="007E667A"/>
    <w:rsid w:val="007F28C9"/>
    <w:rsid w:val="007F51D2"/>
    <w:rsid w:val="00802CA3"/>
    <w:rsid w:val="0080312D"/>
    <w:rsid w:val="00803587"/>
    <w:rsid w:val="00806A55"/>
    <w:rsid w:val="008117E9"/>
    <w:rsid w:val="00815696"/>
    <w:rsid w:val="0081672F"/>
    <w:rsid w:val="00821FCF"/>
    <w:rsid w:val="00824498"/>
    <w:rsid w:val="00840442"/>
    <w:rsid w:val="00841588"/>
    <w:rsid w:val="008527C0"/>
    <w:rsid w:val="00856A31"/>
    <w:rsid w:val="00860B58"/>
    <w:rsid w:val="008636C2"/>
    <w:rsid w:val="00867B37"/>
    <w:rsid w:val="008718DD"/>
    <w:rsid w:val="008754D0"/>
    <w:rsid w:val="008855C9"/>
    <w:rsid w:val="00886456"/>
    <w:rsid w:val="008945E0"/>
    <w:rsid w:val="0089527F"/>
    <w:rsid w:val="00896C38"/>
    <w:rsid w:val="008A1672"/>
    <w:rsid w:val="008A362B"/>
    <w:rsid w:val="008A46E1"/>
    <w:rsid w:val="008A4F43"/>
    <w:rsid w:val="008B0D1A"/>
    <w:rsid w:val="008B2706"/>
    <w:rsid w:val="008B4380"/>
    <w:rsid w:val="008C0F29"/>
    <w:rsid w:val="008D0EE0"/>
    <w:rsid w:val="008D3422"/>
    <w:rsid w:val="008E6067"/>
    <w:rsid w:val="008E673D"/>
    <w:rsid w:val="008F062C"/>
    <w:rsid w:val="008F54E7"/>
    <w:rsid w:val="00903422"/>
    <w:rsid w:val="00910E89"/>
    <w:rsid w:val="00912CD7"/>
    <w:rsid w:val="009157B9"/>
    <w:rsid w:val="00915DF9"/>
    <w:rsid w:val="009254C3"/>
    <w:rsid w:val="00930A0A"/>
    <w:rsid w:val="00932092"/>
    <w:rsid w:val="00932377"/>
    <w:rsid w:val="00933FC7"/>
    <w:rsid w:val="009460DC"/>
    <w:rsid w:val="00947D5A"/>
    <w:rsid w:val="00952FD8"/>
    <w:rsid w:val="009532A5"/>
    <w:rsid w:val="0095528E"/>
    <w:rsid w:val="00962DAE"/>
    <w:rsid w:val="0096395F"/>
    <w:rsid w:val="0096753E"/>
    <w:rsid w:val="00982242"/>
    <w:rsid w:val="009868E9"/>
    <w:rsid w:val="009944E6"/>
    <w:rsid w:val="009A49C9"/>
    <w:rsid w:val="009A7E81"/>
    <w:rsid w:val="009C01AC"/>
    <w:rsid w:val="009C3AF7"/>
    <w:rsid w:val="009C3B55"/>
    <w:rsid w:val="009C4485"/>
    <w:rsid w:val="009C7FA7"/>
    <w:rsid w:val="009D1818"/>
    <w:rsid w:val="009D6A7D"/>
    <w:rsid w:val="009E4D0D"/>
    <w:rsid w:val="009E5CFC"/>
    <w:rsid w:val="009E6D96"/>
    <w:rsid w:val="009F08C5"/>
    <w:rsid w:val="00A01EC8"/>
    <w:rsid w:val="00A038F1"/>
    <w:rsid w:val="00A079CB"/>
    <w:rsid w:val="00A12128"/>
    <w:rsid w:val="00A12F48"/>
    <w:rsid w:val="00A15512"/>
    <w:rsid w:val="00A1608B"/>
    <w:rsid w:val="00A22C98"/>
    <w:rsid w:val="00A231E2"/>
    <w:rsid w:val="00A23410"/>
    <w:rsid w:val="00A33D55"/>
    <w:rsid w:val="00A33FD8"/>
    <w:rsid w:val="00A34412"/>
    <w:rsid w:val="00A40424"/>
    <w:rsid w:val="00A45DF2"/>
    <w:rsid w:val="00A476DF"/>
    <w:rsid w:val="00A52B0F"/>
    <w:rsid w:val="00A56104"/>
    <w:rsid w:val="00A5632E"/>
    <w:rsid w:val="00A56BDD"/>
    <w:rsid w:val="00A60247"/>
    <w:rsid w:val="00A63906"/>
    <w:rsid w:val="00A64912"/>
    <w:rsid w:val="00A70A74"/>
    <w:rsid w:val="00A80A31"/>
    <w:rsid w:val="00A85DCD"/>
    <w:rsid w:val="00A91966"/>
    <w:rsid w:val="00A94481"/>
    <w:rsid w:val="00AA14F9"/>
    <w:rsid w:val="00AA66AC"/>
    <w:rsid w:val="00AB1DE8"/>
    <w:rsid w:val="00AB62C9"/>
    <w:rsid w:val="00AB76B0"/>
    <w:rsid w:val="00AC05FF"/>
    <w:rsid w:val="00AC0886"/>
    <w:rsid w:val="00AC6549"/>
    <w:rsid w:val="00AC755A"/>
    <w:rsid w:val="00AD1F73"/>
    <w:rsid w:val="00AD5315"/>
    <w:rsid w:val="00AD5641"/>
    <w:rsid w:val="00AD5755"/>
    <w:rsid w:val="00AD7889"/>
    <w:rsid w:val="00AF021B"/>
    <w:rsid w:val="00AF06CF"/>
    <w:rsid w:val="00AF239B"/>
    <w:rsid w:val="00AF68C3"/>
    <w:rsid w:val="00B004F4"/>
    <w:rsid w:val="00B06C34"/>
    <w:rsid w:val="00B07CDB"/>
    <w:rsid w:val="00B12505"/>
    <w:rsid w:val="00B16A31"/>
    <w:rsid w:val="00B17DFD"/>
    <w:rsid w:val="00B2799D"/>
    <w:rsid w:val="00B308FE"/>
    <w:rsid w:val="00B33709"/>
    <w:rsid w:val="00B33B3C"/>
    <w:rsid w:val="00B33BD1"/>
    <w:rsid w:val="00B37859"/>
    <w:rsid w:val="00B42BED"/>
    <w:rsid w:val="00B45D9F"/>
    <w:rsid w:val="00B47F53"/>
    <w:rsid w:val="00B50ADC"/>
    <w:rsid w:val="00B54858"/>
    <w:rsid w:val="00B566B1"/>
    <w:rsid w:val="00B63834"/>
    <w:rsid w:val="00B70CE6"/>
    <w:rsid w:val="00B72734"/>
    <w:rsid w:val="00B80199"/>
    <w:rsid w:val="00B82D81"/>
    <w:rsid w:val="00B83204"/>
    <w:rsid w:val="00B91C08"/>
    <w:rsid w:val="00B91CC7"/>
    <w:rsid w:val="00BA220B"/>
    <w:rsid w:val="00BA3A57"/>
    <w:rsid w:val="00BA5467"/>
    <w:rsid w:val="00BB0FCE"/>
    <w:rsid w:val="00BB4E1A"/>
    <w:rsid w:val="00BB5C17"/>
    <w:rsid w:val="00BC015E"/>
    <w:rsid w:val="00BC1936"/>
    <w:rsid w:val="00BC7183"/>
    <w:rsid w:val="00BC76AC"/>
    <w:rsid w:val="00BD0ECB"/>
    <w:rsid w:val="00BD1D57"/>
    <w:rsid w:val="00BE2155"/>
    <w:rsid w:val="00BE2213"/>
    <w:rsid w:val="00BE719A"/>
    <w:rsid w:val="00BE720A"/>
    <w:rsid w:val="00BF0D73"/>
    <w:rsid w:val="00BF2465"/>
    <w:rsid w:val="00BF6D69"/>
    <w:rsid w:val="00BF75C9"/>
    <w:rsid w:val="00C03083"/>
    <w:rsid w:val="00C0544A"/>
    <w:rsid w:val="00C11452"/>
    <w:rsid w:val="00C21491"/>
    <w:rsid w:val="00C25E7F"/>
    <w:rsid w:val="00C2746F"/>
    <w:rsid w:val="00C324A0"/>
    <w:rsid w:val="00C3300F"/>
    <w:rsid w:val="00C34E77"/>
    <w:rsid w:val="00C35875"/>
    <w:rsid w:val="00C37EFD"/>
    <w:rsid w:val="00C42BF8"/>
    <w:rsid w:val="00C45171"/>
    <w:rsid w:val="00C46848"/>
    <w:rsid w:val="00C474CB"/>
    <w:rsid w:val="00C50043"/>
    <w:rsid w:val="00C50B97"/>
    <w:rsid w:val="00C522AC"/>
    <w:rsid w:val="00C534E1"/>
    <w:rsid w:val="00C56644"/>
    <w:rsid w:val="00C56E62"/>
    <w:rsid w:val="00C60ACD"/>
    <w:rsid w:val="00C6434E"/>
    <w:rsid w:val="00C70061"/>
    <w:rsid w:val="00C70CA8"/>
    <w:rsid w:val="00C7573B"/>
    <w:rsid w:val="00C76D27"/>
    <w:rsid w:val="00C7761F"/>
    <w:rsid w:val="00C77B94"/>
    <w:rsid w:val="00C93828"/>
    <w:rsid w:val="00C93C03"/>
    <w:rsid w:val="00C95B93"/>
    <w:rsid w:val="00C97FB8"/>
    <w:rsid w:val="00CA66DC"/>
    <w:rsid w:val="00CB2C8E"/>
    <w:rsid w:val="00CB38FE"/>
    <w:rsid w:val="00CB602E"/>
    <w:rsid w:val="00CB73D2"/>
    <w:rsid w:val="00CC3C23"/>
    <w:rsid w:val="00CD1A49"/>
    <w:rsid w:val="00CD2279"/>
    <w:rsid w:val="00CD2E90"/>
    <w:rsid w:val="00CD34CB"/>
    <w:rsid w:val="00CE051D"/>
    <w:rsid w:val="00CE1335"/>
    <w:rsid w:val="00CE3D2A"/>
    <w:rsid w:val="00CE493D"/>
    <w:rsid w:val="00CF07FA"/>
    <w:rsid w:val="00CF0BB2"/>
    <w:rsid w:val="00CF3EE8"/>
    <w:rsid w:val="00CF48E0"/>
    <w:rsid w:val="00D050E6"/>
    <w:rsid w:val="00D05B51"/>
    <w:rsid w:val="00D13441"/>
    <w:rsid w:val="00D150E7"/>
    <w:rsid w:val="00D25F90"/>
    <w:rsid w:val="00D32F1C"/>
    <w:rsid w:val="00D32F65"/>
    <w:rsid w:val="00D341C4"/>
    <w:rsid w:val="00D51EB2"/>
    <w:rsid w:val="00D52DC2"/>
    <w:rsid w:val="00D53BCC"/>
    <w:rsid w:val="00D554E0"/>
    <w:rsid w:val="00D57A02"/>
    <w:rsid w:val="00D702DE"/>
    <w:rsid w:val="00D70DFB"/>
    <w:rsid w:val="00D73C22"/>
    <w:rsid w:val="00D766DF"/>
    <w:rsid w:val="00D7714C"/>
    <w:rsid w:val="00D8574B"/>
    <w:rsid w:val="00D86A74"/>
    <w:rsid w:val="00D86DB2"/>
    <w:rsid w:val="00DA186E"/>
    <w:rsid w:val="00DA4116"/>
    <w:rsid w:val="00DA4981"/>
    <w:rsid w:val="00DB251C"/>
    <w:rsid w:val="00DB38AD"/>
    <w:rsid w:val="00DB4630"/>
    <w:rsid w:val="00DC4445"/>
    <w:rsid w:val="00DC4F88"/>
    <w:rsid w:val="00DC7869"/>
    <w:rsid w:val="00DC7D41"/>
    <w:rsid w:val="00DD75EA"/>
    <w:rsid w:val="00DE0FC8"/>
    <w:rsid w:val="00DE7775"/>
    <w:rsid w:val="00DE79F9"/>
    <w:rsid w:val="00DF189C"/>
    <w:rsid w:val="00DF631D"/>
    <w:rsid w:val="00E009E2"/>
    <w:rsid w:val="00E05358"/>
    <w:rsid w:val="00E05704"/>
    <w:rsid w:val="00E06CC3"/>
    <w:rsid w:val="00E11D45"/>
    <w:rsid w:val="00E11E44"/>
    <w:rsid w:val="00E13AFA"/>
    <w:rsid w:val="00E14AAB"/>
    <w:rsid w:val="00E17E6B"/>
    <w:rsid w:val="00E202D9"/>
    <w:rsid w:val="00E2168B"/>
    <w:rsid w:val="00E21F03"/>
    <w:rsid w:val="00E338EF"/>
    <w:rsid w:val="00E40FF8"/>
    <w:rsid w:val="00E4343D"/>
    <w:rsid w:val="00E4710F"/>
    <w:rsid w:val="00E51C46"/>
    <w:rsid w:val="00E544BB"/>
    <w:rsid w:val="00E550EA"/>
    <w:rsid w:val="00E563D7"/>
    <w:rsid w:val="00E578EC"/>
    <w:rsid w:val="00E60423"/>
    <w:rsid w:val="00E662CB"/>
    <w:rsid w:val="00E70871"/>
    <w:rsid w:val="00E74DC7"/>
    <w:rsid w:val="00E76CAD"/>
    <w:rsid w:val="00E77A37"/>
    <w:rsid w:val="00E8075A"/>
    <w:rsid w:val="00E8162F"/>
    <w:rsid w:val="00E818A6"/>
    <w:rsid w:val="00E94D5E"/>
    <w:rsid w:val="00EA7100"/>
    <w:rsid w:val="00EA7F9F"/>
    <w:rsid w:val="00EB011E"/>
    <w:rsid w:val="00EB0E70"/>
    <w:rsid w:val="00EB1274"/>
    <w:rsid w:val="00EC4757"/>
    <w:rsid w:val="00EC7EDB"/>
    <w:rsid w:val="00ED2BB6"/>
    <w:rsid w:val="00ED34E1"/>
    <w:rsid w:val="00ED3B8D"/>
    <w:rsid w:val="00EE7319"/>
    <w:rsid w:val="00EF2E3A"/>
    <w:rsid w:val="00F0195E"/>
    <w:rsid w:val="00F02A7C"/>
    <w:rsid w:val="00F02EF9"/>
    <w:rsid w:val="00F04EFF"/>
    <w:rsid w:val="00F072A7"/>
    <w:rsid w:val="00F078DC"/>
    <w:rsid w:val="00F14593"/>
    <w:rsid w:val="00F168E2"/>
    <w:rsid w:val="00F171A1"/>
    <w:rsid w:val="00F24FCA"/>
    <w:rsid w:val="00F32BA8"/>
    <w:rsid w:val="00F34782"/>
    <w:rsid w:val="00F349F1"/>
    <w:rsid w:val="00F36BD4"/>
    <w:rsid w:val="00F4215A"/>
    <w:rsid w:val="00F4350D"/>
    <w:rsid w:val="00F50532"/>
    <w:rsid w:val="00F52307"/>
    <w:rsid w:val="00F567F7"/>
    <w:rsid w:val="00F61B09"/>
    <w:rsid w:val="00F62036"/>
    <w:rsid w:val="00F6465E"/>
    <w:rsid w:val="00F65B52"/>
    <w:rsid w:val="00F67BCA"/>
    <w:rsid w:val="00F71A05"/>
    <w:rsid w:val="00F73BD6"/>
    <w:rsid w:val="00F76EAA"/>
    <w:rsid w:val="00F81804"/>
    <w:rsid w:val="00F82322"/>
    <w:rsid w:val="00F82FB9"/>
    <w:rsid w:val="00F83989"/>
    <w:rsid w:val="00F85099"/>
    <w:rsid w:val="00F855EF"/>
    <w:rsid w:val="00F9379C"/>
    <w:rsid w:val="00F9632C"/>
    <w:rsid w:val="00FA1E52"/>
    <w:rsid w:val="00FA31DE"/>
    <w:rsid w:val="00FA7D17"/>
    <w:rsid w:val="00FB515E"/>
    <w:rsid w:val="00FC0BB5"/>
    <w:rsid w:val="00FC3EB8"/>
    <w:rsid w:val="00FC7D25"/>
    <w:rsid w:val="00FD134E"/>
    <w:rsid w:val="00FD2112"/>
    <w:rsid w:val="00FE1BD9"/>
    <w:rsid w:val="00FE307B"/>
    <w:rsid w:val="00FE4688"/>
    <w:rsid w:val="00FE72D6"/>
    <w:rsid w:val="00FE79D0"/>
    <w:rsid w:val="00FF363F"/>
    <w:rsid w:val="00FF50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0E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semiHidden/>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styleId="FollowedHyperlink">
    <w:name w:val="FollowedHyperlink"/>
    <w:uiPriority w:val="99"/>
    <w:semiHidden/>
    <w:unhideWhenUsed/>
    <w:rsid w:val="00F52307"/>
    <w:rPr>
      <w:color w:val="800080"/>
      <w:u w:val="single"/>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Default">
    <w:name w:val="Default"/>
    <w:rsid w:val="00DA4981"/>
    <w:pPr>
      <w:autoSpaceDE w:val="0"/>
      <w:autoSpaceDN w:val="0"/>
      <w:adjustRightInd w:val="0"/>
    </w:pPr>
    <w:rPr>
      <w:rFonts w:ascii="Arial" w:eastAsia="Times New Roman" w:hAnsi="Arial" w:cs="Arial"/>
      <w:color w:val="000000"/>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link w:val="LI-SectionsubsubsubparaI"/>
    <w:rsid w:val="003528DA"/>
    <w:rPr>
      <w:rFonts w:eastAsia="Times New Roman"/>
      <w:sz w:val="24"/>
      <w:szCs w:val="24"/>
    </w:rPr>
  </w:style>
  <w:style w:type="character" w:styleId="CommentReference">
    <w:name w:val="annotation reference"/>
    <w:unhideWhenUsed/>
    <w:rsid w:val="00D702DE"/>
    <w:rPr>
      <w:sz w:val="16"/>
      <w:szCs w:val="16"/>
    </w:rPr>
  </w:style>
  <w:style w:type="paragraph" w:styleId="CommentText">
    <w:name w:val="annotation text"/>
    <w:basedOn w:val="Normal"/>
    <w:link w:val="CommentTextChar"/>
    <w:unhideWhenUsed/>
    <w:rsid w:val="00D702DE"/>
    <w:rPr>
      <w:sz w:val="20"/>
    </w:rPr>
  </w:style>
  <w:style w:type="character" w:customStyle="1" w:styleId="CommentTextChar">
    <w:name w:val="Comment Text Char"/>
    <w:link w:val="CommentText"/>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link w:val="LI-Header"/>
    <w:rsid w:val="0040053F"/>
    <w:rPr>
      <w:i/>
      <w:sz w:val="18"/>
      <w:lang w:eastAsia="en-US"/>
    </w:rPr>
  </w:style>
  <w:style w:type="paragraph" w:customStyle="1" w:styleId="MIRNote">
    <w:name w:val="MIR Note"/>
    <w:basedOn w:val="Normal"/>
    <w:link w:val="MIRNoteChar"/>
    <w:qFormat/>
    <w:rsid w:val="007C55C8"/>
    <w:pPr>
      <w:spacing w:before="200" w:line="240" w:lineRule="atLeast"/>
      <w:ind w:left="1701"/>
    </w:pPr>
    <w:rPr>
      <w:rFonts w:eastAsia="Times New Roman"/>
      <w:sz w:val="18"/>
      <w:szCs w:val="22"/>
      <w:lang w:eastAsia="en-AU"/>
    </w:rPr>
  </w:style>
  <w:style w:type="character" w:customStyle="1" w:styleId="LI-SubtitleChar">
    <w:name w:val="LI - Subtitle Char"/>
    <w:link w:val="LI-Subtitle"/>
    <w:rsid w:val="00243EC0"/>
    <w:rPr>
      <w:b/>
      <w:sz w:val="28"/>
      <w:szCs w:val="28"/>
    </w:rPr>
  </w:style>
  <w:style w:type="character" w:customStyle="1" w:styleId="MIRNoteChar">
    <w:name w:val="MIR Note Char"/>
    <w:link w:val="MIRNote"/>
    <w:rsid w:val="007C55C8"/>
    <w:rPr>
      <w:rFonts w:eastAsia="Times New Roman"/>
      <w:sz w:val="18"/>
      <w:szCs w:val="22"/>
    </w:rPr>
  </w:style>
  <w:style w:type="paragraph" w:customStyle="1" w:styleId="tbltext">
    <w:name w:val="tbl text"/>
    <w:basedOn w:val="Normal"/>
    <w:rsid w:val="00D8574B"/>
    <w:pPr>
      <w:widowControl w:val="0"/>
      <w:spacing w:before="120" w:line="240" w:lineRule="atLeast"/>
    </w:pPr>
    <w:rPr>
      <w:rFonts w:ascii="Arial" w:eastAsia="Times New Roman" w:hAnsi="Arial" w:cs="Arial"/>
      <w:sz w:val="18"/>
      <w:szCs w:val="18"/>
      <w:lang w:eastAsia="en-AU"/>
    </w:rPr>
  </w:style>
  <w:style w:type="paragraph" w:customStyle="1" w:styleId="tablehead">
    <w:name w:val="table head"/>
    <w:basedOn w:val="Normal"/>
    <w:rsid w:val="00D8574B"/>
    <w:pPr>
      <w:keepNext/>
      <w:spacing w:before="120" w:line="240" w:lineRule="atLeast"/>
    </w:pPr>
    <w:rPr>
      <w:rFonts w:ascii="Arial" w:eastAsia="Times New Roman" w:hAnsi="Arial" w:cs="Arial"/>
      <w:b/>
      <w:sz w:val="18"/>
      <w:szCs w:val="18"/>
      <w:lang w:eastAsia="en-AU"/>
    </w:rPr>
  </w:style>
  <w:style w:type="paragraph" w:customStyle="1" w:styleId="LI-Notestableheader">
    <w:name w:val="LI - Notes table header"/>
    <w:rsid w:val="00774723"/>
    <w:pPr>
      <w:spacing w:before="60" w:after="60"/>
    </w:pPr>
    <w:rPr>
      <w:rFonts w:eastAsia="Times New Roman"/>
      <w:b/>
      <w:bCs/>
      <w:sz w:val="18"/>
      <w:szCs w:val="16"/>
      <w:lang w:eastAsia="en-US"/>
    </w:rPr>
  </w:style>
  <w:style w:type="paragraph" w:customStyle="1" w:styleId="LI-Notestabletext">
    <w:name w:val="LI - Notes table text"/>
    <w:rsid w:val="00774723"/>
    <w:pPr>
      <w:spacing w:before="60" w:after="120"/>
    </w:pPr>
    <w:rPr>
      <w:rFonts w:eastAsia="Times New Roman"/>
      <w:sz w:val="18"/>
      <w:lang w:eastAsia="en-US"/>
    </w:rPr>
  </w:style>
  <w:style w:type="paragraph" w:customStyle="1" w:styleId="li-bodytextnumbered0">
    <w:name w:val="li-bodytextnumbered"/>
    <w:basedOn w:val="Normal"/>
    <w:rsid w:val="00341F04"/>
    <w:pPr>
      <w:spacing w:before="100" w:beforeAutospacing="1" w:after="100" w:afterAutospacing="1" w:line="240" w:lineRule="auto"/>
    </w:pPr>
    <w:rPr>
      <w:rFonts w:eastAsia="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98404">
      <w:bodyDiv w:val="1"/>
      <w:marLeft w:val="0"/>
      <w:marRight w:val="0"/>
      <w:marTop w:val="0"/>
      <w:marBottom w:val="0"/>
      <w:divBdr>
        <w:top w:val="none" w:sz="0" w:space="0" w:color="auto"/>
        <w:left w:val="none" w:sz="0" w:space="0" w:color="auto"/>
        <w:bottom w:val="none" w:sz="0" w:space="0" w:color="auto"/>
        <w:right w:val="none" w:sz="0" w:space="0" w:color="auto"/>
      </w:divBdr>
    </w:div>
    <w:div w:id="429010179">
      <w:bodyDiv w:val="1"/>
      <w:marLeft w:val="0"/>
      <w:marRight w:val="0"/>
      <w:marTop w:val="0"/>
      <w:marBottom w:val="0"/>
      <w:divBdr>
        <w:top w:val="none" w:sz="0" w:space="0" w:color="auto"/>
        <w:left w:val="none" w:sz="0" w:space="0" w:color="auto"/>
        <w:bottom w:val="none" w:sz="0" w:space="0" w:color="auto"/>
        <w:right w:val="none" w:sz="0" w:space="0" w:color="auto"/>
      </w:divBdr>
    </w:div>
    <w:div w:id="569507946">
      <w:bodyDiv w:val="1"/>
      <w:marLeft w:val="0"/>
      <w:marRight w:val="0"/>
      <w:marTop w:val="0"/>
      <w:marBottom w:val="0"/>
      <w:divBdr>
        <w:top w:val="none" w:sz="0" w:space="0" w:color="auto"/>
        <w:left w:val="none" w:sz="0" w:space="0" w:color="auto"/>
        <w:bottom w:val="none" w:sz="0" w:space="0" w:color="auto"/>
        <w:right w:val="none" w:sz="0" w:space="0" w:color="auto"/>
      </w:divBdr>
    </w:div>
    <w:div w:id="591594464">
      <w:bodyDiv w:val="1"/>
      <w:marLeft w:val="0"/>
      <w:marRight w:val="0"/>
      <w:marTop w:val="0"/>
      <w:marBottom w:val="0"/>
      <w:divBdr>
        <w:top w:val="none" w:sz="0" w:space="0" w:color="auto"/>
        <w:left w:val="none" w:sz="0" w:space="0" w:color="auto"/>
        <w:bottom w:val="none" w:sz="0" w:space="0" w:color="auto"/>
        <w:right w:val="none" w:sz="0" w:space="0" w:color="auto"/>
      </w:divBdr>
    </w:div>
    <w:div w:id="657195411">
      <w:bodyDiv w:val="1"/>
      <w:marLeft w:val="0"/>
      <w:marRight w:val="0"/>
      <w:marTop w:val="0"/>
      <w:marBottom w:val="0"/>
      <w:divBdr>
        <w:top w:val="none" w:sz="0" w:space="0" w:color="auto"/>
        <w:left w:val="none" w:sz="0" w:space="0" w:color="auto"/>
        <w:bottom w:val="none" w:sz="0" w:space="0" w:color="auto"/>
        <w:right w:val="none" w:sz="0" w:space="0" w:color="auto"/>
      </w:divBdr>
    </w:div>
    <w:div w:id="103384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durnford\AppData\Local\Microsoft\Windows\Temporary%20Internet%20Files\Content.MSO\685D7D5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ers xmlns="17f478ab-373e-4295-9ff0-9b833ad01319">
      <UserInfo>
        <DisplayName/>
        <AccountId xsi:nil="true"/>
        <AccountType/>
      </UserInfo>
    </Approvers>
    <NotesLinks xmlns="da7a9ac0-bc47-4684-84e6-3a8e9ac80c12" xsi:nil="true"/>
    <SignificantFlag xmlns="da7a9ac0-bc47-4684-84e6-3a8e9ac80c12">false</SignificantFlag>
    <ObjectiveID xmlns="da7a9ac0-bc47-4684-84e6-3a8e9ac80c12" xsi:nil="true"/>
    <ded95d7ab059406991d558011d18c177 xmlns="da7a9ac0-bc47-4684-84e6-3a8e9ac80c12" xsi:nil="true"/>
    <RecordNumber xmlns="da7a9ac0-bc47-4684-84e6-3a8e9ac80c12">R20200000236564</RecordNumber>
    <SenateOrder12 xmlns="da7a9ac0-bc47-4684-84e6-3a8e9ac80c12">false</SenateOrder12>
    <SignificantReason xmlns="da7a9ac0-bc47-4684-84e6-3a8e9ac80c12" xsi:nil="true"/>
    <Reviewers xmlns="17f478ab-373e-4295-9ff0-9b833ad01319">
      <UserInfo>
        <DisplayName/>
        <AccountId xsi:nil="true"/>
        <AccountType/>
      </UserInfo>
    </Reviewers>
    <TaxCatchAll xmlns="d55e466c-e257-42b7-af3f-f584605a6fd4">
      <Value>7</Value>
    </TaxCatchAll>
    <IconOverlay xmlns="http://schemas.microsoft.com/sharepoint/v4" xsi:nil="true"/>
    <mc5dcfca2dad40d78eb8b343c8184374 xmlns="d55e466c-e257-42b7-af3f-f584605a6fd4">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mc5dcfca2dad40d78eb8b343c8184374>
  </documentManagement>
</p:properti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4E00FEAE5848C748A3E264C28CE8DB68" ma:contentTypeVersion="27" ma:contentTypeDescription="" ma:contentTypeScope="" ma:versionID="54aae5b5e727314c6b9d56d826aa8b3f">
  <xsd:schema xmlns:xsd="http://www.w3.org/2001/XMLSchema" xmlns:xs="http://www.w3.org/2001/XMLSchema" xmlns:p="http://schemas.microsoft.com/office/2006/metadata/properties" xmlns:ns2="da7a9ac0-bc47-4684-84e6-3a8e9ac80c12" xmlns:ns3="d55e466c-e257-42b7-af3f-f584605a6fd4" xmlns:ns5="17f478ab-373e-4295-9ff0-9b833ad01319" xmlns:ns6="http://schemas.microsoft.com/sharepoint/v4" targetNamespace="http://schemas.microsoft.com/office/2006/metadata/properties" ma:root="true" ma:fieldsID="7425f0fad0d5da90e3d7f1d98c7d8ccb" ns2:_="" ns3:_="" ns5:_="" ns6:_="">
    <xsd:import namespace="da7a9ac0-bc47-4684-84e6-3a8e9ac80c12"/>
    <xsd:import namespace="d55e466c-e257-42b7-af3f-f584605a6fd4"/>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mc5dcfca2dad40d78eb8b343c8184374"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9"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e466c-e257-42b7-af3f-f584605a6fd4"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c357850-9c06-4cc3-86ac-129493cdbaef}" ma:internalName="TaxCatchAll" ma:showField="CatchAllData" ma:web="d55e466c-e257-42b7-af3f-f584605a6fd4">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c357850-9c06-4cc3-86ac-129493cdbaef}" ma:internalName="TaxCatchAllLabel" ma:readOnly="true" ma:showField="CatchAllDataLabel" ma:web="d55e466c-e257-42b7-af3f-f584605a6fd4">
      <xsd:complexType>
        <xsd:complexContent>
          <xsd:extension base="dms:MultiChoiceLookup">
            <xsd:sequence>
              <xsd:element name="Value" type="dms:Lookup" maxOccurs="unbounded" minOccurs="0" nillable="true"/>
            </xsd:sequence>
          </xsd:extension>
        </xsd:complexContent>
      </xsd:complexType>
    </xsd:element>
    <xsd:element name="mc5dcfca2dad40d78eb8b343c8184374" ma:index="17" ma:taxonomy="true" ma:internalName="mc5dcfca2dad40d78eb8b343c8184374" ma:taxonomyFieldName="SecurityClassification" ma:displayName="Security Classification" ma:default="7;#Sensitive|19fd2cb8-3e97-4464-ae71-8c2c2095d028" ma:fieldId="{6c5dcfca-2dad-40d7-8eb8-b343c8184374}"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4746D-FB95-4E25-9CB7-B829861B5834}">
  <ds:schemaRefs>
    <ds:schemaRef ds:uri="http://schemas.microsoft.com/sharepoint/v3/contenttype/forms"/>
  </ds:schemaRefs>
</ds:datastoreItem>
</file>

<file path=customXml/itemProps2.xml><?xml version="1.0" encoding="utf-8"?>
<ds:datastoreItem xmlns:ds="http://schemas.openxmlformats.org/officeDocument/2006/customXml" ds:itemID="{5D043897-8C32-449B-A574-0E86AB78506F}">
  <ds:schemaRefs>
    <ds:schemaRef ds:uri="17f478ab-373e-4295-9ff0-9b833ad01319"/>
    <ds:schemaRef ds:uri="http://www.w3.org/XML/1998/namespace"/>
    <ds:schemaRef ds:uri="http://purl.org/dc/dcmitype/"/>
    <ds:schemaRef ds:uri="d55e466c-e257-42b7-af3f-f584605a6fd4"/>
    <ds:schemaRef ds:uri="http://schemas.microsoft.com/sharepoint/v4"/>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da7a9ac0-bc47-4684-84e6-3a8e9ac80c12"/>
  </ds:schemaRefs>
</ds:datastoreItem>
</file>

<file path=customXml/itemProps3.xml><?xml version="1.0" encoding="utf-8"?>
<ds:datastoreItem xmlns:ds="http://schemas.openxmlformats.org/officeDocument/2006/customXml" ds:itemID="{CCBB1EF8-AD74-4DF8-9334-15AD563AF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d55e466c-e257-42b7-af3f-f584605a6fd4"/>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517DF-01E8-4083-9D4A-FB1096CD3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685D7D57.dotm</Template>
  <TotalTime>0</TotalTime>
  <Pages>21</Pages>
  <Words>5091</Words>
  <Characters>29021</Characters>
  <Application>Microsoft Office Word</Application>
  <DocSecurity>4</DocSecurity>
  <PresentationFormat/>
  <Lines>241</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34044</CharactersWithSpaces>
  <SharedDoc>false</SharedDoc>
  <HyperlinkBase/>
  <HLinks>
    <vt:vector size="6" baseType="variant">
      <vt:variant>
        <vt:i4>6160468</vt:i4>
      </vt:variant>
      <vt:variant>
        <vt:i4>51</vt:i4>
      </vt:variant>
      <vt:variant>
        <vt:i4>0</vt:i4>
      </vt:variant>
      <vt:variant>
        <vt:i4>5</vt:i4>
      </vt:variant>
      <vt:variant>
        <vt:lpwstr>http://www.comlaw.gov.au/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2014-06-13T05:38:00Z</cp:lastPrinted>
  <dcterms:created xsi:type="dcterms:W3CDTF">2020-04-16T00:04:00Z</dcterms:created>
  <dcterms:modified xsi:type="dcterms:W3CDTF">2020-04-16T00:04:00Z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A4604751</vt:lpwstr>
  </property>
  <property fmtid="{D5CDD505-2E9C-101B-9397-08002B2CF9AE}" pid="20" name="Objective-Title">
    <vt:lpwstr>FINAL ASIC Corporations (Derivative Transaction Reporting Exemption) Instrument 2015-844</vt:lpwstr>
  </property>
  <property fmtid="{D5CDD505-2E9C-101B-9397-08002B2CF9AE}" pid="21" name="Objective-Comment">
    <vt:lpwstr/>
  </property>
  <property fmtid="{D5CDD505-2E9C-101B-9397-08002B2CF9AE}" pid="22" name="Objective-CreationStamp">
    <vt:filetime>2015-09-17T23:47:27Z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2015-09-18T01:19:46Z</vt:filetime>
  </property>
  <property fmtid="{D5CDD505-2E9C-101B-9397-08002B2CF9AE}" pid="27" name="Objective-Owner">
    <vt:lpwstr>Hui-xian.Chong</vt:lpwstr>
  </property>
  <property fmtid="{D5CDD505-2E9C-101B-9397-08002B2CF9AE}" pid="28" name="Objective-Path">
    <vt:lpwstr>BCS:ASIC:POLICY &amp; REGULATORY FRAMEWORK:Policy Development:Markets:G20 OTC Derivative Reforms:Trade reporting (DTRs):Relief Applications:AFMA-ISDA Industry Relief 2015:</vt:lpwstr>
  </property>
  <property fmtid="{D5CDD505-2E9C-101B-9397-08002B2CF9AE}" pid="29" name="Objective-Parent">
    <vt:lpwstr>AFMA-ISDA Industry Relief 2015</vt:lpwstr>
  </property>
  <property fmtid="{D5CDD505-2E9C-101B-9397-08002B2CF9AE}" pid="30" name="Objective-State">
    <vt:lpwstr>Being Drafted</vt:lpwstr>
  </property>
  <property fmtid="{D5CDD505-2E9C-101B-9397-08002B2CF9AE}" pid="31" name="Objective-Version">
    <vt:lpwstr>0.3</vt:lpwstr>
  </property>
  <property fmtid="{D5CDD505-2E9C-101B-9397-08002B2CF9AE}" pid="32" name="Objective-VersionNumber">
    <vt:i4>3</vt:i4>
  </property>
  <property fmtid="{D5CDD505-2E9C-101B-9397-08002B2CF9AE}" pid="33" name="Objective-VersionComment">
    <vt:lpwstr/>
  </property>
  <property fmtid="{D5CDD505-2E9C-101B-9397-08002B2CF9AE}" pid="34" name="Objective-FileNumber">
    <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ContentTypeId">
    <vt:lpwstr>0x010100B5F685A1365F544391EF8C813B164F3A004E00FEAE5848C748A3E264C28CE8DB68</vt:lpwstr>
  </property>
  <property fmtid="{D5CDD505-2E9C-101B-9397-08002B2CF9AE}" pid="39" name="SecurityClassification">
    <vt:lpwstr>7;#Sensitive|19fd2cb8-3e97-4464-ae71-8c2c2095d028</vt:lpwstr>
  </property>
  <property fmtid="{D5CDD505-2E9C-101B-9397-08002B2CF9AE}" pid="40" name="RecordPoint_WorkflowType">
    <vt:lpwstr>ActiveSubmitStub</vt:lpwstr>
  </property>
  <property fmtid="{D5CDD505-2E9C-101B-9397-08002B2CF9AE}" pid="41" name="RecordPoint_ActiveItemUniqueId">
    <vt:lpwstr>{b058f13e-bd11-4cf2-83e4-dee51eaadc7e}</vt:lpwstr>
  </property>
  <property fmtid="{D5CDD505-2E9C-101B-9397-08002B2CF9AE}" pid="42" name="RecordPoint_ActiveItemWebId">
    <vt:lpwstr>{d55e466c-e257-42b7-af3f-f584605a6fd4}</vt:lpwstr>
  </property>
  <property fmtid="{D5CDD505-2E9C-101B-9397-08002B2CF9AE}" pid="43" name="RecordPoint_ActiveItemSiteId">
    <vt:lpwstr>{a76b1441-a4b2-4523-a4ea-86530e62f87b}</vt:lpwstr>
  </property>
  <property fmtid="{D5CDD505-2E9C-101B-9397-08002B2CF9AE}" pid="44" name="RecordPoint_ActiveItemListId">
    <vt:lpwstr>{bd6d7009-6881-4d8b-9f28-e9df1cee7a07}</vt:lpwstr>
  </property>
  <property fmtid="{D5CDD505-2E9C-101B-9397-08002B2CF9AE}" pid="45" name="RecordPoint_RecordNumberSubmitted">
    <vt:lpwstr>R20200000236564</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IconOverlay">
    <vt:lpwstr/>
  </property>
  <property fmtid="{D5CDD505-2E9C-101B-9397-08002B2CF9AE}" pid="50" name="RecordPoint_SubmissionCompleted">
    <vt:lpwstr>2020-04-16T10:35:53.7657578+10:00</vt:lpwstr>
  </property>
</Properties>
</file>