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022D" w:rsidRPr="00DC022D" w:rsidRDefault="00DC022D" w:rsidP="00DC022D">
      <w:pPr>
        <w:rPr>
          <w:rFonts w:ascii="Times New Roman" w:hAnsi="Times New Roman"/>
          <w:sz w:val="24"/>
          <w:szCs w:val="20"/>
          <w:lang w:eastAsia="en-AU"/>
        </w:rPr>
      </w:pPr>
      <w:bookmarkStart w:id="0" w:name="_GoBack"/>
      <w:bookmarkEnd w:id="0"/>
    </w:p>
    <w:p w:rsidR="00181A95" w:rsidRDefault="00181A95" w:rsidP="00DC022D">
      <w:pPr>
        <w:spacing w:before="240"/>
        <w:rPr>
          <w:b/>
        </w:rPr>
      </w:pPr>
      <w:bookmarkStart w:id="1" w:name="bkDocumentTitle"/>
      <w:bookmarkStart w:id="2" w:name="bkActName"/>
      <w:bookmarkStart w:id="3" w:name="bkAddressee"/>
      <w:bookmarkEnd w:id="1"/>
      <w:bookmarkEnd w:id="2"/>
      <w:bookmarkEnd w:id="3"/>
    </w:p>
    <w:p w:rsidR="00181A95" w:rsidRPr="00D355C9" w:rsidRDefault="00181A95" w:rsidP="00181A95">
      <w:pPr>
        <w:pStyle w:val="Heading"/>
        <w:spacing w:before="120"/>
        <w:jc w:val="center"/>
        <w:rPr>
          <w:rFonts w:ascii="Times New Roman" w:hAnsi="Times New Roman"/>
          <w:sz w:val="22"/>
        </w:rPr>
      </w:pPr>
      <w:r w:rsidRPr="00D355C9">
        <w:rPr>
          <w:rFonts w:ascii="Times New Roman" w:hAnsi="Times New Roman"/>
          <w:sz w:val="22"/>
        </w:rPr>
        <w:t>Superannuation Industry (Supervision) modification declaration No. 1</w:t>
      </w:r>
      <w:r w:rsidR="00932557">
        <w:rPr>
          <w:rFonts w:ascii="Times New Roman" w:hAnsi="Times New Roman"/>
          <w:sz w:val="22"/>
        </w:rPr>
        <w:t xml:space="preserve"> of 2015</w:t>
      </w:r>
    </w:p>
    <w:p w:rsidR="00181A95" w:rsidRPr="00D355C9" w:rsidRDefault="00181A95" w:rsidP="00181A95">
      <w:pPr>
        <w:pStyle w:val="Heading"/>
        <w:tabs>
          <w:tab w:val="left" w:pos="360"/>
        </w:tabs>
        <w:spacing w:before="120"/>
        <w:jc w:val="center"/>
        <w:rPr>
          <w:rFonts w:ascii="Times New Roman" w:hAnsi="Times New Roman"/>
          <w:sz w:val="22"/>
          <w:u w:val="single"/>
        </w:rPr>
      </w:pPr>
      <w:bookmarkStart w:id="4" w:name="bkInstrumentSubTitle"/>
      <w:bookmarkEnd w:id="4"/>
      <w:r w:rsidRPr="00D355C9">
        <w:rPr>
          <w:rFonts w:ascii="Times New Roman" w:hAnsi="Times New Roman"/>
          <w:sz w:val="22"/>
          <w:u w:val="single"/>
        </w:rPr>
        <w:t>EXPLANATORY STATEMENT</w:t>
      </w:r>
    </w:p>
    <w:p w:rsidR="00181A95" w:rsidRPr="00D355C9" w:rsidRDefault="00181A95" w:rsidP="00181A95">
      <w:pPr>
        <w:pStyle w:val="Heading"/>
        <w:spacing w:before="120"/>
        <w:jc w:val="center"/>
        <w:rPr>
          <w:rFonts w:ascii="Times New Roman" w:hAnsi="Times New Roman"/>
          <w:sz w:val="22"/>
        </w:rPr>
      </w:pPr>
      <w:r w:rsidRPr="00D355C9">
        <w:rPr>
          <w:rFonts w:ascii="Times New Roman" w:hAnsi="Times New Roman"/>
          <w:sz w:val="22"/>
        </w:rPr>
        <w:t>Prepared by the Australian Prudential Regulation Authority (APRA)</w:t>
      </w:r>
    </w:p>
    <w:p w:rsidR="003820CD" w:rsidRDefault="00181A95" w:rsidP="00C5123C">
      <w:pPr>
        <w:pStyle w:val="Heading"/>
        <w:tabs>
          <w:tab w:val="left" w:pos="360"/>
        </w:tabs>
        <w:spacing w:before="120" w:after="240"/>
        <w:jc w:val="center"/>
        <w:rPr>
          <w:rFonts w:ascii="Times New Roman" w:hAnsi="Times New Roman"/>
          <w:b w:val="0"/>
          <w:color w:val="000000"/>
          <w:sz w:val="22"/>
        </w:rPr>
      </w:pPr>
      <w:r w:rsidRPr="00D355C9">
        <w:rPr>
          <w:rFonts w:ascii="Times New Roman" w:hAnsi="Times New Roman"/>
          <w:b w:val="0"/>
          <w:i/>
          <w:sz w:val="22"/>
        </w:rPr>
        <w:t>Superannuation Industry (Supervision) Act 1993</w:t>
      </w:r>
      <w:r w:rsidRPr="00D355C9">
        <w:rPr>
          <w:rFonts w:ascii="Times New Roman" w:hAnsi="Times New Roman"/>
          <w:b w:val="0"/>
          <w:sz w:val="22"/>
        </w:rPr>
        <w:t xml:space="preserve">, </w:t>
      </w:r>
      <w:r w:rsidRPr="00D355C9">
        <w:rPr>
          <w:rFonts w:ascii="Times New Roman" w:hAnsi="Times New Roman"/>
          <w:b w:val="0"/>
          <w:color w:val="000000"/>
          <w:sz w:val="22"/>
        </w:rPr>
        <w:t>section 332</w:t>
      </w:r>
    </w:p>
    <w:p w:rsidR="00181A95" w:rsidRDefault="003820CD" w:rsidP="00C5123C">
      <w:pPr>
        <w:pStyle w:val="Heading"/>
        <w:tabs>
          <w:tab w:val="left" w:pos="360"/>
        </w:tabs>
        <w:spacing w:before="120" w:after="240"/>
        <w:rPr>
          <w:rFonts w:ascii="Times New Roman" w:hAnsi="Times New Roman"/>
          <w:b w:val="0"/>
          <w:sz w:val="22"/>
          <w:szCs w:val="22"/>
        </w:rPr>
      </w:pPr>
      <w:r w:rsidRPr="00C5123C">
        <w:rPr>
          <w:rFonts w:ascii="Times New Roman" w:hAnsi="Times New Roman"/>
          <w:b w:val="0"/>
          <w:sz w:val="22"/>
          <w:szCs w:val="22"/>
        </w:rPr>
        <w:t xml:space="preserve">Under section 332 of the </w:t>
      </w:r>
      <w:r w:rsidRPr="00C5123C">
        <w:rPr>
          <w:rFonts w:ascii="Times New Roman" w:hAnsi="Times New Roman"/>
          <w:b w:val="0"/>
          <w:i/>
          <w:sz w:val="22"/>
          <w:szCs w:val="22"/>
        </w:rPr>
        <w:t>Superannuation Industry (Superannuation) Act 1993</w:t>
      </w:r>
      <w:r w:rsidRPr="00C5123C">
        <w:rPr>
          <w:rFonts w:ascii="Times New Roman" w:hAnsi="Times New Roman"/>
          <w:b w:val="0"/>
          <w:sz w:val="22"/>
          <w:szCs w:val="22"/>
        </w:rPr>
        <w:t xml:space="preserve"> (the Act), APRA may, in writing, declare that a modifiable provision is to have effect, as if it were modified as specified in the declaration, in relation to a particular person or class of persons, or a particular group of individual trustees or a class of groups of individual trustees.</w:t>
      </w:r>
      <w:r w:rsidR="00B3407B" w:rsidRPr="00C5123C">
        <w:rPr>
          <w:rFonts w:ascii="Times New Roman" w:hAnsi="Times New Roman"/>
          <w:b w:val="0"/>
          <w:sz w:val="22"/>
          <w:szCs w:val="22"/>
        </w:rPr>
        <w:t xml:space="preserve"> The modifiable provisions</w:t>
      </w:r>
      <w:r w:rsidR="00B3407B" w:rsidRPr="00C5123C">
        <w:rPr>
          <w:rStyle w:val="FootnoteReference"/>
          <w:rFonts w:ascii="Times New Roman" w:hAnsi="Times New Roman"/>
          <w:b w:val="0"/>
          <w:sz w:val="22"/>
          <w:szCs w:val="22"/>
        </w:rPr>
        <w:footnoteReference w:id="1"/>
      </w:r>
      <w:r w:rsidR="00B3407B" w:rsidRPr="00C5123C">
        <w:rPr>
          <w:rFonts w:ascii="Times New Roman" w:hAnsi="Times New Roman"/>
          <w:b w:val="0"/>
          <w:sz w:val="22"/>
          <w:szCs w:val="22"/>
        </w:rPr>
        <w:t xml:space="preserve"> include the operating standards for regulated superannuation funds made under Part 3 of the Act and which are contained in the </w:t>
      </w:r>
      <w:r w:rsidR="00B3407B" w:rsidRPr="00C5123C">
        <w:rPr>
          <w:rFonts w:ascii="Times New Roman" w:hAnsi="Times New Roman"/>
          <w:b w:val="0"/>
          <w:i/>
          <w:sz w:val="22"/>
          <w:szCs w:val="22"/>
        </w:rPr>
        <w:t>Superannuation Industry (Supervision) Regulations 1994</w:t>
      </w:r>
      <w:r w:rsidR="00B3407B" w:rsidRPr="00C5123C">
        <w:rPr>
          <w:rFonts w:ascii="Times New Roman" w:hAnsi="Times New Roman"/>
          <w:b w:val="0"/>
          <w:sz w:val="22"/>
          <w:szCs w:val="22"/>
        </w:rPr>
        <w:t xml:space="preserve"> (the Regulations).</w:t>
      </w:r>
      <w:r w:rsidR="00B3407B" w:rsidRPr="00C5123C">
        <w:rPr>
          <w:rStyle w:val="FootnoteReference"/>
          <w:rFonts w:ascii="Times New Roman" w:hAnsi="Times New Roman"/>
          <w:b w:val="0"/>
          <w:sz w:val="22"/>
          <w:szCs w:val="22"/>
        </w:rPr>
        <w:footnoteReference w:id="2"/>
      </w:r>
      <w:r w:rsidR="00B3407B">
        <w:rPr>
          <w:rFonts w:ascii="Times New Roman" w:hAnsi="Times New Roman"/>
          <w:b w:val="0"/>
          <w:sz w:val="22"/>
          <w:szCs w:val="22"/>
        </w:rPr>
        <w:t xml:space="preserve"> </w:t>
      </w:r>
      <w:r w:rsidR="00B3407B" w:rsidRPr="00B36D4D">
        <w:rPr>
          <w:rFonts w:ascii="Times New Roman" w:hAnsi="Times New Roman"/>
          <w:b w:val="0"/>
          <w:sz w:val="22"/>
          <w:szCs w:val="22"/>
        </w:rPr>
        <w:t xml:space="preserve">Regulation </w:t>
      </w:r>
      <w:r w:rsidR="00B3407B">
        <w:rPr>
          <w:rFonts w:ascii="Times New Roman" w:hAnsi="Times New Roman"/>
          <w:b w:val="0"/>
          <w:sz w:val="22"/>
          <w:szCs w:val="22"/>
        </w:rPr>
        <w:t>5.08</w:t>
      </w:r>
      <w:r w:rsidR="00B3407B" w:rsidRPr="00C5123C">
        <w:rPr>
          <w:rFonts w:ascii="Times New Roman" w:hAnsi="Times New Roman"/>
          <w:b w:val="0"/>
          <w:sz w:val="22"/>
          <w:szCs w:val="22"/>
        </w:rPr>
        <w:t xml:space="preserve"> is an operating standard and therefore a modifiable provision.</w:t>
      </w:r>
    </w:p>
    <w:p w:rsidR="00CE5904" w:rsidRDefault="00CE5904" w:rsidP="00C5123C">
      <w:pPr>
        <w:pStyle w:val="Heading"/>
        <w:tabs>
          <w:tab w:val="left" w:pos="360"/>
        </w:tabs>
        <w:spacing w:before="120" w:after="240"/>
        <w:rPr>
          <w:rFonts w:ascii="Times New Roman" w:hAnsi="Times New Roman"/>
          <w:b w:val="0"/>
          <w:sz w:val="22"/>
          <w:szCs w:val="22"/>
        </w:rPr>
      </w:pPr>
      <w:r>
        <w:rPr>
          <w:rFonts w:ascii="Times New Roman" w:hAnsi="Times New Roman"/>
          <w:b w:val="0"/>
          <w:sz w:val="22"/>
          <w:szCs w:val="22"/>
        </w:rPr>
        <w:t xml:space="preserve">On </w:t>
      </w:r>
      <w:r w:rsidR="00E82796">
        <w:rPr>
          <w:rFonts w:ascii="Times New Roman" w:hAnsi="Times New Roman"/>
          <w:b w:val="0"/>
          <w:sz w:val="22"/>
          <w:szCs w:val="22"/>
        </w:rPr>
        <w:t>2</w:t>
      </w:r>
      <w:r w:rsidR="004D07C2">
        <w:rPr>
          <w:rFonts w:ascii="Times New Roman" w:hAnsi="Times New Roman"/>
          <w:b w:val="0"/>
          <w:sz w:val="22"/>
          <w:szCs w:val="22"/>
        </w:rPr>
        <w:t>3</w:t>
      </w:r>
      <w:r w:rsidR="002818E9" w:rsidRPr="00E82796">
        <w:rPr>
          <w:rFonts w:ascii="Times New Roman" w:hAnsi="Times New Roman"/>
          <w:b w:val="0"/>
          <w:sz w:val="22"/>
          <w:szCs w:val="22"/>
        </w:rPr>
        <w:t xml:space="preserve"> September 2015</w:t>
      </w:r>
      <w:r>
        <w:rPr>
          <w:rFonts w:ascii="Times New Roman" w:hAnsi="Times New Roman"/>
          <w:b w:val="0"/>
          <w:sz w:val="22"/>
          <w:szCs w:val="22"/>
        </w:rPr>
        <w:t xml:space="preserve">, APRA made </w:t>
      </w:r>
      <w:r w:rsidR="002818E9" w:rsidRPr="00C5123C">
        <w:rPr>
          <w:rFonts w:ascii="Times New Roman" w:hAnsi="Times New Roman"/>
          <w:b w:val="0"/>
          <w:sz w:val="22"/>
          <w:szCs w:val="22"/>
        </w:rPr>
        <w:t>Superannuation Industry (Supervision) modification declaration No.</w:t>
      </w:r>
      <w:r w:rsidR="002818E9" w:rsidRPr="00DB07BB">
        <w:rPr>
          <w:rFonts w:ascii="Times New Roman" w:hAnsi="Times New Roman"/>
          <w:b w:val="0"/>
          <w:sz w:val="22"/>
          <w:szCs w:val="22"/>
        </w:rPr>
        <w:t xml:space="preserve"> 1 of 201</w:t>
      </w:r>
      <w:r w:rsidR="002818E9">
        <w:rPr>
          <w:rFonts w:ascii="Times New Roman" w:hAnsi="Times New Roman"/>
          <w:b w:val="0"/>
          <w:sz w:val="22"/>
          <w:szCs w:val="22"/>
        </w:rPr>
        <w:t>5</w:t>
      </w:r>
      <w:r w:rsidR="002818E9" w:rsidRPr="00C5123C">
        <w:rPr>
          <w:rFonts w:ascii="Times New Roman" w:hAnsi="Times New Roman"/>
          <w:b w:val="0"/>
          <w:sz w:val="22"/>
          <w:szCs w:val="22"/>
        </w:rPr>
        <w:t xml:space="preserve"> (the instrument) which modifies regulation</w:t>
      </w:r>
      <w:r w:rsidR="002818E9">
        <w:rPr>
          <w:rFonts w:ascii="Times New Roman" w:hAnsi="Times New Roman"/>
          <w:b w:val="0"/>
          <w:sz w:val="22"/>
          <w:szCs w:val="22"/>
        </w:rPr>
        <w:t xml:space="preserve"> 5.08 of the Regulations. This instrument revokes </w:t>
      </w:r>
      <w:r w:rsidR="00B36D4D">
        <w:rPr>
          <w:rFonts w:ascii="Times New Roman" w:hAnsi="Times New Roman"/>
          <w:b w:val="0"/>
          <w:sz w:val="22"/>
          <w:szCs w:val="22"/>
        </w:rPr>
        <w:t xml:space="preserve">Modification Declaration No 26 made under section 332 of the Act </w:t>
      </w:r>
      <w:r w:rsidR="00292F80">
        <w:rPr>
          <w:rFonts w:ascii="Times New Roman" w:hAnsi="Times New Roman"/>
          <w:b w:val="0"/>
          <w:sz w:val="22"/>
          <w:szCs w:val="22"/>
        </w:rPr>
        <w:t xml:space="preserve">on 22 July 2005 (MD 26). </w:t>
      </w:r>
    </w:p>
    <w:p w:rsidR="000051EB" w:rsidRDefault="000051EB" w:rsidP="00C5123C">
      <w:pPr>
        <w:widowControl w:val="0"/>
        <w:spacing w:after="240"/>
        <w:jc w:val="both"/>
        <w:rPr>
          <w:rFonts w:ascii="Times New Roman" w:hAnsi="Times New Roman"/>
        </w:rPr>
      </w:pPr>
      <w:r>
        <w:rPr>
          <w:rFonts w:ascii="Times New Roman" w:hAnsi="Times New Roman"/>
        </w:rPr>
        <w:t>The instrument applies to all RSE licensees of regulated superannuation funds.</w:t>
      </w:r>
    </w:p>
    <w:p w:rsidR="00181A95" w:rsidRPr="00C5123C" w:rsidRDefault="00292F80" w:rsidP="00C5123C">
      <w:pPr>
        <w:widowControl w:val="0"/>
        <w:spacing w:after="240"/>
        <w:jc w:val="both"/>
        <w:rPr>
          <w:rFonts w:ascii="Times New Roman" w:hAnsi="Times New Roman"/>
        </w:rPr>
      </w:pPr>
      <w:r w:rsidRPr="00D355C9">
        <w:rPr>
          <w:rFonts w:ascii="Times New Roman" w:hAnsi="Times New Roman"/>
        </w:rPr>
        <w:t>The instrument commences upon registration on the Federal Register of Legislative Instruments</w:t>
      </w:r>
      <w:r>
        <w:rPr>
          <w:rFonts w:ascii="Times New Roman" w:hAnsi="Times New Roman"/>
        </w:rPr>
        <w:t xml:space="preserve"> (FRLI)</w:t>
      </w:r>
      <w:r w:rsidRPr="00D355C9">
        <w:rPr>
          <w:rFonts w:ascii="Times New Roman" w:hAnsi="Times New Roman"/>
        </w:rPr>
        <w:t xml:space="preserve">. </w:t>
      </w:r>
    </w:p>
    <w:p w:rsidR="006A1CAC" w:rsidRPr="00C5123C" w:rsidRDefault="006A1CAC" w:rsidP="00C5123C">
      <w:pPr>
        <w:numPr>
          <w:ilvl w:val="0"/>
          <w:numId w:val="14"/>
        </w:numPr>
        <w:ind w:left="425" w:hanging="425"/>
        <w:rPr>
          <w:rFonts w:ascii="Times New Roman" w:hAnsi="Times New Roman"/>
          <w:b/>
        </w:rPr>
      </w:pPr>
      <w:r w:rsidRPr="00C5123C">
        <w:rPr>
          <w:rFonts w:ascii="Times New Roman" w:hAnsi="Times New Roman"/>
          <w:b/>
        </w:rPr>
        <w:t>Background</w:t>
      </w:r>
    </w:p>
    <w:p w:rsidR="00877386" w:rsidRPr="00C5123C" w:rsidRDefault="00877386" w:rsidP="00877386">
      <w:pPr>
        <w:rPr>
          <w:rFonts w:ascii="Times New Roman" w:hAnsi="Times New Roman"/>
          <w:color w:val="000000"/>
        </w:rPr>
      </w:pPr>
    </w:p>
    <w:p w:rsidR="00436521" w:rsidRDefault="00436521" w:rsidP="00436521">
      <w:pPr>
        <w:pStyle w:val="ListParagraph"/>
        <w:ind w:left="0" w:right="283"/>
        <w:jc w:val="both"/>
        <w:rPr>
          <w:rFonts w:ascii="Times New Roman" w:eastAsia="Times New Roman" w:hAnsi="Times New Roman"/>
          <w:color w:val="000000"/>
        </w:rPr>
      </w:pPr>
      <w:r>
        <w:rPr>
          <w:rFonts w:ascii="Times New Roman" w:eastAsia="Times New Roman" w:hAnsi="Times New Roman"/>
          <w:color w:val="000000"/>
        </w:rPr>
        <w:t xml:space="preserve">In May 2004, new and stricter rules </w:t>
      </w:r>
      <w:r w:rsidRPr="00DD5593">
        <w:rPr>
          <w:rFonts w:ascii="Times New Roman" w:eastAsia="Times New Roman" w:hAnsi="Times New Roman"/>
          <w:color w:val="000000"/>
        </w:rPr>
        <w:t>governing the treatment of minimum benef</w:t>
      </w:r>
      <w:r w:rsidR="003011D3">
        <w:rPr>
          <w:rFonts w:ascii="Times New Roman" w:eastAsia="Times New Roman" w:hAnsi="Times New Roman"/>
          <w:color w:val="000000"/>
        </w:rPr>
        <w:t>its were introduced into the</w:t>
      </w:r>
      <w:r w:rsidRPr="00DD5593">
        <w:rPr>
          <w:rFonts w:ascii="Times New Roman" w:eastAsia="Times New Roman" w:hAnsi="Times New Roman"/>
          <w:color w:val="000000"/>
        </w:rPr>
        <w:t xml:space="preserve"> Regulations by the </w:t>
      </w:r>
      <w:r w:rsidRPr="00DD5593">
        <w:rPr>
          <w:rFonts w:ascii="Times New Roman" w:eastAsia="Times New Roman" w:hAnsi="Times New Roman"/>
          <w:i/>
          <w:color w:val="000000"/>
        </w:rPr>
        <w:t>Superannuation Industry (Supervision) Amendment Regulations 2004 (No 2)</w:t>
      </w:r>
      <w:r w:rsidRPr="00DD5593">
        <w:rPr>
          <w:rFonts w:ascii="Times New Roman" w:eastAsia="Times New Roman" w:hAnsi="Times New Roman"/>
          <w:color w:val="000000"/>
        </w:rPr>
        <w:t xml:space="preserve"> (the </w:t>
      </w:r>
      <w:r w:rsidRPr="001F13F6">
        <w:rPr>
          <w:rFonts w:ascii="Times New Roman" w:eastAsia="Times New Roman" w:hAnsi="Times New Roman"/>
          <w:color w:val="000000"/>
        </w:rPr>
        <w:t>Amending Regulations</w:t>
      </w:r>
      <w:r w:rsidRPr="00DD5593">
        <w:rPr>
          <w:rFonts w:ascii="Times New Roman" w:eastAsia="Times New Roman" w:hAnsi="Times New Roman"/>
          <w:color w:val="000000"/>
        </w:rPr>
        <w:t>)</w:t>
      </w:r>
      <w:r>
        <w:rPr>
          <w:rFonts w:ascii="Times New Roman" w:eastAsia="Times New Roman" w:hAnsi="Times New Roman"/>
          <w:color w:val="000000"/>
        </w:rPr>
        <w:t>.</w:t>
      </w:r>
    </w:p>
    <w:p w:rsidR="00436521" w:rsidRDefault="00436521" w:rsidP="00436521">
      <w:pPr>
        <w:pStyle w:val="ListParagraph"/>
        <w:ind w:left="0" w:right="283"/>
        <w:jc w:val="both"/>
        <w:rPr>
          <w:rFonts w:ascii="Times New Roman" w:eastAsia="Times New Roman" w:hAnsi="Times New Roman"/>
          <w:color w:val="000000"/>
        </w:rPr>
      </w:pPr>
    </w:p>
    <w:p w:rsidR="00436521" w:rsidRDefault="00436521" w:rsidP="00436521">
      <w:pPr>
        <w:pStyle w:val="ListParagraph"/>
        <w:ind w:left="0" w:right="283"/>
        <w:jc w:val="both"/>
        <w:rPr>
          <w:rFonts w:ascii="Times New Roman" w:eastAsia="Times New Roman" w:hAnsi="Times New Roman"/>
          <w:color w:val="000000"/>
        </w:rPr>
      </w:pPr>
      <w:r w:rsidRPr="00436521">
        <w:rPr>
          <w:rFonts w:ascii="Times New Roman" w:eastAsia="Times New Roman" w:hAnsi="Times New Roman"/>
          <w:color w:val="000000"/>
        </w:rPr>
        <w:t>The Amending Regulations amended subregulation 5.04(2) so as to make all of a member’s benefits</w:t>
      </w:r>
      <w:r w:rsidR="00816779">
        <w:rPr>
          <w:rFonts w:ascii="Times New Roman" w:eastAsia="Times New Roman" w:hAnsi="Times New Roman"/>
          <w:color w:val="000000"/>
        </w:rPr>
        <w:t xml:space="preserve"> in an accumulation fund</w:t>
      </w:r>
      <w:r w:rsidRPr="00436521">
        <w:rPr>
          <w:rFonts w:ascii="Times New Roman" w:eastAsia="Times New Roman" w:hAnsi="Times New Roman"/>
          <w:color w:val="000000"/>
        </w:rPr>
        <w:t xml:space="preserve"> </w:t>
      </w:r>
      <w:r w:rsidR="00816779">
        <w:rPr>
          <w:rFonts w:ascii="Times New Roman" w:eastAsia="Times New Roman" w:hAnsi="Times New Roman"/>
          <w:color w:val="000000"/>
        </w:rPr>
        <w:t>(</w:t>
      </w:r>
      <w:r w:rsidRPr="00436521">
        <w:rPr>
          <w:rFonts w:ascii="Times New Roman" w:eastAsia="Times New Roman" w:hAnsi="Times New Roman"/>
          <w:color w:val="000000"/>
        </w:rPr>
        <w:t>including benefits financed by non-mandated employer contributions</w:t>
      </w:r>
      <w:r w:rsidR="00816779">
        <w:rPr>
          <w:rFonts w:ascii="Times New Roman" w:eastAsia="Times New Roman" w:hAnsi="Times New Roman"/>
          <w:color w:val="000000"/>
        </w:rPr>
        <w:t>)</w:t>
      </w:r>
      <w:r w:rsidRPr="00436521">
        <w:rPr>
          <w:rFonts w:ascii="Times New Roman" w:eastAsia="Times New Roman" w:hAnsi="Times New Roman"/>
          <w:color w:val="000000"/>
        </w:rPr>
        <w:t xml:space="preserve"> minimum benefits</w:t>
      </w:r>
      <w:r w:rsidR="00816779">
        <w:rPr>
          <w:rFonts w:ascii="Times New Roman" w:eastAsia="Times New Roman" w:hAnsi="Times New Roman"/>
          <w:color w:val="000000"/>
        </w:rPr>
        <w:t xml:space="preserve"> which are </w:t>
      </w:r>
      <w:r w:rsidRPr="00436521">
        <w:rPr>
          <w:rFonts w:ascii="Times New Roman" w:eastAsia="Times New Roman" w:hAnsi="Times New Roman"/>
          <w:color w:val="000000"/>
        </w:rPr>
        <w:t>subject to the restrictions relating to the treatment of minimum benefits specified in regulation 5.08.</w:t>
      </w:r>
    </w:p>
    <w:p w:rsidR="00436521" w:rsidRPr="001F13F6" w:rsidRDefault="00436521" w:rsidP="00436521">
      <w:pPr>
        <w:pStyle w:val="ListParagraph"/>
        <w:ind w:left="0" w:right="283"/>
        <w:jc w:val="both"/>
        <w:rPr>
          <w:rFonts w:ascii="Times New Roman" w:eastAsia="Times New Roman" w:hAnsi="Times New Roman"/>
          <w:color w:val="000000"/>
        </w:rPr>
      </w:pPr>
    </w:p>
    <w:p w:rsidR="00524562" w:rsidRPr="00810396" w:rsidRDefault="00816779" w:rsidP="00524562">
      <w:pPr>
        <w:pStyle w:val="ListParagraph"/>
        <w:ind w:left="0" w:right="283"/>
        <w:jc w:val="both"/>
        <w:rPr>
          <w:rFonts w:ascii="Times New Roman" w:eastAsia="Times New Roman" w:hAnsi="Times New Roman"/>
          <w:color w:val="000000"/>
        </w:rPr>
      </w:pPr>
      <w:r w:rsidRPr="00810396">
        <w:rPr>
          <w:rFonts w:ascii="Times New Roman" w:eastAsia="Times New Roman" w:hAnsi="Times New Roman"/>
          <w:color w:val="000000"/>
        </w:rPr>
        <w:t xml:space="preserve">Subregulation 5.08(1) of the </w:t>
      </w:r>
      <w:r>
        <w:rPr>
          <w:rFonts w:ascii="Times New Roman" w:eastAsia="Times New Roman" w:hAnsi="Times New Roman"/>
          <w:color w:val="000000"/>
        </w:rPr>
        <w:t>Regulations imposes</w:t>
      </w:r>
      <w:r w:rsidR="00524562" w:rsidRPr="00810396">
        <w:rPr>
          <w:rFonts w:ascii="Times New Roman" w:eastAsia="Times New Roman" w:hAnsi="Times New Roman"/>
          <w:color w:val="000000"/>
        </w:rPr>
        <w:t xml:space="preserve"> restrictions on the treatment of members’ minimum benefits, preventing those minimum benefits from being divested from the member. </w:t>
      </w:r>
    </w:p>
    <w:p w:rsidR="00524562" w:rsidRPr="00810396" w:rsidRDefault="00524562" w:rsidP="00524562">
      <w:pPr>
        <w:pStyle w:val="ListParagraph"/>
        <w:ind w:left="0" w:right="283"/>
        <w:jc w:val="both"/>
        <w:rPr>
          <w:rFonts w:ascii="Times New Roman" w:eastAsia="Times New Roman" w:hAnsi="Times New Roman"/>
          <w:color w:val="000000"/>
        </w:rPr>
      </w:pPr>
    </w:p>
    <w:p w:rsidR="00524562" w:rsidRPr="00810396" w:rsidRDefault="00C454E0" w:rsidP="00524562">
      <w:pPr>
        <w:pStyle w:val="ListParagraph"/>
        <w:ind w:left="0" w:right="283"/>
        <w:jc w:val="both"/>
        <w:rPr>
          <w:rFonts w:ascii="Times New Roman" w:eastAsia="Times New Roman" w:hAnsi="Times New Roman"/>
          <w:color w:val="000000"/>
        </w:rPr>
      </w:pPr>
      <w:r>
        <w:rPr>
          <w:rFonts w:ascii="Times New Roman" w:eastAsia="Times New Roman" w:hAnsi="Times New Roman"/>
          <w:color w:val="000000"/>
        </w:rPr>
        <w:t>Certain employee retention arrangements that provide for members’ benefits derived from non-employee mandated employer contributions</w:t>
      </w:r>
      <w:r w:rsidR="00DB07BB">
        <w:rPr>
          <w:rFonts w:ascii="Times New Roman" w:eastAsia="Times New Roman" w:hAnsi="Times New Roman"/>
          <w:color w:val="000000"/>
        </w:rPr>
        <w:t xml:space="preserve"> are except</w:t>
      </w:r>
      <w:r w:rsidR="005D2DE2">
        <w:rPr>
          <w:rFonts w:ascii="Times New Roman" w:eastAsia="Times New Roman" w:hAnsi="Times New Roman"/>
          <w:color w:val="000000"/>
        </w:rPr>
        <w:t>ions</w:t>
      </w:r>
      <w:r>
        <w:rPr>
          <w:rFonts w:ascii="Times New Roman" w:eastAsia="Times New Roman" w:hAnsi="Times New Roman"/>
          <w:color w:val="000000"/>
        </w:rPr>
        <w:t xml:space="preserve"> </w:t>
      </w:r>
      <w:r w:rsidR="005D2DE2">
        <w:rPr>
          <w:rFonts w:ascii="Times New Roman" w:eastAsia="Times New Roman" w:hAnsi="Times New Roman"/>
          <w:color w:val="000000"/>
        </w:rPr>
        <w:t>to</w:t>
      </w:r>
      <w:r>
        <w:rPr>
          <w:rFonts w:ascii="Times New Roman" w:eastAsia="Times New Roman" w:hAnsi="Times New Roman"/>
          <w:color w:val="000000"/>
        </w:rPr>
        <w:t xml:space="preserve"> the restrictions in subregulation 5.08(1) due to the operation of subregulation 5.08(2).  </w:t>
      </w:r>
      <w:r w:rsidR="00DB07BB">
        <w:rPr>
          <w:rFonts w:ascii="Times New Roman" w:eastAsia="Times New Roman" w:hAnsi="Times New Roman"/>
          <w:color w:val="000000"/>
        </w:rPr>
        <w:t xml:space="preserve">This means that </w:t>
      </w:r>
      <w:r w:rsidR="00524562" w:rsidRPr="00810396">
        <w:rPr>
          <w:rFonts w:ascii="Times New Roman" w:eastAsia="Times New Roman" w:hAnsi="Times New Roman"/>
          <w:color w:val="000000"/>
        </w:rPr>
        <w:t>subregulation 5.08(2) allows for members’ benefits derived from non-mandated employer contributions to be forfeited or divested if the member concerned does not stay in the employer’s employment for a specified period.</w:t>
      </w:r>
      <w:r w:rsidR="0021766A" w:rsidRPr="0021766A">
        <w:rPr>
          <w:rFonts w:ascii="Times New Roman" w:eastAsia="Times New Roman" w:hAnsi="Times New Roman"/>
          <w:color w:val="000000"/>
        </w:rPr>
        <w:t xml:space="preserve"> In effect, subregulation 5.08(2) </w:t>
      </w:r>
      <w:r w:rsidR="0021766A" w:rsidRPr="0021766A">
        <w:rPr>
          <w:rFonts w:ascii="Times New Roman" w:eastAsia="Times New Roman" w:hAnsi="Times New Roman"/>
          <w:color w:val="000000"/>
        </w:rPr>
        <w:lastRenderedPageBreak/>
        <w:t>“grandfathers” employee retention arrangements of the kind just described which have been in force in relation to the member concerned since before 12 May 2004.</w:t>
      </w:r>
    </w:p>
    <w:p w:rsidR="00524562" w:rsidRPr="00810396" w:rsidRDefault="00524562" w:rsidP="00524562">
      <w:pPr>
        <w:pStyle w:val="ListParagraph"/>
        <w:rPr>
          <w:rFonts w:ascii="Times New Roman" w:eastAsia="Times New Roman" w:hAnsi="Times New Roman"/>
          <w:color w:val="000000"/>
        </w:rPr>
      </w:pPr>
    </w:p>
    <w:p w:rsidR="00524562" w:rsidRPr="00810396" w:rsidRDefault="00524562" w:rsidP="00524562">
      <w:pPr>
        <w:pStyle w:val="ListParagraph"/>
        <w:ind w:left="0" w:right="283"/>
        <w:jc w:val="both"/>
        <w:rPr>
          <w:rFonts w:ascii="Times New Roman" w:eastAsia="Times New Roman" w:hAnsi="Times New Roman"/>
          <w:color w:val="000000"/>
        </w:rPr>
      </w:pPr>
      <w:r w:rsidRPr="00810396">
        <w:rPr>
          <w:rFonts w:ascii="Times New Roman" w:eastAsia="Times New Roman" w:hAnsi="Times New Roman"/>
          <w:color w:val="000000"/>
        </w:rPr>
        <w:t xml:space="preserve">MD 26 was made for the purpose of expanding the scope of the </w:t>
      </w:r>
      <w:r w:rsidRPr="00C5123C">
        <w:rPr>
          <w:rFonts w:ascii="Times New Roman" w:eastAsia="Times New Roman" w:hAnsi="Times New Roman"/>
          <w:color w:val="000000"/>
        </w:rPr>
        <w:t>exception</w:t>
      </w:r>
      <w:r w:rsidRPr="00810396">
        <w:rPr>
          <w:rFonts w:ascii="Times New Roman" w:eastAsia="Times New Roman" w:hAnsi="Times New Roman"/>
          <w:color w:val="000000"/>
        </w:rPr>
        <w:t xml:space="preserve"> in subregulation 5.08(2) of the Regulations by adding new subregulations 5.08(2A) – (2D)</w:t>
      </w:r>
      <w:r w:rsidR="006D5D29">
        <w:rPr>
          <w:rFonts w:ascii="Times New Roman" w:eastAsia="Times New Roman" w:hAnsi="Times New Roman"/>
          <w:color w:val="000000"/>
        </w:rPr>
        <w:t>. These subregulations</w:t>
      </w:r>
      <w:r w:rsidRPr="00810396">
        <w:rPr>
          <w:rFonts w:ascii="Times New Roman" w:eastAsia="Times New Roman" w:hAnsi="Times New Roman"/>
          <w:color w:val="000000"/>
        </w:rPr>
        <w:t xml:space="preserve"> provide similar relief for employee retention arrangements, but allow for some practical situations </w:t>
      </w:r>
      <w:r w:rsidR="006D5D29">
        <w:rPr>
          <w:rFonts w:ascii="Times New Roman" w:eastAsia="Times New Roman" w:hAnsi="Times New Roman"/>
          <w:color w:val="000000"/>
        </w:rPr>
        <w:t xml:space="preserve">that are </w:t>
      </w:r>
      <w:r w:rsidRPr="00810396">
        <w:rPr>
          <w:rFonts w:ascii="Times New Roman" w:eastAsia="Times New Roman" w:hAnsi="Times New Roman"/>
          <w:color w:val="000000"/>
        </w:rPr>
        <w:t xml:space="preserve">not covered by subregulation 5.08(2). </w:t>
      </w:r>
    </w:p>
    <w:p w:rsidR="00E86A2C" w:rsidRPr="00C5123C" w:rsidRDefault="00E86A2C" w:rsidP="00C62FCA">
      <w:pPr>
        <w:pStyle w:val="ListParagraph"/>
        <w:ind w:left="0" w:right="283"/>
        <w:jc w:val="both"/>
        <w:rPr>
          <w:rFonts w:ascii="Times New Roman" w:eastAsia="Times New Roman" w:hAnsi="Times New Roman"/>
          <w:color w:val="000000"/>
        </w:rPr>
      </w:pPr>
    </w:p>
    <w:p w:rsidR="00E86A2C" w:rsidRPr="009772A5" w:rsidRDefault="006A1CAC" w:rsidP="00C5123C">
      <w:pPr>
        <w:pStyle w:val="ListParagraph"/>
        <w:ind w:left="0" w:right="283"/>
        <w:jc w:val="both"/>
      </w:pPr>
      <w:r w:rsidRPr="00C5123C">
        <w:rPr>
          <w:rFonts w:ascii="Times New Roman" w:eastAsia="Times New Roman" w:hAnsi="Times New Roman"/>
          <w:color w:val="000000"/>
        </w:rPr>
        <w:t xml:space="preserve">Under subsection 50(1) of the </w:t>
      </w:r>
      <w:r w:rsidRPr="00C5123C">
        <w:rPr>
          <w:rFonts w:ascii="Times New Roman" w:eastAsia="Times New Roman" w:hAnsi="Times New Roman"/>
          <w:i/>
          <w:color w:val="000000"/>
        </w:rPr>
        <w:t>Legislative Instruments Act 2003</w:t>
      </w:r>
      <w:r w:rsidRPr="00C5123C">
        <w:rPr>
          <w:rFonts w:ascii="Times New Roman" w:eastAsia="Times New Roman" w:hAnsi="Times New Roman"/>
          <w:color w:val="000000"/>
        </w:rPr>
        <w:t xml:space="preserve"> (the Legislative Instruments Act), a legislative instrument registered after 1 January 2005 will sunset on the first 1 April or 1 October falling on or after the tenth anniversary of the registration of the instrument on the</w:t>
      </w:r>
      <w:r w:rsidR="00524562">
        <w:rPr>
          <w:rFonts w:ascii="Times New Roman" w:eastAsia="Times New Roman" w:hAnsi="Times New Roman"/>
          <w:color w:val="000000"/>
        </w:rPr>
        <w:t xml:space="preserve"> FRLI</w:t>
      </w:r>
      <w:r w:rsidRPr="00C5123C">
        <w:rPr>
          <w:rFonts w:ascii="Times New Roman" w:eastAsia="Times New Roman" w:hAnsi="Times New Roman"/>
          <w:color w:val="000000"/>
        </w:rPr>
        <w:t xml:space="preserve">. </w:t>
      </w:r>
      <w:r w:rsidR="00C62FCA" w:rsidRPr="00C5123C">
        <w:rPr>
          <w:rFonts w:ascii="Times New Roman" w:eastAsia="Times New Roman" w:hAnsi="Times New Roman"/>
          <w:color w:val="000000"/>
        </w:rPr>
        <w:t>MD 26</w:t>
      </w:r>
      <w:r w:rsidRPr="00C5123C">
        <w:rPr>
          <w:rFonts w:ascii="Times New Roman" w:eastAsia="Times New Roman" w:hAnsi="Times New Roman"/>
          <w:color w:val="000000"/>
        </w:rPr>
        <w:t xml:space="preserve"> was registered on </w:t>
      </w:r>
      <w:r w:rsidR="00C62FCA" w:rsidRPr="00C5123C">
        <w:rPr>
          <w:rFonts w:ascii="Times New Roman" w:eastAsia="Times New Roman" w:hAnsi="Times New Roman"/>
          <w:color w:val="000000"/>
        </w:rPr>
        <w:t>2</w:t>
      </w:r>
      <w:r w:rsidR="00366B4A">
        <w:rPr>
          <w:rFonts w:ascii="Times New Roman" w:eastAsia="Times New Roman" w:hAnsi="Times New Roman"/>
          <w:color w:val="000000"/>
        </w:rPr>
        <w:t>5</w:t>
      </w:r>
      <w:r w:rsidRPr="00C5123C">
        <w:rPr>
          <w:rFonts w:ascii="Times New Roman" w:eastAsia="Times New Roman" w:hAnsi="Times New Roman"/>
          <w:color w:val="000000"/>
        </w:rPr>
        <w:t xml:space="preserve"> </w:t>
      </w:r>
      <w:r w:rsidR="00C62FCA" w:rsidRPr="00C5123C">
        <w:rPr>
          <w:rFonts w:ascii="Times New Roman" w:eastAsia="Times New Roman" w:hAnsi="Times New Roman"/>
          <w:color w:val="000000"/>
        </w:rPr>
        <w:t>July</w:t>
      </w:r>
      <w:r w:rsidRPr="00C5123C">
        <w:rPr>
          <w:rFonts w:ascii="Times New Roman" w:eastAsia="Times New Roman" w:hAnsi="Times New Roman"/>
          <w:color w:val="000000"/>
        </w:rPr>
        <w:t xml:space="preserve"> 2005 and is due to sunset on 1 October 2015.</w:t>
      </w:r>
    </w:p>
    <w:p w:rsidR="00C62FCA" w:rsidRPr="00C5123C" w:rsidRDefault="00C62FCA" w:rsidP="00C5123C">
      <w:pPr>
        <w:numPr>
          <w:ilvl w:val="0"/>
          <w:numId w:val="14"/>
        </w:numPr>
        <w:spacing w:before="240"/>
        <w:ind w:left="426" w:hanging="426"/>
        <w:rPr>
          <w:rFonts w:ascii="Times New Roman" w:hAnsi="Times New Roman"/>
          <w:b/>
        </w:rPr>
      </w:pPr>
      <w:r w:rsidRPr="00C5123C">
        <w:rPr>
          <w:rFonts w:ascii="Times New Roman" w:hAnsi="Times New Roman"/>
          <w:b/>
        </w:rPr>
        <w:t>Purpose and operation of the instrument</w:t>
      </w:r>
    </w:p>
    <w:p w:rsidR="00C62FCA" w:rsidRPr="00C5123C" w:rsidRDefault="00C62FCA" w:rsidP="00E71CFA">
      <w:pPr>
        <w:pStyle w:val="ListParagraph"/>
        <w:ind w:left="0" w:right="283"/>
        <w:jc w:val="both"/>
        <w:rPr>
          <w:rFonts w:ascii="Times New Roman" w:eastAsia="Times New Roman" w:hAnsi="Times New Roman"/>
          <w:color w:val="000000"/>
        </w:rPr>
      </w:pPr>
    </w:p>
    <w:p w:rsidR="00654357" w:rsidRDefault="00E71CFA" w:rsidP="00E71CFA">
      <w:pPr>
        <w:pStyle w:val="ListParagraph"/>
        <w:ind w:left="0" w:right="283"/>
        <w:jc w:val="both"/>
        <w:rPr>
          <w:rFonts w:ascii="Times New Roman" w:hAnsi="Times New Roman"/>
        </w:rPr>
      </w:pPr>
      <w:r w:rsidRPr="00C5123C">
        <w:rPr>
          <w:rFonts w:ascii="Times New Roman" w:eastAsia="Times New Roman" w:hAnsi="Times New Roman"/>
          <w:color w:val="000000"/>
        </w:rPr>
        <w:t xml:space="preserve">As MD 26 </w:t>
      </w:r>
      <w:r w:rsidR="00EF64E0">
        <w:rPr>
          <w:rFonts w:ascii="Times New Roman" w:eastAsia="Times New Roman" w:hAnsi="Times New Roman"/>
          <w:color w:val="000000"/>
        </w:rPr>
        <w:t>is due to</w:t>
      </w:r>
      <w:r w:rsidRPr="00C5123C">
        <w:rPr>
          <w:rFonts w:ascii="Times New Roman" w:eastAsia="Times New Roman" w:hAnsi="Times New Roman"/>
          <w:color w:val="000000"/>
        </w:rPr>
        <w:t xml:space="preserve"> sunset on 1 October 2015, the purpose of </w:t>
      </w:r>
      <w:r w:rsidR="00366B4A">
        <w:rPr>
          <w:rFonts w:ascii="Times New Roman" w:eastAsia="Times New Roman" w:hAnsi="Times New Roman"/>
          <w:color w:val="000000"/>
        </w:rPr>
        <w:t xml:space="preserve">this instrument </w:t>
      </w:r>
      <w:r w:rsidRPr="00C5123C">
        <w:rPr>
          <w:rFonts w:ascii="Times New Roman" w:eastAsia="Times New Roman" w:hAnsi="Times New Roman"/>
          <w:color w:val="000000"/>
        </w:rPr>
        <w:t xml:space="preserve">is to continue to allow the current relief to operate without change. </w:t>
      </w:r>
      <w:r w:rsidR="004A4444" w:rsidRPr="00DB07BB">
        <w:rPr>
          <w:rFonts w:ascii="Times New Roman" w:eastAsia="Times New Roman" w:hAnsi="Times New Roman"/>
          <w:color w:val="000000"/>
        </w:rPr>
        <w:t xml:space="preserve">The </w:t>
      </w:r>
      <w:r w:rsidR="002D6688" w:rsidRPr="00C5123C">
        <w:rPr>
          <w:rFonts w:ascii="Times New Roman" w:eastAsia="Times New Roman" w:hAnsi="Times New Roman"/>
          <w:color w:val="000000"/>
        </w:rPr>
        <w:t>effect o</w:t>
      </w:r>
      <w:r w:rsidR="004A4444" w:rsidRPr="00DB07BB">
        <w:rPr>
          <w:rFonts w:ascii="Times New Roman" w:eastAsia="Times New Roman" w:hAnsi="Times New Roman"/>
          <w:color w:val="000000"/>
        </w:rPr>
        <w:t xml:space="preserve">f the instrument is </w:t>
      </w:r>
      <w:r w:rsidR="00BE2BFD" w:rsidRPr="00DB07BB">
        <w:rPr>
          <w:rFonts w:ascii="Times New Roman" w:eastAsia="Times New Roman" w:hAnsi="Times New Roman"/>
          <w:color w:val="000000"/>
        </w:rPr>
        <w:t xml:space="preserve">to </w:t>
      </w:r>
      <w:r w:rsidR="00BE2BFD" w:rsidRPr="00C5123C">
        <w:rPr>
          <w:rFonts w:ascii="Times New Roman" w:hAnsi="Times New Roman"/>
        </w:rPr>
        <w:t>expand the scope of the exception in subregulation 5.08(2) in three ways</w:t>
      </w:r>
      <w:r w:rsidR="00654357" w:rsidRPr="00DB07BB">
        <w:rPr>
          <w:rFonts w:ascii="Times New Roman" w:hAnsi="Times New Roman"/>
        </w:rPr>
        <w:t>:</w:t>
      </w:r>
    </w:p>
    <w:p w:rsidR="00654357" w:rsidRDefault="00AE1A88" w:rsidP="00C5123C">
      <w:pPr>
        <w:pStyle w:val="ListParagraph"/>
        <w:numPr>
          <w:ilvl w:val="0"/>
          <w:numId w:val="15"/>
        </w:numPr>
        <w:ind w:right="283"/>
        <w:jc w:val="both"/>
        <w:rPr>
          <w:rFonts w:ascii="Times New Roman" w:eastAsia="Times New Roman" w:hAnsi="Times New Roman"/>
          <w:color w:val="000000"/>
        </w:rPr>
      </w:pPr>
      <w:r>
        <w:rPr>
          <w:rFonts w:ascii="Times New Roman" w:eastAsia="Times New Roman" w:hAnsi="Times New Roman"/>
          <w:color w:val="000000"/>
        </w:rPr>
        <w:t>extend</w:t>
      </w:r>
      <w:r w:rsidR="00654357">
        <w:rPr>
          <w:rFonts w:ascii="Times New Roman" w:eastAsia="Times New Roman" w:hAnsi="Times New Roman"/>
          <w:color w:val="000000"/>
        </w:rPr>
        <w:t xml:space="preserve"> grandfathering to minimum service provisions contained in governing rules, an award or a certified agreement; </w:t>
      </w:r>
    </w:p>
    <w:p w:rsidR="00654357" w:rsidRPr="00C5123C" w:rsidRDefault="00AE1A88" w:rsidP="00C5123C">
      <w:pPr>
        <w:pStyle w:val="Heading"/>
        <w:keepNext w:val="0"/>
        <w:numPr>
          <w:ilvl w:val="0"/>
          <w:numId w:val="15"/>
        </w:numPr>
        <w:tabs>
          <w:tab w:val="left" w:pos="0"/>
        </w:tabs>
        <w:spacing w:before="0" w:after="0"/>
        <w:rPr>
          <w:rFonts w:ascii="Times New Roman" w:hAnsi="Times New Roman" w:cs="Times New Roman"/>
          <w:b w:val="0"/>
          <w:sz w:val="22"/>
          <w:szCs w:val="22"/>
        </w:rPr>
      </w:pPr>
      <w:r>
        <w:rPr>
          <w:rFonts w:ascii="Times New Roman" w:hAnsi="Times New Roman" w:cs="Times New Roman"/>
          <w:b w:val="0"/>
          <w:sz w:val="22"/>
          <w:szCs w:val="22"/>
        </w:rPr>
        <w:t xml:space="preserve">extend grandfathering </w:t>
      </w:r>
      <w:r w:rsidR="00654357" w:rsidRPr="00C5123C">
        <w:rPr>
          <w:rFonts w:ascii="Times New Roman" w:hAnsi="Times New Roman" w:cs="Times New Roman"/>
          <w:b w:val="0"/>
          <w:sz w:val="22"/>
          <w:szCs w:val="22"/>
        </w:rPr>
        <w:t xml:space="preserve">to minimum service provisions </w:t>
      </w:r>
      <w:r w:rsidR="00FF006B">
        <w:rPr>
          <w:rFonts w:ascii="Times New Roman" w:hAnsi="Times New Roman" w:cs="Times New Roman"/>
          <w:b w:val="0"/>
          <w:sz w:val="22"/>
          <w:szCs w:val="22"/>
        </w:rPr>
        <w:t xml:space="preserve">where </w:t>
      </w:r>
      <w:r w:rsidR="00654357" w:rsidRPr="00C5123C">
        <w:rPr>
          <w:rFonts w:ascii="Times New Roman" w:hAnsi="Times New Roman" w:cs="Times New Roman"/>
          <w:b w:val="0"/>
          <w:sz w:val="22"/>
          <w:szCs w:val="22"/>
        </w:rPr>
        <w:t xml:space="preserve">the terms </w:t>
      </w:r>
      <w:r w:rsidR="00FF006B">
        <w:rPr>
          <w:rFonts w:ascii="Times New Roman" w:hAnsi="Times New Roman" w:cs="Times New Roman"/>
          <w:b w:val="0"/>
          <w:sz w:val="22"/>
          <w:szCs w:val="22"/>
        </w:rPr>
        <w:t xml:space="preserve">have been changed </w:t>
      </w:r>
      <w:r w:rsidR="00654357" w:rsidRPr="00C5123C">
        <w:rPr>
          <w:rFonts w:ascii="Times New Roman" w:hAnsi="Times New Roman" w:cs="Times New Roman"/>
          <w:b w:val="0"/>
          <w:sz w:val="22"/>
          <w:szCs w:val="22"/>
        </w:rPr>
        <w:t>during the period after 12 May 2004 or</w:t>
      </w:r>
      <w:r w:rsidR="006D5D29">
        <w:rPr>
          <w:rFonts w:ascii="Times New Roman" w:hAnsi="Times New Roman" w:cs="Times New Roman"/>
          <w:b w:val="0"/>
          <w:sz w:val="22"/>
          <w:szCs w:val="22"/>
        </w:rPr>
        <w:t xml:space="preserve"> where the terms</w:t>
      </w:r>
      <w:r w:rsidR="00654357" w:rsidRPr="00C5123C">
        <w:rPr>
          <w:rFonts w:ascii="Times New Roman" w:hAnsi="Times New Roman" w:cs="Times New Roman"/>
          <w:b w:val="0"/>
          <w:sz w:val="22"/>
          <w:szCs w:val="22"/>
        </w:rPr>
        <w:t xml:space="preserve"> </w:t>
      </w:r>
      <w:r w:rsidR="00FF006B">
        <w:rPr>
          <w:rFonts w:ascii="Times New Roman" w:hAnsi="Times New Roman" w:cs="Times New Roman"/>
          <w:b w:val="0"/>
          <w:sz w:val="22"/>
          <w:szCs w:val="22"/>
        </w:rPr>
        <w:t xml:space="preserve">have been </w:t>
      </w:r>
      <w:r w:rsidR="00654357" w:rsidRPr="00C5123C">
        <w:rPr>
          <w:rFonts w:ascii="Times New Roman" w:hAnsi="Times New Roman" w:cs="Times New Roman"/>
          <w:b w:val="0"/>
          <w:sz w:val="22"/>
          <w:szCs w:val="22"/>
        </w:rPr>
        <w:t>set out in different documents at different times during that period</w:t>
      </w:r>
      <w:r>
        <w:rPr>
          <w:rFonts w:ascii="Times New Roman" w:hAnsi="Times New Roman" w:cs="Times New Roman"/>
          <w:b w:val="0"/>
          <w:sz w:val="22"/>
          <w:szCs w:val="22"/>
        </w:rPr>
        <w:t>;</w:t>
      </w:r>
      <w:r w:rsidR="00FF006B">
        <w:rPr>
          <w:rFonts w:ascii="Times New Roman" w:hAnsi="Times New Roman" w:cs="Times New Roman"/>
          <w:b w:val="0"/>
          <w:sz w:val="22"/>
          <w:szCs w:val="22"/>
        </w:rPr>
        <w:t xml:space="preserve"> and</w:t>
      </w:r>
    </w:p>
    <w:p w:rsidR="00654357" w:rsidRPr="00C5123C" w:rsidRDefault="00AE1A88" w:rsidP="00C5123C">
      <w:pPr>
        <w:pStyle w:val="ListParagraph"/>
        <w:numPr>
          <w:ilvl w:val="0"/>
          <w:numId w:val="15"/>
        </w:numPr>
        <w:ind w:right="283"/>
        <w:jc w:val="both"/>
        <w:rPr>
          <w:rFonts w:ascii="Times New Roman" w:eastAsia="Times New Roman" w:hAnsi="Times New Roman"/>
          <w:color w:val="000000"/>
        </w:rPr>
      </w:pPr>
      <w:r w:rsidRPr="009772A5">
        <w:rPr>
          <w:rFonts w:ascii="Times New Roman" w:eastAsia="Times New Roman" w:hAnsi="Times New Roman"/>
          <w:color w:val="000000"/>
        </w:rPr>
        <w:t>extend</w:t>
      </w:r>
      <w:r w:rsidR="00654357" w:rsidRPr="00C5123C">
        <w:rPr>
          <w:rFonts w:ascii="Times New Roman" w:eastAsia="Times New Roman" w:hAnsi="Times New Roman"/>
          <w:color w:val="000000"/>
        </w:rPr>
        <w:t xml:space="preserve"> grandfathering to minimum service provisions which allow</w:t>
      </w:r>
      <w:r w:rsidR="00654357">
        <w:rPr>
          <w:rFonts w:ascii="Times New Roman" w:eastAsia="Times New Roman" w:hAnsi="Times New Roman"/>
          <w:color w:val="000000"/>
        </w:rPr>
        <w:t>s</w:t>
      </w:r>
      <w:r w:rsidR="00654357" w:rsidRPr="00C5123C">
        <w:rPr>
          <w:rFonts w:ascii="Times New Roman" w:eastAsia="Times New Roman" w:hAnsi="Times New Roman"/>
          <w:color w:val="000000"/>
        </w:rPr>
        <w:t xml:space="preserve"> the member to </w:t>
      </w:r>
      <w:r w:rsidR="00654357">
        <w:rPr>
          <w:rFonts w:ascii="Times New Roman" w:eastAsia="Times New Roman" w:hAnsi="Times New Roman"/>
          <w:color w:val="000000"/>
        </w:rPr>
        <w:t xml:space="preserve">be </w:t>
      </w:r>
      <w:r w:rsidR="00654357" w:rsidRPr="00C5123C">
        <w:rPr>
          <w:rFonts w:ascii="Times New Roman" w:hAnsi="Times New Roman"/>
        </w:rPr>
        <w:t xml:space="preserve">an employee of their current employer’s predecessor or related company for the minimum service period, or to </w:t>
      </w:r>
      <w:r w:rsidR="00654357">
        <w:rPr>
          <w:rFonts w:ascii="Times New Roman" w:hAnsi="Times New Roman"/>
        </w:rPr>
        <w:t xml:space="preserve">be </w:t>
      </w:r>
      <w:r w:rsidR="00654357" w:rsidRPr="00C5123C">
        <w:rPr>
          <w:rFonts w:ascii="Times New Roman" w:hAnsi="Times New Roman"/>
        </w:rPr>
        <w:t>a member of another fund to which their current employer or its predecessor or related company contributed for the minimum service period</w:t>
      </w:r>
      <w:r w:rsidR="00FF006B">
        <w:rPr>
          <w:rFonts w:ascii="Times New Roman" w:hAnsi="Times New Roman"/>
        </w:rPr>
        <w:t xml:space="preserve">. </w:t>
      </w:r>
    </w:p>
    <w:p w:rsidR="00654357" w:rsidRDefault="00654357" w:rsidP="009772A5">
      <w:pPr>
        <w:pStyle w:val="ListParagraph"/>
        <w:ind w:left="0" w:right="283"/>
        <w:jc w:val="both"/>
        <w:rPr>
          <w:rFonts w:ascii="Times New Roman" w:eastAsia="Times New Roman" w:hAnsi="Times New Roman"/>
          <w:color w:val="000000"/>
        </w:rPr>
      </w:pPr>
    </w:p>
    <w:p w:rsidR="0021766A" w:rsidRPr="00C5123C" w:rsidRDefault="0021766A" w:rsidP="0021766A">
      <w:pPr>
        <w:pStyle w:val="Heading"/>
        <w:keepNext w:val="0"/>
        <w:tabs>
          <w:tab w:val="left" w:pos="0"/>
        </w:tabs>
        <w:spacing w:before="0" w:after="0"/>
        <w:rPr>
          <w:rFonts w:ascii="Times New Roman" w:hAnsi="Times New Roman" w:cs="Times New Roman"/>
          <w:b w:val="0"/>
          <w:sz w:val="22"/>
          <w:szCs w:val="22"/>
        </w:rPr>
      </w:pPr>
      <w:r>
        <w:rPr>
          <w:rFonts w:ascii="Times New Roman" w:hAnsi="Times New Roman" w:cs="Times New Roman"/>
          <w:b w:val="0"/>
          <w:sz w:val="22"/>
          <w:szCs w:val="22"/>
        </w:rPr>
        <w:t xml:space="preserve">This instrument </w:t>
      </w:r>
      <w:r w:rsidRPr="00C5123C">
        <w:rPr>
          <w:rFonts w:ascii="Times New Roman" w:hAnsi="Times New Roman" w:cs="Times New Roman"/>
          <w:b w:val="0"/>
          <w:sz w:val="22"/>
          <w:szCs w:val="22"/>
        </w:rPr>
        <w:t>adds the new subregulation</w:t>
      </w:r>
      <w:r w:rsidR="00B544FE">
        <w:rPr>
          <w:rFonts w:ascii="Times New Roman" w:hAnsi="Times New Roman" w:cs="Times New Roman"/>
          <w:b w:val="0"/>
          <w:sz w:val="22"/>
          <w:szCs w:val="22"/>
        </w:rPr>
        <w:t>s</w:t>
      </w:r>
      <w:r w:rsidRPr="00C5123C">
        <w:rPr>
          <w:rFonts w:ascii="Times New Roman" w:hAnsi="Times New Roman" w:cs="Times New Roman"/>
          <w:b w:val="0"/>
          <w:sz w:val="22"/>
          <w:szCs w:val="22"/>
        </w:rPr>
        <w:t xml:space="preserve"> 5.08(2A)</w:t>
      </w:r>
      <w:r w:rsidR="00B544FE">
        <w:rPr>
          <w:rFonts w:ascii="Times New Roman" w:hAnsi="Times New Roman" w:cs="Times New Roman"/>
          <w:b w:val="0"/>
          <w:sz w:val="22"/>
          <w:szCs w:val="22"/>
        </w:rPr>
        <w:t>, (2B), (2C) and (2D)</w:t>
      </w:r>
      <w:r w:rsidRPr="00C5123C">
        <w:rPr>
          <w:rFonts w:ascii="Times New Roman" w:hAnsi="Times New Roman" w:cs="Times New Roman"/>
          <w:b w:val="0"/>
          <w:sz w:val="22"/>
          <w:szCs w:val="22"/>
        </w:rPr>
        <w:t xml:space="preserve"> to the </w:t>
      </w:r>
      <w:r w:rsidR="006D5D29" w:rsidRPr="006D5D29">
        <w:rPr>
          <w:rFonts w:ascii="Times New Roman" w:hAnsi="Times New Roman" w:cs="Times New Roman"/>
          <w:b w:val="0"/>
          <w:sz w:val="22"/>
          <w:szCs w:val="22"/>
        </w:rPr>
        <w:t>Regulations</w:t>
      </w:r>
      <w:r w:rsidRPr="00C5123C">
        <w:rPr>
          <w:rFonts w:ascii="Times New Roman" w:hAnsi="Times New Roman" w:cs="Times New Roman"/>
          <w:b w:val="0"/>
          <w:sz w:val="22"/>
          <w:szCs w:val="22"/>
        </w:rPr>
        <w:t xml:space="preserve"> immediately after subregulation 5.08(2)</w:t>
      </w:r>
      <w:r w:rsidR="00B544FE">
        <w:rPr>
          <w:rFonts w:ascii="Times New Roman" w:hAnsi="Times New Roman" w:cs="Times New Roman"/>
          <w:b w:val="0"/>
          <w:sz w:val="22"/>
          <w:szCs w:val="22"/>
        </w:rPr>
        <w:t xml:space="preserve">. </w:t>
      </w:r>
      <w:r w:rsidRPr="00C5123C">
        <w:rPr>
          <w:rFonts w:ascii="Times New Roman" w:hAnsi="Times New Roman" w:cs="Times New Roman"/>
          <w:b w:val="0"/>
          <w:sz w:val="22"/>
          <w:szCs w:val="22"/>
        </w:rPr>
        <w:t xml:space="preserve"> </w:t>
      </w:r>
      <w:r w:rsidR="00B544FE">
        <w:rPr>
          <w:rFonts w:ascii="Times New Roman" w:hAnsi="Times New Roman" w:cs="Times New Roman"/>
          <w:b w:val="0"/>
          <w:sz w:val="22"/>
          <w:szCs w:val="22"/>
        </w:rPr>
        <w:t xml:space="preserve">Subregulations </w:t>
      </w:r>
      <w:r w:rsidRPr="00C5123C">
        <w:rPr>
          <w:rFonts w:ascii="Times New Roman" w:hAnsi="Times New Roman" w:cs="Times New Roman"/>
          <w:b w:val="0"/>
          <w:sz w:val="22"/>
          <w:szCs w:val="22"/>
        </w:rPr>
        <w:t>5.08(2B), (2C)</w:t>
      </w:r>
      <w:r w:rsidR="00B544FE" w:rsidRPr="009772A5">
        <w:rPr>
          <w:rFonts w:ascii="Times New Roman" w:hAnsi="Times New Roman" w:cs="Times New Roman"/>
          <w:b w:val="0"/>
          <w:sz w:val="22"/>
          <w:szCs w:val="22"/>
        </w:rPr>
        <w:t xml:space="preserve"> and (2D</w:t>
      </w:r>
      <w:r w:rsidR="00B544FE">
        <w:rPr>
          <w:rFonts w:ascii="Times New Roman" w:hAnsi="Times New Roman" w:cs="Times New Roman"/>
          <w:b w:val="0"/>
          <w:sz w:val="22"/>
          <w:szCs w:val="22"/>
        </w:rPr>
        <w:t>)</w:t>
      </w:r>
      <w:r w:rsidRPr="00C5123C">
        <w:rPr>
          <w:rFonts w:ascii="Times New Roman" w:hAnsi="Times New Roman" w:cs="Times New Roman"/>
          <w:b w:val="0"/>
          <w:sz w:val="22"/>
          <w:szCs w:val="22"/>
        </w:rPr>
        <w:t xml:space="preserve"> contain definitions relevant to the new subregulation 5.08(2A).</w:t>
      </w:r>
    </w:p>
    <w:p w:rsidR="0021766A" w:rsidRDefault="0021766A" w:rsidP="009772A5">
      <w:pPr>
        <w:pStyle w:val="ListParagraph"/>
        <w:ind w:left="0" w:right="283"/>
        <w:jc w:val="both"/>
        <w:rPr>
          <w:rFonts w:ascii="Times New Roman" w:eastAsia="Times New Roman" w:hAnsi="Times New Roman"/>
          <w:color w:val="000000"/>
        </w:rPr>
      </w:pPr>
    </w:p>
    <w:p w:rsidR="006A24DE" w:rsidRDefault="00B544FE" w:rsidP="00C5123C">
      <w:pPr>
        <w:pStyle w:val="ListParagraph"/>
        <w:ind w:left="0" w:right="283"/>
        <w:jc w:val="both"/>
        <w:rPr>
          <w:rFonts w:ascii="Times New Roman" w:hAnsi="Times New Roman"/>
          <w:color w:val="000000"/>
        </w:rPr>
      </w:pPr>
      <w:r>
        <w:rPr>
          <w:rFonts w:ascii="Times New Roman" w:hAnsi="Times New Roman"/>
          <w:color w:val="000000"/>
        </w:rPr>
        <w:t>S</w:t>
      </w:r>
      <w:r w:rsidRPr="00B544FE">
        <w:rPr>
          <w:rFonts w:ascii="Times New Roman" w:hAnsi="Times New Roman"/>
          <w:color w:val="000000"/>
        </w:rPr>
        <w:t xml:space="preserve">ubregulation 5.08(2A) </w:t>
      </w:r>
      <w:r>
        <w:rPr>
          <w:rFonts w:ascii="Times New Roman" w:hAnsi="Times New Roman"/>
          <w:color w:val="000000"/>
        </w:rPr>
        <w:t>allow</w:t>
      </w:r>
      <w:r w:rsidR="006A24DE">
        <w:rPr>
          <w:rFonts w:ascii="Times New Roman" w:hAnsi="Times New Roman"/>
          <w:color w:val="000000"/>
        </w:rPr>
        <w:t>s</w:t>
      </w:r>
      <w:r>
        <w:rPr>
          <w:rFonts w:ascii="Times New Roman" w:hAnsi="Times New Roman"/>
          <w:color w:val="000000"/>
        </w:rPr>
        <w:t xml:space="preserve"> for minimum service provisions to </w:t>
      </w:r>
      <w:r w:rsidRPr="00B544FE">
        <w:rPr>
          <w:rFonts w:ascii="Times New Roman" w:hAnsi="Times New Roman"/>
          <w:color w:val="000000"/>
        </w:rPr>
        <w:t xml:space="preserve">be set out </w:t>
      </w:r>
      <w:r>
        <w:rPr>
          <w:rFonts w:ascii="Times New Roman" w:hAnsi="Times New Roman"/>
          <w:color w:val="000000"/>
        </w:rPr>
        <w:t xml:space="preserve">either in </w:t>
      </w:r>
      <w:r w:rsidRPr="00B544FE">
        <w:rPr>
          <w:rFonts w:ascii="Times New Roman" w:hAnsi="Times New Roman"/>
          <w:color w:val="000000"/>
        </w:rPr>
        <w:t xml:space="preserve">an agreement </w:t>
      </w:r>
      <w:r w:rsidRPr="00C5123C">
        <w:rPr>
          <w:rFonts w:ascii="Times New Roman" w:hAnsi="Times New Roman"/>
          <w:color w:val="000000"/>
        </w:rPr>
        <w:t>or</w:t>
      </w:r>
      <w:r w:rsidRPr="00B544FE">
        <w:rPr>
          <w:rFonts w:ascii="Times New Roman" w:hAnsi="Times New Roman"/>
          <w:color w:val="000000"/>
        </w:rPr>
        <w:t xml:space="preserve"> in the fund’s governing rules </w:t>
      </w:r>
      <w:r w:rsidRPr="00C5123C">
        <w:rPr>
          <w:rFonts w:ascii="Times New Roman" w:hAnsi="Times New Roman"/>
          <w:color w:val="000000"/>
        </w:rPr>
        <w:t>or</w:t>
      </w:r>
      <w:r w:rsidRPr="00185C2A">
        <w:rPr>
          <w:rFonts w:ascii="Times New Roman" w:hAnsi="Times New Roman"/>
          <w:color w:val="000000"/>
        </w:rPr>
        <w:t xml:space="preserve"> </w:t>
      </w:r>
      <w:r w:rsidRPr="00B544FE">
        <w:rPr>
          <w:rFonts w:ascii="Times New Roman" w:hAnsi="Times New Roman"/>
          <w:color w:val="000000"/>
        </w:rPr>
        <w:t>in an award or certified agreement covering the member</w:t>
      </w:r>
      <w:r w:rsidRPr="00B544FE">
        <w:rPr>
          <w:rFonts w:ascii="Times New Roman" w:hAnsi="Times New Roman"/>
          <w:color w:val="000000"/>
          <w:vertAlign w:val="superscript"/>
        </w:rPr>
        <w:footnoteReference w:id="3"/>
      </w:r>
      <w:r>
        <w:rPr>
          <w:rFonts w:ascii="Times New Roman" w:hAnsi="Times New Roman"/>
          <w:color w:val="000000"/>
        </w:rPr>
        <w:t xml:space="preserve">, instead of strictly an agreement between the member and their employer (which is what subregulation 5.08(2) does). </w:t>
      </w:r>
    </w:p>
    <w:p w:rsidR="006A24DE" w:rsidRDefault="006A24DE" w:rsidP="00C5123C">
      <w:pPr>
        <w:pStyle w:val="ListParagraph"/>
        <w:ind w:left="0" w:right="283"/>
        <w:jc w:val="both"/>
        <w:rPr>
          <w:rFonts w:ascii="Times New Roman" w:hAnsi="Times New Roman"/>
          <w:color w:val="000000"/>
        </w:rPr>
      </w:pPr>
    </w:p>
    <w:p w:rsidR="006A24DE" w:rsidRPr="006A24DE" w:rsidRDefault="002330C0" w:rsidP="00C5123C">
      <w:pPr>
        <w:pStyle w:val="ListParagraph"/>
        <w:ind w:left="0" w:right="283"/>
        <w:jc w:val="both"/>
        <w:rPr>
          <w:rFonts w:ascii="Times New Roman" w:hAnsi="Times New Roman"/>
          <w:color w:val="000000"/>
        </w:rPr>
      </w:pPr>
      <w:r>
        <w:rPr>
          <w:rFonts w:ascii="Times New Roman" w:hAnsi="Times New Roman"/>
          <w:color w:val="000000"/>
        </w:rPr>
        <w:t xml:space="preserve">The continuation of </w:t>
      </w:r>
      <w:r w:rsidR="00F61C18">
        <w:rPr>
          <w:rFonts w:ascii="Times New Roman" w:hAnsi="Times New Roman"/>
          <w:color w:val="000000"/>
        </w:rPr>
        <w:t>sub</w:t>
      </w:r>
      <w:r>
        <w:rPr>
          <w:rFonts w:ascii="Times New Roman" w:hAnsi="Times New Roman"/>
          <w:color w:val="000000"/>
        </w:rPr>
        <w:t>regulation 5.08(2A)</w:t>
      </w:r>
      <w:r w:rsidR="006A24DE" w:rsidRPr="006A24DE">
        <w:rPr>
          <w:rFonts w:ascii="Times New Roman" w:hAnsi="Times New Roman"/>
          <w:color w:val="000000"/>
        </w:rPr>
        <w:t xml:space="preserve"> is necessary because minimum service provisions can be contained in funds’ governing rules and in awards or certified agreements, not just in the employment contract or some other contract between the member and their employer.  They can also be contained in more than one of these documents at any one time (that is, some of the provisions might be in one document while the remainder might be in</w:t>
      </w:r>
      <w:r w:rsidR="009772A5">
        <w:rPr>
          <w:rFonts w:ascii="Times New Roman" w:hAnsi="Times New Roman"/>
          <w:color w:val="000000"/>
        </w:rPr>
        <w:t xml:space="preserve"> another document). This instrument </w:t>
      </w:r>
      <w:r w:rsidR="006A24DE" w:rsidRPr="006A24DE">
        <w:rPr>
          <w:rFonts w:ascii="Times New Roman" w:hAnsi="Times New Roman"/>
          <w:color w:val="000000"/>
        </w:rPr>
        <w:t>in effect extends the exception in subregulation 5.08(2) to minimum service provisions that are in any of these types of documents.</w:t>
      </w:r>
    </w:p>
    <w:p w:rsidR="00B544FE" w:rsidRPr="009772A5" w:rsidRDefault="00B544FE" w:rsidP="00C5123C">
      <w:pPr>
        <w:pStyle w:val="ListParagraph"/>
        <w:ind w:left="0" w:right="283"/>
        <w:jc w:val="both"/>
        <w:rPr>
          <w:rFonts w:ascii="Times New Roman" w:hAnsi="Times New Roman"/>
          <w:color w:val="000000"/>
        </w:rPr>
      </w:pPr>
    </w:p>
    <w:p w:rsidR="0065231F" w:rsidRDefault="00B5531D" w:rsidP="00C5123C">
      <w:pPr>
        <w:pStyle w:val="ListParagraph"/>
        <w:ind w:left="0" w:right="283"/>
        <w:jc w:val="both"/>
        <w:rPr>
          <w:rFonts w:ascii="Times New Roman" w:hAnsi="Times New Roman"/>
          <w:color w:val="000000"/>
        </w:rPr>
      </w:pPr>
      <w:r>
        <w:rPr>
          <w:rFonts w:ascii="Times New Roman" w:hAnsi="Times New Roman"/>
          <w:color w:val="000000"/>
        </w:rPr>
        <w:t xml:space="preserve">Subregulation 5.08(2) </w:t>
      </w:r>
      <w:r w:rsidRPr="00C5123C">
        <w:rPr>
          <w:rFonts w:ascii="Times New Roman" w:hAnsi="Times New Roman"/>
          <w:color w:val="000000"/>
        </w:rPr>
        <w:t xml:space="preserve">only grandfathers minimum service provisions if those provisions were set out in an agreement between the member and the employer </w:t>
      </w:r>
      <w:r w:rsidR="00185C2A">
        <w:rPr>
          <w:rFonts w:ascii="Times New Roman" w:hAnsi="Times New Roman"/>
          <w:color w:val="000000"/>
        </w:rPr>
        <w:t xml:space="preserve">and was </w:t>
      </w:r>
      <w:r w:rsidRPr="00C5123C">
        <w:rPr>
          <w:rFonts w:ascii="Times New Roman" w:hAnsi="Times New Roman"/>
          <w:color w:val="000000"/>
        </w:rPr>
        <w:t xml:space="preserve">entered into before 12 May 2004.  This does not adequately cater for situations where the member has been subject to minimum service provisions during the period after 12 May </w:t>
      </w:r>
      <w:r w:rsidRPr="00DB07BB">
        <w:rPr>
          <w:rFonts w:ascii="Times New Roman" w:hAnsi="Times New Roman"/>
          <w:color w:val="000000"/>
        </w:rPr>
        <w:t>2004,</w:t>
      </w:r>
      <w:r w:rsidRPr="00C5123C">
        <w:rPr>
          <w:rFonts w:ascii="Times New Roman" w:hAnsi="Times New Roman"/>
          <w:color w:val="000000"/>
        </w:rPr>
        <w:t xml:space="preserve"> where </w:t>
      </w:r>
      <w:r w:rsidRPr="00C5123C">
        <w:rPr>
          <w:rFonts w:ascii="Times New Roman" w:hAnsi="Times New Roman"/>
          <w:color w:val="000000"/>
        </w:rPr>
        <w:lastRenderedPageBreak/>
        <w:t xml:space="preserve">those provisions have undergone some changes, or have been set out in different documents (whether in an agreement between the member and the employer, governing rules, or an award or certified agreement) at different times during that period.  </w:t>
      </w:r>
    </w:p>
    <w:p w:rsidR="0065231F" w:rsidRDefault="0065231F" w:rsidP="00C5123C">
      <w:pPr>
        <w:pStyle w:val="ListParagraph"/>
        <w:ind w:left="0" w:right="283"/>
        <w:jc w:val="both"/>
        <w:rPr>
          <w:rFonts w:ascii="Times New Roman" w:hAnsi="Times New Roman"/>
          <w:color w:val="000000"/>
        </w:rPr>
      </w:pPr>
    </w:p>
    <w:p w:rsidR="009772A5" w:rsidRDefault="00B5531D" w:rsidP="00C5123C">
      <w:pPr>
        <w:pStyle w:val="ListParagraph"/>
        <w:ind w:left="0" w:right="283"/>
        <w:jc w:val="both"/>
        <w:rPr>
          <w:rFonts w:ascii="Times New Roman" w:hAnsi="Times New Roman"/>
          <w:color w:val="000000"/>
        </w:rPr>
      </w:pPr>
      <w:r>
        <w:rPr>
          <w:rFonts w:ascii="Times New Roman" w:hAnsi="Times New Roman"/>
          <w:color w:val="000000"/>
        </w:rPr>
        <w:t>S</w:t>
      </w:r>
      <w:r w:rsidRPr="00C3282B">
        <w:rPr>
          <w:rFonts w:ascii="Times New Roman" w:hAnsi="Times New Roman"/>
          <w:color w:val="000000"/>
        </w:rPr>
        <w:t xml:space="preserve">ubregulation 5.08(2A) grandfathers minimum service provisions </w:t>
      </w:r>
      <w:r>
        <w:rPr>
          <w:rFonts w:ascii="Times New Roman" w:hAnsi="Times New Roman"/>
          <w:color w:val="000000"/>
        </w:rPr>
        <w:t>where minimum service provisions have</w:t>
      </w:r>
      <w:r w:rsidRPr="0087257E">
        <w:rPr>
          <w:rFonts w:ascii="Times New Roman" w:hAnsi="Times New Roman"/>
          <w:color w:val="000000"/>
        </w:rPr>
        <w:t xml:space="preserve"> undergone some change</w:t>
      </w:r>
      <w:r w:rsidRPr="00C3282B">
        <w:rPr>
          <w:rFonts w:ascii="Times New Roman" w:hAnsi="Times New Roman"/>
          <w:color w:val="000000"/>
        </w:rPr>
        <w:t>, or h</w:t>
      </w:r>
      <w:r>
        <w:rPr>
          <w:rFonts w:ascii="Times New Roman" w:hAnsi="Times New Roman"/>
          <w:color w:val="000000"/>
        </w:rPr>
        <w:t>ave</w:t>
      </w:r>
      <w:r w:rsidRPr="00C3282B">
        <w:rPr>
          <w:rFonts w:ascii="Times New Roman" w:hAnsi="Times New Roman"/>
          <w:color w:val="000000"/>
        </w:rPr>
        <w:t xml:space="preserve"> been imposed by different documents, </w:t>
      </w:r>
      <w:r w:rsidRPr="0087257E">
        <w:rPr>
          <w:rFonts w:ascii="Times New Roman" w:hAnsi="Times New Roman"/>
          <w:color w:val="000000"/>
        </w:rPr>
        <w:t>since 12 May 2004</w:t>
      </w:r>
      <w:r>
        <w:rPr>
          <w:rFonts w:ascii="Times New Roman" w:hAnsi="Times New Roman"/>
          <w:color w:val="000000"/>
        </w:rPr>
        <w:t>. However, this is</w:t>
      </w:r>
      <w:r w:rsidRPr="00C3282B">
        <w:rPr>
          <w:rFonts w:ascii="Times New Roman" w:hAnsi="Times New Roman"/>
          <w:color w:val="000000"/>
        </w:rPr>
        <w:t xml:space="preserve"> subject </w:t>
      </w:r>
      <w:r w:rsidR="00FB3EF6">
        <w:rPr>
          <w:rFonts w:ascii="Times New Roman" w:hAnsi="Times New Roman"/>
          <w:color w:val="000000"/>
        </w:rPr>
        <w:t>to the caveat that the changes</w:t>
      </w:r>
      <w:r w:rsidRPr="00C3282B">
        <w:rPr>
          <w:rFonts w:ascii="Times New Roman" w:hAnsi="Times New Roman"/>
          <w:color w:val="000000"/>
        </w:rPr>
        <w:t xml:space="preserve"> must not have become more restrictive or disadvantageous for the member since that date</w:t>
      </w:r>
      <w:r w:rsidR="00FB3EF6">
        <w:rPr>
          <w:rStyle w:val="FootnoteReference"/>
          <w:rFonts w:ascii="Times New Roman" w:hAnsi="Times New Roman"/>
          <w:color w:val="000000"/>
        </w:rPr>
        <w:footnoteReference w:id="4"/>
      </w:r>
      <w:r w:rsidRPr="00C3282B">
        <w:rPr>
          <w:rFonts w:ascii="Times New Roman" w:hAnsi="Times New Roman"/>
          <w:color w:val="000000"/>
        </w:rPr>
        <w:t xml:space="preserve">. </w:t>
      </w:r>
      <w:r w:rsidR="0065231F">
        <w:rPr>
          <w:rFonts w:ascii="Times New Roman" w:hAnsi="Times New Roman"/>
          <w:color w:val="000000"/>
        </w:rPr>
        <w:t>S</w:t>
      </w:r>
      <w:r w:rsidRPr="00C5123C">
        <w:rPr>
          <w:rFonts w:ascii="Times New Roman" w:hAnsi="Times New Roman"/>
          <w:color w:val="000000"/>
        </w:rPr>
        <w:t xml:space="preserve">ubregulation 5.08(2A) </w:t>
      </w:r>
      <w:r w:rsidR="0065231F">
        <w:rPr>
          <w:rFonts w:ascii="Times New Roman" w:hAnsi="Times New Roman"/>
          <w:color w:val="000000"/>
        </w:rPr>
        <w:t xml:space="preserve">of this instrument continues to </w:t>
      </w:r>
      <w:r w:rsidRPr="00C5123C">
        <w:rPr>
          <w:rFonts w:ascii="Times New Roman" w:hAnsi="Times New Roman"/>
          <w:color w:val="000000"/>
        </w:rPr>
        <w:t>cater</w:t>
      </w:r>
      <w:r w:rsidR="00D4375E" w:rsidRPr="00D4375E">
        <w:rPr>
          <w:rFonts w:ascii="Times New Roman" w:hAnsi="Times New Roman"/>
          <w:color w:val="000000"/>
        </w:rPr>
        <w:t xml:space="preserve"> </w:t>
      </w:r>
      <w:r w:rsidR="00D4375E">
        <w:rPr>
          <w:rFonts w:ascii="Times New Roman" w:hAnsi="Times New Roman"/>
          <w:color w:val="000000"/>
        </w:rPr>
        <w:t>to</w:t>
      </w:r>
      <w:r w:rsidRPr="00C5123C">
        <w:rPr>
          <w:rFonts w:ascii="Times New Roman" w:hAnsi="Times New Roman"/>
          <w:color w:val="000000"/>
        </w:rPr>
        <w:t xml:space="preserve"> these situations.</w:t>
      </w:r>
    </w:p>
    <w:p w:rsidR="00920ED7" w:rsidRDefault="00920ED7" w:rsidP="00C5123C">
      <w:pPr>
        <w:pStyle w:val="ListParagraph"/>
        <w:ind w:left="0" w:right="283"/>
        <w:jc w:val="both"/>
        <w:rPr>
          <w:rFonts w:ascii="Times New Roman" w:hAnsi="Times New Roman"/>
          <w:color w:val="000000"/>
        </w:rPr>
      </w:pPr>
    </w:p>
    <w:p w:rsidR="00920ED7" w:rsidRPr="00920ED7" w:rsidRDefault="00D4375E" w:rsidP="00C5123C">
      <w:pPr>
        <w:pStyle w:val="ListParagraph"/>
        <w:ind w:left="0" w:right="283"/>
        <w:jc w:val="both"/>
        <w:rPr>
          <w:rFonts w:ascii="Times New Roman" w:hAnsi="Times New Roman"/>
          <w:color w:val="000000"/>
        </w:rPr>
      </w:pPr>
      <w:r>
        <w:rPr>
          <w:rFonts w:ascii="Times New Roman" w:hAnsi="Times New Roman"/>
          <w:color w:val="000000"/>
        </w:rPr>
        <w:t xml:space="preserve">The continuation </w:t>
      </w:r>
      <w:r w:rsidR="00D70EBF">
        <w:rPr>
          <w:rFonts w:ascii="Times New Roman" w:hAnsi="Times New Roman"/>
          <w:color w:val="000000"/>
        </w:rPr>
        <w:t>of subregulation 5.08(2A)</w:t>
      </w:r>
      <w:r w:rsidR="00920ED7" w:rsidRPr="00920ED7">
        <w:rPr>
          <w:rFonts w:ascii="Times New Roman" w:hAnsi="Times New Roman"/>
          <w:color w:val="000000"/>
        </w:rPr>
        <w:t xml:space="preserve"> reflects the recognition that the minimum service provisions in force on 12 May 2004 may be changed or replaced after that date.  This may occur, for example, where an award or certified agreement that contains minimum service provisions expires after 12 May 2004 and is replaced by a new award or certified agreement.  In this event, </w:t>
      </w:r>
      <w:r w:rsidR="00D70EBF">
        <w:rPr>
          <w:rFonts w:ascii="Times New Roman" w:hAnsi="Times New Roman"/>
          <w:color w:val="000000"/>
        </w:rPr>
        <w:t>paragraph (f) of subregulation 5.08(2A) requires that</w:t>
      </w:r>
      <w:r w:rsidR="00920ED7" w:rsidRPr="00920ED7">
        <w:rPr>
          <w:rFonts w:ascii="Times New Roman" w:hAnsi="Times New Roman"/>
          <w:color w:val="000000"/>
        </w:rPr>
        <w:t xml:space="preserve"> the replacement minimum service provisions must not be any more restrictive than those previously in force.</w:t>
      </w:r>
    </w:p>
    <w:p w:rsidR="00920ED7" w:rsidRPr="009772A5" w:rsidRDefault="00920ED7" w:rsidP="00C5123C">
      <w:pPr>
        <w:pStyle w:val="ListParagraph"/>
        <w:ind w:left="0" w:right="283"/>
        <w:jc w:val="both"/>
        <w:rPr>
          <w:rFonts w:ascii="Times New Roman" w:hAnsi="Times New Roman"/>
          <w:color w:val="000000"/>
        </w:rPr>
      </w:pPr>
    </w:p>
    <w:p w:rsidR="007B2BF4" w:rsidRDefault="00D70EBF" w:rsidP="007B2BF4">
      <w:pPr>
        <w:pStyle w:val="ListParagraph"/>
        <w:ind w:left="0" w:right="283"/>
        <w:jc w:val="both"/>
        <w:rPr>
          <w:rFonts w:ascii="Times New Roman" w:hAnsi="Times New Roman"/>
          <w:color w:val="000000"/>
        </w:rPr>
      </w:pPr>
      <w:r>
        <w:rPr>
          <w:rFonts w:ascii="Times New Roman" w:eastAsia="Times New Roman" w:hAnsi="Times New Roman"/>
          <w:color w:val="000000"/>
        </w:rPr>
        <w:t xml:space="preserve">Subregulation 5.08(2) </w:t>
      </w:r>
      <w:r w:rsidRPr="00C5123C">
        <w:rPr>
          <w:rFonts w:ascii="Times New Roman" w:eastAsia="Times New Roman" w:hAnsi="Times New Roman"/>
          <w:color w:val="000000"/>
        </w:rPr>
        <w:t xml:space="preserve">only grandfathers minimum service provisions which make the member’s entitlement to the minimum benefits concerned conditional on the member having been an employee </w:t>
      </w:r>
      <w:r w:rsidRPr="00C5123C">
        <w:rPr>
          <w:rFonts w:ascii="Times New Roman" w:eastAsia="Times New Roman" w:hAnsi="Times New Roman"/>
          <w:i/>
          <w:color w:val="000000"/>
        </w:rPr>
        <w:t>of the employer</w:t>
      </w:r>
      <w:r w:rsidRPr="00C5123C">
        <w:rPr>
          <w:rFonts w:ascii="Times New Roman" w:eastAsia="Times New Roman" w:hAnsi="Times New Roman"/>
          <w:color w:val="000000"/>
        </w:rPr>
        <w:t xml:space="preserve"> for a specified minimum period.</w:t>
      </w:r>
      <w:r w:rsidRPr="00D70EBF">
        <w:rPr>
          <w:rFonts w:ascii="Times New Roman" w:eastAsia="Times New Roman" w:hAnsi="Times New Roman"/>
          <w:b/>
          <w:color w:val="000000"/>
        </w:rPr>
        <w:t xml:space="preserve">  </w:t>
      </w:r>
      <w:r w:rsidR="006960C6">
        <w:rPr>
          <w:rFonts w:ascii="Times New Roman" w:eastAsia="Times New Roman" w:hAnsi="Times New Roman"/>
          <w:color w:val="000000"/>
        </w:rPr>
        <w:t>S</w:t>
      </w:r>
      <w:r w:rsidR="007B2BF4">
        <w:rPr>
          <w:rFonts w:ascii="Times New Roman" w:eastAsia="Times New Roman" w:hAnsi="Times New Roman"/>
          <w:color w:val="000000"/>
        </w:rPr>
        <w:t xml:space="preserve">ubregulation 5.08(2A) </w:t>
      </w:r>
      <w:r w:rsidR="006960C6">
        <w:rPr>
          <w:rFonts w:ascii="Times New Roman" w:eastAsia="Times New Roman" w:hAnsi="Times New Roman"/>
          <w:color w:val="000000"/>
        </w:rPr>
        <w:t>continue</w:t>
      </w:r>
      <w:r w:rsidR="00D4375E">
        <w:rPr>
          <w:rFonts w:ascii="Times New Roman" w:eastAsia="Times New Roman" w:hAnsi="Times New Roman"/>
          <w:color w:val="000000"/>
        </w:rPr>
        <w:t>s</w:t>
      </w:r>
      <w:r w:rsidR="006960C6">
        <w:rPr>
          <w:rFonts w:ascii="Times New Roman" w:eastAsia="Times New Roman" w:hAnsi="Times New Roman"/>
          <w:color w:val="000000"/>
        </w:rPr>
        <w:t xml:space="preserve"> to </w:t>
      </w:r>
      <w:r w:rsidR="006960C6">
        <w:rPr>
          <w:rFonts w:ascii="Times New Roman" w:hAnsi="Times New Roman"/>
          <w:color w:val="000000"/>
        </w:rPr>
        <w:t>extend</w:t>
      </w:r>
      <w:r w:rsidR="007B2BF4" w:rsidRPr="007B2BF4">
        <w:rPr>
          <w:rFonts w:ascii="Times New Roman" w:hAnsi="Times New Roman"/>
          <w:color w:val="000000"/>
        </w:rPr>
        <w:t xml:space="preserve"> the </w:t>
      </w:r>
      <w:r w:rsidR="00D4375E">
        <w:rPr>
          <w:rFonts w:ascii="Times New Roman" w:hAnsi="Times New Roman"/>
          <w:color w:val="000000"/>
        </w:rPr>
        <w:t xml:space="preserve">exception </w:t>
      </w:r>
      <w:r w:rsidR="007B2BF4" w:rsidRPr="007B2BF4">
        <w:rPr>
          <w:rFonts w:ascii="Times New Roman" w:hAnsi="Times New Roman"/>
          <w:color w:val="000000"/>
        </w:rPr>
        <w:t>to minimum service provisions which make the member’s entitlement conditional on the member having been, for a specified minimum period, any of the following:</w:t>
      </w:r>
    </w:p>
    <w:p w:rsidR="007B2BF4" w:rsidRPr="00D4375E" w:rsidRDefault="007B2BF4" w:rsidP="00C5123C">
      <w:pPr>
        <w:pStyle w:val="ListParagraph"/>
        <w:numPr>
          <w:ilvl w:val="0"/>
          <w:numId w:val="16"/>
        </w:numPr>
        <w:ind w:right="283"/>
        <w:jc w:val="both"/>
        <w:rPr>
          <w:rFonts w:ascii="Times New Roman" w:hAnsi="Times New Roman"/>
          <w:color w:val="000000"/>
        </w:rPr>
      </w:pPr>
      <w:r w:rsidRPr="007B2BF4">
        <w:rPr>
          <w:rFonts w:ascii="Times New Roman" w:hAnsi="Times New Roman"/>
          <w:color w:val="000000"/>
        </w:rPr>
        <w:t>an employee (</w:t>
      </w:r>
      <w:r w:rsidRPr="00C5123C">
        <w:rPr>
          <w:rFonts w:ascii="Times New Roman" w:hAnsi="Times New Roman"/>
          <w:color w:val="000000"/>
        </w:rPr>
        <w:t>or</w:t>
      </w:r>
      <w:r w:rsidRPr="00D4375E">
        <w:rPr>
          <w:rFonts w:ascii="Times New Roman" w:hAnsi="Times New Roman"/>
          <w:color w:val="000000"/>
        </w:rPr>
        <w:t xml:space="preserve"> a particular class or category of employee) of the employer, </w:t>
      </w:r>
      <w:r w:rsidRPr="00C5123C">
        <w:rPr>
          <w:rFonts w:ascii="Times New Roman" w:hAnsi="Times New Roman"/>
          <w:color w:val="000000"/>
        </w:rPr>
        <w:t>or</w:t>
      </w:r>
      <w:r w:rsidRPr="00D4375E">
        <w:rPr>
          <w:rFonts w:ascii="Times New Roman" w:hAnsi="Times New Roman"/>
          <w:color w:val="000000"/>
        </w:rPr>
        <w:t xml:space="preserve"> of a predecessor of the employer who previously carried on the employer’s business, </w:t>
      </w:r>
      <w:r w:rsidRPr="00C5123C">
        <w:rPr>
          <w:rFonts w:ascii="Times New Roman" w:hAnsi="Times New Roman"/>
          <w:color w:val="000000"/>
        </w:rPr>
        <w:t>or</w:t>
      </w:r>
      <w:r w:rsidRPr="00D4375E">
        <w:rPr>
          <w:rFonts w:ascii="Times New Roman" w:hAnsi="Times New Roman"/>
          <w:color w:val="000000"/>
        </w:rPr>
        <w:t xml:space="preserve"> of a related body corporate of the employer; </w:t>
      </w:r>
      <w:r w:rsidRPr="00C5123C">
        <w:rPr>
          <w:rFonts w:ascii="Times New Roman" w:hAnsi="Times New Roman"/>
          <w:color w:val="000000"/>
        </w:rPr>
        <w:t>or</w:t>
      </w:r>
    </w:p>
    <w:p w:rsidR="00B544FE" w:rsidRPr="00C5123C" w:rsidRDefault="007B2BF4" w:rsidP="00C5123C">
      <w:pPr>
        <w:pStyle w:val="ListParagraph"/>
        <w:numPr>
          <w:ilvl w:val="0"/>
          <w:numId w:val="16"/>
        </w:numPr>
        <w:ind w:right="283"/>
        <w:jc w:val="both"/>
        <w:rPr>
          <w:rFonts w:ascii="Times New Roman" w:hAnsi="Times New Roman"/>
          <w:color w:val="000000"/>
        </w:rPr>
      </w:pPr>
      <w:r w:rsidRPr="00C5123C">
        <w:rPr>
          <w:rFonts w:ascii="Times New Roman" w:eastAsia="Times New Roman" w:hAnsi="Times New Roman"/>
          <w:color w:val="000000"/>
        </w:rPr>
        <w:t xml:space="preserve">a member (or a particular class or category of member) of another superannuation fund </w:t>
      </w:r>
      <w:r w:rsidRPr="00D4375E">
        <w:rPr>
          <w:rFonts w:ascii="Times New Roman" w:eastAsia="Times New Roman" w:hAnsi="Times New Roman"/>
          <w:color w:val="000000"/>
        </w:rPr>
        <w:t>(other than a self-</w:t>
      </w:r>
      <w:r w:rsidRPr="00C5123C">
        <w:rPr>
          <w:rFonts w:ascii="Times New Roman" w:eastAsia="Times New Roman" w:hAnsi="Times New Roman"/>
          <w:color w:val="000000"/>
        </w:rPr>
        <w:t>managed superannuation fund) to which contributions were made for their benefit by the member’s current employer, or by a predecessor of the current employer who previously carried on that employer’s business, or by a related body corporate of the current employer.</w:t>
      </w:r>
    </w:p>
    <w:p w:rsidR="00022FC8" w:rsidRDefault="00022FC8" w:rsidP="00C5123C">
      <w:pPr>
        <w:pStyle w:val="ListParagraph"/>
        <w:ind w:left="0" w:right="283"/>
        <w:jc w:val="both"/>
        <w:rPr>
          <w:rFonts w:ascii="Times New Roman" w:eastAsia="Times New Roman" w:hAnsi="Times New Roman"/>
          <w:color w:val="000000"/>
        </w:rPr>
      </w:pPr>
    </w:p>
    <w:p w:rsidR="006960C6" w:rsidRPr="00C5123C" w:rsidRDefault="006960C6" w:rsidP="00E71CFA">
      <w:pPr>
        <w:pStyle w:val="ListParagraph"/>
        <w:ind w:left="0" w:right="283"/>
        <w:jc w:val="both"/>
        <w:rPr>
          <w:rFonts w:ascii="Times New Roman" w:hAnsi="Times New Roman"/>
          <w:color w:val="000000"/>
        </w:rPr>
      </w:pPr>
      <w:r>
        <w:rPr>
          <w:rFonts w:ascii="Times New Roman" w:eastAsia="Times New Roman" w:hAnsi="Times New Roman"/>
          <w:color w:val="000000"/>
        </w:rPr>
        <w:t xml:space="preserve">This subregulation operates to </w:t>
      </w:r>
      <w:r w:rsidR="00022FC8">
        <w:rPr>
          <w:rFonts w:ascii="Times New Roman" w:eastAsia="Times New Roman" w:hAnsi="Times New Roman"/>
          <w:color w:val="000000"/>
        </w:rPr>
        <w:t xml:space="preserve">include </w:t>
      </w:r>
      <w:r w:rsidR="00022FC8" w:rsidRPr="00022FC8">
        <w:rPr>
          <w:rFonts w:ascii="Times New Roman" w:hAnsi="Times New Roman"/>
          <w:color w:val="000000"/>
        </w:rPr>
        <w:t xml:space="preserve">employee retention arrangements </w:t>
      </w:r>
      <w:r w:rsidR="00022FC8">
        <w:rPr>
          <w:rFonts w:ascii="Times New Roman" w:hAnsi="Times New Roman"/>
          <w:color w:val="000000"/>
        </w:rPr>
        <w:t xml:space="preserve">that </w:t>
      </w:r>
      <w:r w:rsidR="00022FC8" w:rsidRPr="00022FC8">
        <w:rPr>
          <w:rFonts w:ascii="Times New Roman" w:hAnsi="Times New Roman"/>
          <w:color w:val="000000"/>
        </w:rPr>
        <w:t xml:space="preserve">stipulate a minimum period of employment with a corporate group rather than just with a single employer.  </w:t>
      </w:r>
      <w:r w:rsidR="00022FC8">
        <w:rPr>
          <w:rFonts w:ascii="Times New Roman" w:hAnsi="Times New Roman"/>
          <w:color w:val="000000"/>
        </w:rPr>
        <w:t xml:space="preserve">It also provides </w:t>
      </w:r>
      <w:r w:rsidR="00022FC8" w:rsidRPr="00022FC8">
        <w:rPr>
          <w:rFonts w:ascii="Times New Roman" w:hAnsi="Times New Roman"/>
          <w:color w:val="000000"/>
        </w:rPr>
        <w:t xml:space="preserve">for employee retention arrangements </w:t>
      </w:r>
      <w:r w:rsidR="00022FC8">
        <w:rPr>
          <w:rFonts w:ascii="Times New Roman" w:hAnsi="Times New Roman"/>
          <w:color w:val="000000"/>
        </w:rPr>
        <w:t xml:space="preserve">that </w:t>
      </w:r>
      <w:r w:rsidR="00022FC8" w:rsidRPr="00022FC8">
        <w:rPr>
          <w:rFonts w:ascii="Times New Roman" w:hAnsi="Times New Roman"/>
          <w:color w:val="000000"/>
        </w:rPr>
        <w:t>work by stipulating a minimum period of fund membership rather than a minimum period of employment.</w:t>
      </w:r>
    </w:p>
    <w:p w:rsidR="006960C6" w:rsidRPr="00DB07BB" w:rsidRDefault="006960C6" w:rsidP="00E71CFA">
      <w:pPr>
        <w:pStyle w:val="ListParagraph"/>
        <w:ind w:left="0" w:right="283"/>
        <w:jc w:val="both"/>
        <w:rPr>
          <w:rFonts w:ascii="Times New Roman" w:eastAsia="Times New Roman" w:hAnsi="Times New Roman"/>
          <w:color w:val="000000"/>
        </w:rPr>
      </w:pPr>
    </w:p>
    <w:p w:rsidR="00C62FCA" w:rsidRPr="00C5123C" w:rsidRDefault="00565E00" w:rsidP="00E71CFA">
      <w:pPr>
        <w:pStyle w:val="ListParagraph"/>
        <w:ind w:left="0" w:right="283"/>
        <w:jc w:val="both"/>
        <w:rPr>
          <w:rFonts w:ascii="Times New Roman" w:eastAsia="Times New Roman" w:hAnsi="Times New Roman"/>
          <w:color w:val="000000"/>
        </w:rPr>
      </w:pPr>
      <w:r>
        <w:rPr>
          <w:rFonts w:ascii="Times New Roman" w:eastAsia="Times New Roman" w:hAnsi="Times New Roman"/>
          <w:color w:val="000000"/>
        </w:rPr>
        <w:t xml:space="preserve">In light of MD 26 sunsetting on 1 October 2015, </w:t>
      </w:r>
      <w:r w:rsidR="00E71CFA" w:rsidRPr="00C5123C">
        <w:rPr>
          <w:rFonts w:ascii="Times New Roman" w:eastAsia="Times New Roman" w:hAnsi="Times New Roman"/>
          <w:color w:val="000000"/>
        </w:rPr>
        <w:t xml:space="preserve">APRA conducted an assessment of the </w:t>
      </w:r>
      <w:r w:rsidR="00C517AC">
        <w:rPr>
          <w:rFonts w:ascii="Times New Roman" w:eastAsia="Times New Roman" w:hAnsi="Times New Roman"/>
          <w:color w:val="000000"/>
        </w:rPr>
        <w:t xml:space="preserve">effectiveness and efficiency of continuing </w:t>
      </w:r>
      <w:r w:rsidR="00E71CFA" w:rsidRPr="00C5123C">
        <w:rPr>
          <w:rFonts w:ascii="Times New Roman" w:eastAsia="Times New Roman" w:hAnsi="Times New Roman"/>
          <w:color w:val="000000"/>
        </w:rPr>
        <w:t xml:space="preserve">MD 26 and concluded that it was appropriate that </w:t>
      </w:r>
      <w:r w:rsidR="00E86A2C" w:rsidRPr="00C5123C">
        <w:rPr>
          <w:rFonts w:ascii="Times New Roman" w:eastAsia="Times New Roman" w:hAnsi="Times New Roman"/>
          <w:color w:val="000000"/>
        </w:rPr>
        <w:t>the instrument</w:t>
      </w:r>
      <w:r w:rsidR="00E71CFA" w:rsidRPr="00C5123C">
        <w:rPr>
          <w:rFonts w:ascii="Times New Roman" w:eastAsia="Times New Roman" w:hAnsi="Times New Roman"/>
          <w:color w:val="000000"/>
        </w:rPr>
        <w:t xml:space="preserve"> be remade without amendment. </w:t>
      </w:r>
    </w:p>
    <w:p w:rsidR="00444B30" w:rsidRPr="00C5123C" w:rsidRDefault="00444B30" w:rsidP="00C5123C">
      <w:pPr>
        <w:pStyle w:val="Heading"/>
        <w:numPr>
          <w:ilvl w:val="0"/>
          <w:numId w:val="14"/>
        </w:numPr>
        <w:spacing w:after="0"/>
        <w:ind w:left="425" w:hanging="425"/>
        <w:jc w:val="both"/>
        <w:outlineLvl w:val="9"/>
        <w:rPr>
          <w:rFonts w:ascii="Times New Roman" w:hAnsi="Times New Roman" w:cs="Times New Roman"/>
          <w:sz w:val="22"/>
          <w:szCs w:val="22"/>
        </w:rPr>
      </w:pPr>
      <w:r w:rsidRPr="00C5123C">
        <w:rPr>
          <w:rFonts w:ascii="Times New Roman" w:hAnsi="Times New Roman" w:cs="Times New Roman"/>
          <w:sz w:val="22"/>
          <w:szCs w:val="22"/>
        </w:rPr>
        <w:t>Consultation</w:t>
      </w:r>
    </w:p>
    <w:p w:rsidR="00444B30" w:rsidRPr="00C5123C" w:rsidRDefault="00444B30" w:rsidP="00444B30">
      <w:pPr>
        <w:jc w:val="both"/>
        <w:rPr>
          <w:rFonts w:ascii="Times New Roman" w:hAnsi="Times New Roman"/>
        </w:rPr>
      </w:pPr>
    </w:p>
    <w:p w:rsidR="00444B30" w:rsidRPr="00C5123C" w:rsidRDefault="00EF5B55" w:rsidP="00444B30">
      <w:pPr>
        <w:jc w:val="both"/>
        <w:rPr>
          <w:rFonts w:ascii="Times New Roman" w:hAnsi="Times New Roman"/>
        </w:rPr>
      </w:pPr>
      <w:r>
        <w:rPr>
          <w:rFonts w:ascii="Times New Roman" w:hAnsi="Times New Roman"/>
        </w:rPr>
        <w:t>This instrument</w:t>
      </w:r>
      <w:r w:rsidR="00444B30" w:rsidRPr="00C5123C">
        <w:rPr>
          <w:rFonts w:ascii="Times New Roman" w:hAnsi="Times New Roman"/>
        </w:rPr>
        <w:t xml:space="preserve"> </w:t>
      </w:r>
      <w:r w:rsidR="00DE399F">
        <w:rPr>
          <w:rFonts w:ascii="Times New Roman" w:hAnsi="Times New Roman"/>
        </w:rPr>
        <w:t>re</w:t>
      </w:r>
      <w:r w:rsidR="00444B30" w:rsidRPr="00C5123C">
        <w:rPr>
          <w:rFonts w:ascii="Times New Roman" w:hAnsi="Times New Roman"/>
        </w:rPr>
        <w:t>makes MD 26</w:t>
      </w:r>
      <w:r w:rsidR="00DE399F">
        <w:rPr>
          <w:rFonts w:ascii="Times New Roman" w:hAnsi="Times New Roman"/>
        </w:rPr>
        <w:t xml:space="preserve"> </w:t>
      </w:r>
      <w:r w:rsidR="0009088A">
        <w:rPr>
          <w:rFonts w:ascii="Times New Roman" w:hAnsi="Times New Roman"/>
        </w:rPr>
        <w:t>without</w:t>
      </w:r>
      <w:r w:rsidR="00DE399F">
        <w:rPr>
          <w:rFonts w:ascii="Times New Roman" w:hAnsi="Times New Roman"/>
        </w:rPr>
        <w:t xml:space="preserve"> change</w:t>
      </w:r>
      <w:r w:rsidR="0009088A">
        <w:rPr>
          <w:rFonts w:ascii="Times New Roman" w:hAnsi="Times New Roman"/>
        </w:rPr>
        <w:t xml:space="preserve">s to </w:t>
      </w:r>
      <w:r w:rsidR="00551997">
        <w:rPr>
          <w:rFonts w:ascii="Times New Roman" w:hAnsi="Times New Roman"/>
        </w:rPr>
        <w:t xml:space="preserve">its </w:t>
      </w:r>
      <w:r w:rsidR="0009088A">
        <w:rPr>
          <w:rFonts w:ascii="Times New Roman" w:hAnsi="Times New Roman"/>
        </w:rPr>
        <w:t>substantive requirements</w:t>
      </w:r>
      <w:r w:rsidR="00981C55">
        <w:rPr>
          <w:rFonts w:ascii="Times New Roman" w:hAnsi="Times New Roman"/>
        </w:rPr>
        <w:t>.</w:t>
      </w:r>
      <w:r w:rsidR="0009088A">
        <w:rPr>
          <w:rFonts w:ascii="Times New Roman" w:hAnsi="Times New Roman"/>
        </w:rPr>
        <w:t xml:space="preserve"> </w:t>
      </w:r>
      <w:proofErr w:type="gramStart"/>
      <w:r w:rsidR="00981C55">
        <w:rPr>
          <w:rFonts w:ascii="Times New Roman" w:hAnsi="Times New Roman"/>
        </w:rPr>
        <w:t>T</w:t>
      </w:r>
      <w:r w:rsidR="0009088A">
        <w:rPr>
          <w:rFonts w:ascii="Times New Roman" w:hAnsi="Times New Roman"/>
        </w:rPr>
        <w:t xml:space="preserve">he  </w:t>
      </w:r>
      <w:r w:rsidR="00E7597D">
        <w:rPr>
          <w:rFonts w:ascii="Times New Roman" w:hAnsi="Times New Roman"/>
        </w:rPr>
        <w:t>modification</w:t>
      </w:r>
      <w:proofErr w:type="gramEnd"/>
      <w:r w:rsidR="00E7597D">
        <w:rPr>
          <w:rFonts w:ascii="Times New Roman" w:hAnsi="Times New Roman"/>
        </w:rPr>
        <w:t xml:space="preserve"> to </w:t>
      </w:r>
      <w:r w:rsidR="0009088A">
        <w:rPr>
          <w:rFonts w:ascii="Times New Roman" w:hAnsi="Times New Roman"/>
        </w:rPr>
        <w:t>regulation</w:t>
      </w:r>
      <w:r w:rsidR="00E7597D">
        <w:rPr>
          <w:rFonts w:ascii="Times New Roman" w:hAnsi="Times New Roman"/>
        </w:rPr>
        <w:t xml:space="preserve"> 5.08 has been renumbered</w:t>
      </w:r>
      <w:r w:rsidR="0009088A">
        <w:rPr>
          <w:rFonts w:ascii="Times New Roman" w:hAnsi="Times New Roman"/>
        </w:rPr>
        <w:t xml:space="preserve"> so that it is consistent with the numbering sequence in the Regulations. </w:t>
      </w:r>
      <w:r w:rsidR="00981C55">
        <w:rPr>
          <w:rFonts w:ascii="Times New Roman" w:hAnsi="Times New Roman"/>
        </w:rPr>
        <w:t xml:space="preserve">The definitions of “certified agreement” and “employment tribunal” have been expanded to take into account changes since MD 26 was made in the way in which those documents and bodies are referred to in industrial relations legislation. </w:t>
      </w:r>
      <w:r w:rsidR="00DE399F">
        <w:rPr>
          <w:rFonts w:ascii="Times New Roman" w:hAnsi="Times New Roman"/>
        </w:rPr>
        <w:t xml:space="preserve">As MD 26 is due </w:t>
      </w:r>
      <w:r w:rsidR="00C82EBE">
        <w:rPr>
          <w:rFonts w:ascii="Times New Roman" w:hAnsi="Times New Roman"/>
        </w:rPr>
        <w:t xml:space="preserve">to sunset on 1 October 2015, this instrument </w:t>
      </w:r>
      <w:r w:rsidR="00444B30" w:rsidRPr="00C5123C">
        <w:rPr>
          <w:rFonts w:ascii="Times New Roman" w:hAnsi="Times New Roman"/>
        </w:rPr>
        <w:t>allows for the continuation of the current re</w:t>
      </w:r>
      <w:r w:rsidR="00C82EBE">
        <w:rPr>
          <w:rFonts w:ascii="Times New Roman" w:hAnsi="Times New Roman"/>
        </w:rPr>
        <w:t xml:space="preserve">gime which </w:t>
      </w:r>
      <w:r w:rsidR="00C82EBE" w:rsidRPr="006D55AC">
        <w:rPr>
          <w:rFonts w:ascii="Times New Roman" w:hAnsi="Times New Roman"/>
        </w:rPr>
        <w:t>expand</w:t>
      </w:r>
      <w:r w:rsidR="00C82EBE">
        <w:rPr>
          <w:rFonts w:ascii="Times New Roman" w:hAnsi="Times New Roman"/>
        </w:rPr>
        <w:t>s</w:t>
      </w:r>
      <w:r w:rsidR="00C82EBE" w:rsidRPr="006D55AC">
        <w:rPr>
          <w:rFonts w:ascii="Times New Roman" w:hAnsi="Times New Roman"/>
        </w:rPr>
        <w:t xml:space="preserve"> the scope of the exception in subregulation 5.08(2)</w:t>
      </w:r>
      <w:r w:rsidR="00C5306B">
        <w:rPr>
          <w:rFonts w:ascii="Times New Roman" w:hAnsi="Times New Roman"/>
        </w:rPr>
        <w:t>.</w:t>
      </w:r>
      <w:r w:rsidR="00DE399F">
        <w:rPr>
          <w:rFonts w:ascii="Times New Roman" w:hAnsi="Times New Roman"/>
        </w:rPr>
        <w:t xml:space="preserve"> </w:t>
      </w:r>
    </w:p>
    <w:p w:rsidR="00444B30" w:rsidRPr="00C5123C" w:rsidRDefault="00444B30" w:rsidP="00444B30">
      <w:pPr>
        <w:jc w:val="both"/>
        <w:rPr>
          <w:rFonts w:ascii="Times New Roman" w:hAnsi="Times New Roman"/>
        </w:rPr>
      </w:pPr>
    </w:p>
    <w:p w:rsidR="007771ED" w:rsidRPr="00C5123C" w:rsidRDefault="007771ED" w:rsidP="007771ED">
      <w:pPr>
        <w:pStyle w:val="ListParagraph"/>
        <w:ind w:left="0" w:right="283"/>
        <w:jc w:val="both"/>
        <w:rPr>
          <w:rFonts w:ascii="Times New Roman" w:eastAsia="Times New Roman" w:hAnsi="Times New Roman"/>
          <w:color w:val="000000"/>
        </w:rPr>
      </w:pPr>
      <w:r w:rsidRPr="00C5123C">
        <w:rPr>
          <w:rFonts w:ascii="Times New Roman" w:hAnsi="Times New Roman"/>
        </w:rPr>
        <w:lastRenderedPageBreak/>
        <w:t xml:space="preserve">APRA undertook </w:t>
      </w:r>
      <w:r w:rsidR="00E604AE">
        <w:rPr>
          <w:rFonts w:ascii="Times New Roman" w:hAnsi="Times New Roman"/>
        </w:rPr>
        <w:t xml:space="preserve">extensive </w:t>
      </w:r>
      <w:r w:rsidRPr="00C5123C">
        <w:rPr>
          <w:rFonts w:ascii="Times New Roman" w:hAnsi="Times New Roman"/>
        </w:rPr>
        <w:t>consultation with organisations representing APRA-regulated RSE licensees before making MD 26. Therefore APRA did not undertake further consultation upon making</w:t>
      </w:r>
      <w:r w:rsidR="00EF5B55">
        <w:rPr>
          <w:rFonts w:ascii="Times New Roman" w:hAnsi="Times New Roman"/>
        </w:rPr>
        <w:t xml:space="preserve"> this instrument</w:t>
      </w:r>
      <w:r w:rsidRPr="00C5123C">
        <w:rPr>
          <w:rFonts w:ascii="Times New Roman" w:hAnsi="Times New Roman"/>
        </w:rPr>
        <w:t xml:space="preserve">. </w:t>
      </w:r>
      <w:r w:rsidR="000A7265">
        <w:rPr>
          <w:rFonts w:ascii="Times New Roman" w:hAnsi="Times New Roman"/>
        </w:rPr>
        <w:t>APRA concluded that remaking MD 26 would have no impact on the superannuation industry as RSE licensees are currently operating under requirements identical to those imposed by the Instrument.</w:t>
      </w:r>
    </w:p>
    <w:p w:rsidR="00444B30" w:rsidRPr="00C5123C" w:rsidRDefault="00444B30" w:rsidP="00C5123C">
      <w:pPr>
        <w:pStyle w:val="Heading"/>
        <w:numPr>
          <w:ilvl w:val="0"/>
          <w:numId w:val="14"/>
        </w:numPr>
        <w:spacing w:after="0"/>
        <w:ind w:left="425" w:hanging="425"/>
        <w:jc w:val="both"/>
        <w:outlineLvl w:val="9"/>
        <w:rPr>
          <w:rFonts w:ascii="Times New Roman" w:hAnsi="Times New Roman" w:cs="Times New Roman"/>
          <w:sz w:val="22"/>
          <w:szCs w:val="22"/>
        </w:rPr>
      </w:pPr>
      <w:r w:rsidRPr="00C5123C">
        <w:rPr>
          <w:rFonts w:ascii="Times New Roman" w:hAnsi="Times New Roman" w:cs="Times New Roman"/>
          <w:sz w:val="22"/>
          <w:szCs w:val="22"/>
        </w:rPr>
        <w:t>Regulation Impact Statement</w:t>
      </w:r>
    </w:p>
    <w:p w:rsidR="00444B30" w:rsidRPr="00C5123C" w:rsidRDefault="00444B30" w:rsidP="00444B30">
      <w:pPr>
        <w:pStyle w:val="Heading"/>
        <w:spacing w:after="120"/>
        <w:rPr>
          <w:rFonts w:ascii="Times New Roman" w:hAnsi="Times New Roman" w:cs="Times New Roman"/>
          <w:b w:val="0"/>
          <w:sz w:val="22"/>
          <w:szCs w:val="22"/>
        </w:rPr>
      </w:pPr>
      <w:r w:rsidRPr="00C5123C">
        <w:rPr>
          <w:rFonts w:ascii="Times New Roman" w:hAnsi="Times New Roman" w:cs="Times New Roman"/>
          <w:b w:val="0"/>
          <w:sz w:val="22"/>
          <w:szCs w:val="22"/>
        </w:rPr>
        <w:t xml:space="preserve">The Office of Best Practice Regulation </w:t>
      </w:r>
      <w:r w:rsidR="00E86A2C" w:rsidRPr="00C5123C">
        <w:rPr>
          <w:rFonts w:ascii="Times New Roman" w:hAnsi="Times New Roman" w:cs="Times New Roman"/>
          <w:b w:val="0"/>
          <w:sz w:val="22"/>
          <w:szCs w:val="22"/>
        </w:rPr>
        <w:t xml:space="preserve">(OBPR) </w:t>
      </w:r>
      <w:r w:rsidRPr="00C5123C">
        <w:rPr>
          <w:rFonts w:ascii="Times New Roman" w:hAnsi="Times New Roman" w:cs="Times New Roman"/>
          <w:b w:val="0"/>
          <w:sz w:val="22"/>
          <w:szCs w:val="22"/>
        </w:rPr>
        <w:t xml:space="preserve">has advised that APRA </w:t>
      </w:r>
      <w:r w:rsidR="00877386" w:rsidRPr="00C5123C">
        <w:rPr>
          <w:rFonts w:ascii="Times New Roman" w:hAnsi="Times New Roman" w:cs="Times New Roman"/>
          <w:b w:val="0"/>
          <w:sz w:val="22"/>
          <w:szCs w:val="22"/>
        </w:rPr>
        <w:t>need not</w:t>
      </w:r>
      <w:r w:rsidRPr="00C5123C">
        <w:rPr>
          <w:rFonts w:ascii="Times New Roman" w:hAnsi="Times New Roman" w:cs="Times New Roman"/>
          <w:b w:val="0"/>
          <w:sz w:val="22"/>
          <w:szCs w:val="22"/>
        </w:rPr>
        <w:t xml:space="preserve"> </w:t>
      </w:r>
      <w:r w:rsidR="00877386" w:rsidRPr="00C5123C">
        <w:rPr>
          <w:rFonts w:ascii="Times New Roman" w:hAnsi="Times New Roman" w:cs="Times New Roman"/>
          <w:b w:val="0"/>
          <w:sz w:val="22"/>
          <w:szCs w:val="22"/>
        </w:rPr>
        <w:t>complete a Regulation Impact Statement</w:t>
      </w:r>
      <w:r w:rsidR="00E86A2C" w:rsidRPr="00C5123C">
        <w:rPr>
          <w:rFonts w:ascii="Times New Roman" w:hAnsi="Times New Roman" w:cs="Times New Roman"/>
          <w:b w:val="0"/>
          <w:sz w:val="22"/>
          <w:szCs w:val="22"/>
        </w:rPr>
        <w:t>,</w:t>
      </w:r>
      <w:r w:rsidR="00877386" w:rsidRPr="00C5123C">
        <w:rPr>
          <w:rFonts w:ascii="Times New Roman" w:hAnsi="Times New Roman" w:cs="Times New Roman"/>
          <w:b w:val="0"/>
          <w:sz w:val="22"/>
          <w:szCs w:val="22"/>
        </w:rPr>
        <w:t xml:space="preserve"> </w:t>
      </w:r>
      <w:r w:rsidR="00E86A2C" w:rsidRPr="00C5123C">
        <w:rPr>
          <w:rFonts w:ascii="Times New Roman" w:hAnsi="Times New Roman" w:cs="Times New Roman"/>
          <w:b w:val="0"/>
          <w:sz w:val="22"/>
          <w:szCs w:val="22"/>
        </w:rPr>
        <w:t>nor</w:t>
      </w:r>
      <w:r w:rsidR="00877386" w:rsidRPr="00C5123C">
        <w:rPr>
          <w:rFonts w:ascii="Times New Roman" w:hAnsi="Times New Roman" w:cs="Times New Roman"/>
          <w:b w:val="0"/>
          <w:sz w:val="22"/>
          <w:szCs w:val="22"/>
        </w:rPr>
        <w:t xml:space="preserve"> </w:t>
      </w:r>
      <w:r w:rsidRPr="00C5123C">
        <w:rPr>
          <w:rFonts w:ascii="Times New Roman" w:hAnsi="Times New Roman" w:cs="Times New Roman"/>
          <w:b w:val="0"/>
          <w:sz w:val="22"/>
          <w:szCs w:val="22"/>
        </w:rPr>
        <w:t>submit a</w:t>
      </w:r>
      <w:r w:rsidR="00E86A2C" w:rsidRPr="00C5123C">
        <w:rPr>
          <w:rFonts w:ascii="Times New Roman" w:hAnsi="Times New Roman" w:cs="Times New Roman"/>
          <w:b w:val="0"/>
          <w:sz w:val="22"/>
          <w:szCs w:val="22"/>
        </w:rPr>
        <w:t xml:space="preserve"> certification</w:t>
      </w:r>
      <w:r w:rsidRPr="00C5123C">
        <w:rPr>
          <w:rFonts w:ascii="Times New Roman" w:hAnsi="Times New Roman" w:cs="Times New Roman"/>
          <w:b w:val="0"/>
          <w:sz w:val="22"/>
          <w:szCs w:val="22"/>
        </w:rPr>
        <w:t xml:space="preserve"> letter </w:t>
      </w:r>
      <w:r w:rsidR="00E86A2C" w:rsidRPr="00C5123C">
        <w:rPr>
          <w:rFonts w:ascii="Times New Roman" w:hAnsi="Times New Roman" w:cs="Times New Roman"/>
          <w:b w:val="0"/>
          <w:sz w:val="22"/>
          <w:szCs w:val="22"/>
        </w:rPr>
        <w:t>to the OBPR</w:t>
      </w:r>
      <w:r w:rsidR="00877386" w:rsidRPr="00C5123C">
        <w:rPr>
          <w:rFonts w:ascii="Times New Roman" w:hAnsi="Times New Roman" w:cs="Times New Roman"/>
          <w:b w:val="0"/>
          <w:sz w:val="22"/>
          <w:szCs w:val="22"/>
        </w:rPr>
        <w:t xml:space="preserve">, given the minor impact of issuing </w:t>
      </w:r>
      <w:r w:rsidR="00EF5B55">
        <w:rPr>
          <w:rFonts w:ascii="Times New Roman" w:hAnsi="Times New Roman" w:cs="Times New Roman"/>
          <w:b w:val="0"/>
          <w:sz w:val="22"/>
          <w:szCs w:val="22"/>
        </w:rPr>
        <w:t xml:space="preserve">this instrument </w:t>
      </w:r>
      <w:r w:rsidR="00877386" w:rsidRPr="00C5123C">
        <w:rPr>
          <w:rFonts w:ascii="Times New Roman" w:hAnsi="Times New Roman" w:cs="Times New Roman"/>
          <w:b w:val="0"/>
          <w:sz w:val="22"/>
          <w:szCs w:val="22"/>
        </w:rPr>
        <w:t>on the superannuation industry</w:t>
      </w:r>
      <w:r w:rsidRPr="00C5123C">
        <w:rPr>
          <w:rFonts w:ascii="Times New Roman" w:hAnsi="Times New Roman" w:cs="Times New Roman"/>
          <w:b w:val="0"/>
          <w:sz w:val="22"/>
          <w:szCs w:val="22"/>
        </w:rPr>
        <w:t xml:space="preserve">. </w:t>
      </w:r>
    </w:p>
    <w:p w:rsidR="00444B30" w:rsidRPr="00C5123C" w:rsidRDefault="00444B30" w:rsidP="00C5123C">
      <w:pPr>
        <w:pStyle w:val="Heading"/>
        <w:numPr>
          <w:ilvl w:val="0"/>
          <w:numId w:val="14"/>
        </w:numPr>
        <w:spacing w:after="120"/>
        <w:ind w:left="426" w:hanging="426"/>
        <w:jc w:val="both"/>
        <w:outlineLvl w:val="9"/>
        <w:rPr>
          <w:rFonts w:ascii="Times New Roman" w:hAnsi="Times New Roman" w:cs="Times New Roman"/>
          <w:sz w:val="22"/>
          <w:szCs w:val="22"/>
        </w:rPr>
      </w:pPr>
      <w:r w:rsidRPr="00C5123C">
        <w:rPr>
          <w:rFonts w:ascii="Times New Roman" w:hAnsi="Times New Roman" w:cs="Times New Roman"/>
          <w:sz w:val="22"/>
          <w:szCs w:val="22"/>
        </w:rPr>
        <w:t>Statement of compatibility prepared in accordance with Part 3 of the Human Rights (Parliamentary Scrutiny) Act 2011</w:t>
      </w:r>
    </w:p>
    <w:p w:rsidR="00444B30" w:rsidRPr="00C5123C" w:rsidRDefault="00444B30" w:rsidP="00444B30">
      <w:pPr>
        <w:pStyle w:val="Heading"/>
        <w:spacing w:after="120"/>
        <w:rPr>
          <w:rFonts w:ascii="Times New Roman" w:hAnsi="Times New Roman" w:cs="Times New Roman"/>
          <w:b w:val="0"/>
          <w:sz w:val="22"/>
          <w:szCs w:val="22"/>
        </w:rPr>
      </w:pPr>
      <w:r w:rsidRPr="00C5123C">
        <w:rPr>
          <w:rFonts w:ascii="Times New Roman" w:hAnsi="Times New Roman" w:cs="Times New Roman"/>
          <w:b w:val="0"/>
          <w:sz w:val="22"/>
          <w:szCs w:val="22"/>
        </w:rPr>
        <w:t xml:space="preserve">A Statement of Compatibility prepared in accordance with Part 3 of the </w:t>
      </w:r>
      <w:r w:rsidRPr="00C5123C">
        <w:rPr>
          <w:rFonts w:ascii="Times New Roman" w:hAnsi="Times New Roman" w:cs="Times New Roman"/>
          <w:b w:val="0"/>
          <w:i/>
          <w:sz w:val="22"/>
          <w:szCs w:val="22"/>
        </w:rPr>
        <w:t>Human Rights (Parliamentary Scrutiny) Act 2011</w:t>
      </w:r>
      <w:r w:rsidRPr="00C5123C">
        <w:rPr>
          <w:rFonts w:ascii="Times New Roman" w:hAnsi="Times New Roman" w:cs="Times New Roman"/>
          <w:i/>
          <w:sz w:val="22"/>
          <w:szCs w:val="22"/>
        </w:rPr>
        <w:t xml:space="preserve"> </w:t>
      </w:r>
      <w:r w:rsidRPr="00C5123C">
        <w:rPr>
          <w:rFonts w:ascii="Times New Roman" w:hAnsi="Times New Roman" w:cs="Times New Roman"/>
          <w:b w:val="0"/>
          <w:sz w:val="22"/>
          <w:szCs w:val="22"/>
        </w:rPr>
        <w:t xml:space="preserve">is provided at Attachment A to this Explanatory Statement. </w:t>
      </w:r>
    </w:p>
    <w:p w:rsidR="00444B30" w:rsidRPr="00C5123C" w:rsidRDefault="00444B30" w:rsidP="00444B30">
      <w:pPr>
        <w:spacing w:after="240"/>
        <w:jc w:val="both"/>
        <w:rPr>
          <w:rFonts w:ascii="Times New Roman" w:hAnsi="Times New Roman"/>
          <w:u w:val="single"/>
        </w:rPr>
      </w:pPr>
      <w:r w:rsidRPr="00B36D4D">
        <w:rPr>
          <w:rFonts w:ascii="Times New Roman" w:hAnsi="Times New Roman"/>
          <w:sz w:val="24"/>
          <w:szCs w:val="24"/>
        </w:rPr>
        <w:br w:type="page"/>
      </w:r>
      <w:r w:rsidRPr="00C5123C">
        <w:rPr>
          <w:rFonts w:ascii="Times New Roman" w:hAnsi="Times New Roman"/>
          <w:u w:val="single"/>
        </w:rPr>
        <w:lastRenderedPageBreak/>
        <w:t>ATTACHMENT A</w:t>
      </w:r>
    </w:p>
    <w:p w:rsidR="00444B30" w:rsidRPr="00C5123C" w:rsidRDefault="00444B30" w:rsidP="00444B30">
      <w:pPr>
        <w:autoSpaceDE w:val="0"/>
        <w:autoSpaceDN w:val="0"/>
        <w:adjustRightInd w:val="0"/>
        <w:spacing w:after="240"/>
        <w:jc w:val="center"/>
        <w:rPr>
          <w:rFonts w:ascii="Times New Roman" w:hAnsi="Times New Roman"/>
          <w:b/>
        </w:rPr>
      </w:pPr>
      <w:r w:rsidRPr="00C5123C">
        <w:rPr>
          <w:rFonts w:ascii="Times New Roman" w:hAnsi="Times New Roman"/>
        </w:rPr>
        <w:t xml:space="preserve"> </w:t>
      </w:r>
      <w:r w:rsidRPr="00C5123C">
        <w:rPr>
          <w:rFonts w:ascii="Times New Roman" w:hAnsi="Times New Roman"/>
          <w:b/>
        </w:rPr>
        <w:t>Statement of Compatibility with Human Rights</w:t>
      </w:r>
    </w:p>
    <w:p w:rsidR="00444B30" w:rsidRPr="00C5123C" w:rsidRDefault="00444B30" w:rsidP="00444B30">
      <w:pPr>
        <w:autoSpaceDE w:val="0"/>
        <w:autoSpaceDN w:val="0"/>
        <w:adjustRightInd w:val="0"/>
        <w:spacing w:after="240"/>
        <w:jc w:val="center"/>
        <w:rPr>
          <w:rFonts w:ascii="Times New Roman" w:hAnsi="Times New Roman"/>
          <w:i/>
        </w:rPr>
      </w:pPr>
      <w:r w:rsidRPr="00C5123C">
        <w:rPr>
          <w:rFonts w:ascii="Times New Roman" w:hAnsi="Times New Roman"/>
          <w:i/>
        </w:rPr>
        <w:t>Prepared in accordance with Part 3 of the Human Rights (Parliamentary Scrutiny) Act 2011</w:t>
      </w:r>
    </w:p>
    <w:p w:rsidR="00444B30" w:rsidRPr="00C5123C" w:rsidRDefault="00181A95" w:rsidP="00C5123C">
      <w:pPr>
        <w:pStyle w:val="Heading"/>
        <w:spacing w:before="0" w:after="240"/>
        <w:jc w:val="center"/>
        <w:rPr>
          <w:rFonts w:ascii="Times New Roman" w:hAnsi="Times New Roman" w:cs="Times New Roman"/>
          <w:sz w:val="22"/>
          <w:szCs w:val="22"/>
        </w:rPr>
      </w:pPr>
      <w:r>
        <w:rPr>
          <w:rFonts w:ascii="Times New Roman" w:hAnsi="Times New Roman" w:cs="Times New Roman"/>
          <w:sz w:val="22"/>
          <w:szCs w:val="22"/>
        </w:rPr>
        <w:t xml:space="preserve">Superannuation Industry (Supervision) modification declaration </w:t>
      </w:r>
      <w:r w:rsidR="00444B30" w:rsidRPr="00C5123C">
        <w:rPr>
          <w:rFonts w:ascii="Times New Roman" w:hAnsi="Times New Roman" w:cs="Times New Roman"/>
          <w:sz w:val="22"/>
          <w:szCs w:val="22"/>
        </w:rPr>
        <w:t xml:space="preserve">No. </w:t>
      </w:r>
      <w:r w:rsidR="003011D3">
        <w:rPr>
          <w:rFonts w:ascii="Times New Roman" w:hAnsi="Times New Roman" w:cs="Times New Roman"/>
          <w:sz w:val="22"/>
          <w:szCs w:val="22"/>
        </w:rPr>
        <w:t>1</w:t>
      </w:r>
      <w:r w:rsidR="00444B30" w:rsidRPr="00C5123C">
        <w:rPr>
          <w:rFonts w:ascii="Times New Roman" w:hAnsi="Times New Roman" w:cs="Times New Roman"/>
          <w:sz w:val="22"/>
          <w:szCs w:val="22"/>
        </w:rPr>
        <w:t xml:space="preserve"> of 2015</w:t>
      </w:r>
    </w:p>
    <w:p w:rsidR="00444B30" w:rsidRPr="00C5123C" w:rsidRDefault="00444B30" w:rsidP="00C5123C">
      <w:pPr>
        <w:pStyle w:val="BodyText"/>
        <w:jc w:val="both"/>
        <w:rPr>
          <w:rFonts w:ascii="Times New Roman" w:hAnsi="Times New Roman"/>
          <w:i/>
        </w:rPr>
      </w:pPr>
      <w:r w:rsidRPr="00C5123C">
        <w:rPr>
          <w:rFonts w:ascii="Times New Roman" w:hAnsi="Times New Roman"/>
        </w:rPr>
        <w:t xml:space="preserve">This Legislative Instrument is compatible with the human rights and freedoms recognised or declared in the international instruments listed in section 3 of the </w:t>
      </w:r>
      <w:r w:rsidRPr="00C5123C">
        <w:rPr>
          <w:rFonts w:ascii="Times New Roman" w:hAnsi="Times New Roman"/>
          <w:i/>
        </w:rPr>
        <w:t>Human Rights (Parliamentary Scrutiny) Act 2011</w:t>
      </w:r>
      <w:r w:rsidRPr="00C5123C">
        <w:rPr>
          <w:rFonts w:ascii="Times New Roman" w:hAnsi="Times New Roman"/>
        </w:rPr>
        <w:t xml:space="preserve"> (HRPS Act)</w:t>
      </w:r>
      <w:r w:rsidRPr="00C5123C">
        <w:rPr>
          <w:rFonts w:ascii="Times New Roman" w:hAnsi="Times New Roman"/>
          <w:i/>
        </w:rPr>
        <w:t>.</w:t>
      </w:r>
    </w:p>
    <w:p w:rsidR="00444B30" w:rsidRPr="00C5123C" w:rsidRDefault="00444B30" w:rsidP="00C5123C">
      <w:pPr>
        <w:pStyle w:val="BodyText"/>
        <w:keepNext/>
        <w:spacing w:before="240"/>
        <w:jc w:val="both"/>
        <w:rPr>
          <w:rFonts w:ascii="Times New Roman" w:hAnsi="Times New Roman"/>
          <w:b/>
        </w:rPr>
      </w:pPr>
      <w:r w:rsidRPr="00C5123C">
        <w:rPr>
          <w:rFonts w:ascii="Times New Roman" w:hAnsi="Times New Roman"/>
          <w:b/>
        </w:rPr>
        <w:t>Overview of the Legislative Instruments</w:t>
      </w:r>
    </w:p>
    <w:p w:rsidR="00444B30" w:rsidRPr="00C5123C" w:rsidRDefault="00444B30" w:rsidP="00C5123C">
      <w:pPr>
        <w:pStyle w:val="Heading"/>
        <w:spacing w:after="0"/>
        <w:rPr>
          <w:rFonts w:ascii="Times New Roman" w:hAnsi="Times New Roman" w:cs="Times New Roman"/>
          <w:b w:val="0"/>
          <w:sz w:val="22"/>
          <w:szCs w:val="22"/>
        </w:rPr>
      </w:pPr>
      <w:r w:rsidRPr="00C5123C">
        <w:rPr>
          <w:rFonts w:ascii="Times New Roman" w:hAnsi="Times New Roman" w:cs="Times New Roman"/>
          <w:b w:val="0"/>
          <w:sz w:val="22"/>
          <w:szCs w:val="22"/>
        </w:rPr>
        <w:t xml:space="preserve">This legislative instrument revokes </w:t>
      </w:r>
      <w:r w:rsidR="002140EE">
        <w:rPr>
          <w:rFonts w:ascii="Times New Roman" w:hAnsi="Times New Roman"/>
          <w:b w:val="0"/>
          <w:sz w:val="22"/>
          <w:szCs w:val="22"/>
        </w:rPr>
        <w:t>Modification Declaration No 26 made under section 332 of the</w:t>
      </w:r>
      <w:r w:rsidR="002140EE" w:rsidRPr="009772A5" w:rsidDel="002140EE">
        <w:rPr>
          <w:rFonts w:ascii="Times New Roman" w:hAnsi="Times New Roman" w:cs="Times New Roman"/>
          <w:b w:val="0"/>
          <w:sz w:val="22"/>
          <w:szCs w:val="22"/>
        </w:rPr>
        <w:t xml:space="preserve"> </w:t>
      </w:r>
      <w:r w:rsidR="002140EE" w:rsidRPr="005842B6">
        <w:rPr>
          <w:rFonts w:ascii="Times New Roman" w:hAnsi="Times New Roman"/>
          <w:b w:val="0"/>
          <w:i/>
          <w:sz w:val="22"/>
          <w:szCs w:val="22"/>
        </w:rPr>
        <w:t>Superannuation Industry (Superannuation) Act 1993</w:t>
      </w:r>
      <w:r w:rsidR="00777A13">
        <w:rPr>
          <w:rFonts w:ascii="Times New Roman" w:hAnsi="Times New Roman"/>
          <w:b w:val="0"/>
          <w:i/>
          <w:sz w:val="22"/>
          <w:szCs w:val="22"/>
        </w:rPr>
        <w:t xml:space="preserve"> </w:t>
      </w:r>
      <w:r w:rsidR="00777A13" w:rsidRPr="00C5123C">
        <w:rPr>
          <w:rFonts w:ascii="Times New Roman" w:hAnsi="Times New Roman"/>
          <w:b w:val="0"/>
          <w:sz w:val="22"/>
          <w:szCs w:val="22"/>
        </w:rPr>
        <w:t>(MD 26)</w:t>
      </w:r>
      <w:r w:rsidRPr="00C5123C">
        <w:rPr>
          <w:rFonts w:ascii="Times New Roman" w:hAnsi="Times New Roman" w:cs="Times New Roman"/>
          <w:b w:val="0"/>
          <w:sz w:val="22"/>
          <w:szCs w:val="22"/>
        </w:rPr>
        <w:t xml:space="preserve">, and remakes the </w:t>
      </w:r>
      <w:r w:rsidR="002140EE">
        <w:rPr>
          <w:rFonts w:ascii="Times New Roman" w:hAnsi="Times New Roman" w:cs="Times New Roman"/>
          <w:b w:val="0"/>
          <w:sz w:val="22"/>
          <w:szCs w:val="22"/>
        </w:rPr>
        <w:t xml:space="preserve">modification declaration </w:t>
      </w:r>
      <w:r w:rsidRPr="00C5123C">
        <w:rPr>
          <w:rFonts w:ascii="Times New Roman" w:hAnsi="Times New Roman" w:cs="Times New Roman"/>
          <w:b w:val="0"/>
          <w:sz w:val="22"/>
          <w:szCs w:val="22"/>
        </w:rPr>
        <w:t>unchanged as outlined in the Schedule.</w:t>
      </w:r>
    </w:p>
    <w:p w:rsidR="00444B30" w:rsidRPr="00C5123C" w:rsidRDefault="00444B30" w:rsidP="00C5123C">
      <w:pPr>
        <w:pStyle w:val="Heading"/>
        <w:spacing w:after="0"/>
        <w:rPr>
          <w:rFonts w:ascii="Times New Roman" w:hAnsi="Times New Roman" w:cs="Times New Roman"/>
          <w:b w:val="0"/>
          <w:sz w:val="22"/>
          <w:szCs w:val="22"/>
        </w:rPr>
      </w:pPr>
      <w:r w:rsidRPr="00C5123C">
        <w:rPr>
          <w:rFonts w:ascii="Times New Roman" w:hAnsi="Times New Roman" w:cs="Times New Roman"/>
          <w:b w:val="0"/>
          <w:sz w:val="22"/>
          <w:szCs w:val="22"/>
        </w:rPr>
        <w:t xml:space="preserve">The purpose of this Legislative Instrument is to continue to </w:t>
      </w:r>
      <w:r w:rsidR="00777A13" w:rsidRPr="00777A13">
        <w:rPr>
          <w:rFonts w:ascii="Times New Roman" w:hAnsi="Times New Roman" w:cs="Times New Roman"/>
          <w:b w:val="0"/>
          <w:sz w:val="22"/>
          <w:szCs w:val="22"/>
        </w:rPr>
        <w:t>allow the relief</w:t>
      </w:r>
      <w:r w:rsidR="001822FD" w:rsidRPr="001822FD">
        <w:rPr>
          <w:rFonts w:ascii="Times New Roman" w:hAnsi="Times New Roman" w:cs="Times New Roman"/>
          <w:kern w:val="0"/>
          <w:sz w:val="22"/>
          <w:szCs w:val="22"/>
        </w:rPr>
        <w:t xml:space="preserve"> </w:t>
      </w:r>
      <w:r w:rsidR="001822FD" w:rsidRPr="001822FD">
        <w:rPr>
          <w:rFonts w:ascii="Times New Roman" w:hAnsi="Times New Roman" w:cs="Times New Roman"/>
          <w:b w:val="0"/>
          <w:sz w:val="22"/>
          <w:szCs w:val="22"/>
        </w:rPr>
        <w:t>provided by MD 26</w:t>
      </w:r>
      <w:r w:rsidR="00777A13" w:rsidRPr="00777A13">
        <w:rPr>
          <w:rFonts w:ascii="Times New Roman" w:hAnsi="Times New Roman" w:cs="Times New Roman"/>
          <w:b w:val="0"/>
          <w:sz w:val="22"/>
          <w:szCs w:val="22"/>
        </w:rPr>
        <w:t xml:space="preserve"> to operate without change. </w:t>
      </w:r>
    </w:p>
    <w:p w:rsidR="00444B30" w:rsidRPr="00C5123C" w:rsidRDefault="00444B30" w:rsidP="009772A5">
      <w:pPr>
        <w:pStyle w:val="BodyText"/>
        <w:keepNext/>
        <w:spacing w:before="240" w:after="120"/>
        <w:jc w:val="both"/>
        <w:rPr>
          <w:rFonts w:ascii="Times New Roman" w:hAnsi="Times New Roman"/>
          <w:b/>
        </w:rPr>
      </w:pPr>
      <w:r w:rsidRPr="00C5123C">
        <w:rPr>
          <w:rFonts w:ascii="Times New Roman" w:hAnsi="Times New Roman"/>
          <w:b/>
        </w:rPr>
        <w:t>Human rights implications</w:t>
      </w:r>
    </w:p>
    <w:p w:rsidR="00444B30" w:rsidRPr="00C5123C" w:rsidRDefault="00444B30" w:rsidP="00DB07BB">
      <w:pPr>
        <w:spacing w:before="100" w:beforeAutospacing="1" w:after="100" w:afterAutospacing="1"/>
        <w:jc w:val="both"/>
        <w:rPr>
          <w:rFonts w:ascii="Times New Roman" w:hAnsi="Times New Roman"/>
        </w:rPr>
      </w:pPr>
      <w:r w:rsidRPr="00C5123C">
        <w:rPr>
          <w:rFonts w:ascii="Times New Roman" w:hAnsi="Times New Roman"/>
          <w:lang w:eastAsia="en-AU"/>
        </w:rPr>
        <w:t>APRA has assessed this Legislative Instrument and is of the view that it does not engage any of the applicable rights or freedoms recognised or declared in the international instruments listed in section 3 of the HRPS Act. Accordingly, in APRA’s assessment, the instrument is compatible with human rights.</w:t>
      </w:r>
    </w:p>
    <w:p w:rsidR="00444B30" w:rsidRPr="00C5123C" w:rsidRDefault="00444B30" w:rsidP="00C5123C">
      <w:pPr>
        <w:pStyle w:val="BodyText"/>
        <w:keepNext/>
        <w:spacing w:after="120"/>
        <w:jc w:val="both"/>
        <w:rPr>
          <w:rFonts w:ascii="Times New Roman" w:hAnsi="Times New Roman"/>
          <w:b/>
        </w:rPr>
      </w:pPr>
      <w:r w:rsidRPr="00C5123C">
        <w:rPr>
          <w:rFonts w:ascii="Times New Roman" w:hAnsi="Times New Roman"/>
          <w:b/>
        </w:rPr>
        <w:t>Conclusion</w:t>
      </w:r>
    </w:p>
    <w:p w:rsidR="00444B30" w:rsidRPr="00C5123C" w:rsidRDefault="00444B30" w:rsidP="00B36D4D">
      <w:pPr>
        <w:pStyle w:val="BodyText"/>
        <w:spacing w:after="120"/>
        <w:jc w:val="both"/>
        <w:rPr>
          <w:rFonts w:ascii="Times New Roman" w:hAnsi="Times New Roman"/>
          <w:b/>
        </w:rPr>
      </w:pPr>
      <w:r w:rsidRPr="00C5123C">
        <w:rPr>
          <w:rFonts w:ascii="Times New Roman" w:hAnsi="Times New Roman"/>
        </w:rPr>
        <w:t xml:space="preserve">This Legislative Instrument is compatible with human rights as it does not raise any human rights issues. </w:t>
      </w:r>
    </w:p>
    <w:p w:rsidR="00444B30" w:rsidRPr="00C5123C" w:rsidRDefault="00444B30" w:rsidP="00444B30">
      <w:pPr>
        <w:rPr>
          <w:rFonts w:ascii="Times New Roman" w:hAnsi="Times New Roman"/>
        </w:rPr>
      </w:pPr>
    </w:p>
    <w:p w:rsidR="00444B30" w:rsidRPr="00C5123C" w:rsidRDefault="00444B30" w:rsidP="00E71CFA">
      <w:pPr>
        <w:pStyle w:val="ListParagraph"/>
        <w:ind w:left="0" w:right="283"/>
        <w:jc w:val="both"/>
        <w:rPr>
          <w:rFonts w:ascii="Times New Roman" w:eastAsia="Times New Roman" w:hAnsi="Times New Roman"/>
          <w:color w:val="000000"/>
        </w:rPr>
      </w:pPr>
    </w:p>
    <w:p w:rsidR="00444B30" w:rsidRPr="00C5123C" w:rsidRDefault="00444B30" w:rsidP="00E71CFA">
      <w:pPr>
        <w:pStyle w:val="ListParagraph"/>
        <w:ind w:left="0" w:right="283"/>
        <w:jc w:val="both"/>
        <w:rPr>
          <w:rFonts w:ascii="Times New Roman" w:eastAsia="Times New Roman" w:hAnsi="Times New Roman"/>
          <w:color w:val="000000"/>
        </w:rPr>
      </w:pPr>
    </w:p>
    <w:p w:rsidR="00444B30" w:rsidRPr="00C5123C" w:rsidRDefault="00444B30" w:rsidP="00E71CFA">
      <w:pPr>
        <w:pStyle w:val="ListParagraph"/>
        <w:ind w:left="0" w:right="283"/>
        <w:jc w:val="both"/>
        <w:rPr>
          <w:rFonts w:ascii="Times New Roman" w:hAnsi="Times New Roman"/>
          <w:b/>
        </w:rPr>
      </w:pPr>
    </w:p>
    <w:sectPr w:rsidR="00444B30" w:rsidRPr="00C5123C" w:rsidSect="00A53557">
      <w:headerReference w:type="even" r:id="rId9"/>
      <w:headerReference w:type="default" r:id="rId10"/>
      <w:headerReference w:type="first" r:id="rId11"/>
      <w:pgSz w:w="11906" w:h="16838"/>
      <w:pgMar w:top="1440" w:right="1440" w:bottom="1440" w:left="227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051F" w:rsidRDefault="00CD051F">
      <w:r>
        <w:separator/>
      </w:r>
    </w:p>
  </w:endnote>
  <w:endnote w:type="continuationSeparator" w:id="0">
    <w:p w:rsidR="00CD051F" w:rsidRDefault="00CD05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051F" w:rsidRDefault="00CD051F">
      <w:r>
        <w:separator/>
      </w:r>
    </w:p>
  </w:footnote>
  <w:footnote w:type="continuationSeparator" w:id="0">
    <w:p w:rsidR="00CD051F" w:rsidRDefault="00CD051F">
      <w:r>
        <w:continuationSeparator/>
      </w:r>
    </w:p>
  </w:footnote>
  <w:footnote w:id="1">
    <w:p w:rsidR="00B3407B" w:rsidRDefault="00B3407B" w:rsidP="00B3407B">
      <w:pPr>
        <w:pStyle w:val="FootnoteText"/>
      </w:pPr>
      <w:r>
        <w:rPr>
          <w:rStyle w:val="FootnoteReference"/>
        </w:rPr>
        <w:footnoteRef/>
      </w:r>
      <w:r>
        <w:t xml:space="preserve"> ‘</w:t>
      </w:r>
      <w:r w:rsidRPr="00742C41">
        <w:rPr>
          <w:sz w:val="18"/>
          <w:szCs w:val="18"/>
        </w:rPr>
        <w:t>Modifiable provision</w:t>
      </w:r>
      <w:r>
        <w:rPr>
          <w:sz w:val="18"/>
          <w:szCs w:val="18"/>
        </w:rPr>
        <w:t>’</w:t>
      </w:r>
      <w:r w:rsidRPr="00742C41">
        <w:rPr>
          <w:sz w:val="18"/>
          <w:szCs w:val="18"/>
        </w:rPr>
        <w:t xml:space="preserve"> is defined in section 327 of the Act.</w:t>
      </w:r>
    </w:p>
  </w:footnote>
  <w:footnote w:id="2">
    <w:p w:rsidR="00B3407B" w:rsidRPr="00685579" w:rsidRDefault="00B3407B" w:rsidP="00B3407B">
      <w:pPr>
        <w:pStyle w:val="FootnoteText"/>
        <w:rPr>
          <w:sz w:val="18"/>
          <w:szCs w:val="18"/>
        </w:rPr>
      </w:pPr>
      <w:r w:rsidRPr="00685579">
        <w:rPr>
          <w:rStyle w:val="FootnoteReference"/>
          <w:sz w:val="18"/>
          <w:szCs w:val="18"/>
        </w:rPr>
        <w:footnoteRef/>
      </w:r>
      <w:r w:rsidRPr="00685579">
        <w:rPr>
          <w:sz w:val="18"/>
          <w:szCs w:val="18"/>
        </w:rPr>
        <w:t xml:space="preserve">  See paragraphs 327(1</w:t>
      </w:r>
      <w:proofErr w:type="gramStart"/>
      <w:r w:rsidRPr="00685579">
        <w:rPr>
          <w:sz w:val="18"/>
          <w:szCs w:val="18"/>
        </w:rPr>
        <w:t>)(</w:t>
      </w:r>
      <w:proofErr w:type="gramEnd"/>
      <w:r w:rsidRPr="00685579">
        <w:rPr>
          <w:sz w:val="18"/>
          <w:szCs w:val="18"/>
        </w:rPr>
        <w:t>a) and (h)</w:t>
      </w:r>
      <w:r>
        <w:rPr>
          <w:sz w:val="18"/>
          <w:szCs w:val="18"/>
        </w:rPr>
        <w:t xml:space="preserve"> of the Act</w:t>
      </w:r>
      <w:r w:rsidRPr="00685579">
        <w:rPr>
          <w:sz w:val="18"/>
          <w:szCs w:val="18"/>
        </w:rPr>
        <w:t>.</w:t>
      </w:r>
    </w:p>
  </w:footnote>
  <w:footnote w:id="3">
    <w:p w:rsidR="00B544FE" w:rsidRPr="00EA5E5C" w:rsidRDefault="00B544FE" w:rsidP="00B544FE">
      <w:pPr>
        <w:pStyle w:val="FootnoteText"/>
        <w:rPr>
          <w:rFonts w:ascii="Trebuchet MS" w:hAnsi="Trebuchet MS"/>
          <w:lang w:val="en-AU"/>
        </w:rPr>
      </w:pPr>
      <w:r>
        <w:rPr>
          <w:rStyle w:val="FootnoteReference"/>
        </w:rPr>
        <w:footnoteRef/>
      </w:r>
      <w:r w:rsidRPr="00EA5E5C">
        <w:rPr>
          <w:rFonts w:ascii="Trebuchet MS" w:hAnsi="Trebuchet MS"/>
        </w:rPr>
        <w:t xml:space="preserve"> </w:t>
      </w:r>
      <w:r w:rsidR="00C927F1" w:rsidRPr="00C927F1">
        <w:rPr>
          <w:color w:val="000000"/>
          <w:sz w:val="18"/>
          <w:szCs w:val="18"/>
        </w:rPr>
        <w:t>See</w:t>
      </w:r>
      <w:r w:rsidR="00EF2344" w:rsidRPr="00C5123C">
        <w:rPr>
          <w:color w:val="000000"/>
          <w:sz w:val="18"/>
          <w:szCs w:val="18"/>
        </w:rPr>
        <w:t xml:space="preserve"> subparagraphs 5.08(2A)(b)(i) to 5.08(2A)(b)(iv)</w:t>
      </w:r>
      <w:r w:rsidR="00C927F1">
        <w:rPr>
          <w:color w:val="000000"/>
          <w:sz w:val="18"/>
          <w:szCs w:val="18"/>
        </w:rPr>
        <w:t xml:space="preserve"> and subparagraphs 5.08(2C)(a)(i)  to </w:t>
      </w:r>
      <w:r w:rsidR="00EF2344" w:rsidRPr="00C5123C">
        <w:rPr>
          <w:color w:val="000000"/>
          <w:sz w:val="18"/>
          <w:szCs w:val="18"/>
        </w:rPr>
        <w:t xml:space="preserve"> </w:t>
      </w:r>
      <w:r w:rsidR="00C927F1">
        <w:rPr>
          <w:color w:val="000000"/>
          <w:sz w:val="18"/>
          <w:szCs w:val="18"/>
        </w:rPr>
        <w:t xml:space="preserve">5.08(2C)(a)(iv) </w:t>
      </w:r>
      <w:r w:rsidR="00EF2344" w:rsidRPr="00C5123C">
        <w:rPr>
          <w:color w:val="000000"/>
          <w:sz w:val="18"/>
          <w:szCs w:val="18"/>
        </w:rPr>
        <w:t>of the instrument</w:t>
      </w:r>
      <w:r w:rsidR="00C927F1">
        <w:rPr>
          <w:color w:val="000000"/>
          <w:sz w:val="18"/>
          <w:szCs w:val="18"/>
        </w:rPr>
        <w:t>.</w:t>
      </w:r>
    </w:p>
  </w:footnote>
  <w:footnote w:id="4">
    <w:p w:rsidR="00FB3EF6" w:rsidRPr="00C5123C" w:rsidRDefault="00FB3EF6">
      <w:pPr>
        <w:pStyle w:val="FootnoteText"/>
        <w:rPr>
          <w:lang w:val="en-AU"/>
        </w:rPr>
      </w:pPr>
      <w:r>
        <w:rPr>
          <w:rStyle w:val="FootnoteReference"/>
        </w:rPr>
        <w:footnoteRef/>
      </w:r>
      <w:r>
        <w:t xml:space="preserve"> </w:t>
      </w:r>
      <w:r>
        <w:rPr>
          <w:color w:val="000000"/>
        </w:rPr>
        <w:t>See paragraph 5.08(2A</w:t>
      </w:r>
      <w:proofErr w:type="gramStart"/>
      <w:r>
        <w:rPr>
          <w:color w:val="000000"/>
        </w:rPr>
        <w:t>)(</w:t>
      </w:r>
      <w:proofErr w:type="gramEnd"/>
      <w:r>
        <w:rPr>
          <w:color w:val="000000"/>
        </w:rPr>
        <w:t>f) of the instrument.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420A" w:rsidRDefault="007D420A" w:rsidP="0025289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D420A" w:rsidRDefault="007D420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420A" w:rsidRDefault="007D420A" w:rsidP="0025289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D452D">
      <w:rPr>
        <w:rStyle w:val="PageNumber"/>
        <w:noProof/>
      </w:rPr>
      <w:t>5</w:t>
    </w:r>
    <w:r>
      <w:rPr>
        <w:rStyle w:val="PageNumber"/>
      </w:rPr>
      <w:fldChar w:fldCharType="end"/>
    </w:r>
  </w:p>
  <w:p w:rsidR="007D420A" w:rsidRDefault="007D420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420A" w:rsidRDefault="007D420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53E2D"/>
    <w:multiLevelType w:val="hybridMultilevel"/>
    <w:tmpl w:val="01D0DFCC"/>
    <w:lvl w:ilvl="0" w:tplc="686455A4">
      <w:numFmt w:val="bullet"/>
      <w:lvlText w:val=""/>
      <w:lvlJc w:val="left"/>
      <w:pPr>
        <w:tabs>
          <w:tab w:val="num" w:pos="363"/>
        </w:tabs>
        <w:ind w:left="363" w:hanging="363"/>
      </w:pPr>
      <w:rPr>
        <w:rFonts w:ascii="Symbol" w:eastAsia="Times New Roman" w:hAnsi="Symbol" w:cs="Courier New" w:hint="default"/>
      </w:rPr>
    </w:lvl>
    <w:lvl w:ilvl="1" w:tplc="0C090003" w:tentative="1">
      <w:start w:val="1"/>
      <w:numFmt w:val="bullet"/>
      <w:lvlText w:val="o"/>
      <w:lvlJc w:val="left"/>
      <w:pPr>
        <w:tabs>
          <w:tab w:val="num" w:pos="363"/>
        </w:tabs>
        <w:ind w:left="363" w:hanging="360"/>
      </w:pPr>
      <w:rPr>
        <w:rFonts w:ascii="Courier New" w:hAnsi="Courier New" w:cs="Courier New" w:hint="default"/>
      </w:rPr>
    </w:lvl>
    <w:lvl w:ilvl="2" w:tplc="0C090005" w:tentative="1">
      <w:start w:val="1"/>
      <w:numFmt w:val="bullet"/>
      <w:lvlText w:val=""/>
      <w:lvlJc w:val="left"/>
      <w:pPr>
        <w:tabs>
          <w:tab w:val="num" w:pos="1083"/>
        </w:tabs>
        <w:ind w:left="1083" w:hanging="360"/>
      </w:pPr>
      <w:rPr>
        <w:rFonts w:ascii="Wingdings" w:hAnsi="Wingdings" w:hint="default"/>
      </w:rPr>
    </w:lvl>
    <w:lvl w:ilvl="3" w:tplc="0C090001" w:tentative="1">
      <w:start w:val="1"/>
      <w:numFmt w:val="bullet"/>
      <w:lvlText w:val=""/>
      <w:lvlJc w:val="left"/>
      <w:pPr>
        <w:tabs>
          <w:tab w:val="num" w:pos="1803"/>
        </w:tabs>
        <w:ind w:left="1803" w:hanging="360"/>
      </w:pPr>
      <w:rPr>
        <w:rFonts w:ascii="Symbol" w:hAnsi="Symbol" w:hint="default"/>
      </w:rPr>
    </w:lvl>
    <w:lvl w:ilvl="4" w:tplc="0C090003" w:tentative="1">
      <w:start w:val="1"/>
      <w:numFmt w:val="bullet"/>
      <w:lvlText w:val="o"/>
      <w:lvlJc w:val="left"/>
      <w:pPr>
        <w:tabs>
          <w:tab w:val="num" w:pos="2523"/>
        </w:tabs>
        <w:ind w:left="2523" w:hanging="360"/>
      </w:pPr>
      <w:rPr>
        <w:rFonts w:ascii="Courier New" w:hAnsi="Courier New" w:cs="Courier New" w:hint="default"/>
      </w:rPr>
    </w:lvl>
    <w:lvl w:ilvl="5" w:tplc="0C090005" w:tentative="1">
      <w:start w:val="1"/>
      <w:numFmt w:val="bullet"/>
      <w:lvlText w:val=""/>
      <w:lvlJc w:val="left"/>
      <w:pPr>
        <w:tabs>
          <w:tab w:val="num" w:pos="3243"/>
        </w:tabs>
        <w:ind w:left="3243" w:hanging="360"/>
      </w:pPr>
      <w:rPr>
        <w:rFonts w:ascii="Wingdings" w:hAnsi="Wingdings" w:hint="default"/>
      </w:rPr>
    </w:lvl>
    <w:lvl w:ilvl="6" w:tplc="0C090001" w:tentative="1">
      <w:start w:val="1"/>
      <w:numFmt w:val="bullet"/>
      <w:lvlText w:val=""/>
      <w:lvlJc w:val="left"/>
      <w:pPr>
        <w:tabs>
          <w:tab w:val="num" w:pos="3963"/>
        </w:tabs>
        <w:ind w:left="3963" w:hanging="360"/>
      </w:pPr>
      <w:rPr>
        <w:rFonts w:ascii="Symbol" w:hAnsi="Symbol" w:hint="default"/>
      </w:rPr>
    </w:lvl>
    <w:lvl w:ilvl="7" w:tplc="0C090003" w:tentative="1">
      <w:start w:val="1"/>
      <w:numFmt w:val="bullet"/>
      <w:lvlText w:val="o"/>
      <w:lvlJc w:val="left"/>
      <w:pPr>
        <w:tabs>
          <w:tab w:val="num" w:pos="4683"/>
        </w:tabs>
        <w:ind w:left="4683" w:hanging="360"/>
      </w:pPr>
      <w:rPr>
        <w:rFonts w:ascii="Courier New" w:hAnsi="Courier New" w:cs="Courier New" w:hint="default"/>
      </w:rPr>
    </w:lvl>
    <w:lvl w:ilvl="8" w:tplc="0C090005" w:tentative="1">
      <w:start w:val="1"/>
      <w:numFmt w:val="bullet"/>
      <w:lvlText w:val=""/>
      <w:lvlJc w:val="left"/>
      <w:pPr>
        <w:tabs>
          <w:tab w:val="num" w:pos="5403"/>
        </w:tabs>
        <w:ind w:left="5403" w:hanging="360"/>
      </w:pPr>
      <w:rPr>
        <w:rFonts w:ascii="Wingdings" w:hAnsi="Wingdings" w:hint="default"/>
      </w:rPr>
    </w:lvl>
  </w:abstractNum>
  <w:abstractNum w:abstractNumId="1">
    <w:nsid w:val="02EC3C94"/>
    <w:multiLevelType w:val="hybridMultilevel"/>
    <w:tmpl w:val="716E2C92"/>
    <w:lvl w:ilvl="0" w:tplc="B24C9AFA">
      <w:start w:val="1"/>
      <w:numFmt w:val="bullet"/>
      <w:lvlText w:val="-"/>
      <w:lvlJc w:val="left"/>
      <w:pPr>
        <w:tabs>
          <w:tab w:val="num" w:pos="360"/>
        </w:tabs>
        <w:ind w:left="360" w:hanging="360"/>
      </w:pPr>
      <w:rPr>
        <w:rFonts w:ascii="Courier New" w:hAnsi="Courier New" w:hint="default"/>
      </w:rPr>
    </w:lvl>
    <w:lvl w:ilvl="1" w:tplc="0C090003" w:tentative="1">
      <w:start w:val="1"/>
      <w:numFmt w:val="bullet"/>
      <w:lvlText w:val="o"/>
      <w:lvlJc w:val="left"/>
      <w:pPr>
        <w:tabs>
          <w:tab w:val="num" w:pos="720"/>
        </w:tabs>
        <w:ind w:left="720" w:hanging="360"/>
      </w:pPr>
      <w:rPr>
        <w:rFonts w:ascii="Courier New" w:hAnsi="Courier New" w:cs="Courier New" w:hint="default"/>
      </w:rPr>
    </w:lvl>
    <w:lvl w:ilvl="2" w:tplc="0C090005" w:tentative="1">
      <w:start w:val="1"/>
      <w:numFmt w:val="bullet"/>
      <w:lvlText w:val=""/>
      <w:lvlJc w:val="left"/>
      <w:pPr>
        <w:tabs>
          <w:tab w:val="num" w:pos="1440"/>
        </w:tabs>
        <w:ind w:left="1440" w:hanging="360"/>
      </w:pPr>
      <w:rPr>
        <w:rFonts w:ascii="Wingdings" w:hAnsi="Wingdings" w:hint="default"/>
      </w:rPr>
    </w:lvl>
    <w:lvl w:ilvl="3" w:tplc="0C090001" w:tentative="1">
      <w:start w:val="1"/>
      <w:numFmt w:val="bullet"/>
      <w:lvlText w:val=""/>
      <w:lvlJc w:val="left"/>
      <w:pPr>
        <w:tabs>
          <w:tab w:val="num" w:pos="2160"/>
        </w:tabs>
        <w:ind w:left="2160" w:hanging="360"/>
      </w:pPr>
      <w:rPr>
        <w:rFonts w:ascii="Symbol" w:hAnsi="Symbol" w:hint="default"/>
      </w:rPr>
    </w:lvl>
    <w:lvl w:ilvl="4" w:tplc="0C090003" w:tentative="1">
      <w:start w:val="1"/>
      <w:numFmt w:val="bullet"/>
      <w:lvlText w:val="o"/>
      <w:lvlJc w:val="left"/>
      <w:pPr>
        <w:tabs>
          <w:tab w:val="num" w:pos="2880"/>
        </w:tabs>
        <w:ind w:left="2880" w:hanging="360"/>
      </w:pPr>
      <w:rPr>
        <w:rFonts w:ascii="Courier New" w:hAnsi="Courier New" w:cs="Courier New" w:hint="default"/>
      </w:rPr>
    </w:lvl>
    <w:lvl w:ilvl="5" w:tplc="0C090005" w:tentative="1">
      <w:start w:val="1"/>
      <w:numFmt w:val="bullet"/>
      <w:lvlText w:val=""/>
      <w:lvlJc w:val="left"/>
      <w:pPr>
        <w:tabs>
          <w:tab w:val="num" w:pos="3600"/>
        </w:tabs>
        <w:ind w:left="3600" w:hanging="360"/>
      </w:pPr>
      <w:rPr>
        <w:rFonts w:ascii="Wingdings" w:hAnsi="Wingdings" w:hint="default"/>
      </w:rPr>
    </w:lvl>
    <w:lvl w:ilvl="6" w:tplc="0C090001" w:tentative="1">
      <w:start w:val="1"/>
      <w:numFmt w:val="bullet"/>
      <w:lvlText w:val=""/>
      <w:lvlJc w:val="left"/>
      <w:pPr>
        <w:tabs>
          <w:tab w:val="num" w:pos="4320"/>
        </w:tabs>
        <w:ind w:left="4320" w:hanging="360"/>
      </w:pPr>
      <w:rPr>
        <w:rFonts w:ascii="Symbol" w:hAnsi="Symbol" w:hint="default"/>
      </w:rPr>
    </w:lvl>
    <w:lvl w:ilvl="7" w:tplc="0C090003" w:tentative="1">
      <w:start w:val="1"/>
      <w:numFmt w:val="bullet"/>
      <w:lvlText w:val="o"/>
      <w:lvlJc w:val="left"/>
      <w:pPr>
        <w:tabs>
          <w:tab w:val="num" w:pos="5040"/>
        </w:tabs>
        <w:ind w:left="5040" w:hanging="360"/>
      </w:pPr>
      <w:rPr>
        <w:rFonts w:ascii="Courier New" w:hAnsi="Courier New" w:cs="Courier New" w:hint="default"/>
      </w:rPr>
    </w:lvl>
    <w:lvl w:ilvl="8" w:tplc="0C090005" w:tentative="1">
      <w:start w:val="1"/>
      <w:numFmt w:val="bullet"/>
      <w:lvlText w:val=""/>
      <w:lvlJc w:val="left"/>
      <w:pPr>
        <w:tabs>
          <w:tab w:val="num" w:pos="5760"/>
        </w:tabs>
        <w:ind w:left="5760" w:hanging="360"/>
      </w:pPr>
      <w:rPr>
        <w:rFonts w:ascii="Wingdings" w:hAnsi="Wingdings" w:hint="default"/>
      </w:rPr>
    </w:lvl>
  </w:abstractNum>
  <w:abstractNum w:abstractNumId="2">
    <w:nsid w:val="14A81249"/>
    <w:multiLevelType w:val="hybridMultilevel"/>
    <w:tmpl w:val="98903850"/>
    <w:lvl w:ilvl="0" w:tplc="0C09000F">
      <w:start w:val="1"/>
      <w:numFmt w:val="decimal"/>
      <w:lvlText w:val="%1."/>
      <w:lvlJc w:val="left"/>
      <w:pPr>
        <w:tabs>
          <w:tab w:val="num" w:pos="644"/>
        </w:tabs>
        <w:ind w:left="644" w:hanging="360"/>
      </w:pPr>
      <w:rPr>
        <w:rFonts w:hint="default"/>
      </w:rPr>
    </w:lvl>
    <w:lvl w:ilvl="1" w:tplc="0C090019">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
    <w:nsid w:val="1A5A2ABF"/>
    <w:multiLevelType w:val="hybridMultilevel"/>
    <w:tmpl w:val="2ED60C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1CF17DF2"/>
    <w:multiLevelType w:val="hybridMultilevel"/>
    <w:tmpl w:val="26F03B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1D9D5690"/>
    <w:multiLevelType w:val="hybridMultilevel"/>
    <w:tmpl w:val="221606A6"/>
    <w:lvl w:ilvl="0" w:tplc="686455A4">
      <w:numFmt w:val="bullet"/>
      <w:lvlText w:val=""/>
      <w:lvlJc w:val="left"/>
      <w:pPr>
        <w:tabs>
          <w:tab w:val="num" w:pos="363"/>
        </w:tabs>
        <w:ind w:left="363" w:hanging="363"/>
      </w:pPr>
      <w:rPr>
        <w:rFonts w:ascii="Symbol" w:eastAsia="Times New Roman" w:hAnsi="Symbol" w:cs="Courier New" w:hint="default"/>
      </w:rPr>
    </w:lvl>
    <w:lvl w:ilvl="1" w:tplc="0C090003" w:tentative="1">
      <w:start w:val="1"/>
      <w:numFmt w:val="bullet"/>
      <w:lvlText w:val="o"/>
      <w:lvlJc w:val="left"/>
      <w:pPr>
        <w:tabs>
          <w:tab w:val="num" w:pos="363"/>
        </w:tabs>
        <w:ind w:left="363" w:hanging="360"/>
      </w:pPr>
      <w:rPr>
        <w:rFonts w:ascii="Courier New" w:hAnsi="Courier New" w:cs="Courier New" w:hint="default"/>
      </w:rPr>
    </w:lvl>
    <w:lvl w:ilvl="2" w:tplc="0C090005" w:tentative="1">
      <w:start w:val="1"/>
      <w:numFmt w:val="bullet"/>
      <w:lvlText w:val=""/>
      <w:lvlJc w:val="left"/>
      <w:pPr>
        <w:tabs>
          <w:tab w:val="num" w:pos="1083"/>
        </w:tabs>
        <w:ind w:left="1083" w:hanging="360"/>
      </w:pPr>
      <w:rPr>
        <w:rFonts w:ascii="Wingdings" w:hAnsi="Wingdings" w:hint="default"/>
      </w:rPr>
    </w:lvl>
    <w:lvl w:ilvl="3" w:tplc="0C090001" w:tentative="1">
      <w:start w:val="1"/>
      <w:numFmt w:val="bullet"/>
      <w:lvlText w:val=""/>
      <w:lvlJc w:val="left"/>
      <w:pPr>
        <w:tabs>
          <w:tab w:val="num" w:pos="1803"/>
        </w:tabs>
        <w:ind w:left="1803" w:hanging="360"/>
      </w:pPr>
      <w:rPr>
        <w:rFonts w:ascii="Symbol" w:hAnsi="Symbol" w:hint="default"/>
      </w:rPr>
    </w:lvl>
    <w:lvl w:ilvl="4" w:tplc="0C090003" w:tentative="1">
      <w:start w:val="1"/>
      <w:numFmt w:val="bullet"/>
      <w:lvlText w:val="o"/>
      <w:lvlJc w:val="left"/>
      <w:pPr>
        <w:tabs>
          <w:tab w:val="num" w:pos="2523"/>
        </w:tabs>
        <w:ind w:left="2523" w:hanging="360"/>
      </w:pPr>
      <w:rPr>
        <w:rFonts w:ascii="Courier New" w:hAnsi="Courier New" w:cs="Courier New" w:hint="default"/>
      </w:rPr>
    </w:lvl>
    <w:lvl w:ilvl="5" w:tplc="0C090005" w:tentative="1">
      <w:start w:val="1"/>
      <w:numFmt w:val="bullet"/>
      <w:lvlText w:val=""/>
      <w:lvlJc w:val="left"/>
      <w:pPr>
        <w:tabs>
          <w:tab w:val="num" w:pos="3243"/>
        </w:tabs>
        <w:ind w:left="3243" w:hanging="360"/>
      </w:pPr>
      <w:rPr>
        <w:rFonts w:ascii="Wingdings" w:hAnsi="Wingdings" w:hint="default"/>
      </w:rPr>
    </w:lvl>
    <w:lvl w:ilvl="6" w:tplc="0C090001" w:tentative="1">
      <w:start w:val="1"/>
      <w:numFmt w:val="bullet"/>
      <w:lvlText w:val=""/>
      <w:lvlJc w:val="left"/>
      <w:pPr>
        <w:tabs>
          <w:tab w:val="num" w:pos="3963"/>
        </w:tabs>
        <w:ind w:left="3963" w:hanging="360"/>
      </w:pPr>
      <w:rPr>
        <w:rFonts w:ascii="Symbol" w:hAnsi="Symbol" w:hint="default"/>
      </w:rPr>
    </w:lvl>
    <w:lvl w:ilvl="7" w:tplc="0C090003" w:tentative="1">
      <w:start w:val="1"/>
      <w:numFmt w:val="bullet"/>
      <w:lvlText w:val="o"/>
      <w:lvlJc w:val="left"/>
      <w:pPr>
        <w:tabs>
          <w:tab w:val="num" w:pos="4683"/>
        </w:tabs>
        <w:ind w:left="4683" w:hanging="360"/>
      </w:pPr>
      <w:rPr>
        <w:rFonts w:ascii="Courier New" w:hAnsi="Courier New" w:cs="Courier New" w:hint="default"/>
      </w:rPr>
    </w:lvl>
    <w:lvl w:ilvl="8" w:tplc="0C090005" w:tentative="1">
      <w:start w:val="1"/>
      <w:numFmt w:val="bullet"/>
      <w:lvlText w:val=""/>
      <w:lvlJc w:val="left"/>
      <w:pPr>
        <w:tabs>
          <w:tab w:val="num" w:pos="5403"/>
        </w:tabs>
        <w:ind w:left="5403" w:hanging="360"/>
      </w:pPr>
      <w:rPr>
        <w:rFonts w:ascii="Wingdings" w:hAnsi="Wingdings" w:hint="default"/>
      </w:rPr>
    </w:lvl>
  </w:abstractNum>
  <w:abstractNum w:abstractNumId="6">
    <w:nsid w:val="3D954DE0"/>
    <w:multiLevelType w:val="multilevel"/>
    <w:tmpl w:val="716E2C92"/>
    <w:lvl w:ilvl="0">
      <w:start w:val="1"/>
      <w:numFmt w:val="bullet"/>
      <w:lvlText w:val="-"/>
      <w:lvlJc w:val="left"/>
      <w:pPr>
        <w:tabs>
          <w:tab w:val="num" w:pos="360"/>
        </w:tabs>
        <w:ind w:left="360" w:hanging="360"/>
      </w:pPr>
      <w:rPr>
        <w:rFonts w:ascii="Courier New" w:hAnsi="Courier New" w:hint="default"/>
      </w:rPr>
    </w:lvl>
    <w:lvl w:ilvl="1">
      <w:start w:val="1"/>
      <w:numFmt w:val="bullet"/>
      <w:lvlText w:val="o"/>
      <w:lvlJc w:val="left"/>
      <w:pPr>
        <w:tabs>
          <w:tab w:val="num" w:pos="720"/>
        </w:tabs>
        <w:ind w:left="720" w:hanging="360"/>
      </w:pPr>
      <w:rPr>
        <w:rFonts w:ascii="Courier New" w:hAnsi="Courier New" w:cs="Courier New" w:hint="default"/>
      </w:rPr>
    </w:lvl>
    <w:lvl w:ilvl="2">
      <w:start w:val="1"/>
      <w:numFmt w:val="bullet"/>
      <w:lvlText w:val=""/>
      <w:lvlJc w:val="left"/>
      <w:pPr>
        <w:tabs>
          <w:tab w:val="num" w:pos="1440"/>
        </w:tabs>
        <w:ind w:left="1440" w:hanging="360"/>
      </w:pPr>
      <w:rPr>
        <w:rFonts w:ascii="Wingdings" w:hAnsi="Wingdings" w:hint="default"/>
      </w:rPr>
    </w:lvl>
    <w:lvl w:ilvl="3">
      <w:start w:val="1"/>
      <w:numFmt w:val="bullet"/>
      <w:lvlText w:val=""/>
      <w:lvlJc w:val="left"/>
      <w:pPr>
        <w:tabs>
          <w:tab w:val="num" w:pos="2160"/>
        </w:tabs>
        <w:ind w:left="2160" w:hanging="360"/>
      </w:pPr>
      <w:rPr>
        <w:rFonts w:ascii="Symbol" w:hAnsi="Symbol" w:hint="default"/>
      </w:rPr>
    </w:lvl>
    <w:lvl w:ilvl="4">
      <w:start w:val="1"/>
      <w:numFmt w:val="bullet"/>
      <w:lvlText w:val="o"/>
      <w:lvlJc w:val="left"/>
      <w:pPr>
        <w:tabs>
          <w:tab w:val="num" w:pos="2880"/>
        </w:tabs>
        <w:ind w:left="2880" w:hanging="360"/>
      </w:pPr>
      <w:rPr>
        <w:rFonts w:ascii="Courier New" w:hAnsi="Courier New" w:cs="Courier New" w:hint="default"/>
      </w:rPr>
    </w:lvl>
    <w:lvl w:ilvl="5">
      <w:start w:val="1"/>
      <w:numFmt w:val="bullet"/>
      <w:lvlText w:val=""/>
      <w:lvlJc w:val="left"/>
      <w:pPr>
        <w:tabs>
          <w:tab w:val="num" w:pos="3600"/>
        </w:tabs>
        <w:ind w:left="3600" w:hanging="360"/>
      </w:pPr>
      <w:rPr>
        <w:rFonts w:ascii="Wingdings" w:hAnsi="Wingdings" w:hint="default"/>
      </w:rPr>
    </w:lvl>
    <w:lvl w:ilvl="6">
      <w:start w:val="1"/>
      <w:numFmt w:val="bullet"/>
      <w:lvlText w:val=""/>
      <w:lvlJc w:val="left"/>
      <w:pPr>
        <w:tabs>
          <w:tab w:val="num" w:pos="4320"/>
        </w:tabs>
        <w:ind w:left="4320" w:hanging="360"/>
      </w:pPr>
      <w:rPr>
        <w:rFonts w:ascii="Symbol" w:hAnsi="Symbol" w:hint="default"/>
      </w:rPr>
    </w:lvl>
    <w:lvl w:ilvl="7">
      <w:start w:val="1"/>
      <w:numFmt w:val="bullet"/>
      <w:lvlText w:val="o"/>
      <w:lvlJc w:val="left"/>
      <w:pPr>
        <w:tabs>
          <w:tab w:val="num" w:pos="5040"/>
        </w:tabs>
        <w:ind w:left="5040" w:hanging="360"/>
      </w:pPr>
      <w:rPr>
        <w:rFonts w:ascii="Courier New" w:hAnsi="Courier New" w:cs="Courier New" w:hint="default"/>
      </w:rPr>
    </w:lvl>
    <w:lvl w:ilvl="8">
      <w:start w:val="1"/>
      <w:numFmt w:val="bullet"/>
      <w:lvlText w:val=""/>
      <w:lvlJc w:val="left"/>
      <w:pPr>
        <w:tabs>
          <w:tab w:val="num" w:pos="5760"/>
        </w:tabs>
        <w:ind w:left="5760" w:hanging="360"/>
      </w:pPr>
      <w:rPr>
        <w:rFonts w:ascii="Wingdings" w:hAnsi="Wingdings" w:hint="default"/>
      </w:rPr>
    </w:lvl>
  </w:abstractNum>
  <w:abstractNum w:abstractNumId="7">
    <w:nsid w:val="3F8A490F"/>
    <w:multiLevelType w:val="hybridMultilevel"/>
    <w:tmpl w:val="6D0A8E8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43C10FED"/>
    <w:multiLevelType w:val="hybridMultilevel"/>
    <w:tmpl w:val="51A6D122"/>
    <w:lvl w:ilvl="0" w:tplc="686455A4">
      <w:numFmt w:val="bullet"/>
      <w:lvlText w:val=""/>
      <w:lvlJc w:val="left"/>
      <w:pPr>
        <w:tabs>
          <w:tab w:val="num" w:pos="363"/>
        </w:tabs>
        <w:ind w:left="363" w:hanging="363"/>
      </w:pPr>
      <w:rPr>
        <w:rFonts w:ascii="Symbol" w:eastAsia="Times New Roman" w:hAnsi="Symbol" w:cs="Courier New" w:hint="default"/>
      </w:rPr>
    </w:lvl>
    <w:lvl w:ilvl="1" w:tplc="0C090003" w:tentative="1">
      <w:start w:val="1"/>
      <w:numFmt w:val="bullet"/>
      <w:lvlText w:val="o"/>
      <w:lvlJc w:val="left"/>
      <w:pPr>
        <w:tabs>
          <w:tab w:val="num" w:pos="363"/>
        </w:tabs>
        <w:ind w:left="363" w:hanging="360"/>
      </w:pPr>
      <w:rPr>
        <w:rFonts w:ascii="Courier New" w:hAnsi="Courier New" w:cs="Courier New" w:hint="default"/>
      </w:rPr>
    </w:lvl>
    <w:lvl w:ilvl="2" w:tplc="0C090005" w:tentative="1">
      <w:start w:val="1"/>
      <w:numFmt w:val="bullet"/>
      <w:lvlText w:val=""/>
      <w:lvlJc w:val="left"/>
      <w:pPr>
        <w:tabs>
          <w:tab w:val="num" w:pos="1083"/>
        </w:tabs>
        <w:ind w:left="1083" w:hanging="360"/>
      </w:pPr>
      <w:rPr>
        <w:rFonts w:ascii="Wingdings" w:hAnsi="Wingdings" w:hint="default"/>
      </w:rPr>
    </w:lvl>
    <w:lvl w:ilvl="3" w:tplc="0C090001" w:tentative="1">
      <w:start w:val="1"/>
      <w:numFmt w:val="bullet"/>
      <w:lvlText w:val=""/>
      <w:lvlJc w:val="left"/>
      <w:pPr>
        <w:tabs>
          <w:tab w:val="num" w:pos="1803"/>
        </w:tabs>
        <w:ind w:left="1803" w:hanging="360"/>
      </w:pPr>
      <w:rPr>
        <w:rFonts w:ascii="Symbol" w:hAnsi="Symbol" w:hint="default"/>
      </w:rPr>
    </w:lvl>
    <w:lvl w:ilvl="4" w:tplc="0C090003" w:tentative="1">
      <w:start w:val="1"/>
      <w:numFmt w:val="bullet"/>
      <w:lvlText w:val="o"/>
      <w:lvlJc w:val="left"/>
      <w:pPr>
        <w:tabs>
          <w:tab w:val="num" w:pos="2523"/>
        </w:tabs>
        <w:ind w:left="2523" w:hanging="360"/>
      </w:pPr>
      <w:rPr>
        <w:rFonts w:ascii="Courier New" w:hAnsi="Courier New" w:cs="Courier New" w:hint="default"/>
      </w:rPr>
    </w:lvl>
    <w:lvl w:ilvl="5" w:tplc="0C090005" w:tentative="1">
      <w:start w:val="1"/>
      <w:numFmt w:val="bullet"/>
      <w:lvlText w:val=""/>
      <w:lvlJc w:val="left"/>
      <w:pPr>
        <w:tabs>
          <w:tab w:val="num" w:pos="3243"/>
        </w:tabs>
        <w:ind w:left="3243" w:hanging="360"/>
      </w:pPr>
      <w:rPr>
        <w:rFonts w:ascii="Wingdings" w:hAnsi="Wingdings" w:hint="default"/>
      </w:rPr>
    </w:lvl>
    <w:lvl w:ilvl="6" w:tplc="0C090001" w:tentative="1">
      <w:start w:val="1"/>
      <w:numFmt w:val="bullet"/>
      <w:lvlText w:val=""/>
      <w:lvlJc w:val="left"/>
      <w:pPr>
        <w:tabs>
          <w:tab w:val="num" w:pos="3963"/>
        </w:tabs>
        <w:ind w:left="3963" w:hanging="360"/>
      </w:pPr>
      <w:rPr>
        <w:rFonts w:ascii="Symbol" w:hAnsi="Symbol" w:hint="default"/>
      </w:rPr>
    </w:lvl>
    <w:lvl w:ilvl="7" w:tplc="0C090003" w:tentative="1">
      <w:start w:val="1"/>
      <w:numFmt w:val="bullet"/>
      <w:lvlText w:val="o"/>
      <w:lvlJc w:val="left"/>
      <w:pPr>
        <w:tabs>
          <w:tab w:val="num" w:pos="4683"/>
        </w:tabs>
        <w:ind w:left="4683" w:hanging="360"/>
      </w:pPr>
      <w:rPr>
        <w:rFonts w:ascii="Courier New" w:hAnsi="Courier New" w:cs="Courier New" w:hint="default"/>
      </w:rPr>
    </w:lvl>
    <w:lvl w:ilvl="8" w:tplc="0C090005" w:tentative="1">
      <w:start w:val="1"/>
      <w:numFmt w:val="bullet"/>
      <w:lvlText w:val=""/>
      <w:lvlJc w:val="left"/>
      <w:pPr>
        <w:tabs>
          <w:tab w:val="num" w:pos="5403"/>
        </w:tabs>
        <w:ind w:left="5403" w:hanging="360"/>
      </w:pPr>
      <w:rPr>
        <w:rFonts w:ascii="Wingdings" w:hAnsi="Wingdings" w:hint="default"/>
      </w:rPr>
    </w:lvl>
  </w:abstractNum>
  <w:abstractNum w:abstractNumId="9">
    <w:nsid w:val="46876012"/>
    <w:multiLevelType w:val="hybridMultilevel"/>
    <w:tmpl w:val="CD52430E"/>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0">
    <w:nsid w:val="5137758E"/>
    <w:multiLevelType w:val="hybridMultilevel"/>
    <w:tmpl w:val="3E4ECA7E"/>
    <w:lvl w:ilvl="0" w:tplc="686455A4">
      <w:numFmt w:val="bullet"/>
      <w:lvlText w:val=""/>
      <w:lvlJc w:val="left"/>
      <w:pPr>
        <w:tabs>
          <w:tab w:val="num" w:pos="363"/>
        </w:tabs>
        <w:ind w:left="363" w:hanging="363"/>
      </w:pPr>
      <w:rPr>
        <w:rFonts w:ascii="Symbol" w:eastAsia="Times New Roman" w:hAnsi="Symbol" w:cs="Courier New" w:hint="default"/>
      </w:rPr>
    </w:lvl>
    <w:lvl w:ilvl="1" w:tplc="0C090003" w:tentative="1">
      <w:start w:val="1"/>
      <w:numFmt w:val="bullet"/>
      <w:lvlText w:val="o"/>
      <w:lvlJc w:val="left"/>
      <w:pPr>
        <w:tabs>
          <w:tab w:val="num" w:pos="363"/>
        </w:tabs>
        <w:ind w:left="363" w:hanging="360"/>
      </w:pPr>
      <w:rPr>
        <w:rFonts w:ascii="Courier New" w:hAnsi="Courier New" w:cs="Courier New" w:hint="default"/>
      </w:rPr>
    </w:lvl>
    <w:lvl w:ilvl="2" w:tplc="0C090005" w:tentative="1">
      <w:start w:val="1"/>
      <w:numFmt w:val="bullet"/>
      <w:lvlText w:val=""/>
      <w:lvlJc w:val="left"/>
      <w:pPr>
        <w:tabs>
          <w:tab w:val="num" w:pos="1083"/>
        </w:tabs>
        <w:ind w:left="1083" w:hanging="360"/>
      </w:pPr>
      <w:rPr>
        <w:rFonts w:ascii="Wingdings" w:hAnsi="Wingdings" w:hint="default"/>
      </w:rPr>
    </w:lvl>
    <w:lvl w:ilvl="3" w:tplc="0C090001" w:tentative="1">
      <w:start w:val="1"/>
      <w:numFmt w:val="bullet"/>
      <w:lvlText w:val=""/>
      <w:lvlJc w:val="left"/>
      <w:pPr>
        <w:tabs>
          <w:tab w:val="num" w:pos="1803"/>
        </w:tabs>
        <w:ind w:left="1803" w:hanging="360"/>
      </w:pPr>
      <w:rPr>
        <w:rFonts w:ascii="Symbol" w:hAnsi="Symbol" w:hint="default"/>
      </w:rPr>
    </w:lvl>
    <w:lvl w:ilvl="4" w:tplc="0C090003" w:tentative="1">
      <w:start w:val="1"/>
      <w:numFmt w:val="bullet"/>
      <w:lvlText w:val="o"/>
      <w:lvlJc w:val="left"/>
      <w:pPr>
        <w:tabs>
          <w:tab w:val="num" w:pos="2523"/>
        </w:tabs>
        <w:ind w:left="2523" w:hanging="360"/>
      </w:pPr>
      <w:rPr>
        <w:rFonts w:ascii="Courier New" w:hAnsi="Courier New" w:cs="Courier New" w:hint="default"/>
      </w:rPr>
    </w:lvl>
    <w:lvl w:ilvl="5" w:tplc="0C090005" w:tentative="1">
      <w:start w:val="1"/>
      <w:numFmt w:val="bullet"/>
      <w:lvlText w:val=""/>
      <w:lvlJc w:val="left"/>
      <w:pPr>
        <w:tabs>
          <w:tab w:val="num" w:pos="3243"/>
        </w:tabs>
        <w:ind w:left="3243" w:hanging="360"/>
      </w:pPr>
      <w:rPr>
        <w:rFonts w:ascii="Wingdings" w:hAnsi="Wingdings" w:hint="default"/>
      </w:rPr>
    </w:lvl>
    <w:lvl w:ilvl="6" w:tplc="0C090001" w:tentative="1">
      <w:start w:val="1"/>
      <w:numFmt w:val="bullet"/>
      <w:lvlText w:val=""/>
      <w:lvlJc w:val="left"/>
      <w:pPr>
        <w:tabs>
          <w:tab w:val="num" w:pos="3963"/>
        </w:tabs>
        <w:ind w:left="3963" w:hanging="360"/>
      </w:pPr>
      <w:rPr>
        <w:rFonts w:ascii="Symbol" w:hAnsi="Symbol" w:hint="default"/>
      </w:rPr>
    </w:lvl>
    <w:lvl w:ilvl="7" w:tplc="0C090003" w:tentative="1">
      <w:start w:val="1"/>
      <w:numFmt w:val="bullet"/>
      <w:lvlText w:val="o"/>
      <w:lvlJc w:val="left"/>
      <w:pPr>
        <w:tabs>
          <w:tab w:val="num" w:pos="4683"/>
        </w:tabs>
        <w:ind w:left="4683" w:hanging="360"/>
      </w:pPr>
      <w:rPr>
        <w:rFonts w:ascii="Courier New" w:hAnsi="Courier New" w:cs="Courier New" w:hint="default"/>
      </w:rPr>
    </w:lvl>
    <w:lvl w:ilvl="8" w:tplc="0C090005" w:tentative="1">
      <w:start w:val="1"/>
      <w:numFmt w:val="bullet"/>
      <w:lvlText w:val=""/>
      <w:lvlJc w:val="left"/>
      <w:pPr>
        <w:tabs>
          <w:tab w:val="num" w:pos="5403"/>
        </w:tabs>
        <w:ind w:left="5403" w:hanging="360"/>
      </w:pPr>
      <w:rPr>
        <w:rFonts w:ascii="Wingdings" w:hAnsi="Wingdings" w:hint="default"/>
      </w:rPr>
    </w:lvl>
  </w:abstractNum>
  <w:abstractNum w:abstractNumId="11">
    <w:nsid w:val="55601AE2"/>
    <w:multiLevelType w:val="hybridMultilevel"/>
    <w:tmpl w:val="16F4E9AC"/>
    <w:lvl w:ilvl="0" w:tplc="686455A4">
      <w:numFmt w:val="bullet"/>
      <w:lvlText w:val=""/>
      <w:lvlJc w:val="left"/>
      <w:pPr>
        <w:tabs>
          <w:tab w:val="num" w:pos="363"/>
        </w:tabs>
        <w:ind w:left="363" w:hanging="363"/>
      </w:pPr>
      <w:rPr>
        <w:rFonts w:ascii="Symbol" w:eastAsia="Times New Roman" w:hAnsi="Symbol" w:cs="Courier New" w:hint="default"/>
      </w:rPr>
    </w:lvl>
    <w:lvl w:ilvl="1" w:tplc="0C090003" w:tentative="1">
      <w:start w:val="1"/>
      <w:numFmt w:val="bullet"/>
      <w:lvlText w:val="o"/>
      <w:lvlJc w:val="left"/>
      <w:pPr>
        <w:tabs>
          <w:tab w:val="num" w:pos="363"/>
        </w:tabs>
        <w:ind w:left="363" w:hanging="360"/>
      </w:pPr>
      <w:rPr>
        <w:rFonts w:ascii="Courier New" w:hAnsi="Courier New" w:cs="Courier New" w:hint="default"/>
      </w:rPr>
    </w:lvl>
    <w:lvl w:ilvl="2" w:tplc="0C090005" w:tentative="1">
      <w:start w:val="1"/>
      <w:numFmt w:val="bullet"/>
      <w:lvlText w:val=""/>
      <w:lvlJc w:val="left"/>
      <w:pPr>
        <w:tabs>
          <w:tab w:val="num" w:pos="1083"/>
        </w:tabs>
        <w:ind w:left="1083" w:hanging="360"/>
      </w:pPr>
      <w:rPr>
        <w:rFonts w:ascii="Wingdings" w:hAnsi="Wingdings" w:hint="default"/>
      </w:rPr>
    </w:lvl>
    <w:lvl w:ilvl="3" w:tplc="0C090001" w:tentative="1">
      <w:start w:val="1"/>
      <w:numFmt w:val="bullet"/>
      <w:lvlText w:val=""/>
      <w:lvlJc w:val="left"/>
      <w:pPr>
        <w:tabs>
          <w:tab w:val="num" w:pos="1803"/>
        </w:tabs>
        <w:ind w:left="1803" w:hanging="360"/>
      </w:pPr>
      <w:rPr>
        <w:rFonts w:ascii="Symbol" w:hAnsi="Symbol" w:hint="default"/>
      </w:rPr>
    </w:lvl>
    <w:lvl w:ilvl="4" w:tplc="0C090003" w:tentative="1">
      <w:start w:val="1"/>
      <w:numFmt w:val="bullet"/>
      <w:lvlText w:val="o"/>
      <w:lvlJc w:val="left"/>
      <w:pPr>
        <w:tabs>
          <w:tab w:val="num" w:pos="2523"/>
        </w:tabs>
        <w:ind w:left="2523" w:hanging="360"/>
      </w:pPr>
      <w:rPr>
        <w:rFonts w:ascii="Courier New" w:hAnsi="Courier New" w:cs="Courier New" w:hint="default"/>
      </w:rPr>
    </w:lvl>
    <w:lvl w:ilvl="5" w:tplc="0C090005" w:tentative="1">
      <w:start w:val="1"/>
      <w:numFmt w:val="bullet"/>
      <w:lvlText w:val=""/>
      <w:lvlJc w:val="left"/>
      <w:pPr>
        <w:tabs>
          <w:tab w:val="num" w:pos="3243"/>
        </w:tabs>
        <w:ind w:left="3243" w:hanging="360"/>
      </w:pPr>
      <w:rPr>
        <w:rFonts w:ascii="Wingdings" w:hAnsi="Wingdings" w:hint="default"/>
      </w:rPr>
    </w:lvl>
    <w:lvl w:ilvl="6" w:tplc="0C090001" w:tentative="1">
      <w:start w:val="1"/>
      <w:numFmt w:val="bullet"/>
      <w:lvlText w:val=""/>
      <w:lvlJc w:val="left"/>
      <w:pPr>
        <w:tabs>
          <w:tab w:val="num" w:pos="3963"/>
        </w:tabs>
        <w:ind w:left="3963" w:hanging="360"/>
      </w:pPr>
      <w:rPr>
        <w:rFonts w:ascii="Symbol" w:hAnsi="Symbol" w:hint="default"/>
      </w:rPr>
    </w:lvl>
    <w:lvl w:ilvl="7" w:tplc="0C090003" w:tentative="1">
      <w:start w:val="1"/>
      <w:numFmt w:val="bullet"/>
      <w:lvlText w:val="o"/>
      <w:lvlJc w:val="left"/>
      <w:pPr>
        <w:tabs>
          <w:tab w:val="num" w:pos="4683"/>
        </w:tabs>
        <w:ind w:left="4683" w:hanging="360"/>
      </w:pPr>
      <w:rPr>
        <w:rFonts w:ascii="Courier New" w:hAnsi="Courier New" w:cs="Courier New" w:hint="default"/>
      </w:rPr>
    </w:lvl>
    <w:lvl w:ilvl="8" w:tplc="0C090005" w:tentative="1">
      <w:start w:val="1"/>
      <w:numFmt w:val="bullet"/>
      <w:lvlText w:val=""/>
      <w:lvlJc w:val="left"/>
      <w:pPr>
        <w:tabs>
          <w:tab w:val="num" w:pos="5403"/>
        </w:tabs>
        <w:ind w:left="5403" w:hanging="360"/>
      </w:pPr>
      <w:rPr>
        <w:rFonts w:ascii="Wingdings" w:hAnsi="Wingdings" w:hint="default"/>
      </w:rPr>
    </w:lvl>
  </w:abstractNum>
  <w:abstractNum w:abstractNumId="12">
    <w:nsid w:val="5C586043"/>
    <w:multiLevelType w:val="hybridMultilevel"/>
    <w:tmpl w:val="F7AC22F4"/>
    <w:lvl w:ilvl="0" w:tplc="0C090005">
      <w:start w:val="1"/>
      <w:numFmt w:val="bullet"/>
      <w:lvlText w:val=""/>
      <w:lvlJc w:val="left"/>
      <w:pPr>
        <w:tabs>
          <w:tab w:val="num" w:pos="360"/>
        </w:tabs>
        <w:ind w:left="360" w:hanging="360"/>
      </w:pPr>
      <w:rPr>
        <w:rFonts w:ascii="Wingdings" w:hAnsi="Wingdings" w:hint="default"/>
      </w:rPr>
    </w:lvl>
    <w:lvl w:ilvl="1" w:tplc="0C090003" w:tentative="1">
      <w:start w:val="1"/>
      <w:numFmt w:val="bullet"/>
      <w:lvlText w:val="o"/>
      <w:lvlJc w:val="left"/>
      <w:pPr>
        <w:tabs>
          <w:tab w:val="num" w:pos="720"/>
        </w:tabs>
        <w:ind w:left="720" w:hanging="360"/>
      </w:pPr>
      <w:rPr>
        <w:rFonts w:ascii="Courier New" w:hAnsi="Courier New" w:cs="Courier New" w:hint="default"/>
      </w:rPr>
    </w:lvl>
    <w:lvl w:ilvl="2" w:tplc="0C090005" w:tentative="1">
      <w:start w:val="1"/>
      <w:numFmt w:val="bullet"/>
      <w:lvlText w:val=""/>
      <w:lvlJc w:val="left"/>
      <w:pPr>
        <w:tabs>
          <w:tab w:val="num" w:pos="1440"/>
        </w:tabs>
        <w:ind w:left="1440" w:hanging="360"/>
      </w:pPr>
      <w:rPr>
        <w:rFonts w:ascii="Wingdings" w:hAnsi="Wingdings" w:hint="default"/>
      </w:rPr>
    </w:lvl>
    <w:lvl w:ilvl="3" w:tplc="0C090001" w:tentative="1">
      <w:start w:val="1"/>
      <w:numFmt w:val="bullet"/>
      <w:lvlText w:val=""/>
      <w:lvlJc w:val="left"/>
      <w:pPr>
        <w:tabs>
          <w:tab w:val="num" w:pos="2160"/>
        </w:tabs>
        <w:ind w:left="2160" w:hanging="360"/>
      </w:pPr>
      <w:rPr>
        <w:rFonts w:ascii="Symbol" w:hAnsi="Symbol" w:hint="default"/>
      </w:rPr>
    </w:lvl>
    <w:lvl w:ilvl="4" w:tplc="0C090003" w:tentative="1">
      <w:start w:val="1"/>
      <w:numFmt w:val="bullet"/>
      <w:lvlText w:val="o"/>
      <w:lvlJc w:val="left"/>
      <w:pPr>
        <w:tabs>
          <w:tab w:val="num" w:pos="2880"/>
        </w:tabs>
        <w:ind w:left="2880" w:hanging="360"/>
      </w:pPr>
      <w:rPr>
        <w:rFonts w:ascii="Courier New" w:hAnsi="Courier New" w:cs="Courier New" w:hint="default"/>
      </w:rPr>
    </w:lvl>
    <w:lvl w:ilvl="5" w:tplc="0C090005" w:tentative="1">
      <w:start w:val="1"/>
      <w:numFmt w:val="bullet"/>
      <w:lvlText w:val=""/>
      <w:lvlJc w:val="left"/>
      <w:pPr>
        <w:tabs>
          <w:tab w:val="num" w:pos="3600"/>
        </w:tabs>
        <w:ind w:left="3600" w:hanging="360"/>
      </w:pPr>
      <w:rPr>
        <w:rFonts w:ascii="Wingdings" w:hAnsi="Wingdings" w:hint="default"/>
      </w:rPr>
    </w:lvl>
    <w:lvl w:ilvl="6" w:tplc="0C090001" w:tentative="1">
      <w:start w:val="1"/>
      <w:numFmt w:val="bullet"/>
      <w:lvlText w:val=""/>
      <w:lvlJc w:val="left"/>
      <w:pPr>
        <w:tabs>
          <w:tab w:val="num" w:pos="4320"/>
        </w:tabs>
        <w:ind w:left="4320" w:hanging="360"/>
      </w:pPr>
      <w:rPr>
        <w:rFonts w:ascii="Symbol" w:hAnsi="Symbol" w:hint="default"/>
      </w:rPr>
    </w:lvl>
    <w:lvl w:ilvl="7" w:tplc="0C090003" w:tentative="1">
      <w:start w:val="1"/>
      <w:numFmt w:val="bullet"/>
      <w:lvlText w:val="o"/>
      <w:lvlJc w:val="left"/>
      <w:pPr>
        <w:tabs>
          <w:tab w:val="num" w:pos="5040"/>
        </w:tabs>
        <w:ind w:left="5040" w:hanging="360"/>
      </w:pPr>
      <w:rPr>
        <w:rFonts w:ascii="Courier New" w:hAnsi="Courier New" w:cs="Courier New" w:hint="default"/>
      </w:rPr>
    </w:lvl>
    <w:lvl w:ilvl="8" w:tplc="0C090005" w:tentative="1">
      <w:start w:val="1"/>
      <w:numFmt w:val="bullet"/>
      <w:lvlText w:val=""/>
      <w:lvlJc w:val="left"/>
      <w:pPr>
        <w:tabs>
          <w:tab w:val="num" w:pos="5760"/>
        </w:tabs>
        <w:ind w:left="5760" w:hanging="360"/>
      </w:pPr>
      <w:rPr>
        <w:rFonts w:ascii="Wingdings" w:hAnsi="Wingdings" w:hint="default"/>
      </w:rPr>
    </w:lvl>
  </w:abstractNum>
  <w:abstractNum w:abstractNumId="13">
    <w:nsid w:val="68223326"/>
    <w:multiLevelType w:val="hybridMultilevel"/>
    <w:tmpl w:val="621C447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nsid w:val="6B712769"/>
    <w:multiLevelType w:val="hybridMultilevel"/>
    <w:tmpl w:val="C71AA254"/>
    <w:lvl w:ilvl="0" w:tplc="6180CB9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DEB0F79"/>
    <w:multiLevelType w:val="hybridMultilevel"/>
    <w:tmpl w:val="84A8BD02"/>
    <w:lvl w:ilvl="0" w:tplc="686455A4">
      <w:numFmt w:val="bullet"/>
      <w:lvlText w:val=""/>
      <w:lvlJc w:val="left"/>
      <w:pPr>
        <w:tabs>
          <w:tab w:val="num" w:pos="363"/>
        </w:tabs>
        <w:ind w:left="363" w:hanging="363"/>
      </w:pPr>
      <w:rPr>
        <w:rFonts w:ascii="Symbol" w:eastAsia="Times New Roman" w:hAnsi="Symbol" w:cs="Courier New" w:hint="default"/>
      </w:rPr>
    </w:lvl>
    <w:lvl w:ilvl="1" w:tplc="0C090003" w:tentative="1">
      <w:start w:val="1"/>
      <w:numFmt w:val="bullet"/>
      <w:lvlText w:val="o"/>
      <w:lvlJc w:val="left"/>
      <w:pPr>
        <w:tabs>
          <w:tab w:val="num" w:pos="363"/>
        </w:tabs>
        <w:ind w:left="363" w:hanging="360"/>
      </w:pPr>
      <w:rPr>
        <w:rFonts w:ascii="Courier New" w:hAnsi="Courier New" w:cs="Courier New" w:hint="default"/>
      </w:rPr>
    </w:lvl>
    <w:lvl w:ilvl="2" w:tplc="0C090005" w:tentative="1">
      <w:start w:val="1"/>
      <w:numFmt w:val="bullet"/>
      <w:lvlText w:val=""/>
      <w:lvlJc w:val="left"/>
      <w:pPr>
        <w:tabs>
          <w:tab w:val="num" w:pos="1083"/>
        </w:tabs>
        <w:ind w:left="1083" w:hanging="360"/>
      </w:pPr>
      <w:rPr>
        <w:rFonts w:ascii="Wingdings" w:hAnsi="Wingdings" w:hint="default"/>
      </w:rPr>
    </w:lvl>
    <w:lvl w:ilvl="3" w:tplc="0C090001" w:tentative="1">
      <w:start w:val="1"/>
      <w:numFmt w:val="bullet"/>
      <w:lvlText w:val=""/>
      <w:lvlJc w:val="left"/>
      <w:pPr>
        <w:tabs>
          <w:tab w:val="num" w:pos="1803"/>
        </w:tabs>
        <w:ind w:left="1803" w:hanging="360"/>
      </w:pPr>
      <w:rPr>
        <w:rFonts w:ascii="Symbol" w:hAnsi="Symbol" w:hint="default"/>
      </w:rPr>
    </w:lvl>
    <w:lvl w:ilvl="4" w:tplc="0C090003" w:tentative="1">
      <w:start w:val="1"/>
      <w:numFmt w:val="bullet"/>
      <w:lvlText w:val="o"/>
      <w:lvlJc w:val="left"/>
      <w:pPr>
        <w:tabs>
          <w:tab w:val="num" w:pos="2523"/>
        </w:tabs>
        <w:ind w:left="2523" w:hanging="360"/>
      </w:pPr>
      <w:rPr>
        <w:rFonts w:ascii="Courier New" w:hAnsi="Courier New" w:cs="Courier New" w:hint="default"/>
      </w:rPr>
    </w:lvl>
    <w:lvl w:ilvl="5" w:tplc="0C090005" w:tentative="1">
      <w:start w:val="1"/>
      <w:numFmt w:val="bullet"/>
      <w:lvlText w:val=""/>
      <w:lvlJc w:val="left"/>
      <w:pPr>
        <w:tabs>
          <w:tab w:val="num" w:pos="3243"/>
        </w:tabs>
        <w:ind w:left="3243" w:hanging="360"/>
      </w:pPr>
      <w:rPr>
        <w:rFonts w:ascii="Wingdings" w:hAnsi="Wingdings" w:hint="default"/>
      </w:rPr>
    </w:lvl>
    <w:lvl w:ilvl="6" w:tplc="0C090001" w:tentative="1">
      <w:start w:val="1"/>
      <w:numFmt w:val="bullet"/>
      <w:lvlText w:val=""/>
      <w:lvlJc w:val="left"/>
      <w:pPr>
        <w:tabs>
          <w:tab w:val="num" w:pos="3963"/>
        </w:tabs>
        <w:ind w:left="3963" w:hanging="360"/>
      </w:pPr>
      <w:rPr>
        <w:rFonts w:ascii="Symbol" w:hAnsi="Symbol" w:hint="default"/>
      </w:rPr>
    </w:lvl>
    <w:lvl w:ilvl="7" w:tplc="0C090003" w:tentative="1">
      <w:start w:val="1"/>
      <w:numFmt w:val="bullet"/>
      <w:lvlText w:val="o"/>
      <w:lvlJc w:val="left"/>
      <w:pPr>
        <w:tabs>
          <w:tab w:val="num" w:pos="4683"/>
        </w:tabs>
        <w:ind w:left="4683" w:hanging="360"/>
      </w:pPr>
      <w:rPr>
        <w:rFonts w:ascii="Courier New" w:hAnsi="Courier New" w:cs="Courier New" w:hint="default"/>
      </w:rPr>
    </w:lvl>
    <w:lvl w:ilvl="8" w:tplc="0C090005" w:tentative="1">
      <w:start w:val="1"/>
      <w:numFmt w:val="bullet"/>
      <w:lvlText w:val=""/>
      <w:lvlJc w:val="left"/>
      <w:pPr>
        <w:tabs>
          <w:tab w:val="num" w:pos="5403"/>
        </w:tabs>
        <w:ind w:left="5403" w:hanging="360"/>
      </w:pPr>
      <w:rPr>
        <w:rFonts w:ascii="Wingdings" w:hAnsi="Wingdings" w:hint="default"/>
      </w:rPr>
    </w:lvl>
  </w:abstractNum>
  <w:num w:numId="1">
    <w:abstractNumId w:val="5"/>
  </w:num>
  <w:num w:numId="2">
    <w:abstractNumId w:val="15"/>
  </w:num>
  <w:num w:numId="3">
    <w:abstractNumId w:val="8"/>
  </w:num>
  <w:num w:numId="4">
    <w:abstractNumId w:val="11"/>
  </w:num>
  <w:num w:numId="5">
    <w:abstractNumId w:val="0"/>
  </w:num>
  <w:num w:numId="6">
    <w:abstractNumId w:val="10"/>
  </w:num>
  <w:num w:numId="7">
    <w:abstractNumId w:val="1"/>
  </w:num>
  <w:num w:numId="8">
    <w:abstractNumId w:val="6"/>
  </w:num>
  <w:num w:numId="9">
    <w:abstractNumId w:val="12"/>
  </w:num>
  <w:num w:numId="10">
    <w:abstractNumId w:val="14"/>
  </w:num>
  <w:num w:numId="11">
    <w:abstractNumId w:val="13"/>
  </w:num>
  <w:num w:numId="12">
    <w:abstractNumId w:val="9"/>
  </w:num>
  <w:num w:numId="13">
    <w:abstractNumId w:val="2"/>
  </w:num>
  <w:num w:numId="14">
    <w:abstractNumId w:val="7"/>
  </w:num>
  <w:num w:numId="15">
    <w:abstractNumId w:val="4"/>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2397"/>
    <w:rsid w:val="000008B1"/>
    <w:rsid w:val="00001834"/>
    <w:rsid w:val="000051EB"/>
    <w:rsid w:val="00010BF6"/>
    <w:rsid w:val="00011EAF"/>
    <w:rsid w:val="000176B7"/>
    <w:rsid w:val="0002070F"/>
    <w:rsid w:val="00021D83"/>
    <w:rsid w:val="00022FC8"/>
    <w:rsid w:val="00023DE2"/>
    <w:rsid w:val="00024544"/>
    <w:rsid w:val="00027FA7"/>
    <w:rsid w:val="0003201C"/>
    <w:rsid w:val="000338EA"/>
    <w:rsid w:val="000518AC"/>
    <w:rsid w:val="00051F6A"/>
    <w:rsid w:val="000548F2"/>
    <w:rsid w:val="00054B50"/>
    <w:rsid w:val="00062CE9"/>
    <w:rsid w:val="00072BCF"/>
    <w:rsid w:val="00074648"/>
    <w:rsid w:val="00075ABA"/>
    <w:rsid w:val="0009088A"/>
    <w:rsid w:val="000932D3"/>
    <w:rsid w:val="00094A6D"/>
    <w:rsid w:val="00096078"/>
    <w:rsid w:val="000A1924"/>
    <w:rsid w:val="000A7265"/>
    <w:rsid w:val="000A773F"/>
    <w:rsid w:val="000B05DB"/>
    <w:rsid w:val="000B35B8"/>
    <w:rsid w:val="000B6C0E"/>
    <w:rsid w:val="000C0C49"/>
    <w:rsid w:val="000C1051"/>
    <w:rsid w:val="000C27B1"/>
    <w:rsid w:val="000C3825"/>
    <w:rsid w:val="000C438C"/>
    <w:rsid w:val="000C71EA"/>
    <w:rsid w:val="000D776D"/>
    <w:rsid w:val="000D7B87"/>
    <w:rsid w:val="000E0C53"/>
    <w:rsid w:val="000E74A3"/>
    <w:rsid w:val="000F1C81"/>
    <w:rsid w:val="000F2086"/>
    <w:rsid w:val="000F32F8"/>
    <w:rsid w:val="000F5239"/>
    <w:rsid w:val="00100D56"/>
    <w:rsid w:val="001034B5"/>
    <w:rsid w:val="0010571E"/>
    <w:rsid w:val="00107B8E"/>
    <w:rsid w:val="00112413"/>
    <w:rsid w:val="00115C58"/>
    <w:rsid w:val="00115CBF"/>
    <w:rsid w:val="00121C9B"/>
    <w:rsid w:val="00121D2F"/>
    <w:rsid w:val="00127BC3"/>
    <w:rsid w:val="0013282B"/>
    <w:rsid w:val="00137005"/>
    <w:rsid w:val="00150065"/>
    <w:rsid w:val="001501B5"/>
    <w:rsid w:val="001550B9"/>
    <w:rsid w:val="00156205"/>
    <w:rsid w:val="00160D6F"/>
    <w:rsid w:val="0017056D"/>
    <w:rsid w:val="0017073E"/>
    <w:rsid w:val="001732A3"/>
    <w:rsid w:val="00174FCC"/>
    <w:rsid w:val="001810C0"/>
    <w:rsid w:val="00181980"/>
    <w:rsid w:val="00181A95"/>
    <w:rsid w:val="001822FD"/>
    <w:rsid w:val="00185C2A"/>
    <w:rsid w:val="00190D1F"/>
    <w:rsid w:val="00192B6B"/>
    <w:rsid w:val="00193878"/>
    <w:rsid w:val="001A3D7F"/>
    <w:rsid w:val="001A5237"/>
    <w:rsid w:val="001B3DF5"/>
    <w:rsid w:val="001C68CB"/>
    <w:rsid w:val="001D1501"/>
    <w:rsid w:val="001D4D89"/>
    <w:rsid w:val="001D5786"/>
    <w:rsid w:val="001D77FC"/>
    <w:rsid w:val="001E081B"/>
    <w:rsid w:val="001E0C77"/>
    <w:rsid w:val="001E1756"/>
    <w:rsid w:val="001E41EA"/>
    <w:rsid w:val="001E58C7"/>
    <w:rsid w:val="001E7C5B"/>
    <w:rsid w:val="001F4D65"/>
    <w:rsid w:val="001F60C3"/>
    <w:rsid w:val="001F73B6"/>
    <w:rsid w:val="00201998"/>
    <w:rsid w:val="00202C57"/>
    <w:rsid w:val="0020689D"/>
    <w:rsid w:val="002140EE"/>
    <w:rsid w:val="0021572B"/>
    <w:rsid w:val="0021766A"/>
    <w:rsid w:val="002330C0"/>
    <w:rsid w:val="0024017D"/>
    <w:rsid w:val="002424D4"/>
    <w:rsid w:val="00245E4D"/>
    <w:rsid w:val="00246E89"/>
    <w:rsid w:val="0025289F"/>
    <w:rsid w:val="0025732C"/>
    <w:rsid w:val="00272D7E"/>
    <w:rsid w:val="002818E9"/>
    <w:rsid w:val="00285045"/>
    <w:rsid w:val="002850C6"/>
    <w:rsid w:val="00290427"/>
    <w:rsid w:val="00292F80"/>
    <w:rsid w:val="0029364B"/>
    <w:rsid w:val="002A11DF"/>
    <w:rsid w:val="002B179D"/>
    <w:rsid w:val="002B6F13"/>
    <w:rsid w:val="002B71CD"/>
    <w:rsid w:val="002C30EE"/>
    <w:rsid w:val="002C3EB2"/>
    <w:rsid w:val="002C70D6"/>
    <w:rsid w:val="002C77C0"/>
    <w:rsid w:val="002C7E52"/>
    <w:rsid w:val="002D2B26"/>
    <w:rsid w:val="002D3B98"/>
    <w:rsid w:val="002D57F8"/>
    <w:rsid w:val="002D6667"/>
    <w:rsid w:val="002D6688"/>
    <w:rsid w:val="002D6A22"/>
    <w:rsid w:val="002D7427"/>
    <w:rsid w:val="002E6101"/>
    <w:rsid w:val="002E618E"/>
    <w:rsid w:val="002E6613"/>
    <w:rsid w:val="002F0392"/>
    <w:rsid w:val="002F18DB"/>
    <w:rsid w:val="0030047C"/>
    <w:rsid w:val="003011D3"/>
    <w:rsid w:val="00314B78"/>
    <w:rsid w:val="00327BB7"/>
    <w:rsid w:val="00332E69"/>
    <w:rsid w:val="003443DF"/>
    <w:rsid w:val="00350F9D"/>
    <w:rsid w:val="00352AF5"/>
    <w:rsid w:val="003603DF"/>
    <w:rsid w:val="00360C3B"/>
    <w:rsid w:val="00361B3B"/>
    <w:rsid w:val="00365146"/>
    <w:rsid w:val="00366B4A"/>
    <w:rsid w:val="00372EFF"/>
    <w:rsid w:val="00373C0C"/>
    <w:rsid w:val="00375B90"/>
    <w:rsid w:val="00381EC1"/>
    <w:rsid w:val="003820CD"/>
    <w:rsid w:val="00382AAC"/>
    <w:rsid w:val="0038537B"/>
    <w:rsid w:val="003921DA"/>
    <w:rsid w:val="0039290A"/>
    <w:rsid w:val="003A2019"/>
    <w:rsid w:val="003A49A8"/>
    <w:rsid w:val="003A64EF"/>
    <w:rsid w:val="003B45DF"/>
    <w:rsid w:val="003C5C68"/>
    <w:rsid w:val="003C6E06"/>
    <w:rsid w:val="003D17FA"/>
    <w:rsid w:val="003D70E3"/>
    <w:rsid w:val="003E082D"/>
    <w:rsid w:val="003E56B1"/>
    <w:rsid w:val="003E5958"/>
    <w:rsid w:val="003F497B"/>
    <w:rsid w:val="00402827"/>
    <w:rsid w:val="00411B0B"/>
    <w:rsid w:val="004136AE"/>
    <w:rsid w:val="0041617C"/>
    <w:rsid w:val="00432896"/>
    <w:rsid w:val="00433FE4"/>
    <w:rsid w:val="0043487F"/>
    <w:rsid w:val="00436521"/>
    <w:rsid w:val="00436981"/>
    <w:rsid w:val="00444B04"/>
    <w:rsid w:val="00444B30"/>
    <w:rsid w:val="00455D3C"/>
    <w:rsid w:val="004615C2"/>
    <w:rsid w:val="00462F4C"/>
    <w:rsid w:val="00465BFD"/>
    <w:rsid w:val="004703F7"/>
    <w:rsid w:val="0048372A"/>
    <w:rsid w:val="00487B96"/>
    <w:rsid w:val="00492663"/>
    <w:rsid w:val="00496B38"/>
    <w:rsid w:val="004A1ECC"/>
    <w:rsid w:val="004A2EAC"/>
    <w:rsid w:val="004A4444"/>
    <w:rsid w:val="004A79C3"/>
    <w:rsid w:val="004B7011"/>
    <w:rsid w:val="004B77AF"/>
    <w:rsid w:val="004C3219"/>
    <w:rsid w:val="004C663E"/>
    <w:rsid w:val="004D07C2"/>
    <w:rsid w:val="004D1917"/>
    <w:rsid w:val="004D49CB"/>
    <w:rsid w:val="004D4D94"/>
    <w:rsid w:val="004D5DFA"/>
    <w:rsid w:val="004E0082"/>
    <w:rsid w:val="004E3D3C"/>
    <w:rsid w:val="004E5D1A"/>
    <w:rsid w:val="004E621A"/>
    <w:rsid w:val="004E6660"/>
    <w:rsid w:val="004E7775"/>
    <w:rsid w:val="004F3261"/>
    <w:rsid w:val="004F3738"/>
    <w:rsid w:val="004F48A1"/>
    <w:rsid w:val="004F7739"/>
    <w:rsid w:val="005060CE"/>
    <w:rsid w:val="0051009E"/>
    <w:rsid w:val="00512EA3"/>
    <w:rsid w:val="005132C9"/>
    <w:rsid w:val="00515D62"/>
    <w:rsid w:val="00516B3A"/>
    <w:rsid w:val="00517DEA"/>
    <w:rsid w:val="0052030A"/>
    <w:rsid w:val="00524562"/>
    <w:rsid w:val="0052759A"/>
    <w:rsid w:val="005326CA"/>
    <w:rsid w:val="00534163"/>
    <w:rsid w:val="00540A40"/>
    <w:rsid w:val="00542A90"/>
    <w:rsid w:val="005431D4"/>
    <w:rsid w:val="00546C1E"/>
    <w:rsid w:val="00551997"/>
    <w:rsid w:val="0055408D"/>
    <w:rsid w:val="00555824"/>
    <w:rsid w:val="0056250F"/>
    <w:rsid w:val="00562D2A"/>
    <w:rsid w:val="0056355E"/>
    <w:rsid w:val="00565E00"/>
    <w:rsid w:val="005670FC"/>
    <w:rsid w:val="005756CB"/>
    <w:rsid w:val="00577C1C"/>
    <w:rsid w:val="00580A06"/>
    <w:rsid w:val="0058117D"/>
    <w:rsid w:val="00582652"/>
    <w:rsid w:val="00583F6D"/>
    <w:rsid w:val="0058579A"/>
    <w:rsid w:val="00585E9D"/>
    <w:rsid w:val="005877C2"/>
    <w:rsid w:val="00590D77"/>
    <w:rsid w:val="0059238B"/>
    <w:rsid w:val="00593C0D"/>
    <w:rsid w:val="005A1715"/>
    <w:rsid w:val="005A3697"/>
    <w:rsid w:val="005B1329"/>
    <w:rsid w:val="005B5681"/>
    <w:rsid w:val="005C09B1"/>
    <w:rsid w:val="005C477C"/>
    <w:rsid w:val="005D2DE2"/>
    <w:rsid w:val="005D4E72"/>
    <w:rsid w:val="005D5F87"/>
    <w:rsid w:val="005D6122"/>
    <w:rsid w:val="005D75E2"/>
    <w:rsid w:val="005E3E3D"/>
    <w:rsid w:val="005E6F00"/>
    <w:rsid w:val="0060123F"/>
    <w:rsid w:val="00603A60"/>
    <w:rsid w:val="00605F7B"/>
    <w:rsid w:val="00606A3F"/>
    <w:rsid w:val="00611774"/>
    <w:rsid w:val="006125EF"/>
    <w:rsid w:val="006202ED"/>
    <w:rsid w:val="006206D1"/>
    <w:rsid w:val="00621566"/>
    <w:rsid w:val="006246C3"/>
    <w:rsid w:val="00624D79"/>
    <w:rsid w:val="00625CD3"/>
    <w:rsid w:val="00631D00"/>
    <w:rsid w:val="0063449E"/>
    <w:rsid w:val="00634FF0"/>
    <w:rsid w:val="006364E5"/>
    <w:rsid w:val="0063790B"/>
    <w:rsid w:val="00643589"/>
    <w:rsid w:val="00643F3B"/>
    <w:rsid w:val="00647FD2"/>
    <w:rsid w:val="0065231F"/>
    <w:rsid w:val="00652397"/>
    <w:rsid w:val="00654357"/>
    <w:rsid w:val="0066491F"/>
    <w:rsid w:val="0066553C"/>
    <w:rsid w:val="006679AA"/>
    <w:rsid w:val="0067038D"/>
    <w:rsid w:val="00671E2A"/>
    <w:rsid w:val="00677FD5"/>
    <w:rsid w:val="006831DC"/>
    <w:rsid w:val="00683600"/>
    <w:rsid w:val="00683802"/>
    <w:rsid w:val="00687457"/>
    <w:rsid w:val="006960C6"/>
    <w:rsid w:val="006A0DEE"/>
    <w:rsid w:val="006A1CAC"/>
    <w:rsid w:val="006A24DE"/>
    <w:rsid w:val="006A2D51"/>
    <w:rsid w:val="006A2FA7"/>
    <w:rsid w:val="006A4ED3"/>
    <w:rsid w:val="006A58B9"/>
    <w:rsid w:val="006A6161"/>
    <w:rsid w:val="006A7639"/>
    <w:rsid w:val="006B003F"/>
    <w:rsid w:val="006B06AA"/>
    <w:rsid w:val="006B21DD"/>
    <w:rsid w:val="006B5817"/>
    <w:rsid w:val="006B7147"/>
    <w:rsid w:val="006C1AD1"/>
    <w:rsid w:val="006C36B2"/>
    <w:rsid w:val="006C480B"/>
    <w:rsid w:val="006C4CF4"/>
    <w:rsid w:val="006D055E"/>
    <w:rsid w:val="006D5D29"/>
    <w:rsid w:val="006D68D2"/>
    <w:rsid w:val="006E0790"/>
    <w:rsid w:val="006E6E22"/>
    <w:rsid w:val="006F063C"/>
    <w:rsid w:val="006F5535"/>
    <w:rsid w:val="007071A9"/>
    <w:rsid w:val="00707602"/>
    <w:rsid w:val="00707E4E"/>
    <w:rsid w:val="007101D7"/>
    <w:rsid w:val="0071060A"/>
    <w:rsid w:val="00717963"/>
    <w:rsid w:val="00721BD4"/>
    <w:rsid w:val="00724B7C"/>
    <w:rsid w:val="00727B84"/>
    <w:rsid w:val="00733935"/>
    <w:rsid w:val="00734A85"/>
    <w:rsid w:val="007356E1"/>
    <w:rsid w:val="00736255"/>
    <w:rsid w:val="00742CB0"/>
    <w:rsid w:val="00742E0B"/>
    <w:rsid w:val="007459BB"/>
    <w:rsid w:val="00746788"/>
    <w:rsid w:val="0076273D"/>
    <w:rsid w:val="00767635"/>
    <w:rsid w:val="00767F71"/>
    <w:rsid w:val="00775152"/>
    <w:rsid w:val="007771ED"/>
    <w:rsid w:val="00777A13"/>
    <w:rsid w:val="00780767"/>
    <w:rsid w:val="00781E24"/>
    <w:rsid w:val="00782CCB"/>
    <w:rsid w:val="00782F93"/>
    <w:rsid w:val="007843E7"/>
    <w:rsid w:val="00787EDA"/>
    <w:rsid w:val="00792C4A"/>
    <w:rsid w:val="007A2129"/>
    <w:rsid w:val="007A3ACE"/>
    <w:rsid w:val="007A597B"/>
    <w:rsid w:val="007A698E"/>
    <w:rsid w:val="007B017E"/>
    <w:rsid w:val="007B2A4F"/>
    <w:rsid w:val="007B2BF4"/>
    <w:rsid w:val="007B31B6"/>
    <w:rsid w:val="007B64F8"/>
    <w:rsid w:val="007C1577"/>
    <w:rsid w:val="007C25F8"/>
    <w:rsid w:val="007D420A"/>
    <w:rsid w:val="007E1A64"/>
    <w:rsid w:val="007F2547"/>
    <w:rsid w:val="007F2A93"/>
    <w:rsid w:val="00806603"/>
    <w:rsid w:val="00806C7B"/>
    <w:rsid w:val="008100C6"/>
    <w:rsid w:val="00816779"/>
    <w:rsid w:val="00817436"/>
    <w:rsid w:val="00817979"/>
    <w:rsid w:val="00817F11"/>
    <w:rsid w:val="00827563"/>
    <w:rsid w:val="0083035E"/>
    <w:rsid w:val="0084288C"/>
    <w:rsid w:val="00844C4A"/>
    <w:rsid w:val="00845EC5"/>
    <w:rsid w:val="00845ECE"/>
    <w:rsid w:val="0084733D"/>
    <w:rsid w:val="0084765B"/>
    <w:rsid w:val="00856467"/>
    <w:rsid w:val="008634EA"/>
    <w:rsid w:val="00864F60"/>
    <w:rsid w:val="0087151E"/>
    <w:rsid w:val="0087257E"/>
    <w:rsid w:val="00875923"/>
    <w:rsid w:val="00877386"/>
    <w:rsid w:val="008814BF"/>
    <w:rsid w:val="008843CA"/>
    <w:rsid w:val="00885FD5"/>
    <w:rsid w:val="0089721D"/>
    <w:rsid w:val="008A6CE7"/>
    <w:rsid w:val="008B396C"/>
    <w:rsid w:val="008C248D"/>
    <w:rsid w:val="008C3DED"/>
    <w:rsid w:val="008C5174"/>
    <w:rsid w:val="008D2F0D"/>
    <w:rsid w:val="008D5DF3"/>
    <w:rsid w:val="008E0CB4"/>
    <w:rsid w:val="008E19F1"/>
    <w:rsid w:val="008E4499"/>
    <w:rsid w:val="008E7AA6"/>
    <w:rsid w:val="008E7D7A"/>
    <w:rsid w:val="008F27BF"/>
    <w:rsid w:val="008F68E9"/>
    <w:rsid w:val="00900156"/>
    <w:rsid w:val="00900767"/>
    <w:rsid w:val="00903DB6"/>
    <w:rsid w:val="00906DC9"/>
    <w:rsid w:val="00915961"/>
    <w:rsid w:val="0092057C"/>
    <w:rsid w:val="00920ED7"/>
    <w:rsid w:val="0092189E"/>
    <w:rsid w:val="00922B4B"/>
    <w:rsid w:val="00925843"/>
    <w:rsid w:val="00926480"/>
    <w:rsid w:val="00932557"/>
    <w:rsid w:val="009337EF"/>
    <w:rsid w:val="00946EA0"/>
    <w:rsid w:val="00947516"/>
    <w:rsid w:val="00951203"/>
    <w:rsid w:val="00955068"/>
    <w:rsid w:val="009557FB"/>
    <w:rsid w:val="0096689D"/>
    <w:rsid w:val="00974888"/>
    <w:rsid w:val="009772A5"/>
    <w:rsid w:val="00981C55"/>
    <w:rsid w:val="009937E2"/>
    <w:rsid w:val="0099675F"/>
    <w:rsid w:val="009A037B"/>
    <w:rsid w:val="009A4034"/>
    <w:rsid w:val="009B0BE9"/>
    <w:rsid w:val="009B1757"/>
    <w:rsid w:val="009C210A"/>
    <w:rsid w:val="009C331C"/>
    <w:rsid w:val="009D394E"/>
    <w:rsid w:val="009D395D"/>
    <w:rsid w:val="009D4C01"/>
    <w:rsid w:val="009D5406"/>
    <w:rsid w:val="009E030E"/>
    <w:rsid w:val="009E097A"/>
    <w:rsid w:val="009E11A0"/>
    <w:rsid w:val="009F1E80"/>
    <w:rsid w:val="00A05C7B"/>
    <w:rsid w:val="00A061E9"/>
    <w:rsid w:val="00A3004E"/>
    <w:rsid w:val="00A3135A"/>
    <w:rsid w:val="00A33707"/>
    <w:rsid w:val="00A3406E"/>
    <w:rsid w:val="00A40E2D"/>
    <w:rsid w:val="00A40EB9"/>
    <w:rsid w:val="00A41B98"/>
    <w:rsid w:val="00A53557"/>
    <w:rsid w:val="00A542BA"/>
    <w:rsid w:val="00A551E4"/>
    <w:rsid w:val="00A623F7"/>
    <w:rsid w:val="00A6475E"/>
    <w:rsid w:val="00A7450C"/>
    <w:rsid w:val="00A75DBD"/>
    <w:rsid w:val="00A80FB0"/>
    <w:rsid w:val="00A879BD"/>
    <w:rsid w:val="00A91DA5"/>
    <w:rsid w:val="00AB0CE4"/>
    <w:rsid w:val="00AB5C7D"/>
    <w:rsid w:val="00AB6994"/>
    <w:rsid w:val="00AC4D9B"/>
    <w:rsid w:val="00AD161C"/>
    <w:rsid w:val="00AD6E1F"/>
    <w:rsid w:val="00AE0424"/>
    <w:rsid w:val="00AE1A88"/>
    <w:rsid w:val="00AE485A"/>
    <w:rsid w:val="00AE6D81"/>
    <w:rsid w:val="00AF455D"/>
    <w:rsid w:val="00AF6A56"/>
    <w:rsid w:val="00B00088"/>
    <w:rsid w:val="00B020E6"/>
    <w:rsid w:val="00B04670"/>
    <w:rsid w:val="00B13020"/>
    <w:rsid w:val="00B13946"/>
    <w:rsid w:val="00B22732"/>
    <w:rsid w:val="00B267A8"/>
    <w:rsid w:val="00B31EB1"/>
    <w:rsid w:val="00B328ED"/>
    <w:rsid w:val="00B3407B"/>
    <w:rsid w:val="00B36D4D"/>
    <w:rsid w:val="00B41BD6"/>
    <w:rsid w:val="00B52631"/>
    <w:rsid w:val="00B544FE"/>
    <w:rsid w:val="00B54AB7"/>
    <w:rsid w:val="00B5531D"/>
    <w:rsid w:val="00B57224"/>
    <w:rsid w:val="00B57341"/>
    <w:rsid w:val="00B60947"/>
    <w:rsid w:val="00B620EC"/>
    <w:rsid w:val="00B6217A"/>
    <w:rsid w:val="00B6609B"/>
    <w:rsid w:val="00B80A61"/>
    <w:rsid w:val="00B81CB1"/>
    <w:rsid w:val="00B82A55"/>
    <w:rsid w:val="00B84CBA"/>
    <w:rsid w:val="00B86E83"/>
    <w:rsid w:val="00B97932"/>
    <w:rsid w:val="00BA3AE0"/>
    <w:rsid w:val="00BA3C7B"/>
    <w:rsid w:val="00BA4E87"/>
    <w:rsid w:val="00BB0291"/>
    <w:rsid w:val="00BB5C05"/>
    <w:rsid w:val="00BB6C63"/>
    <w:rsid w:val="00BC174E"/>
    <w:rsid w:val="00BC3A64"/>
    <w:rsid w:val="00BC43B3"/>
    <w:rsid w:val="00BC6092"/>
    <w:rsid w:val="00BC6143"/>
    <w:rsid w:val="00BD2AD3"/>
    <w:rsid w:val="00BD452D"/>
    <w:rsid w:val="00BD4E5F"/>
    <w:rsid w:val="00BD4FA5"/>
    <w:rsid w:val="00BE2BFD"/>
    <w:rsid w:val="00BF23D4"/>
    <w:rsid w:val="00C01E41"/>
    <w:rsid w:val="00C03A06"/>
    <w:rsid w:val="00C11AFA"/>
    <w:rsid w:val="00C13127"/>
    <w:rsid w:val="00C202F2"/>
    <w:rsid w:val="00C30A9E"/>
    <w:rsid w:val="00C31C6B"/>
    <w:rsid w:val="00C34218"/>
    <w:rsid w:val="00C35949"/>
    <w:rsid w:val="00C454E0"/>
    <w:rsid w:val="00C45FAE"/>
    <w:rsid w:val="00C46D3F"/>
    <w:rsid w:val="00C5123C"/>
    <w:rsid w:val="00C517AC"/>
    <w:rsid w:val="00C5306B"/>
    <w:rsid w:val="00C62FCA"/>
    <w:rsid w:val="00C63FE2"/>
    <w:rsid w:val="00C64D00"/>
    <w:rsid w:val="00C70F66"/>
    <w:rsid w:val="00C8045D"/>
    <w:rsid w:val="00C82EBE"/>
    <w:rsid w:val="00C858D8"/>
    <w:rsid w:val="00C91791"/>
    <w:rsid w:val="00C927F1"/>
    <w:rsid w:val="00C9394E"/>
    <w:rsid w:val="00CB32F6"/>
    <w:rsid w:val="00CB361C"/>
    <w:rsid w:val="00CC0A52"/>
    <w:rsid w:val="00CD051F"/>
    <w:rsid w:val="00CD169A"/>
    <w:rsid w:val="00CD7638"/>
    <w:rsid w:val="00CD7C47"/>
    <w:rsid w:val="00CE15BC"/>
    <w:rsid w:val="00CE1AB6"/>
    <w:rsid w:val="00CE4FEF"/>
    <w:rsid w:val="00CE5904"/>
    <w:rsid w:val="00CF1FF1"/>
    <w:rsid w:val="00CF25E2"/>
    <w:rsid w:val="00CF7A47"/>
    <w:rsid w:val="00D024C2"/>
    <w:rsid w:val="00D02AC9"/>
    <w:rsid w:val="00D047BE"/>
    <w:rsid w:val="00D0571D"/>
    <w:rsid w:val="00D13AF6"/>
    <w:rsid w:val="00D22352"/>
    <w:rsid w:val="00D3133F"/>
    <w:rsid w:val="00D31622"/>
    <w:rsid w:val="00D4375E"/>
    <w:rsid w:val="00D52E94"/>
    <w:rsid w:val="00D540FA"/>
    <w:rsid w:val="00D55F6A"/>
    <w:rsid w:val="00D56374"/>
    <w:rsid w:val="00D56779"/>
    <w:rsid w:val="00D62BEB"/>
    <w:rsid w:val="00D66596"/>
    <w:rsid w:val="00D70EBF"/>
    <w:rsid w:val="00D7253A"/>
    <w:rsid w:val="00D742B6"/>
    <w:rsid w:val="00D77315"/>
    <w:rsid w:val="00D810AC"/>
    <w:rsid w:val="00D828DF"/>
    <w:rsid w:val="00D82FB8"/>
    <w:rsid w:val="00D83801"/>
    <w:rsid w:val="00D87BC2"/>
    <w:rsid w:val="00D92C7F"/>
    <w:rsid w:val="00D94276"/>
    <w:rsid w:val="00D974BE"/>
    <w:rsid w:val="00D97A5C"/>
    <w:rsid w:val="00DA37F1"/>
    <w:rsid w:val="00DB07BB"/>
    <w:rsid w:val="00DB58FC"/>
    <w:rsid w:val="00DC022D"/>
    <w:rsid w:val="00DC2FB9"/>
    <w:rsid w:val="00DD4296"/>
    <w:rsid w:val="00DD5593"/>
    <w:rsid w:val="00DE072A"/>
    <w:rsid w:val="00DE12B7"/>
    <w:rsid w:val="00DE399F"/>
    <w:rsid w:val="00DF597E"/>
    <w:rsid w:val="00E06059"/>
    <w:rsid w:val="00E06BDE"/>
    <w:rsid w:val="00E1533D"/>
    <w:rsid w:val="00E23A14"/>
    <w:rsid w:val="00E24A50"/>
    <w:rsid w:val="00E24A87"/>
    <w:rsid w:val="00E25005"/>
    <w:rsid w:val="00E35054"/>
    <w:rsid w:val="00E355A0"/>
    <w:rsid w:val="00E37060"/>
    <w:rsid w:val="00E41286"/>
    <w:rsid w:val="00E42600"/>
    <w:rsid w:val="00E43762"/>
    <w:rsid w:val="00E529D9"/>
    <w:rsid w:val="00E54591"/>
    <w:rsid w:val="00E604AE"/>
    <w:rsid w:val="00E66250"/>
    <w:rsid w:val="00E6700C"/>
    <w:rsid w:val="00E677F8"/>
    <w:rsid w:val="00E71CFA"/>
    <w:rsid w:val="00E72E8F"/>
    <w:rsid w:val="00E7597D"/>
    <w:rsid w:val="00E81B44"/>
    <w:rsid w:val="00E82796"/>
    <w:rsid w:val="00E86A2C"/>
    <w:rsid w:val="00E8756B"/>
    <w:rsid w:val="00E90EAD"/>
    <w:rsid w:val="00E93F45"/>
    <w:rsid w:val="00EA151B"/>
    <w:rsid w:val="00EA5E5C"/>
    <w:rsid w:val="00EB056D"/>
    <w:rsid w:val="00EB59D3"/>
    <w:rsid w:val="00EB69C5"/>
    <w:rsid w:val="00EB6A7A"/>
    <w:rsid w:val="00EC4B36"/>
    <w:rsid w:val="00EC63DB"/>
    <w:rsid w:val="00ED3BBF"/>
    <w:rsid w:val="00ED63C9"/>
    <w:rsid w:val="00ED77D2"/>
    <w:rsid w:val="00EE0A98"/>
    <w:rsid w:val="00EE22B7"/>
    <w:rsid w:val="00EE3F5D"/>
    <w:rsid w:val="00EE5086"/>
    <w:rsid w:val="00EE7246"/>
    <w:rsid w:val="00EF2344"/>
    <w:rsid w:val="00EF5B55"/>
    <w:rsid w:val="00EF64E0"/>
    <w:rsid w:val="00EF6FEC"/>
    <w:rsid w:val="00F124A7"/>
    <w:rsid w:val="00F13546"/>
    <w:rsid w:val="00F22D4D"/>
    <w:rsid w:val="00F25184"/>
    <w:rsid w:val="00F2729B"/>
    <w:rsid w:val="00F3504C"/>
    <w:rsid w:val="00F373F4"/>
    <w:rsid w:val="00F4161A"/>
    <w:rsid w:val="00F421DA"/>
    <w:rsid w:val="00F44C8E"/>
    <w:rsid w:val="00F519C8"/>
    <w:rsid w:val="00F5682B"/>
    <w:rsid w:val="00F5690F"/>
    <w:rsid w:val="00F61C18"/>
    <w:rsid w:val="00F65BA1"/>
    <w:rsid w:val="00F67204"/>
    <w:rsid w:val="00F67A03"/>
    <w:rsid w:val="00F76DF6"/>
    <w:rsid w:val="00F8067D"/>
    <w:rsid w:val="00F81074"/>
    <w:rsid w:val="00F82352"/>
    <w:rsid w:val="00F8290F"/>
    <w:rsid w:val="00F84A36"/>
    <w:rsid w:val="00F911D0"/>
    <w:rsid w:val="00F927A7"/>
    <w:rsid w:val="00FA0223"/>
    <w:rsid w:val="00FA0CB9"/>
    <w:rsid w:val="00FA3993"/>
    <w:rsid w:val="00FA5953"/>
    <w:rsid w:val="00FA6540"/>
    <w:rsid w:val="00FA67CB"/>
    <w:rsid w:val="00FA724A"/>
    <w:rsid w:val="00FA7EAD"/>
    <w:rsid w:val="00FB141C"/>
    <w:rsid w:val="00FB3632"/>
    <w:rsid w:val="00FB3EF6"/>
    <w:rsid w:val="00FC350B"/>
    <w:rsid w:val="00FC5137"/>
    <w:rsid w:val="00FD15F6"/>
    <w:rsid w:val="00FD37CD"/>
    <w:rsid w:val="00FD4DC3"/>
    <w:rsid w:val="00FF006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7341"/>
    <w:rPr>
      <w:rFonts w:ascii="Trebuchet MS" w:hAnsi="Trebuchet MS"/>
      <w:sz w:val="22"/>
      <w:szCs w:val="22"/>
      <w:lang w:eastAsia="en-US"/>
    </w:rPr>
  </w:style>
  <w:style w:type="paragraph" w:styleId="Heading1">
    <w:name w:val="heading 1"/>
    <w:basedOn w:val="Normal"/>
    <w:next w:val="Normal"/>
    <w:qFormat/>
    <w:rsid w:val="00B57341"/>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B57341"/>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B57341"/>
    <w:pPr>
      <w:keepNext/>
      <w:spacing w:before="240" w:after="60"/>
      <w:outlineLvl w:val="2"/>
    </w:pPr>
    <w:rPr>
      <w:rFonts w:ascii="Arial" w:hAnsi="Arial" w:cs="Arial"/>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Heading">
    <w:name w:val="Heading"/>
    <w:basedOn w:val="SubHeading"/>
    <w:rsid w:val="00B57341"/>
    <w:rPr>
      <w:sz w:val="26"/>
    </w:rPr>
  </w:style>
  <w:style w:type="paragraph" w:styleId="Header">
    <w:name w:val="header"/>
    <w:basedOn w:val="Normal"/>
    <w:rsid w:val="00621566"/>
    <w:pPr>
      <w:tabs>
        <w:tab w:val="center" w:pos="4153"/>
        <w:tab w:val="right" w:pos="8306"/>
      </w:tabs>
    </w:pPr>
  </w:style>
  <w:style w:type="character" w:styleId="PageNumber">
    <w:name w:val="page number"/>
    <w:basedOn w:val="DefaultParagraphFont"/>
    <w:rsid w:val="00621566"/>
  </w:style>
  <w:style w:type="paragraph" w:customStyle="1" w:styleId="SubHeading">
    <w:name w:val="Sub Heading"/>
    <w:basedOn w:val="Normal"/>
    <w:next w:val="PageNumber"/>
    <w:rsid w:val="00B57341"/>
    <w:pPr>
      <w:keepNext/>
      <w:spacing w:before="240" w:after="60"/>
      <w:outlineLvl w:val="0"/>
    </w:pPr>
    <w:rPr>
      <w:rFonts w:cs="Arial"/>
      <w:b/>
      <w:kern w:val="32"/>
      <w:szCs w:val="32"/>
    </w:rPr>
  </w:style>
  <w:style w:type="paragraph" w:styleId="BalloonText">
    <w:name w:val="Balloon Text"/>
    <w:basedOn w:val="Normal"/>
    <w:semiHidden/>
    <w:rsid w:val="0020689D"/>
    <w:rPr>
      <w:rFonts w:ascii="Tahoma" w:hAnsi="Tahoma" w:cs="Tahoma"/>
      <w:sz w:val="16"/>
      <w:szCs w:val="16"/>
    </w:rPr>
  </w:style>
  <w:style w:type="paragraph" w:styleId="Title">
    <w:name w:val="Title"/>
    <w:basedOn w:val="Normal"/>
    <w:qFormat/>
    <w:rsid w:val="00023DE2"/>
    <w:pPr>
      <w:jc w:val="center"/>
    </w:pPr>
    <w:rPr>
      <w:rFonts w:ascii="Times New Roman" w:hAnsi="Times New Roman"/>
      <w:b/>
      <w:sz w:val="24"/>
      <w:szCs w:val="20"/>
      <w:lang w:val="en-US" w:eastAsia="en-AU"/>
    </w:rPr>
  </w:style>
  <w:style w:type="paragraph" w:styleId="FootnoteText">
    <w:name w:val="footnote text"/>
    <w:basedOn w:val="Normal"/>
    <w:link w:val="FootnoteTextChar"/>
    <w:uiPriority w:val="99"/>
    <w:semiHidden/>
    <w:rsid w:val="00023DE2"/>
    <w:rPr>
      <w:rFonts w:ascii="Times New Roman" w:hAnsi="Times New Roman"/>
      <w:sz w:val="20"/>
      <w:szCs w:val="20"/>
      <w:lang w:val="en-US" w:eastAsia="en-AU"/>
    </w:rPr>
  </w:style>
  <w:style w:type="character" w:styleId="FootnoteReference">
    <w:name w:val="footnote reference"/>
    <w:uiPriority w:val="99"/>
    <w:semiHidden/>
    <w:rsid w:val="00023DE2"/>
    <w:rPr>
      <w:vertAlign w:val="superscript"/>
    </w:rPr>
  </w:style>
  <w:style w:type="character" w:styleId="CommentReference">
    <w:name w:val="annotation reference"/>
    <w:uiPriority w:val="99"/>
    <w:rsid w:val="00827563"/>
    <w:rPr>
      <w:sz w:val="16"/>
      <w:szCs w:val="16"/>
    </w:rPr>
  </w:style>
  <w:style w:type="paragraph" w:styleId="CommentText">
    <w:name w:val="annotation text"/>
    <w:basedOn w:val="Normal"/>
    <w:link w:val="CommentTextChar"/>
    <w:uiPriority w:val="99"/>
    <w:rsid w:val="00827563"/>
    <w:rPr>
      <w:sz w:val="20"/>
      <w:szCs w:val="20"/>
    </w:rPr>
  </w:style>
  <w:style w:type="paragraph" w:styleId="CommentSubject">
    <w:name w:val="annotation subject"/>
    <w:basedOn w:val="CommentText"/>
    <w:next w:val="CommentText"/>
    <w:semiHidden/>
    <w:rsid w:val="00827563"/>
    <w:rPr>
      <w:b/>
      <w:bCs/>
    </w:rPr>
  </w:style>
  <w:style w:type="paragraph" w:styleId="Footer">
    <w:name w:val="footer"/>
    <w:basedOn w:val="Normal"/>
    <w:rsid w:val="00BD4FA5"/>
    <w:pPr>
      <w:tabs>
        <w:tab w:val="center" w:pos="4153"/>
        <w:tab w:val="right" w:pos="8306"/>
      </w:tabs>
    </w:pPr>
  </w:style>
  <w:style w:type="paragraph" w:styleId="ListParagraph">
    <w:name w:val="List Paragraph"/>
    <w:basedOn w:val="Normal"/>
    <w:uiPriority w:val="34"/>
    <w:qFormat/>
    <w:rsid w:val="006A1CAC"/>
    <w:pPr>
      <w:ind w:left="720"/>
      <w:contextualSpacing/>
    </w:pPr>
    <w:rPr>
      <w:rFonts w:eastAsia="Calibri"/>
    </w:rPr>
  </w:style>
  <w:style w:type="character" w:customStyle="1" w:styleId="CommentTextChar">
    <w:name w:val="Comment Text Char"/>
    <w:link w:val="CommentText"/>
    <w:uiPriority w:val="99"/>
    <w:rsid w:val="006A1CAC"/>
    <w:rPr>
      <w:rFonts w:ascii="Trebuchet MS" w:hAnsi="Trebuchet MS"/>
      <w:lang w:eastAsia="en-US"/>
    </w:rPr>
  </w:style>
  <w:style w:type="paragraph" w:styleId="BodyText">
    <w:name w:val="Body Text"/>
    <w:basedOn w:val="Normal"/>
    <w:link w:val="BodyTextChar"/>
    <w:unhideWhenUsed/>
    <w:rsid w:val="00444B30"/>
    <w:rPr>
      <w:rFonts w:eastAsia="Calibri"/>
    </w:rPr>
  </w:style>
  <w:style w:type="character" w:customStyle="1" w:styleId="BodyTextChar">
    <w:name w:val="Body Text Char"/>
    <w:link w:val="BodyText"/>
    <w:rsid w:val="00444B30"/>
    <w:rPr>
      <w:rFonts w:ascii="Trebuchet MS" w:eastAsia="Calibri" w:hAnsi="Trebuchet MS"/>
      <w:sz w:val="22"/>
      <w:szCs w:val="22"/>
      <w:lang w:eastAsia="en-US"/>
    </w:rPr>
  </w:style>
  <w:style w:type="character" w:customStyle="1" w:styleId="FootnoteTextChar">
    <w:name w:val="Footnote Text Char"/>
    <w:link w:val="FootnoteText"/>
    <w:uiPriority w:val="99"/>
    <w:semiHidden/>
    <w:rsid w:val="00B3407B"/>
    <w:rPr>
      <w:lang w:val="en-US"/>
    </w:rPr>
  </w:style>
  <w:style w:type="paragraph" w:styleId="Revision">
    <w:name w:val="Revision"/>
    <w:hidden/>
    <w:uiPriority w:val="99"/>
    <w:semiHidden/>
    <w:rsid w:val="00DB07BB"/>
    <w:rPr>
      <w:rFonts w:ascii="Trebuchet MS" w:hAnsi="Trebuchet MS"/>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7341"/>
    <w:rPr>
      <w:rFonts w:ascii="Trebuchet MS" w:hAnsi="Trebuchet MS"/>
      <w:sz w:val="22"/>
      <w:szCs w:val="22"/>
      <w:lang w:eastAsia="en-US"/>
    </w:rPr>
  </w:style>
  <w:style w:type="paragraph" w:styleId="Heading1">
    <w:name w:val="heading 1"/>
    <w:basedOn w:val="Normal"/>
    <w:next w:val="Normal"/>
    <w:qFormat/>
    <w:rsid w:val="00B57341"/>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B57341"/>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B57341"/>
    <w:pPr>
      <w:keepNext/>
      <w:spacing w:before="240" w:after="60"/>
      <w:outlineLvl w:val="2"/>
    </w:pPr>
    <w:rPr>
      <w:rFonts w:ascii="Arial" w:hAnsi="Arial" w:cs="Arial"/>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Heading">
    <w:name w:val="Heading"/>
    <w:basedOn w:val="SubHeading"/>
    <w:rsid w:val="00B57341"/>
    <w:rPr>
      <w:sz w:val="26"/>
    </w:rPr>
  </w:style>
  <w:style w:type="paragraph" w:styleId="Header">
    <w:name w:val="header"/>
    <w:basedOn w:val="Normal"/>
    <w:rsid w:val="00621566"/>
    <w:pPr>
      <w:tabs>
        <w:tab w:val="center" w:pos="4153"/>
        <w:tab w:val="right" w:pos="8306"/>
      </w:tabs>
    </w:pPr>
  </w:style>
  <w:style w:type="character" w:styleId="PageNumber">
    <w:name w:val="page number"/>
    <w:basedOn w:val="DefaultParagraphFont"/>
    <w:rsid w:val="00621566"/>
  </w:style>
  <w:style w:type="paragraph" w:customStyle="1" w:styleId="SubHeading">
    <w:name w:val="Sub Heading"/>
    <w:basedOn w:val="Normal"/>
    <w:next w:val="PageNumber"/>
    <w:rsid w:val="00B57341"/>
    <w:pPr>
      <w:keepNext/>
      <w:spacing w:before="240" w:after="60"/>
      <w:outlineLvl w:val="0"/>
    </w:pPr>
    <w:rPr>
      <w:rFonts w:cs="Arial"/>
      <w:b/>
      <w:kern w:val="32"/>
      <w:szCs w:val="32"/>
    </w:rPr>
  </w:style>
  <w:style w:type="paragraph" w:styleId="BalloonText">
    <w:name w:val="Balloon Text"/>
    <w:basedOn w:val="Normal"/>
    <w:semiHidden/>
    <w:rsid w:val="0020689D"/>
    <w:rPr>
      <w:rFonts w:ascii="Tahoma" w:hAnsi="Tahoma" w:cs="Tahoma"/>
      <w:sz w:val="16"/>
      <w:szCs w:val="16"/>
    </w:rPr>
  </w:style>
  <w:style w:type="paragraph" w:styleId="Title">
    <w:name w:val="Title"/>
    <w:basedOn w:val="Normal"/>
    <w:qFormat/>
    <w:rsid w:val="00023DE2"/>
    <w:pPr>
      <w:jc w:val="center"/>
    </w:pPr>
    <w:rPr>
      <w:rFonts w:ascii="Times New Roman" w:hAnsi="Times New Roman"/>
      <w:b/>
      <w:sz w:val="24"/>
      <w:szCs w:val="20"/>
      <w:lang w:val="en-US" w:eastAsia="en-AU"/>
    </w:rPr>
  </w:style>
  <w:style w:type="paragraph" w:styleId="FootnoteText">
    <w:name w:val="footnote text"/>
    <w:basedOn w:val="Normal"/>
    <w:link w:val="FootnoteTextChar"/>
    <w:uiPriority w:val="99"/>
    <w:semiHidden/>
    <w:rsid w:val="00023DE2"/>
    <w:rPr>
      <w:rFonts w:ascii="Times New Roman" w:hAnsi="Times New Roman"/>
      <w:sz w:val="20"/>
      <w:szCs w:val="20"/>
      <w:lang w:val="en-US" w:eastAsia="en-AU"/>
    </w:rPr>
  </w:style>
  <w:style w:type="character" w:styleId="FootnoteReference">
    <w:name w:val="footnote reference"/>
    <w:uiPriority w:val="99"/>
    <w:semiHidden/>
    <w:rsid w:val="00023DE2"/>
    <w:rPr>
      <w:vertAlign w:val="superscript"/>
    </w:rPr>
  </w:style>
  <w:style w:type="character" w:styleId="CommentReference">
    <w:name w:val="annotation reference"/>
    <w:uiPriority w:val="99"/>
    <w:rsid w:val="00827563"/>
    <w:rPr>
      <w:sz w:val="16"/>
      <w:szCs w:val="16"/>
    </w:rPr>
  </w:style>
  <w:style w:type="paragraph" w:styleId="CommentText">
    <w:name w:val="annotation text"/>
    <w:basedOn w:val="Normal"/>
    <w:link w:val="CommentTextChar"/>
    <w:uiPriority w:val="99"/>
    <w:rsid w:val="00827563"/>
    <w:rPr>
      <w:sz w:val="20"/>
      <w:szCs w:val="20"/>
    </w:rPr>
  </w:style>
  <w:style w:type="paragraph" w:styleId="CommentSubject">
    <w:name w:val="annotation subject"/>
    <w:basedOn w:val="CommentText"/>
    <w:next w:val="CommentText"/>
    <w:semiHidden/>
    <w:rsid w:val="00827563"/>
    <w:rPr>
      <w:b/>
      <w:bCs/>
    </w:rPr>
  </w:style>
  <w:style w:type="paragraph" w:styleId="Footer">
    <w:name w:val="footer"/>
    <w:basedOn w:val="Normal"/>
    <w:rsid w:val="00BD4FA5"/>
    <w:pPr>
      <w:tabs>
        <w:tab w:val="center" w:pos="4153"/>
        <w:tab w:val="right" w:pos="8306"/>
      </w:tabs>
    </w:pPr>
  </w:style>
  <w:style w:type="paragraph" w:styleId="ListParagraph">
    <w:name w:val="List Paragraph"/>
    <w:basedOn w:val="Normal"/>
    <w:uiPriority w:val="34"/>
    <w:qFormat/>
    <w:rsid w:val="006A1CAC"/>
    <w:pPr>
      <w:ind w:left="720"/>
      <w:contextualSpacing/>
    </w:pPr>
    <w:rPr>
      <w:rFonts w:eastAsia="Calibri"/>
    </w:rPr>
  </w:style>
  <w:style w:type="character" w:customStyle="1" w:styleId="CommentTextChar">
    <w:name w:val="Comment Text Char"/>
    <w:link w:val="CommentText"/>
    <w:uiPriority w:val="99"/>
    <w:rsid w:val="006A1CAC"/>
    <w:rPr>
      <w:rFonts w:ascii="Trebuchet MS" w:hAnsi="Trebuchet MS"/>
      <w:lang w:eastAsia="en-US"/>
    </w:rPr>
  </w:style>
  <w:style w:type="paragraph" w:styleId="BodyText">
    <w:name w:val="Body Text"/>
    <w:basedOn w:val="Normal"/>
    <w:link w:val="BodyTextChar"/>
    <w:unhideWhenUsed/>
    <w:rsid w:val="00444B30"/>
    <w:rPr>
      <w:rFonts w:eastAsia="Calibri"/>
    </w:rPr>
  </w:style>
  <w:style w:type="character" w:customStyle="1" w:styleId="BodyTextChar">
    <w:name w:val="Body Text Char"/>
    <w:link w:val="BodyText"/>
    <w:rsid w:val="00444B30"/>
    <w:rPr>
      <w:rFonts w:ascii="Trebuchet MS" w:eastAsia="Calibri" w:hAnsi="Trebuchet MS"/>
      <w:sz w:val="22"/>
      <w:szCs w:val="22"/>
      <w:lang w:eastAsia="en-US"/>
    </w:rPr>
  </w:style>
  <w:style w:type="character" w:customStyle="1" w:styleId="FootnoteTextChar">
    <w:name w:val="Footnote Text Char"/>
    <w:link w:val="FootnoteText"/>
    <w:uiPriority w:val="99"/>
    <w:semiHidden/>
    <w:rsid w:val="00B3407B"/>
    <w:rPr>
      <w:lang w:val="en-US"/>
    </w:rPr>
  </w:style>
  <w:style w:type="paragraph" w:styleId="Revision">
    <w:name w:val="Revision"/>
    <w:hidden/>
    <w:uiPriority w:val="99"/>
    <w:semiHidden/>
    <w:rsid w:val="00DB07BB"/>
    <w:rPr>
      <w:rFonts w:ascii="Trebuchet MS" w:hAnsi="Trebuchet MS"/>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F4C3AE-79D1-4A44-8120-C3A7AF3FA0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1742</Words>
  <Characters>9931</Characters>
  <Application>Microsoft Office Word</Application>
  <DocSecurity>4</DocSecurity>
  <Lines>82</Lines>
  <Paragraphs>23</Paragraphs>
  <ScaleCrop>false</ScaleCrop>
  <HeadingPairs>
    <vt:vector size="2" baseType="variant">
      <vt:variant>
        <vt:lpstr>Title</vt:lpstr>
      </vt:variant>
      <vt:variant>
        <vt:i4>1</vt:i4>
      </vt:variant>
    </vt:vector>
  </HeadingPairs>
  <TitlesOfParts>
    <vt:vector size="1" baseType="lpstr">
      <vt:lpstr>Explanatory Statement to Modification Declaration No 24</vt:lpstr>
    </vt:vector>
  </TitlesOfParts>
  <Company>APRA</Company>
  <LinksUpToDate>false</LinksUpToDate>
  <CharactersWithSpaces>11650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Statement to Modification Declaration No 24</dc:title>
  <dc:creator>McCabe, Jennevieve</dc:creator>
  <cp:lastModifiedBy>Watson, Jill</cp:lastModifiedBy>
  <cp:revision>2</cp:revision>
  <cp:lastPrinted>2015-09-21T22:25:00Z</cp:lastPrinted>
  <dcterms:created xsi:type="dcterms:W3CDTF">2015-09-23T01:06:00Z</dcterms:created>
  <dcterms:modified xsi:type="dcterms:W3CDTF">2015-09-23T01:06:00Z</dcterms:modified>
</cp:coreProperties>
</file>