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660" w:rsidRDefault="00C536BA" w:rsidP="007A6660">
      <w:r>
        <w:rPr>
          <w:noProof/>
        </w:rPr>
        <w:drawing>
          <wp:inline distT="0" distB="0" distL="0" distR="0">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E02801" w:rsidRPr="00694E94" w:rsidRDefault="00C62830" w:rsidP="00EB75CD">
      <w:pPr>
        <w:pStyle w:val="Title"/>
        <w:rPr>
          <w:b w:val="0"/>
          <w:i/>
          <w:sz w:val="44"/>
          <w:szCs w:val="44"/>
          <w:lang w:val="en-US"/>
        </w:rPr>
      </w:pPr>
      <w:bookmarkStart w:id="0" w:name="bkDocumentTitle"/>
      <w:bookmarkEnd w:id="0"/>
      <w:r>
        <w:rPr>
          <w:sz w:val="44"/>
          <w:szCs w:val="44"/>
        </w:rPr>
        <w:t>Banking (</w:t>
      </w:r>
      <w:r w:rsidR="00E26090" w:rsidRPr="00E6653B">
        <w:rPr>
          <w:sz w:val="44"/>
          <w:szCs w:val="44"/>
        </w:rPr>
        <w:t xml:space="preserve">restricted </w:t>
      </w:r>
      <w:r>
        <w:rPr>
          <w:sz w:val="44"/>
          <w:szCs w:val="44"/>
        </w:rPr>
        <w:t xml:space="preserve">word or </w:t>
      </w:r>
      <w:r w:rsidR="00E26090" w:rsidRPr="00E6653B">
        <w:rPr>
          <w:sz w:val="44"/>
          <w:szCs w:val="44"/>
        </w:rPr>
        <w:t>expression</w:t>
      </w:r>
      <w:r>
        <w:rPr>
          <w:sz w:val="44"/>
          <w:szCs w:val="44"/>
        </w:rPr>
        <w:t>) No. 2 of 2015</w:t>
      </w:r>
    </w:p>
    <w:p w:rsidR="002D28C4" w:rsidRDefault="002E10ED" w:rsidP="0091682B">
      <w:pPr>
        <w:pStyle w:val="ActTitle"/>
        <w:spacing w:before="120"/>
      </w:pPr>
      <w:bookmarkStart w:id="1" w:name="bkActName"/>
      <w:bookmarkEnd w:id="1"/>
      <w:r w:rsidRPr="00923A94">
        <w:rPr>
          <w:b/>
          <w:i w:val="0"/>
          <w:sz w:val="36"/>
          <w:szCs w:val="36"/>
        </w:rPr>
        <w:t>Consent regarding “</w:t>
      </w:r>
      <w:r>
        <w:rPr>
          <w:b/>
          <w:i w:val="0"/>
          <w:sz w:val="36"/>
          <w:szCs w:val="36"/>
        </w:rPr>
        <w:t>Offshore Banking Unit</w:t>
      </w:r>
      <w:r w:rsidRPr="00923A94">
        <w:rPr>
          <w:b/>
          <w:i w:val="0"/>
          <w:sz w:val="36"/>
          <w:szCs w:val="36"/>
        </w:rPr>
        <w:t>”</w:t>
      </w:r>
    </w:p>
    <w:p w:rsidR="007A6660" w:rsidRPr="00AA33BB" w:rsidRDefault="008728FA" w:rsidP="0091682B">
      <w:pPr>
        <w:pStyle w:val="ActTitle"/>
        <w:spacing w:before="120"/>
      </w:pPr>
      <w:r>
        <w:t>Banking Act 1959</w:t>
      </w:r>
      <w:r w:rsidR="00836B7F">
        <w:t xml:space="preserve"> – </w:t>
      </w:r>
      <w:r w:rsidR="00EA397E">
        <w:t>section 66</w:t>
      </w:r>
    </w:p>
    <w:p w:rsidR="00F572EE" w:rsidRDefault="00F572EE" w:rsidP="0091682B">
      <w:pPr>
        <w:spacing w:before="240"/>
        <w:jc w:val="both"/>
      </w:pPr>
      <w:r>
        <w:t xml:space="preserve">SINCE there is no determination in force under section 11 of the </w:t>
      </w:r>
      <w:r w:rsidRPr="00EB75CD">
        <w:rPr>
          <w:i/>
        </w:rPr>
        <w:t>Banking Act 1959</w:t>
      </w:r>
      <w:r>
        <w:t xml:space="preserve"> (the </w:t>
      </w:r>
      <w:r w:rsidRPr="004078E5">
        <w:t>Act</w:t>
      </w:r>
      <w:r>
        <w:t xml:space="preserve">) that section 66 does not apply, </w:t>
      </w:r>
    </w:p>
    <w:p w:rsidR="00F165E5" w:rsidRDefault="00C87A79" w:rsidP="0091682B">
      <w:pPr>
        <w:spacing w:before="240"/>
        <w:jc w:val="both"/>
      </w:pPr>
      <w:r w:rsidRPr="00CB6775">
        <w:t xml:space="preserve">I, </w:t>
      </w:r>
      <w:r w:rsidR="00E56D60">
        <w:t>Sarah Goodman</w:t>
      </w:r>
      <w:r w:rsidR="00AC0C70">
        <w:t xml:space="preserve">, </w:t>
      </w:r>
      <w:r w:rsidR="000C3162">
        <w:t xml:space="preserve">a delegate of </w:t>
      </w:r>
      <w:r w:rsidR="002F335F">
        <w:t>APRA</w:t>
      </w:r>
      <w:r w:rsidR="00600146">
        <w:t xml:space="preserve">: </w:t>
      </w:r>
    </w:p>
    <w:p w:rsidR="00334F79" w:rsidRDefault="00600146" w:rsidP="00EB75CD">
      <w:pPr>
        <w:numPr>
          <w:ilvl w:val="0"/>
          <w:numId w:val="25"/>
        </w:numPr>
        <w:spacing w:before="240"/>
        <w:ind w:left="426" w:hanging="426"/>
        <w:jc w:val="both"/>
      </w:pPr>
      <w:r>
        <w:t xml:space="preserve">under paragraph 66(2)(c) of the </w:t>
      </w:r>
      <w:r w:rsidRPr="00F572EE">
        <w:t>Act</w:t>
      </w:r>
      <w:r w:rsidRPr="00EB75CD">
        <w:rPr>
          <w:i/>
        </w:rPr>
        <w:t xml:space="preserve"> </w:t>
      </w:r>
      <w:r w:rsidR="002F335F">
        <w:t xml:space="preserve">REVOKE the Consent to use restricted expression </w:t>
      </w:r>
      <w:r w:rsidR="002F335F" w:rsidRPr="00B319E2">
        <w:t>Offshore banking units</w:t>
      </w:r>
      <w:r w:rsidR="002F335F">
        <w:t xml:space="preserve"> </w:t>
      </w:r>
      <w:r w:rsidR="00B94DBC">
        <w:t>made on 16 June</w:t>
      </w:r>
      <w:r w:rsidR="002F335F">
        <w:t xml:space="preserve"> 2005;</w:t>
      </w:r>
      <w:r w:rsidR="00175EAA">
        <w:t xml:space="preserve"> and</w:t>
      </w:r>
    </w:p>
    <w:p w:rsidR="00334F79" w:rsidRDefault="00B94DBC" w:rsidP="00EB75CD">
      <w:pPr>
        <w:numPr>
          <w:ilvl w:val="0"/>
          <w:numId w:val="25"/>
        </w:numPr>
        <w:spacing w:before="240"/>
        <w:ind w:left="426" w:hanging="426"/>
        <w:jc w:val="both"/>
      </w:pPr>
      <w:r>
        <w:t xml:space="preserve">under paragraph 66(1)(d) of the Act, CONSENT to the assumption or use </w:t>
      </w:r>
      <w:r w:rsidR="00AA2835" w:rsidRPr="00AA2835">
        <w:t xml:space="preserve">in Australia </w:t>
      </w:r>
      <w:r w:rsidR="000A76F9">
        <w:t>of the restricted word</w:t>
      </w:r>
      <w:r w:rsidR="00AA2835">
        <w:t xml:space="preserve"> or expression “banking” (or words of like import)</w:t>
      </w:r>
      <w:r w:rsidR="000A76F9">
        <w:t xml:space="preserve"> </w:t>
      </w:r>
      <w:r w:rsidR="00AC22AE">
        <w:t>by the class of persons specified in the schedule in relation to the financial business carried on by each member of the class</w:t>
      </w:r>
      <w:r w:rsidR="00175EAA">
        <w:t xml:space="preserve">. </w:t>
      </w:r>
      <w:r>
        <w:t xml:space="preserve">  </w:t>
      </w:r>
    </w:p>
    <w:p w:rsidR="002F335F" w:rsidRDefault="00175EAA" w:rsidP="00EB75CD">
      <w:pPr>
        <w:spacing w:before="240"/>
        <w:jc w:val="both"/>
      </w:pPr>
      <w:r>
        <w:t xml:space="preserve">This consent is subject to the conditions I IMPOSE under paragraph </w:t>
      </w:r>
      <w:r w:rsidR="00D57ADE">
        <w:t xml:space="preserve">66(2)(a) </w:t>
      </w:r>
      <w:r>
        <w:t xml:space="preserve">of the Act, </w:t>
      </w:r>
      <w:r w:rsidR="00D57ADE">
        <w:t>specified in the Schedule.</w:t>
      </w:r>
    </w:p>
    <w:p w:rsidR="00862FA0" w:rsidRDefault="00862FA0" w:rsidP="00EB75CD">
      <w:pPr>
        <w:spacing w:before="240"/>
        <w:jc w:val="both"/>
      </w:pPr>
      <w:r>
        <w:t xml:space="preserve">This instrument commences on the date it is registered in the Federal Register of Legislative Instruments. </w:t>
      </w:r>
    </w:p>
    <w:p w:rsidR="00862FA0" w:rsidRDefault="009464B8" w:rsidP="00EB75CD">
      <w:pPr>
        <w:spacing w:before="240"/>
        <w:jc w:val="both"/>
      </w:pPr>
      <w:r>
        <w:t>Dated  1</w:t>
      </w:r>
      <w:r w:rsidR="00EA397E">
        <w:t xml:space="preserve">4 </w:t>
      </w:r>
      <w:r w:rsidR="00B53CDE">
        <w:t>September</w:t>
      </w:r>
      <w:r w:rsidR="00862FA0">
        <w:t xml:space="preserve"> 2015</w:t>
      </w:r>
    </w:p>
    <w:p w:rsidR="00862FA0" w:rsidRDefault="00862FA0" w:rsidP="00862FA0">
      <w:pPr>
        <w:jc w:val="both"/>
      </w:pPr>
    </w:p>
    <w:p w:rsidR="00862FA0" w:rsidRDefault="00C536BA" w:rsidP="00862FA0">
      <w:pPr>
        <w:jc w:val="both"/>
      </w:pPr>
      <w:r>
        <w:t>[Signed]</w:t>
      </w:r>
      <w:bookmarkStart w:id="2" w:name="_GoBack"/>
      <w:bookmarkEnd w:id="2"/>
    </w:p>
    <w:p w:rsidR="00862FA0" w:rsidRDefault="00862FA0" w:rsidP="00862FA0">
      <w:pPr>
        <w:jc w:val="both"/>
      </w:pPr>
    </w:p>
    <w:p w:rsidR="006E0D05" w:rsidRDefault="006E0D05" w:rsidP="00862FA0">
      <w:pPr>
        <w:jc w:val="both"/>
      </w:pPr>
    </w:p>
    <w:p w:rsidR="00862FA0" w:rsidRDefault="00862FA0" w:rsidP="00862FA0">
      <w:pPr>
        <w:jc w:val="both"/>
      </w:pPr>
      <w:r>
        <w:t>Sarah Goodman</w:t>
      </w:r>
    </w:p>
    <w:p w:rsidR="00862FA0" w:rsidRDefault="00862FA0" w:rsidP="00862FA0">
      <w:pPr>
        <w:jc w:val="both"/>
      </w:pPr>
      <w:r>
        <w:t>Executive General Manager</w:t>
      </w:r>
    </w:p>
    <w:p w:rsidR="00862FA0" w:rsidRDefault="004F2980" w:rsidP="00862FA0">
      <w:pPr>
        <w:jc w:val="both"/>
      </w:pPr>
      <w:r>
        <w:t>Policy and Advice</w:t>
      </w:r>
    </w:p>
    <w:p w:rsidR="00FC4215" w:rsidRPr="00EB75CD" w:rsidRDefault="007D2DE5" w:rsidP="00474F00">
      <w:pPr>
        <w:spacing w:before="240"/>
        <w:jc w:val="both"/>
        <w:rPr>
          <w:rFonts w:ascii="Arial" w:hAnsi="Arial" w:cs="Arial"/>
          <w:b/>
          <w:lang w:val="en-US"/>
        </w:rPr>
      </w:pPr>
      <w:r>
        <w:rPr>
          <w:rFonts w:ascii="Arial" w:hAnsi="Arial" w:cs="Arial"/>
          <w:b/>
        </w:rPr>
        <w:br w:type="page"/>
      </w:r>
      <w:r w:rsidR="00FC4215" w:rsidRPr="00EB75CD">
        <w:rPr>
          <w:rFonts w:ascii="Arial" w:hAnsi="Arial" w:cs="Arial"/>
          <w:b/>
        </w:rPr>
        <w:lastRenderedPageBreak/>
        <w:t>Interpretation</w:t>
      </w:r>
    </w:p>
    <w:p w:rsidR="00FC4215" w:rsidRPr="00FC4215" w:rsidRDefault="00FC4215" w:rsidP="00EB75CD">
      <w:pPr>
        <w:spacing w:before="120"/>
        <w:jc w:val="both"/>
        <w:rPr>
          <w:lang w:val="en-US"/>
        </w:rPr>
      </w:pPr>
      <w:r w:rsidRPr="00FC4215">
        <w:t>In this instrument</w:t>
      </w:r>
    </w:p>
    <w:p w:rsidR="00FC4215" w:rsidRDefault="00FC4215" w:rsidP="00EB75CD">
      <w:pPr>
        <w:spacing w:before="120"/>
        <w:jc w:val="both"/>
      </w:pPr>
      <w:r w:rsidRPr="00FC4215">
        <w:rPr>
          <w:b/>
          <w:bCs/>
          <w:i/>
          <w:iCs/>
        </w:rPr>
        <w:t xml:space="preserve">APRA </w:t>
      </w:r>
      <w:r w:rsidRPr="00FC4215">
        <w:t>means the Australian Prudential Regulation Authority.</w:t>
      </w:r>
    </w:p>
    <w:p w:rsidR="00FC4215" w:rsidRDefault="00FC4215" w:rsidP="00FC4215">
      <w:pPr>
        <w:spacing w:before="120"/>
        <w:jc w:val="both"/>
        <w:rPr>
          <w:i/>
          <w:iCs/>
        </w:rPr>
      </w:pPr>
      <w:r w:rsidRPr="00FC4215">
        <w:rPr>
          <w:b/>
          <w:bCs/>
          <w:i/>
          <w:iCs/>
        </w:rPr>
        <w:t>Federal Register of Legislative Instruments</w:t>
      </w:r>
      <w:r w:rsidRPr="00FC4215">
        <w:t xml:space="preserve"> means the register established under section 20 of the </w:t>
      </w:r>
      <w:r w:rsidRPr="00FC4215">
        <w:rPr>
          <w:i/>
          <w:iCs/>
        </w:rPr>
        <w:t>Legislative Instruments Act 2003.</w:t>
      </w:r>
    </w:p>
    <w:p w:rsidR="001638CD" w:rsidRPr="00EB75CD" w:rsidRDefault="001638CD" w:rsidP="001638CD">
      <w:pPr>
        <w:spacing w:before="120"/>
        <w:jc w:val="both"/>
        <w:rPr>
          <w:bCs/>
          <w:iCs/>
        </w:rPr>
      </w:pPr>
      <w:r>
        <w:rPr>
          <w:b/>
          <w:bCs/>
          <w:i/>
          <w:iCs/>
        </w:rPr>
        <w:t xml:space="preserve">financial business </w:t>
      </w:r>
      <w:r w:rsidRPr="00EB75CD">
        <w:rPr>
          <w:bCs/>
          <w:iCs/>
        </w:rPr>
        <w:t>has the meaning given in subsection 66(4) of the Act.</w:t>
      </w:r>
      <w:r>
        <w:rPr>
          <w:b/>
          <w:bCs/>
          <w:i/>
          <w:iCs/>
        </w:rPr>
        <w:t xml:space="preserve"> </w:t>
      </w:r>
    </w:p>
    <w:p w:rsidR="001638CD" w:rsidRPr="001638CD" w:rsidRDefault="001638CD" w:rsidP="001638CD">
      <w:pPr>
        <w:spacing w:before="120"/>
        <w:jc w:val="both"/>
        <w:rPr>
          <w:lang w:val="en-US"/>
        </w:rPr>
      </w:pPr>
      <w:r w:rsidRPr="001638CD">
        <w:rPr>
          <w:b/>
          <w:bCs/>
          <w:i/>
          <w:iCs/>
        </w:rPr>
        <w:t>restricted word or expression</w:t>
      </w:r>
      <w:r w:rsidRPr="001638CD">
        <w:t xml:space="preserve"> has the meaning given in subsection 66(4) of the Act.</w:t>
      </w:r>
    </w:p>
    <w:p w:rsidR="001638CD" w:rsidRPr="00474F00" w:rsidRDefault="001638CD" w:rsidP="00FC4215">
      <w:pPr>
        <w:spacing w:before="120"/>
        <w:jc w:val="both"/>
        <w:rPr>
          <w:lang w:val="en-US"/>
        </w:rPr>
      </w:pPr>
    </w:p>
    <w:p w:rsidR="00FC4215" w:rsidRPr="00FC4215" w:rsidRDefault="00FC4215" w:rsidP="00EB75CD">
      <w:pPr>
        <w:spacing w:before="120"/>
        <w:jc w:val="both"/>
        <w:rPr>
          <w:lang w:val="en-US"/>
        </w:rPr>
      </w:pPr>
    </w:p>
    <w:p w:rsidR="001638CD" w:rsidRPr="004900D4" w:rsidRDefault="001638CD" w:rsidP="00B607DE">
      <w:pPr>
        <w:spacing w:before="100" w:beforeAutospacing="1" w:after="120"/>
        <w:jc w:val="both"/>
        <w:rPr>
          <w:sz w:val="20"/>
          <w:lang w:val="en-US"/>
        </w:rPr>
      </w:pPr>
      <w:r w:rsidRPr="004900D4">
        <w:rPr>
          <w:i/>
          <w:iCs/>
          <w:sz w:val="20"/>
        </w:rPr>
        <w:t>Note 1</w:t>
      </w:r>
      <w:r w:rsidRPr="004900D4">
        <w:rPr>
          <w:sz w:val="20"/>
        </w:rPr>
        <w:t xml:space="preserve"> </w:t>
      </w:r>
      <w:r w:rsidR="00CC0288" w:rsidRPr="004900D4">
        <w:rPr>
          <w:sz w:val="20"/>
        </w:rPr>
        <w:t xml:space="preserve"> </w:t>
      </w:r>
      <w:r w:rsidR="0017634F" w:rsidRPr="004900D4">
        <w:rPr>
          <w:sz w:val="20"/>
        </w:rPr>
        <w:t xml:space="preserve"> </w:t>
      </w:r>
      <w:r w:rsidRPr="004900D4">
        <w:rPr>
          <w:sz w:val="20"/>
        </w:rPr>
        <w:t xml:space="preserve">This instrument is a legislative instrument for the purposes of the </w:t>
      </w:r>
      <w:r w:rsidRPr="004900D4">
        <w:rPr>
          <w:i/>
          <w:iCs/>
          <w:sz w:val="20"/>
        </w:rPr>
        <w:t>Legislative Instruments Act 2003</w:t>
      </w:r>
      <w:r w:rsidRPr="004900D4">
        <w:rPr>
          <w:sz w:val="20"/>
        </w:rPr>
        <w:t xml:space="preserve"> (the </w:t>
      </w:r>
      <w:r w:rsidRPr="00B319E2">
        <w:rPr>
          <w:sz w:val="20"/>
        </w:rPr>
        <w:t>LIA</w:t>
      </w:r>
      <w:r w:rsidRPr="004900D4">
        <w:rPr>
          <w:sz w:val="20"/>
        </w:rPr>
        <w:t xml:space="preserve">) (see section 5). The requirement in subsection 66(2A) of the Act, for publication of this instrument in the </w:t>
      </w:r>
      <w:r w:rsidRPr="004900D4">
        <w:rPr>
          <w:i/>
          <w:iCs/>
          <w:sz w:val="20"/>
        </w:rPr>
        <w:t>Gazette</w:t>
      </w:r>
      <w:r w:rsidRPr="004900D4">
        <w:rPr>
          <w:sz w:val="20"/>
        </w:rPr>
        <w:t xml:space="preserve">, is satisfied by registration on the Federal Register of Legislative Instruments (see subsection 56(1) </w:t>
      </w:r>
      <w:r w:rsidRPr="00B319E2">
        <w:rPr>
          <w:sz w:val="20"/>
        </w:rPr>
        <w:t>LIA</w:t>
      </w:r>
      <w:r w:rsidRPr="004900D4">
        <w:rPr>
          <w:sz w:val="20"/>
        </w:rPr>
        <w:t>).</w:t>
      </w:r>
    </w:p>
    <w:p w:rsidR="001638CD" w:rsidRDefault="001638CD" w:rsidP="00B607DE">
      <w:pPr>
        <w:jc w:val="both"/>
        <w:rPr>
          <w:sz w:val="20"/>
        </w:rPr>
      </w:pPr>
      <w:r w:rsidRPr="004900D4">
        <w:rPr>
          <w:i/>
          <w:iCs/>
          <w:sz w:val="20"/>
        </w:rPr>
        <w:t>Note 2</w:t>
      </w:r>
      <w:r w:rsidRPr="004900D4">
        <w:rPr>
          <w:sz w:val="20"/>
        </w:rPr>
        <w:t xml:space="preserve"> </w:t>
      </w:r>
      <w:r w:rsidR="00CC0288" w:rsidRPr="004900D4">
        <w:rPr>
          <w:sz w:val="20"/>
        </w:rPr>
        <w:t xml:space="preserve">  </w:t>
      </w:r>
      <w:r w:rsidRPr="004900D4">
        <w:rPr>
          <w:sz w:val="20"/>
        </w:rPr>
        <w:t>Under subsection 66(1) of the Act, a person who carries on a financial business is guilty of an offence if the person assumes or uses, in Australia, a restricted word or expression in relation to that financial business, where:</w:t>
      </w:r>
    </w:p>
    <w:p w:rsidR="000F1079" w:rsidRPr="004900D4" w:rsidRDefault="000F1079" w:rsidP="00A25735">
      <w:pPr>
        <w:contextualSpacing/>
        <w:jc w:val="both"/>
        <w:rPr>
          <w:sz w:val="20"/>
          <w:lang w:val="en-US"/>
        </w:rPr>
      </w:pPr>
    </w:p>
    <w:p w:rsidR="001638CD" w:rsidRDefault="001638CD" w:rsidP="004900D4">
      <w:pPr>
        <w:numPr>
          <w:ilvl w:val="0"/>
          <w:numId w:val="26"/>
        </w:numPr>
        <w:contextualSpacing/>
        <w:jc w:val="both"/>
        <w:rPr>
          <w:rFonts w:ascii="Helvetica Neue" w:hAnsi="Helvetica Neue"/>
          <w:sz w:val="20"/>
        </w:rPr>
      </w:pPr>
      <w:r w:rsidRPr="004900D4">
        <w:rPr>
          <w:rFonts w:ascii="Helvetica Neue" w:hAnsi="Helvetica Neue"/>
          <w:sz w:val="20"/>
        </w:rPr>
        <w:t>subsections 66(1AB) and 66(1AC) do not apply; and</w:t>
      </w:r>
    </w:p>
    <w:p w:rsidR="000F1079" w:rsidRPr="004900D4" w:rsidRDefault="000F1079" w:rsidP="004900D4">
      <w:pPr>
        <w:ind w:left="862"/>
        <w:contextualSpacing/>
        <w:jc w:val="both"/>
        <w:rPr>
          <w:rFonts w:ascii="Helvetica Neue" w:hAnsi="Helvetica Neue"/>
          <w:sz w:val="20"/>
          <w:lang w:val="en-US"/>
        </w:rPr>
      </w:pPr>
    </w:p>
    <w:p w:rsidR="000F1079" w:rsidRDefault="001638CD" w:rsidP="004900D4">
      <w:pPr>
        <w:numPr>
          <w:ilvl w:val="0"/>
          <w:numId w:val="26"/>
        </w:numPr>
        <w:contextualSpacing/>
        <w:jc w:val="both"/>
        <w:rPr>
          <w:rFonts w:ascii="Helvetica Neue" w:hAnsi="Helvetica Neue"/>
          <w:sz w:val="20"/>
        </w:rPr>
      </w:pPr>
      <w:r w:rsidRPr="004900D4">
        <w:rPr>
          <w:rFonts w:ascii="Helvetica Neue" w:hAnsi="Helvetica Neue"/>
          <w:sz w:val="20"/>
        </w:rPr>
        <w:t>APRA has not consented to that assumption or use; and</w:t>
      </w:r>
    </w:p>
    <w:p w:rsidR="000F1079" w:rsidRDefault="000F1079" w:rsidP="004900D4">
      <w:pPr>
        <w:ind w:left="862"/>
        <w:contextualSpacing/>
        <w:jc w:val="both"/>
        <w:rPr>
          <w:rFonts w:ascii="Helvetica Neue" w:hAnsi="Helvetica Neue"/>
          <w:sz w:val="20"/>
        </w:rPr>
      </w:pPr>
    </w:p>
    <w:p w:rsidR="00B324A6" w:rsidRPr="004B40D5" w:rsidRDefault="001638CD" w:rsidP="004900D4">
      <w:pPr>
        <w:numPr>
          <w:ilvl w:val="0"/>
          <w:numId w:val="26"/>
        </w:numPr>
        <w:ind w:left="709" w:hanging="567"/>
        <w:contextualSpacing/>
        <w:jc w:val="both"/>
        <w:rPr>
          <w:rFonts w:ascii="Helvetica Neue" w:hAnsi="Helvetica Neue"/>
          <w:sz w:val="20"/>
        </w:rPr>
      </w:pPr>
      <w:r w:rsidRPr="004900D4">
        <w:rPr>
          <w:rFonts w:ascii="Helvetica Neue" w:hAnsi="Helvetica Neue"/>
          <w:sz w:val="20"/>
        </w:rPr>
        <w:t xml:space="preserve">there is no determination in force under section 11 of the Act that subsection 66(1) </w:t>
      </w:r>
      <w:r w:rsidR="00B324A6" w:rsidRPr="004900D4">
        <w:rPr>
          <w:rFonts w:ascii="Helvetica Neue" w:hAnsi="Helvetica Neue"/>
          <w:sz w:val="20"/>
        </w:rPr>
        <w:t xml:space="preserve"> </w:t>
      </w:r>
      <w:r w:rsidRPr="004900D4">
        <w:rPr>
          <w:rFonts w:ascii="Helvetica Neue" w:hAnsi="Helvetica Neue"/>
          <w:sz w:val="20"/>
        </w:rPr>
        <w:t>does not apply to that person.</w:t>
      </w:r>
    </w:p>
    <w:p w:rsidR="000F1079" w:rsidRPr="004900D4" w:rsidRDefault="000F1079" w:rsidP="00B607DE">
      <w:pPr>
        <w:ind w:left="426" w:hanging="284"/>
        <w:jc w:val="both"/>
        <w:rPr>
          <w:rFonts w:ascii="Helvetica Neue" w:hAnsi="Helvetica Neue"/>
          <w:sz w:val="20"/>
        </w:rPr>
      </w:pPr>
    </w:p>
    <w:p w:rsidR="001638CD" w:rsidRPr="004900D4" w:rsidRDefault="001638CD" w:rsidP="00B607DE">
      <w:pPr>
        <w:jc w:val="both"/>
        <w:rPr>
          <w:sz w:val="20"/>
          <w:lang w:val="en-US"/>
        </w:rPr>
      </w:pPr>
      <w:r w:rsidRPr="004900D4">
        <w:rPr>
          <w:sz w:val="20"/>
        </w:rPr>
        <w:t xml:space="preserve">The penalty is 50 penalty units or, in the case of a body corporate, subsection 4B(3) of the </w:t>
      </w:r>
      <w:r w:rsidRPr="004900D4">
        <w:rPr>
          <w:i/>
          <w:iCs/>
          <w:sz w:val="20"/>
        </w:rPr>
        <w:t>Crimes Act 1914</w:t>
      </w:r>
      <w:r w:rsidRPr="004900D4">
        <w:rPr>
          <w:sz w:val="20"/>
        </w:rPr>
        <w:t xml:space="preserve"> allows a court to impose a penalty of up to 250 penalty units. Under subsection 66(1AA), an offence against subsection 66(1) is committed on the first day on which the offence is committed and on each subsequent day that the circumstances giving rise to the offence continue, including the day of conviction or any later day.</w:t>
      </w:r>
    </w:p>
    <w:p w:rsidR="001638CD" w:rsidRPr="004900D4" w:rsidRDefault="001638CD" w:rsidP="00B607DE">
      <w:pPr>
        <w:spacing w:before="100" w:beforeAutospacing="1" w:after="120"/>
        <w:jc w:val="both"/>
        <w:rPr>
          <w:sz w:val="20"/>
          <w:lang w:val="en-US"/>
        </w:rPr>
      </w:pPr>
      <w:r w:rsidRPr="004900D4">
        <w:rPr>
          <w:i/>
          <w:iCs/>
          <w:sz w:val="20"/>
        </w:rPr>
        <w:t>Note 3</w:t>
      </w:r>
      <w:r w:rsidR="0017634F" w:rsidRPr="004900D4">
        <w:rPr>
          <w:i/>
          <w:iCs/>
          <w:sz w:val="20"/>
        </w:rPr>
        <w:t xml:space="preserve">  </w:t>
      </w:r>
      <w:r w:rsidRPr="004900D4">
        <w:rPr>
          <w:sz w:val="20"/>
        </w:rPr>
        <w:t xml:space="preserve"> Under subsection 66(2) of the Act, APRA may at any time impose conditions, or additional conditions, on a consent or vary or revoke conditions imposed on a consent or revoke a consent.</w:t>
      </w:r>
    </w:p>
    <w:p w:rsidR="001638CD" w:rsidRPr="004900D4" w:rsidRDefault="001638CD" w:rsidP="00B607DE">
      <w:pPr>
        <w:spacing w:before="100" w:beforeAutospacing="1" w:after="120"/>
        <w:jc w:val="both"/>
        <w:rPr>
          <w:sz w:val="20"/>
          <w:lang w:val="en-US"/>
        </w:rPr>
      </w:pPr>
      <w:r w:rsidRPr="004900D4">
        <w:rPr>
          <w:i/>
          <w:iCs/>
          <w:sz w:val="20"/>
        </w:rPr>
        <w:t xml:space="preserve">Note 4 </w:t>
      </w:r>
      <w:r w:rsidR="0017634F" w:rsidRPr="004900D4">
        <w:rPr>
          <w:i/>
          <w:iCs/>
          <w:sz w:val="20"/>
        </w:rPr>
        <w:t xml:space="preserve">  </w:t>
      </w:r>
      <w:r w:rsidRPr="004900D4">
        <w:rPr>
          <w:sz w:val="20"/>
        </w:rPr>
        <w:t xml:space="preserve">Under subsection 66(3) of the Act, a person who has been given a consent under section 66 and who contravenes a condition applicable to the consent (where there is no applicable determination in force under section 11 of the Act) is guilty of an offence. The penalty is 50 penalty units or, in the case of a body corporate, subsection 4B(3) of the </w:t>
      </w:r>
      <w:r w:rsidRPr="004900D4">
        <w:rPr>
          <w:i/>
          <w:iCs/>
          <w:sz w:val="20"/>
        </w:rPr>
        <w:t>Crimes Act 1914</w:t>
      </w:r>
      <w:r w:rsidRPr="004900D4">
        <w:rPr>
          <w:sz w:val="20"/>
        </w:rPr>
        <w:t xml:space="preserve"> allows a court to impose a penalty of</w:t>
      </w:r>
      <w:r w:rsidR="00F17B0F">
        <w:rPr>
          <w:sz w:val="20"/>
        </w:rPr>
        <w:t xml:space="preserve"> </w:t>
      </w:r>
      <w:r w:rsidRPr="004900D4">
        <w:rPr>
          <w:sz w:val="20"/>
        </w:rPr>
        <w:t>up to 250 penalty units. Under subsection 66(3A) of the Act, an offence against subsection 66(3) is committed on the first day on which the offence is committed and on each subsequent day that the circumstances giving rise to the offence continue, including the day of conviction or any later day.</w:t>
      </w:r>
    </w:p>
    <w:p w:rsidR="001638CD" w:rsidRPr="004900D4" w:rsidRDefault="001638CD" w:rsidP="00B607DE">
      <w:pPr>
        <w:spacing w:before="100" w:beforeAutospacing="1" w:after="120"/>
        <w:jc w:val="both"/>
        <w:rPr>
          <w:sz w:val="20"/>
          <w:lang w:val="en-US"/>
        </w:rPr>
      </w:pPr>
      <w:r w:rsidRPr="004900D4">
        <w:rPr>
          <w:i/>
          <w:iCs/>
          <w:sz w:val="20"/>
        </w:rPr>
        <w:t>Note 5</w:t>
      </w:r>
      <w:r w:rsidRPr="004900D4">
        <w:rPr>
          <w:sz w:val="20"/>
        </w:rPr>
        <w:t xml:space="preserve"> </w:t>
      </w:r>
      <w:r w:rsidR="0017634F" w:rsidRPr="004900D4">
        <w:rPr>
          <w:sz w:val="20"/>
        </w:rPr>
        <w:t xml:space="preserve">  </w:t>
      </w:r>
      <w:r w:rsidRPr="004900D4">
        <w:rPr>
          <w:sz w:val="20"/>
        </w:rPr>
        <w:t>Under subsection 66(2B) of the Act, APRA must notify the Australian Securities and Investments Commission if APRA grants or revokes a consent or imposes, varies or revokes conditions on a consent given under section 66 of the Act.</w:t>
      </w:r>
    </w:p>
    <w:p w:rsidR="000F6452" w:rsidRDefault="000F6452" w:rsidP="000F6452">
      <w:pPr>
        <w:jc w:val="both"/>
      </w:pPr>
    </w:p>
    <w:p w:rsidR="000F6452" w:rsidRDefault="000F6452" w:rsidP="000F6452">
      <w:pPr>
        <w:jc w:val="both"/>
      </w:pPr>
    </w:p>
    <w:p w:rsidR="00E02801" w:rsidRPr="00E02801" w:rsidRDefault="00033505" w:rsidP="000F6452">
      <w:pPr>
        <w:jc w:val="both"/>
        <w:rPr>
          <w:rFonts w:ascii="Arial" w:hAnsi="Arial" w:cs="Arial"/>
          <w:b/>
          <w:sz w:val="36"/>
          <w:szCs w:val="36"/>
        </w:rPr>
      </w:pPr>
      <w:r>
        <w:br w:type="page"/>
      </w:r>
      <w:r w:rsidR="00E02801" w:rsidRPr="00E02801">
        <w:rPr>
          <w:rFonts w:ascii="Arial" w:hAnsi="Arial" w:cs="Arial"/>
          <w:b/>
          <w:sz w:val="36"/>
          <w:szCs w:val="36"/>
        </w:rPr>
        <w:lastRenderedPageBreak/>
        <w:t>Schedule</w:t>
      </w:r>
    </w:p>
    <w:p w:rsidR="00E02801" w:rsidRDefault="00E02801" w:rsidP="000F6452">
      <w:pPr>
        <w:jc w:val="both"/>
      </w:pPr>
    </w:p>
    <w:p w:rsidR="000F6452" w:rsidRPr="00E02801" w:rsidRDefault="005B25F9" w:rsidP="00E02801">
      <w:pPr>
        <w:spacing w:before="240"/>
        <w:jc w:val="both"/>
        <w:rPr>
          <w:rFonts w:ascii="Arial" w:hAnsi="Arial" w:cs="Arial"/>
          <w:b/>
          <w:sz w:val="28"/>
          <w:szCs w:val="28"/>
        </w:rPr>
      </w:pPr>
      <w:r w:rsidRPr="00E02801">
        <w:rPr>
          <w:rFonts w:ascii="Arial" w:hAnsi="Arial" w:cs="Arial"/>
          <w:b/>
          <w:sz w:val="28"/>
          <w:szCs w:val="28"/>
        </w:rPr>
        <w:t>Con</w:t>
      </w:r>
      <w:r>
        <w:rPr>
          <w:rFonts w:ascii="Arial" w:hAnsi="Arial" w:cs="Arial"/>
          <w:b/>
          <w:sz w:val="28"/>
          <w:szCs w:val="28"/>
        </w:rPr>
        <w:t>ditions</w:t>
      </w:r>
    </w:p>
    <w:p w:rsidR="003F045F" w:rsidRDefault="003F045F" w:rsidP="003F045F">
      <w:pPr>
        <w:jc w:val="both"/>
      </w:pPr>
    </w:p>
    <w:p w:rsidR="003F045F" w:rsidRPr="00694E94" w:rsidRDefault="003F045F" w:rsidP="003F045F">
      <w:pPr>
        <w:jc w:val="both"/>
        <w:rPr>
          <w:rFonts w:ascii="Arial" w:hAnsi="Arial" w:cs="Arial"/>
          <w:b/>
          <w:sz w:val="22"/>
          <w:szCs w:val="22"/>
        </w:rPr>
      </w:pPr>
      <w:r>
        <w:rPr>
          <w:rFonts w:ascii="Arial" w:hAnsi="Arial" w:cs="Arial"/>
          <w:b/>
          <w:sz w:val="22"/>
          <w:szCs w:val="22"/>
        </w:rPr>
        <w:t>Offshore banking unit</w:t>
      </w:r>
    </w:p>
    <w:p w:rsidR="000F6452" w:rsidRDefault="000F6452" w:rsidP="000F6452">
      <w:pPr>
        <w:jc w:val="both"/>
      </w:pPr>
    </w:p>
    <w:p w:rsidR="000F5E20" w:rsidRDefault="005B25F9" w:rsidP="00EB75CD">
      <w:pPr>
        <w:tabs>
          <w:tab w:val="left" w:pos="540"/>
        </w:tabs>
        <w:ind w:left="540" w:hanging="540"/>
        <w:jc w:val="both"/>
      </w:pPr>
      <w:r>
        <w:t>1.</w:t>
      </w:r>
      <w:r w:rsidR="009C78FA">
        <w:tab/>
      </w:r>
      <w:r w:rsidR="003F045F">
        <w:t>An</w:t>
      </w:r>
      <w:r w:rsidR="00FF3F87">
        <w:t xml:space="preserve"> </w:t>
      </w:r>
      <w:r w:rsidR="00FF3F87" w:rsidRPr="00B319E2">
        <w:t xml:space="preserve">offshore banking unit </w:t>
      </w:r>
      <w:r w:rsidR="003F045F">
        <w:t xml:space="preserve">may use the </w:t>
      </w:r>
      <w:r w:rsidR="008959B0">
        <w:t>word</w:t>
      </w:r>
      <w:r w:rsidR="003F045F">
        <w:t xml:space="preserve"> </w:t>
      </w:r>
      <w:r w:rsidR="003F045F" w:rsidRPr="003F045F">
        <w:rPr>
          <w:i/>
        </w:rPr>
        <w:t>banking</w:t>
      </w:r>
      <w:r w:rsidR="003F045F">
        <w:t xml:space="preserve"> as part of the expression </w:t>
      </w:r>
      <w:r w:rsidR="003F045F" w:rsidRPr="00B319E2">
        <w:rPr>
          <w:i/>
        </w:rPr>
        <w:t>offshore banking unit</w:t>
      </w:r>
      <w:r w:rsidR="003F045F">
        <w:t xml:space="preserve">, </w:t>
      </w:r>
      <w:r w:rsidR="00FF3F87">
        <w:t xml:space="preserve">in relation to its </w:t>
      </w:r>
      <w:r w:rsidR="00840176">
        <w:t xml:space="preserve">offshore banking business, </w:t>
      </w:r>
      <w:r w:rsidR="00DE6864">
        <w:t>subject to</w:t>
      </w:r>
      <w:r w:rsidR="000F5E20">
        <w:t>:</w:t>
      </w:r>
    </w:p>
    <w:p w:rsidR="000F5E20" w:rsidRDefault="000F5E20" w:rsidP="000F5E20">
      <w:pPr>
        <w:tabs>
          <w:tab w:val="left" w:pos="567"/>
        </w:tabs>
        <w:spacing w:before="60"/>
        <w:ind w:left="1077" w:hanging="510"/>
        <w:jc w:val="both"/>
        <w:rPr>
          <w:szCs w:val="24"/>
        </w:rPr>
      </w:pPr>
      <w:r w:rsidRPr="007D1FDC">
        <w:rPr>
          <w:szCs w:val="24"/>
        </w:rPr>
        <w:t>(a)</w:t>
      </w:r>
      <w:r w:rsidRPr="007D1FDC">
        <w:rPr>
          <w:szCs w:val="24"/>
        </w:rPr>
        <w:tab/>
        <w:t>if</w:t>
      </w:r>
      <w:r>
        <w:rPr>
          <w:szCs w:val="24"/>
        </w:rPr>
        <w:t xml:space="preserve"> the </w:t>
      </w:r>
      <w:r w:rsidRPr="00B319E2">
        <w:rPr>
          <w:szCs w:val="24"/>
        </w:rPr>
        <w:t xml:space="preserve">offshore banking unit </w:t>
      </w:r>
      <w:r>
        <w:rPr>
          <w:szCs w:val="24"/>
        </w:rPr>
        <w:t xml:space="preserve">is an ADI – condition </w:t>
      </w:r>
      <w:r w:rsidR="005B25F9">
        <w:rPr>
          <w:szCs w:val="24"/>
        </w:rPr>
        <w:t>3</w:t>
      </w:r>
      <w:r>
        <w:rPr>
          <w:szCs w:val="24"/>
        </w:rPr>
        <w:t>;</w:t>
      </w:r>
    </w:p>
    <w:p w:rsidR="00DE6864" w:rsidRDefault="000F5E20" w:rsidP="000F5E20">
      <w:pPr>
        <w:tabs>
          <w:tab w:val="left" w:pos="567"/>
        </w:tabs>
        <w:spacing w:before="60"/>
        <w:ind w:left="1077" w:hanging="510"/>
        <w:jc w:val="both"/>
      </w:pPr>
      <w:r>
        <w:rPr>
          <w:szCs w:val="24"/>
        </w:rPr>
        <w:t>(b)</w:t>
      </w:r>
      <w:r>
        <w:rPr>
          <w:szCs w:val="24"/>
        </w:rPr>
        <w:tab/>
        <w:t xml:space="preserve">if the </w:t>
      </w:r>
      <w:r w:rsidRPr="00B319E2">
        <w:rPr>
          <w:szCs w:val="24"/>
        </w:rPr>
        <w:t xml:space="preserve">offshore banking unit </w:t>
      </w:r>
      <w:r>
        <w:rPr>
          <w:szCs w:val="24"/>
        </w:rPr>
        <w:t xml:space="preserve">is not an ADI – conditions </w:t>
      </w:r>
      <w:r w:rsidR="005B25F9">
        <w:rPr>
          <w:szCs w:val="24"/>
        </w:rPr>
        <w:t>3</w:t>
      </w:r>
      <w:r>
        <w:rPr>
          <w:szCs w:val="24"/>
        </w:rPr>
        <w:t xml:space="preserve"> to </w:t>
      </w:r>
      <w:r w:rsidR="001C6C2C">
        <w:rPr>
          <w:szCs w:val="24"/>
        </w:rPr>
        <w:t>6</w:t>
      </w:r>
      <w:r>
        <w:rPr>
          <w:szCs w:val="24"/>
        </w:rPr>
        <w:t>.</w:t>
      </w:r>
    </w:p>
    <w:p w:rsidR="003F045F" w:rsidRDefault="003F045F" w:rsidP="003F045F">
      <w:pPr>
        <w:jc w:val="both"/>
      </w:pPr>
    </w:p>
    <w:p w:rsidR="003F045F" w:rsidRPr="00694E94" w:rsidRDefault="003F045F" w:rsidP="003F045F">
      <w:pPr>
        <w:jc w:val="both"/>
        <w:rPr>
          <w:rFonts w:ascii="Arial" w:hAnsi="Arial" w:cs="Arial"/>
          <w:b/>
          <w:sz w:val="22"/>
          <w:szCs w:val="22"/>
        </w:rPr>
      </w:pPr>
      <w:r>
        <w:rPr>
          <w:rFonts w:ascii="Arial" w:hAnsi="Arial" w:cs="Arial"/>
          <w:b/>
          <w:sz w:val="22"/>
          <w:szCs w:val="22"/>
        </w:rPr>
        <w:t>Body corporate related to an offshore banking unit</w:t>
      </w:r>
    </w:p>
    <w:p w:rsidR="00840176" w:rsidRDefault="00840176" w:rsidP="00DE6864">
      <w:pPr>
        <w:tabs>
          <w:tab w:val="left" w:pos="540"/>
        </w:tabs>
        <w:ind w:left="540" w:hanging="540"/>
        <w:jc w:val="both"/>
      </w:pPr>
    </w:p>
    <w:p w:rsidR="00FF3F87" w:rsidRDefault="005B25F9" w:rsidP="00DE6864">
      <w:pPr>
        <w:tabs>
          <w:tab w:val="left" w:pos="540"/>
        </w:tabs>
        <w:ind w:left="540" w:hanging="540"/>
        <w:jc w:val="both"/>
      </w:pPr>
      <w:r>
        <w:t>2</w:t>
      </w:r>
      <w:r w:rsidR="00840176">
        <w:t>.</w:t>
      </w:r>
      <w:r w:rsidR="00840176">
        <w:tab/>
      </w:r>
      <w:r w:rsidR="003F045F">
        <w:t xml:space="preserve">A body corporate that is related to an offshore banking unit may use the </w:t>
      </w:r>
      <w:r w:rsidR="008959B0">
        <w:t>word</w:t>
      </w:r>
      <w:r w:rsidR="003F045F">
        <w:t xml:space="preserve"> </w:t>
      </w:r>
      <w:r w:rsidR="003F045F" w:rsidRPr="003F045F">
        <w:rPr>
          <w:i/>
        </w:rPr>
        <w:t xml:space="preserve">banking </w:t>
      </w:r>
      <w:r w:rsidR="003F045F">
        <w:t xml:space="preserve">as part of the expression </w:t>
      </w:r>
      <w:r w:rsidR="003F045F">
        <w:rPr>
          <w:i/>
        </w:rPr>
        <w:t xml:space="preserve">offshore </w:t>
      </w:r>
      <w:r w:rsidR="003F045F" w:rsidRPr="003F045F">
        <w:rPr>
          <w:i/>
        </w:rPr>
        <w:t>banking unit</w:t>
      </w:r>
      <w:r w:rsidR="003F045F">
        <w:t xml:space="preserve">, in relation to the offshore banking </w:t>
      </w:r>
      <w:r w:rsidR="00133195">
        <w:t xml:space="preserve">unit’s </w:t>
      </w:r>
      <w:r w:rsidR="003F045F">
        <w:t xml:space="preserve">offshore banking </w:t>
      </w:r>
      <w:r w:rsidR="00133195">
        <w:t>business</w:t>
      </w:r>
      <w:r w:rsidR="003F045F">
        <w:t>, subject to condition 1.</w:t>
      </w:r>
    </w:p>
    <w:p w:rsidR="00CA42EA" w:rsidRDefault="00CA42EA" w:rsidP="00DE6864">
      <w:pPr>
        <w:tabs>
          <w:tab w:val="left" w:pos="540"/>
        </w:tabs>
        <w:ind w:left="540" w:hanging="540"/>
        <w:jc w:val="both"/>
      </w:pPr>
    </w:p>
    <w:p w:rsidR="009C78FA" w:rsidRPr="00694E94" w:rsidRDefault="00297061" w:rsidP="009C78FA">
      <w:pPr>
        <w:jc w:val="both"/>
        <w:rPr>
          <w:rFonts w:ascii="Arial" w:hAnsi="Arial" w:cs="Arial"/>
          <w:b/>
          <w:sz w:val="22"/>
          <w:szCs w:val="22"/>
        </w:rPr>
      </w:pPr>
      <w:r>
        <w:rPr>
          <w:rFonts w:ascii="Arial" w:hAnsi="Arial" w:cs="Arial"/>
          <w:b/>
          <w:sz w:val="22"/>
          <w:szCs w:val="22"/>
        </w:rPr>
        <w:t>C</w:t>
      </w:r>
      <w:r w:rsidR="00CA42EA">
        <w:rPr>
          <w:rFonts w:ascii="Arial" w:hAnsi="Arial" w:cs="Arial"/>
          <w:b/>
          <w:sz w:val="22"/>
          <w:szCs w:val="22"/>
        </w:rPr>
        <w:t>ondition</w:t>
      </w:r>
      <w:r>
        <w:rPr>
          <w:rFonts w:ascii="Arial" w:hAnsi="Arial" w:cs="Arial"/>
          <w:b/>
          <w:sz w:val="22"/>
          <w:szCs w:val="22"/>
        </w:rPr>
        <w:t xml:space="preserve"> applying generally</w:t>
      </w:r>
    </w:p>
    <w:p w:rsidR="009C78FA" w:rsidRDefault="009C78FA" w:rsidP="009C78FA">
      <w:pPr>
        <w:jc w:val="both"/>
      </w:pPr>
    </w:p>
    <w:p w:rsidR="000029B9" w:rsidRDefault="005B25F9" w:rsidP="009C78FA">
      <w:pPr>
        <w:tabs>
          <w:tab w:val="left" w:pos="540"/>
        </w:tabs>
        <w:ind w:left="540" w:hanging="540"/>
        <w:jc w:val="both"/>
      </w:pPr>
      <w:r>
        <w:t>3</w:t>
      </w:r>
      <w:r w:rsidR="009C78FA">
        <w:t>.</w:t>
      </w:r>
      <w:r w:rsidR="009C78FA">
        <w:tab/>
        <w:t xml:space="preserve">The offshore banking unit </w:t>
      </w:r>
      <w:r w:rsidR="00651CB3">
        <w:t xml:space="preserve">or body corporate related to the offshore banking unit </w:t>
      </w:r>
      <w:r w:rsidR="009C78FA">
        <w:t xml:space="preserve">must not use the </w:t>
      </w:r>
      <w:r w:rsidR="008959B0">
        <w:t xml:space="preserve">word or </w:t>
      </w:r>
      <w:r w:rsidR="009C78FA">
        <w:t>expression</w:t>
      </w:r>
      <w:r w:rsidR="008959B0">
        <w:t>,</w:t>
      </w:r>
      <w:r w:rsidR="009C78FA">
        <w:t xml:space="preserve"> </w:t>
      </w:r>
      <w:r w:rsidR="009C78FA" w:rsidRPr="006F0C95">
        <w:rPr>
          <w:i/>
        </w:rPr>
        <w:t>banking</w:t>
      </w:r>
      <w:r w:rsidR="009C78FA">
        <w:t xml:space="preserve"> or </w:t>
      </w:r>
      <w:r w:rsidR="009C78FA" w:rsidRPr="00B671B5">
        <w:rPr>
          <w:i/>
        </w:rPr>
        <w:t>offshore banking unit</w:t>
      </w:r>
      <w:r w:rsidR="008959B0">
        <w:rPr>
          <w:i/>
        </w:rPr>
        <w:t>,</w:t>
      </w:r>
      <w:r w:rsidR="009C78FA">
        <w:t xml:space="preserve"> in a misleading or deceptive way</w:t>
      </w:r>
      <w:r w:rsidR="000029B9">
        <w:t>.</w:t>
      </w:r>
    </w:p>
    <w:p w:rsidR="009C78FA" w:rsidRDefault="000029B9" w:rsidP="00297061">
      <w:pPr>
        <w:tabs>
          <w:tab w:val="left" w:pos="540"/>
          <w:tab w:val="left" w:pos="1440"/>
          <w:tab w:val="left" w:pos="1800"/>
        </w:tabs>
        <w:spacing w:before="120"/>
        <w:ind w:left="1800" w:hanging="1800"/>
        <w:jc w:val="both"/>
        <w:rPr>
          <w:sz w:val="20"/>
        </w:rPr>
      </w:pPr>
      <w:r>
        <w:rPr>
          <w:sz w:val="20"/>
        </w:rPr>
        <w:tab/>
      </w:r>
      <w:r w:rsidR="00297061">
        <w:rPr>
          <w:sz w:val="20"/>
        </w:rPr>
        <w:t xml:space="preserve">   </w:t>
      </w:r>
      <w:r>
        <w:rPr>
          <w:sz w:val="20"/>
        </w:rPr>
        <w:t>Example 1:</w:t>
      </w:r>
      <w:r>
        <w:rPr>
          <w:sz w:val="20"/>
        </w:rPr>
        <w:tab/>
        <w:t xml:space="preserve">If the offshore banking unit </w:t>
      </w:r>
      <w:r w:rsidR="00C21498">
        <w:rPr>
          <w:sz w:val="20"/>
        </w:rPr>
        <w:t xml:space="preserve">concerned </w:t>
      </w:r>
      <w:r>
        <w:rPr>
          <w:sz w:val="20"/>
        </w:rPr>
        <w:t xml:space="preserve">is not an ADI, the </w:t>
      </w:r>
      <w:r w:rsidR="008959B0">
        <w:rPr>
          <w:sz w:val="20"/>
        </w:rPr>
        <w:t xml:space="preserve">word or </w:t>
      </w:r>
      <w:r>
        <w:rPr>
          <w:sz w:val="20"/>
        </w:rPr>
        <w:t xml:space="preserve">expression must not be used in such a way as to represent or suggest that the offshore banking unit </w:t>
      </w:r>
      <w:r w:rsidR="00297061">
        <w:rPr>
          <w:sz w:val="20"/>
        </w:rPr>
        <w:t xml:space="preserve">is </w:t>
      </w:r>
      <w:r w:rsidR="009C78FA" w:rsidRPr="000029B9">
        <w:rPr>
          <w:sz w:val="20"/>
        </w:rPr>
        <w:t xml:space="preserve">an </w:t>
      </w:r>
      <w:r w:rsidR="00BC7908" w:rsidRPr="000029B9">
        <w:rPr>
          <w:sz w:val="20"/>
        </w:rPr>
        <w:t xml:space="preserve">ADI, </w:t>
      </w:r>
      <w:r w:rsidR="009C78FA" w:rsidRPr="000029B9">
        <w:rPr>
          <w:sz w:val="20"/>
        </w:rPr>
        <w:t>is otherwise authorised to carry on banking business in Australia, or is supervised by APRA.</w:t>
      </w:r>
    </w:p>
    <w:p w:rsidR="00297061" w:rsidRPr="000029B9" w:rsidRDefault="00297061" w:rsidP="00297061">
      <w:pPr>
        <w:tabs>
          <w:tab w:val="left" w:pos="540"/>
          <w:tab w:val="left" w:pos="1440"/>
          <w:tab w:val="left" w:pos="1800"/>
        </w:tabs>
        <w:spacing w:before="120"/>
        <w:ind w:left="1800" w:hanging="1800"/>
        <w:jc w:val="both"/>
        <w:rPr>
          <w:sz w:val="20"/>
        </w:rPr>
      </w:pPr>
      <w:r>
        <w:rPr>
          <w:sz w:val="20"/>
        </w:rPr>
        <w:tab/>
        <w:t xml:space="preserve">   Example 2:</w:t>
      </w:r>
      <w:r>
        <w:rPr>
          <w:sz w:val="20"/>
        </w:rPr>
        <w:tab/>
        <w:t xml:space="preserve">If the offshore banking unit </w:t>
      </w:r>
      <w:r w:rsidR="00C21498">
        <w:rPr>
          <w:sz w:val="20"/>
        </w:rPr>
        <w:t xml:space="preserve">concerned </w:t>
      </w:r>
      <w:r>
        <w:rPr>
          <w:sz w:val="20"/>
        </w:rPr>
        <w:t xml:space="preserve">is an ADI, the </w:t>
      </w:r>
      <w:r w:rsidR="008959B0">
        <w:rPr>
          <w:sz w:val="20"/>
        </w:rPr>
        <w:t xml:space="preserve">word or </w:t>
      </w:r>
      <w:r>
        <w:rPr>
          <w:sz w:val="20"/>
        </w:rPr>
        <w:t xml:space="preserve">expression must not be used in such a way as to represent or suggest that transactions which the offshore banking unit undertakes in the course of its offshore banking business </w:t>
      </w:r>
      <w:r w:rsidR="008313CE">
        <w:rPr>
          <w:sz w:val="20"/>
        </w:rPr>
        <w:t>constitute deposit-taking, or some other kind of banking business within the meaning of the Act, where this is not the case.</w:t>
      </w:r>
    </w:p>
    <w:p w:rsidR="00651CB3" w:rsidRDefault="00651CB3" w:rsidP="00651CB3">
      <w:pPr>
        <w:jc w:val="both"/>
      </w:pPr>
    </w:p>
    <w:p w:rsidR="00651CB3" w:rsidRPr="00694E94" w:rsidRDefault="008313CE" w:rsidP="00651CB3">
      <w:pPr>
        <w:jc w:val="both"/>
        <w:rPr>
          <w:rFonts w:ascii="Arial" w:hAnsi="Arial" w:cs="Arial"/>
          <w:b/>
          <w:sz w:val="22"/>
          <w:szCs w:val="22"/>
        </w:rPr>
      </w:pPr>
      <w:r>
        <w:rPr>
          <w:rFonts w:ascii="Arial" w:hAnsi="Arial" w:cs="Arial"/>
          <w:b/>
          <w:sz w:val="22"/>
          <w:szCs w:val="22"/>
        </w:rPr>
        <w:t>Conditions applying to an offshore banking unit that is not an ADI</w:t>
      </w:r>
    </w:p>
    <w:p w:rsidR="009C78FA" w:rsidRDefault="009C78FA" w:rsidP="009C78FA">
      <w:pPr>
        <w:tabs>
          <w:tab w:val="left" w:pos="540"/>
        </w:tabs>
        <w:ind w:left="540" w:hanging="540"/>
        <w:jc w:val="both"/>
      </w:pPr>
    </w:p>
    <w:p w:rsidR="007D1FDC" w:rsidRDefault="005B25F9" w:rsidP="00CB6775">
      <w:pPr>
        <w:tabs>
          <w:tab w:val="left" w:pos="540"/>
        </w:tabs>
        <w:ind w:left="540" w:hanging="540"/>
        <w:jc w:val="both"/>
      </w:pPr>
      <w:r>
        <w:t>4</w:t>
      </w:r>
      <w:r w:rsidR="00E26090">
        <w:t>.</w:t>
      </w:r>
      <w:r w:rsidR="00E26090">
        <w:tab/>
      </w:r>
      <w:r w:rsidR="00692B6B">
        <w:t xml:space="preserve">If the </w:t>
      </w:r>
      <w:r w:rsidR="00E26090">
        <w:t xml:space="preserve">offshore banking unit issues, or arranges </w:t>
      </w:r>
      <w:r w:rsidR="00A10A1A">
        <w:t xml:space="preserve">(whether as an agent, broker, trustee or in any </w:t>
      </w:r>
      <w:r w:rsidR="0055252E">
        <w:t xml:space="preserve">other capacity) for another person to issue, </w:t>
      </w:r>
      <w:r w:rsidR="00E26090">
        <w:t xml:space="preserve">an investment product to an investor, the offshore banking unit must ensure that </w:t>
      </w:r>
      <w:r w:rsidR="004C6239">
        <w:t xml:space="preserve">a consumer warning is given to </w:t>
      </w:r>
      <w:r w:rsidR="00E26090">
        <w:t xml:space="preserve">the </w:t>
      </w:r>
      <w:r w:rsidR="00E32ABC">
        <w:t xml:space="preserve">investor </w:t>
      </w:r>
      <w:r w:rsidR="00E26090">
        <w:t>in the following manner:</w:t>
      </w:r>
    </w:p>
    <w:p w:rsidR="007D1FDC" w:rsidRPr="007D1FDC" w:rsidRDefault="007D1FDC" w:rsidP="00E05704">
      <w:pPr>
        <w:tabs>
          <w:tab w:val="left" w:pos="567"/>
        </w:tabs>
        <w:spacing w:before="60"/>
        <w:ind w:left="1077" w:hanging="510"/>
        <w:jc w:val="both"/>
        <w:rPr>
          <w:szCs w:val="24"/>
        </w:rPr>
      </w:pPr>
      <w:r w:rsidRPr="007D1FDC">
        <w:rPr>
          <w:szCs w:val="24"/>
        </w:rPr>
        <w:t>(a)</w:t>
      </w:r>
      <w:r w:rsidRPr="007D1FDC">
        <w:rPr>
          <w:szCs w:val="24"/>
        </w:rPr>
        <w:tab/>
        <w:t xml:space="preserve">if, before the </w:t>
      </w:r>
      <w:r>
        <w:rPr>
          <w:szCs w:val="24"/>
        </w:rPr>
        <w:t xml:space="preserve">investment </w:t>
      </w:r>
      <w:r w:rsidRPr="007D1FDC">
        <w:rPr>
          <w:szCs w:val="24"/>
        </w:rPr>
        <w:t xml:space="preserve">product is issued to the investor, information relating to the </w:t>
      </w:r>
      <w:r w:rsidR="009345B2">
        <w:rPr>
          <w:szCs w:val="24"/>
        </w:rPr>
        <w:t>investment</w:t>
      </w:r>
      <w:r w:rsidRPr="007D1FDC">
        <w:rPr>
          <w:szCs w:val="24"/>
        </w:rPr>
        <w:t xml:space="preserve"> product is given to the investor in one or more paper documents (whether or not such information is also given to the investor in another form) – the warning must be clearly and prominently set out in one of those documents;</w:t>
      </w:r>
    </w:p>
    <w:p w:rsidR="007D1FDC" w:rsidRPr="007D1FDC" w:rsidRDefault="007D1FDC" w:rsidP="00E05704">
      <w:pPr>
        <w:tabs>
          <w:tab w:val="left" w:pos="567"/>
          <w:tab w:val="left" w:pos="851"/>
        </w:tabs>
        <w:spacing w:before="60"/>
        <w:ind w:left="1077" w:hanging="510"/>
        <w:jc w:val="both"/>
        <w:rPr>
          <w:szCs w:val="24"/>
        </w:rPr>
      </w:pPr>
      <w:r w:rsidRPr="007D1FDC">
        <w:rPr>
          <w:szCs w:val="24"/>
        </w:rPr>
        <w:t>(b)</w:t>
      </w:r>
      <w:r>
        <w:rPr>
          <w:szCs w:val="24"/>
        </w:rPr>
        <w:tab/>
      </w:r>
      <w:r w:rsidRPr="007D1FDC">
        <w:rPr>
          <w:szCs w:val="24"/>
        </w:rPr>
        <w:tab/>
        <w:t xml:space="preserve">if, before the </w:t>
      </w:r>
      <w:r>
        <w:rPr>
          <w:szCs w:val="24"/>
        </w:rPr>
        <w:t>investmen</w:t>
      </w:r>
      <w:r w:rsidRPr="007D1FDC">
        <w:rPr>
          <w:szCs w:val="24"/>
        </w:rPr>
        <w:t xml:space="preserve">t product is issued to the investor, information relating to the </w:t>
      </w:r>
      <w:r w:rsidR="00692B6B">
        <w:rPr>
          <w:szCs w:val="24"/>
        </w:rPr>
        <w:t>investmen</w:t>
      </w:r>
      <w:r w:rsidRPr="007D1FDC">
        <w:rPr>
          <w:szCs w:val="24"/>
        </w:rPr>
        <w:t>t product is given to the investor in one or more electronic communications (whether or not such information is also given to the investor in another form) – the warning must be clearly and prominently set out in one of those electronic communications;</w:t>
      </w:r>
    </w:p>
    <w:p w:rsidR="007D1FDC" w:rsidRPr="007D1FDC" w:rsidRDefault="007D1FDC" w:rsidP="00E05704">
      <w:pPr>
        <w:tabs>
          <w:tab w:val="left" w:pos="567"/>
          <w:tab w:val="left" w:pos="851"/>
        </w:tabs>
        <w:spacing w:before="60"/>
        <w:ind w:left="1077" w:hanging="510"/>
        <w:jc w:val="both"/>
        <w:rPr>
          <w:szCs w:val="24"/>
        </w:rPr>
      </w:pPr>
      <w:r w:rsidRPr="007D1FDC">
        <w:rPr>
          <w:szCs w:val="24"/>
        </w:rPr>
        <w:lastRenderedPageBreak/>
        <w:t>(c)</w:t>
      </w:r>
      <w:r>
        <w:rPr>
          <w:szCs w:val="24"/>
        </w:rPr>
        <w:tab/>
      </w:r>
      <w:r w:rsidRPr="007D1FDC">
        <w:rPr>
          <w:szCs w:val="24"/>
        </w:rPr>
        <w:tab/>
        <w:t xml:space="preserve">in any other case – the warning must be clearly and prominently set out in a paper document or electronic communication that is given to the investor before the </w:t>
      </w:r>
      <w:r>
        <w:rPr>
          <w:szCs w:val="24"/>
        </w:rPr>
        <w:t>investmen</w:t>
      </w:r>
      <w:r w:rsidRPr="007D1FDC">
        <w:rPr>
          <w:szCs w:val="24"/>
        </w:rPr>
        <w:t>t product is issued to the investor.</w:t>
      </w:r>
    </w:p>
    <w:p w:rsidR="00E05704" w:rsidRDefault="00E05704" w:rsidP="007D1FDC">
      <w:pPr>
        <w:tabs>
          <w:tab w:val="left" w:pos="540"/>
        </w:tabs>
        <w:ind w:left="540" w:hanging="540"/>
        <w:jc w:val="both"/>
        <w:rPr>
          <w:szCs w:val="24"/>
        </w:rPr>
      </w:pPr>
    </w:p>
    <w:p w:rsidR="007A6A4B" w:rsidRDefault="005B25F9" w:rsidP="007A6A4B">
      <w:pPr>
        <w:tabs>
          <w:tab w:val="left" w:pos="540"/>
        </w:tabs>
        <w:ind w:left="540" w:hanging="540"/>
        <w:jc w:val="both"/>
      </w:pPr>
      <w:r>
        <w:t>5</w:t>
      </w:r>
      <w:r w:rsidR="007A6A4B">
        <w:t>.</w:t>
      </w:r>
      <w:r w:rsidR="007A6A4B">
        <w:tab/>
      </w:r>
      <w:r w:rsidR="00E05704">
        <w:t xml:space="preserve">The consumer warning only has to be given </w:t>
      </w:r>
      <w:r w:rsidR="007A6A4B">
        <w:t>where:</w:t>
      </w:r>
    </w:p>
    <w:p w:rsidR="007A6A4B" w:rsidRPr="007D1FDC" w:rsidRDefault="007A6A4B" w:rsidP="0055252E">
      <w:pPr>
        <w:tabs>
          <w:tab w:val="left" w:pos="567"/>
        </w:tabs>
        <w:spacing w:before="60"/>
        <w:ind w:left="1077" w:hanging="510"/>
        <w:jc w:val="both"/>
        <w:rPr>
          <w:szCs w:val="24"/>
        </w:rPr>
      </w:pPr>
      <w:r w:rsidRPr="007D1FDC">
        <w:rPr>
          <w:szCs w:val="24"/>
        </w:rPr>
        <w:t>(a)</w:t>
      </w:r>
      <w:r w:rsidRPr="007D1FDC">
        <w:rPr>
          <w:szCs w:val="24"/>
        </w:rPr>
        <w:tab/>
      </w:r>
      <w:r>
        <w:rPr>
          <w:szCs w:val="24"/>
        </w:rPr>
        <w:t>the offshore banking unit is a resident</w:t>
      </w:r>
      <w:r w:rsidR="0055252E">
        <w:rPr>
          <w:szCs w:val="24"/>
        </w:rPr>
        <w:t>; or</w:t>
      </w:r>
    </w:p>
    <w:p w:rsidR="007A6A4B" w:rsidRPr="007D1FDC" w:rsidRDefault="007A6A4B" w:rsidP="0055252E">
      <w:pPr>
        <w:tabs>
          <w:tab w:val="left" w:pos="567"/>
          <w:tab w:val="left" w:pos="851"/>
        </w:tabs>
        <w:spacing w:before="60"/>
        <w:ind w:left="1077" w:hanging="510"/>
        <w:jc w:val="both"/>
        <w:rPr>
          <w:szCs w:val="24"/>
        </w:rPr>
      </w:pPr>
      <w:r w:rsidRPr="007D1FDC">
        <w:rPr>
          <w:szCs w:val="24"/>
        </w:rPr>
        <w:t>(b)</w:t>
      </w:r>
      <w:r>
        <w:rPr>
          <w:szCs w:val="24"/>
        </w:rPr>
        <w:tab/>
      </w:r>
      <w:r w:rsidRPr="007D1FDC">
        <w:rPr>
          <w:szCs w:val="24"/>
        </w:rPr>
        <w:tab/>
      </w:r>
      <w:r>
        <w:rPr>
          <w:szCs w:val="24"/>
        </w:rPr>
        <w:t xml:space="preserve">the offshore banking unit is a non-resident and the conduct of the offshore banking unit </w:t>
      </w:r>
      <w:r w:rsidR="0055252E">
        <w:rPr>
          <w:szCs w:val="24"/>
        </w:rPr>
        <w:t xml:space="preserve">in </w:t>
      </w:r>
      <w:r>
        <w:rPr>
          <w:szCs w:val="24"/>
        </w:rPr>
        <w:t xml:space="preserve">issuing, or arranging for the issuing of, the investment product to the investor is done in carrying on business in </w:t>
      </w:r>
      <w:smartTag w:uri="urn:schemas-microsoft-com:office:smarttags" w:element="country-region">
        <w:smartTag w:uri="urn:schemas-microsoft-com:office:smarttags" w:element="place">
          <w:r>
            <w:rPr>
              <w:szCs w:val="24"/>
            </w:rPr>
            <w:t>Australia</w:t>
          </w:r>
        </w:smartTag>
      </w:smartTag>
      <w:r>
        <w:rPr>
          <w:szCs w:val="24"/>
        </w:rPr>
        <w:t>.</w:t>
      </w:r>
    </w:p>
    <w:p w:rsidR="00E05704" w:rsidRDefault="00E05704" w:rsidP="00E05704">
      <w:pPr>
        <w:tabs>
          <w:tab w:val="left" w:pos="540"/>
        </w:tabs>
        <w:ind w:left="540" w:hanging="540"/>
        <w:jc w:val="both"/>
        <w:rPr>
          <w:szCs w:val="24"/>
        </w:rPr>
      </w:pPr>
    </w:p>
    <w:p w:rsidR="00E05704" w:rsidRDefault="005B25F9" w:rsidP="00E05704">
      <w:pPr>
        <w:tabs>
          <w:tab w:val="left" w:pos="540"/>
        </w:tabs>
        <w:ind w:left="540" w:hanging="540"/>
        <w:jc w:val="both"/>
        <w:rPr>
          <w:szCs w:val="24"/>
        </w:rPr>
      </w:pPr>
      <w:r>
        <w:rPr>
          <w:szCs w:val="24"/>
        </w:rPr>
        <w:t>6</w:t>
      </w:r>
      <w:r w:rsidR="00E05704">
        <w:rPr>
          <w:szCs w:val="24"/>
        </w:rPr>
        <w:t>.</w:t>
      </w:r>
      <w:r w:rsidR="00E05704">
        <w:rPr>
          <w:szCs w:val="24"/>
        </w:rPr>
        <w:tab/>
        <w:t>The consumer warning does not have to be given in any of the following circumstances:</w:t>
      </w:r>
    </w:p>
    <w:p w:rsidR="00E05704" w:rsidRDefault="00E05704" w:rsidP="00E05704">
      <w:pPr>
        <w:tabs>
          <w:tab w:val="left" w:pos="540"/>
          <w:tab w:val="left" w:pos="1080"/>
        </w:tabs>
        <w:spacing w:before="60"/>
        <w:ind w:left="1080" w:hanging="1080"/>
        <w:jc w:val="both"/>
        <w:rPr>
          <w:szCs w:val="24"/>
        </w:rPr>
      </w:pPr>
      <w:r>
        <w:rPr>
          <w:szCs w:val="24"/>
        </w:rPr>
        <w:tab/>
        <w:t>(a)</w:t>
      </w:r>
      <w:r>
        <w:rPr>
          <w:szCs w:val="24"/>
        </w:rPr>
        <w:tab/>
        <w:t>where the investor is a related body corporate of the offshore banking unit;</w:t>
      </w:r>
    </w:p>
    <w:p w:rsidR="00E05704" w:rsidRDefault="00E05704" w:rsidP="00E05704">
      <w:pPr>
        <w:tabs>
          <w:tab w:val="left" w:pos="540"/>
          <w:tab w:val="left" w:pos="1080"/>
        </w:tabs>
        <w:spacing w:before="60"/>
        <w:ind w:left="1080" w:hanging="1080"/>
        <w:jc w:val="both"/>
        <w:rPr>
          <w:szCs w:val="24"/>
        </w:rPr>
      </w:pPr>
      <w:r>
        <w:rPr>
          <w:szCs w:val="24"/>
        </w:rPr>
        <w:tab/>
        <w:t>(b)</w:t>
      </w:r>
      <w:r>
        <w:rPr>
          <w:szCs w:val="24"/>
        </w:rPr>
        <w:tab/>
        <w:t>where the investor is a professional investor;</w:t>
      </w:r>
    </w:p>
    <w:p w:rsidR="00E05704" w:rsidRDefault="00E05704" w:rsidP="00E05704">
      <w:pPr>
        <w:tabs>
          <w:tab w:val="left" w:pos="540"/>
          <w:tab w:val="left" w:pos="1080"/>
        </w:tabs>
        <w:spacing w:before="60"/>
        <w:ind w:left="1080" w:hanging="1080"/>
        <w:jc w:val="both"/>
        <w:rPr>
          <w:szCs w:val="24"/>
        </w:rPr>
      </w:pPr>
      <w:r>
        <w:rPr>
          <w:szCs w:val="24"/>
        </w:rPr>
        <w:tab/>
        <w:t>(c)</w:t>
      </w:r>
      <w:r>
        <w:rPr>
          <w:szCs w:val="24"/>
        </w:rPr>
        <w:tab/>
        <w:t xml:space="preserve">where the investment product is provided for use </w:t>
      </w:r>
      <w:r w:rsidR="00F2667B">
        <w:rPr>
          <w:szCs w:val="24"/>
        </w:rPr>
        <w:t xml:space="preserve">by or in </w:t>
      </w:r>
      <w:r>
        <w:rPr>
          <w:szCs w:val="24"/>
        </w:rPr>
        <w:t>a business that is not a small business</w:t>
      </w:r>
      <w:r w:rsidR="008A60EE">
        <w:rPr>
          <w:szCs w:val="24"/>
        </w:rPr>
        <w:t>;</w:t>
      </w:r>
    </w:p>
    <w:p w:rsidR="008A60EE" w:rsidRDefault="008A60EE" w:rsidP="00E05704">
      <w:pPr>
        <w:tabs>
          <w:tab w:val="left" w:pos="540"/>
          <w:tab w:val="left" w:pos="1080"/>
        </w:tabs>
        <w:spacing w:before="60"/>
        <w:ind w:left="1080" w:hanging="1080"/>
        <w:jc w:val="both"/>
        <w:rPr>
          <w:szCs w:val="24"/>
        </w:rPr>
      </w:pPr>
      <w:r>
        <w:rPr>
          <w:szCs w:val="24"/>
        </w:rPr>
        <w:tab/>
        <w:t>(d)</w:t>
      </w:r>
      <w:r>
        <w:rPr>
          <w:szCs w:val="24"/>
        </w:rPr>
        <w:tab/>
        <w:t xml:space="preserve">where </w:t>
      </w:r>
      <w:r w:rsidR="004D5494">
        <w:rPr>
          <w:szCs w:val="24"/>
        </w:rPr>
        <w:t>no consideration is provided (whether directly or indirectly) for the issue of the investment product;</w:t>
      </w:r>
      <w:r w:rsidR="00420883">
        <w:rPr>
          <w:szCs w:val="24"/>
        </w:rPr>
        <w:t xml:space="preserve"> or</w:t>
      </w:r>
    </w:p>
    <w:p w:rsidR="004D5494" w:rsidRDefault="004D5494" w:rsidP="00E05704">
      <w:pPr>
        <w:tabs>
          <w:tab w:val="left" w:pos="540"/>
          <w:tab w:val="left" w:pos="1080"/>
        </w:tabs>
        <w:spacing w:before="60"/>
        <w:ind w:left="1080" w:hanging="1080"/>
        <w:jc w:val="both"/>
        <w:rPr>
          <w:szCs w:val="24"/>
        </w:rPr>
      </w:pPr>
      <w:r>
        <w:rPr>
          <w:szCs w:val="24"/>
        </w:rPr>
        <w:tab/>
        <w:t>(e)</w:t>
      </w:r>
      <w:r>
        <w:rPr>
          <w:szCs w:val="24"/>
        </w:rPr>
        <w:tab/>
        <w:t xml:space="preserve">where </w:t>
      </w:r>
      <w:r w:rsidR="00394A07">
        <w:rPr>
          <w:szCs w:val="24"/>
        </w:rPr>
        <w:t>the investor has previously been given the consumer warning in the manner specified in condition 3 in relation to an investment product which is of the same kind as the investment pr</w:t>
      </w:r>
      <w:r w:rsidR="00420883">
        <w:rPr>
          <w:szCs w:val="24"/>
        </w:rPr>
        <w:t>o</w:t>
      </w:r>
      <w:r w:rsidR="00394A07">
        <w:rPr>
          <w:szCs w:val="24"/>
        </w:rPr>
        <w:t>duct that is issued to the investor.</w:t>
      </w:r>
    </w:p>
    <w:p w:rsidR="00133C4D" w:rsidRDefault="00133C4D" w:rsidP="00133C4D">
      <w:pPr>
        <w:jc w:val="both"/>
      </w:pPr>
    </w:p>
    <w:p w:rsidR="009C78FA" w:rsidRPr="00E02801" w:rsidRDefault="009C78FA" w:rsidP="009C78FA">
      <w:pPr>
        <w:spacing w:before="240"/>
        <w:jc w:val="both"/>
        <w:rPr>
          <w:rFonts w:ascii="Arial" w:hAnsi="Arial" w:cs="Arial"/>
          <w:b/>
          <w:sz w:val="28"/>
          <w:szCs w:val="28"/>
        </w:rPr>
      </w:pPr>
      <w:r>
        <w:rPr>
          <w:rFonts w:ascii="Arial" w:hAnsi="Arial" w:cs="Arial"/>
          <w:b/>
          <w:sz w:val="28"/>
          <w:szCs w:val="28"/>
        </w:rPr>
        <w:t>Interpretation</w:t>
      </w:r>
    </w:p>
    <w:p w:rsidR="00133C4D" w:rsidRDefault="00133C4D" w:rsidP="00133C4D">
      <w:pPr>
        <w:jc w:val="both"/>
      </w:pPr>
    </w:p>
    <w:p w:rsidR="007D1FDC" w:rsidRDefault="00297061" w:rsidP="007D1FDC">
      <w:pPr>
        <w:tabs>
          <w:tab w:val="left" w:pos="540"/>
        </w:tabs>
        <w:ind w:left="540" w:hanging="540"/>
        <w:jc w:val="both"/>
        <w:rPr>
          <w:szCs w:val="24"/>
        </w:rPr>
      </w:pPr>
      <w:r>
        <w:rPr>
          <w:szCs w:val="24"/>
        </w:rPr>
        <w:t>A</w:t>
      </w:r>
      <w:r w:rsidR="00133C4D">
        <w:rPr>
          <w:szCs w:val="24"/>
        </w:rPr>
        <w:t>.</w:t>
      </w:r>
      <w:r w:rsidR="00133C4D">
        <w:rPr>
          <w:szCs w:val="24"/>
        </w:rPr>
        <w:tab/>
      </w:r>
      <w:r w:rsidR="007D1FDC">
        <w:rPr>
          <w:szCs w:val="24"/>
        </w:rPr>
        <w:t>In th</w:t>
      </w:r>
      <w:r w:rsidR="00F65C0F">
        <w:rPr>
          <w:szCs w:val="24"/>
        </w:rPr>
        <w:t>e</w:t>
      </w:r>
      <w:r w:rsidR="00133C4D">
        <w:rPr>
          <w:szCs w:val="24"/>
        </w:rPr>
        <w:t xml:space="preserve"> consent</w:t>
      </w:r>
      <w:r w:rsidR="009C78FA">
        <w:rPr>
          <w:szCs w:val="24"/>
        </w:rPr>
        <w:t>s</w:t>
      </w:r>
      <w:r w:rsidR="00133C4D">
        <w:rPr>
          <w:szCs w:val="24"/>
        </w:rPr>
        <w:t xml:space="preserve"> and the</w:t>
      </w:r>
      <w:r w:rsidR="00F65C0F">
        <w:rPr>
          <w:szCs w:val="24"/>
        </w:rPr>
        <w:t xml:space="preserve"> conditions</w:t>
      </w:r>
      <w:r w:rsidR="007D1FDC">
        <w:rPr>
          <w:szCs w:val="24"/>
        </w:rPr>
        <w:t>:</w:t>
      </w:r>
    </w:p>
    <w:p w:rsidR="005A722D" w:rsidRDefault="005A722D" w:rsidP="005A722D">
      <w:pPr>
        <w:tabs>
          <w:tab w:val="left" w:pos="1080"/>
        </w:tabs>
        <w:spacing w:before="120"/>
        <w:ind w:left="360" w:firstLine="180"/>
        <w:jc w:val="both"/>
        <w:rPr>
          <w:szCs w:val="24"/>
        </w:rPr>
      </w:pPr>
      <w:r w:rsidRPr="00E434F2">
        <w:rPr>
          <w:b/>
          <w:i/>
          <w:szCs w:val="24"/>
        </w:rPr>
        <w:t>Act</w:t>
      </w:r>
      <w:r>
        <w:rPr>
          <w:szCs w:val="24"/>
        </w:rPr>
        <w:t xml:space="preserve"> means the </w:t>
      </w:r>
      <w:r w:rsidRPr="00E434F2">
        <w:rPr>
          <w:i/>
          <w:szCs w:val="24"/>
        </w:rPr>
        <w:t>Banking Act 1959</w:t>
      </w:r>
      <w:r>
        <w:rPr>
          <w:szCs w:val="24"/>
        </w:rPr>
        <w:t>.</w:t>
      </w:r>
    </w:p>
    <w:p w:rsidR="00987826" w:rsidRDefault="00987826" w:rsidP="00F65C0F">
      <w:pPr>
        <w:tabs>
          <w:tab w:val="left" w:pos="1080"/>
        </w:tabs>
        <w:spacing w:before="120"/>
        <w:ind w:left="360" w:firstLine="180"/>
        <w:jc w:val="both"/>
        <w:rPr>
          <w:szCs w:val="24"/>
        </w:rPr>
      </w:pPr>
      <w:r>
        <w:rPr>
          <w:b/>
          <w:i/>
          <w:szCs w:val="24"/>
        </w:rPr>
        <w:t xml:space="preserve">APRA </w:t>
      </w:r>
      <w:r>
        <w:rPr>
          <w:szCs w:val="24"/>
        </w:rPr>
        <w:t>means the Australian Prudential Regulation Authority.</w:t>
      </w:r>
    </w:p>
    <w:p w:rsidR="00033505" w:rsidRDefault="009C78FA" w:rsidP="00033505">
      <w:pPr>
        <w:tabs>
          <w:tab w:val="left" w:pos="1080"/>
        </w:tabs>
        <w:spacing w:before="120"/>
        <w:ind w:left="540"/>
        <w:jc w:val="both"/>
        <w:rPr>
          <w:szCs w:val="24"/>
        </w:rPr>
      </w:pPr>
      <w:r>
        <w:rPr>
          <w:b/>
          <w:i/>
          <w:szCs w:val="24"/>
        </w:rPr>
        <w:t xml:space="preserve">ADI </w:t>
      </w:r>
      <w:r>
        <w:rPr>
          <w:szCs w:val="24"/>
        </w:rPr>
        <w:t xml:space="preserve">(which is short for authorised deposit-taking institution) </w:t>
      </w:r>
      <w:r w:rsidR="00033505">
        <w:rPr>
          <w:szCs w:val="24"/>
        </w:rPr>
        <w:t>has the meaning given in section 5 of the Act.</w:t>
      </w:r>
    </w:p>
    <w:p w:rsidR="00B16A76" w:rsidRDefault="00B16A76" w:rsidP="00F65C0F">
      <w:pPr>
        <w:tabs>
          <w:tab w:val="left" w:pos="1080"/>
        </w:tabs>
        <w:spacing w:before="120"/>
        <w:ind w:left="360" w:firstLine="180"/>
        <w:jc w:val="both"/>
        <w:rPr>
          <w:szCs w:val="24"/>
        </w:rPr>
      </w:pPr>
      <w:r w:rsidRPr="00E434F2">
        <w:rPr>
          <w:b/>
          <w:i/>
          <w:szCs w:val="24"/>
        </w:rPr>
        <w:t>consumer warning</w:t>
      </w:r>
      <w:r>
        <w:rPr>
          <w:szCs w:val="24"/>
        </w:rPr>
        <w:t xml:space="preserve"> means a statement that:</w:t>
      </w:r>
    </w:p>
    <w:p w:rsidR="00E434F2" w:rsidRDefault="00E434F2" w:rsidP="00B16A76">
      <w:pPr>
        <w:numPr>
          <w:ilvl w:val="0"/>
          <w:numId w:val="23"/>
        </w:numPr>
        <w:tabs>
          <w:tab w:val="clear" w:pos="1258"/>
          <w:tab w:val="num" w:pos="900"/>
        </w:tabs>
        <w:spacing w:before="40"/>
        <w:ind w:left="900"/>
        <w:jc w:val="both"/>
        <w:rPr>
          <w:szCs w:val="24"/>
        </w:rPr>
      </w:pPr>
      <w:r>
        <w:rPr>
          <w:szCs w:val="24"/>
        </w:rPr>
        <w:t>the offshore banking unit is not authorised under the</w:t>
      </w:r>
      <w:r w:rsidR="003344BA">
        <w:rPr>
          <w:szCs w:val="24"/>
        </w:rPr>
        <w:t xml:space="preserve"> </w:t>
      </w:r>
      <w:r>
        <w:rPr>
          <w:szCs w:val="24"/>
        </w:rPr>
        <w:t xml:space="preserve">Act to carry on banking business </w:t>
      </w:r>
      <w:r w:rsidR="007F2AE2">
        <w:rPr>
          <w:szCs w:val="24"/>
        </w:rPr>
        <w:t xml:space="preserve">in Australia </w:t>
      </w:r>
      <w:r w:rsidRPr="00E434F2">
        <w:rPr>
          <w:szCs w:val="24"/>
        </w:rPr>
        <w:t>and</w:t>
      </w:r>
      <w:r>
        <w:rPr>
          <w:szCs w:val="24"/>
        </w:rPr>
        <w:t xml:space="preserve"> is not prudentially supervised by APRA; and</w:t>
      </w:r>
    </w:p>
    <w:p w:rsidR="00B16A76" w:rsidRDefault="00E434F2" w:rsidP="00B16A76">
      <w:pPr>
        <w:numPr>
          <w:ilvl w:val="0"/>
          <w:numId w:val="23"/>
        </w:numPr>
        <w:tabs>
          <w:tab w:val="clear" w:pos="1258"/>
          <w:tab w:val="num" w:pos="900"/>
        </w:tabs>
        <w:spacing w:before="40"/>
        <w:ind w:left="900"/>
        <w:jc w:val="both"/>
        <w:rPr>
          <w:szCs w:val="24"/>
        </w:rPr>
      </w:pPr>
      <w:r>
        <w:rPr>
          <w:szCs w:val="24"/>
        </w:rPr>
        <w:t>any deposit</w:t>
      </w:r>
      <w:r w:rsidR="00945E20">
        <w:rPr>
          <w:szCs w:val="24"/>
        </w:rPr>
        <w:t xml:space="preserve">, other loan or investment made to or with </w:t>
      </w:r>
      <w:r>
        <w:rPr>
          <w:szCs w:val="24"/>
        </w:rPr>
        <w:t>the offshore banking unit will not be covered by the depositor protection provisions in section 13A of the Act.</w:t>
      </w:r>
    </w:p>
    <w:p w:rsidR="009E15F3" w:rsidRDefault="009E15F3" w:rsidP="00F65C0F">
      <w:pPr>
        <w:tabs>
          <w:tab w:val="left" w:pos="1080"/>
        </w:tabs>
        <w:spacing w:before="120"/>
        <w:ind w:left="360" w:firstLine="180"/>
        <w:jc w:val="both"/>
        <w:rPr>
          <w:szCs w:val="24"/>
        </w:rPr>
      </w:pPr>
      <w:r w:rsidRPr="009E15F3">
        <w:rPr>
          <w:b/>
          <w:i/>
          <w:szCs w:val="24"/>
        </w:rPr>
        <w:t>Corporations Act</w:t>
      </w:r>
      <w:r>
        <w:rPr>
          <w:szCs w:val="24"/>
        </w:rPr>
        <w:t xml:space="preserve"> means the </w:t>
      </w:r>
      <w:r w:rsidRPr="009E15F3">
        <w:rPr>
          <w:i/>
          <w:szCs w:val="24"/>
        </w:rPr>
        <w:t>Corporations Act 2001</w:t>
      </w:r>
      <w:r>
        <w:rPr>
          <w:szCs w:val="24"/>
        </w:rPr>
        <w:t>.</w:t>
      </w:r>
    </w:p>
    <w:p w:rsidR="00A16EB9" w:rsidRDefault="00A16EB9" w:rsidP="00F65C0F">
      <w:pPr>
        <w:tabs>
          <w:tab w:val="left" w:pos="1080"/>
        </w:tabs>
        <w:spacing w:before="120"/>
        <w:ind w:left="360" w:firstLine="180"/>
        <w:jc w:val="both"/>
        <w:rPr>
          <w:szCs w:val="24"/>
        </w:rPr>
      </w:pPr>
      <w:r w:rsidRPr="00A16EB9">
        <w:rPr>
          <w:b/>
          <w:i/>
          <w:szCs w:val="24"/>
        </w:rPr>
        <w:t>debenture</w:t>
      </w:r>
      <w:r>
        <w:rPr>
          <w:szCs w:val="24"/>
        </w:rPr>
        <w:t xml:space="preserve"> has the meaning given in section 9 of the Corporations Act.</w:t>
      </w:r>
    </w:p>
    <w:p w:rsidR="00B50B00" w:rsidRDefault="00B50B00" w:rsidP="00B50B00">
      <w:pPr>
        <w:tabs>
          <w:tab w:val="left" w:pos="1080"/>
        </w:tabs>
        <w:spacing w:before="120"/>
        <w:ind w:left="540"/>
        <w:jc w:val="both"/>
        <w:rPr>
          <w:szCs w:val="24"/>
        </w:rPr>
      </w:pPr>
      <w:r w:rsidRPr="00B50B00">
        <w:rPr>
          <w:b/>
          <w:i/>
          <w:szCs w:val="24"/>
        </w:rPr>
        <w:t>financial product</w:t>
      </w:r>
      <w:r>
        <w:rPr>
          <w:szCs w:val="24"/>
        </w:rPr>
        <w:t xml:space="preserve"> has the meaning given in Division 3 of Part 7.1 of the Corporations Act.</w:t>
      </w:r>
    </w:p>
    <w:p w:rsidR="00513BAB" w:rsidRPr="00987826" w:rsidRDefault="00513BAB" w:rsidP="00F65C0F">
      <w:pPr>
        <w:tabs>
          <w:tab w:val="left" w:pos="1080"/>
        </w:tabs>
        <w:spacing w:before="120"/>
        <w:ind w:left="360" w:firstLine="180"/>
        <w:jc w:val="both"/>
        <w:rPr>
          <w:szCs w:val="24"/>
        </w:rPr>
      </w:pPr>
      <w:r w:rsidRPr="00513BAB">
        <w:rPr>
          <w:b/>
          <w:i/>
          <w:szCs w:val="24"/>
        </w:rPr>
        <w:t>franchise</w:t>
      </w:r>
      <w:r>
        <w:rPr>
          <w:szCs w:val="24"/>
        </w:rPr>
        <w:t xml:space="preserve"> has the meaning given in section 9 of the Corporations Act.</w:t>
      </w:r>
    </w:p>
    <w:p w:rsidR="009345B2" w:rsidRDefault="00E26090" w:rsidP="00DF558E">
      <w:pPr>
        <w:tabs>
          <w:tab w:val="left" w:pos="1080"/>
        </w:tabs>
        <w:spacing w:before="120"/>
        <w:ind w:left="540"/>
        <w:jc w:val="both"/>
        <w:rPr>
          <w:szCs w:val="24"/>
        </w:rPr>
      </w:pPr>
      <w:r>
        <w:rPr>
          <w:b/>
          <w:i/>
          <w:szCs w:val="24"/>
        </w:rPr>
        <w:lastRenderedPageBreak/>
        <w:t>investment</w:t>
      </w:r>
      <w:r w:rsidRPr="0062306B">
        <w:rPr>
          <w:b/>
          <w:i/>
          <w:szCs w:val="24"/>
        </w:rPr>
        <w:t xml:space="preserve"> </w:t>
      </w:r>
      <w:r w:rsidR="0062306B">
        <w:rPr>
          <w:b/>
          <w:i/>
          <w:szCs w:val="24"/>
        </w:rPr>
        <w:t>product</w:t>
      </w:r>
      <w:r w:rsidR="0062306B" w:rsidRPr="0062306B">
        <w:rPr>
          <w:szCs w:val="24"/>
        </w:rPr>
        <w:t xml:space="preserve"> </w:t>
      </w:r>
      <w:r w:rsidR="006E7C68">
        <w:rPr>
          <w:szCs w:val="24"/>
        </w:rPr>
        <w:t>means a</w:t>
      </w:r>
      <w:r w:rsidR="00DF558E">
        <w:rPr>
          <w:szCs w:val="24"/>
        </w:rPr>
        <w:t xml:space="preserve"> transaction </w:t>
      </w:r>
      <w:r w:rsidR="009345B2">
        <w:rPr>
          <w:szCs w:val="24"/>
        </w:rPr>
        <w:t>which consists of or includes:</w:t>
      </w:r>
    </w:p>
    <w:p w:rsidR="009345B2" w:rsidRDefault="00162AEC" w:rsidP="00F65C0F">
      <w:pPr>
        <w:tabs>
          <w:tab w:val="left" w:pos="1080"/>
        </w:tabs>
        <w:spacing w:before="40"/>
        <w:ind w:left="1078" w:hanging="539"/>
        <w:jc w:val="both"/>
        <w:rPr>
          <w:szCs w:val="24"/>
        </w:rPr>
      </w:pPr>
      <w:r>
        <w:rPr>
          <w:szCs w:val="24"/>
        </w:rPr>
        <w:t>(a</w:t>
      </w:r>
      <w:r w:rsidR="009345B2">
        <w:rPr>
          <w:szCs w:val="24"/>
        </w:rPr>
        <w:t>)</w:t>
      </w:r>
      <w:r w:rsidR="009345B2">
        <w:rPr>
          <w:szCs w:val="24"/>
        </w:rPr>
        <w:tab/>
        <w:t xml:space="preserve">the lending of money </w:t>
      </w:r>
      <w:r w:rsidR="00641D50">
        <w:rPr>
          <w:szCs w:val="24"/>
        </w:rPr>
        <w:t xml:space="preserve">(with or without security) </w:t>
      </w:r>
      <w:r w:rsidR="009345B2">
        <w:rPr>
          <w:szCs w:val="24"/>
        </w:rPr>
        <w:t>by the investor</w:t>
      </w:r>
      <w:r w:rsidR="00E26090">
        <w:rPr>
          <w:szCs w:val="24"/>
        </w:rPr>
        <w:t xml:space="preserve"> to the offshore banking unit or another person</w:t>
      </w:r>
      <w:r w:rsidR="00F078C7">
        <w:rPr>
          <w:szCs w:val="24"/>
        </w:rPr>
        <w:t xml:space="preserve"> (whether by way of deposit or any other kind of loan)</w:t>
      </w:r>
      <w:r w:rsidR="00641D50">
        <w:rPr>
          <w:szCs w:val="24"/>
        </w:rPr>
        <w:t>; or</w:t>
      </w:r>
    </w:p>
    <w:p w:rsidR="00DB7C7D" w:rsidRDefault="00162AEC" w:rsidP="00F65C0F">
      <w:pPr>
        <w:tabs>
          <w:tab w:val="left" w:pos="1080"/>
        </w:tabs>
        <w:spacing w:before="40"/>
        <w:ind w:left="1078" w:hanging="539"/>
        <w:jc w:val="both"/>
        <w:rPr>
          <w:szCs w:val="24"/>
        </w:rPr>
      </w:pPr>
      <w:r>
        <w:rPr>
          <w:szCs w:val="24"/>
        </w:rPr>
        <w:t>(b</w:t>
      </w:r>
      <w:r w:rsidR="009345B2">
        <w:rPr>
          <w:szCs w:val="24"/>
        </w:rPr>
        <w:t>)</w:t>
      </w:r>
      <w:r w:rsidR="009345B2">
        <w:rPr>
          <w:szCs w:val="24"/>
        </w:rPr>
        <w:tab/>
        <w:t xml:space="preserve">the </w:t>
      </w:r>
      <w:r w:rsidR="00F078C7">
        <w:rPr>
          <w:szCs w:val="24"/>
        </w:rPr>
        <w:t xml:space="preserve">investment of money by the investor </w:t>
      </w:r>
      <w:r>
        <w:rPr>
          <w:szCs w:val="24"/>
        </w:rPr>
        <w:t xml:space="preserve">in </w:t>
      </w:r>
      <w:r w:rsidR="00641D50">
        <w:rPr>
          <w:szCs w:val="24"/>
        </w:rPr>
        <w:t xml:space="preserve">a managed investment scheme </w:t>
      </w:r>
      <w:r w:rsidR="00E26090">
        <w:rPr>
          <w:szCs w:val="24"/>
        </w:rPr>
        <w:t>managed by the offshore banking unit or another person</w:t>
      </w:r>
      <w:r w:rsidR="0055252E">
        <w:rPr>
          <w:szCs w:val="24"/>
        </w:rPr>
        <w:t>.</w:t>
      </w:r>
    </w:p>
    <w:p w:rsidR="008D780E" w:rsidRDefault="008D780E" w:rsidP="00F65C0F">
      <w:pPr>
        <w:tabs>
          <w:tab w:val="left" w:pos="1080"/>
        </w:tabs>
        <w:spacing w:before="120"/>
        <w:ind w:left="540"/>
        <w:jc w:val="both"/>
        <w:rPr>
          <w:szCs w:val="24"/>
        </w:rPr>
      </w:pPr>
      <w:r>
        <w:rPr>
          <w:b/>
          <w:i/>
          <w:szCs w:val="24"/>
        </w:rPr>
        <w:t>investor</w:t>
      </w:r>
      <w:r>
        <w:rPr>
          <w:szCs w:val="24"/>
        </w:rPr>
        <w:t xml:space="preserve"> means </w:t>
      </w:r>
      <w:r w:rsidR="00244466">
        <w:rPr>
          <w:szCs w:val="24"/>
        </w:rPr>
        <w:t>a customer or client of the offshore banking unit.</w:t>
      </w:r>
    </w:p>
    <w:p w:rsidR="00BA2176" w:rsidRPr="008D780E" w:rsidRDefault="00BA2176" w:rsidP="00F65C0F">
      <w:pPr>
        <w:tabs>
          <w:tab w:val="left" w:pos="1080"/>
        </w:tabs>
        <w:spacing w:before="120"/>
        <w:ind w:left="540"/>
        <w:jc w:val="both"/>
        <w:rPr>
          <w:szCs w:val="24"/>
        </w:rPr>
      </w:pPr>
      <w:r w:rsidRPr="00BA2176">
        <w:rPr>
          <w:b/>
          <w:i/>
          <w:szCs w:val="24"/>
        </w:rPr>
        <w:t>issue</w:t>
      </w:r>
      <w:r>
        <w:rPr>
          <w:szCs w:val="24"/>
        </w:rPr>
        <w:t xml:space="preserve"> has the meaning given in section 761E of the Corporations Act (which, for the purposes of this definition, is to be read as if </w:t>
      </w:r>
      <w:r w:rsidRPr="00BA2176">
        <w:rPr>
          <w:i/>
          <w:szCs w:val="24"/>
        </w:rPr>
        <w:t>investment product</w:t>
      </w:r>
      <w:r>
        <w:rPr>
          <w:szCs w:val="24"/>
        </w:rPr>
        <w:t xml:space="preserve"> were substituted for </w:t>
      </w:r>
      <w:r w:rsidRPr="00BA2176">
        <w:rPr>
          <w:i/>
          <w:szCs w:val="24"/>
        </w:rPr>
        <w:t>financial product</w:t>
      </w:r>
      <w:r w:rsidRPr="00BA2176">
        <w:rPr>
          <w:szCs w:val="24"/>
        </w:rPr>
        <w:t xml:space="preserve"> </w:t>
      </w:r>
      <w:r>
        <w:rPr>
          <w:szCs w:val="24"/>
        </w:rPr>
        <w:t>and subsection 761E(7) were omitted).</w:t>
      </w:r>
    </w:p>
    <w:p w:rsidR="0062306B" w:rsidRDefault="008D780E" w:rsidP="00F65C0F">
      <w:pPr>
        <w:tabs>
          <w:tab w:val="left" w:pos="1080"/>
        </w:tabs>
        <w:spacing w:before="120"/>
        <w:ind w:left="540"/>
        <w:jc w:val="both"/>
        <w:rPr>
          <w:szCs w:val="24"/>
        </w:rPr>
      </w:pPr>
      <w:r w:rsidRPr="00F54A2E">
        <w:rPr>
          <w:b/>
          <w:i/>
          <w:szCs w:val="24"/>
        </w:rPr>
        <w:t>managed investment scheme</w:t>
      </w:r>
      <w:r w:rsidR="0062306B">
        <w:rPr>
          <w:szCs w:val="24"/>
        </w:rPr>
        <w:t>:</w:t>
      </w:r>
    </w:p>
    <w:p w:rsidR="0062306B" w:rsidRDefault="0062306B" w:rsidP="0062306B">
      <w:pPr>
        <w:tabs>
          <w:tab w:val="left" w:pos="1080"/>
        </w:tabs>
        <w:spacing w:before="40"/>
        <w:ind w:left="1078" w:hanging="539"/>
        <w:jc w:val="both"/>
        <w:rPr>
          <w:szCs w:val="24"/>
        </w:rPr>
      </w:pPr>
      <w:r>
        <w:rPr>
          <w:szCs w:val="24"/>
        </w:rPr>
        <w:t>(a)</w:t>
      </w:r>
      <w:r>
        <w:rPr>
          <w:szCs w:val="24"/>
        </w:rPr>
        <w:tab/>
      </w:r>
      <w:r w:rsidR="008D780E">
        <w:rPr>
          <w:szCs w:val="24"/>
        </w:rPr>
        <w:t xml:space="preserve">has the meaning </w:t>
      </w:r>
      <w:r>
        <w:rPr>
          <w:szCs w:val="24"/>
        </w:rPr>
        <w:t>given in section 9 of the Corporations Act; and</w:t>
      </w:r>
    </w:p>
    <w:p w:rsidR="008D780E" w:rsidRDefault="0062306B" w:rsidP="0062306B">
      <w:pPr>
        <w:tabs>
          <w:tab w:val="left" w:pos="1080"/>
        </w:tabs>
        <w:spacing w:before="40"/>
        <w:ind w:left="1078" w:hanging="539"/>
        <w:jc w:val="both"/>
        <w:rPr>
          <w:szCs w:val="24"/>
        </w:rPr>
      </w:pPr>
      <w:r>
        <w:rPr>
          <w:szCs w:val="24"/>
        </w:rPr>
        <w:t>(b)</w:t>
      </w:r>
      <w:r>
        <w:rPr>
          <w:szCs w:val="24"/>
        </w:rPr>
        <w:tab/>
        <w:t xml:space="preserve">also includes a scheme </w:t>
      </w:r>
      <w:r w:rsidR="00FE0817">
        <w:rPr>
          <w:szCs w:val="24"/>
        </w:rPr>
        <w:t>operated</w:t>
      </w:r>
      <w:r>
        <w:rPr>
          <w:szCs w:val="24"/>
        </w:rPr>
        <w:t xml:space="preserve"> outside Australia which satisfies paragraph (a) of the definition of </w:t>
      </w:r>
      <w:r w:rsidRPr="0062306B">
        <w:rPr>
          <w:i/>
          <w:szCs w:val="24"/>
        </w:rPr>
        <w:t>managed investment scheme</w:t>
      </w:r>
      <w:r>
        <w:rPr>
          <w:szCs w:val="24"/>
        </w:rPr>
        <w:t xml:space="preserve"> in section 9 of the Corporations Act</w:t>
      </w:r>
      <w:r w:rsidR="00C37A82">
        <w:rPr>
          <w:szCs w:val="24"/>
        </w:rPr>
        <w:t xml:space="preserve"> but which is not a body corporate or a franchise</w:t>
      </w:r>
      <w:r>
        <w:rPr>
          <w:szCs w:val="24"/>
        </w:rPr>
        <w:t>.</w:t>
      </w:r>
    </w:p>
    <w:p w:rsidR="00CE6F5D" w:rsidRDefault="00CE6F5D" w:rsidP="00F65C0F">
      <w:pPr>
        <w:tabs>
          <w:tab w:val="left" w:pos="1080"/>
        </w:tabs>
        <w:spacing w:before="120"/>
        <w:ind w:left="540"/>
        <w:jc w:val="both"/>
        <w:rPr>
          <w:szCs w:val="24"/>
        </w:rPr>
      </w:pPr>
      <w:r w:rsidRPr="00CE6F5D">
        <w:rPr>
          <w:b/>
          <w:i/>
          <w:szCs w:val="24"/>
        </w:rPr>
        <w:t>non-resident</w:t>
      </w:r>
      <w:r>
        <w:rPr>
          <w:szCs w:val="24"/>
        </w:rPr>
        <w:t xml:space="preserve"> has the meaning given in section 6 of the Tax Act.</w:t>
      </w:r>
    </w:p>
    <w:p w:rsidR="00501CAD" w:rsidRDefault="00501CAD" w:rsidP="00F65C0F">
      <w:pPr>
        <w:tabs>
          <w:tab w:val="left" w:pos="1080"/>
        </w:tabs>
        <w:spacing w:before="120"/>
        <w:ind w:left="540"/>
        <w:jc w:val="both"/>
        <w:rPr>
          <w:szCs w:val="24"/>
        </w:rPr>
      </w:pPr>
      <w:r w:rsidRPr="00501CAD">
        <w:rPr>
          <w:b/>
          <w:i/>
          <w:szCs w:val="24"/>
        </w:rPr>
        <w:t>offshore banking business</w:t>
      </w:r>
      <w:r>
        <w:rPr>
          <w:szCs w:val="24"/>
        </w:rPr>
        <w:t xml:space="preserve"> means the financial business carried on by an offshore banking unit in the capacity of an offshore banking unit.</w:t>
      </w:r>
    </w:p>
    <w:p w:rsidR="00963EC6" w:rsidRDefault="00963EC6" w:rsidP="00963EC6">
      <w:pPr>
        <w:tabs>
          <w:tab w:val="left" w:pos="1440"/>
        </w:tabs>
        <w:spacing w:before="60"/>
        <w:ind w:left="1440" w:hanging="901"/>
        <w:jc w:val="both"/>
        <w:rPr>
          <w:sz w:val="20"/>
        </w:rPr>
      </w:pPr>
      <w:r>
        <w:rPr>
          <w:sz w:val="20"/>
        </w:rPr>
        <w:t xml:space="preserve">   Note:</w:t>
      </w:r>
      <w:r>
        <w:rPr>
          <w:sz w:val="20"/>
        </w:rPr>
        <w:tab/>
        <w:t xml:space="preserve">For the kinds of business activities </w:t>
      </w:r>
      <w:r w:rsidR="002951D6">
        <w:rPr>
          <w:sz w:val="20"/>
        </w:rPr>
        <w:t xml:space="preserve">that are carried on by </w:t>
      </w:r>
      <w:r>
        <w:rPr>
          <w:sz w:val="20"/>
        </w:rPr>
        <w:t xml:space="preserve">offshore banking units, see section 121D of the Tax Act (definition of </w:t>
      </w:r>
      <w:smartTag w:uri="urn:schemas-microsoft-com:office:smarttags" w:element="place">
        <w:r w:rsidRPr="00963EC6">
          <w:rPr>
            <w:i/>
            <w:sz w:val="20"/>
          </w:rPr>
          <w:t>OB</w:t>
        </w:r>
      </w:smartTag>
      <w:r w:rsidRPr="00963EC6">
        <w:rPr>
          <w:i/>
          <w:sz w:val="20"/>
        </w:rPr>
        <w:t xml:space="preserve"> activity</w:t>
      </w:r>
      <w:r>
        <w:rPr>
          <w:sz w:val="20"/>
        </w:rPr>
        <w:t>).</w:t>
      </w:r>
    </w:p>
    <w:p w:rsidR="00963EC6" w:rsidRPr="00963EC6" w:rsidRDefault="00963EC6" w:rsidP="00963EC6">
      <w:pPr>
        <w:tabs>
          <w:tab w:val="left" w:pos="1440"/>
        </w:tabs>
        <w:spacing w:before="60"/>
        <w:ind w:left="1440" w:hanging="901"/>
        <w:jc w:val="both"/>
        <w:rPr>
          <w:sz w:val="20"/>
        </w:rPr>
      </w:pPr>
      <w:r>
        <w:rPr>
          <w:sz w:val="20"/>
        </w:rPr>
        <w:tab/>
        <w:t>Offshore banking business is not banking bus</w:t>
      </w:r>
      <w:r w:rsidR="00B65B97">
        <w:rPr>
          <w:sz w:val="20"/>
        </w:rPr>
        <w:t>iness within the meaning of the</w:t>
      </w:r>
      <w:r>
        <w:rPr>
          <w:sz w:val="20"/>
        </w:rPr>
        <w:t xml:space="preserve"> Act, although it </w:t>
      </w:r>
      <w:r w:rsidR="002951D6">
        <w:rPr>
          <w:sz w:val="20"/>
        </w:rPr>
        <w:t xml:space="preserve">may </w:t>
      </w:r>
      <w:r>
        <w:rPr>
          <w:sz w:val="20"/>
        </w:rPr>
        <w:t xml:space="preserve">include </w:t>
      </w:r>
      <w:r w:rsidR="002951D6">
        <w:rPr>
          <w:sz w:val="20"/>
        </w:rPr>
        <w:t xml:space="preserve">such </w:t>
      </w:r>
      <w:r>
        <w:rPr>
          <w:sz w:val="20"/>
        </w:rPr>
        <w:t>banking business.</w:t>
      </w:r>
      <w:r w:rsidR="002951D6">
        <w:rPr>
          <w:sz w:val="20"/>
        </w:rPr>
        <w:t xml:space="preserve"> To the extent that it includes </w:t>
      </w:r>
      <w:r w:rsidR="00794202">
        <w:rPr>
          <w:sz w:val="20"/>
        </w:rPr>
        <w:t xml:space="preserve">such </w:t>
      </w:r>
      <w:r w:rsidR="002951D6">
        <w:rPr>
          <w:sz w:val="20"/>
        </w:rPr>
        <w:t>banking business</w:t>
      </w:r>
      <w:r w:rsidR="00794202">
        <w:rPr>
          <w:sz w:val="20"/>
        </w:rPr>
        <w:t xml:space="preserve"> which is carried on in Australia, it can </w:t>
      </w:r>
      <w:r w:rsidR="002951D6">
        <w:rPr>
          <w:sz w:val="20"/>
        </w:rPr>
        <w:t>only be carried on by an offshore banking unit that is an ADI.</w:t>
      </w:r>
    </w:p>
    <w:p w:rsidR="009E15F3" w:rsidRDefault="009E15F3" w:rsidP="00F65C0F">
      <w:pPr>
        <w:tabs>
          <w:tab w:val="left" w:pos="1080"/>
        </w:tabs>
        <w:spacing w:before="120"/>
        <w:ind w:left="540"/>
        <w:jc w:val="both"/>
        <w:rPr>
          <w:szCs w:val="24"/>
        </w:rPr>
      </w:pPr>
      <w:r w:rsidRPr="009E15F3">
        <w:rPr>
          <w:b/>
          <w:i/>
          <w:szCs w:val="24"/>
        </w:rPr>
        <w:t>offshore banking unit</w:t>
      </w:r>
      <w:r>
        <w:rPr>
          <w:szCs w:val="24"/>
        </w:rPr>
        <w:t xml:space="preserve"> </w:t>
      </w:r>
      <w:r w:rsidR="00033505">
        <w:rPr>
          <w:szCs w:val="24"/>
        </w:rPr>
        <w:t xml:space="preserve">means an offshore banking unit within the meaning of section </w:t>
      </w:r>
      <w:r w:rsidR="00465F28">
        <w:rPr>
          <w:szCs w:val="24"/>
        </w:rPr>
        <w:t>128AE of the Tax Act</w:t>
      </w:r>
      <w:r w:rsidR="00501CAD">
        <w:rPr>
          <w:szCs w:val="24"/>
        </w:rPr>
        <w:t>.</w:t>
      </w:r>
    </w:p>
    <w:p w:rsidR="00513BAB" w:rsidRDefault="00513BAB" w:rsidP="00F65C0F">
      <w:pPr>
        <w:tabs>
          <w:tab w:val="left" w:pos="1080"/>
        </w:tabs>
        <w:spacing w:before="120"/>
        <w:ind w:left="540"/>
        <w:jc w:val="both"/>
        <w:rPr>
          <w:szCs w:val="24"/>
        </w:rPr>
      </w:pPr>
      <w:r w:rsidRPr="004D5494">
        <w:rPr>
          <w:b/>
          <w:i/>
          <w:szCs w:val="24"/>
        </w:rPr>
        <w:t>professional investor</w:t>
      </w:r>
      <w:r>
        <w:rPr>
          <w:szCs w:val="24"/>
        </w:rPr>
        <w:t xml:space="preserve"> </w:t>
      </w:r>
      <w:r w:rsidR="004D5494">
        <w:rPr>
          <w:szCs w:val="24"/>
        </w:rPr>
        <w:t>has the meaning given in section 9 of the Corporations Act.</w:t>
      </w:r>
    </w:p>
    <w:p w:rsidR="00CE6F5D" w:rsidRDefault="00CE6F5D" w:rsidP="00F65C0F">
      <w:pPr>
        <w:tabs>
          <w:tab w:val="left" w:pos="1080"/>
        </w:tabs>
        <w:spacing w:before="120"/>
        <w:ind w:left="540"/>
        <w:jc w:val="both"/>
        <w:rPr>
          <w:szCs w:val="24"/>
        </w:rPr>
      </w:pPr>
      <w:r w:rsidRPr="00CE6F5D">
        <w:rPr>
          <w:b/>
          <w:i/>
          <w:szCs w:val="24"/>
        </w:rPr>
        <w:t>resident</w:t>
      </w:r>
      <w:r>
        <w:rPr>
          <w:szCs w:val="24"/>
        </w:rPr>
        <w:t xml:space="preserve"> has the meaning given in section 6 of the Tax Act.</w:t>
      </w:r>
    </w:p>
    <w:p w:rsidR="00770FFC" w:rsidRDefault="00513BAB" w:rsidP="004900D4">
      <w:pPr>
        <w:tabs>
          <w:tab w:val="left" w:pos="1080"/>
        </w:tabs>
        <w:spacing w:before="120"/>
        <w:ind w:left="540"/>
        <w:jc w:val="both"/>
        <w:rPr>
          <w:szCs w:val="24"/>
        </w:rPr>
      </w:pPr>
      <w:r w:rsidRPr="00513BAB">
        <w:rPr>
          <w:b/>
          <w:i/>
          <w:szCs w:val="24"/>
        </w:rPr>
        <w:t>small business</w:t>
      </w:r>
      <w:r>
        <w:rPr>
          <w:szCs w:val="24"/>
        </w:rPr>
        <w:t xml:space="preserve"> </w:t>
      </w:r>
      <w:r w:rsidR="002572BF">
        <w:rPr>
          <w:szCs w:val="24"/>
        </w:rPr>
        <w:t xml:space="preserve">has the </w:t>
      </w:r>
      <w:r w:rsidR="00770FFC">
        <w:rPr>
          <w:szCs w:val="24"/>
        </w:rPr>
        <w:t>mean</w:t>
      </w:r>
      <w:r w:rsidR="002572BF">
        <w:rPr>
          <w:szCs w:val="24"/>
        </w:rPr>
        <w:t xml:space="preserve">ing given in subsection 761G(12) of the Corporations Act. </w:t>
      </w:r>
    </w:p>
    <w:p w:rsidR="00465F28" w:rsidRDefault="00465F28" w:rsidP="00F65C0F">
      <w:pPr>
        <w:tabs>
          <w:tab w:val="left" w:pos="1080"/>
        </w:tabs>
        <w:spacing w:before="120"/>
        <w:ind w:left="540"/>
        <w:jc w:val="both"/>
        <w:rPr>
          <w:szCs w:val="24"/>
        </w:rPr>
      </w:pPr>
      <w:r w:rsidRPr="00465F28">
        <w:rPr>
          <w:b/>
          <w:i/>
          <w:szCs w:val="24"/>
        </w:rPr>
        <w:t>Tax Act</w:t>
      </w:r>
      <w:r>
        <w:rPr>
          <w:szCs w:val="24"/>
        </w:rPr>
        <w:t xml:space="preserve"> means the </w:t>
      </w:r>
      <w:r w:rsidRPr="00465F28">
        <w:rPr>
          <w:i/>
          <w:szCs w:val="24"/>
        </w:rPr>
        <w:t>Income Tax Assessment Act 1936</w:t>
      </w:r>
      <w:r>
        <w:rPr>
          <w:szCs w:val="24"/>
        </w:rPr>
        <w:t>.</w:t>
      </w:r>
    </w:p>
    <w:p w:rsidR="00770FFC" w:rsidRDefault="00770FFC" w:rsidP="005378D0">
      <w:pPr>
        <w:tabs>
          <w:tab w:val="left" w:pos="1080"/>
        </w:tabs>
        <w:jc w:val="both"/>
        <w:rPr>
          <w:szCs w:val="24"/>
        </w:rPr>
      </w:pPr>
    </w:p>
    <w:p w:rsidR="00306992" w:rsidRDefault="000F5E20" w:rsidP="005378D0">
      <w:pPr>
        <w:tabs>
          <w:tab w:val="left" w:pos="1080"/>
        </w:tabs>
        <w:ind w:left="539" w:hanging="539"/>
        <w:jc w:val="both"/>
        <w:rPr>
          <w:szCs w:val="24"/>
        </w:rPr>
      </w:pPr>
      <w:r>
        <w:rPr>
          <w:szCs w:val="24"/>
        </w:rPr>
        <w:br w:type="page"/>
      </w:r>
      <w:r w:rsidR="00297061">
        <w:rPr>
          <w:szCs w:val="24"/>
        </w:rPr>
        <w:lastRenderedPageBreak/>
        <w:t>B</w:t>
      </w:r>
      <w:r w:rsidR="005378D0">
        <w:rPr>
          <w:szCs w:val="24"/>
        </w:rPr>
        <w:t>.</w:t>
      </w:r>
      <w:r w:rsidR="005378D0">
        <w:rPr>
          <w:szCs w:val="24"/>
        </w:rPr>
        <w:tab/>
      </w:r>
      <w:r w:rsidR="009E15F3">
        <w:rPr>
          <w:szCs w:val="24"/>
        </w:rPr>
        <w:t xml:space="preserve">A </w:t>
      </w:r>
      <w:r w:rsidR="008D780E">
        <w:rPr>
          <w:szCs w:val="24"/>
        </w:rPr>
        <w:t xml:space="preserve">reference to </w:t>
      </w:r>
      <w:r w:rsidR="008D780E" w:rsidRPr="008D780E">
        <w:rPr>
          <w:b/>
          <w:i/>
          <w:szCs w:val="24"/>
        </w:rPr>
        <w:t xml:space="preserve">issuing an investment </w:t>
      </w:r>
      <w:r w:rsidR="00A16EB9">
        <w:rPr>
          <w:b/>
          <w:i/>
          <w:szCs w:val="24"/>
        </w:rPr>
        <w:t xml:space="preserve">product </w:t>
      </w:r>
      <w:r w:rsidR="008D780E" w:rsidRPr="008D780E">
        <w:rPr>
          <w:b/>
          <w:i/>
          <w:szCs w:val="24"/>
        </w:rPr>
        <w:t>to the investor</w:t>
      </w:r>
      <w:r w:rsidR="008D780E">
        <w:rPr>
          <w:szCs w:val="24"/>
        </w:rPr>
        <w:t xml:space="preserve"> means:</w:t>
      </w:r>
    </w:p>
    <w:p w:rsidR="00306992" w:rsidRDefault="00DB7C7D" w:rsidP="00394A07">
      <w:pPr>
        <w:tabs>
          <w:tab w:val="left" w:pos="1080"/>
        </w:tabs>
        <w:spacing w:before="60"/>
        <w:ind w:left="1078" w:hanging="539"/>
        <w:jc w:val="both"/>
        <w:rPr>
          <w:szCs w:val="24"/>
        </w:rPr>
      </w:pPr>
      <w:r>
        <w:rPr>
          <w:szCs w:val="24"/>
        </w:rPr>
        <w:t>(a</w:t>
      </w:r>
      <w:r w:rsidR="00306992">
        <w:rPr>
          <w:szCs w:val="24"/>
        </w:rPr>
        <w:t>)</w:t>
      </w:r>
      <w:r w:rsidR="00306992">
        <w:rPr>
          <w:szCs w:val="24"/>
        </w:rPr>
        <w:tab/>
        <w:t xml:space="preserve">insofar as the investment </w:t>
      </w:r>
      <w:r w:rsidR="00A16EB9">
        <w:rPr>
          <w:szCs w:val="24"/>
        </w:rPr>
        <w:t xml:space="preserve">product </w:t>
      </w:r>
      <w:r w:rsidR="00306992">
        <w:rPr>
          <w:szCs w:val="24"/>
        </w:rPr>
        <w:t>consists of or includes the lending of money</w:t>
      </w:r>
      <w:r w:rsidR="00E6653B">
        <w:rPr>
          <w:szCs w:val="24"/>
        </w:rPr>
        <w:t xml:space="preserve"> by the investor</w:t>
      </w:r>
      <w:r w:rsidR="00306992">
        <w:rPr>
          <w:szCs w:val="24"/>
        </w:rPr>
        <w:t xml:space="preserve"> – borrowing the money</w:t>
      </w:r>
      <w:r w:rsidR="0055252E">
        <w:rPr>
          <w:szCs w:val="24"/>
        </w:rPr>
        <w:t xml:space="preserve"> from the investor</w:t>
      </w:r>
      <w:r w:rsidR="00306992">
        <w:rPr>
          <w:szCs w:val="24"/>
        </w:rPr>
        <w:t>;</w:t>
      </w:r>
    </w:p>
    <w:p w:rsidR="00306992" w:rsidRDefault="00A001FB" w:rsidP="00394A07">
      <w:pPr>
        <w:tabs>
          <w:tab w:val="left" w:pos="1080"/>
        </w:tabs>
        <w:spacing w:before="60"/>
        <w:ind w:left="1078" w:hanging="539"/>
        <w:jc w:val="both"/>
        <w:rPr>
          <w:szCs w:val="24"/>
        </w:rPr>
      </w:pPr>
      <w:r>
        <w:rPr>
          <w:szCs w:val="24"/>
        </w:rPr>
        <w:t>(b</w:t>
      </w:r>
      <w:r w:rsidR="00306992">
        <w:rPr>
          <w:szCs w:val="24"/>
        </w:rPr>
        <w:t>)</w:t>
      </w:r>
      <w:r w:rsidR="00306992">
        <w:rPr>
          <w:szCs w:val="24"/>
        </w:rPr>
        <w:tab/>
        <w:t xml:space="preserve">insofar as the investment </w:t>
      </w:r>
      <w:r w:rsidR="00A16EB9">
        <w:rPr>
          <w:szCs w:val="24"/>
        </w:rPr>
        <w:t xml:space="preserve">product </w:t>
      </w:r>
      <w:r w:rsidR="00306992">
        <w:rPr>
          <w:szCs w:val="24"/>
        </w:rPr>
        <w:t xml:space="preserve">consists of </w:t>
      </w:r>
      <w:r w:rsidR="00306992" w:rsidRPr="008D780E">
        <w:rPr>
          <w:szCs w:val="24"/>
        </w:rPr>
        <w:t>or includes</w:t>
      </w:r>
      <w:r w:rsidR="00306992">
        <w:rPr>
          <w:szCs w:val="24"/>
        </w:rPr>
        <w:t xml:space="preserve"> the investment of money </w:t>
      </w:r>
      <w:r w:rsidR="00E6653B">
        <w:rPr>
          <w:szCs w:val="24"/>
        </w:rPr>
        <w:t xml:space="preserve">by the investor </w:t>
      </w:r>
      <w:r w:rsidR="00306992">
        <w:rPr>
          <w:szCs w:val="24"/>
        </w:rPr>
        <w:t xml:space="preserve">in a managed investment scheme – issuing an interest in the scheme </w:t>
      </w:r>
      <w:r w:rsidR="0055252E">
        <w:rPr>
          <w:szCs w:val="24"/>
        </w:rPr>
        <w:t xml:space="preserve">to the investor </w:t>
      </w:r>
      <w:r w:rsidR="00306992">
        <w:rPr>
          <w:szCs w:val="24"/>
        </w:rPr>
        <w:t>in consideration for the money</w:t>
      </w:r>
      <w:r>
        <w:rPr>
          <w:szCs w:val="24"/>
        </w:rPr>
        <w:t xml:space="preserve">, otherwise than by way of secondary trading in </w:t>
      </w:r>
      <w:r w:rsidR="0055252E">
        <w:rPr>
          <w:szCs w:val="24"/>
        </w:rPr>
        <w:t>the interest</w:t>
      </w:r>
      <w:r w:rsidR="00306992">
        <w:rPr>
          <w:szCs w:val="24"/>
        </w:rPr>
        <w:t xml:space="preserve"> (whether or not there is also other consideration for the issue of the interest).</w:t>
      </w:r>
    </w:p>
    <w:p w:rsidR="00394A07" w:rsidRDefault="00394A07" w:rsidP="00394A07">
      <w:pPr>
        <w:tabs>
          <w:tab w:val="left" w:pos="1080"/>
        </w:tabs>
        <w:jc w:val="both"/>
        <w:rPr>
          <w:szCs w:val="24"/>
        </w:rPr>
      </w:pPr>
    </w:p>
    <w:p w:rsidR="00394A07" w:rsidRDefault="00297061" w:rsidP="00416C80">
      <w:pPr>
        <w:tabs>
          <w:tab w:val="left" w:pos="1080"/>
        </w:tabs>
        <w:ind w:left="539" w:hanging="539"/>
        <w:jc w:val="both"/>
        <w:rPr>
          <w:szCs w:val="24"/>
        </w:rPr>
      </w:pPr>
      <w:r>
        <w:rPr>
          <w:szCs w:val="24"/>
        </w:rPr>
        <w:t>C</w:t>
      </w:r>
      <w:r w:rsidR="00394A07">
        <w:rPr>
          <w:szCs w:val="24"/>
        </w:rPr>
        <w:t>.</w:t>
      </w:r>
      <w:r w:rsidR="00394A07">
        <w:rPr>
          <w:szCs w:val="24"/>
        </w:rPr>
        <w:tab/>
      </w:r>
      <w:r w:rsidR="00034DAD">
        <w:rPr>
          <w:szCs w:val="24"/>
        </w:rPr>
        <w:t xml:space="preserve">An investment product is taken to be </w:t>
      </w:r>
      <w:r w:rsidR="00034DAD" w:rsidRPr="00034DAD">
        <w:rPr>
          <w:b/>
          <w:i/>
          <w:szCs w:val="24"/>
        </w:rPr>
        <w:t>of the same kind</w:t>
      </w:r>
      <w:r w:rsidR="00034DAD">
        <w:rPr>
          <w:szCs w:val="24"/>
        </w:rPr>
        <w:t xml:space="preserve"> as another investment product if:</w:t>
      </w:r>
    </w:p>
    <w:p w:rsidR="00394A07" w:rsidRDefault="00394A07" w:rsidP="00394A07">
      <w:pPr>
        <w:tabs>
          <w:tab w:val="left" w:pos="1080"/>
        </w:tabs>
        <w:spacing w:before="60"/>
        <w:ind w:left="1078" w:hanging="539"/>
        <w:jc w:val="both"/>
        <w:rPr>
          <w:szCs w:val="24"/>
        </w:rPr>
      </w:pPr>
      <w:r>
        <w:rPr>
          <w:szCs w:val="24"/>
        </w:rPr>
        <w:t>(a)</w:t>
      </w:r>
      <w:r>
        <w:rPr>
          <w:szCs w:val="24"/>
        </w:rPr>
        <w:tab/>
      </w:r>
      <w:r w:rsidR="00034DAD">
        <w:rPr>
          <w:szCs w:val="24"/>
        </w:rPr>
        <w:t>both of the investment products are debentures issued by the same person; or</w:t>
      </w:r>
    </w:p>
    <w:p w:rsidR="00034DAD" w:rsidRDefault="00394A07" w:rsidP="00394A07">
      <w:pPr>
        <w:tabs>
          <w:tab w:val="left" w:pos="1080"/>
        </w:tabs>
        <w:spacing w:before="60"/>
        <w:ind w:left="1078" w:hanging="539"/>
        <w:jc w:val="both"/>
        <w:rPr>
          <w:szCs w:val="24"/>
        </w:rPr>
      </w:pPr>
      <w:r>
        <w:rPr>
          <w:szCs w:val="24"/>
        </w:rPr>
        <w:t>(b)</w:t>
      </w:r>
      <w:r>
        <w:rPr>
          <w:szCs w:val="24"/>
        </w:rPr>
        <w:tab/>
      </w:r>
      <w:r w:rsidR="00034DAD">
        <w:rPr>
          <w:szCs w:val="24"/>
        </w:rPr>
        <w:t xml:space="preserve">both of the investment products are issued by the same person on the same terms and conditions (other than terms and conditions relating to </w:t>
      </w:r>
      <w:r w:rsidR="00DF558E">
        <w:rPr>
          <w:szCs w:val="24"/>
        </w:rPr>
        <w:t xml:space="preserve">the price of the product or </w:t>
      </w:r>
      <w:r w:rsidR="00034DAD">
        <w:rPr>
          <w:szCs w:val="24"/>
        </w:rPr>
        <w:t>the period of the investment); or</w:t>
      </w:r>
    </w:p>
    <w:p w:rsidR="00394A07" w:rsidRDefault="00034DAD" w:rsidP="00394A07">
      <w:pPr>
        <w:tabs>
          <w:tab w:val="left" w:pos="1080"/>
        </w:tabs>
        <w:spacing w:before="60"/>
        <w:ind w:left="1078" w:hanging="539"/>
        <w:jc w:val="both"/>
        <w:rPr>
          <w:szCs w:val="24"/>
        </w:rPr>
      </w:pPr>
      <w:r>
        <w:rPr>
          <w:szCs w:val="24"/>
        </w:rPr>
        <w:t>(c)</w:t>
      </w:r>
      <w:r>
        <w:rPr>
          <w:szCs w:val="24"/>
        </w:rPr>
        <w:tab/>
        <w:t>both of the investment products are a financial product and are taken to be the same kind of financial product under the test in subsection 1012D(10) of the Corporations Act.</w:t>
      </w:r>
    </w:p>
    <w:p w:rsidR="00394A07" w:rsidRDefault="00394A07" w:rsidP="00394A07">
      <w:pPr>
        <w:tabs>
          <w:tab w:val="left" w:pos="1080"/>
        </w:tabs>
        <w:ind w:left="1078" w:hanging="1078"/>
        <w:jc w:val="both"/>
        <w:rPr>
          <w:szCs w:val="24"/>
        </w:rPr>
      </w:pPr>
    </w:p>
    <w:p w:rsidR="009E15F3" w:rsidRDefault="00297061" w:rsidP="00416C80">
      <w:pPr>
        <w:tabs>
          <w:tab w:val="left" w:pos="1080"/>
        </w:tabs>
        <w:ind w:left="539" w:hanging="539"/>
        <w:jc w:val="both"/>
        <w:rPr>
          <w:szCs w:val="24"/>
        </w:rPr>
      </w:pPr>
      <w:r>
        <w:rPr>
          <w:szCs w:val="24"/>
        </w:rPr>
        <w:t>D</w:t>
      </w:r>
      <w:r w:rsidR="009E15F3">
        <w:rPr>
          <w:szCs w:val="24"/>
        </w:rPr>
        <w:t>.</w:t>
      </w:r>
      <w:r w:rsidR="009E15F3">
        <w:rPr>
          <w:szCs w:val="24"/>
        </w:rPr>
        <w:tab/>
        <w:t xml:space="preserve">Whether a body corporate is </w:t>
      </w:r>
      <w:r w:rsidR="009E15F3" w:rsidRPr="009E15F3">
        <w:rPr>
          <w:b/>
          <w:i/>
          <w:szCs w:val="24"/>
        </w:rPr>
        <w:t>related</w:t>
      </w:r>
      <w:r w:rsidR="009E15F3">
        <w:rPr>
          <w:szCs w:val="24"/>
        </w:rPr>
        <w:t xml:space="preserve"> to another body corporate is to be determined in the same way as under the Corporations Act.</w:t>
      </w:r>
    </w:p>
    <w:p w:rsidR="00A16EB9" w:rsidRDefault="00A16EB9" w:rsidP="00A16EB9">
      <w:pPr>
        <w:tabs>
          <w:tab w:val="left" w:pos="1080"/>
        </w:tabs>
        <w:ind w:left="1078" w:hanging="1078"/>
        <w:jc w:val="both"/>
        <w:rPr>
          <w:szCs w:val="24"/>
        </w:rPr>
      </w:pPr>
    </w:p>
    <w:p w:rsidR="00A16EB9" w:rsidRDefault="00297061" w:rsidP="00416C80">
      <w:pPr>
        <w:tabs>
          <w:tab w:val="left" w:pos="1080"/>
        </w:tabs>
        <w:ind w:left="539" w:hanging="539"/>
        <w:jc w:val="both"/>
        <w:rPr>
          <w:szCs w:val="24"/>
        </w:rPr>
      </w:pPr>
      <w:r>
        <w:rPr>
          <w:szCs w:val="24"/>
        </w:rPr>
        <w:t>E</w:t>
      </w:r>
      <w:r w:rsidR="00A16EB9">
        <w:rPr>
          <w:szCs w:val="24"/>
        </w:rPr>
        <w:t>.</w:t>
      </w:r>
      <w:r w:rsidR="00A16EB9">
        <w:rPr>
          <w:szCs w:val="24"/>
        </w:rPr>
        <w:tab/>
        <w:t xml:space="preserve">A reference to </w:t>
      </w:r>
      <w:r w:rsidR="00A16EB9" w:rsidRPr="00A16EB9">
        <w:rPr>
          <w:b/>
          <w:i/>
          <w:szCs w:val="24"/>
        </w:rPr>
        <w:t>an Act or provision of an Act</w:t>
      </w:r>
      <w:r w:rsidR="00A16EB9">
        <w:rPr>
          <w:szCs w:val="24"/>
        </w:rPr>
        <w:t xml:space="preserve"> is a reference to that Act or provision as in force from time to time.</w:t>
      </w:r>
    </w:p>
    <w:p w:rsidR="007D1FDC" w:rsidRDefault="007D1FDC" w:rsidP="00CB6775">
      <w:pPr>
        <w:tabs>
          <w:tab w:val="left" w:pos="540"/>
        </w:tabs>
        <w:ind w:left="540" w:hanging="540"/>
        <w:jc w:val="both"/>
      </w:pPr>
    </w:p>
    <w:sectPr w:rsidR="007D1FDC" w:rsidSect="007E5A19">
      <w:headerReference w:type="even" r:id="rId10"/>
      <w:headerReference w:type="default" r:id="rId11"/>
      <w:headerReference w:type="first" r:id="rId12"/>
      <w:footerReference w:type="first" r:id="rId13"/>
      <w:pgSz w:w="11906" w:h="16838" w:code="9"/>
      <w:pgMar w:top="1440" w:right="1440" w:bottom="1440" w:left="22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28E" w:rsidRDefault="0053728E">
      <w:r>
        <w:separator/>
      </w:r>
    </w:p>
  </w:endnote>
  <w:endnote w:type="continuationSeparator" w:id="0">
    <w:p w:rsidR="0053728E" w:rsidRDefault="0053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DDE" w:rsidRPr="007A6660" w:rsidRDefault="00FC5DDE" w:rsidP="007A6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28E" w:rsidRDefault="0053728E">
      <w:r>
        <w:separator/>
      </w:r>
    </w:p>
  </w:footnote>
  <w:footnote w:type="continuationSeparator" w:id="0">
    <w:p w:rsidR="0053728E" w:rsidRDefault="00537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DDE" w:rsidRDefault="00FC5DDE" w:rsidP="005913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FC5DDE" w:rsidRDefault="00FC5D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DDE" w:rsidRDefault="00FC5DDE" w:rsidP="005913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36BA">
      <w:rPr>
        <w:rStyle w:val="PageNumber"/>
        <w:noProof/>
      </w:rPr>
      <w:t>2</w:t>
    </w:r>
    <w:r>
      <w:rPr>
        <w:rStyle w:val="PageNumber"/>
      </w:rPr>
      <w:fldChar w:fldCharType="end"/>
    </w:r>
  </w:p>
  <w:p w:rsidR="00FC5DDE" w:rsidRPr="00B6154F" w:rsidRDefault="00FC5DDE" w:rsidP="00B615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DDE" w:rsidRPr="007A6660" w:rsidRDefault="00FC5DDE" w:rsidP="007A66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00E6C"/>
    <w:multiLevelType w:val="hybridMultilevel"/>
    <w:tmpl w:val="FB822EFC"/>
    <w:lvl w:ilvl="0" w:tplc="0C090001">
      <w:start w:val="1"/>
      <w:numFmt w:val="bullet"/>
      <w:lvlText w:val=""/>
      <w:lvlJc w:val="left"/>
      <w:pPr>
        <w:tabs>
          <w:tab w:val="num" w:pos="3840"/>
        </w:tabs>
        <w:ind w:left="3840" w:hanging="360"/>
      </w:pPr>
      <w:rPr>
        <w:rFonts w:ascii="Symbol" w:hAnsi="Symbol" w:hint="default"/>
      </w:rPr>
    </w:lvl>
    <w:lvl w:ilvl="1" w:tplc="0C090003" w:tentative="1">
      <w:start w:val="1"/>
      <w:numFmt w:val="bullet"/>
      <w:lvlText w:val="o"/>
      <w:lvlJc w:val="left"/>
      <w:pPr>
        <w:tabs>
          <w:tab w:val="num" w:pos="4560"/>
        </w:tabs>
        <w:ind w:left="4560" w:hanging="360"/>
      </w:pPr>
      <w:rPr>
        <w:rFonts w:ascii="Courier New" w:hAnsi="Courier New" w:cs="Courier New" w:hint="default"/>
      </w:rPr>
    </w:lvl>
    <w:lvl w:ilvl="2" w:tplc="0C090005" w:tentative="1">
      <w:start w:val="1"/>
      <w:numFmt w:val="bullet"/>
      <w:lvlText w:val=""/>
      <w:lvlJc w:val="left"/>
      <w:pPr>
        <w:tabs>
          <w:tab w:val="num" w:pos="5280"/>
        </w:tabs>
        <w:ind w:left="5280" w:hanging="360"/>
      </w:pPr>
      <w:rPr>
        <w:rFonts w:ascii="Wingdings" w:hAnsi="Wingdings" w:hint="default"/>
      </w:rPr>
    </w:lvl>
    <w:lvl w:ilvl="3" w:tplc="0C090001" w:tentative="1">
      <w:start w:val="1"/>
      <w:numFmt w:val="bullet"/>
      <w:lvlText w:val=""/>
      <w:lvlJc w:val="left"/>
      <w:pPr>
        <w:tabs>
          <w:tab w:val="num" w:pos="6000"/>
        </w:tabs>
        <w:ind w:left="6000" w:hanging="360"/>
      </w:pPr>
      <w:rPr>
        <w:rFonts w:ascii="Symbol" w:hAnsi="Symbol" w:hint="default"/>
      </w:rPr>
    </w:lvl>
    <w:lvl w:ilvl="4" w:tplc="0C090003" w:tentative="1">
      <w:start w:val="1"/>
      <w:numFmt w:val="bullet"/>
      <w:lvlText w:val="o"/>
      <w:lvlJc w:val="left"/>
      <w:pPr>
        <w:tabs>
          <w:tab w:val="num" w:pos="6720"/>
        </w:tabs>
        <w:ind w:left="6720" w:hanging="360"/>
      </w:pPr>
      <w:rPr>
        <w:rFonts w:ascii="Courier New" w:hAnsi="Courier New" w:cs="Courier New" w:hint="default"/>
      </w:rPr>
    </w:lvl>
    <w:lvl w:ilvl="5" w:tplc="0C090005" w:tentative="1">
      <w:start w:val="1"/>
      <w:numFmt w:val="bullet"/>
      <w:lvlText w:val=""/>
      <w:lvlJc w:val="left"/>
      <w:pPr>
        <w:tabs>
          <w:tab w:val="num" w:pos="7440"/>
        </w:tabs>
        <w:ind w:left="7440" w:hanging="360"/>
      </w:pPr>
      <w:rPr>
        <w:rFonts w:ascii="Wingdings" w:hAnsi="Wingdings" w:hint="default"/>
      </w:rPr>
    </w:lvl>
    <w:lvl w:ilvl="6" w:tplc="0C090001" w:tentative="1">
      <w:start w:val="1"/>
      <w:numFmt w:val="bullet"/>
      <w:lvlText w:val=""/>
      <w:lvlJc w:val="left"/>
      <w:pPr>
        <w:tabs>
          <w:tab w:val="num" w:pos="8160"/>
        </w:tabs>
        <w:ind w:left="8160" w:hanging="360"/>
      </w:pPr>
      <w:rPr>
        <w:rFonts w:ascii="Symbol" w:hAnsi="Symbol" w:hint="default"/>
      </w:rPr>
    </w:lvl>
    <w:lvl w:ilvl="7" w:tplc="0C090003" w:tentative="1">
      <w:start w:val="1"/>
      <w:numFmt w:val="bullet"/>
      <w:lvlText w:val="o"/>
      <w:lvlJc w:val="left"/>
      <w:pPr>
        <w:tabs>
          <w:tab w:val="num" w:pos="8880"/>
        </w:tabs>
        <w:ind w:left="8880" w:hanging="360"/>
      </w:pPr>
      <w:rPr>
        <w:rFonts w:ascii="Courier New" w:hAnsi="Courier New" w:cs="Courier New" w:hint="default"/>
      </w:rPr>
    </w:lvl>
    <w:lvl w:ilvl="8" w:tplc="0C090005" w:tentative="1">
      <w:start w:val="1"/>
      <w:numFmt w:val="bullet"/>
      <w:lvlText w:val=""/>
      <w:lvlJc w:val="left"/>
      <w:pPr>
        <w:tabs>
          <w:tab w:val="num" w:pos="9600"/>
        </w:tabs>
        <w:ind w:left="9600" w:hanging="360"/>
      </w:pPr>
      <w:rPr>
        <w:rFonts w:ascii="Wingdings" w:hAnsi="Wingdings" w:hint="default"/>
      </w:rPr>
    </w:lvl>
  </w:abstractNum>
  <w:abstractNum w:abstractNumId="1">
    <w:nsid w:val="0E57442D"/>
    <w:multiLevelType w:val="hybridMultilevel"/>
    <w:tmpl w:val="AD04203C"/>
    <w:lvl w:ilvl="0" w:tplc="7242DCF8">
      <w:start w:val="2"/>
      <w:numFmt w:val="lowerLetter"/>
      <w:lvlText w:val="(%1)"/>
      <w:lvlJc w:val="left"/>
      <w:pPr>
        <w:tabs>
          <w:tab w:val="num" w:pos="2340"/>
        </w:tabs>
        <w:ind w:left="2340" w:hanging="360"/>
      </w:pPr>
      <w:rPr>
        <w:rFonts w:hint="default"/>
      </w:rPr>
    </w:lvl>
    <w:lvl w:ilvl="1" w:tplc="0C090019" w:tentative="1">
      <w:start w:val="1"/>
      <w:numFmt w:val="lowerLetter"/>
      <w:lvlText w:val="%2."/>
      <w:lvlJc w:val="left"/>
      <w:pPr>
        <w:tabs>
          <w:tab w:val="num" w:pos="3060"/>
        </w:tabs>
        <w:ind w:left="3060" w:hanging="360"/>
      </w:pPr>
    </w:lvl>
    <w:lvl w:ilvl="2" w:tplc="0C09001B" w:tentative="1">
      <w:start w:val="1"/>
      <w:numFmt w:val="lowerRoman"/>
      <w:lvlText w:val="%3."/>
      <w:lvlJc w:val="right"/>
      <w:pPr>
        <w:tabs>
          <w:tab w:val="num" w:pos="3780"/>
        </w:tabs>
        <w:ind w:left="3780" w:hanging="180"/>
      </w:pPr>
    </w:lvl>
    <w:lvl w:ilvl="3" w:tplc="0C09000F" w:tentative="1">
      <w:start w:val="1"/>
      <w:numFmt w:val="decimal"/>
      <w:lvlText w:val="%4."/>
      <w:lvlJc w:val="left"/>
      <w:pPr>
        <w:tabs>
          <w:tab w:val="num" w:pos="4500"/>
        </w:tabs>
        <w:ind w:left="4500" w:hanging="360"/>
      </w:pPr>
    </w:lvl>
    <w:lvl w:ilvl="4" w:tplc="0C090019" w:tentative="1">
      <w:start w:val="1"/>
      <w:numFmt w:val="lowerLetter"/>
      <w:lvlText w:val="%5."/>
      <w:lvlJc w:val="left"/>
      <w:pPr>
        <w:tabs>
          <w:tab w:val="num" w:pos="5220"/>
        </w:tabs>
        <w:ind w:left="5220" w:hanging="360"/>
      </w:pPr>
    </w:lvl>
    <w:lvl w:ilvl="5" w:tplc="0C09001B" w:tentative="1">
      <w:start w:val="1"/>
      <w:numFmt w:val="lowerRoman"/>
      <w:lvlText w:val="%6."/>
      <w:lvlJc w:val="right"/>
      <w:pPr>
        <w:tabs>
          <w:tab w:val="num" w:pos="5940"/>
        </w:tabs>
        <w:ind w:left="5940" w:hanging="180"/>
      </w:pPr>
    </w:lvl>
    <w:lvl w:ilvl="6" w:tplc="0C09000F" w:tentative="1">
      <w:start w:val="1"/>
      <w:numFmt w:val="decimal"/>
      <w:lvlText w:val="%7."/>
      <w:lvlJc w:val="left"/>
      <w:pPr>
        <w:tabs>
          <w:tab w:val="num" w:pos="6660"/>
        </w:tabs>
        <w:ind w:left="6660" w:hanging="360"/>
      </w:pPr>
    </w:lvl>
    <w:lvl w:ilvl="7" w:tplc="0C090019" w:tentative="1">
      <w:start w:val="1"/>
      <w:numFmt w:val="lowerLetter"/>
      <w:lvlText w:val="%8."/>
      <w:lvlJc w:val="left"/>
      <w:pPr>
        <w:tabs>
          <w:tab w:val="num" w:pos="7380"/>
        </w:tabs>
        <w:ind w:left="7380" w:hanging="360"/>
      </w:pPr>
    </w:lvl>
    <w:lvl w:ilvl="8" w:tplc="0C09001B" w:tentative="1">
      <w:start w:val="1"/>
      <w:numFmt w:val="lowerRoman"/>
      <w:lvlText w:val="%9."/>
      <w:lvlJc w:val="right"/>
      <w:pPr>
        <w:tabs>
          <w:tab w:val="num" w:pos="8100"/>
        </w:tabs>
        <w:ind w:left="8100" w:hanging="180"/>
      </w:pPr>
    </w:lvl>
  </w:abstractNum>
  <w:abstractNum w:abstractNumId="2">
    <w:nsid w:val="10332E75"/>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3">
    <w:nsid w:val="10DD3223"/>
    <w:multiLevelType w:val="hybridMultilevel"/>
    <w:tmpl w:val="6128916A"/>
    <w:lvl w:ilvl="0" w:tplc="BEC4FB32">
      <w:start w:val="1"/>
      <w:numFmt w:val="lowerLetter"/>
      <w:lvlText w:val="(%1)"/>
      <w:lvlJc w:val="left"/>
      <w:pPr>
        <w:tabs>
          <w:tab w:val="num" w:pos="2520"/>
        </w:tabs>
        <w:ind w:left="2520" w:hanging="540"/>
      </w:pPr>
      <w:rPr>
        <w:rFonts w:hint="default"/>
      </w:rPr>
    </w:lvl>
    <w:lvl w:ilvl="1" w:tplc="0C090019" w:tentative="1">
      <w:start w:val="1"/>
      <w:numFmt w:val="lowerLetter"/>
      <w:lvlText w:val="%2."/>
      <w:lvlJc w:val="left"/>
      <w:pPr>
        <w:tabs>
          <w:tab w:val="num" w:pos="3060"/>
        </w:tabs>
        <w:ind w:left="3060" w:hanging="360"/>
      </w:pPr>
    </w:lvl>
    <w:lvl w:ilvl="2" w:tplc="0C09001B" w:tentative="1">
      <w:start w:val="1"/>
      <w:numFmt w:val="lowerRoman"/>
      <w:lvlText w:val="%3."/>
      <w:lvlJc w:val="right"/>
      <w:pPr>
        <w:tabs>
          <w:tab w:val="num" w:pos="3780"/>
        </w:tabs>
        <w:ind w:left="3780" w:hanging="180"/>
      </w:pPr>
    </w:lvl>
    <w:lvl w:ilvl="3" w:tplc="0C09000F" w:tentative="1">
      <w:start w:val="1"/>
      <w:numFmt w:val="decimal"/>
      <w:lvlText w:val="%4."/>
      <w:lvlJc w:val="left"/>
      <w:pPr>
        <w:tabs>
          <w:tab w:val="num" w:pos="4500"/>
        </w:tabs>
        <w:ind w:left="4500" w:hanging="360"/>
      </w:pPr>
    </w:lvl>
    <w:lvl w:ilvl="4" w:tplc="0C090019" w:tentative="1">
      <w:start w:val="1"/>
      <w:numFmt w:val="lowerLetter"/>
      <w:lvlText w:val="%5."/>
      <w:lvlJc w:val="left"/>
      <w:pPr>
        <w:tabs>
          <w:tab w:val="num" w:pos="5220"/>
        </w:tabs>
        <w:ind w:left="5220" w:hanging="360"/>
      </w:pPr>
    </w:lvl>
    <w:lvl w:ilvl="5" w:tplc="0C09001B" w:tentative="1">
      <w:start w:val="1"/>
      <w:numFmt w:val="lowerRoman"/>
      <w:lvlText w:val="%6."/>
      <w:lvlJc w:val="right"/>
      <w:pPr>
        <w:tabs>
          <w:tab w:val="num" w:pos="5940"/>
        </w:tabs>
        <w:ind w:left="5940" w:hanging="180"/>
      </w:pPr>
    </w:lvl>
    <w:lvl w:ilvl="6" w:tplc="0C09000F" w:tentative="1">
      <w:start w:val="1"/>
      <w:numFmt w:val="decimal"/>
      <w:lvlText w:val="%7."/>
      <w:lvlJc w:val="left"/>
      <w:pPr>
        <w:tabs>
          <w:tab w:val="num" w:pos="6660"/>
        </w:tabs>
        <w:ind w:left="6660" w:hanging="360"/>
      </w:pPr>
    </w:lvl>
    <w:lvl w:ilvl="7" w:tplc="0C090019" w:tentative="1">
      <w:start w:val="1"/>
      <w:numFmt w:val="lowerLetter"/>
      <w:lvlText w:val="%8."/>
      <w:lvlJc w:val="left"/>
      <w:pPr>
        <w:tabs>
          <w:tab w:val="num" w:pos="7380"/>
        </w:tabs>
        <w:ind w:left="7380" w:hanging="360"/>
      </w:pPr>
    </w:lvl>
    <w:lvl w:ilvl="8" w:tplc="0C09001B" w:tentative="1">
      <w:start w:val="1"/>
      <w:numFmt w:val="lowerRoman"/>
      <w:lvlText w:val="%9."/>
      <w:lvlJc w:val="right"/>
      <w:pPr>
        <w:tabs>
          <w:tab w:val="num" w:pos="8100"/>
        </w:tabs>
        <w:ind w:left="8100" w:hanging="180"/>
      </w:pPr>
    </w:lvl>
  </w:abstractNum>
  <w:abstractNum w:abstractNumId="4">
    <w:nsid w:val="11CF5A74"/>
    <w:multiLevelType w:val="hybridMultilevel"/>
    <w:tmpl w:val="2C041538"/>
    <w:lvl w:ilvl="0" w:tplc="0C090001">
      <w:start w:val="1"/>
      <w:numFmt w:val="bullet"/>
      <w:lvlText w:val=""/>
      <w:lvlJc w:val="left"/>
      <w:pPr>
        <w:tabs>
          <w:tab w:val="num" w:pos="2700"/>
        </w:tabs>
        <w:ind w:left="2700" w:hanging="360"/>
      </w:pPr>
      <w:rPr>
        <w:rFonts w:ascii="Symbol" w:hAnsi="Symbol" w:hint="default"/>
      </w:rPr>
    </w:lvl>
    <w:lvl w:ilvl="1" w:tplc="0C090003" w:tentative="1">
      <w:start w:val="1"/>
      <w:numFmt w:val="bullet"/>
      <w:lvlText w:val="o"/>
      <w:lvlJc w:val="left"/>
      <w:pPr>
        <w:tabs>
          <w:tab w:val="num" w:pos="3420"/>
        </w:tabs>
        <w:ind w:left="3420" w:hanging="360"/>
      </w:pPr>
      <w:rPr>
        <w:rFonts w:ascii="Courier New" w:hAnsi="Courier New" w:cs="Courier New" w:hint="default"/>
      </w:rPr>
    </w:lvl>
    <w:lvl w:ilvl="2" w:tplc="0C090005" w:tentative="1">
      <w:start w:val="1"/>
      <w:numFmt w:val="bullet"/>
      <w:lvlText w:val=""/>
      <w:lvlJc w:val="left"/>
      <w:pPr>
        <w:tabs>
          <w:tab w:val="num" w:pos="4140"/>
        </w:tabs>
        <w:ind w:left="4140" w:hanging="360"/>
      </w:pPr>
      <w:rPr>
        <w:rFonts w:ascii="Wingdings" w:hAnsi="Wingdings" w:hint="default"/>
      </w:rPr>
    </w:lvl>
    <w:lvl w:ilvl="3" w:tplc="0C090001" w:tentative="1">
      <w:start w:val="1"/>
      <w:numFmt w:val="bullet"/>
      <w:lvlText w:val=""/>
      <w:lvlJc w:val="left"/>
      <w:pPr>
        <w:tabs>
          <w:tab w:val="num" w:pos="4860"/>
        </w:tabs>
        <w:ind w:left="4860" w:hanging="360"/>
      </w:pPr>
      <w:rPr>
        <w:rFonts w:ascii="Symbol" w:hAnsi="Symbol" w:hint="default"/>
      </w:rPr>
    </w:lvl>
    <w:lvl w:ilvl="4" w:tplc="0C090003" w:tentative="1">
      <w:start w:val="1"/>
      <w:numFmt w:val="bullet"/>
      <w:lvlText w:val="o"/>
      <w:lvlJc w:val="left"/>
      <w:pPr>
        <w:tabs>
          <w:tab w:val="num" w:pos="5580"/>
        </w:tabs>
        <w:ind w:left="5580" w:hanging="360"/>
      </w:pPr>
      <w:rPr>
        <w:rFonts w:ascii="Courier New" w:hAnsi="Courier New" w:cs="Courier New" w:hint="default"/>
      </w:rPr>
    </w:lvl>
    <w:lvl w:ilvl="5" w:tplc="0C090005" w:tentative="1">
      <w:start w:val="1"/>
      <w:numFmt w:val="bullet"/>
      <w:lvlText w:val=""/>
      <w:lvlJc w:val="left"/>
      <w:pPr>
        <w:tabs>
          <w:tab w:val="num" w:pos="6300"/>
        </w:tabs>
        <w:ind w:left="6300" w:hanging="360"/>
      </w:pPr>
      <w:rPr>
        <w:rFonts w:ascii="Wingdings" w:hAnsi="Wingdings" w:hint="default"/>
      </w:rPr>
    </w:lvl>
    <w:lvl w:ilvl="6" w:tplc="0C090001" w:tentative="1">
      <w:start w:val="1"/>
      <w:numFmt w:val="bullet"/>
      <w:lvlText w:val=""/>
      <w:lvlJc w:val="left"/>
      <w:pPr>
        <w:tabs>
          <w:tab w:val="num" w:pos="7020"/>
        </w:tabs>
        <w:ind w:left="7020" w:hanging="360"/>
      </w:pPr>
      <w:rPr>
        <w:rFonts w:ascii="Symbol" w:hAnsi="Symbol" w:hint="default"/>
      </w:rPr>
    </w:lvl>
    <w:lvl w:ilvl="7" w:tplc="0C090003" w:tentative="1">
      <w:start w:val="1"/>
      <w:numFmt w:val="bullet"/>
      <w:lvlText w:val="o"/>
      <w:lvlJc w:val="left"/>
      <w:pPr>
        <w:tabs>
          <w:tab w:val="num" w:pos="7740"/>
        </w:tabs>
        <w:ind w:left="7740" w:hanging="360"/>
      </w:pPr>
      <w:rPr>
        <w:rFonts w:ascii="Courier New" w:hAnsi="Courier New" w:cs="Courier New" w:hint="default"/>
      </w:rPr>
    </w:lvl>
    <w:lvl w:ilvl="8" w:tplc="0C090005" w:tentative="1">
      <w:start w:val="1"/>
      <w:numFmt w:val="bullet"/>
      <w:lvlText w:val=""/>
      <w:lvlJc w:val="left"/>
      <w:pPr>
        <w:tabs>
          <w:tab w:val="num" w:pos="8460"/>
        </w:tabs>
        <w:ind w:left="8460" w:hanging="360"/>
      </w:pPr>
      <w:rPr>
        <w:rFonts w:ascii="Wingdings" w:hAnsi="Wingdings" w:hint="default"/>
      </w:rPr>
    </w:lvl>
  </w:abstractNum>
  <w:abstractNum w:abstractNumId="5">
    <w:nsid w:val="182B71E3"/>
    <w:multiLevelType w:val="hybridMultilevel"/>
    <w:tmpl w:val="7AC68AE8"/>
    <w:lvl w:ilvl="0" w:tplc="E9DAD1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D54521C"/>
    <w:multiLevelType w:val="hybridMultilevel"/>
    <w:tmpl w:val="85C6A456"/>
    <w:lvl w:ilvl="0" w:tplc="0C090001">
      <w:start w:val="1"/>
      <w:numFmt w:val="bullet"/>
      <w:lvlText w:val=""/>
      <w:lvlJc w:val="left"/>
      <w:pPr>
        <w:tabs>
          <w:tab w:val="num" w:pos="2700"/>
        </w:tabs>
        <w:ind w:left="2700" w:hanging="360"/>
      </w:pPr>
      <w:rPr>
        <w:rFonts w:ascii="Symbol" w:hAnsi="Symbol" w:hint="default"/>
      </w:rPr>
    </w:lvl>
    <w:lvl w:ilvl="1" w:tplc="0C090003" w:tentative="1">
      <w:start w:val="1"/>
      <w:numFmt w:val="bullet"/>
      <w:lvlText w:val="o"/>
      <w:lvlJc w:val="left"/>
      <w:pPr>
        <w:tabs>
          <w:tab w:val="num" w:pos="3420"/>
        </w:tabs>
        <w:ind w:left="3420" w:hanging="360"/>
      </w:pPr>
      <w:rPr>
        <w:rFonts w:ascii="Courier New" w:hAnsi="Courier New" w:cs="Courier New" w:hint="default"/>
      </w:rPr>
    </w:lvl>
    <w:lvl w:ilvl="2" w:tplc="0C090005" w:tentative="1">
      <w:start w:val="1"/>
      <w:numFmt w:val="bullet"/>
      <w:lvlText w:val=""/>
      <w:lvlJc w:val="left"/>
      <w:pPr>
        <w:tabs>
          <w:tab w:val="num" w:pos="4140"/>
        </w:tabs>
        <w:ind w:left="4140" w:hanging="360"/>
      </w:pPr>
      <w:rPr>
        <w:rFonts w:ascii="Wingdings" w:hAnsi="Wingdings" w:hint="default"/>
      </w:rPr>
    </w:lvl>
    <w:lvl w:ilvl="3" w:tplc="0C090001" w:tentative="1">
      <w:start w:val="1"/>
      <w:numFmt w:val="bullet"/>
      <w:lvlText w:val=""/>
      <w:lvlJc w:val="left"/>
      <w:pPr>
        <w:tabs>
          <w:tab w:val="num" w:pos="4860"/>
        </w:tabs>
        <w:ind w:left="4860" w:hanging="360"/>
      </w:pPr>
      <w:rPr>
        <w:rFonts w:ascii="Symbol" w:hAnsi="Symbol" w:hint="default"/>
      </w:rPr>
    </w:lvl>
    <w:lvl w:ilvl="4" w:tplc="0C090003" w:tentative="1">
      <w:start w:val="1"/>
      <w:numFmt w:val="bullet"/>
      <w:lvlText w:val="o"/>
      <w:lvlJc w:val="left"/>
      <w:pPr>
        <w:tabs>
          <w:tab w:val="num" w:pos="5580"/>
        </w:tabs>
        <w:ind w:left="5580" w:hanging="360"/>
      </w:pPr>
      <w:rPr>
        <w:rFonts w:ascii="Courier New" w:hAnsi="Courier New" w:cs="Courier New" w:hint="default"/>
      </w:rPr>
    </w:lvl>
    <w:lvl w:ilvl="5" w:tplc="0C090005" w:tentative="1">
      <w:start w:val="1"/>
      <w:numFmt w:val="bullet"/>
      <w:lvlText w:val=""/>
      <w:lvlJc w:val="left"/>
      <w:pPr>
        <w:tabs>
          <w:tab w:val="num" w:pos="6300"/>
        </w:tabs>
        <w:ind w:left="6300" w:hanging="360"/>
      </w:pPr>
      <w:rPr>
        <w:rFonts w:ascii="Wingdings" w:hAnsi="Wingdings" w:hint="default"/>
      </w:rPr>
    </w:lvl>
    <w:lvl w:ilvl="6" w:tplc="0C090001" w:tentative="1">
      <w:start w:val="1"/>
      <w:numFmt w:val="bullet"/>
      <w:lvlText w:val=""/>
      <w:lvlJc w:val="left"/>
      <w:pPr>
        <w:tabs>
          <w:tab w:val="num" w:pos="7020"/>
        </w:tabs>
        <w:ind w:left="7020" w:hanging="360"/>
      </w:pPr>
      <w:rPr>
        <w:rFonts w:ascii="Symbol" w:hAnsi="Symbol" w:hint="default"/>
      </w:rPr>
    </w:lvl>
    <w:lvl w:ilvl="7" w:tplc="0C090003" w:tentative="1">
      <w:start w:val="1"/>
      <w:numFmt w:val="bullet"/>
      <w:lvlText w:val="o"/>
      <w:lvlJc w:val="left"/>
      <w:pPr>
        <w:tabs>
          <w:tab w:val="num" w:pos="7740"/>
        </w:tabs>
        <w:ind w:left="7740" w:hanging="360"/>
      </w:pPr>
      <w:rPr>
        <w:rFonts w:ascii="Courier New" w:hAnsi="Courier New" w:cs="Courier New" w:hint="default"/>
      </w:rPr>
    </w:lvl>
    <w:lvl w:ilvl="8" w:tplc="0C090005" w:tentative="1">
      <w:start w:val="1"/>
      <w:numFmt w:val="bullet"/>
      <w:lvlText w:val=""/>
      <w:lvlJc w:val="left"/>
      <w:pPr>
        <w:tabs>
          <w:tab w:val="num" w:pos="8460"/>
        </w:tabs>
        <w:ind w:left="8460" w:hanging="360"/>
      </w:pPr>
      <w:rPr>
        <w:rFonts w:ascii="Wingdings" w:hAnsi="Wingdings" w:hint="default"/>
      </w:rPr>
    </w:lvl>
  </w:abstractNum>
  <w:abstractNum w:abstractNumId="7">
    <w:nsid w:val="1E5A1623"/>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8">
    <w:nsid w:val="1EAD1900"/>
    <w:multiLevelType w:val="hybridMultilevel"/>
    <w:tmpl w:val="89D4100A"/>
    <w:lvl w:ilvl="0" w:tplc="0C090001">
      <w:start w:val="1"/>
      <w:numFmt w:val="bullet"/>
      <w:lvlText w:val=""/>
      <w:lvlJc w:val="left"/>
      <w:pPr>
        <w:tabs>
          <w:tab w:val="num" w:pos="3840"/>
        </w:tabs>
        <w:ind w:left="3840" w:hanging="360"/>
      </w:pPr>
      <w:rPr>
        <w:rFonts w:ascii="Symbol" w:hAnsi="Symbol" w:hint="default"/>
      </w:rPr>
    </w:lvl>
    <w:lvl w:ilvl="1" w:tplc="0C090003" w:tentative="1">
      <w:start w:val="1"/>
      <w:numFmt w:val="bullet"/>
      <w:lvlText w:val="o"/>
      <w:lvlJc w:val="left"/>
      <w:pPr>
        <w:tabs>
          <w:tab w:val="num" w:pos="4560"/>
        </w:tabs>
        <w:ind w:left="4560" w:hanging="360"/>
      </w:pPr>
      <w:rPr>
        <w:rFonts w:ascii="Courier New" w:hAnsi="Courier New" w:cs="Courier New" w:hint="default"/>
      </w:rPr>
    </w:lvl>
    <w:lvl w:ilvl="2" w:tplc="0C090005" w:tentative="1">
      <w:start w:val="1"/>
      <w:numFmt w:val="bullet"/>
      <w:lvlText w:val=""/>
      <w:lvlJc w:val="left"/>
      <w:pPr>
        <w:tabs>
          <w:tab w:val="num" w:pos="5280"/>
        </w:tabs>
        <w:ind w:left="5280" w:hanging="360"/>
      </w:pPr>
      <w:rPr>
        <w:rFonts w:ascii="Wingdings" w:hAnsi="Wingdings" w:hint="default"/>
      </w:rPr>
    </w:lvl>
    <w:lvl w:ilvl="3" w:tplc="0C090001" w:tentative="1">
      <w:start w:val="1"/>
      <w:numFmt w:val="bullet"/>
      <w:lvlText w:val=""/>
      <w:lvlJc w:val="left"/>
      <w:pPr>
        <w:tabs>
          <w:tab w:val="num" w:pos="6000"/>
        </w:tabs>
        <w:ind w:left="6000" w:hanging="360"/>
      </w:pPr>
      <w:rPr>
        <w:rFonts w:ascii="Symbol" w:hAnsi="Symbol" w:hint="default"/>
      </w:rPr>
    </w:lvl>
    <w:lvl w:ilvl="4" w:tplc="0C090003" w:tentative="1">
      <w:start w:val="1"/>
      <w:numFmt w:val="bullet"/>
      <w:lvlText w:val="o"/>
      <w:lvlJc w:val="left"/>
      <w:pPr>
        <w:tabs>
          <w:tab w:val="num" w:pos="6720"/>
        </w:tabs>
        <w:ind w:left="6720" w:hanging="360"/>
      </w:pPr>
      <w:rPr>
        <w:rFonts w:ascii="Courier New" w:hAnsi="Courier New" w:cs="Courier New" w:hint="default"/>
      </w:rPr>
    </w:lvl>
    <w:lvl w:ilvl="5" w:tplc="0C090005" w:tentative="1">
      <w:start w:val="1"/>
      <w:numFmt w:val="bullet"/>
      <w:lvlText w:val=""/>
      <w:lvlJc w:val="left"/>
      <w:pPr>
        <w:tabs>
          <w:tab w:val="num" w:pos="7440"/>
        </w:tabs>
        <w:ind w:left="7440" w:hanging="360"/>
      </w:pPr>
      <w:rPr>
        <w:rFonts w:ascii="Wingdings" w:hAnsi="Wingdings" w:hint="default"/>
      </w:rPr>
    </w:lvl>
    <w:lvl w:ilvl="6" w:tplc="0C090001" w:tentative="1">
      <w:start w:val="1"/>
      <w:numFmt w:val="bullet"/>
      <w:lvlText w:val=""/>
      <w:lvlJc w:val="left"/>
      <w:pPr>
        <w:tabs>
          <w:tab w:val="num" w:pos="8160"/>
        </w:tabs>
        <w:ind w:left="8160" w:hanging="360"/>
      </w:pPr>
      <w:rPr>
        <w:rFonts w:ascii="Symbol" w:hAnsi="Symbol" w:hint="default"/>
      </w:rPr>
    </w:lvl>
    <w:lvl w:ilvl="7" w:tplc="0C090003" w:tentative="1">
      <w:start w:val="1"/>
      <w:numFmt w:val="bullet"/>
      <w:lvlText w:val="o"/>
      <w:lvlJc w:val="left"/>
      <w:pPr>
        <w:tabs>
          <w:tab w:val="num" w:pos="8880"/>
        </w:tabs>
        <w:ind w:left="8880" w:hanging="360"/>
      </w:pPr>
      <w:rPr>
        <w:rFonts w:ascii="Courier New" w:hAnsi="Courier New" w:cs="Courier New" w:hint="default"/>
      </w:rPr>
    </w:lvl>
    <w:lvl w:ilvl="8" w:tplc="0C090005" w:tentative="1">
      <w:start w:val="1"/>
      <w:numFmt w:val="bullet"/>
      <w:lvlText w:val=""/>
      <w:lvlJc w:val="left"/>
      <w:pPr>
        <w:tabs>
          <w:tab w:val="num" w:pos="9600"/>
        </w:tabs>
        <w:ind w:left="9600" w:hanging="360"/>
      </w:pPr>
      <w:rPr>
        <w:rFonts w:ascii="Wingdings" w:hAnsi="Wingdings" w:hint="default"/>
      </w:rPr>
    </w:lvl>
  </w:abstractNum>
  <w:abstractNum w:abstractNumId="9">
    <w:nsid w:val="26B4777F"/>
    <w:multiLevelType w:val="hybridMultilevel"/>
    <w:tmpl w:val="4EE06782"/>
    <w:lvl w:ilvl="0" w:tplc="B63EF2CE">
      <w:start w:val="2"/>
      <w:numFmt w:val="lowerLetter"/>
      <w:lvlText w:val="(%1)"/>
      <w:lvlJc w:val="left"/>
      <w:pPr>
        <w:tabs>
          <w:tab w:val="num" w:pos="2340"/>
        </w:tabs>
        <w:ind w:left="2340" w:hanging="360"/>
      </w:pPr>
      <w:rPr>
        <w:rFonts w:hint="default"/>
      </w:rPr>
    </w:lvl>
    <w:lvl w:ilvl="1" w:tplc="0C090019" w:tentative="1">
      <w:start w:val="1"/>
      <w:numFmt w:val="lowerLetter"/>
      <w:lvlText w:val="%2."/>
      <w:lvlJc w:val="left"/>
      <w:pPr>
        <w:tabs>
          <w:tab w:val="num" w:pos="3060"/>
        </w:tabs>
        <w:ind w:left="3060" w:hanging="360"/>
      </w:pPr>
    </w:lvl>
    <w:lvl w:ilvl="2" w:tplc="0C09001B" w:tentative="1">
      <w:start w:val="1"/>
      <w:numFmt w:val="lowerRoman"/>
      <w:lvlText w:val="%3."/>
      <w:lvlJc w:val="right"/>
      <w:pPr>
        <w:tabs>
          <w:tab w:val="num" w:pos="3780"/>
        </w:tabs>
        <w:ind w:left="3780" w:hanging="180"/>
      </w:pPr>
    </w:lvl>
    <w:lvl w:ilvl="3" w:tplc="0C09000F" w:tentative="1">
      <w:start w:val="1"/>
      <w:numFmt w:val="decimal"/>
      <w:lvlText w:val="%4."/>
      <w:lvlJc w:val="left"/>
      <w:pPr>
        <w:tabs>
          <w:tab w:val="num" w:pos="4500"/>
        </w:tabs>
        <w:ind w:left="4500" w:hanging="360"/>
      </w:pPr>
    </w:lvl>
    <w:lvl w:ilvl="4" w:tplc="0C090019" w:tentative="1">
      <w:start w:val="1"/>
      <w:numFmt w:val="lowerLetter"/>
      <w:lvlText w:val="%5."/>
      <w:lvlJc w:val="left"/>
      <w:pPr>
        <w:tabs>
          <w:tab w:val="num" w:pos="5220"/>
        </w:tabs>
        <w:ind w:left="5220" w:hanging="360"/>
      </w:pPr>
    </w:lvl>
    <w:lvl w:ilvl="5" w:tplc="0C09001B" w:tentative="1">
      <w:start w:val="1"/>
      <w:numFmt w:val="lowerRoman"/>
      <w:lvlText w:val="%6."/>
      <w:lvlJc w:val="right"/>
      <w:pPr>
        <w:tabs>
          <w:tab w:val="num" w:pos="5940"/>
        </w:tabs>
        <w:ind w:left="5940" w:hanging="180"/>
      </w:pPr>
    </w:lvl>
    <w:lvl w:ilvl="6" w:tplc="0C09000F" w:tentative="1">
      <w:start w:val="1"/>
      <w:numFmt w:val="decimal"/>
      <w:lvlText w:val="%7."/>
      <w:lvlJc w:val="left"/>
      <w:pPr>
        <w:tabs>
          <w:tab w:val="num" w:pos="6660"/>
        </w:tabs>
        <w:ind w:left="6660" w:hanging="360"/>
      </w:pPr>
    </w:lvl>
    <w:lvl w:ilvl="7" w:tplc="0C090019" w:tentative="1">
      <w:start w:val="1"/>
      <w:numFmt w:val="lowerLetter"/>
      <w:lvlText w:val="%8."/>
      <w:lvlJc w:val="left"/>
      <w:pPr>
        <w:tabs>
          <w:tab w:val="num" w:pos="7380"/>
        </w:tabs>
        <w:ind w:left="7380" w:hanging="360"/>
      </w:pPr>
    </w:lvl>
    <w:lvl w:ilvl="8" w:tplc="0C09001B" w:tentative="1">
      <w:start w:val="1"/>
      <w:numFmt w:val="lowerRoman"/>
      <w:lvlText w:val="%9."/>
      <w:lvlJc w:val="right"/>
      <w:pPr>
        <w:tabs>
          <w:tab w:val="num" w:pos="8100"/>
        </w:tabs>
        <w:ind w:left="8100" w:hanging="180"/>
      </w:pPr>
    </w:lvl>
  </w:abstractNum>
  <w:abstractNum w:abstractNumId="10">
    <w:nsid w:val="29281A78"/>
    <w:multiLevelType w:val="hybridMultilevel"/>
    <w:tmpl w:val="EF76052E"/>
    <w:lvl w:ilvl="0" w:tplc="355EA246">
      <w:start w:val="1"/>
      <w:numFmt w:val="decimal"/>
      <w:pStyle w:val="Note"/>
      <w:lvlText w:val="Note %1"/>
      <w:lvlJc w:val="left"/>
      <w:pPr>
        <w:tabs>
          <w:tab w:val="num" w:pos="794"/>
        </w:tabs>
        <w:ind w:left="0" w:firstLine="0"/>
      </w:pPr>
      <w:rPr>
        <w:rFonts w:hint="default"/>
        <w:b w:val="0"/>
        <w:i/>
      </w:rPr>
    </w:lvl>
    <w:lvl w:ilvl="1" w:tplc="0C090019" w:tentative="1">
      <w:start w:val="1"/>
      <w:numFmt w:val="lowerLetter"/>
      <w:lvlText w:val="%2."/>
      <w:lvlJc w:val="left"/>
      <w:pPr>
        <w:tabs>
          <w:tab w:val="num" w:pos="2404"/>
        </w:tabs>
        <w:ind w:left="2404" w:hanging="360"/>
      </w:pPr>
    </w:lvl>
    <w:lvl w:ilvl="2" w:tplc="0C09001B" w:tentative="1">
      <w:start w:val="1"/>
      <w:numFmt w:val="lowerRoman"/>
      <w:lvlText w:val="%3."/>
      <w:lvlJc w:val="right"/>
      <w:pPr>
        <w:tabs>
          <w:tab w:val="num" w:pos="3124"/>
        </w:tabs>
        <w:ind w:left="3124" w:hanging="180"/>
      </w:pPr>
    </w:lvl>
    <w:lvl w:ilvl="3" w:tplc="0C09000F" w:tentative="1">
      <w:start w:val="1"/>
      <w:numFmt w:val="decimal"/>
      <w:lvlText w:val="%4."/>
      <w:lvlJc w:val="left"/>
      <w:pPr>
        <w:tabs>
          <w:tab w:val="num" w:pos="3844"/>
        </w:tabs>
        <w:ind w:left="3844" w:hanging="360"/>
      </w:pPr>
    </w:lvl>
    <w:lvl w:ilvl="4" w:tplc="0C090019" w:tentative="1">
      <w:start w:val="1"/>
      <w:numFmt w:val="lowerLetter"/>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abstractNum w:abstractNumId="11">
    <w:nsid w:val="2AD97A70"/>
    <w:multiLevelType w:val="hybridMultilevel"/>
    <w:tmpl w:val="C66A6D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B675003"/>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13">
    <w:nsid w:val="2EE70262"/>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14">
    <w:nsid w:val="32286879"/>
    <w:multiLevelType w:val="hybridMultilevel"/>
    <w:tmpl w:val="6212E39A"/>
    <w:lvl w:ilvl="0" w:tplc="0C090001">
      <w:start w:val="1"/>
      <w:numFmt w:val="bullet"/>
      <w:lvlText w:val=""/>
      <w:lvlJc w:val="left"/>
      <w:pPr>
        <w:tabs>
          <w:tab w:val="num" w:pos="2700"/>
        </w:tabs>
        <w:ind w:left="2700" w:hanging="360"/>
      </w:pPr>
      <w:rPr>
        <w:rFonts w:ascii="Symbol" w:hAnsi="Symbol" w:hint="default"/>
      </w:rPr>
    </w:lvl>
    <w:lvl w:ilvl="1" w:tplc="0C090003" w:tentative="1">
      <w:start w:val="1"/>
      <w:numFmt w:val="bullet"/>
      <w:lvlText w:val="o"/>
      <w:lvlJc w:val="left"/>
      <w:pPr>
        <w:tabs>
          <w:tab w:val="num" w:pos="3420"/>
        </w:tabs>
        <w:ind w:left="3420" w:hanging="360"/>
      </w:pPr>
      <w:rPr>
        <w:rFonts w:ascii="Courier New" w:hAnsi="Courier New" w:cs="Courier New" w:hint="default"/>
      </w:rPr>
    </w:lvl>
    <w:lvl w:ilvl="2" w:tplc="0C090005" w:tentative="1">
      <w:start w:val="1"/>
      <w:numFmt w:val="bullet"/>
      <w:lvlText w:val=""/>
      <w:lvlJc w:val="left"/>
      <w:pPr>
        <w:tabs>
          <w:tab w:val="num" w:pos="4140"/>
        </w:tabs>
        <w:ind w:left="4140" w:hanging="360"/>
      </w:pPr>
      <w:rPr>
        <w:rFonts w:ascii="Wingdings" w:hAnsi="Wingdings" w:hint="default"/>
      </w:rPr>
    </w:lvl>
    <w:lvl w:ilvl="3" w:tplc="0C090001" w:tentative="1">
      <w:start w:val="1"/>
      <w:numFmt w:val="bullet"/>
      <w:lvlText w:val=""/>
      <w:lvlJc w:val="left"/>
      <w:pPr>
        <w:tabs>
          <w:tab w:val="num" w:pos="4860"/>
        </w:tabs>
        <w:ind w:left="4860" w:hanging="360"/>
      </w:pPr>
      <w:rPr>
        <w:rFonts w:ascii="Symbol" w:hAnsi="Symbol" w:hint="default"/>
      </w:rPr>
    </w:lvl>
    <w:lvl w:ilvl="4" w:tplc="0C090003" w:tentative="1">
      <w:start w:val="1"/>
      <w:numFmt w:val="bullet"/>
      <w:lvlText w:val="o"/>
      <w:lvlJc w:val="left"/>
      <w:pPr>
        <w:tabs>
          <w:tab w:val="num" w:pos="5580"/>
        </w:tabs>
        <w:ind w:left="5580" w:hanging="360"/>
      </w:pPr>
      <w:rPr>
        <w:rFonts w:ascii="Courier New" w:hAnsi="Courier New" w:cs="Courier New" w:hint="default"/>
      </w:rPr>
    </w:lvl>
    <w:lvl w:ilvl="5" w:tplc="0C090005" w:tentative="1">
      <w:start w:val="1"/>
      <w:numFmt w:val="bullet"/>
      <w:lvlText w:val=""/>
      <w:lvlJc w:val="left"/>
      <w:pPr>
        <w:tabs>
          <w:tab w:val="num" w:pos="6300"/>
        </w:tabs>
        <w:ind w:left="6300" w:hanging="360"/>
      </w:pPr>
      <w:rPr>
        <w:rFonts w:ascii="Wingdings" w:hAnsi="Wingdings" w:hint="default"/>
      </w:rPr>
    </w:lvl>
    <w:lvl w:ilvl="6" w:tplc="0C090001" w:tentative="1">
      <w:start w:val="1"/>
      <w:numFmt w:val="bullet"/>
      <w:lvlText w:val=""/>
      <w:lvlJc w:val="left"/>
      <w:pPr>
        <w:tabs>
          <w:tab w:val="num" w:pos="7020"/>
        </w:tabs>
        <w:ind w:left="7020" w:hanging="360"/>
      </w:pPr>
      <w:rPr>
        <w:rFonts w:ascii="Symbol" w:hAnsi="Symbol" w:hint="default"/>
      </w:rPr>
    </w:lvl>
    <w:lvl w:ilvl="7" w:tplc="0C090003" w:tentative="1">
      <w:start w:val="1"/>
      <w:numFmt w:val="bullet"/>
      <w:lvlText w:val="o"/>
      <w:lvlJc w:val="left"/>
      <w:pPr>
        <w:tabs>
          <w:tab w:val="num" w:pos="7740"/>
        </w:tabs>
        <w:ind w:left="7740" w:hanging="360"/>
      </w:pPr>
      <w:rPr>
        <w:rFonts w:ascii="Courier New" w:hAnsi="Courier New" w:cs="Courier New" w:hint="default"/>
      </w:rPr>
    </w:lvl>
    <w:lvl w:ilvl="8" w:tplc="0C090005" w:tentative="1">
      <w:start w:val="1"/>
      <w:numFmt w:val="bullet"/>
      <w:lvlText w:val=""/>
      <w:lvlJc w:val="left"/>
      <w:pPr>
        <w:tabs>
          <w:tab w:val="num" w:pos="8460"/>
        </w:tabs>
        <w:ind w:left="8460" w:hanging="360"/>
      </w:pPr>
      <w:rPr>
        <w:rFonts w:ascii="Wingdings" w:hAnsi="Wingdings" w:hint="default"/>
      </w:rPr>
    </w:lvl>
  </w:abstractNum>
  <w:abstractNum w:abstractNumId="15">
    <w:nsid w:val="35DD2BDC"/>
    <w:multiLevelType w:val="hybridMultilevel"/>
    <w:tmpl w:val="CA325ADA"/>
    <w:lvl w:ilvl="0" w:tplc="0C090001">
      <w:start w:val="1"/>
      <w:numFmt w:val="bullet"/>
      <w:lvlText w:val=""/>
      <w:lvlJc w:val="left"/>
      <w:pPr>
        <w:tabs>
          <w:tab w:val="num" w:pos="3480"/>
        </w:tabs>
        <w:ind w:left="3480" w:hanging="360"/>
      </w:pPr>
      <w:rPr>
        <w:rFonts w:ascii="Symbol" w:hAnsi="Symbol" w:hint="default"/>
      </w:rPr>
    </w:lvl>
    <w:lvl w:ilvl="1" w:tplc="0C090003" w:tentative="1">
      <w:start w:val="1"/>
      <w:numFmt w:val="bullet"/>
      <w:lvlText w:val="o"/>
      <w:lvlJc w:val="left"/>
      <w:pPr>
        <w:tabs>
          <w:tab w:val="num" w:pos="4200"/>
        </w:tabs>
        <w:ind w:left="4200" w:hanging="360"/>
      </w:pPr>
      <w:rPr>
        <w:rFonts w:ascii="Courier New" w:hAnsi="Courier New" w:cs="Courier New" w:hint="default"/>
      </w:rPr>
    </w:lvl>
    <w:lvl w:ilvl="2" w:tplc="0C090005" w:tentative="1">
      <w:start w:val="1"/>
      <w:numFmt w:val="bullet"/>
      <w:lvlText w:val=""/>
      <w:lvlJc w:val="left"/>
      <w:pPr>
        <w:tabs>
          <w:tab w:val="num" w:pos="4920"/>
        </w:tabs>
        <w:ind w:left="4920" w:hanging="360"/>
      </w:pPr>
      <w:rPr>
        <w:rFonts w:ascii="Wingdings" w:hAnsi="Wingdings" w:hint="default"/>
      </w:rPr>
    </w:lvl>
    <w:lvl w:ilvl="3" w:tplc="0C090001" w:tentative="1">
      <w:start w:val="1"/>
      <w:numFmt w:val="bullet"/>
      <w:lvlText w:val=""/>
      <w:lvlJc w:val="left"/>
      <w:pPr>
        <w:tabs>
          <w:tab w:val="num" w:pos="5640"/>
        </w:tabs>
        <w:ind w:left="5640" w:hanging="360"/>
      </w:pPr>
      <w:rPr>
        <w:rFonts w:ascii="Symbol" w:hAnsi="Symbol" w:hint="default"/>
      </w:rPr>
    </w:lvl>
    <w:lvl w:ilvl="4" w:tplc="0C090003" w:tentative="1">
      <w:start w:val="1"/>
      <w:numFmt w:val="bullet"/>
      <w:lvlText w:val="o"/>
      <w:lvlJc w:val="left"/>
      <w:pPr>
        <w:tabs>
          <w:tab w:val="num" w:pos="6360"/>
        </w:tabs>
        <w:ind w:left="6360" w:hanging="360"/>
      </w:pPr>
      <w:rPr>
        <w:rFonts w:ascii="Courier New" w:hAnsi="Courier New" w:cs="Courier New" w:hint="default"/>
      </w:rPr>
    </w:lvl>
    <w:lvl w:ilvl="5" w:tplc="0C090005" w:tentative="1">
      <w:start w:val="1"/>
      <w:numFmt w:val="bullet"/>
      <w:lvlText w:val=""/>
      <w:lvlJc w:val="left"/>
      <w:pPr>
        <w:tabs>
          <w:tab w:val="num" w:pos="7080"/>
        </w:tabs>
        <w:ind w:left="7080" w:hanging="360"/>
      </w:pPr>
      <w:rPr>
        <w:rFonts w:ascii="Wingdings" w:hAnsi="Wingdings" w:hint="default"/>
      </w:rPr>
    </w:lvl>
    <w:lvl w:ilvl="6" w:tplc="0C090001" w:tentative="1">
      <w:start w:val="1"/>
      <w:numFmt w:val="bullet"/>
      <w:lvlText w:val=""/>
      <w:lvlJc w:val="left"/>
      <w:pPr>
        <w:tabs>
          <w:tab w:val="num" w:pos="7800"/>
        </w:tabs>
        <w:ind w:left="7800" w:hanging="360"/>
      </w:pPr>
      <w:rPr>
        <w:rFonts w:ascii="Symbol" w:hAnsi="Symbol" w:hint="default"/>
      </w:rPr>
    </w:lvl>
    <w:lvl w:ilvl="7" w:tplc="0C090003" w:tentative="1">
      <w:start w:val="1"/>
      <w:numFmt w:val="bullet"/>
      <w:lvlText w:val="o"/>
      <w:lvlJc w:val="left"/>
      <w:pPr>
        <w:tabs>
          <w:tab w:val="num" w:pos="8520"/>
        </w:tabs>
        <w:ind w:left="8520" w:hanging="360"/>
      </w:pPr>
      <w:rPr>
        <w:rFonts w:ascii="Courier New" w:hAnsi="Courier New" w:cs="Courier New" w:hint="default"/>
      </w:rPr>
    </w:lvl>
    <w:lvl w:ilvl="8" w:tplc="0C090005" w:tentative="1">
      <w:start w:val="1"/>
      <w:numFmt w:val="bullet"/>
      <w:lvlText w:val=""/>
      <w:lvlJc w:val="left"/>
      <w:pPr>
        <w:tabs>
          <w:tab w:val="num" w:pos="9240"/>
        </w:tabs>
        <w:ind w:left="9240" w:hanging="360"/>
      </w:pPr>
      <w:rPr>
        <w:rFonts w:ascii="Wingdings" w:hAnsi="Wingdings" w:hint="default"/>
      </w:rPr>
    </w:lvl>
  </w:abstractNum>
  <w:abstractNum w:abstractNumId="16">
    <w:nsid w:val="3A9B13A6"/>
    <w:multiLevelType w:val="hybridMultilevel"/>
    <w:tmpl w:val="14D218D8"/>
    <w:lvl w:ilvl="0" w:tplc="86E8E94E">
      <w:start w:val="1"/>
      <w:numFmt w:val="lowerLetter"/>
      <w:lvlText w:val="(%1)"/>
      <w:lvlJc w:val="left"/>
      <w:pPr>
        <w:tabs>
          <w:tab w:val="num" w:pos="2520"/>
        </w:tabs>
        <w:ind w:left="2520" w:hanging="540"/>
      </w:pPr>
      <w:rPr>
        <w:rFonts w:hint="default"/>
      </w:rPr>
    </w:lvl>
    <w:lvl w:ilvl="1" w:tplc="0C090019" w:tentative="1">
      <w:start w:val="1"/>
      <w:numFmt w:val="lowerLetter"/>
      <w:lvlText w:val="%2."/>
      <w:lvlJc w:val="left"/>
      <w:pPr>
        <w:tabs>
          <w:tab w:val="num" w:pos="3060"/>
        </w:tabs>
        <w:ind w:left="3060" w:hanging="360"/>
      </w:pPr>
    </w:lvl>
    <w:lvl w:ilvl="2" w:tplc="0C09001B" w:tentative="1">
      <w:start w:val="1"/>
      <w:numFmt w:val="lowerRoman"/>
      <w:lvlText w:val="%3."/>
      <w:lvlJc w:val="right"/>
      <w:pPr>
        <w:tabs>
          <w:tab w:val="num" w:pos="3780"/>
        </w:tabs>
        <w:ind w:left="3780" w:hanging="180"/>
      </w:pPr>
    </w:lvl>
    <w:lvl w:ilvl="3" w:tplc="0C09000F" w:tentative="1">
      <w:start w:val="1"/>
      <w:numFmt w:val="decimal"/>
      <w:lvlText w:val="%4."/>
      <w:lvlJc w:val="left"/>
      <w:pPr>
        <w:tabs>
          <w:tab w:val="num" w:pos="4500"/>
        </w:tabs>
        <w:ind w:left="4500" w:hanging="360"/>
      </w:pPr>
    </w:lvl>
    <w:lvl w:ilvl="4" w:tplc="0C090019" w:tentative="1">
      <w:start w:val="1"/>
      <w:numFmt w:val="lowerLetter"/>
      <w:lvlText w:val="%5."/>
      <w:lvlJc w:val="left"/>
      <w:pPr>
        <w:tabs>
          <w:tab w:val="num" w:pos="5220"/>
        </w:tabs>
        <w:ind w:left="5220" w:hanging="360"/>
      </w:pPr>
    </w:lvl>
    <w:lvl w:ilvl="5" w:tplc="0C09001B" w:tentative="1">
      <w:start w:val="1"/>
      <w:numFmt w:val="lowerRoman"/>
      <w:lvlText w:val="%6."/>
      <w:lvlJc w:val="right"/>
      <w:pPr>
        <w:tabs>
          <w:tab w:val="num" w:pos="5940"/>
        </w:tabs>
        <w:ind w:left="5940" w:hanging="180"/>
      </w:pPr>
    </w:lvl>
    <w:lvl w:ilvl="6" w:tplc="0C09000F" w:tentative="1">
      <w:start w:val="1"/>
      <w:numFmt w:val="decimal"/>
      <w:lvlText w:val="%7."/>
      <w:lvlJc w:val="left"/>
      <w:pPr>
        <w:tabs>
          <w:tab w:val="num" w:pos="6660"/>
        </w:tabs>
        <w:ind w:left="6660" w:hanging="360"/>
      </w:pPr>
    </w:lvl>
    <w:lvl w:ilvl="7" w:tplc="0C090019" w:tentative="1">
      <w:start w:val="1"/>
      <w:numFmt w:val="lowerLetter"/>
      <w:lvlText w:val="%8."/>
      <w:lvlJc w:val="left"/>
      <w:pPr>
        <w:tabs>
          <w:tab w:val="num" w:pos="7380"/>
        </w:tabs>
        <w:ind w:left="7380" w:hanging="360"/>
      </w:pPr>
    </w:lvl>
    <w:lvl w:ilvl="8" w:tplc="0C09001B" w:tentative="1">
      <w:start w:val="1"/>
      <w:numFmt w:val="lowerRoman"/>
      <w:lvlText w:val="%9."/>
      <w:lvlJc w:val="right"/>
      <w:pPr>
        <w:tabs>
          <w:tab w:val="num" w:pos="8100"/>
        </w:tabs>
        <w:ind w:left="8100" w:hanging="180"/>
      </w:pPr>
    </w:lvl>
  </w:abstractNum>
  <w:abstractNum w:abstractNumId="17">
    <w:nsid w:val="47EE3DA2"/>
    <w:multiLevelType w:val="hybridMultilevel"/>
    <w:tmpl w:val="DE24C6D4"/>
    <w:lvl w:ilvl="0" w:tplc="C65649F0">
      <w:start w:val="1"/>
      <w:numFmt w:val="lowerRoman"/>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8">
    <w:nsid w:val="566477E1"/>
    <w:multiLevelType w:val="hybridMultilevel"/>
    <w:tmpl w:val="976ED6C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9">
    <w:nsid w:val="58452373"/>
    <w:multiLevelType w:val="hybridMultilevel"/>
    <w:tmpl w:val="41D03DAA"/>
    <w:lvl w:ilvl="0" w:tplc="0C090001">
      <w:start w:val="1"/>
      <w:numFmt w:val="bullet"/>
      <w:lvlText w:val=""/>
      <w:lvlJc w:val="left"/>
      <w:pPr>
        <w:tabs>
          <w:tab w:val="num" w:pos="1258"/>
        </w:tabs>
        <w:ind w:left="1258" w:hanging="360"/>
      </w:pPr>
      <w:rPr>
        <w:rFonts w:ascii="Symbol" w:hAnsi="Symbol" w:hint="default"/>
      </w:rPr>
    </w:lvl>
    <w:lvl w:ilvl="1" w:tplc="0C090003" w:tentative="1">
      <w:start w:val="1"/>
      <w:numFmt w:val="bullet"/>
      <w:lvlText w:val="o"/>
      <w:lvlJc w:val="left"/>
      <w:pPr>
        <w:tabs>
          <w:tab w:val="num" w:pos="1978"/>
        </w:tabs>
        <w:ind w:left="1978" w:hanging="360"/>
      </w:pPr>
      <w:rPr>
        <w:rFonts w:ascii="Courier New" w:hAnsi="Courier New" w:cs="Courier New" w:hint="default"/>
      </w:rPr>
    </w:lvl>
    <w:lvl w:ilvl="2" w:tplc="0C090005" w:tentative="1">
      <w:start w:val="1"/>
      <w:numFmt w:val="bullet"/>
      <w:lvlText w:val=""/>
      <w:lvlJc w:val="left"/>
      <w:pPr>
        <w:tabs>
          <w:tab w:val="num" w:pos="2698"/>
        </w:tabs>
        <w:ind w:left="2698" w:hanging="360"/>
      </w:pPr>
      <w:rPr>
        <w:rFonts w:ascii="Wingdings" w:hAnsi="Wingdings" w:hint="default"/>
      </w:rPr>
    </w:lvl>
    <w:lvl w:ilvl="3" w:tplc="0C090001" w:tentative="1">
      <w:start w:val="1"/>
      <w:numFmt w:val="bullet"/>
      <w:lvlText w:val=""/>
      <w:lvlJc w:val="left"/>
      <w:pPr>
        <w:tabs>
          <w:tab w:val="num" w:pos="3418"/>
        </w:tabs>
        <w:ind w:left="3418" w:hanging="360"/>
      </w:pPr>
      <w:rPr>
        <w:rFonts w:ascii="Symbol" w:hAnsi="Symbol" w:hint="default"/>
      </w:rPr>
    </w:lvl>
    <w:lvl w:ilvl="4" w:tplc="0C090003" w:tentative="1">
      <w:start w:val="1"/>
      <w:numFmt w:val="bullet"/>
      <w:lvlText w:val="o"/>
      <w:lvlJc w:val="left"/>
      <w:pPr>
        <w:tabs>
          <w:tab w:val="num" w:pos="4138"/>
        </w:tabs>
        <w:ind w:left="4138" w:hanging="360"/>
      </w:pPr>
      <w:rPr>
        <w:rFonts w:ascii="Courier New" w:hAnsi="Courier New" w:cs="Courier New" w:hint="default"/>
      </w:rPr>
    </w:lvl>
    <w:lvl w:ilvl="5" w:tplc="0C090005" w:tentative="1">
      <w:start w:val="1"/>
      <w:numFmt w:val="bullet"/>
      <w:lvlText w:val=""/>
      <w:lvlJc w:val="left"/>
      <w:pPr>
        <w:tabs>
          <w:tab w:val="num" w:pos="4858"/>
        </w:tabs>
        <w:ind w:left="4858" w:hanging="360"/>
      </w:pPr>
      <w:rPr>
        <w:rFonts w:ascii="Wingdings" w:hAnsi="Wingdings" w:hint="default"/>
      </w:rPr>
    </w:lvl>
    <w:lvl w:ilvl="6" w:tplc="0C090001" w:tentative="1">
      <w:start w:val="1"/>
      <w:numFmt w:val="bullet"/>
      <w:lvlText w:val=""/>
      <w:lvlJc w:val="left"/>
      <w:pPr>
        <w:tabs>
          <w:tab w:val="num" w:pos="5578"/>
        </w:tabs>
        <w:ind w:left="5578" w:hanging="360"/>
      </w:pPr>
      <w:rPr>
        <w:rFonts w:ascii="Symbol" w:hAnsi="Symbol" w:hint="default"/>
      </w:rPr>
    </w:lvl>
    <w:lvl w:ilvl="7" w:tplc="0C090003" w:tentative="1">
      <w:start w:val="1"/>
      <w:numFmt w:val="bullet"/>
      <w:lvlText w:val="o"/>
      <w:lvlJc w:val="left"/>
      <w:pPr>
        <w:tabs>
          <w:tab w:val="num" w:pos="6298"/>
        </w:tabs>
        <w:ind w:left="6298" w:hanging="360"/>
      </w:pPr>
      <w:rPr>
        <w:rFonts w:ascii="Courier New" w:hAnsi="Courier New" w:cs="Courier New" w:hint="default"/>
      </w:rPr>
    </w:lvl>
    <w:lvl w:ilvl="8" w:tplc="0C090005" w:tentative="1">
      <w:start w:val="1"/>
      <w:numFmt w:val="bullet"/>
      <w:lvlText w:val=""/>
      <w:lvlJc w:val="left"/>
      <w:pPr>
        <w:tabs>
          <w:tab w:val="num" w:pos="7018"/>
        </w:tabs>
        <w:ind w:left="7018" w:hanging="360"/>
      </w:pPr>
      <w:rPr>
        <w:rFonts w:ascii="Wingdings" w:hAnsi="Wingdings" w:hint="default"/>
      </w:rPr>
    </w:lvl>
  </w:abstractNum>
  <w:abstractNum w:abstractNumId="20">
    <w:nsid w:val="58EF0E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09D3591"/>
    <w:multiLevelType w:val="hybridMultilevel"/>
    <w:tmpl w:val="61E0545C"/>
    <w:lvl w:ilvl="0" w:tplc="0C090001">
      <w:start w:val="1"/>
      <w:numFmt w:val="bullet"/>
      <w:lvlText w:val=""/>
      <w:lvlJc w:val="left"/>
      <w:pPr>
        <w:tabs>
          <w:tab w:val="num" w:pos="3120"/>
        </w:tabs>
        <w:ind w:left="3120" w:hanging="360"/>
      </w:pPr>
      <w:rPr>
        <w:rFonts w:ascii="Symbol" w:hAnsi="Symbol" w:hint="default"/>
      </w:rPr>
    </w:lvl>
    <w:lvl w:ilvl="1" w:tplc="0C090003" w:tentative="1">
      <w:start w:val="1"/>
      <w:numFmt w:val="bullet"/>
      <w:lvlText w:val="o"/>
      <w:lvlJc w:val="left"/>
      <w:pPr>
        <w:tabs>
          <w:tab w:val="num" w:pos="3840"/>
        </w:tabs>
        <w:ind w:left="3840" w:hanging="360"/>
      </w:pPr>
      <w:rPr>
        <w:rFonts w:ascii="Courier New" w:hAnsi="Courier New" w:cs="Courier New" w:hint="default"/>
      </w:rPr>
    </w:lvl>
    <w:lvl w:ilvl="2" w:tplc="0C090005" w:tentative="1">
      <w:start w:val="1"/>
      <w:numFmt w:val="bullet"/>
      <w:lvlText w:val=""/>
      <w:lvlJc w:val="left"/>
      <w:pPr>
        <w:tabs>
          <w:tab w:val="num" w:pos="4560"/>
        </w:tabs>
        <w:ind w:left="4560" w:hanging="360"/>
      </w:pPr>
      <w:rPr>
        <w:rFonts w:ascii="Wingdings" w:hAnsi="Wingdings" w:hint="default"/>
      </w:rPr>
    </w:lvl>
    <w:lvl w:ilvl="3" w:tplc="0C090001" w:tentative="1">
      <w:start w:val="1"/>
      <w:numFmt w:val="bullet"/>
      <w:lvlText w:val=""/>
      <w:lvlJc w:val="left"/>
      <w:pPr>
        <w:tabs>
          <w:tab w:val="num" w:pos="5280"/>
        </w:tabs>
        <w:ind w:left="5280" w:hanging="360"/>
      </w:pPr>
      <w:rPr>
        <w:rFonts w:ascii="Symbol" w:hAnsi="Symbol" w:hint="default"/>
      </w:rPr>
    </w:lvl>
    <w:lvl w:ilvl="4" w:tplc="0C090003" w:tentative="1">
      <w:start w:val="1"/>
      <w:numFmt w:val="bullet"/>
      <w:lvlText w:val="o"/>
      <w:lvlJc w:val="left"/>
      <w:pPr>
        <w:tabs>
          <w:tab w:val="num" w:pos="6000"/>
        </w:tabs>
        <w:ind w:left="6000" w:hanging="360"/>
      </w:pPr>
      <w:rPr>
        <w:rFonts w:ascii="Courier New" w:hAnsi="Courier New" w:cs="Courier New" w:hint="default"/>
      </w:rPr>
    </w:lvl>
    <w:lvl w:ilvl="5" w:tplc="0C090005" w:tentative="1">
      <w:start w:val="1"/>
      <w:numFmt w:val="bullet"/>
      <w:lvlText w:val=""/>
      <w:lvlJc w:val="left"/>
      <w:pPr>
        <w:tabs>
          <w:tab w:val="num" w:pos="6720"/>
        </w:tabs>
        <w:ind w:left="6720" w:hanging="360"/>
      </w:pPr>
      <w:rPr>
        <w:rFonts w:ascii="Wingdings" w:hAnsi="Wingdings" w:hint="default"/>
      </w:rPr>
    </w:lvl>
    <w:lvl w:ilvl="6" w:tplc="0C090001" w:tentative="1">
      <w:start w:val="1"/>
      <w:numFmt w:val="bullet"/>
      <w:lvlText w:val=""/>
      <w:lvlJc w:val="left"/>
      <w:pPr>
        <w:tabs>
          <w:tab w:val="num" w:pos="7440"/>
        </w:tabs>
        <w:ind w:left="7440" w:hanging="360"/>
      </w:pPr>
      <w:rPr>
        <w:rFonts w:ascii="Symbol" w:hAnsi="Symbol" w:hint="default"/>
      </w:rPr>
    </w:lvl>
    <w:lvl w:ilvl="7" w:tplc="0C090003" w:tentative="1">
      <w:start w:val="1"/>
      <w:numFmt w:val="bullet"/>
      <w:lvlText w:val="o"/>
      <w:lvlJc w:val="left"/>
      <w:pPr>
        <w:tabs>
          <w:tab w:val="num" w:pos="8160"/>
        </w:tabs>
        <w:ind w:left="8160" w:hanging="360"/>
      </w:pPr>
      <w:rPr>
        <w:rFonts w:ascii="Courier New" w:hAnsi="Courier New" w:cs="Courier New" w:hint="default"/>
      </w:rPr>
    </w:lvl>
    <w:lvl w:ilvl="8" w:tplc="0C090005" w:tentative="1">
      <w:start w:val="1"/>
      <w:numFmt w:val="bullet"/>
      <w:lvlText w:val=""/>
      <w:lvlJc w:val="left"/>
      <w:pPr>
        <w:tabs>
          <w:tab w:val="num" w:pos="8880"/>
        </w:tabs>
        <w:ind w:left="8880" w:hanging="360"/>
      </w:pPr>
      <w:rPr>
        <w:rFonts w:ascii="Wingdings" w:hAnsi="Wingdings" w:hint="default"/>
      </w:rPr>
    </w:lvl>
  </w:abstractNum>
  <w:abstractNum w:abstractNumId="22">
    <w:nsid w:val="62720949"/>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23">
    <w:nsid w:val="629C4641"/>
    <w:multiLevelType w:val="hybridMultilevel"/>
    <w:tmpl w:val="E592C3CC"/>
    <w:lvl w:ilvl="0" w:tplc="71FE9618">
      <w:start w:val="1"/>
      <w:numFmt w:val="bullet"/>
      <w:lvlText w:val=""/>
      <w:lvlJc w:val="left"/>
      <w:pPr>
        <w:tabs>
          <w:tab w:val="num" w:pos="351"/>
        </w:tabs>
        <w:ind w:left="351" w:hanging="284"/>
      </w:pPr>
      <w:rPr>
        <w:rFonts w:ascii="Symbol" w:hAnsi="Symbol" w:hint="default"/>
        <w:color w:val="auto"/>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4">
    <w:nsid w:val="6D4F33A8"/>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25">
    <w:nsid w:val="72B85DF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24"/>
  </w:num>
  <w:num w:numId="4">
    <w:abstractNumId w:val="13"/>
  </w:num>
  <w:num w:numId="5">
    <w:abstractNumId w:val="12"/>
  </w:num>
  <w:num w:numId="6">
    <w:abstractNumId w:val="7"/>
  </w:num>
  <w:num w:numId="7">
    <w:abstractNumId w:val="22"/>
  </w:num>
  <w:num w:numId="8">
    <w:abstractNumId w:val="23"/>
  </w:num>
  <w:num w:numId="9">
    <w:abstractNumId w:val="8"/>
  </w:num>
  <w:num w:numId="10">
    <w:abstractNumId w:val="0"/>
  </w:num>
  <w:num w:numId="11">
    <w:abstractNumId w:val="21"/>
  </w:num>
  <w:num w:numId="12">
    <w:abstractNumId w:val="15"/>
  </w:num>
  <w:num w:numId="13">
    <w:abstractNumId w:val="6"/>
  </w:num>
  <w:num w:numId="14">
    <w:abstractNumId w:val="16"/>
  </w:num>
  <w:num w:numId="15">
    <w:abstractNumId w:val="1"/>
  </w:num>
  <w:num w:numId="16">
    <w:abstractNumId w:val="4"/>
  </w:num>
  <w:num w:numId="17">
    <w:abstractNumId w:val="3"/>
  </w:num>
  <w:num w:numId="18">
    <w:abstractNumId w:val="9"/>
  </w:num>
  <w:num w:numId="19">
    <w:abstractNumId w:val="14"/>
  </w:num>
  <w:num w:numId="20">
    <w:abstractNumId w:val="18"/>
  </w:num>
  <w:num w:numId="21">
    <w:abstractNumId w:val="20"/>
  </w:num>
  <w:num w:numId="22">
    <w:abstractNumId w:val="25"/>
  </w:num>
  <w:num w:numId="23">
    <w:abstractNumId w:val="19"/>
  </w:num>
  <w:num w:numId="24">
    <w:abstractNumId w:val="11"/>
  </w:num>
  <w:num w:numId="25">
    <w:abstractNumId w:val="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B42"/>
    <w:rsid w:val="00001084"/>
    <w:rsid w:val="00001AE7"/>
    <w:rsid w:val="000029B9"/>
    <w:rsid w:val="00004146"/>
    <w:rsid w:val="00012EE3"/>
    <w:rsid w:val="00015F95"/>
    <w:rsid w:val="0001714A"/>
    <w:rsid w:val="000173C0"/>
    <w:rsid w:val="000173FD"/>
    <w:rsid w:val="00017B27"/>
    <w:rsid w:val="00017FC8"/>
    <w:rsid w:val="0002010C"/>
    <w:rsid w:val="000230F3"/>
    <w:rsid w:val="0002396E"/>
    <w:rsid w:val="000239D8"/>
    <w:rsid w:val="00026BF9"/>
    <w:rsid w:val="00030282"/>
    <w:rsid w:val="00030619"/>
    <w:rsid w:val="00031F4A"/>
    <w:rsid w:val="00033505"/>
    <w:rsid w:val="000349CB"/>
    <w:rsid w:val="00034DAD"/>
    <w:rsid w:val="00040034"/>
    <w:rsid w:val="00045748"/>
    <w:rsid w:val="00045F90"/>
    <w:rsid w:val="00046E29"/>
    <w:rsid w:val="00047723"/>
    <w:rsid w:val="00047D06"/>
    <w:rsid w:val="000533FE"/>
    <w:rsid w:val="000554E5"/>
    <w:rsid w:val="00057B42"/>
    <w:rsid w:val="00064B6F"/>
    <w:rsid w:val="000701B4"/>
    <w:rsid w:val="00072581"/>
    <w:rsid w:val="00073272"/>
    <w:rsid w:val="000736E4"/>
    <w:rsid w:val="0007797F"/>
    <w:rsid w:val="00082297"/>
    <w:rsid w:val="000822DD"/>
    <w:rsid w:val="00083FF5"/>
    <w:rsid w:val="00085F20"/>
    <w:rsid w:val="0008657A"/>
    <w:rsid w:val="00087B3A"/>
    <w:rsid w:val="00087E73"/>
    <w:rsid w:val="00093163"/>
    <w:rsid w:val="0009316A"/>
    <w:rsid w:val="000979ED"/>
    <w:rsid w:val="00097BBA"/>
    <w:rsid w:val="000A2A93"/>
    <w:rsid w:val="000A4111"/>
    <w:rsid w:val="000A4680"/>
    <w:rsid w:val="000A76F9"/>
    <w:rsid w:val="000B0634"/>
    <w:rsid w:val="000B1984"/>
    <w:rsid w:val="000B2085"/>
    <w:rsid w:val="000B57D8"/>
    <w:rsid w:val="000B722D"/>
    <w:rsid w:val="000B7C65"/>
    <w:rsid w:val="000B7E5C"/>
    <w:rsid w:val="000C0BFE"/>
    <w:rsid w:val="000C1F4D"/>
    <w:rsid w:val="000C22DD"/>
    <w:rsid w:val="000C26C7"/>
    <w:rsid w:val="000C3162"/>
    <w:rsid w:val="000C45B6"/>
    <w:rsid w:val="000C4C27"/>
    <w:rsid w:val="000C52AF"/>
    <w:rsid w:val="000D1CCD"/>
    <w:rsid w:val="000D2CE9"/>
    <w:rsid w:val="000D4FC9"/>
    <w:rsid w:val="000D5D0C"/>
    <w:rsid w:val="000E0384"/>
    <w:rsid w:val="000E5D5A"/>
    <w:rsid w:val="000E7C7B"/>
    <w:rsid w:val="000F0B08"/>
    <w:rsid w:val="000F1079"/>
    <w:rsid w:val="000F5312"/>
    <w:rsid w:val="000F5E20"/>
    <w:rsid w:val="000F6452"/>
    <w:rsid w:val="000F7E95"/>
    <w:rsid w:val="00103475"/>
    <w:rsid w:val="00103688"/>
    <w:rsid w:val="00107CB6"/>
    <w:rsid w:val="00110277"/>
    <w:rsid w:val="001120E8"/>
    <w:rsid w:val="001146C9"/>
    <w:rsid w:val="0011486B"/>
    <w:rsid w:val="0012045C"/>
    <w:rsid w:val="00130BC1"/>
    <w:rsid w:val="001322BD"/>
    <w:rsid w:val="00133195"/>
    <w:rsid w:val="00133C4D"/>
    <w:rsid w:val="00135C0B"/>
    <w:rsid w:val="00140C4E"/>
    <w:rsid w:val="00142842"/>
    <w:rsid w:val="00144646"/>
    <w:rsid w:val="00146B57"/>
    <w:rsid w:val="001501EE"/>
    <w:rsid w:val="001507A0"/>
    <w:rsid w:val="001508ED"/>
    <w:rsid w:val="00150E1A"/>
    <w:rsid w:val="00151690"/>
    <w:rsid w:val="00151778"/>
    <w:rsid w:val="00162981"/>
    <w:rsid w:val="00162AEC"/>
    <w:rsid w:val="001638CD"/>
    <w:rsid w:val="00163A8C"/>
    <w:rsid w:val="001645BB"/>
    <w:rsid w:val="00167417"/>
    <w:rsid w:val="001678FE"/>
    <w:rsid w:val="00172428"/>
    <w:rsid w:val="0017437A"/>
    <w:rsid w:val="00174638"/>
    <w:rsid w:val="00174E38"/>
    <w:rsid w:val="00175EAA"/>
    <w:rsid w:val="0017634F"/>
    <w:rsid w:val="00180578"/>
    <w:rsid w:val="001825A1"/>
    <w:rsid w:val="00183913"/>
    <w:rsid w:val="0019194B"/>
    <w:rsid w:val="00191EBF"/>
    <w:rsid w:val="00193261"/>
    <w:rsid w:val="00193A33"/>
    <w:rsid w:val="001946FE"/>
    <w:rsid w:val="00196365"/>
    <w:rsid w:val="001A4A4A"/>
    <w:rsid w:val="001A7263"/>
    <w:rsid w:val="001B0AD2"/>
    <w:rsid w:val="001B0E97"/>
    <w:rsid w:val="001B21F6"/>
    <w:rsid w:val="001B2B01"/>
    <w:rsid w:val="001B2DBD"/>
    <w:rsid w:val="001B413C"/>
    <w:rsid w:val="001B5485"/>
    <w:rsid w:val="001C0DD3"/>
    <w:rsid w:val="001C112B"/>
    <w:rsid w:val="001C4AC4"/>
    <w:rsid w:val="001C5F6E"/>
    <w:rsid w:val="001C6600"/>
    <w:rsid w:val="001C6C2C"/>
    <w:rsid w:val="001D1F03"/>
    <w:rsid w:val="001D214D"/>
    <w:rsid w:val="001D7E32"/>
    <w:rsid w:val="001E01BF"/>
    <w:rsid w:val="001E2981"/>
    <w:rsid w:val="001E4B34"/>
    <w:rsid w:val="001E4DBC"/>
    <w:rsid w:val="001E683B"/>
    <w:rsid w:val="001E6FAB"/>
    <w:rsid w:val="001F1146"/>
    <w:rsid w:val="001F1FEE"/>
    <w:rsid w:val="001F4A1C"/>
    <w:rsid w:val="001F5561"/>
    <w:rsid w:val="00200B3B"/>
    <w:rsid w:val="00200D5B"/>
    <w:rsid w:val="00204A32"/>
    <w:rsid w:val="002061CB"/>
    <w:rsid w:val="00207089"/>
    <w:rsid w:val="0021341C"/>
    <w:rsid w:val="00213C40"/>
    <w:rsid w:val="002164CE"/>
    <w:rsid w:val="002212F3"/>
    <w:rsid w:val="00225334"/>
    <w:rsid w:val="0022660F"/>
    <w:rsid w:val="00226DD1"/>
    <w:rsid w:val="00227D31"/>
    <w:rsid w:val="002303DB"/>
    <w:rsid w:val="002311F4"/>
    <w:rsid w:val="002322E8"/>
    <w:rsid w:val="00233246"/>
    <w:rsid w:val="002340FA"/>
    <w:rsid w:val="002346CF"/>
    <w:rsid w:val="0024150D"/>
    <w:rsid w:val="00242124"/>
    <w:rsid w:val="00244466"/>
    <w:rsid w:val="00246435"/>
    <w:rsid w:val="0024679A"/>
    <w:rsid w:val="00252A54"/>
    <w:rsid w:val="00255E47"/>
    <w:rsid w:val="002566E5"/>
    <w:rsid w:val="002572BF"/>
    <w:rsid w:val="00263ADD"/>
    <w:rsid w:val="00264E59"/>
    <w:rsid w:val="00264F6A"/>
    <w:rsid w:val="00267097"/>
    <w:rsid w:val="00271C5A"/>
    <w:rsid w:val="00273059"/>
    <w:rsid w:val="00276124"/>
    <w:rsid w:val="002775DB"/>
    <w:rsid w:val="00280668"/>
    <w:rsid w:val="00283487"/>
    <w:rsid w:val="00285C54"/>
    <w:rsid w:val="00285E41"/>
    <w:rsid w:val="00295020"/>
    <w:rsid w:val="002951D6"/>
    <w:rsid w:val="002958F6"/>
    <w:rsid w:val="00297061"/>
    <w:rsid w:val="0029776E"/>
    <w:rsid w:val="002A073D"/>
    <w:rsid w:val="002A0F2D"/>
    <w:rsid w:val="002A29A4"/>
    <w:rsid w:val="002A4A18"/>
    <w:rsid w:val="002A555A"/>
    <w:rsid w:val="002A5E03"/>
    <w:rsid w:val="002A6D42"/>
    <w:rsid w:val="002A73FF"/>
    <w:rsid w:val="002B11BA"/>
    <w:rsid w:val="002B13EA"/>
    <w:rsid w:val="002B1B8A"/>
    <w:rsid w:val="002B232F"/>
    <w:rsid w:val="002B373D"/>
    <w:rsid w:val="002B5CDF"/>
    <w:rsid w:val="002B7655"/>
    <w:rsid w:val="002C136A"/>
    <w:rsid w:val="002C14A0"/>
    <w:rsid w:val="002C1834"/>
    <w:rsid w:val="002C2953"/>
    <w:rsid w:val="002C6A75"/>
    <w:rsid w:val="002C6F15"/>
    <w:rsid w:val="002D0BC4"/>
    <w:rsid w:val="002D230B"/>
    <w:rsid w:val="002D24CA"/>
    <w:rsid w:val="002D25BF"/>
    <w:rsid w:val="002D28C4"/>
    <w:rsid w:val="002D2FCE"/>
    <w:rsid w:val="002D5F0C"/>
    <w:rsid w:val="002E10ED"/>
    <w:rsid w:val="002E283E"/>
    <w:rsid w:val="002E37BF"/>
    <w:rsid w:val="002E40AB"/>
    <w:rsid w:val="002E64D5"/>
    <w:rsid w:val="002E6CE2"/>
    <w:rsid w:val="002F335F"/>
    <w:rsid w:val="002F4F6D"/>
    <w:rsid w:val="002F4FFD"/>
    <w:rsid w:val="002F7C57"/>
    <w:rsid w:val="00301D49"/>
    <w:rsid w:val="00302A0B"/>
    <w:rsid w:val="0030384A"/>
    <w:rsid w:val="00304AAE"/>
    <w:rsid w:val="00306992"/>
    <w:rsid w:val="00306C59"/>
    <w:rsid w:val="00307F0B"/>
    <w:rsid w:val="003136B1"/>
    <w:rsid w:val="00313CD5"/>
    <w:rsid w:val="00317367"/>
    <w:rsid w:val="00317C1C"/>
    <w:rsid w:val="00325F89"/>
    <w:rsid w:val="003336FD"/>
    <w:rsid w:val="00333B47"/>
    <w:rsid w:val="003344BA"/>
    <w:rsid w:val="00334F79"/>
    <w:rsid w:val="00335C62"/>
    <w:rsid w:val="00336E75"/>
    <w:rsid w:val="00337DBC"/>
    <w:rsid w:val="00340724"/>
    <w:rsid w:val="003407BB"/>
    <w:rsid w:val="00343FE7"/>
    <w:rsid w:val="0034539D"/>
    <w:rsid w:val="00346EA6"/>
    <w:rsid w:val="00346F09"/>
    <w:rsid w:val="00350368"/>
    <w:rsid w:val="003579D4"/>
    <w:rsid w:val="00365CF9"/>
    <w:rsid w:val="003679E1"/>
    <w:rsid w:val="003709F2"/>
    <w:rsid w:val="00371315"/>
    <w:rsid w:val="00374091"/>
    <w:rsid w:val="0037431F"/>
    <w:rsid w:val="00380D4B"/>
    <w:rsid w:val="00381900"/>
    <w:rsid w:val="00385371"/>
    <w:rsid w:val="00385485"/>
    <w:rsid w:val="00387107"/>
    <w:rsid w:val="0039098D"/>
    <w:rsid w:val="003909C3"/>
    <w:rsid w:val="003911C8"/>
    <w:rsid w:val="00394A07"/>
    <w:rsid w:val="003977FA"/>
    <w:rsid w:val="00397D22"/>
    <w:rsid w:val="003A21E4"/>
    <w:rsid w:val="003A6A17"/>
    <w:rsid w:val="003A6BF8"/>
    <w:rsid w:val="003B2731"/>
    <w:rsid w:val="003B5A26"/>
    <w:rsid w:val="003C014C"/>
    <w:rsid w:val="003C4EA5"/>
    <w:rsid w:val="003C5422"/>
    <w:rsid w:val="003C66A7"/>
    <w:rsid w:val="003D121E"/>
    <w:rsid w:val="003D274A"/>
    <w:rsid w:val="003D3499"/>
    <w:rsid w:val="003D5F9D"/>
    <w:rsid w:val="003D62D5"/>
    <w:rsid w:val="003D6ECB"/>
    <w:rsid w:val="003D6FA1"/>
    <w:rsid w:val="003E0C2D"/>
    <w:rsid w:val="003E3E09"/>
    <w:rsid w:val="003E4574"/>
    <w:rsid w:val="003E5C82"/>
    <w:rsid w:val="003E62F3"/>
    <w:rsid w:val="003F045F"/>
    <w:rsid w:val="003F0672"/>
    <w:rsid w:val="003F07BB"/>
    <w:rsid w:val="003F0DC8"/>
    <w:rsid w:val="003F6494"/>
    <w:rsid w:val="003F68E9"/>
    <w:rsid w:val="003F6A2A"/>
    <w:rsid w:val="003F6B91"/>
    <w:rsid w:val="003F7226"/>
    <w:rsid w:val="003F72F9"/>
    <w:rsid w:val="0040128F"/>
    <w:rsid w:val="004078E5"/>
    <w:rsid w:val="00410FF0"/>
    <w:rsid w:val="00416C80"/>
    <w:rsid w:val="00420883"/>
    <w:rsid w:val="00420F04"/>
    <w:rsid w:val="0042272B"/>
    <w:rsid w:val="004229FF"/>
    <w:rsid w:val="00422B3A"/>
    <w:rsid w:val="0042432B"/>
    <w:rsid w:val="00427F99"/>
    <w:rsid w:val="00432E33"/>
    <w:rsid w:val="004331A3"/>
    <w:rsid w:val="004335BC"/>
    <w:rsid w:val="00435A5D"/>
    <w:rsid w:val="004417A6"/>
    <w:rsid w:val="00446D9C"/>
    <w:rsid w:val="004506E8"/>
    <w:rsid w:val="00450C0F"/>
    <w:rsid w:val="00451296"/>
    <w:rsid w:val="00451322"/>
    <w:rsid w:val="00462026"/>
    <w:rsid w:val="00462100"/>
    <w:rsid w:val="00465BB4"/>
    <w:rsid w:val="00465F28"/>
    <w:rsid w:val="00466129"/>
    <w:rsid w:val="00466754"/>
    <w:rsid w:val="004670A8"/>
    <w:rsid w:val="00473274"/>
    <w:rsid w:val="00473A4D"/>
    <w:rsid w:val="00474348"/>
    <w:rsid w:val="00474F00"/>
    <w:rsid w:val="004773C2"/>
    <w:rsid w:val="00481141"/>
    <w:rsid w:val="00482121"/>
    <w:rsid w:val="00483086"/>
    <w:rsid w:val="00483C8F"/>
    <w:rsid w:val="004900D4"/>
    <w:rsid w:val="00491F2A"/>
    <w:rsid w:val="004A1A00"/>
    <w:rsid w:val="004A1C11"/>
    <w:rsid w:val="004A4E7E"/>
    <w:rsid w:val="004A5012"/>
    <w:rsid w:val="004B0B66"/>
    <w:rsid w:val="004B264B"/>
    <w:rsid w:val="004B40D5"/>
    <w:rsid w:val="004B6CD2"/>
    <w:rsid w:val="004C109C"/>
    <w:rsid w:val="004C2A4E"/>
    <w:rsid w:val="004C3B5F"/>
    <w:rsid w:val="004C407F"/>
    <w:rsid w:val="004C6239"/>
    <w:rsid w:val="004D0563"/>
    <w:rsid w:val="004D2073"/>
    <w:rsid w:val="004D5494"/>
    <w:rsid w:val="004D55F8"/>
    <w:rsid w:val="004D60E9"/>
    <w:rsid w:val="004D756D"/>
    <w:rsid w:val="004D75A7"/>
    <w:rsid w:val="004E068F"/>
    <w:rsid w:val="004E0834"/>
    <w:rsid w:val="004E1475"/>
    <w:rsid w:val="004E384F"/>
    <w:rsid w:val="004F279E"/>
    <w:rsid w:val="004F2980"/>
    <w:rsid w:val="004F3C13"/>
    <w:rsid w:val="004F75F2"/>
    <w:rsid w:val="00501CAD"/>
    <w:rsid w:val="005122AC"/>
    <w:rsid w:val="005125ED"/>
    <w:rsid w:val="00513BAB"/>
    <w:rsid w:val="005141BA"/>
    <w:rsid w:val="0051441B"/>
    <w:rsid w:val="00515FAD"/>
    <w:rsid w:val="0051782D"/>
    <w:rsid w:val="00520D91"/>
    <w:rsid w:val="00522259"/>
    <w:rsid w:val="005268F8"/>
    <w:rsid w:val="00527829"/>
    <w:rsid w:val="00530EEF"/>
    <w:rsid w:val="00535866"/>
    <w:rsid w:val="0053728E"/>
    <w:rsid w:val="005378D0"/>
    <w:rsid w:val="00544D71"/>
    <w:rsid w:val="00550840"/>
    <w:rsid w:val="00551B7A"/>
    <w:rsid w:val="0055252E"/>
    <w:rsid w:val="005637B6"/>
    <w:rsid w:val="00572652"/>
    <w:rsid w:val="00574B09"/>
    <w:rsid w:val="00577D0F"/>
    <w:rsid w:val="005809E9"/>
    <w:rsid w:val="00582C3C"/>
    <w:rsid w:val="00583393"/>
    <w:rsid w:val="00584627"/>
    <w:rsid w:val="00585FB7"/>
    <w:rsid w:val="005913AE"/>
    <w:rsid w:val="00591850"/>
    <w:rsid w:val="00596E7E"/>
    <w:rsid w:val="005A2682"/>
    <w:rsid w:val="005A5822"/>
    <w:rsid w:val="005A6AA7"/>
    <w:rsid w:val="005A722D"/>
    <w:rsid w:val="005B0987"/>
    <w:rsid w:val="005B0AEB"/>
    <w:rsid w:val="005B14C5"/>
    <w:rsid w:val="005B25F9"/>
    <w:rsid w:val="005C38A8"/>
    <w:rsid w:val="005C5B5E"/>
    <w:rsid w:val="005C790C"/>
    <w:rsid w:val="005D201E"/>
    <w:rsid w:val="005D2E84"/>
    <w:rsid w:val="005D4AEF"/>
    <w:rsid w:val="005D4D4B"/>
    <w:rsid w:val="005D4E61"/>
    <w:rsid w:val="005E02B1"/>
    <w:rsid w:val="005E0921"/>
    <w:rsid w:val="005E109D"/>
    <w:rsid w:val="005E326B"/>
    <w:rsid w:val="005E3C10"/>
    <w:rsid w:val="005E6306"/>
    <w:rsid w:val="005E6C16"/>
    <w:rsid w:val="005F3DBB"/>
    <w:rsid w:val="005F485B"/>
    <w:rsid w:val="005F7DBA"/>
    <w:rsid w:val="00600146"/>
    <w:rsid w:val="00601FFF"/>
    <w:rsid w:val="006026A8"/>
    <w:rsid w:val="00604660"/>
    <w:rsid w:val="00607E88"/>
    <w:rsid w:val="0061191C"/>
    <w:rsid w:val="00611F09"/>
    <w:rsid w:val="0062306B"/>
    <w:rsid w:val="0062395A"/>
    <w:rsid w:val="0062553C"/>
    <w:rsid w:val="00630677"/>
    <w:rsid w:val="00635312"/>
    <w:rsid w:val="00636E04"/>
    <w:rsid w:val="00641D50"/>
    <w:rsid w:val="00644AA9"/>
    <w:rsid w:val="00646507"/>
    <w:rsid w:val="00646A91"/>
    <w:rsid w:val="00646BD7"/>
    <w:rsid w:val="006509A4"/>
    <w:rsid w:val="00651CB3"/>
    <w:rsid w:val="00651CC4"/>
    <w:rsid w:val="00652B46"/>
    <w:rsid w:val="00653F65"/>
    <w:rsid w:val="00656976"/>
    <w:rsid w:val="0066196A"/>
    <w:rsid w:val="00665D83"/>
    <w:rsid w:val="00672D56"/>
    <w:rsid w:val="00674CAE"/>
    <w:rsid w:val="00676D78"/>
    <w:rsid w:val="00676F67"/>
    <w:rsid w:val="00680750"/>
    <w:rsid w:val="00681246"/>
    <w:rsid w:val="006831A0"/>
    <w:rsid w:val="006862C1"/>
    <w:rsid w:val="006864D4"/>
    <w:rsid w:val="00690CDE"/>
    <w:rsid w:val="00692197"/>
    <w:rsid w:val="0069265D"/>
    <w:rsid w:val="00692B6B"/>
    <w:rsid w:val="00693117"/>
    <w:rsid w:val="00694E94"/>
    <w:rsid w:val="006951D4"/>
    <w:rsid w:val="00695226"/>
    <w:rsid w:val="00695CEC"/>
    <w:rsid w:val="006961B8"/>
    <w:rsid w:val="006A0D00"/>
    <w:rsid w:val="006A0E90"/>
    <w:rsid w:val="006A2691"/>
    <w:rsid w:val="006A3E08"/>
    <w:rsid w:val="006A67FF"/>
    <w:rsid w:val="006B4197"/>
    <w:rsid w:val="006C4B51"/>
    <w:rsid w:val="006C4CE0"/>
    <w:rsid w:val="006C5076"/>
    <w:rsid w:val="006C7983"/>
    <w:rsid w:val="006D0C57"/>
    <w:rsid w:val="006D1BF8"/>
    <w:rsid w:val="006D2044"/>
    <w:rsid w:val="006D2D66"/>
    <w:rsid w:val="006D4112"/>
    <w:rsid w:val="006D5C2F"/>
    <w:rsid w:val="006D5ED4"/>
    <w:rsid w:val="006D6D81"/>
    <w:rsid w:val="006D7C4C"/>
    <w:rsid w:val="006E0D05"/>
    <w:rsid w:val="006E2B29"/>
    <w:rsid w:val="006E2BE8"/>
    <w:rsid w:val="006E40BA"/>
    <w:rsid w:val="006E424C"/>
    <w:rsid w:val="006E4E9B"/>
    <w:rsid w:val="006E72CC"/>
    <w:rsid w:val="006E7C68"/>
    <w:rsid w:val="006F0C95"/>
    <w:rsid w:val="006F0CBA"/>
    <w:rsid w:val="006F30BF"/>
    <w:rsid w:val="006F3472"/>
    <w:rsid w:val="00700E0A"/>
    <w:rsid w:val="007037A3"/>
    <w:rsid w:val="007042CC"/>
    <w:rsid w:val="00704A5C"/>
    <w:rsid w:val="007061C8"/>
    <w:rsid w:val="00706897"/>
    <w:rsid w:val="0070712A"/>
    <w:rsid w:val="007106FB"/>
    <w:rsid w:val="00711AC9"/>
    <w:rsid w:val="00712A10"/>
    <w:rsid w:val="007140D9"/>
    <w:rsid w:val="00715FD5"/>
    <w:rsid w:val="00716951"/>
    <w:rsid w:val="00721389"/>
    <w:rsid w:val="007243F8"/>
    <w:rsid w:val="00724D18"/>
    <w:rsid w:val="00725BAB"/>
    <w:rsid w:val="00726250"/>
    <w:rsid w:val="0072701A"/>
    <w:rsid w:val="00730CA7"/>
    <w:rsid w:val="0073412A"/>
    <w:rsid w:val="0073797D"/>
    <w:rsid w:val="00743D6D"/>
    <w:rsid w:val="007506F3"/>
    <w:rsid w:val="007548F0"/>
    <w:rsid w:val="00756730"/>
    <w:rsid w:val="0076130A"/>
    <w:rsid w:val="007619D4"/>
    <w:rsid w:val="00762C5A"/>
    <w:rsid w:val="00763A2E"/>
    <w:rsid w:val="00764CA7"/>
    <w:rsid w:val="007663A1"/>
    <w:rsid w:val="00767688"/>
    <w:rsid w:val="00770FFC"/>
    <w:rsid w:val="00771DC5"/>
    <w:rsid w:val="007722B7"/>
    <w:rsid w:val="007755A2"/>
    <w:rsid w:val="007775B1"/>
    <w:rsid w:val="00780C7C"/>
    <w:rsid w:val="00781462"/>
    <w:rsid w:val="00783B11"/>
    <w:rsid w:val="007863A9"/>
    <w:rsid w:val="0079065A"/>
    <w:rsid w:val="007917FA"/>
    <w:rsid w:val="00791887"/>
    <w:rsid w:val="00792FED"/>
    <w:rsid w:val="007935C1"/>
    <w:rsid w:val="00793B7F"/>
    <w:rsid w:val="00794202"/>
    <w:rsid w:val="00797BD5"/>
    <w:rsid w:val="007A0AE6"/>
    <w:rsid w:val="007A19B0"/>
    <w:rsid w:val="007A19BF"/>
    <w:rsid w:val="007A235A"/>
    <w:rsid w:val="007A4138"/>
    <w:rsid w:val="007A5753"/>
    <w:rsid w:val="007A6660"/>
    <w:rsid w:val="007A6A4B"/>
    <w:rsid w:val="007A74DD"/>
    <w:rsid w:val="007B0405"/>
    <w:rsid w:val="007B222A"/>
    <w:rsid w:val="007C22D9"/>
    <w:rsid w:val="007C6392"/>
    <w:rsid w:val="007C7374"/>
    <w:rsid w:val="007D1FDC"/>
    <w:rsid w:val="007D218D"/>
    <w:rsid w:val="007D2668"/>
    <w:rsid w:val="007D2801"/>
    <w:rsid w:val="007D2DE5"/>
    <w:rsid w:val="007D59A2"/>
    <w:rsid w:val="007E5A19"/>
    <w:rsid w:val="007E62FD"/>
    <w:rsid w:val="007E6540"/>
    <w:rsid w:val="007F1BCD"/>
    <w:rsid w:val="007F2AE2"/>
    <w:rsid w:val="007F32B4"/>
    <w:rsid w:val="007F3A25"/>
    <w:rsid w:val="00800378"/>
    <w:rsid w:val="00804162"/>
    <w:rsid w:val="008050FA"/>
    <w:rsid w:val="00805736"/>
    <w:rsid w:val="008075AB"/>
    <w:rsid w:val="00810DE6"/>
    <w:rsid w:val="00813063"/>
    <w:rsid w:val="008139A0"/>
    <w:rsid w:val="00817891"/>
    <w:rsid w:val="008268DF"/>
    <w:rsid w:val="0082774B"/>
    <w:rsid w:val="00827E37"/>
    <w:rsid w:val="008313CE"/>
    <w:rsid w:val="00832560"/>
    <w:rsid w:val="00833DA7"/>
    <w:rsid w:val="0083471D"/>
    <w:rsid w:val="00835DDE"/>
    <w:rsid w:val="00836B7F"/>
    <w:rsid w:val="00840176"/>
    <w:rsid w:val="008414B9"/>
    <w:rsid w:val="00843A11"/>
    <w:rsid w:val="00851026"/>
    <w:rsid w:val="00851C8F"/>
    <w:rsid w:val="00853504"/>
    <w:rsid w:val="00857923"/>
    <w:rsid w:val="00860FF1"/>
    <w:rsid w:val="00861565"/>
    <w:rsid w:val="00862FA0"/>
    <w:rsid w:val="008673F2"/>
    <w:rsid w:val="008728FA"/>
    <w:rsid w:val="008732F3"/>
    <w:rsid w:val="00875A16"/>
    <w:rsid w:val="00875E72"/>
    <w:rsid w:val="008805B7"/>
    <w:rsid w:val="0088671C"/>
    <w:rsid w:val="00886825"/>
    <w:rsid w:val="00892991"/>
    <w:rsid w:val="00892EB0"/>
    <w:rsid w:val="00895580"/>
    <w:rsid w:val="008959B0"/>
    <w:rsid w:val="00895E50"/>
    <w:rsid w:val="0089715F"/>
    <w:rsid w:val="008973FB"/>
    <w:rsid w:val="008A60EE"/>
    <w:rsid w:val="008A7043"/>
    <w:rsid w:val="008B0C46"/>
    <w:rsid w:val="008B470F"/>
    <w:rsid w:val="008B56A7"/>
    <w:rsid w:val="008B57E4"/>
    <w:rsid w:val="008B66A5"/>
    <w:rsid w:val="008B6904"/>
    <w:rsid w:val="008B6FAD"/>
    <w:rsid w:val="008C0D31"/>
    <w:rsid w:val="008C1371"/>
    <w:rsid w:val="008C4288"/>
    <w:rsid w:val="008C461D"/>
    <w:rsid w:val="008C5A41"/>
    <w:rsid w:val="008C5D5C"/>
    <w:rsid w:val="008C6BC0"/>
    <w:rsid w:val="008D3097"/>
    <w:rsid w:val="008D3704"/>
    <w:rsid w:val="008D441D"/>
    <w:rsid w:val="008D780E"/>
    <w:rsid w:val="008E0799"/>
    <w:rsid w:val="008E0BC8"/>
    <w:rsid w:val="008E0E6C"/>
    <w:rsid w:val="008E39F6"/>
    <w:rsid w:val="008E51E4"/>
    <w:rsid w:val="008E571A"/>
    <w:rsid w:val="008E62A8"/>
    <w:rsid w:val="008F05C9"/>
    <w:rsid w:val="008F3B33"/>
    <w:rsid w:val="008F46D2"/>
    <w:rsid w:val="008F4D79"/>
    <w:rsid w:val="008F5EE0"/>
    <w:rsid w:val="008F76CD"/>
    <w:rsid w:val="008F7D30"/>
    <w:rsid w:val="00900ABC"/>
    <w:rsid w:val="009011ED"/>
    <w:rsid w:val="0090120D"/>
    <w:rsid w:val="00903F10"/>
    <w:rsid w:val="00905289"/>
    <w:rsid w:val="00906B14"/>
    <w:rsid w:val="00911EA3"/>
    <w:rsid w:val="0091682B"/>
    <w:rsid w:val="00921403"/>
    <w:rsid w:val="00924864"/>
    <w:rsid w:val="00932BCC"/>
    <w:rsid w:val="009345B2"/>
    <w:rsid w:val="00940A39"/>
    <w:rsid w:val="00943FA5"/>
    <w:rsid w:val="00945E20"/>
    <w:rsid w:val="00946458"/>
    <w:rsid w:val="009464B8"/>
    <w:rsid w:val="00951881"/>
    <w:rsid w:val="00951F9B"/>
    <w:rsid w:val="00952178"/>
    <w:rsid w:val="0095227A"/>
    <w:rsid w:val="00953785"/>
    <w:rsid w:val="00955C96"/>
    <w:rsid w:val="00955EAF"/>
    <w:rsid w:val="0095627F"/>
    <w:rsid w:val="00960D22"/>
    <w:rsid w:val="00963EC6"/>
    <w:rsid w:val="0096465E"/>
    <w:rsid w:val="00974138"/>
    <w:rsid w:val="00974AB6"/>
    <w:rsid w:val="0097631C"/>
    <w:rsid w:val="009773F8"/>
    <w:rsid w:val="00977EE6"/>
    <w:rsid w:val="00980B4B"/>
    <w:rsid w:val="00980E7B"/>
    <w:rsid w:val="00982865"/>
    <w:rsid w:val="009835C7"/>
    <w:rsid w:val="00983FA5"/>
    <w:rsid w:val="00987826"/>
    <w:rsid w:val="00990311"/>
    <w:rsid w:val="00993EEB"/>
    <w:rsid w:val="009A06BA"/>
    <w:rsid w:val="009A1DB5"/>
    <w:rsid w:val="009A5872"/>
    <w:rsid w:val="009A7716"/>
    <w:rsid w:val="009A7964"/>
    <w:rsid w:val="009A7BB1"/>
    <w:rsid w:val="009B2A42"/>
    <w:rsid w:val="009B4A3C"/>
    <w:rsid w:val="009B5B32"/>
    <w:rsid w:val="009B5DD8"/>
    <w:rsid w:val="009B770A"/>
    <w:rsid w:val="009C0F35"/>
    <w:rsid w:val="009C21FC"/>
    <w:rsid w:val="009C5FC3"/>
    <w:rsid w:val="009C78FA"/>
    <w:rsid w:val="009D08C3"/>
    <w:rsid w:val="009D08DF"/>
    <w:rsid w:val="009E141E"/>
    <w:rsid w:val="009E15F3"/>
    <w:rsid w:val="009E3674"/>
    <w:rsid w:val="009E498D"/>
    <w:rsid w:val="009F5C09"/>
    <w:rsid w:val="009F5CE2"/>
    <w:rsid w:val="009F5F55"/>
    <w:rsid w:val="009F718B"/>
    <w:rsid w:val="009F78B9"/>
    <w:rsid w:val="00A001FB"/>
    <w:rsid w:val="00A00285"/>
    <w:rsid w:val="00A041C2"/>
    <w:rsid w:val="00A04A1D"/>
    <w:rsid w:val="00A05AF2"/>
    <w:rsid w:val="00A05D8B"/>
    <w:rsid w:val="00A06FB8"/>
    <w:rsid w:val="00A107BB"/>
    <w:rsid w:val="00A10879"/>
    <w:rsid w:val="00A10A1A"/>
    <w:rsid w:val="00A10BD1"/>
    <w:rsid w:val="00A14122"/>
    <w:rsid w:val="00A16EB9"/>
    <w:rsid w:val="00A17A38"/>
    <w:rsid w:val="00A20466"/>
    <w:rsid w:val="00A20DDB"/>
    <w:rsid w:val="00A23FAE"/>
    <w:rsid w:val="00A2459A"/>
    <w:rsid w:val="00A24AEF"/>
    <w:rsid w:val="00A25366"/>
    <w:rsid w:val="00A25735"/>
    <w:rsid w:val="00A26C3F"/>
    <w:rsid w:val="00A27047"/>
    <w:rsid w:val="00A30146"/>
    <w:rsid w:val="00A30DE9"/>
    <w:rsid w:val="00A369A0"/>
    <w:rsid w:val="00A40381"/>
    <w:rsid w:val="00A41E3A"/>
    <w:rsid w:val="00A42FF6"/>
    <w:rsid w:val="00A45C20"/>
    <w:rsid w:val="00A51329"/>
    <w:rsid w:val="00A5278C"/>
    <w:rsid w:val="00A529F9"/>
    <w:rsid w:val="00A52C96"/>
    <w:rsid w:val="00A5406D"/>
    <w:rsid w:val="00A54A20"/>
    <w:rsid w:val="00A55C27"/>
    <w:rsid w:val="00A564B3"/>
    <w:rsid w:val="00A61596"/>
    <w:rsid w:val="00A61BBA"/>
    <w:rsid w:val="00A65B21"/>
    <w:rsid w:val="00A709D8"/>
    <w:rsid w:val="00A714C4"/>
    <w:rsid w:val="00A7220C"/>
    <w:rsid w:val="00A75D5A"/>
    <w:rsid w:val="00A76CCE"/>
    <w:rsid w:val="00A821D7"/>
    <w:rsid w:val="00A869F4"/>
    <w:rsid w:val="00A923AC"/>
    <w:rsid w:val="00A9278E"/>
    <w:rsid w:val="00A96CB0"/>
    <w:rsid w:val="00AA2118"/>
    <w:rsid w:val="00AA2835"/>
    <w:rsid w:val="00AA29D1"/>
    <w:rsid w:val="00AA2E61"/>
    <w:rsid w:val="00AA4876"/>
    <w:rsid w:val="00AA7C95"/>
    <w:rsid w:val="00AB0753"/>
    <w:rsid w:val="00AB1108"/>
    <w:rsid w:val="00AB3419"/>
    <w:rsid w:val="00AB3B3C"/>
    <w:rsid w:val="00AB6C1B"/>
    <w:rsid w:val="00AC05A0"/>
    <w:rsid w:val="00AC0C70"/>
    <w:rsid w:val="00AC22AE"/>
    <w:rsid w:val="00AC2953"/>
    <w:rsid w:val="00AC34FD"/>
    <w:rsid w:val="00AC54B1"/>
    <w:rsid w:val="00AC7E78"/>
    <w:rsid w:val="00AD052A"/>
    <w:rsid w:val="00AD15BC"/>
    <w:rsid w:val="00AD2421"/>
    <w:rsid w:val="00AD596D"/>
    <w:rsid w:val="00AD7D0C"/>
    <w:rsid w:val="00AE01D9"/>
    <w:rsid w:val="00AE38D5"/>
    <w:rsid w:val="00AE44B7"/>
    <w:rsid w:val="00AE6C66"/>
    <w:rsid w:val="00AF1BEE"/>
    <w:rsid w:val="00AF25B5"/>
    <w:rsid w:val="00B013A7"/>
    <w:rsid w:val="00B02766"/>
    <w:rsid w:val="00B0404B"/>
    <w:rsid w:val="00B05A98"/>
    <w:rsid w:val="00B07A5C"/>
    <w:rsid w:val="00B100AA"/>
    <w:rsid w:val="00B124DF"/>
    <w:rsid w:val="00B14D74"/>
    <w:rsid w:val="00B15FE8"/>
    <w:rsid w:val="00B16A2A"/>
    <w:rsid w:val="00B16A76"/>
    <w:rsid w:val="00B16C20"/>
    <w:rsid w:val="00B20855"/>
    <w:rsid w:val="00B22C86"/>
    <w:rsid w:val="00B2371F"/>
    <w:rsid w:val="00B237AA"/>
    <w:rsid w:val="00B2455F"/>
    <w:rsid w:val="00B26DD2"/>
    <w:rsid w:val="00B279D2"/>
    <w:rsid w:val="00B319E2"/>
    <w:rsid w:val="00B324A6"/>
    <w:rsid w:val="00B32BBD"/>
    <w:rsid w:val="00B32ECD"/>
    <w:rsid w:val="00B33695"/>
    <w:rsid w:val="00B37B1C"/>
    <w:rsid w:val="00B415E7"/>
    <w:rsid w:val="00B43BB0"/>
    <w:rsid w:val="00B46007"/>
    <w:rsid w:val="00B50B00"/>
    <w:rsid w:val="00B51096"/>
    <w:rsid w:val="00B53CDE"/>
    <w:rsid w:val="00B54BE5"/>
    <w:rsid w:val="00B565FF"/>
    <w:rsid w:val="00B56A32"/>
    <w:rsid w:val="00B607DE"/>
    <w:rsid w:val="00B6154F"/>
    <w:rsid w:val="00B6351B"/>
    <w:rsid w:val="00B63B88"/>
    <w:rsid w:val="00B64F9F"/>
    <w:rsid w:val="00B65B97"/>
    <w:rsid w:val="00B671B5"/>
    <w:rsid w:val="00B67D6D"/>
    <w:rsid w:val="00B70E88"/>
    <w:rsid w:val="00B7234D"/>
    <w:rsid w:val="00B74F7F"/>
    <w:rsid w:val="00B8462C"/>
    <w:rsid w:val="00B875B8"/>
    <w:rsid w:val="00B87737"/>
    <w:rsid w:val="00B901EA"/>
    <w:rsid w:val="00B90F54"/>
    <w:rsid w:val="00B93358"/>
    <w:rsid w:val="00B942E4"/>
    <w:rsid w:val="00B94DBC"/>
    <w:rsid w:val="00B97073"/>
    <w:rsid w:val="00BA01B8"/>
    <w:rsid w:val="00BA2176"/>
    <w:rsid w:val="00BA24D8"/>
    <w:rsid w:val="00BA37A5"/>
    <w:rsid w:val="00BA3C1B"/>
    <w:rsid w:val="00BA3CBC"/>
    <w:rsid w:val="00BA5C63"/>
    <w:rsid w:val="00BA5D1F"/>
    <w:rsid w:val="00BC3D08"/>
    <w:rsid w:val="00BC4A37"/>
    <w:rsid w:val="00BC5B43"/>
    <w:rsid w:val="00BC72D8"/>
    <w:rsid w:val="00BC7908"/>
    <w:rsid w:val="00BD080A"/>
    <w:rsid w:val="00BD1ADC"/>
    <w:rsid w:val="00BD656E"/>
    <w:rsid w:val="00BD7FB1"/>
    <w:rsid w:val="00BE5415"/>
    <w:rsid w:val="00BE5BE0"/>
    <w:rsid w:val="00BE5CBD"/>
    <w:rsid w:val="00BE61B8"/>
    <w:rsid w:val="00BE633B"/>
    <w:rsid w:val="00BF2478"/>
    <w:rsid w:val="00BF5C9C"/>
    <w:rsid w:val="00BF7C2E"/>
    <w:rsid w:val="00C011A2"/>
    <w:rsid w:val="00C02C17"/>
    <w:rsid w:val="00C042C1"/>
    <w:rsid w:val="00C10731"/>
    <w:rsid w:val="00C11245"/>
    <w:rsid w:val="00C11B4E"/>
    <w:rsid w:val="00C15203"/>
    <w:rsid w:val="00C20D96"/>
    <w:rsid w:val="00C21498"/>
    <w:rsid w:val="00C223A3"/>
    <w:rsid w:val="00C22758"/>
    <w:rsid w:val="00C274DB"/>
    <w:rsid w:val="00C27C67"/>
    <w:rsid w:val="00C37A82"/>
    <w:rsid w:val="00C41C19"/>
    <w:rsid w:val="00C427B5"/>
    <w:rsid w:val="00C42E84"/>
    <w:rsid w:val="00C4408A"/>
    <w:rsid w:val="00C52146"/>
    <w:rsid w:val="00C536BA"/>
    <w:rsid w:val="00C53D7C"/>
    <w:rsid w:val="00C53E7F"/>
    <w:rsid w:val="00C54C15"/>
    <w:rsid w:val="00C62830"/>
    <w:rsid w:val="00C64795"/>
    <w:rsid w:val="00C6508E"/>
    <w:rsid w:val="00C662BA"/>
    <w:rsid w:val="00C67776"/>
    <w:rsid w:val="00C71577"/>
    <w:rsid w:val="00C73CD9"/>
    <w:rsid w:val="00C77F3F"/>
    <w:rsid w:val="00C804A9"/>
    <w:rsid w:val="00C82D47"/>
    <w:rsid w:val="00C83330"/>
    <w:rsid w:val="00C85A91"/>
    <w:rsid w:val="00C86DFF"/>
    <w:rsid w:val="00C87A79"/>
    <w:rsid w:val="00C92364"/>
    <w:rsid w:val="00CA00EE"/>
    <w:rsid w:val="00CA11EE"/>
    <w:rsid w:val="00CA1F60"/>
    <w:rsid w:val="00CA2AB8"/>
    <w:rsid w:val="00CA42EA"/>
    <w:rsid w:val="00CA54CF"/>
    <w:rsid w:val="00CA7CB0"/>
    <w:rsid w:val="00CB051A"/>
    <w:rsid w:val="00CB2735"/>
    <w:rsid w:val="00CB6775"/>
    <w:rsid w:val="00CB67B5"/>
    <w:rsid w:val="00CB76D0"/>
    <w:rsid w:val="00CB76E9"/>
    <w:rsid w:val="00CC0288"/>
    <w:rsid w:val="00CC6645"/>
    <w:rsid w:val="00CC6F0A"/>
    <w:rsid w:val="00CD0A21"/>
    <w:rsid w:val="00CD1D0A"/>
    <w:rsid w:val="00CD7894"/>
    <w:rsid w:val="00CE3DED"/>
    <w:rsid w:val="00CE52A2"/>
    <w:rsid w:val="00CE5B7E"/>
    <w:rsid w:val="00CE5E87"/>
    <w:rsid w:val="00CE6F5D"/>
    <w:rsid w:val="00CF20D7"/>
    <w:rsid w:val="00CF31D4"/>
    <w:rsid w:val="00CF3984"/>
    <w:rsid w:val="00D02C0B"/>
    <w:rsid w:val="00D0686A"/>
    <w:rsid w:val="00D11060"/>
    <w:rsid w:val="00D12E17"/>
    <w:rsid w:val="00D13F13"/>
    <w:rsid w:val="00D15932"/>
    <w:rsid w:val="00D247A9"/>
    <w:rsid w:val="00D30BA5"/>
    <w:rsid w:val="00D350D6"/>
    <w:rsid w:val="00D36550"/>
    <w:rsid w:val="00D41DC2"/>
    <w:rsid w:val="00D452C7"/>
    <w:rsid w:val="00D45347"/>
    <w:rsid w:val="00D45395"/>
    <w:rsid w:val="00D45A51"/>
    <w:rsid w:val="00D50630"/>
    <w:rsid w:val="00D5223D"/>
    <w:rsid w:val="00D53205"/>
    <w:rsid w:val="00D5344D"/>
    <w:rsid w:val="00D53A19"/>
    <w:rsid w:val="00D53E97"/>
    <w:rsid w:val="00D57ADE"/>
    <w:rsid w:val="00D60BB5"/>
    <w:rsid w:val="00D6386A"/>
    <w:rsid w:val="00D64F2C"/>
    <w:rsid w:val="00D720C6"/>
    <w:rsid w:val="00D7553D"/>
    <w:rsid w:val="00D75734"/>
    <w:rsid w:val="00D765A7"/>
    <w:rsid w:val="00D765C8"/>
    <w:rsid w:val="00D813AD"/>
    <w:rsid w:val="00D817C3"/>
    <w:rsid w:val="00D862AC"/>
    <w:rsid w:val="00D92B0D"/>
    <w:rsid w:val="00D95CD4"/>
    <w:rsid w:val="00DA21D3"/>
    <w:rsid w:val="00DA6172"/>
    <w:rsid w:val="00DA62DF"/>
    <w:rsid w:val="00DA7B98"/>
    <w:rsid w:val="00DB080C"/>
    <w:rsid w:val="00DB472E"/>
    <w:rsid w:val="00DB56DB"/>
    <w:rsid w:val="00DB5B54"/>
    <w:rsid w:val="00DB61F3"/>
    <w:rsid w:val="00DB6CF9"/>
    <w:rsid w:val="00DB7C7D"/>
    <w:rsid w:val="00DC181F"/>
    <w:rsid w:val="00DC1F11"/>
    <w:rsid w:val="00DC5836"/>
    <w:rsid w:val="00DC763B"/>
    <w:rsid w:val="00DD3B82"/>
    <w:rsid w:val="00DD67EB"/>
    <w:rsid w:val="00DD6B5D"/>
    <w:rsid w:val="00DD7840"/>
    <w:rsid w:val="00DD7B63"/>
    <w:rsid w:val="00DE11FF"/>
    <w:rsid w:val="00DE32F0"/>
    <w:rsid w:val="00DE3354"/>
    <w:rsid w:val="00DE53F8"/>
    <w:rsid w:val="00DE6864"/>
    <w:rsid w:val="00DE7806"/>
    <w:rsid w:val="00DF1744"/>
    <w:rsid w:val="00DF1FE7"/>
    <w:rsid w:val="00DF26A4"/>
    <w:rsid w:val="00DF545D"/>
    <w:rsid w:val="00DF558E"/>
    <w:rsid w:val="00DF6492"/>
    <w:rsid w:val="00E02801"/>
    <w:rsid w:val="00E045D0"/>
    <w:rsid w:val="00E05704"/>
    <w:rsid w:val="00E066F4"/>
    <w:rsid w:val="00E10923"/>
    <w:rsid w:val="00E1401D"/>
    <w:rsid w:val="00E14F79"/>
    <w:rsid w:val="00E20A8C"/>
    <w:rsid w:val="00E210B5"/>
    <w:rsid w:val="00E24CEE"/>
    <w:rsid w:val="00E26090"/>
    <w:rsid w:val="00E32ABC"/>
    <w:rsid w:val="00E33108"/>
    <w:rsid w:val="00E33AE1"/>
    <w:rsid w:val="00E34CCD"/>
    <w:rsid w:val="00E34FDC"/>
    <w:rsid w:val="00E36245"/>
    <w:rsid w:val="00E3669B"/>
    <w:rsid w:val="00E376E9"/>
    <w:rsid w:val="00E37BD3"/>
    <w:rsid w:val="00E41C1F"/>
    <w:rsid w:val="00E434F2"/>
    <w:rsid w:val="00E44F5E"/>
    <w:rsid w:val="00E51A1A"/>
    <w:rsid w:val="00E51D03"/>
    <w:rsid w:val="00E543EB"/>
    <w:rsid w:val="00E56B60"/>
    <w:rsid w:val="00E56D60"/>
    <w:rsid w:val="00E57D7E"/>
    <w:rsid w:val="00E57F93"/>
    <w:rsid w:val="00E60F26"/>
    <w:rsid w:val="00E63E28"/>
    <w:rsid w:val="00E652CC"/>
    <w:rsid w:val="00E65FB5"/>
    <w:rsid w:val="00E6653B"/>
    <w:rsid w:val="00E668EC"/>
    <w:rsid w:val="00E7531C"/>
    <w:rsid w:val="00E7587F"/>
    <w:rsid w:val="00E80BBE"/>
    <w:rsid w:val="00E8486B"/>
    <w:rsid w:val="00E84A26"/>
    <w:rsid w:val="00E93B66"/>
    <w:rsid w:val="00E94F0D"/>
    <w:rsid w:val="00E95985"/>
    <w:rsid w:val="00E95E12"/>
    <w:rsid w:val="00E977AA"/>
    <w:rsid w:val="00EA14DD"/>
    <w:rsid w:val="00EA2467"/>
    <w:rsid w:val="00EA397E"/>
    <w:rsid w:val="00EA41B5"/>
    <w:rsid w:val="00EA6CD9"/>
    <w:rsid w:val="00EA7453"/>
    <w:rsid w:val="00EA7FE5"/>
    <w:rsid w:val="00EB0840"/>
    <w:rsid w:val="00EB31F5"/>
    <w:rsid w:val="00EB75CD"/>
    <w:rsid w:val="00EC0524"/>
    <w:rsid w:val="00EC1E96"/>
    <w:rsid w:val="00EC2666"/>
    <w:rsid w:val="00EC33A1"/>
    <w:rsid w:val="00EC4B3D"/>
    <w:rsid w:val="00EC59A4"/>
    <w:rsid w:val="00EC7C0B"/>
    <w:rsid w:val="00ED1A68"/>
    <w:rsid w:val="00ED1ED9"/>
    <w:rsid w:val="00ED2479"/>
    <w:rsid w:val="00ED555B"/>
    <w:rsid w:val="00ED5A10"/>
    <w:rsid w:val="00EE09FE"/>
    <w:rsid w:val="00EE24E1"/>
    <w:rsid w:val="00EE69B1"/>
    <w:rsid w:val="00EE7D2C"/>
    <w:rsid w:val="00EF1B48"/>
    <w:rsid w:val="00F012B0"/>
    <w:rsid w:val="00F031AD"/>
    <w:rsid w:val="00F07436"/>
    <w:rsid w:val="00F078C7"/>
    <w:rsid w:val="00F112A8"/>
    <w:rsid w:val="00F13159"/>
    <w:rsid w:val="00F165E5"/>
    <w:rsid w:val="00F16963"/>
    <w:rsid w:val="00F17B0F"/>
    <w:rsid w:val="00F210CB"/>
    <w:rsid w:val="00F21A3C"/>
    <w:rsid w:val="00F236D7"/>
    <w:rsid w:val="00F23918"/>
    <w:rsid w:val="00F2667B"/>
    <w:rsid w:val="00F31372"/>
    <w:rsid w:val="00F32C77"/>
    <w:rsid w:val="00F32F0F"/>
    <w:rsid w:val="00F33171"/>
    <w:rsid w:val="00F352C9"/>
    <w:rsid w:val="00F43256"/>
    <w:rsid w:val="00F43F55"/>
    <w:rsid w:val="00F52E0A"/>
    <w:rsid w:val="00F54A2E"/>
    <w:rsid w:val="00F56158"/>
    <w:rsid w:val="00F56475"/>
    <w:rsid w:val="00F56D85"/>
    <w:rsid w:val="00F572EE"/>
    <w:rsid w:val="00F6089B"/>
    <w:rsid w:val="00F608E5"/>
    <w:rsid w:val="00F61761"/>
    <w:rsid w:val="00F62537"/>
    <w:rsid w:val="00F65C0E"/>
    <w:rsid w:val="00F65C0F"/>
    <w:rsid w:val="00F6607A"/>
    <w:rsid w:val="00F660CA"/>
    <w:rsid w:val="00F71B38"/>
    <w:rsid w:val="00F73BD9"/>
    <w:rsid w:val="00F74658"/>
    <w:rsid w:val="00F756ED"/>
    <w:rsid w:val="00F7621A"/>
    <w:rsid w:val="00F764C4"/>
    <w:rsid w:val="00F8234D"/>
    <w:rsid w:val="00F82846"/>
    <w:rsid w:val="00F833F1"/>
    <w:rsid w:val="00F86F03"/>
    <w:rsid w:val="00F8709C"/>
    <w:rsid w:val="00F87FA2"/>
    <w:rsid w:val="00F91ABF"/>
    <w:rsid w:val="00F94669"/>
    <w:rsid w:val="00F95CA1"/>
    <w:rsid w:val="00FA0970"/>
    <w:rsid w:val="00FA3EB3"/>
    <w:rsid w:val="00FB10E7"/>
    <w:rsid w:val="00FB7C71"/>
    <w:rsid w:val="00FC2D3B"/>
    <w:rsid w:val="00FC34D2"/>
    <w:rsid w:val="00FC4215"/>
    <w:rsid w:val="00FC515B"/>
    <w:rsid w:val="00FC5DDE"/>
    <w:rsid w:val="00FC6AF4"/>
    <w:rsid w:val="00FD51CD"/>
    <w:rsid w:val="00FE0817"/>
    <w:rsid w:val="00FE3D37"/>
    <w:rsid w:val="00FE41CA"/>
    <w:rsid w:val="00FE4B83"/>
    <w:rsid w:val="00FE64A6"/>
    <w:rsid w:val="00FF03E0"/>
    <w:rsid w:val="00FF1E13"/>
    <w:rsid w:val="00FF25AD"/>
    <w:rsid w:val="00FF3F87"/>
    <w:rsid w:val="00FF4BCA"/>
    <w:rsid w:val="00FF4CA7"/>
    <w:rsid w:val="00FF593A"/>
    <w:rsid w:val="00FF5A28"/>
    <w:rsid w:val="00FF61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66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3D7C"/>
    <w:pPr>
      <w:tabs>
        <w:tab w:val="center" w:pos="4153"/>
        <w:tab w:val="right" w:pos="8306"/>
      </w:tabs>
    </w:pPr>
  </w:style>
  <w:style w:type="paragraph" w:styleId="Footer">
    <w:name w:val="footer"/>
    <w:basedOn w:val="Normal"/>
    <w:rsid w:val="00C53D7C"/>
    <w:pPr>
      <w:tabs>
        <w:tab w:val="center" w:pos="4153"/>
        <w:tab w:val="right" w:pos="8306"/>
      </w:tabs>
    </w:pPr>
  </w:style>
  <w:style w:type="table" w:styleId="TableGrid">
    <w:name w:val="Table Grid"/>
    <w:basedOn w:val="TableNormal"/>
    <w:rsid w:val="00706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E3674"/>
    <w:rPr>
      <w:rFonts w:ascii="Tahoma" w:hAnsi="Tahoma" w:cs="Tahoma"/>
      <w:sz w:val="16"/>
      <w:szCs w:val="16"/>
    </w:rPr>
  </w:style>
  <w:style w:type="paragraph" w:styleId="Title">
    <w:name w:val="Title"/>
    <w:basedOn w:val="Normal"/>
    <w:next w:val="ActTitle"/>
    <w:qFormat/>
    <w:rsid w:val="007A6660"/>
    <w:pPr>
      <w:spacing w:before="480"/>
    </w:pPr>
    <w:rPr>
      <w:rFonts w:ascii="Arial" w:hAnsi="Arial" w:cs="Arial"/>
      <w:b/>
      <w:bCs/>
      <w:sz w:val="40"/>
      <w:szCs w:val="40"/>
      <w:lang w:eastAsia="en-US"/>
    </w:rPr>
  </w:style>
  <w:style w:type="paragraph" w:customStyle="1" w:styleId="ActTitle">
    <w:name w:val="Act Title"/>
    <w:basedOn w:val="Normal"/>
    <w:next w:val="IntroTo"/>
    <w:rsid w:val="007A6660"/>
    <w:pPr>
      <w:pBdr>
        <w:bottom w:val="single" w:sz="4" w:space="3" w:color="auto"/>
      </w:pBdr>
      <w:spacing w:before="480" w:after="240"/>
    </w:pPr>
    <w:rPr>
      <w:rFonts w:ascii="Arial" w:hAnsi="Arial"/>
      <w:i/>
      <w:iCs/>
      <w:sz w:val="28"/>
    </w:rPr>
  </w:style>
  <w:style w:type="paragraph" w:customStyle="1" w:styleId="IH">
    <w:name w:val="IH"/>
    <w:aliases w:val="Interpretation heading"/>
    <w:basedOn w:val="Normal"/>
    <w:next w:val="Normal"/>
    <w:rsid w:val="007A6660"/>
    <w:pPr>
      <w:keepNext/>
      <w:spacing w:before="480"/>
      <w:ind w:left="964" w:hanging="964"/>
    </w:pPr>
    <w:rPr>
      <w:rFonts w:ascii="Arial" w:hAnsi="Arial"/>
      <w:b/>
      <w:szCs w:val="24"/>
      <w:lang w:eastAsia="en-US"/>
    </w:rPr>
  </w:style>
  <w:style w:type="paragraph" w:customStyle="1" w:styleId="IP">
    <w:name w:val="IP"/>
    <w:aliases w:val="Interpretation paragraph"/>
    <w:basedOn w:val="Normal"/>
    <w:next w:val="Normal"/>
    <w:rsid w:val="007A6660"/>
    <w:pPr>
      <w:keepNext/>
      <w:tabs>
        <w:tab w:val="right" w:pos="794"/>
      </w:tabs>
      <w:spacing w:before="120" w:line="260" w:lineRule="exact"/>
      <w:ind w:left="964" w:hanging="964"/>
      <w:jc w:val="both"/>
    </w:pPr>
    <w:rPr>
      <w:szCs w:val="24"/>
      <w:lang w:eastAsia="en-US"/>
    </w:rPr>
  </w:style>
  <w:style w:type="paragraph" w:customStyle="1" w:styleId="definition">
    <w:name w:val="definition"/>
    <w:basedOn w:val="Normal"/>
    <w:rsid w:val="007A6660"/>
    <w:pPr>
      <w:spacing w:before="80" w:line="260" w:lineRule="exact"/>
      <w:jc w:val="both"/>
    </w:pPr>
    <w:rPr>
      <w:szCs w:val="24"/>
      <w:lang w:eastAsia="en-US"/>
    </w:rPr>
  </w:style>
  <w:style w:type="paragraph" w:customStyle="1" w:styleId="Note">
    <w:name w:val="Note"/>
    <w:basedOn w:val="Normal"/>
    <w:rsid w:val="007A6660"/>
    <w:pPr>
      <w:numPr>
        <w:numId w:val="1"/>
      </w:numPr>
      <w:spacing w:before="120" w:line="220" w:lineRule="exact"/>
      <w:jc w:val="both"/>
    </w:pPr>
    <w:rPr>
      <w:sz w:val="20"/>
      <w:szCs w:val="24"/>
      <w:lang w:eastAsia="en-US"/>
    </w:rPr>
  </w:style>
  <w:style w:type="paragraph" w:customStyle="1" w:styleId="IntroTo">
    <w:name w:val="IntroTo:"/>
    <w:basedOn w:val="Normal"/>
    <w:rsid w:val="007A6660"/>
    <w:pPr>
      <w:ind w:left="720" w:hanging="720"/>
    </w:pPr>
    <w:rPr>
      <w:lang w:eastAsia="en-US"/>
    </w:rPr>
  </w:style>
  <w:style w:type="paragraph" w:customStyle="1" w:styleId="Scheduletitle">
    <w:name w:val="Schedule title"/>
    <w:basedOn w:val="Normal"/>
    <w:next w:val="Normal"/>
    <w:rsid w:val="007A6660"/>
    <w:pPr>
      <w:pageBreakBefore/>
      <w:spacing w:before="480"/>
      <w:ind w:left="2410" w:hanging="2410"/>
    </w:pPr>
    <w:rPr>
      <w:rFonts w:ascii="Arial" w:hAnsi="Arial"/>
      <w:b/>
      <w:sz w:val="32"/>
      <w:szCs w:val="24"/>
      <w:lang w:eastAsia="en-US"/>
    </w:rPr>
  </w:style>
  <w:style w:type="paragraph" w:customStyle="1" w:styleId="Paragraph">
    <w:name w:val="Paragraph"/>
    <w:basedOn w:val="Normal"/>
    <w:rsid w:val="007A6660"/>
    <w:pPr>
      <w:tabs>
        <w:tab w:val="left" w:pos="0"/>
      </w:tabs>
      <w:spacing w:before="240"/>
    </w:pPr>
    <w:rPr>
      <w:szCs w:val="24"/>
    </w:rPr>
  </w:style>
  <w:style w:type="paragraph" w:styleId="Signature">
    <w:name w:val="Signature"/>
    <w:basedOn w:val="Normal"/>
    <w:rsid w:val="007A6660"/>
    <w:pPr>
      <w:spacing w:before="720"/>
    </w:pPr>
  </w:style>
  <w:style w:type="character" w:styleId="PageNumber">
    <w:name w:val="page number"/>
    <w:basedOn w:val="DefaultParagraphFont"/>
    <w:rsid w:val="00C87A79"/>
  </w:style>
  <w:style w:type="character" w:styleId="CommentReference">
    <w:name w:val="annotation reference"/>
    <w:uiPriority w:val="99"/>
    <w:semiHidden/>
    <w:unhideWhenUsed/>
    <w:rsid w:val="002A0F2D"/>
    <w:rPr>
      <w:sz w:val="16"/>
      <w:szCs w:val="16"/>
    </w:rPr>
  </w:style>
  <w:style w:type="paragraph" w:styleId="CommentText">
    <w:name w:val="annotation text"/>
    <w:basedOn w:val="Normal"/>
    <w:link w:val="CommentTextChar"/>
    <w:uiPriority w:val="99"/>
    <w:semiHidden/>
    <w:unhideWhenUsed/>
    <w:rsid w:val="002A0F2D"/>
    <w:rPr>
      <w:sz w:val="20"/>
    </w:rPr>
  </w:style>
  <w:style w:type="character" w:customStyle="1" w:styleId="CommentTextChar">
    <w:name w:val="Comment Text Char"/>
    <w:basedOn w:val="DefaultParagraphFont"/>
    <w:link w:val="CommentText"/>
    <w:uiPriority w:val="99"/>
    <w:semiHidden/>
    <w:rsid w:val="002A0F2D"/>
  </w:style>
  <w:style w:type="paragraph" w:styleId="CommentSubject">
    <w:name w:val="annotation subject"/>
    <w:basedOn w:val="CommentText"/>
    <w:next w:val="CommentText"/>
    <w:link w:val="CommentSubjectChar"/>
    <w:uiPriority w:val="99"/>
    <w:semiHidden/>
    <w:unhideWhenUsed/>
    <w:rsid w:val="002A0F2D"/>
    <w:rPr>
      <w:b/>
      <w:bCs/>
    </w:rPr>
  </w:style>
  <w:style w:type="character" w:customStyle="1" w:styleId="CommentSubjectChar">
    <w:name w:val="Comment Subject Char"/>
    <w:link w:val="CommentSubject"/>
    <w:uiPriority w:val="99"/>
    <w:semiHidden/>
    <w:rsid w:val="002A0F2D"/>
    <w:rPr>
      <w:b/>
      <w:bCs/>
    </w:rPr>
  </w:style>
  <w:style w:type="paragraph" w:styleId="ListParagraph">
    <w:name w:val="List Paragraph"/>
    <w:basedOn w:val="Normal"/>
    <w:uiPriority w:val="34"/>
    <w:qFormat/>
    <w:rsid w:val="000F107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66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3D7C"/>
    <w:pPr>
      <w:tabs>
        <w:tab w:val="center" w:pos="4153"/>
        <w:tab w:val="right" w:pos="8306"/>
      </w:tabs>
    </w:pPr>
  </w:style>
  <w:style w:type="paragraph" w:styleId="Footer">
    <w:name w:val="footer"/>
    <w:basedOn w:val="Normal"/>
    <w:rsid w:val="00C53D7C"/>
    <w:pPr>
      <w:tabs>
        <w:tab w:val="center" w:pos="4153"/>
        <w:tab w:val="right" w:pos="8306"/>
      </w:tabs>
    </w:pPr>
  </w:style>
  <w:style w:type="table" w:styleId="TableGrid">
    <w:name w:val="Table Grid"/>
    <w:basedOn w:val="TableNormal"/>
    <w:rsid w:val="00706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E3674"/>
    <w:rPr>
      <w:rFonts w:ascii="Tahoma" w:hAnsi="Tahoma" w:cs="Tahoma"/>
      <w:sz w:val="16"/>
      <w:szCs w:val="16"/>
    </w:rPr>
  </w:style>
  <w:style w:type="paragraph" w:styleId="Title">
    <w:name w:val="Title"/>
    <w:basedOn w:val="Normal"/>
    <w:next w:val="ActTitle"/>
    <w:qFormat/>
    <w:rsid w:val="007A6660"/>
    <w:pPr>
      <w:spacing w:before="480"/>
    </w:pPr>
    <w:rPr>
      <w:rFonts w:ascii="Arial" w:hAnsi="Arial" w:cs="Arial"/>
      <w:b/>
      <w:bCs/>
      <w:sz w:val="40"/>
      <w:szCs w:val="40"/>
      <w:lang w:eastAsia="en-US"/>
    </w:rPr>
  </w:style>
  <w:style w:type="paragraph" w:customStyle="1" w:styleId="ActTitle">
    <w:name w:val="Act Title"/>
    <w:basedOn w:val="Normal"/>
    <w:next w:val="IntroTo"/>
    <w:rsid w:val="007A6660"/>
    <w:pPr>
      <w:pBdr>
        <w:bottom w:val="single" w:sz="4" w:space="3" w:color="auto"/>
      </w:pBdr>
      <w:spacing w:before="480" w:after="240"/>
    </w:pPr>
    <w:rPr>
      <w:rFonts w:ascii="Arial" w:hAnsi="Arial"/>
      <w:i/>
      <w:iCs/>
      <w:sz w:val="28"/>
    </w:rPr>
  </w:style>
  <w:style w:type="paragraph" w:customStyle="1" w:styleId="IH">
    <w:name w:val="IH"/>
    <w:aliases w:val="Interpretation heading"/>
    <w:basedOn w:val="Normal"/>
    <w:next w:val="Normal"/>
    <w:rsid w:val="007A6660"/>
    <w:pPr>
      <w:keepNext/>
      <w:spacing w:before="480"/>
      <w:ind w:left="964" w:hanging="964"/>
    </w:pPr>
    <w:rPr>
      <w:rFonts w:ascii="Arial" w:hAnsi="Arial"/>
      <w:b/>
      <w:szCs w:val="24"/>
      <w:lang w:eastAsia="en-US"/>
    </w:rPr>
  </w:style>
  <w:style w:type="paragraph" w:customStyle="1" w:styleId="IP">
    <w:name w:val="IP"/>
    <w:aliases w:val="Interpretation paragraph"/>
    <w:basedOn w:val="Normal"/>
    <w:next w:val="Normal"/>
    <w:rsid w:val="007A6660"/>
    <w:pPr>
      <w:keepNext/>
      <w:tabs>
        <w:tab w:val="right" w:pos="794"/>
      </w:tabs>
      <w:spacing w:before="120" w:line="260" w:lineRule="exact"/>
      <w:ind w:left="964" w:hanging="964"/>
      <w:jc w:val="both"/>
    </w:pPr>
    <w:rPr>
      <w:szCs w:val="24"/>
      <w:lang w:eastAsia="en-US"/>
    </w:rPr>
  </w:style>
  <w:style w:type="paragraph" w:customStyle="1" w:styleId="definition">
    <w:name w:val="definition"/>
    <w:basedOn w:val="Normal"/>
    <w:rsid w:val="007A6660"/>
    <w:pPr>
      <w:spacing w:before="80" w:line="260" w:lineRule="exact"/>
      <w:jc w:val="both"/>
    </w:pPr>
    <w:rPr>
      <w:szCs w:val="24"/>
      <w:lang w:eastAsia="en-US"/>
    </w:rPr>
  </w:style>
  <w:style w:type="paragraph" w:customStyle="1" w:styleId="Note">
    <w:name w:val="Note"/>
    <w:basedOn w:val="Normal"/>
    <w:rsid w:val="007A6660"/>
    <w:pPr>
      <w:numPr>
        <w:numId w:val="1"/>
      </w:numPr>
      <w:spacing w:before="120" w:line="220" w:lineRule="exact"/>
      <w:jc w:val="both"/>
    </w:pPr>
    <w:rPr>
      <w:sz w:val="20"/>
      <w:szCs w:val="24"/>
      <w:lang w:eastAsia="en-US"/>
    </w:rPr>
  </w:style>
  <w:style w:type="paragraph" w:customStyle="1" w:styleId="IntroTo">
    <w:name w:val="IntroTo:"/>
    <w:basedOn w:val="Normal"/>
    <w:rsid w:val="007A6660"/>
    <w:pPr>
      <w:ind w:left="720" w:hanging="720"/>
    </w:pPr>
    <w:rPr>
      <w:lang w:eastAsia="en-US"/>
    </w:rPr>
  </w:style>
  <w:style w:type="paragraph" w:customStyle="1" w:styleId="Scheduletitle">
    <w:name w:val="Schedule title"/>
    <w:basedOn w:val="Normal"/>
    <w:next w:val="Normal"/>
    <w:rsid w:val="007A6660"/>
    <w:pPr>
      <w:pageBreakBefore/>
      <w:spacing w:before="480"/>
      <w:ind w:left="2410" w:hanging="2410"/>
    </w:pPr>
    <w:rPr>
      <w:rFonts w:ascii="Arial" w:hAnsi="Arial"/>
      <w:b/>
      <w:sz w:val="32"/>
      <w:szCs w:val="24"/>
      <w:lang w:eastAsia="en-US"/>
    </w:rPr>
  </w:style>
  <w:style w:type="paragraph" w:customStyle="1" w:styleId="Paragraph">
    <w:name w:val="Paragraph"/>
    <w:basedOn w:val="Normal"/>
    <w:rsid w:val="007A6660"/>
    <w:pPr>
      <w:tabs>
        <w:tab w:val="left" w:pos="0"/>
      </w:tabs>
      <w:spacing w:before="240"/>
    </w:pPr>
    <w:rPr>
      <w:szCs w:val="24"/>
    </w:rPr>
  </w:style>
  <w:style w:type="paragraph" w:styleId="Signature">
    <w:name w:val="Signature"/>
    <w:basedOn w:val="Normal"/>
    <w:rsid w:val="007A6660"/>
    <w:pPr>
      <w:spacing w:before="720"/>
    </w:pPr>
  </w:style>
  <w:style w:type="character" w:styleId="PageNumber">
    <w:name w:val="page number"/>
    <w:basedOn w:val="DefaultParagraphFont"/>
    <w:rsid w:val="00C87A79"/>
  </w:style>
  <w:style w:type="character" w:styleId="CommentReference">
    <w:name w:val="annotation reference"/>
    <w:uiPriority w:val="99"/>
    <w:semiHidden/>
    <w:unhideWhenUsed/>
    <w:rsid w:val="002A0F2D"/>
    <w:rPr>
      <w:sz w:val="16"/>
      <w:szCs w:val="16"/>
    </w:rPr>
  </w:style>
  <w:style w:type="paragraph" w:styleId="CommentText">
    <w:name w:val="annotation text"/>
    <w:basedOn w:val="Normal"/>
    <w:link w:val="CommentTextChar"/>
    <w:uiPriority w:val="99"/>
    <w:semiHidden/>
    <w:unhideWhenUsed/>
    <w:rsid w:val="002A0F2D"/>
    <w:rPr>
      <w:sz w:val="20"/>
    </w:rPr>
  </w:style>
  <w:style w:type="character" w:customStyle="1" w:styleId="CommentTextChar">
    <w:name w:val="Comment Text Char"/>
    <w:basedOn w:val="DefaultParagraphFont"/>
    <w:link w:val="CommentText"/>
    <w:uiPriority w:val="99"/>
    <w:semiHidden/>
    <w:rsid w:val="002A0F2D"/>
  </w:style>
  <w:style w:type="paragraph" w:styleId="CommentSubject">
    <w:name w:val="annotation subject"/>
    <w:basedOn w:val="CommentText"/>
    <w:next w:val="CommentText"/>
    <w:link w:val="CommentSubjectChar"/>
    <w:uiPriority w:val="99"/>
    <w:semiHidden/>
    <w:unhideWhenUsed/>
    <w:rsid w:val="002A0F2D"/>
    <w:rPr>
      <w:b/>
      <w:bCs/>
    </w:rPr>
  </w:style>
  <w:style w:type="character" w:customStyle="1" w:styleId="CommentSubjectChar">
    <w:name w:val="Comment Subject Char"/>
    <w:link w:val="CommentSubject"/>
    <w:uiPriority w:val="99"/>
    <w:semiHidden/>
    <w:rsid w:val="002A0F2D"/>
    <w:rPr>
      <w:b/>
      <w:bCs/>
    </w:rPr>
  </w:style>
  <w:style w:type="paragraph" w:styleId="ListParagraph">
    <w:name w:val="List Paragraph"/>
    <w:basedOn w:val="Normal"/>
    <w:uiPriority w:val="34"/>
    <w:qFormat/>
    <w:rsid w:val="000F107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56024">
      <w:bodyDiv w:val="1"/>
      <w:marLeft w:val="0"/>
      <w:marRight w:val="0"/>
      <w:marTop w:val="0"/>
      <w:marBottom w:val="0"/>
      <w:divBdr>
        <w:top w:val="none" w:sz="0" w:space="0" w:color="auto"/>
        <w:left w:val="none" w:sz="0" w:space="0" w:color="auto"/>
        <w:bottom w:val="none" w:sz="0" w:space="0" w:color="auto"/>
        <w:right w:val="none" w:sz="0" w:space="0" w:color="auto"/>
      </w:divBdr>
      <w:divsChild>
        <w:div w:id="1296983635">
          <w:marLeft w:val="0"/>
          <w:marRight w:val="0"/>
          <w:marTop w:val="0"/>
          <w:marBottom w:val="0"/>
          <w:divBdr>
            <w:top w:val="none" w:sz="0" w:space="0" w:color="auto"/>
            <w:left w:val="none" w:sz="0" w:space="0" w:color="auto"/>
            <w:bottom w:val="none" w:sz="0" w:space="0" w:color="auto"/>
            <w:right w:val="none" w:sz="0" w:space="0" w:color="auto"/>
          </w:divBdr>
          <w:divsChild>
            <w:div w:id="2081362380">
              <w:marLeft w:val="0"/>
              <w:marRight w:val="0"/>
              <w:marTop w:val="0"/>
              <w:marBottom w:val="0"/>
              <w:divBdr>
                <w:top w:val="none" w:sz="0" w:space="0" w:color="auto"/>
                <w:left w:val="none" w:sz="0" w:space="0" w:color="auto"/>
                <w:bottom w:val="none" w:sz="0" w:space="0" w:color="auto"/>
                <w:right w:val="none" w:sz="0" w:space="0" w:color="auto"/>
              </w:divBdr>
              <w:divsChild>
                <w:div w:id="2094814130">
                  <w:marLeft w:val="0"/>
                  <w:marRight w:val="0"/>
                  <w:marTop w:val="0"/>
                  <w:marBottom w:val="0"/>
                  <w:divBdr>
                    <w:top w:val="none" w:sz="0" w:space="0" w:color="auto"/>
                    <w:left w:val="none" w:sz="0" w:space="0" w:color="auto"/>
                    <w:bottom w:val="none" w:sz="0" w:space="0" w:color="auto"/>
                    <w:right w:val="none" w:sz="0" w:space="0" w:color="auto"/>
                  </w:divBdr>
                  <w:divsChild>
                    <w:div w:id="692920115">
                      <w:marLeft w:val="0"/>
                      <w:marRight w:val="0"/>
                      <w:marTop w:val="0"/>
                      <w:marBottom w:val="0"/>
                      <w:divBdr>
                        <w:top w:val="none" w:sz="0" w:space="0" w:color="auto"/>
                        <w:left w:val="none" w:sz="0" w:space="0" w:color="auto"/>
                        <w:bottom w:val="none" w:sz="0" w:space="0" w:color="auto"/>
                        <w:right w:val="none" w:sz="0" w:space="0" w:color="auto"/>
                      </w:divBdr>
                      <w:divsChild>
                        <w:div w:id="803038960">
                          <w:marLeft w:val="0"/>
                          <w:marRight w:val="0"/>
                          <w:marTop w:val="0"/>
                          <w:marBottom w:val="0"/>
                          <w:divBdr>
                            <w:top w:val="none" w:sz="0" w:space="0" w:color="auto"/>
                            <w:left w:val="none" w:sz="0" w:space="0" w:color="auto"/>
                            <w:bottom w:val="none" w:sz="0" w:space="0" w:color="auto"/>
                            <w:right w:val="none" w:sz="0" w:space="0" w:color="auto"/>
                          </w:divBdr>
                          <w:divsChild>
                            <w:div w:id="1078674908">
                              <w:marLeft w:val="0"/>
                              <w:marRight w:val="0"/>
                              <w:marTop w:val="0"/>
                              <w:marBottom w:val="0"/>
                              <w:divBdr>
                                <w:top w:val="single" w:sz="6" w:space="0" w:color="828282"/>
                                <w:left w:val="single" w:sz="6" w:space="0" w:color="828282"/>
                                <w:bottom w:val="single" w:sz="6" w:space="0" w:color="828282"/>
                                <w:right w:val="single" w:sz="6" w:space="0" w:color="828282"/>
                              </w:divBdr>
                              <w:divsChild>
                                <w:div w:id="1483541883">
                                  <w:marLeft w:val="0"/>
                                  <w:marRight w:val="0"/>
                                  <w:marTop w:val="0"/>
                                  <w:marBottom w:val="0"/>
                                  <w:divBdr>
                                    <w:top w:val="none" w:sz="0" w:space="0" w:color="auto"/>
                                    <w:left w:val="none" w:sz="0" w:space="0" w:color="auto"/>
                                    <w:bottom w:val="none" w:sz="0" w:space="0" w:color="auto"/>
                                    <w:right w:val="none" w:sz="0" w:space="0" w:color="auto"/>
                                  </w:divBdr>
                                  <w:divsChild>
                                    <w:div w:id="1437140608">
                                      <w:marLeft w:val="0"/>
                                      <w:marRight w:val="0"/>
                                      <w:marTop w:val="0"/>
                                      <w:marBottom w:val="0"/>
                                      <w:divBdr>
                                        <w:top w:val="none" w:sz="0" w:space="0" w:color="auto"/>
                                        <w:left w:val="none" w:sz="0" w:space="0" w:color="auto"/>
                                        <w:bottom w:val="none" w:sz="0" w:space="0" w:color="auto"/>
                                        <w:right w:val="none" w:sz="0" w:space="0" w:color="auto"/>
                                      </w:divBdr>
                                      <w:divsChild>
                                        <w:div w:id="1837528056">
                                          <w:marLeft w:val="0"/>
                                          <w:marRight w:val="0"/>
                                          <w:marTop w:val="0"/>
                                          <w:marBottom w:val="0"/>
                                          <w:divBdr>
                                            <w:top w:val="none" w:sz="0" w:space="0" w:color="auto"/>
                                            <w:left w:val="none" w:sz="0" w:space="0" w:color="auto"/>
                                            <w:bottom w:val="none" w:sz="0" w:space="0" w:color="auto"/>
                                            <w:right w:val="none" w:sz="0" w:space="0" w:color="auto"/>
                                          </w:divBdr>
                                          <w:divsChild>
                                            <w:div w:id="896820421">
                                              <w:marLeft w:val="0"/>
                                              <w:marRight w:val="0"/>
                                              <w:marTop w:val="0"/>
                                              <w:marBottom w:val="0"/>
                                              <w:divBdr>
                                                <w:top w:val="none" w:sz="0" w:space="0" w:color="auto"/>
                                                <w:left w:val="none" w:sz="0" w:space="0" w:color="auto"/>
                                                <w:bottom w:val="none" w:sz="0" w:space="0" w:color="auto"/>
                                                <w:right w:val="none" w:sz="0" w:space="0" w:color="auto"/>
                                              </w:divBdr>
                                              <w:divsChild>
                                                <w:div w:id="2063284172">
                                                  <w:marLeft w:val="0"/>
                                                  <w:marRight w:val="0"/>
                                                  <w:marTop w:val="0"/>
                                                  <w:marBottom w:val="0"/>
                                                  <w:divBdr>
                                                    <w:top w:val="none" w:sz="0" w:space="0" w:color="auto"/>
                                                    <w:left w:val="none" w:sz="0" w:space="0" w:color="auto"/>
                                                    <w:bottom w:val="none" w:sz="0" w:space="0" w:color="auto"/>
                                                    <w:right w:val="none" w:sz="0" w:space="0" w:color="auto"/>
                                                  </w:divBdr>
                                                  <w:divsChild>
                                                    <w:div w:id="3175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1137365">
      <w:bodyDiv w:val="1"/>
      <w:marLeft w:val="0"/>
      <w:marRight w:val="0"/>
      <w:marTop w:val="0"/>
      <w:marBottom w:val="0"/>
      <w:divBdr>
        <w:top w:val="none" w:sz="0" w:space="0" w:color="auto"/>
        <w:left w:val="none" w:sz="0" w:space="0" w:color="auto"/>
        <w:bottom w:val="none" w:sz="0" w:space="0" w:color="auto"/>
        <w:right w:val="none" w:sz="0" w:space="0" w:color="auto"/>
      </w:divBdr>
      <w:divsChild>
        <w:div w:id="1845509917">
          <w:marLeft w:val="0"/>
          <w:marRight w:val="0"/>
          <w:marTop w:val="0"/>
          <w:marBottom w:val="0"/>
          <w:divBdr>
            <w:top w:val="none" w:sz="0" w:space="0" w:color="auto"/>
            <w:left w:val="none" w:sz="0" w:space="0" w:color="auto"/>
            <w:bottom w:val="none" w:sz="0" w:space="0" w:color="auto"/>
            <w:right w:val="none" w:sz="0" w:space="0" w:color="auto"/>
          </w:divBdr>
          <w:divsChild>
            <w:div w:id="1593584883">
              <w:marLeft w:val="0"/>
              <w:marRight w:val="0"/>
              <w:marTop w:val="0"/>
              <w:marBottom w:val="0"/>
              <w:divBdr>
                <w:top w:val="none" w:sz="0" w:space="0" w:color="auto"/>
                <w:left w:val="none" w:sz="0" w:space="0" w:color="auto"/>
                <w:bottom w:val="none" w:sz="0" w:space="0" w:color="auto"/>
                <w:right w:val="none" w:sz="0" w:space="0" w:color="auto"/>
              </w:divBdr>
              <w:divsChild>
                <w:div w:id="562059313">
                  <w:marLeft w:val="0"/>
                  <w:marRight w:val="0"/>
                  <w:marTop w:val="0"/>
                  <w:marBottom w:val="0"/>
                  <w:divBdr>
                    <w:top w:val="none" w:sz="0" w:space="0" w:color="auto"/>
                    <w:left w:val="none" w:sz="0" w:space="0" w:color="auto"/>
                    <w:bottom w:val="none" w:sz="0" w:space="0" w:color="auto"/>
                    <w:right w:val="none" w:sz="0" w:space="0" w:color="auto"/>
                  </w:divBdr>
                  <w:divsChild>
                    <w:div w:id="895049162">
                      <w:marLeft w:val="0"/>
                      <w:marRight w:val="0"/>
                      <w:marTop w:val="0"/>
                      <w:marBottom w:val="0"/>
                      <w:divBdr>
                        <w:top w:val="none" w:sz="0" w:space="0" w:color="auto"/>
                        <w:left w:val="none" w:sz="0" w:space="0" w:color="auto"/>
                        <w:bottom w:val="none" w:sz="0" w:space="0" w:color="auto"/>
                        <w:right w:val="none" w:sz="0" w:space="0" w:color="auto"/>
                      </w:divBdr>
                      <w:divsChild>
                        <w:div w:id="1421442088">
                          <w:marLeft w:val="0"/>
                          <w:marRight w:val="0"/>
                          <w:marTop w:val="0"/>
                          <w:marBottom w:val="0"/>
                          <w:divBdr>
                            <w:top w:val="none" w:sz="0" w:space="0" w:color="auto"/>
                            <w:left w:val="none" w:sz="0" w:space="0" w:color="auto"/>
                            <w:bottom w:val="none" w:sz="0" w:space="0" w:color="auto"/>
                            <w:right w:val="none" w:sz="0" w:space="0" w:color="auto"/>
                          </w:divBdr>
                          <w:divsChild>
                            <w:div w:id="60368514">
                              <w:marLeft w:val="0"/>
                              <w:marRight w:val="0"/>
                              <w:marTop w:val="0"/>
                              <w:marBottom w:val="0"/>
                              <w:divBdr>
                                <w:top w:val="single" w:sz="6" w:space="0" w:color="828282"/>
                                <w:left w:val="single" w:sz="6" w:space="0" w:color="828282"/>
                                <w:bottom w:val="single" w:sz="6" w:space="0" w:color="828282"/>
                                <w:right w:val="single" w:sz="6" w:space="0" w:color="828282"/>
                              </w:divBdr>
                              <w:divsChild>
                                <w:div w:id="408768881">
                                  <w:marLeft w:val="0"/>
                                  <w:marRight w:val="0"/>
                                  <w:marTop w:val="0"/>
                                  <w:marBottom w:val="0"/>
                                  <w:divBdr>
                                    <w:top w:val="none" w:sz="0" w:space="0" w:color="auto"/>
                                    <w:left w:val="none" w:sz="0" w:space="0" w:color="auto"/>
                                    <w:bottom w:val="none" w:sz="0" w:space="0" w:color="auto"/>
                                    <w:right w:val="none" w:sz="0" w:space="0" w:color="auto"/>
                                  </w:divBdr>
                                  <w:divsChild>
                                    <w:div w:id="864447119">
                                      <w:marLeft w:val="0"/>
                                      <w:marRight w:val="0"/>
                                      <w:marTop w:val="0"/>
                                      <w:marBottom w:val="0"/>
                                      <w:divBdr>
                                        <w:top w:val="none" w:sz="0" w:space="0" w:color="auto"/>
                                        <w:left w:val="none" w:sz="0" w:space="0" w:color="auto"/>
                                        <w:bottom w:val="none" w:sz="0" w:space="0" w:color="auto"/>
                                        <w:right w:val="none" w:sz="0" w:space="0" w:color="auto"/>
                                      </w:divBdr>
                                      <w:divsChild>
                                        <w:div w:id="821704209">
                                          <w:marLeft w:val="0"/>
                                          <w:marRight w:val="0"/>
                                          <w:marTop w:val="0"/>
                                          <w:marBottom w:val="0"/>
                                          <w:divBdr>
                                            <w:top w:val="none" w:sz="0" w:space="0" w:color="auto"/>
                                            <w:left w:val="none" w:sz="0" w:space="0" w:color="auto"/>
                                            <w:bottom w:val="none" w:sz="0" w:space="0" w:color="auto"/>
                                            <w:right w:val="none" w:sz="0" w:space="0" w:color="auto"/>
                                          </w:divBdr>
                                          <w:divsChild>
                                            <w:div w:id="772097147">
                                              <w:marLeft w:val="0"/>
                                              <w:marRight w:val="0"/>
                                              <w:marTop w:val="0"/>
                                              <w:marBottom w:val="0"/>
                                              <w:divBdr>
                                                <w:top w:val="none" w:sz="0" w:space="0" w:color="auto"/>
                                                <w:left w:val="none" w:sz="0" w:space="0" w:color="auto"/>
                                                <w:bottom w:val="none" w:sz="0" w:space="0" w:color="auto"/>
                                                <w:right w:val="none" w:sz="0" w:space="0" w:color="auto"/>
                                              </w:divBdr>
                                              <w:divsChild>
                                                <w:div w:id="2136177227">
                                                  <w:marLeft w:val="0"/>
                                                  <w:marRight w:val="0"/>
                                                  <w:marTop w:val="0"/>
                                                  <w:marBottom w:val="0"/>
                                                  <w:divBdr>
                                                    <w:top w:val="none" w:sz="0" w:space="0" w:color="auto"/>
                                                    <w:left w:val="none" w:sz="0" w:space="0" w:color="auto"/>
                                                    <w:bottom w:val="none" w:sz="0" w:space="0" w:color="auto"/>
                                                    <w:right w:val="none" w:sz="0" w:space="0" w:color="auto"/>
                                                  </w:divBdr>
                                                  <w:divsChild>
                                                    <w:div w:id="137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6134351">
      <w:bodyDiv w:val="1"/>
      <w:marLeft w:val="0"/>
      <w:marRight w:val="0"/>
      <w:marTop w:val="0"/>
      <w:marBottom w:val="0"/>
      <w:divBdr>
        <w:top w:val="none" w:sz="0" w:space="0" w:color="auto"/>
        <w:left w:val="none" w:sz="0" w:space="0" w:color="auto"/>
        <w:bottom w:val="none" w:sz="0" w:space="0" w:color="auto"/>
        <w:right w:val="none" w:sz="0" w:space="0" w:color="auto"/>
      </w:divBdr>
      <w:divsChild>
        <w:div w:id="1331062846">
          <w:marLeft w:val="0"/>
          <w:marRight w:val="0"/>
          <w:marTop w:val="0"/>
          <w:marBottom w:val="0"/>
          <w:divBdr>
            <w:top w:val="none" w:sz="0" w:space="0" w:color="auto"/>
            <w:left w:val="none" w:sz="0" w:space="0" w:color="auto"/>
            <w:bottom w:val="none" w:sz="0" w:space="0" w:color="auto"/>
            <w:right w:val="none" w:sz="0" w:space="0" w:color="auto"/>
          </w:divBdr>
          <w:divsChild>
            <w:div w:id="1498182536">
              <w:marLeft w:val="0"/>
              <w:marRight w:val="0"/>
              <w:marTop w:val="0"/>
              <w:marBottom w:val="0"/>
              <w:divBdr>
                <w:top w:val="none" w:sz="0" w:space="0" w:color="auto"/>
                <w:left w:val="none" w:sz="0" w:space="0" w:color="auto"/>
                <w:bottom w:val="none" w:sz="0" w:space="0" w:color="auto"/>
                <w:right w:val="none" w:sz="0" w:space="0" w:color="auto"/>
              </w:divBdr>
              <w:divsChild>
                <w:div w:id="275988403">
                  <w:marLeft w:val="0"/>
                  <w:marRight w:val="0"/>
                  <w:marTop w:val="0"/>
                  <w:marBottom w:val="0"/>
                  <w:divBdr>
                    <w:top w:val="none" w:sz="0" w:space="0" w:color="auto"/>
                    <w:left w:val="none" w:sz="0" w:space="0" w:color="auto"/>
                    <w:bottom w:val="none" w:sz="0" w:space="0" w:color="auto"/>
                    <w:right w:val="none" w:sz="0" w:space="0" w:color="auto"/>
                  </w:divBdr>
                  <w:divsChild>
                    <w:div w:id="792792739">
                      <w:marLeft w:val="0"/>
                      <w:marRight w:val="0"/>
                      <w:marTop w:val="0"/>
                      <w:marBottom w:val="0"/>
                      <w:divBdr>
                        <w:top w:val="none" w:sz="0" w:space="0" w:color="auto"/>
                        <w:left w:val="none" w:sz="0" w:space="0" w:color="auto"/>
                        <w:bottom w:val="none" w:sz="0" w:space="0" w:color="auto"/>
                        <w:right w:val="none" w:sz="0" w:space="0" w:color="auto"/>
                      </w:divBdr>
                      <w:divsChild>
                        <w:div w:id="235289378">
                          <w:marLeft w:val="0"/>
                          <w:marRight w:val="0"/>
                          <w:marTop w:val="0"/>
                          <w:marBottom w:val="0"/>
                          <w:divBdr>
                            <w:top w:val="none" w:sz="0" w:space="0" w:color="auto"/>
                            <w:left w:val="none" w:sz="0" w:space="0" w:color="auto"/>
                            <w:bottom w:val="none" w:sz="0" w:space="0" w:color="auto"/>
                            <w:right w:val="none" w:sz="0" w:space="0" w:color="auto"/>
                          </w:divBdr>
                          <w:divsChild>
                            <w:div w:id="1487673963">
                              <w:marLeft w:val="0"/>
                              <w:marRight w:val="0"/>
                              <w:marTop w:val="0"/>
                              <w:marBottom w:val="0"/>
                              <w:divBdr>
                                <w:top w:val="single" w:sz="6" w:space="0" w:color="828282"/>
                                <w:left w:val="single" w:sz="6" w:space="0" w:color="828282"/>
                                <w:bottom w:val="single" w:sz="6" w:space="0" w:color="828282"/>
                                <w:right w:val="single" w:sz="6" w:space="0" w:color="828282"/>
                              </w:divBdr>
                              <w:divsChild>
                                <w:div w:id="1635090059">
                                  <w:marLeft w:val="0"/>
                                  <w:marRight w:val="0"/>
                                  <w:marTop w:val="0"/>
                                  <w:marBottom w:val="0"/>
                                  <w:divBdr>
                                    <w:top w:val="none" w:sz="0" w:space="0" w:color="auto"/>
                                    <w:left w:val="none" w:sz="0" w:space="0" w:color="auto"/>
                                    <w:bottom w:val="none" w:sz="0" w:space="0" w:color="auto"/>
                                    <w:right w:val="none" w:sz="0" w:space="0" w:color="auto"/>
                                  </w:divBdr>
                                  <w:divsChild>
                                    <w:div w:id="2063093344">
                                      <w:marLeft w:val="0"/>
                                      <w:marRight w:val="0"/>
                                      <w:marTop w:val="0"/>
                                      <w:marBottom w:val="0"/>
                                      <w:divBdr>
                                        <w:top w:val="none" w:sz="0" w:space="0" w:color="auto"/>
                                        <w:left w:val="none" w:sz="0" w:space="0" w:color="auto"/>
                                        <w:bottom w:val="none" w:sz="0" w:space="0" w:color="auto"/>
                                        <w:right w:val="none" w:sz="0" w:space="0" w:color="auto"/>
                                      </w:divBdr>
                                      <w:divsChild>
                                        <w:div w:id="660161729">
                                          <w:marLeft w:val="0"/>
                                          <w:marRight w:val="0"/>
                                          <w:marTop w:val="0"/>
                                          <w:marBottom w:val="0"/>
                                          <w:divBdr>
                                            <w:top w:val="none" w:sz="0" w:space="0" w:color="auto"/>
                                            <w:left w:val="none" w:sz="0" w:space="0" w:color="auto"/>
                                            <w:bottom w:val="none" w:sz="0" w:space="0" w:color="auto"/>
                                            <w:right w:val="none" w:sz="0" w:space="0" w:color="auto"/>
                                          </w:divBdr>
                                          <w:divsChild>
                                            <w:div w:id="1802729651">
                                              <w:marLeft w:val="0"/>
                                              <w:marRight w:val="0"/>
                                              <w:marTop w:val="0"/>
                                              <w:marBottom w:val="0"/>
                                              <w:divBdr>
                                                <w:top w:val="none" w:sz="0" w:space="0" w:color="auto"/>
                                                <w:left w:val="none" w:sz="0" w:space="0" w:color="auto"/>
                                                <w:bottom w:val="none" w:sz="0" w:space="0" w:color="auto"/>
                                                <w:right w:val="none" w:sz="0" w:space="0" w:color="auto"/>
                                              </w:divBdr>
                                              <w:divsChild>
                                                <w:div w:id="882057948">
                                                  <w:marLeft w:val="0"/>
                                                  <w:marRight w:val="0"/>
                                                  <w:marTop w:val="0"/>
                                                  <w:marBottom w:val="0"/>
                                                  <w:divBdr>
                                                    <w:top w:val="none" w:sz="0" w:space="0" w:color="auto"/>
                                                    <w:left w:val="none" w:sz="0" w:space="0" w:color="auto"/>
                                                    <w:bottom w:val="none" w:sz="0" w:space="0" w:color="auto"/>
                                                    <w:right w:val="none" w:sz="0" w:space="0" w:color="auto"/>
                                                  </w:divBdr>
                                                  <w:divsChild>
                                                    <w:div w:id="11197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2491468">
      <w:bodyDiv w:val="1"/>
      <w:marLeft w:val="0"/>
      <w:marRight w:val="0"/>
      <w:marTop w:val="0"/>
      <w:marBottom w:val="0"/>
      <w:divBdr>
        <w:top w:val="none" w:sz="0" w:space="0" w:color="auto"/>
        <w:left w:val="none" w:sz="0" w:space="0" w:color="auto"/>
        <w:bottom w:val="none" w:sz="0" w:space="0" w:color="auto"/>
        <w:right w:val="none" w:sz="0" w:space="0" w:color="auto"/>
      </w:divBdr>
      <w:divsChild>
        <w:div w:id="1191647757">
          <w:marLeft w:val="0"/>
          <w:marRight w:val="0"/>
          <w:marTop w:val="0"/>
          <w:marBottom w:val="0"/>
          <w:divBdr>
            <w:top w:val="none" w:sz="0" w:space="0" w:color="auto"/>
            <w:left w:val="none" w:sz="0" w:space="0" w:color="auto"/>
            <w:bottom w:val="none" w:sz="0" w:space="0" w:color="auto"/>
            <w:right w:val="none" w:sz="0" w:space="0" w:color="auto"/>
          </w:divBdr>
          <w:divsChild>
            <w:div w:id="1092165796">
              <w:marLeft w:val="0"/>
              <w:marRight w:val="0"/>
              <w:marTop w:val="0"/>
              <w:marBottom w:val="0"/>
              <w:divBdr>
                <w:top w:val="none" w:sz="0" w:space="0" w:color="auto"/>
                <w:left w:val="none" w:sz="0" w:space="0" w:color="auto"/>
                <w:bottom w:val="none" w:sz="0" w:space="0" w:color="auto"/>
                <w:right w:val="none" w:sz="0" w:space="0" w:color="auto"/>
              </w:divBdr>
              <w:divsChild>
                <w:div w:id="540899888">
                  <w:marLeft w:val="0"/>
                  <w:marRight w:val="0"/>
                  <w:marTop w:val="0"/>
                  <w:marBottom w:val="0"/>
                  <w:divBdr>
                    <w:top w:val="none" w:sz="0" w:space="0" w:color="auto"/>
                    <w:left w:val="none" w:sz="0" w:space="0" w:color="auto"/>
                    <w:bottom w:val="none" w:sz="0" w:space="0" w:color="auto"/>
                    <w:right w:val="none" w:sz="0" w:space="0" w:color="auto"/>
                  </w:divBdr>
                  <w:divsChild>
                    <w:div w:id="1204290961">
                      <w:marLeft w:val="0"/>
                      <w:marRight w:val="0"/>
                      <w:marTop w:val="0"/>
                      <w:marBottom w:val="0"/>
                      <w:divBdr>
                        <w:top w:val="none" w:sz="0" w:space="0" w:color="auto"/>
                        <w:left w:val="none" w:sz="0" w:space="0" w:color="auto"/>
                        <w:bottom w:val="none" w:sz="0" w:space="0" w:color="auto"/>
                        <w:right w:val="none" w:sz="0" w:space="0" w:color="auto"/>
                      </w:divBdr>
                      <w:divsChild>
                        <w:div w:id="1643149749">
                          <w:marLeft w:val="0"/>
                          <w:marRight w:val="0"/>
                          <w:marTop w:val="0"/>
                          <w:marBottom w:val="0"/>
                          <w:divBdr>
                            <w:top w:val="none" w:sz="0" w:space="0" w:color="auto"/>
                            <w:left w:val="none" w:sz="0" w:space="0" w:color="auto"/>
                            <w:bottom w:val="none" w:sz="0" w:space="0" w:color="auto"/>
                            <w:right w:val="none" w:sz="0" w:space="0" w:color="auto"/>
                          </w:divBdr>
                          <w:divsChild>
                            <w:div w:id="2110615339">
                              <w:marLeft w:val="0"/>
                              <w:marRight w:val="0"/>
                              <w:marTop w:val="0"/>
                              <w:marBottom w:val="0"/>
                              <w:divBdr>
                                <w:top w:val="single" w:sz="6" w:space="0" w:color="828282"/>
                                <w:left w:val="single" w:sz="6" w:space="0" w:color="828282"/>
                                <w:bottom w:val="single" w:sz="6" w:space="0" w:color="828282"/>
                                <w:right w:val="single" w:sz="6" w:space="0" w:color="828282"/>
                              </w:divBdr>
                              <w:divsChild>
                                <w:div w:id="1140459500">
                                  <w:marLeft w:val="0"/>
                                  <w:marRight w:val="0"/>
                                  <w:marTop w:val="0"/>
                                  <w:marBottom w:val="0"/>
                                  <w:divBdr>
                                    <w:top w:val="none" w:sz="0" w:space="0" w:color="auto"/>
                                    <w:left w:val="none" w:sz="0" w:space="0" w:color="auto"/>
                                    <w:bottom w:val="none" w:sz="0" w:space="0" w:color="auto"/>
                                    <w:right w:val="none" w:sz="0" w:space="0" w:color="auto"/>
                                  </w:divBdr>
                                  <w:divsChild>
                                    <w:div w:id="469372664">
                                      <w:marLeft w:val="0"/>
                                      <w:marRight w:val="0"/>
                                      <w:marTop w:val="0"/>
                                      <w:marBottom w:val="0"/>
                                      <w:divBdr>
                                        <w:top w:val="none" w:sz="0" w:space="0" w:color="auto"/>
                                        <w:left w:val="none" w:sz="0" w:space="0" w:color="auto"/>
                                        <w:bottom w:val="none" w:sz="0" w:space="0" w:color="auto"/>
                                        <w:right w:val="none" w:sz="0" w:space="0" w:color="auto"/>
                                      </w:divBdr>
                                      <w:divsChild>
                                        <w:div w:id="855575403">
                                          <w:marLeft w:val="0"/>
                                          <w:marRight w:val="0"/>
                                          <w:marTop w:val="0"/>
                                          <w:marBottom w:val="0"/>
                                          <w:divBdr>
                                            <w:top w:val="none" w:sz="0" w:space="0" w:color="auto"/>
                                            <w:left w:val="none" w:sz="0" w:space="0" w:color="auto"/>
                                            <w:bottom w:val="none" w:sz="0" w:space="0" w:color="auto"/>
                                            <w:right w:val="none" w:sz="0" w:space="0" w:color="auto"/>
                                          </w:divBdr>
                                          <w:divsChild>
                                            <w:div w:id="400561418">
                                              <w:marLeft w:val="0"/>
                                              <w:marRight w:val="0"/>
                                              <w:marTop w:val="0"/>
                                              <w:marBottom w:val="0"/>
                                              <w:divBdr>
                                                <w:top w:val="none" w:sz="0" w:space="0" w:color="auto"/>
                                                <w:left w:val="none" w:sz="0" w:space="0" w:color="auto"/>
                                                <w:bottom w:val="none" w:sz="0" w:space="0" w:color="auto"/>
                                                <w:right w:val="none" w:sz="0" w:space="0" w:color="auto"/>
                                              </w:divBdr>
                                              <w:divsChild>
                                                <w:div w:id="1139570917">
                                                  <w:marLeft w:val="0"/>
                                                  <w:marRight w:val="0"/>
                                                  <w:marTop w:val="0"/>
                                                  <w:marBottom w:val="0"/>
                                                  <w:divBdr>
                                                    <w:top w:val="none" w:sz="0" w:space="0" w:color="auto"/>
                                                    <w:left w:val="none" w:sz="0" w:space="0" w:color="auto"/>
                                                    <w:bottom w:val="none" w:sz="0" w:space="0" w:color="auto"/>
                                                    <w:right w:val="none" w:sz="0" w:space="0" w:color="auto"/>
                                                  </w:divBdr>
                                                  <w:divsChild>
                                                    <w:div w:id="174452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F7A50-083B-4268-9426-F7200C83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1768</Words>
  <Characters>10083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11828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McCabe, Jennevieve</dc:creator>
  <cp:lastModifiedBy>Watson, Jill</cp:lastModifiedBy>
  <cp:revision>2</cp:revision>
  <cp:lastPrinted>2015-09-18T01:00:00Z</cp:lastPrinted>
  <dcterms:created xsi:type="dcterms:W3CDTF">2015-09-18T03:10:00Z</dcterms:created>
  <dcterms:modified xsi:type="dcterms:W3CDTF">2015-09-18T03:10:00Z</dcterms:modified>
</cp:coreProperties>
</file>