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B71" w:rsidRDefault="00485FC1" w:rsidP="00B235ED">
      <w:pPr>
        <w:pStyle w:val="Heading"/>
        <w:jc w:val="center"/>
        <w:rPr>
          <w:rFonts w:ascii="Times New Roman" w:hAnsi="Times New Roman"/>
          <w:sz w:val="24"/>
          <w:szCs w:val="24"/>
        </w:rPr>
      </w:pPr>
      <w:r>
        <w:rPr>
          <w:rFonts w:ascii="Times New Roman" w:hAnsi="Times New Roman"/>
          <w:sz w:val="24"/>
          <w:szCs w:val="24"/>
        </w:rPr>
        <w:t>Banking (</w:t>
      </w:r>
      <w:r w:rsidR="00173B71" w:rsidRPr="00173B71">
        <w:rPr>
          <w:rFonts w:ascii="Times New Roman" w:hAnsi="Times New Roman"/>
          <w:sz w:val="24"/>
          <w:szCs w:val="24"/>
        </w:rPr>
        <w:t xml:space="preserve">restricted </w:t>
      </w:r>
      <w:r>
        <w:rPr>
          <w:rFonts w:ascii="Times New Roman" w:hAnsi="Times New Roman"/>
          <w:sz w:val="24"/>
          <w:szCs w:val="24"/>
        </w:rPr>
        <w:t xml:space="preserve">word or </w:t>
      </w:r>
      <w:r w:rsidR="00173B71" w:rsidRPr="00173B71">
        <w:rPr>
          <w:rFonts w:ascii="Times New Roman" w:hAnsi="Times New Roman"/>
          <w:sz w:val="24"/>
          <w:szCs w:val="24"/>
        </w:rPr>
        <w:t>expression</w:t>
      </w:r>
      <w:r>
        <w:rPr>
          <w:rFonts w:ascii="Times New Roman" w:hAnsi="Times New Roman"/>
          <w:sz w:val="24"/>
          <w:szCs w:val="24"/>
        </w:rPr>
        <w:t>)</w:t>
      </w:r>
      <w:r w:rsidR="00173B71" w:rsidRPr="00173B71">
        <w:rPr>
          <w:rFonts w:ascii="Times New Roman" w:hAnsi="Times New Roman"/>
          <w:sz w:val="24"/>
          <w:szCs w:val="24"/>
        </w:rPr>
        <w:t xml:space="preserve"> </w:t>
      </w:r>
      <w:r w:rsidR="00173B71" w:rsidRPr="00B70D56">
        <w:rPr>
          <w:rFonts w:ascii="Times New Roman" w:hAnsi="Times New Roman"/>
          <w:sz w:val="24"/>
          <w:szCs w:val="24"/>
        </w:rPr>
        <w:t xml:space="preserve">No. </w:t>
      </w:r>
      <w:r w:rsidRPr="00B70D56">
        <w:rPr>
          <w:rFonts w:ascii="Times New Roman" w:hAnsi="Times New Roman"/>
          <w:sz w:val="24"/>
          <w:szCs w:val="24"/>
        </w:rPr>
        <w:t>2</w:t>
      </w:r>
      <w:r w:rsidR="00173B71" w:rsidRPr="00B70D56">
        <w:rPr>
          <w:rFonts w:ascii="Times New Roman" w:hAnsi="Times New Roman"/>
          <w:sz w:val="24"/>
          <w:szCs w:val="24"/>
        </w:rPr>
        <w:t xml:space="preserve"> of 2015</w:t>
      </w:r>
    </w:p>
    <w:p w:rsidR="00B235ED" w:rsidRPr="00173B71" w:rsidRDefault="00B235ED" w:rsidP="00B235ED">
      <w:pPr>
        <w:pStyle w:val="Heading"/>
        <w:jc w:val="center"/>
        <w:rPr>
          <w:rFonts w:ascii="Times New Roman" w:hAnsi="Times New Roman"/>
          <w:sz w:val="24"/>
          <w:szCs w:val="24"/>
        </w:rPr>
      </w:pPr>
      <w:r>
        <w:rPr>
          <w:rFonts w:ascii="Times New Roman" w:hAnsi="Times New Roman"/>
          <w:sz w:val="24"/>
          <w:szCs w:val="24"/>
        </w:rPr>
        <w:t>Consent regarding “Offshore Banking Unit”</w:t>
      </w:r>
    </w:p>
    <w:p w:rsidR="00B235ED" w:rsidRDefault="00B235ED" w:rsidP="00B70D56">
      <w:pPr>
        <w:pStyle w:val="Heading"/>
        <w:tabs>
          <w:tab w:val="left" w:pos="360"/>
        </w:tabs>
        <w:spacing w:before="120" w:after="240"/>
        <w:jc w:val="center"/>
        <w:rPr>
          <w:rFonts w:ascii="Times New Roman" w:hAnsi="Times New Roman"/>
          <w:sz w:val="24"/>
          <w:szCs w:val="24"/>
          <w:u w:val="single"/>
        </w:rPr>
      </w:pPr>
      <w:bookmarkStart w:id="0" w:name="bkInstrumentSubTitle"/>
      <w:bookmarkStart w:id="1" w:name="_GoBack"/>
      <w:bookmarkEnd w:id="0"/>
      <w:bookmarkEnd w:id="1"/>
    </w:p>
    <w:p w:rsidR="00173B71" w:rsidRPr="00173B71" w:rsidRDefault="00173B71" w:rsidP="00B70D56">
      <w:pPr>
        <w:pStyle w:val="Heading"/>
        <w:tabs>
          <w:tab w:val="left" w:pos="360"/>
        </w:tabs>
        <w:spacing w:before="120" w:after="240"/>
        <w:jc w:val="center"/>
        <w:rPr>
          <w:rFonts w:ascii="Times New Roman" w:hAnsi="Times New Roman"/>
          <w:sz w:val="24"/>
          <w:szCs w:val="24"/>
          <w:u w:val="single"/>
        </w:rPr>
      </w:pPr>
      <w:r w:rsidRPr="00173B71">
        <w:rPr>
          <w:rFonts w:ascii="Times New Roman" w:hAnsi="Times New Roman"/>
          <w:sz w:val="24"/>
          <w:szCs w:val="24"/>
          <w:u w:val="single"/>
        </w:rPr>
        <w:t>EXPLANATORY STATEMENT</w:t>
      </w:r>
    </w:p>
    <w:p w:rsidR="00173B71" w:rsidRPr="00173B71" w:rsidRDefault="00173B71" w:rsidP="00B70D56">
      <w:pPr>
        <w:pStyle w:val="Heading"/>
        <w:spacing w:before="120" w:after="240"/>
        <w:jc w:val="center"/>
        <w:rPr>
          <w:rFonts w:ascii="Times New Roman" w:hAnsi="Times New Roman"/>
          <w:sz w:val="24"/>
          <w:szCs w:val="24"/>
        </w:rPr>
      </w:pPr>
      <w:r w:rsidRPr="00173B71">
        <w:rPr>
          <w:rFonts w:ascii="Times New Roman" w:hAnsi="Times New Roman"/>
          <w:sz w:val="24"/>
          <w:szCs w:val="24"/>
        </w:rPr>
        <w:t>Prepared by the Australian Prudential Regulation Authority (APRA)</w:t>
      </w:r>
    </w:p>
    <w:p w:rsidR="00173B71" w:rsidRDefault="00173B71" w:rsidP="00173B71">
      <w:pPr>
        <w:pStyle w:val="Heading"/>
        <w:tabs>
          <w:tab w:val="left" w:pos="360"/>
        </w:tabs>
        <w:spacing w:before="120" w:after="120"/>
        <w:jc w:val="center"/>
        <w:rPr>
          <w:rFonts w:ascii="Times New Roman" w:hAnsi="Times New Roman"/>
          <w:b w:val="0"/>
          <w:color w:val="000000"/>
          <w:sz w:val="24"/>
          <w:szCs w:val="24"/>
        </w:rPr>
      </w:pPr>
      <w:r w:rsidRPr="00173B71">
        <w:rPr>
          <w:rFonts w:ascii="Times New Roman" w:hAnsi="Times New Roman"/>
          <w:b w:val="0"/>
          <w:i/>
          <w:sz w:val="24"/>
          <w:szCs w:val="24"/>
        </w:rPr>
        <w:t>Banking Act 1959</w:t>
      </w:r>
      <w:r w:rsidRPr="00173B71">
        <w:rPr>
          <w:rFonts w:ascii="Times New Roman" w:hAnsi="Times New Roman"/>
          <w:b w:val="0"/>
          <w:sz w:val="24"/>
          <w:szCs w:val="24"/>
        </w:rPr>
        <w:t xml:space="preserve">, </w:t>
      </w:r>
      <w:r w:rsidR="00004A89">
        <w:rPr>
          <w:rFonts w:ascii="Times New Roman" w:hAnsi="Times New Roman"/>
          <w:b w:val="0"/>
          <w:color w:val="000000"/>
          <w:sz w:val="24"/>
          <w:szCs w:val="24"/>
        </w:rPr>
        <w:t>paragraphs</w:t>
      </w:r>
      <w:r w:rsidRPr="00173B71">
        <w:rPr>
          <w:rFonts w:ascii="Times New Roman" w:hAnsi="Times New Roman"/>
          <w:b w:val="0"/>
          <w:color w:val="000000"/>
          <w:sz w:val="24"/>
          <w:szCs w:val="24"/>
        </w:rPr>
        <w:t xml:space="preserve"> 66</w:t>
      </w:r>
      <w:r w:rsidR="005923DE">
        <w:rPr>
          <w:rFonts w:ascii="Times New Roman" w:hAnsi="Times New Roman"/>
          <w:b w:val="0"/>
          <w:color w:val="000000"/>
          <w:sz w:val="24"/>
          <w:szCs w:val="24"/>
        </w:rPr>
        <w:t>(2</w:t>
      </w:r>
      <w:proofErr w:type="gramStart"/>
      <w:r w:rsidR="005923DE">
        <w:rPr>
          <w:rFonts w:ascii="Times New Roman" w:hAnsi="Times New Roman"/>
          <w:b w:val="0"/>
          <w:color w:val="000000"/>
          <w:sz w:val="24"/>
          <w:szCs w:val="24"/>
        </w:rPr>
        <w:t>)(</w:t>
      </w:r>
      <w:proofErr w:type="gramEnd"/>
      <w:r w:rsidR="005923DE">
        <w:rPr>
          <w:rFonts w:ascii="Times New Roman" w:hAnsi="Times New Roman"/>
          <w:b w:val="0"/>
          <w:color w:val="000000"/>
          <w:sz w:val="24"/>
          <w:szCs w:val="24"/>
        </w:rPr>
        <w:t>c) and 66(1)(d)</w:t>
      </w:r>
    </w:p>
    <w:p w:rsidR="005923DE" w:rsidRDefault="005923DE" w:rsidP="00173B71">
      <w:pPr>
        <w:pStyle w:val="Heading"/>
        <w:tabs>
          <w:tab w:val="left" w:pos="360"/>
        </w:tabs>
        <w:spacing w:before="120" w:after="120"/>
        <w:jc w:val="center"/>
        <w:rPr>
          <w:rFonts w:ascii="Times New Roman" w:hAnsi="Times New Roman"/>
          <w:b w:val="0"/>
          <w:color w:val="000000"/>
          <w:sz w:val="24"/>
          <w:szCs w:val="24"/>
        </w:rPr>
      </w:pPr>
      <w:r w:rsidRPr="00B70D56">
        <w:rPr>
          <w:rFonts w:ascii="Times New Roman" w:hAnsi="Times New Roman"/>
          <w:b w:val="0"/>
          <w:i/>
          <w:color w:val="000000"/>
          <w:sz w:val="24"/>
          <w:szCs w:val="24"/>
        </w:rPr>
        <w:t>Acts Interpretation Act 1901</w:t>
      </w:r>
      <w:r>
        <w:rPr>
          <w:rFonts w:ascii="Times New Roman" w:hAnsi="Times New Roman"/>
          <w:b w:val="0"/>
          <w:color w:val="000000"/>
          <w:sz w:val="24"/>
          <w:szCs w:val="24"/>
        </w:rPr>
        <w:t>, section 33</w:t>
      </w:r>
    </w:p>
    <w:p w:rsidR="00BD42C5" w:rsidRDefault="00BD42C5" w:rsidP="00173B71">
      <w:pPr>
        <w:pStyle w:val="Heading"/>
        <w:tabs>
          <w:tab w:val="left" w:pos="360"/>
        </w:tabs>
        <w:spacing w:before="120" w:after="120"/>
        <w:jc w:val="center"/>
        <w:rPr>
          <w:rFonts w:ascii="Times New Roman" w:hAnsi="Times New Roman"/>
          <w:b w:val="0"/>
          <w:color w:val="000000"/>
          <w:sz w:val="24"/>
          <w:szCs w:val="24"/>
        </w:rPr>
      </w:pPr>
    </w:p>
    <w:p w:rsidR="00BD42C5" w:rsidRPr="00F802B9" w:rsidRDefault="00560B8E" w:rsidP="00BD42C5">
      <w:pPr>
        <w:jc w:val="both"/>
        <w:rPr>
          <w:rFonts w:ascii="Times New Roman" w:hAnsi="Times New Roman"/>
          <w:sz w:val="24"/>
          <w:szCs w:val="24"/>
        </w:rPr>
      </w:pPr>
      <w:r>
        <w:rPr>
          <w:rFonts w:ascii="Times New Roman" w:hAnsi="Times New Roman"/>
          <w:sz w:val="24"/>
          <w:szCs w:val="24"/>
        </w:rPr>
        <w:t xml:space="preserve">Subsection 66(1) of the </w:t>
      </w:r>
      <w:r w:rsidRPr="00B70D56">
        <w:rPr>
          <w:rFonts w:ascii="Times New Roman" w:hAnsi="Times New Roman"/>
          <w:i/>
          <w:sz w:val="24"/>
          <w:szCs w:val="24"/>
        </w:rPr>
        <w:t>Banking Act 1959</w:t>
      </w:r>
      <w:r>
        <w:rPr>
          <w:rFonts w:ascii="Times New Roman" w:hAnsi="Times New Roman"/>
          <w:sz w:val="24"/>
          <w:szCs w:val="24"/>
        </w:rPr>
        <w:t xml:space="preserve"> (the </w:t>
      </w:r>
      <w:r w:rsidRPr="008843C0">
        <w:rPr>
          <w:rFonts w:ascii="Times New Roman" w:hAnsi="Times New Roman"/>
          <w:sz w:val="24"/>
          <w:szCs w:val="24"/>
        </w:rPr>
        <w:t>Act</w:t>
      </w:r>
      <w:r w:rsidRPr="00731816">
        <w:rPr>
          <w:rFonts w:ascii="Times New Roman" w:hAnsi="Times New Roman"/>
          <w:sz w:val="24"/>
          <w:szCs w:val="24"/>
        </w:rPr>
        <w:t>)</w:t>
      </w:r>
      <w:r>
        <w:rPr>
          <w:rFonts w:ascii="Times New Roman" w:hAnsi="Times New Roman"/>
          <w:sz w:val="24"/>
          <w:szCs w:val="24"/>
        </w:rPr>
        <w:t xml:space="preserve"> prohibits a person who carries on a financial business, whether or not in Australia, from assuming or using in Australia a restricted word or expression in relation to that financial business without APRA’s consent. </w:t>
      </w:r>
      <w:r w:rsidR="00BD42C5" w:rsidRPr="00F802B9">
        <w:rPr>
          <w:rFonts w:ascii="Times New Roman" w:hAnsi="Times New Roman"/>
          <w:sz w:val="24"/>
          <w:szCs w:val="24"/>
        </w:rPr>
        <w:t xml:space="preserve">APRA </w:t>
      </w:r>
      <w:r w:rsidR="00734AAE">
        <w:rPr>
          <w:rFonts w:ascii="Times New Roman" w:hAnsi="Times New Roman"/>
          <w:sz w:val="24"/>
          <w:szCs w:val="24"/>
        </w:rPr>
        <w:t xml:space="preserve">may </w:t>
      </w:r>
      <w:r w:rsidR="00BD42C5" w:rsidRPr="00F802B9">
        <w:rPr>
          <w:rFonts w:ascii="Times New Roman" w:hAnsi="Times New Roman"/>
          <w:sz w:val="24"/>
          <w:szCs w:val="24"/>
        </w:rPr>
        <w:t>grant consent to the use of a restricted word or expression</w:t>
      </w:r>
      <w:r w:rsidR="00734AAE" w:rsidRPr="00734AAE">
        <w:rPr>
          <w:rFonts w:ascii="Times New Roman" w:hAnsi="Times New Roman"/>
          <w:sz w:val="24"/>
          <w:szCs w:val="24"/>
        </w:rPr>
        <w:t xml:space="preserve"> </w:t>
      </w:r>
      <w:r w:rsidR="00734AAE">
        <w:rPr>
          <w:rFonts w:ascii="Times New Roman" w:hAnsi="Times New Roman"/>
          <w:sz w:val="24"/>
          <w:szCs w:val="24"/>
        </w:rPr>
        <w:t>u</w:t>
      </w:r>
      <w:r w:rsidR="00734AAE" w:rsidRPr="00734AAE">
        <w:rPr>
          <w:rFonts w:ascii="Times New Roman" w:hAnsi="Times New Roman"/>
          <w:sz w:val="24"/>
          <w:szCs w:val="24"/>
        </w:rPr>
        <w:t xml:space="preserve">nder </w:t>
      </w:r>
      <w:r w:rsidR="00734AAE">
        <w:rPr>
          <w:rFonts w:ascii="Times New Roman" w:hAnsi="Times New Roman"/>
          <w:sz w:val="24"/>
          <w:szCs w:val="24"/>
        </w:rPr>
        <w:t>paragraph</w:t>
      </w:r>
      <w:r w:rsidR="00734AAE" w:rsidRPr="00734AAE">
        <w:rPr>
          <w:rFonts w:ascii="Times New Roman" w:hAnsi="Times New Roman"/>
          <w:sz w:val="24"/>
          <w:szCs w:val="24"/>
        </w:rPr>
        <w:t xml:space="preserve"> 66(1</w:t>
      </w:r>
      <w:proofErr w:type="gramStart"/>
      <w:r w:rsidR="00734AAE" w:rsidRPr="00734AAE">
        <w:rPr>
          <w:rFonts w:ascii="Times New Roman" w:hAnsi="Times New Roman"/>
          <w:sz w:val="24"/>
          <w:szCs w:val="24"/>
        </w:rPr>
        <w:t>)(</w:t>
      </w:r>
      <w:proofErr w:type="gramEnd"/>
      <w:r w:rsidR="00734AAE" w:rsidRPr="00734AAE">
        <w:rPr>
          <w:rFonts w:ascii="Times New Roman" w:hAnsi="Times New Roman"/>
          <w:sz w:val="24"/>
          <w:szCs w:val="24"/>
        </w:rPr>
        <w:t>d) of the Act,</w:t>
      </w:r>
      <w:r w:rsidR="00734AAE">
        <w:rPr>
          <w:rFonts w:ascii="Times New Roman" w:hAnsi="Times New Roman"/>
          <w:sz w:val="24"/>
          <w:szCs w:val="24"/>
        </w:rPr>
        <w:t xml:space="preserve"> and may</w:t>
      </w:r>
      <w:r w:rsidR="00BD42C5" w:rsidRPr="00F802B9">
        <w:rPr>
          <w:rFonts w:ascii="Times New Roman" w:hAnsi="Times New Roman"/>
          <w:sz w:val="24"/>
          <w:szCs w:val="24"/>
        </w:rPr>
        <w:t xml:space="preserve"> revoke a consent</w:t>
      </w:r>
      <w:r w:rsidR="001B4731">
        <w:rPr>
          <w:rFonts w:ascii="Times New Roman" w:hAnsi="Times New Roman"/>
          <w:sz w:val="24"/>
          <w:szCs w:val="24"/>
        </w:rPr>
        <w:t xml:space="preserve"> under</w:t>
      </w:r>
      <w:r w:rsidR="00734AAE">
        <w:rPr>
          <w:rFonts w:ascii="Times New Roman" w:hAnsi="Times New Roman"/>
          <w:sz w:val="24"/>
          <w:szCs w:val="24"/>
        </w:rPr>
        <w:t xml:space="preserve"> paragraph 66(2)(c)</w:t>
      </w:r>
      <w:r w:rsidR="001B4731">
        <w:rPr>
          <w:rFonts w:ascii="Times New Roman" w:hAnsi="Times New Roman"/>
          <w:sz w:val="24"/>
          <w:szCs w:val="24"/>
        </w:rPr>
        <w:t xml:space="preserve"> </w:t>
      </w:r>
      <w:r w:rsidR="00734AAE">
        <w:rPr>
          <w:rFonts w:ascii="Times New Roman" w:hAnsi="Times New Roman"/>
          <w:sz w:val="24"/>
          <w:szCs w:val="24"/>
        </w:rPr>
        <w:t>of the Act</w:t>
      </w:r>
      <w:r w:rsidR="001B4731">
        <w:rPr>
          <w:rFonts w:ascii="Times New Roman" w:hAnsi="Times New Roman"/>
          <w:sz w:val="24"/>
          <w:szCs w:val="24"/>
        </w:rPr>
        <w:t xml:space="preserve">. </w:t>
      </w:r>
      <w:r w:rsidR="00BD42C5" w:rsidRPr="00F802B9">
        <w:rPr>
          <w:rFonts w:ascii="Times New Roman" w:hAnsi="Times New Roman"/>
          <w:sz w:val="24"/>
          <w:szCs w:val="24"/>
        </w:rPr>
        <w:t xml:space="preserve"> </w:t>
      </w:r>
    </w:p>
    <w:p w:rsidR="00BD42C5" w:rsidRPr="00F802B9" w:rsidRDefault="00BD42C5" w:rsidP="00BD42C5">
      <w:pPr>
        <w:jc w:val="both"/>
        <w:rPr>
          <w:rFonts w:ascii="Times New Roman" w:hAnsi="Times New Roman"/>
          <w:sz w:val="24"/>
          <w:szCs w:val="24"/>
        </w:rPr>
      </w:pPr>
    </w:p>
    <w:p w:rsidR="00B235ED" w:rsidRPr="00B235ED" w:rsidRDefault="00BD42C5" w:rsidP="00B235ED">
      <w:pPr>
        <w:pStyle w:val="Heading"/>
        <w:jc w:val="center"/>
        <w:rPr>
          <w:rFonts w:ascii="Times New Roman" w:hAnsi="Times New Roman"/>
          <w:b w:val="0"/>
          <w:sz w:val="24"/>
          <w:szCs w:val="24"/>
        </w:rPr>
      </w:pPr>
      <w:r w:rsidRPr="00B235ED">
        <w:rPr>
          <w:rFonts w:ascii="Times New Roman" w:hAnsi="Times New Roman"/>
          <w:b w:val="0"/>
          <w:sz w:val="24"/>
          <w:szCs w:val="24"/>
        </w:rPr>
        <w:t xml:space="preserve">On </w:t>
      </w:r>
      <w:r w:rsidR="00BE3CCD" w:rsidRPr="00B235ED">
        <w:rPr>
          <w:rFonts w:ascii="Times New Roman" w:hAnsi="Times New Roman"/>
          <w:b w:val="0"/>
          <w:sz w:val="24"/>
          <w:szCs w:val="24"/>
        </w:rPr>
        <w:t xml:space="preserve">11 </w:t>
      </w:r>
      <w:r w:rsidR="001E5B4D" w:rsidRPr="00B235ED">
        <w:rPr>
          <w:rFonts w:ascii="Times New Roman" w:hAnsi="Times New Roman"/>
          <w:b w:val="0"/>
          <w:sz w:val="24"/>
          <w:szCs w:val="24"/>
        </w:rPr>
        <w:t xml:space="preserve">September </w:t>
      </w:r>
      <w:r w:rsidRPr="00B235ED">
        <w:rPr>
          <w:rFonts w:ascii="Times New Roman" w:hAnsi="Times New Roman"/>
          <w:b w:val="0"/>
          <w:sz w:val="24"/>
          <w:szCs w:val="24"/>
        </w:rPr>
        <w:t xml:space="preserve">2015, APRA made </w:t>
      </w:r>
      <w:r w:rsidR="00B235ED" w:rsidRPr="00B235ED">
        <w:rPr>
          <w:rFonts w:ascii="Times New Roman" w:hAnsi="Times New Roman"/>
          <w:b w:val="0"/>
          <w:sz w:val="24"/>
          <w:szCs w:val="24"/>
        </w:rPr>
        <w:t>Banking (restricted word or expression) No. 2 of 2015</w:t>
      </w:r>
    </w:p>
    <w:p w:rsidR="00BD42C5" w:rsidRPr="00F802B9" w:rsidRDefault="00B235ED" w:rsidP="00B235ED">
      <w:pPr>
        <w:jc w:val="both"/>
        <w:rPr>
          <w:rFonts w:ascii="Times New Roman" w:hAnsi="Times New Roman"/>
          <w:sz w:val="24"/>
          <w:szCs w:val="24"/>
        </w:rPr>
      </w:pPr>
      <w:r w:rsidRPr="00B235ED">
        <w:rPr>
          <w:rFonts w:ascii="Times New Roman" w:hAnsi="Times New Roman"/>
          <w:sz w:val="24"/>
          <w:szCs w:val="24"/>
        </w:rPr>
        <w:t>Consent regarding “Offshore Banking Unit”</w:t>
      </w:r>
      <w:r>
        <w:rPr>
          <w:rFonts w:ascii="Times New Roman" w:hAnsi="Times New Roman"/>
          <w:sz w:val="24"/>
          <w:szCs w:val="24"/>
        </w:rPr>
        <w:t xml:space="preserve"> </w:t>
      </w:r>
      <w:r w:rsidR="00BD42C5" w:rsidRPr="00B235ED">
        <w:rPr>
          <w:rFonts w:ascii="Times New Roman" w:hAnsi="Times New Roman"/>
          <w:sz w:val="24"/>
          <w:szCs w:val="24"/>
        </w:rPr>
        <w:t>which</w:t>
      </w:r>
      <w:r w:rsidR="00BD42C5" w:rsidRPr="00F802B9">
        <w:rPr>
          <w:rFonts w:ascii="Times New Roman" w:hAnsi="Times New Roman"/>
          <w:sz w:val="24"/>
          <w:szCs w:val="24"/>
        </w:rPr>
        <w:t xml:space="preserve"> revokes the Consent to use restricted expression Offshore banking units made on 16 June 2005</w:t>
      </w:r>
      <w:r w:rsidR="002600EC">
        <w:rPr>
          <w:rFonts w:ascii="Times New Roman" w:hAnsi="Times New Roman"/>
          <w:sz w:val="24"/>
          <w:szCs w:val="24"/>
        </w:rPr>
        <w:t xml:space="preserve"> </w:t>
      </w:r>
      <w:r w:rsidR="002600EC" w:rsidRPr="002600EC">
        <w:rPr>
          <w:rFonts w:ascii="Times New Roman" w:hAnsi="Times New Roman"/>
          <w:sz w:val="24"/>
          <w:szCs w:val="24"/>
        </w:rPr>
        <w:t>(the 2005 Consent)</w:t>
      </w:r>
      <w:r w:rsidR="00BD42C5" w:rsidRPr="00F802B9">
        <w:rPr>
          <w:rFonts w:ascii="Times New Roman" w:hAnsi="Times New Roman"/>
          <w:sz w:val="24"/>
          <w:szCs w:val="24"/>
        </w:rPr>
        <w:t>.</w:t>
      </w:r>
    </w:p>
    <w:p w:rsidR="00BD42C5" w:rsidRPr="00F802B9" w:rsidRDefault="00BD42C5" w:rsidP="00BD42C5">
      <w:pPr>
        <w:jc w:val="both"/>
        <w:rPr>
          <w:rFonts w:ascii="Times New Roman" w:hAnsi="Times New Roman"/>
          <w:sz w:val="24"/>
          <w:szCs w:val="24"/>
        </w:rPr>
      </w:pPr>
    </w:p>
    <w:p w:rsidR="00BD42C5" w:rsidRPr="00F802B9" w:rsidRDefault="00BD42C5" w:rsidP="00BD42C5">
      <w:pPr>
        <w:jc w:val="both"/>
        <w:rPr>
          <w:rFonts w:ascii="Times New Roman" w:hAnsi="Times New Roman"/>
          <w:sz w:val="24"/>
          <w:szCs w:val="24"/>
        </w:rPr>
      </w:pPr>
      <w:r w:rsidRPr="00F802B9">
        <w:rPr>
          <w:rFonts w:ascii="Times New Roman" w:hAnsi="Times New Roman"/>
          <w:sz w:val="24"/>
          <w:szCs w:val="24"/>
        </w:rPr>
        <w:t>The 2015 Consent commences on the date it is registered on the Federal Register of Legislative Instruments (FRLI).</w:t>
      </w:r>
    </w:p>
    <w:p w:rsidR="00173B71" w:rsidRPr="00F802B9" w:rsidRDefault="00173B71" w:rsidP="00173B71">
      <w:pPr>
        <w:pStyle w:val="Heading"/>
        <w:keepNext/>
        <w:numPr>
          <w:ilvl w:val="0"/>
          <w:numId w:val="34"/>
        </w:numPr>
        <w:tabs>
          <w:tab w:val="clear" w:pos="644"/>
        </w:tabs>
        <w:spacing w:before="240" w:after="120"/>
        <w:ind w:left="567" w:hanging="567"/>
        <w:rPr>
          <w:rFonts w:ascii="Times New Roman" w:hAnsi="Times New Roman"/>
          <w:sz w:val="24"/>
          <w:szCs w:val="24"/>
        </w:rPr>
      </w:pPr>
      <w:r w:rsidRPr="00F802B9">
        <w:rPr>
          <w:rFonts w:ascii="Times New Roman" w:hAnsi="Times New Roman"/>
          <w:sz w:val="24"/>
          <w:szCs w:val="24"/>
        </w:rPr>
        <w:t>Background</w:t>
      </w:r>
    </w:p>
    <w:p w:rsidR="00BD42C5" w:rsidRPr="00F802B9" w:rsidRDefault="00BD42C5" w:rsidP="00BD42C5">
      <w:pPr>
        <w:jc w:val="both"/>
        <w:rPr>
          <w:rFonts w:ascii="Times New Roman" w:hAnsi="Times New Roman"/>
          <w:sz w:val="24"/>
          <w:szCs w:val="24"/>
        </w:rPr>
      </w:pPr>
      <w:r w:rsidRPr="00F802B9">
        <w:rPr>
          <w:rFonts w:ascii="Times New Roman" w:hAnsi="Times New Roman"/>
          <w:sz w:val="24"/>
          <w:szCs w:val="24"/>
        </w:rPr>
        <w:t xml:space="preserve">Subsection 66(1) of the </w:t>
      </w:r>
      <w:r w:rsidR="00214138">
        <w:rPr>
          <w:rFonts w:ascii="Times New Roman" w:hAnsi="Times New Roman"/>
          <w:sz w:val="24"/>
          <w:szCs w:val="24"/>
        </w:rPr>
        <w:t>-</w:t>
      </w:r>
      <w:r w:rsidR="00214138" w:rsidRPr="00F802B9">
        <w:rPr>
          <w:rFonts w:ascii="Times New Roman" w:hAnsi="Times New Roman"/>
          <w:sz w:val="24"/>
          <w:szCs w:val="24"/>
        </w:rPr>
        <w:t xml:space="preserve"> </w:t>
      </w:r>
      <w:r w:rsidRPr="00F802B9">
        <w:rPr>
          <w:rFonts w:ascii="Times New Roman" w:hAnsi="Times New Roman"/>
          <w:sz w:val="24"/>
          <w:szCs w:val="24"/>
        </w:rPr>
        <w:t xml:space="preserve">Act prohibits a person from using or assuming a restricted word or expression in </w:t>
      </w:r>
      <w:r w:rsidR="007A28A8">
        <w:rPr>
          <w:rFonts w:ascii="Times New Roman" w:hAnsi="Times New Roman"/>
          <w:sz w:val="24"/>
          <w:szCs w:val="24"/>
        </w:rPr>
        <w:t xml:space="preserve">relation to a </w:t>
      </w:r>
      <w:r w:rsidRPr="00F802B9">
        <w:rPr>
          <w:rFonts w:ascii="Times New Roman" w:hAnsi="Times New Roman"/>
          <w:sz w:val="24"/>
          <w:szCs w:val="24"/>
        </w:rPr>
        <w:t xml:space="preserve">financial business without the consent of APRA. </w:t>
      </w:r>
      <w:r w:rsidR="00B61C35">
        <w:rPr>
          <w:rFonts w:ascii="Times New Roman" w:hAnsi="Times New Roman"/>
          <w:sz w:val="24"/>
          <w:szCs w:val="24"/>
        </w:rPr>
        <w:t>Subp</w:t>
      </w:r>
      <w:r w:rsidR="007A28A8">
        <w:rPr>
          <w:rFonts w:ascii="Times New Roman" w:hAnsi="Times New Roman"/>
          <w:sz w:val="24"/>
          <w:szCs w:val="24"/>
        </w:rPr>
        <w:t>aragraph</w:t>
      </w:r>
      <w:r w:rsidRPr="00F802B9">
        <w:rPr>
          <w:rFonts w:ascii="Times New Roman" w:hAnsi="Times New Roman"/>
          <w:sz w:val="24"/>
          <w:szCs w:val="24"/>
        </w:rPr>
        <w:t xml:space="preserve"> 66(4</w:t>
      </w:r>
      <w:proofErr w:type="gramStart"/>
      <w:r w:rsidRPr="00F802B9">
        <w:rPr>
          <w:rFonts w:ascii="Times New Roman" w:hAnsi="Times New Roman"/>
          <w:sz w:val="24"/>
          <w:szCs w:val="24"/>
        </w:rPr>
        <w:t>)</w:t>
      </w:r>
      <w:r w:rsidR="007A28A8">
        <w:rPr>
          <w:rFonts w:ascii="Times New Roman" w:hAnsi="Times New Roman"/>
          <w:sz w:val="24"/>
          <w:szCs w:val="24"/>
        </w:rPr>
        <w:t>(</w:t>
      </w:r>
      <w:proofErr w:type="gramEnd"/>
      <w:r w:rsidR="007A28A8">
        <w:rPr>
          <w:rFonts w:ascii="Times New Roman" w:hAnsi="Times New Roman"/>
          <w:sz w:val="24"/>
          <w:szCs w:val="24"/>
        </w:rPr>
        <w:t>a)(</w:t>
      </w:r>
      <w:proofErr w:type="spellStart"/>
      <w:r w:rsidR="007A28A8">
        <w:rPr>
          <w:rFonts w:ascii="Times New Roman" w:hAnsi="Times New Roman"/>
          <w:sz w:val="24"/>
          <w:szCs w:val="24"/>
        </w:rPr>
        <w:t>i</w:t>
      </w:r>
      <w:proofErr w:type="spellEnd"/>
      <w:r w:rsidR="007A28A8">
        <w:rPr>
          <w:rFonts w:ascii="Times New Roman" w:hAnsi="Times New Roman"/>
          <w:sz w:val="24"/>
          <w:szCs w:val="24"/>
        </w:rPr>
        <w:t>)</w:t>
      </w:r>
      <w:r w:rsidRPr="00F802B9">
        <w:rPr>
          <w:rFonts w:ascii="Times New Roman" w:hAnsi="Times New Roman"/>
          <w:sz w:val="24"/>
          <w:szCs w:val="24"/>
        </w:rPr>
        <w:t xml:space="preserve"> specifies that </w:t>
      </w:r>
      <w:r w:rsidRPr="00F802B9">
        <w:rPr>
          <w:rFonts w:ascii="Times New Roman" w:hAnsi="Times New Roman"/>
          <w:i/>
          <w:sz w:val="24"/>
          <w:szCs w:val="24"/>
        </w:rPr>
        <w:t>bank</w:t>
      </w:r>
      <w:r w:rsidRPr="00F802B9">
        <w:rPr>
          <w:rFonts w:ascii="Times New Roman" w:hAnsi="Times New Roman"/>
          <w:sz w:val="24"/>
          <w:szCs w:val="24"/>
        </w:rPr>
        <w:t xml:space="preserve">, </w:t>
      </w:r>
      <w:r w:rsidRPr="00F802B9">
        <w:rPr>
          <w:rFonts w:ascii="Times New Roman" w:hAnsi="Times New Roman"/>
          <w:i/>
          <w:sz w:val="24"/>
          <w:szCs w:val="24"/>
        </w:rPr>
        <w:t>banker</w:t>
      </w:r>
      <w:r w:rsidRPr="00F802B9">
        <w:rPr>
          <w:rFonts w:ascii="Times New Roman" w:hAnsi="Times New Roman"/>
          <w:sz w:val="24"/>
          <w:szCs w:val="24"/>
        </w:rPr>
        <w:t xml:space="preserve"> and </w:t>
      </w:r>
      <w:r w:rsidRPr="00F802B9">
        <w:rPr>
          <w:rFonts w:ascii="Times New Roman" w:hAnsi="Times New Roman"/>
          <w:i/>
          <w:sz w:val="24"/>
          <w:szCs w:val="24"/>
        </w:rPr>
        <w:t>banking</w:t>
      </w:r>
      <w:r w:rsidRPr="00F802B9">
        <w:rPr>
          <w:rFonts w:ascii="Times New Roman" w:hAnsi="Times New Roman"/>
          <w:sz w:val="24"/>
          <w:szCs w:val="24"/>
        </w:rPr>
        <w:t xml:space="preserve"> are restricted words and expressions. </w:t>
      </w:r>
    </w:p>
    <w:p w:rsidR="00BD42C5" w:rsidRPr="00F802B9" w:rsidRDefault="00BD42C5" w:rsidP="00BD42C5">
      <w:pPr>
        <w:jc w:val="both"/>
        <w:rPr>
          <w:rFonts w:ascii="Times New Roman" w:hAnsi="Times New Roman"/>
          <w:sz w:val="24"/>
          <w:szCs w:val="24"/>
        </w:rPr>
      </w:pPr>
    </w:p>
    <w:p w:rsidR="00BD42C5" w:rsidRDefault="00BD42C5" w:rsidP="00BD42C5">
      <w:pPr>
        <w:jc w:val="both"/>
        <w:rPr>
          <w:rFonts w:ascii="Times New Roman" w:hAnsi="Times New Roman"/>
          <w:sz w:val="24"/>
          <w:szCs w:val="24"/>
        </w:rPr>
      </w:pPr>
      <w:r w:rsidRPr="00F802B9">
        <w:rPr>
          <w:rFonts w:ascii="Times New Roman" w:hAnsi="Times New Roman"/>
          <w:sz w:val="24"/>
          <w:szCs w:val="24"/>
        </w:rPr>
        <w:t>The 2005 Consent was made for the purposes of:</w:t>
      </w:r>
    </w:p>
    <w:p w:rsidR="001E5B4D" w:rsidRPr="00F802B9" w:rsidRDefault="001E5B4D" w:rsidP="00BD42C5">
      <w:pPr>
        <w:jc w:val="both"/>
        <w:rPr>
          <w:rFonts w:ascii="Times New Roman" w:hAnsi="Times New Roman"/>
          <w:sz w:val="24"/>
          <w:szCs w:val="24"/>
        </w:rPr>
      </w:pPr>
    </w:p>
    <w:p w:rsidR="00BD42C5" w:rsidRDefault="00BD42C5" w:rsidP="00BD42C5">
      <w:pPr>
        <w:pStyle w:val="ListParagraph"/>
        <w:numPr>
          <w:ilvl w:val="0"/>
          <w:numId w:val="35"/>
        </w:numPr>
        <w:jc w:val="both"/>
        <w:rPr>
          <w:rFonts w:ascii="Times New Roman" w:hAnsi="Times New Roman"/>
          <w:sz w:val="24"/>
          <w:szCs w:val="24"/>
        </w:rPr>
      </w:pPr>
      <w:r w:rsidRPr="00F802B9">
        <w:rPr>
          <w:rFonts w:ascii="Times New Roman" w:hAnsi="Times New Roman"/>
          <w:sz w:val="24"/>
          <w:szCs w:val="24"/>
        </w:rPr>
        <w:t xml:space="preserve">granting consent to </w:t>
      </w:r>
      <w:r w:rsidR="00B2174D">
        <w:rPr>
          <w:rFonts w:ascii="Times New Roman" w:hAnsi="Times New Roman"/>
          <w:sz w:val="24"/>
          <w:szCs w:val="24"/>
        </w:rPr>
        <w:t xml:space="preserve">a class of persons being </w:t>
      </w:r>
      <w:r w:rsidRPr="00F802B9">
        <w:rPr>
          <w:rFonts w:ascii="Times New Roman" w:hAnsi="Times New Roman"/>
          <w:sz w:val="24"/>
          <w:szCs w:val="24"/>
        </w:rPr>
        <w:t xml:space="preserve">offshore banking units, within the meaning of section 128AE of the </w:t>
      </w:r>
      <w:r w:rsidRPr="00F802B9">
        <w:rPr>
          <w:rFonts w:ascii="Times New Roman" w:hAnsi="Times New Roman"/>
          <w:i/>
          <w:sz w:val="24"/>
          <w:szCs w:val="24"/>
        </w:rPr>
        <w:t>Income Tax Assessment Act 1936</w:t>
      </w:r>
      <w:r w:rsidRPr="00F802B9">
        <w:rPr>
          <w:rFonts w:ascii="Times New Roman" w:hAnsi="Times New Roman"/>
          <w:sz w:val="24"/>
          <w:szCs w:val="24"/>
        </w:rPr>
        <w:t xml:space="preserve"> (the </w:t>
      </w:r>
      <w:r w:rsidRPr="00B70D56">
        <w:rPr>
          <w:rFonts w:ascii="Times New Roman" w:hAnsi="Times New Roman"/>
          <w:sz w:val="24"/>
          <w:szCs w:val="24"/>
        </w:rPr>
        <w:t>Tax Act</w:t>
      </w:r>
      <w:r w:rsidRPr="00F802B9">
        <w:rPr>
          <w:rFonts w:ascii="Times New Roman" w:hAnsi="Times New Roman"/>
          <w:sz w:val="24"/>
          <w:szCs w:val="24"/>
        </w:rPr>
        <w:t xml:space="preserve">), to use the restricted </w:t>
      </w:r>
      <w:r w:rsidR="00F14D5E">
        <w:rPr>
          <w:rFonts w:ascii="Times New Roman" w:hAnsi="Times New Roman"/>
          <w:sz w:val="24"/>
          <w:szCs w:val="24"/>
        </w:rPr>
        <w:t>word</w:t>
      </w:r>
      <w:r w:rsidRPr="00F802B9">
        <w:rPr>
          <w:rFonts w:ascii="Times New Roman" w:hAnsi="Times New Roman"/>
          <w:sz w:val="24"/>
          <w:szCs w:val="24"/>
        </w:rPr>
        <w:t xml:space="preserve"> </w:t>
      </w:r>
      <w:r w:rsidRPr="00F802B9">
        <w:rPr>
          <w:rFonts w:ascii="Times New Roman" w:hAnsi="Times New Roman"/>
          <w:i/>
          <w:sz w:val="24"/>
          <w:szCs w:val="24"/>
        </w:rPr>
        <w:t xml:space="preserve">banking </w:t>
      </w:r>
      <w:r w:rsidRPr="00F802B9">
        <w:rPr>
          <w:rFonts w:ascii="Times New Roman" w:hAnsi="Times New Roman"/>
          <w:sz w:val="24"/>
          <w:szCs w:val="24"/>
        </w:rPr>
        <w:t>in relation to their offshore banking unit business; and</w:t>
      </w:r>
    </w:p>
    <w:p w:rsidR="001E5B4D" w:rsidRPr="00F802B9" w:rsidRDefault="001E5B4D" w:rsidP="001E5B4D">
      <w:pPr>
        <w:pStyle w:val="ListParagraph"/>
        <w:jc w:val="both"/>
        <w:rPr>
          <w:rFonts w:ascii="Times New Roman" w:hAnsi="Times New Roman"/>
          <w:sz w:val="24"/>
          <w:szCs w:val="24"/>
        </w:rPr>
      </w:pPr>
    </w:p>
    <w:p w:rsidR="00BD42C5" w:rsidRPr="00F802B9" w:rsidRDefault="00BD42C5" w:rsidP="00BD42C5">
      <w:pPr>
        <w:pStyle w:val="ListParagraph"/>
        <w:numPr>
          <w:ilvl w:val="0"/>
          <w:numId w:val="35"/>
        </w:numPr>
        <w:jc w:val="both"/>
        <w:rPr>
          <w:rFonts w:ascii="Times New Roman" w:hAnsi="Times New Roman"/>
          <w:sz w:val="24"/>
          <w:szCs w:val="24"/>
        </w:rPr>
      </w:pPr>
      <w:proofErr w:type="gramStart"/>
      <w:r w:rsidRPr="00F802B9">
        <w:rPr>
          <w:rFonts w:ascii="Times New Roman" w:hAnsi="Times New Roman"/>
          <w:sz w:val="24"/>
          <w:szCs w:val="24"/>
        </w:rPr>
        <w:t>imposing</w:t>
      </w:r>
      <w:proofErr w:type="gramEnd"/>
      <w:r w:rsidRPr="00F802B9">
        <w:rPr>
          <w:rFonts w:ascii="Times New Roman" w:hAnsi="Times New Roman"/>
          <w:sz w:val="24"/>
          <w:szCs w:val="24"/>
        </w:rPr>
        <w:t xml:space="preserve"> conditions on offshore banking units in their use of the </w:t>
      </w:r>
      <w:r w:rsidR="00F14D5E">
        <w:rPr>
          <w:rFonts w:ascii="Times New Roman" w:hAnsi="Times New Roman"/>
          <w:sz w:val="24"/>
          <w:szCs w:val="24"/>
        </w:rPr>
        <w:t>word</w:t>
      </w:r>
      <w:r w:rsidRPr="00F802B9">
        <w:rPr>
          <w:rFonts w:ascii="Times New Roman" w:hAnsi="Times New Roman"/>
          <w:sz w:val="24"/>
          <w:szCs w:val="24"/>
        </w:rPr>
        <w:t xml:space="preserve"> </w:t>
      </w:r>
      <w:r w:rsidRPr="00F802B9">
        <w:rPr>
          <w:rFonts w:ascii="Times New Roman" w:hAnsi="Times New Roman"/>
          <w:i/>
          <w:sz w:val="24"/>
          <w:szCs w:val="24"/>
        </w:rPr>
        <w:t>banking</w:t>
      </w:r>
      <w:r w:rsidRPr="00F802B9">
        <w:rPr>
          <w:rFonts w:ascii="Times New Roman" w:hAnsi="Times New Roman"/>
          <w:sz w:val="24"/>
          <w:szCs w:val="24"/>
        </w:rPr>
        <w:t xml:space="preserve"> under </w:t>
      </w:r>
      <w:r w:rsidR="00B61C35">
        <w:rPr>
          <w:rFonts w:ascii="Times New Roman" w:hAnsi="Times New Roman"/>
          <w:sz w:val="24"/>
          <w:szCs w:val="24"/>
        </w:rPr>
        <w:t xml:space="preserve">paragraph </w:t>
      </w:r>
      <w:r w:rsidRPr="00F802B9">
        <w:rPr>
          <w:rFonts w:ascii="Times New Roman" w:hAnsi="Times New Roman"/>
          <w:sz w:val="24"/>
          <w:szCs w:val="24"/>
        </w:rPr>
        <w:t>66(2)(a).</w:t>
      </w:r>
    </w:p>
    <w:p w:rsidR="00BD42C5" w:rsidRPr="00F802B9" w:rsidRDefault="00BD42C5" w:rsidP="00BD42C5">
      <w:pPr>
        <w:jc w:val="both"/>
        <w:rPr>
          <w:rFonts w:ascii="Times New Roman" w:hAnsi="Times New Roman"/>
          <w:sz w:val="24"/>
          <w:szCs w:val="24"/>
        </w:rPr>
      </w:pPr>
    </w:p>
    <w:p w:rsidR="00173B71" w:rsidRPr="00F802B9" w:rsidRDefault="00BD42C5" w:rsidP="00BD42C5">
      <w:pPr>
        <w:jc w:val="both"/>
        <w:rPr>
          <w:rFonts w:ascii="Times New Roman" w:hAnsi="Times New Roman"/>
          <w:sz w:val="24"/>
          <w:szCs w:val="24"/>
        </w:rPr>
      </w:pPr>
      <w:r w:rsidRPr="00F802B9">
        <w:rPr>
          <w:rFonts w:ascii="Times New Roman" w:hAnsi="Times New Roman"/>
          <w:sz w:val="24"/>
          <w:szCs w:val="24"/>
        </w:rPr>
        <w:t xml:space="preserve">Under subsection 50(1) of the </w:t>
      </w:r>
      <w:r w:rsidRPr="00F802B9">
        <w:rPr>
          <w:rFonts w:ascii="Times New Roman" w:hAnsi="Times New Roman"/>
          <w:i/>
          <w:sz w:val="24"/>
          <w:szCs w:val="24"/>
        </w:rPr>
        <w:t>Legislative Instruments Act 2003</w:t>
      </w:r>
      <w:r w:rsidRPr="00F802B9">
        <w:rPr>
          <w:rFonts w:ascii="Times New Roman" w:hAnsi="Times New Roman"/>
          <w:sz w:val="24"/>
          <w:szCs w:val="24"/>
        </w:rPr>
        <w:t xml:space="preserve"> (</w:t>
      </w:r>
      <w:r w:rsidR="00A542F1">
        <w:rPr>
          <w:rFonts w:ascii="Times New Roman" w:hAnsi="Times New Roman"/>
          <w:sz w:val="24"/>
          <w:szCs w:val="24"/>
        </w:rPr>
        <w:t xml:space="preserve">the </w:t>
      </w:r>
      <w:r w:rsidRPr="00B70D56">
        <w:rPr>
          <w:rFonts w:ascii="Times New Roman" w:hAnsi="Times New Roman"/>
          <w:i/>
          <w:sz w:val="24"/>
          <w:szCs w:val="24"/>
        </w:rPr>
        <w:t>L</w:t>
      </w:r>
      <w:r w:rsidR="00A542F1" w:rsidRPr="00B70D56">
        <w:rPr>
          <w:rFonts w:ascii="Times New Roman" w:hAnsi="Times New Roman"/>
          <w:i/>
          <w:sz w:val="24"/>
          <w:szCs w:val="24"/>
        </w:rPr>
        <w:t xml:space="preserve">egislative </w:t>
      </w:r>
      <w:r w:rsidRPr="00B70D56">
        <w:rPr>
          <w:rFonts w:ascii="Times New Roman" w:hAnsi="Times New Roman"/>
          <w:i/>
          <w:sz w:val="24"/>
          <w:szCs w:val="24"/>
        </w:rPr>
        <w:t>I</w:t>
      </w:r>
      <w:r w:rsidR="00A542F1" w:rsidRPr="00B70D56">
        <w:rPr>
          <w:rFonts w:ascii="Times New Roman" w:hAnsi="Times New Roman"/>
          <w:i/>
          <w:sz w:val="24"/>
          <w:szCs w:val="24"/>
        </w:rPr>
        <w:t xml:space="preserve">nstruments </w:t>
      </w:r>
      <w:r w:rsidRPr="00B70D56">
        <w:rPr>
          <w:rFonts w:ascii="Times New Roman" w:hAnsi="Times New Roman"/>
          <w:i/>
          <w:sz w:val="24"/>
          <w:szCs w:val="24"/>
        </w:rPr>
        <w:t>A</w:t>
      </w:r>
      <w:r w:rsidR="00A542F1" w:rsidRPr="00B70D56">
        <w:rPr>
          <w:rFonts w:ascii="Times New Roman" w:hAnsi="Times New Roman"/>
          <w:i/>
          <w:sz w:val="24"/>
          <w:szCs w:val="24"/>
        </w:rPr>
        <w:t>ct</w:t>
      </w:r>
      <w:r w:rsidRPr="00F802B9">
        <w:rPr>
          <w:rFonts w:ascii="Times New Roman" w:hAnsi="Times New Roman"/>
          <w:sz w:val="24"/>
          <w:szCs w:val="24"/>
        </w:rPr>
        <w:t xml:space="preserve">), a legislative instrument registered after 1 January 2005 will sunset on the </w:t>
      </w:r>
      <w:r w:rsidR="00720127">
        <w:rPr>
          <w:rFonts w:ascii="Times New Roman" w:hAnsi="Times New Roman"/>
          <w:sz w:val="24"/>
          <w:szCs w:val="24"/>
        </w:rPr>
        <w:t>first</w:t>
      </w:r>
      <w:r w:rsidRPr="00F802B9">
        <w:rPr>
          <w:rFonts w:ascii="Times New Roman" w:hAnsi="Times New Roman"/>
          <w:sz w:val="24"/>
          <w:szCs w:val="24"/>
        </w:rPr>
        <w:t xml:space="preserve"> 1 April or 1 October</w:t>
      </w:r>
      <w:r w:rsidR="00720127">
        <w:rPr>
          <w:rFonts w:ascii="Times New Roman" w:hAnsi="Times New Roman"/>
          <w:sz w:val="24"/>
          <w:szCs w:val="24"/>
        </w:rPr>
        <w:t xml:space="preserve"> falling on or after</w:t>
      </w:r>
      <w:r w:rsidRPr="00F802B9">
        <w:rPr>
          <w:rFonts w:ascii="Times New Roman" w:hAnsi="Times New Roman"/>
          <w:sz w:val="24"/>
          <w:szCs w:val="24"/>
        </w:rPr>
        <w:t xml:space="preserve"> </w:t>
      </w:r>
      <w:r w:rsidR="00720127">
        <w:rPr>
          <w:rFonts w:ascii="Times New Roman" w:hAnsi="Times New Roman"/>
          <w:sz w:val="24"/>
          <w:szCs w:val="24"/>
        </w:rPr>
        <w:t xml:space="preserve">the </w:t>
      </w:r>
      <w:r w:rsidR="002600EC">
        <w:rPr>
          <w:rFonts w:ascii="Times New Roman" w:hAnsi="Times New Roman"/>
          <w:sz w:val="24"/>
          <w:szCs w:val="24"/>
        </w:rPr>
        <w:t>tenth</w:t>
      </w:r>
      <w:r w:rsidR="006031AF">
        <w:rPr>
          <w:rFonts w:ascii="Times New Roman" w:hAnsi="Times New Roman"/>
          <w:sz w:val="24"/>
          <w:szCs w:val="24"/>
        </w:rPr>
        <w:t xml:space="preserve"> anniversary</w:t>
      </w:r>
      <w:r w:rsidRPr="00F802B9">
        <w:rPr>
          <w:rFonts w:ascii="Times New Roman" w:hAnsi="Times New Roman"/>
          <w:sz w:val="24"/>
          <w:szCs w:val="24"/>
        </w:rPr>
        <w:t xml:space="preserve"> </w:t>
      </w:r>
      <w:r w:rsidR="002600EC">
        <w:rPr>
          <w:rFonts w:ascii="Times New Roman" w:hAnsi="Times New Roman"/>
          <w:sz w:val="24"/>
          <w:szCs w:val="24"/>
        </w:rPr>
        <w:t xml:space="preserve">of the registration of </w:t>
      </w:r>
      <w:r w:rsidRPr="00F802B9">
        <w:rPr>
          <w:rFonts w:ascii="Times New Roman" w:hAnsi="Times New Roman"/>
          <w:sz w:val="24"/>
          <w:szCs w:val="24"/>
        </w:rPr>
        <w:t>the instrument on</w:t>
      </w:r>
      <w:r w:rsidR="00D50DB4">
        <w:rPr>
          <w:rFonts w:ascii="Times New Roman" w:hAnsi="Times New Roman"/>
          <w:sz w:val="24"/>
          <w:szCs w:val="24"/>
        </w:rPr>
        <w:t xml:space="preserve"> the</w:t>
      </w:r>
      <w:r w:rsidRPr="00F802B9">
        <w:rPr>
          <w:rFonts w:ascii="Times New Roman" w:hAnsi="Times New Roman"/>
          <w:sz w:val="24"/>
          <w:szCs w:val="24"/>
        </w:rPr>
        <w:t xml:space="preserve"> FRLI. The 2005 Consent was registered on </w:t>
      </w:r>
      <w:r w:rsidR="0073485E">
        <w:rPr>
          <w:rFonts w:ascii="Times New Roman" w:hAnsi="Times New Roman"/>
          <w:sz w:val="24"/>
          <w:szCs w:val="24"/>
        </w:rPr>
        <w:t>27</w:t>
      </w:r>
      <w:r w:rsidRPr="00F802B9">
        <w:rPr>
          <w:rFonts w:ascii="Times New Roman" w:hAnsi="Times New Roman"/>
          <w:sz w:val="24"/>
          <w:szCs w:val="24"/>
        </w:rPr>
        <w:t xml:space="preserve"> June 2005 and </w:t>
      </w:r>
      <w:r w:rsidR="00731816">
        <w:rPr>
          <w:rFonts w:ascii="Times New Roman" w:hAnsi="Times New Roman"/>
          <w:sz w:val="24"/>
          <w:szCs w:val="24"/>
        </w:rPr>
        <w:t xml:space="preserve">is due to </w:t>
      </w:r>
      <w:r w:rsidRPr="00F802B9">
        <w:rPr>
          <w:rFonts w:ascii="Times New Roman" w:hAnsi="Times New Roman"/>
          <w:sz w:val="24"/>
          <w:szCs w:val="24"/>
        </w:rPr>
        <w:t>sunset on 1 October 201</w:t>
      </w:r>
      <w:r w:rsidR="00843B81">
        <w:rPr>
          <w:rFonts w:ascii="Times New Roman" w:hAnsi="Times New Roman"/>
          <w:sz w:val="24"/>
          <w:szCs w:val="24"/>
        </w:rPr>
        <w:t>5.</w:t>
      </w:r>
    </w:p>
    <w:p w:rsidR="00173B71" w:rsidRPr="00F802B9" w:rsidRDefault="00173B71" w:rsidP="00173B71">
      <w:pPr>
        <w:pStyle w:val="Heading"/>
        <w:keepNext/>
        <w:numPr>
          <w:ilvl w:val="0"/>
          <w:numId w:val="34"/>
        </w:numPr>
        <w:tabs>
          <w:tab w:val="clear" w:pos="644"/>
        </w:tabs>
        <w:spacing w:before="240" w:after="120"/>
        <w:ind w:left="567" w:hanging="567"/>
        <w:rPr>
          <w:rFonts w:ascii="Times New Roman" w:hAnsi="Times New Roman"/>
          <w:sz w:val="24"/>
          <w:szCs w:val="24"/>
        </w:rPr>
      </w:pPr>
      <w:r w:rsidRPr="00F802B9">
        <w:rPr>
          <w:rFonts w:ascii="Times New Roman" w:hAnsi="Times New Roman"/>
          <w:sz w:val="24"/>
          <w:szCs w:val="24"/>
        </w:rPr>
        <w:t>Purpose and operation of the instrument</w:t>
      </w:r>
    </w:p>
    <w:p w:rsidR="00C02BBA" w:rsidRDefault="00BD42C5" w:rsidP="00BD42C5">
      <w:pPr>
        <w:jc w:val="both"/>
        <w:rPr>
          <w:rFonts w:ascii="Times New Roman" w:hAnsi="Times New Roman"/>
          <w:sz w:val="24"/>
          <w:szCs w:val="24"/>
        </w:rPr>
      </w:pPr>
      <w:r w:rsidRPr="00F802B9">
        <w:rPr>
          <w:rFonts w:ascii="Times New Roman" w:hAnsi="Times New Roman"/>
          <w:sz w:val="24"/>
          <w:szCs w:val="24"/>
        </w:rPr>
        <w:t xml:space="preserve">The offshore banking regime is a concessional tax regime that allows entities that are determined by the Treasurer to be an offshore banking unit under section 128AE of the Tax </w:t>
      </w:r>
      <w:r w:rsidRPr="00F802B9">
        <w:rPr>
          <w:rFonts w:ascii="Times New Roman" w:hAnsi="Times New Roman"/>
          <w:sz w:val="24"/>
          <w:szCs w:val="24"/>
        </w:rPr>
        <w:lastRenderedPageBreak/>
        <w:t xml:space="preserve">Act to undertake certain non-resident to non-resident financial transactions at a reduced rate of taxation. </w:t>
      </w:r>
    </w:p>
    <w:p w:rsidR="00C02BBA" w:rsidRDefault="00C02BBA" w:rsidP="00BD42C5">
      <w:pPr>
        <w:jc w:val="both"/>
        <w:rPr>
          <w:rFonts w:ascii="Times New Roman" w:hAnsi="Times New Roman"/>
          <w:sz w:val="24"/>
          <w:szCs w:val="24"/>
        </w:rPr>
      </w:pPr>
    </w:p>
    <w:p w:rsidR="00BD42C5" w:rsidRPr="00F802B9" w:rsidRDefault="00BD42C5" w:rsidP="00BD42C5">
      <w:pPr>
        <w:jc w:val="both"/>
        <w:rPr>
          <w:rFonts w:ascii="Times New Roman" w:hAnsi="Times New Roman"/>
          <w:sz w:val="24"/>
          <w:szCs w:val="24"/>
        </w:rPr>
      </w:pPr>
      <w:r w:rsidRPr="00F802B9">
        <w:rPr>
          <w:rFonts w:ascii="Times New Roman" w:hAnsi="Times New Roman"/>
          <w:sz w:val="24"/>
          <w:szCs w:val="24"/>
        </w:rPr>
        <w:t xml:space="preserve">The term </w:t>
      </w:r>
      <w:r w:rsidRPr="00F802B9">
        <w:rPr>
          <w:rFonts w:ascii="Times New Roman" w:hAnsi="Times New Roman"/>
          <w:i/>
          <w:sz w:val="24"/>
          <w:szCs w:val="24"/>
        </w:rPr>
        <w:t>offshore banking</w:t>
      </w:r>
      <w:r w:rsidR="004D3FE2">
        <w:rPr>
          <w:rFonts w:ascii="Times New Roman" w:hAnsi="Times New Roman"/>
          <w:sz w:val="24"/>
          <w:szCs w:val="24"/>
        </w:rPr>
        <w:t xml:space="preserve"> is </w:t>
      </w:r>
      <w:r w:rsidRPr="00F802B9">
        <w:rPr>
          <w:rFonts w:ascii="Times New Roman" w:hAnsi="Times New Roman"/>
          <w:sz w:val="24"/>
          <w:szCs w:val="24"/>
        </w:rPr>
        <w:t>recognised</w:t>
      </w:r>
      <w:r w:rsidR="004D3FE2">
        <w:rPr>
          <w:rFonts w:ascii="Times New Roman" w:hAnsi="Times New Roman"/>
          <w:sz w:val="24"/>
          <w:szCs w:val="24"/>
        </w:rPr>
        <w:t xml:space="preserve"> globally</w:t>
      </w:r>
      <w:r w:rsidRPr="00F802B9">
        <w:rPr>
          <w:rFonts w:ascii="Times New Roman" w:hAnsi="Times New Roman"/>
          <w:sz w:val="24"/>
          <w:szCs w:val="24"/>
        </w:rPr>
        <w:t xml:space="preserve"> as </w:t>
      </w:r>
      <w:r w:rsidR="004D3FE2">
        <w:rPr>
          <w:rFonts w:ascii="Times New Roman" w:hAnsi="Times New Roman"/>
          <w:sz w:val="24"/>
          <w:szCs w:val="24"/>
        </w:rPr>
        <w:t xml:space="preserve">denoting </w:t>
      </w:r>
      <w:r w:rsidRPr="00F802B9">
        <w:rPr>
          <w:rFonts w:ascii="Times New Roman" w:hAnsi="Times New Roman"/>
          <w:sz w:val="24"/>
          <w:szCs w:val="24"/>
        </w:rPr>
        <w:t xml:space="preserve">concessional rates of taxation in relation to non-resident transactions. </w:t>
      </w:r>
      <w:r w:rsidRPr="00F802B9">
        <w:rPr>
          <w:rFonts w:ascii="Times New Roman" w:hAnsi="Times New Roman"/>
          <w:i/>
          <w:sz w:val="24"/>
          <w:szCs w:val="24"/>
        </w:rPr>
        <w:t>Offshore banking unit</w:t>
      </w:r>
      <w:r w:rsidRPr="00F802B9">
        <w:rPr>
          <w:rFonts w:ascii="Times New Roman" w:hAnsi="Times New Roman"/>
          <w:sz w:val="24"/>
          <w:szCs w:val="24"/>
        </w:rPr>
        <w:t xml:space="preserve"> has a corresponding meaning which denotes an entity – not necessarily a bank – that is entitled</w:t>
      </w:r>
      <w:r w:rsidR="001E5B4D">
        <w:rPr>
          <w:rFonts w:ascii="Times New Roman" w:hAnsi="Times New Roman"/>
          <w:sz w:val="24"/>
          <w:szCs w:val="24"/>
        </w:rPr>
        <w:t>,</w:t>
      </w:r>
      <w:r w:rsidRPr="00F802B9">
        <w:rPr>
          <w:rFonts w:ascii="Times New Roman" w:hAnsi="Times New Roman"/>
          <w:sz w:val="24"/>
          <w:szCs w:val="24"/>
        </w:rPr>
        <w:t xml:space="preserve"> under the applicable tax legislation</w:t>
      </w:r>
      <w:r w:rsidR="001E5B4D">
        <w:rPr>
          <w:rFonts w:ascii="Times New Roman" w:hAnsi="Times New Roman"/>
          <w:sz w:val="24"/>
          <w:szCs w:val="24"/>
        </w:rPr>
        <w:t>,</w:t>
      </w:r>
      <w:r w:rsidRPr="00F802B9">
        <w:rPr>
          <w:rFonts w:ascii="Times New Roman" w:hAnsi="Times New Roman"/>
          <w:sz w:val="24"/>
          <w:szCs w:val="24"/>
        </w:rPr>
        <w:t xml:space="preserve"> to carry out such transactions subject to lower rates of tax. Offshore banking units, therefore, have a legitimate case for using </w:t>
      </w:r>
      <w:r w:rsidRPr="00363AB6">
        <w:rPr>
          <w:rFonts w:ascii="Times New Roman" w:hAnsi="Times New Roman"/>
          <w:i/>
          <w:sz w:val="24"/>
          <w:szCs w:val="24"/>
        </w:rPr>
        <w:t>banking</w:t>
      </w:r>
      <w:r w:rsidRPr="00F802B9">
        <w:rPr>
          <w:rFonts w:ascii="Times New Roman" w:hAnsi="Times New Roman"/>
          <w:sz w:val="24"/>
          <w:szCs w:val="24"/>
        </w:rPr>
        <w:t xml:space="preserve"> as part of the composite expression </w:t>
      </w:r>
      <w:r w:rsidRPr="00363AB6">
        <w:rPr>
          <w:rFonts w:ascii="Times New Roman" w:hAnsi="Times New Roman"/>
          <w:i/>
          <w:sz w:val="24"/>
          <w:szCs w:val="24"/>
        </w:rPr>
        <w:t>offshore banking unit</w:t>
      </w:r>
      <w:r w:rsidRPr="00F802B9">
        <w:rPr>
          <w:rFonts w:ascii="Times New Roman" w:hAnsi="Times New Roman"/>
          <w:sz w:val="24"/>
          <w:szCs w:val="24"/>
        </w:rPr>
        <w:t xml:space="preserve">, as this is the designation given to them by both the Tax Act and common usage. </w:t>
      </w:r>
    </w:p>
    <w:p w:rsidR="00BD42C5" w:rsidRPr="00F802B9" w:rsidRDefault="00BD42C5" w:rsidP="00BD42C5">
      <w:pPr>
        <w:jc w:val="both"/>
        <w:rPr>
          <w:rFonts w:ascii="Times New Roman" w:hAnsi="Times New Roman"/>
          <w:sz w:val="24"/>
          <w:szCs w:val="24"/>
        </w:rPr>
      </w:pPr>
    </w:p>
    <w:p w:rsidR="00BD42C5" w:rsidRPr="00F802B9" w:rsidRDefault="006C20AF" w:rsidP="00BD42C5">
      <w:pPr>
        <w:jc w:val="both"/>
        <w:rPr>
          <w:rFonts w:ascii="Times New Roman" w:hAnsi="Times New Roman"/>
          <w:sz w:val="24"/>
          <w:szCs w:val="24"/>
        </w:rPr>
      </w:pPr>
      <w:r>
        <w:rPr>
          <w:rFonts w:ascii="Times New Roman" w:hAnsi="Times New Roman"/>
          <w:sz w:val="24"/>
          <w:szCs w:val="24"/>
        </w:rPr>
        <w:t xml:space="preserve">The instrument grants </w:t>
      </w:r>
      <w:r w:rsidR="00BD42C5" w:rsidRPr="00F802B9">
        <w:rPr>
          <w:rFonts w:ascii="Times New Roman" w:hAnsi="Times New Roman"/>
          <w:sz w:val="24"/>
          <w:szCs w:val="24"/>
        </w:rPr>
        <w:t xml:space="preserve">consent to offshore banking units to use the term </w:t>
      </w:r>
      <w:r w:rsidR="00BD42C5" w:rsidRPr="00F802B9">
        <w:rPr>
          <w:rFonts w:ascii="Times New Roman" w:hAnsi="Times New Roman"/>
          <w:i/>
          <w:sz w:val="24"/>
          <w:szCs w:val="24"/>
        </w:rPr>
        <w:t>banking</w:t>
      </w:r>
      <w:r w:rsidR="00BD42C5" w:rsidRPr="00F802B9">
        <w:rPr>
          <w:rFonts w:ascii="Times New Roman" w:hAnsi="Times New Roman"/>
          <w:sz w:val="24"/>
          <w:szCs w:val="24"/>
        </w:rPr>
        <w:t xml:space="preserve"> as part of the expression offshore banking unit in relation to their fina</w:t>
      </w:r>
      <w:r>
        <w:rPr>
          <w:rFonts w:ascii="Times New Roman" w:hAnsi="Times New Roman"/>
          <w:sz w:val="24"/>
          <w:szCs w:val="24"/>
        </w:rPr>
        <w:t xml:space="preserve">ncial business. It also gives </w:t>
      </w:r>
      <w:r w:rsidR="00BD42C5" w:rsidRPr="00F802B9">
        <w:rPr>
          <w:rFonts w:ascii="Times New Roman" w:hAnsi="Times New Roman"/>
          <w:sz w:val="24"/>
          <w:szCs w:val="24"/>
        </w:rPr>
        <w:t xml:space="preserve">consent to related bodies corporate of offshore banking units to use </w:t>
      </w:r>
      <w:r w:rsidR="00BD42C5" w:rsidRPr="00F802B9">
        <w:rPr>
          <w:rFonts w:ascii="Times New Roman" w:hAnsi="Times New Roman"/>
          <w:i/>
          <w:sz w:val="24"/>
          <w:szCs w:val="24"/>
        </w:rPr>
        <w:t>banking</w:t>
      </w:r>
      <w:r w:rsidR="00BD42C5" w:rsidRPr="00F802B9">
        <w:rPr>
          <w:rFonts w:ascii="Times New Roman" w:hAnsi="Times New Roman"/>
          <w:sz w:val="24"/>
          <w:szCs w:val="24"/>
        </w:rPr>
        <w:t xml:space="preserve"> in the same manner. Because the business carried on by offshore banking units can be characterised as a financial business within the meaning of subsection 66(4) of the Act, subsection 66(1) prevents their use of the expression </w:t>
      </w:r>
      <w:r w:rsidR="00BD42C5" w:rsidRPr="00F802B9">
        <w:rPr>
          <w:rFonts w:ascii="Times New Roman" w:hAnsi="Times New Roman"/>
          <w:i/>
          <w:sz w:val="24"/>
          <w:szCs w:val="24"/>
        </w:rPr>
        <w:t>offshore banking unit</w:t>
      </w:r>
      <w:r w:rsidR="00BD42C5" w:rsidRPr="00F802B9">
        <w:rPr>
          <w:rFonts w:ascii="Times New Roman" w:hAnsi="Times New Roman"/>
          <w:sz w:val="24"/>
          <w:szCs w:val="24"/>
        </w:rPr>
        <w:t xml:space="preserve"> in connection with their offshore banking business without APRA’s consent.</w:t>
      </w:r>
    </w:p>
    <w:p w:rsidR="00BD42C5" w:rsidRPr="00F802B9" w:rsidRDefault="00BD42C5" w:rsidP="00BD42C5">
      <w:pPr>
        <w:jc w:val="both"/>
        <w:rPr>
          <w:rFonts w:ascii="Times New Roman" w:hAnsi="Times New Roman"/>
          <w:sz w:val="24"/>
          <w:szCs w:val="24"/>
        </w:rPr>
      </w:pPr>
    </w:p>
    <w:p w:rsidR="00BD42C5" w:rsidRPr="00F802B9" w:rsidRDefault="00BD42C5" w:rsidP="00BD42C5">
      <w:pPr>
        <w:jc w:val="both"/>
        <w:rPr>
          <w:rFonts w:ascii="Times New Roman" w:hAnsi="Times New Roman"/>
          <w:sz w:val="24"/>
          <w:szCs w:val="24"/>
        </w:rPr>
      </w:pPr>
      <w:r w:rsidRPr="00F802B9">
        <w:rPr>
          <w:rFonts w:ascii="Times New Roman" w:hAnsi="Times New Roman"/>
          <w:sz w:val="24"/>
          <w:szCs w:val="24"/>
        </w:rPr>
        <w:t xml:space="preserve">The instrument also imposes conditions on offshore banking units in their use of the </w:t>
      </w:r>
      <w:r w:rsidR="00F14D5E">
        <w:rPr>
          <w:rFonts w:ascii="Times New Roman" w:hAnsi="Times New Roman"/>
          <w:sz w:val="24"/>
          <w:szCs w:val="24"/>
        </w:rPr>
        <w:t>word</w:t>
      </w:r>
      <w:r w:rsidRPr="00F802B9">
        <w:rPr>
          <w:rFonts w:ascii="Times New Roman" w:hAnsi="Times New Roman"/>
          <w:sz w:val="24"/>
          <w:szCs w:val="24"/>
        </w:rPr>
        <w:t xml:space="preserve"> </w:t>
      </w:r>
      <w:r w:rsidRPr="00F802B9">
        <w:rPr>
          <w:rFonts w:ascii="Times New Roman" w:hAnsi="Times New Roman"/>
          <w:i/>
          <w:sz w:val="24"/>
          <w:szCs w:val="24"/>
        </w:rPr>
        <w:t>banking</w:t>
      </w:r>
      <w:r w:rsidR="006C20AF">
        <w:rPr>
          <w:rFonts w:ascii="Times New Roman" w:hAnsi="Times New Roman"/>
          <w:sz w:val="24"/>
          <w:szCs w:val="24"/>
        </w:rPr>
        <w:t xml:space="preserve">. Condition </w:t>
      </w:r>
      <w:r w:rsidR="00731816">
        <w:rPr>
          <w:rFonts w:ascii="Times New Roman" w:hAnsi="Times New Roman"/>
          <w:sz w:val="24"/>
          <w:szCs w:val="24"/>
        </w:rPr>
        <w:t>3</w:t>
      </w:r>
      <w:r w:rsidRPr="00F802B9">
        <w:rPr>
          <w:rFonts w:ascii="Times New Roman" w:hAnsi="Times New Roman"/>
          <w:sz w:val="24"/>
          <w:szCs w:val="24"/>
        </w:rPr>
        <w:t xml:space="preserve"> applies to all offshore banking units and requires that the </w:t>
      </w:r>
      <w:r w:rsidR="00F14D5E">
        <w:rPr>
          <w:rFonts w:ascii="Times New Roman" w:hAnsi="Times New Roman"/>
          <w:sz w:val="24"/>
          <w:szCs w:val="24"/>
        </w:rPr>
        <w:t xml:space="preserve">word or </w:t>
      </w:r>
      <w:r w:rsidRPr="00F802B9">
        <w:rPr>
          <w:rFonts w:ascii="Times New Roman" w:hAnsi="Times New Roman"/>
          <w:sz w:val="24"/>
          <w:szCs w:val="24"/>
        </w:rPr>
        <w:t xml:space="preserve">expression </w:t>
      </w:r>
      <w:r w:rsidRPr="00F802B9">
        <w:rPr>
          <w:rFonts w:ascii="Times New Roman" w:hAnsi="Times New Roman"/>
          <w:i/>
          <w:sz w:val="24"/>
          <w:szCs w:val="24"/>
        </w:rPr>
        <w:t>banking</w:t>
      </w:r>
      <w:r w:rsidRPr="00F802B9">
        <w:rPr>
          <w:rFonts w:ascii="Times New Roman" w:hAnsi="Times New Roman"/>
          <w:sz w:val="24"/>
          <w:szCs w:val="24"/>
        </w:rPr>
        <w:t xml:space="preserve"> or </w:t>
      </w:r>
      <w:r w:rsidRPr="00F802B9">
        <w:rPr>
          <w:rFonts w:ascii="Times New Roman" w:hAnsi="Times New Roman"/>
          <w:i/>
          <w:sz w:val="24"/>
          <w:szCs w:val="24"/>
        </w:rPr>
        <w:t>offshore banking unit</w:t>
      </w:r>
      <w:r w:rsidRPr="00F802B9">
        <w:rPr>
          <w:rFonts w:ascii="Times New Roman" w:hAnsi="Times New Roman"/>
          <w:sz w:val="24"/>
          <w:szCs w:val="24"/>
        </w:rPr>
        <w:t xml:space="preserve"> is not used in a misleading</w:t>
      </w:r>
      <w:r w:rsidR="007E4807">
        <w:rPr>
          <w:rFonts w:ascii="Times New Roman" w:hAnsi="Times New Roman"/>
          <w:sz w:val="24"/>
          <w:szCs w:val="24"/>
        </w:rPr>
        <w:t xml:space="preserve"> or decep</w:t>
      </w:r>
      <w:r w:rsidR="006C20AF">
        <w:rPr>
          <w:rFonts w:ascii="Times New Roman" w:hAnsi="Times New Roman"/>
          <w:sz w:val="24"/>
          <w:szCs w:val="24"/>
        </w:rPr>
        <w:t xml:space="preserve">tive way. Conditions </w:t>
      </w:r>
      <w:r w:rsidR="00684446">
        <w:rPr>
          <w:rFonts w:ascii="Times New Roman" w:hAnsi="Times New Roman"/>
          <w:sz w:val="24"/>
          <w:szCs w:val="24"/>
        </w:rPr>
        <w:t>4</w:t>
      </w:r>
      <w:r w:rsidR="007E4807">
        <w:rPr>
          <w:rFonts w:ascii="Times New Roman" w:hAnsi="Times New Roman"/>
          <w:sz w:val="24"/>
          <w:szCs w:val="24"/>
        </w:rPr>
        <w:t xml:space="preserve"> to </w:t>
      </w:r>
      <w:r w:rsidR="00684446">
        <w:rPr>
          <w:rFonts w:ascii="Times New Roman" w:hAnsi="Times New Roman"/>
          <w:sz w:val="24"/>
          <w:szCs w:val="24"/>
        </w:rPr>
        <w:t>6</w:t>
      </w:r>
      <w:r w:rsidRPr="00F802B9">
        <w:rPr>
          <w:rFonts w:ascii="Times New Roman" w:hAnsi="Times New Roman"/>
          <w:sz w:val="24"/>
          <w:szCs w:val="24"/>
        </w:rPr>
        <w:t xml:space="preserve"> apply to offshore banking units that are not authorised </w:t>
      </w:r>
      <w:r w:rsidR="00E04F42" w:rsidRPr="00F802B9">
        <w:rPr>
          <w:rFonts w:ascii="Times New Roman" w:hAnsi="Times New Roman"/>
          <w:sz w:val="24"/>
          <w:szCs w:val="24"/>
        </w:rPr>
        <w:t>deposit</w:t>
      </w:r>
      <w:r w:rsidR="00E04F42">
        <w:rPr>
          <w:rFonts w:ascii="Times New Roman" w:hAnsi="Times New Roman"/>
          <w:sz w:val="24"/>
          <w:szCs w:val="24"/>
        </w:rPr>
        <w:t>-</w:t>
      </w:r>
      <w:r w:rsidRPr="00F802B9">
        <w:rPr>
          <w:rFonts w:ascii="Times New Roman" w:hAnsi="Times New Roman"/>
          <w:sz w:val="24"/>
          <w:szCs w:val="24"/>
        </w:rPr>
        <w:t xml:space="preserve">taking institutions (ADIs) and prescribe the manner in which a consumer warning must be given to investors. Condition </w:t>
      </w:r>
      <w:r w:rsidR="00684446">
        <w:rPr>
          <w:rFonts w:ascii="Times New Roman" w:hAnsi="Times New Roman"/>
          <w:sz w:val="24"/>
          <w:szCs w:val="24"/>
        </w:rPr>
        <w:t>4</w:t>
      </w:r>
      <w:r w:rsidRPr="00F802B9">
        <w:rPr>
          <w:rFonts w:ascii="Times New Roman" w:hAnsi="Times New Roman"/>
          <w:sz w:val="24"/>
          <w:szCs w:val="24"/>
        </w:rPr>
        <w:t xml:space="preserve"> </w:t>
      </w:r>
      <w:r w:rsidR="00790964">
        <w:rPr>
          <w:rFonts w:ascii="Times New Roman" w:hAnsi="Times New Roman"/>
          <w:sz w:val="24"/>
          <w:szCs w:val="24"/>
        </w:rPr>
        <w:t xml:space="preserve">seeks to </w:t>
      </w:r>
      <w:r w:rsidRPr="00F802B9">
        <w:rPr>
          <w:rFonts w:ascii="Times New Roman" w:hAnsi="Times New Roman"/>
          <w:sz w:val="24"/>
          <w:szCs w:val="24"/>
        </w:rPr>
        <w:t xml:space="preserve">ensure that </w:t>
      </w:r>
      <w:r w:rsidR="00790964">
        <w:rPr>
          <w:rFonts w:ascii="Times New Roman" w:hAnsi="Times New Roman"/>
          <w:sz w:val="24"/>
          <w:szCs w:val="24"/>
        </w:rPr>
        <w:t>an</w:t>
      </w:r>
      <w:r w:rsidR="00790964" w:rsidRPr="00F802B9">
        <w:rPr>
          <w:rFonts w:ascii="Times New Roman" w:hAnsi="Times New Roman"/>
          <w:sz w:val="24"/>
          <w:szCs w:val="24"/>
        </w:rPr>
        <w:t xml:space="preserve"> </w:t>
      </w:r>
      <w:r w:rsidRPr="00F802B9">
        <w:rPr>
          <w:rFonts w:ascii="Times New Roman" w:hAnsi="Times New Roman"/>
          <w:sz w:val="24"/>
          <w:szCs w:val="24"/>
        </w:rPr>
        <w:t xml:space="preserve">investor is not misled by the designation </w:t>
      </w:r>
      <w:r w:rsidRPr="00F802B9">
        <w:rPr>
          <w:rFonts w:ascii="Times New Roman" w:hAnsi="Times New Roman"/>
          <w:i/>
          <w:sz w:val="24"/>
          <w:szCs w:val="24"/>
        </w:rPr>
        <w:t>offshore banking unit</w:t>
      </w:r>
      <w:r w:rsidRPr="00F802B9">
        <w:rPr>
          <w:rFonts w:ascii="Times New Roman" w:hAnsi="Times New Roman"/>
          <w:sz w:val="24"/>
          <w:szCs w:val="24"/>
        </w:rPr>
        <w:t xml:space="preserve"> into believing that they are dealing with a regulated bank. Condition </w:t>
      </w:r>
      <w:r w:rsidR="00684446">
        <w:rPr>
          <w:rFonts w:ascii="Times New Roman" w:hAnsi="Times New Roman"/>
          <w:sz w:val="24"/>
          <w:szCs w:val="24"/>
        </w:rPr>
        <w:t>5</w:t>
      </w:r>
      <w:r w:rsidRPr="00F802B9">
        <w:rPr>
          <w:rFonts w:ascii="Times New Roman" w:hAnsi="Times New Roman"/>
          <w:sz w:val="24"/>
          <w:szCs w:val="24"/>
        </w:rPr>
        <w:t xml:space="preserve"> provides that the consumer warning only has to be given in circumstances where either the offshore banking unit or transaction involving the investor has a sufficient connection with Australia. Condition </w:t>
      </w:r>
      <w:r w:rsidR="00684446">
        <w:rPr>
          <w:rFonts w:ascii="Times New Roman" w:hAnsi="Times New Roman"/>
          <w:sz w:val="24"/>
          <w:szCs w:val="24"/>
        </w:rPr>
        <w:t>6</w:t>
      </w:r>
      <w:r w:rsidRPr="00F802B9">
        <w:rPr>
          <w:rFonts w:ascii="Times New Roman" w:hAnsi="Times New Roman"/>
          <w:sz w:val="24"/>
          <w:szCs w:val="24"/>
        </w:rPr>
        <w:t xml:space="preserve"> sets out the exceptions to the obligation to give a consumer warning. </w:t>
      </w:r>
    </w:p>
    <w:p w:rsidR="00BD42C5" w:rsidRPr="00F802B9" w:rsidRDefault="00BD42C5" w:rsidP="00BD42C5">
      <w:pPr>
        <w:jc w:val="both"/>
        <w:rPr>
          <w:rFonts w:ascii="Times New Roman" w:hAnsi="Times New Roman"/>
          <w:sz w:val="24"/>
          <w:szCs w:val="24"/>
        </w:rPr>
      </w:pPr>
    </w:p>
    <w:p w:rsidR="00173B71" w:rsidRPr="00F802B9" w:rsidRDefault="00BD42C5" w:rsidP="00173B71">
      <w:pPr>
        <w:jc w:val="both"/>
        <w:rPr>
          <w:rFonts w:ascii="Times New Roman" w:hAnsi="Times New Roman"/>
          <w:sz w:val="24"/>
          <w:szCs w:val="24"/>
        </w:rPr>
      </w:pPr>
      <w:r w:rsidRPr="00F802B9">
        <w:rPr>
          <w:rFonts w:ascii="Times New Roman" w:hAnsi="Times New Roman"/>
          <w:sz w:val="24"/>
          <w:szCs w:val="24"/>
        </w:rPr>
        <w:t xml:space="preserve">As the 2005 Consent </w:t>
      </w:r>
      <w:r w:rsidR="00684446">
        <w:rPr>
          <w:rFonts w:ascii="Times New Roman" w:hAnsi="Times New Roman"/>
          <w:sz w:val="24"/>
          <w:szCs w:val="24"/>
        </w:rPr>
        <w:t xml:space="preserve">is due to </w:t>
      </w:r>
      <w:r w:rsidRPr="00F802B9">
        <w:rPr>
          <w:rFonts w:ascii="Times New Roman" w:hAnsi="Times New Roman"/>
          <w:sz w:val="24"/>
          <w:szCs w:val="24"/>
        </w:rPr>
        <w:t xml:space="preserve">sunset on 1 October 2015, the purpose of the 2015 Consent is to continue to allow the current regime to operate without change. APRA conducted an assessment of the effectiveness and efficiency of continuing the 2005 Consent and concluded that it was appropriate that it be remade without amendment. </w:t>
      </w:r>
    </w:p>
    <w:p w:rsidR="00A542F1" w:rsidRPr="00CF1372" w:rsidRDefault="00173B71" w:rsidP="00173B71">
      <w:pPr>
        <w:pStyle w:val="Heading"/>
        <w:keepNext/>
        <w:numPr>
          <w:ilvl w:val="0"/>
          <w:numId w:val="34"/>
        </w:numPr>
        <w:tabs>
          <w:tab w:val="clear" w:pos="644"/>
        </w:tabs>
        <w:spacing w:before="240" w:after="120"/>
        <w:ind w:left="567" w:hanging="567"/>
        <w:rPr>
          <w:rFonts w:ascii="Times New Roman" w:hAnsi="Times New Roman"/>
          <w:sz w:val="24"/>
          <w:szCs w:val="24"/>
        </w:rPr>
      </w:pPr>
      <w:r w:rsidRPr="00F802B9">
        <w:rPr>
          <w:rFonts w:ascii="Times New Roman" w:hAnsi="Times New Roman"/>
          <w:sz w:val="24"/>
          <w:szCs w:val="24"/>
        </w:rPr>
        <w:t>Consultation</w:t>
      </w:r>
    </w:p>
    <w:p w:rsidR="0026070C" w:rsidRDefault="0026070C" w:rsidP="00173B71">
      <w:pPr>
        <w:jc w:val="both"/>
        <w:rPr>
          <w:rFonts w:ascii="Times New Roman" w:hAnsi="Times New Roman"/>
          <w:sz w:val="24"/>
          <w:szCs w:val="24"/>
        </w:rPr>
      </w:pPr>
    </w:p>
    <w:p w:rsidR="00F650C7" w:rsidRDefault="00F650C7" w:rsidP="00173B71">
      <w:pPr>
        <w:jc w:val="both"/>
        <w:rPr>
          <w:rFonts w:ascii="Times New Roman" w:hAnsi="Times New Roman"/>
          <w:sz w:val="24"/>
          <w:szCs w:val="24"/>
        </w:rPr>
      </w:pPr>
      <w:r>
        <w:rPr>
          <w:rFonts w:ascii="Times New Roman" w:hAnsi="Times New Roman"/>
          <w:sz w:val="24"/>
          <w:szCs w:val="24"/>
        </w:rPr>
        <w:t xml:space="preserve">The 2015 Consent </w:t>
      </w:r>
      <w:r w:rsidR="00DF7AED">
        <w:rPr>
          <w:rFonts w:ascii="Times New Roman" w:hAnsi="Times New Roman"/>
          <w:sz w:val="24"/>
          <w:szCs w:val="24"/>
        </w:rPr>
        <w:t>makes no changes to</w:t>
      </w:r>
      <w:r w:rsidR="00E7202B">
        <w:rPr>
          <w:rFonts w:ascii="Times New Roman" w:hAnsi="Times New Roman"/>
          <w:sz w:val="24"/>
          <w:szCs w:val="24"/>
        </w:rPr>
        <w:t xml:space="preserve"> the </w:t>
      </w:r>
      <w:r>
        <w:rPr>
          <w:rFonts w:ascii="Times New Roman" w:hAnsi="Times New Roman"/>
          <w:sz w:val="24"/>
          <w:szCs w:val="24"/>
        </w:rPr>
        <w:t xml:space="preserve">2005 Consent, </w:t>
      </w:r>
      <w:r w:rsidR="00DF7AED">
        <w:rPr>
          <w:rFonts w:ascii="Times New Roman" w:hAnsi="Times New Roman"/>
          <w:sz w:val="24"/>
          <w:szCs w:val="24"/>
        </w:rPr>
        <w:t>other than to re-number the conditions on the consent</w:t>
      </w:r>
      <w:r>
        <w:rPr>
          <w:rFonts w:ascii="Times New Roman" w:hAnsi="Times New Roman"/>
          <w:sz w:val="24"/>
          <w:szCs w:val="24"/>
        </w:rPr>
        <w:t>. The 2015 Consent does not impose any additional requirements nor does it remove requirements; it merely allows for the cont</w:t>
      </w:r>
      <w:r w:rsidR="00A05B13">
        <w:rPr>
          <w:rFonts w:ascii="Times New Roman" w:hAnsi="Times New Roman"/>
          <w:sz w:val="24"/>
          <w:szCs w:val="24"/>
        </w:rPr>
        <w:t>inuation of the current regime.</w:t>
      </w:r>
    </w:p>
    <w:p w:rsidR="003E0154" w:rsidRDefault="003E0154" w:rsidP="00173B71">
      <w:pPr>
        <w:jc w:val="both"/>
        <w:rPr>
          <w:rFonts w:ascii="Times New Roman" w:hAnsi="Times New Roman"/>
          <w:sz w:val="24"/>
          <w:szCs w:val="24"/>
        </w:rPr>
      </w:pPr>
    </w:p>
    <w:p w:rsidR="00C803E7" w:rsidRDefault="00DF7AED" w:rsidP="00173B71">
      <w:pPr>
        <w:jc w:val="both"/>
        <w:rPr>
          <w:rFonts w:ascii="Times New Roman" w:hAnsi="Times New Roman"/>
          <w:sz w:val="24"/>
          <w:szCs w:val="24"/>
        </w:rPr>
      </w:pPr>
      <w:r>
        <w:rPr>
          <w:rFonts w:ascii="Times New Roman" w:hAnsi="Times New Roman"/>
          <w:sz w:val="24"/>
          <w:szCs w:val="24"/>
        </w:rPr>
        <w:t xml:space="preserve">APRA </w:t>
      </w:r>
      <w:r w:rsidR="000B2BFD">
        <w:rPr>
          <w:rFonts w:ascii="Times New Roman" w:hAnsi="Times New Roman"/>
          <w:sz w:val="24"/>
          <w:szCs w:val="24"/>
        </w:rPr>
        <w:t>consulted with the Department of Treasury</w:t>
      </w:r>
      <w:r w:rsidR="00141114">
        <w:rPr>
          <w:rFonts w:ascii="Times New Roman" w:hAnsi="Times New Roman"/>
          <w:sz w:val="24"/>
          <w:szCs w:val="24"/>
        </w:rPr>
        <w:t xml:space="preserve">, the Australian Financial Markets Association </w:t>
      </w:r>
      <w:r w:rsidR="000B2BFD">
        <w:rPr>
          <w:rFonts w:ascii="Times New Roman" w:hAnsi="Times New Roman"/>
          <w:sz w:val="24"/>
          <w:szCs w:val="24"/>
        </w:rPr>
        <w:t xml:space="preserve">and a sample of offshore banking units in order to determine whether the consent </w:t>
      </w:r>
      <w:r w:rsidR="00A65116">
        <w:rPr>
          <w:rFonts w:ascii="Times New Roman" w:hAnsi="Times New Roman"/>
          <w:sz w:val="24"/>
          <w:szCs w:val="24"/>
        </w:rPr>
        <w:t>is operating effectively and efficiently. Responses</w:t>
      </w:r>
      <w:r w:rsidR="003E0154">
        <w:rPr>
          <w:rFonts w:ascii="Times New Roman" w:hAnsi="Times New Roman"/>
          <w:sz w:val="24"/>
          <w:szCs w:val="24"/>
        </w:rPr>
        <w:t xml:space="preserve"> to the consultation</w:t>
      </w:r>
      <w:r w:rsidR="00A65116">
        <w:rPr>
          <w:rFonts w:ascii="Times New Roman" w:hAnsi="Times New Roman"/>
          <w:sz w:val="24"/>
          <w:szCs w:val="24"/>
        </w:rPr>
        <w:t xml:space="preserve"> were supportive of remaki</w:t>
      </w:r>
      <w:r w:rsidR="00513022">
        <w:rPr>
          <w:rFonts w:ascii="Times New Roman" w:hAnsi="Times New Roman"/>
          <w:sz w:val="24"/>
          <w:szCs w:val="24"/>
        </w:rPr>
        <w:t xml:space="preserve">ng the </w:t>
      </w:r>
      <w:r w:rsidR="00DA63E8">
        <w:rPr>
          <w:rFonts w:ascii="Times New Roman" w:hAnsi="Times New Roman"/>
          <w:sz w:val="24"/>
          <w:szCs w:val="24"/>
        </w:rPr>
        <w:t>consent</w:t>
      </w:r>
      <w:r w:rsidR="0061775B">
        <w:rPr>
          <w:rFonts w:ascii="Times New Roman" w:hAnsi="Times New Roman"/>
          <w:sz w:val="24"/>
          <w:szCs w:val="24"/>
        </w:rPr>
        <w:t xml:space="preserve">. The </w:t>
      </w:r>
      <w:proofErr w:type="gramStart"/>
      <w:r w:rsidR="0061775B">
        <w:rPr>
          <w:rFonts w:ascii="Times New Roman" w:hAnsi="Times New Roman"/>
          <w:sz w:val="24"/>
          <w:szCs w:val="24"/>
        </w:rPr>
        <w:t xml:space="preserve">responses </w:t>
      </w:r>
      <w:r w:rsidR="00513022">
        <w:rPr>
          <w:rFonts w:ascii="Times New Roman" w:hAnsi="Times New Roman"/>
          <w:sz w:val="24"/>
          <w:szCs w:val="24"/>
        </w:rPr>
        <w:t xml:space="preserve"> recognised</w:t>
      </w:r>
      <w:proofErr w:type="gramEnd"/>
      <w:r w:rsidR="00513022">
        <w:rPr>
          <w:rFonts w:ascii="Times New Roman" w:hAnsi="Times New Roman"/>
          <w:sz w:val="24"/>
          <w:szCs w:val="24"/>
        </w:rPr>
        <w:t xml:space="preserve"> </w:t>
      </w:r>
      <w:r w:rsidR="00521F33">
        <w:rPr>
          <w:rFonts w:ascii="Times New Roman" w:hAnsi="Times New Roman"/>
          <w:sz w:val="24"/>
          <w:szCs w:val="24"/>
        </w:rPr>
        <w:t>that allowin</w:t>
      </w:r>
      <w:r w:rsidR="00513022">
        <w:rPr>
          <w:rFonts w:ascii="Times New Roman" w:hAnsi="Times New Roman"/>
          <w:sz w:val="24"/>
          <w:szCs w:val="24"/>
        </w:rPr>
        <w:t xml:space="preserve">g the </w:t>
      </w:r>
      <w:r w:rsidR="00DA63E8">
        <w:rPr>
          <w:rFonts w:ascii="Times New Roman" w:hAnsi="Times New Roman"/>
          <w:sz w:val="24"/>
          <w:szCs w:val="24"/>
        </w:rPr>
        <w:t>instrument</w:t>
      </w:r>
      <w:r w:rsidR="00513022">
        <w:rPr>
          <w:rFonts w:ascii="Times New Roman" w:hAnsi="Times New Roman"/>
          <w:sz w:val="24"/>
          <w:szCs w:val="24"/>
        </w:rPr>
        <w:t xml:space="preserve"> to lapse could </w:t>
      </w:r>
      <w:r w:rsidR="00521F33">
        <w:rPr>
          <w:rFonts w:ascii="Times New Roman" w:hAnsi="Times New Roman"/>
          <w:sz w:val="24"/>
          <w:szCs w:val="24"/>
        </w:rPr>
        <w:t>cause significant disruption to the offshore banking regime</w:t>
      </w:r>
      <w:r w:rsidR="0061775B">
        <w:rPr>
          <w:rFonts w:ascii="Times New Roman" w:hAnsi="Times New Roman"/>
          <w:sz w:val="24"/>
          <w:szCs w:val="24"/>
        </w:rPr>
        <w:t xml:space="preserve"> and </w:t>
      </w:r>
      <w:r w:rsidR="00521F33">
        <w:rPr>
          <w:rFonts w:ascii="Times New Roman" w:hAnsi="Times New Roman"/>
          <w:sz w:val="24"/>
          <w:szCs w:val="24"/>
        </w:rPr>
        <w:t xml:space="preserve">associated economic activity in Australia. </w:t>
      </w:r>
      <w:r w:rsidR="00A65116">
        <w:rPr>
          <w:rFonts w:ascii="Times New Roman" w:hAnsi="Times New Roman"/>
          <w:sz w:val="24"/>
          <w:szCs w:val="24"/>
        </w:rPr>
        <w:t xml:space="preserve"> </w:t>
      </w:r>
    </w:p>
    <w:p w:rsidR="00173B71" w:rsidRDefault="00173B71" w:rsidP="00173B71">
      <w:pPr>
        <w:pStyle w:val="Heading"/>
        <w:keepNext/>
        <w:numPr>
          <w:ilvl w:val="0"/>
          <w:numId w:val="34"/>
        </w:numPr>
        <w:tabs>
          <w:tab w:val="clear" w:pos="644"/>
        </w:tabs>
        <w:spacing w:before="240" w:after="120"/>
        <w:ind w:left="567" w:hanging="567"/>
        <w:rPr>
          <w:rFonts w:ascii="Times New Roman" w:hAnsi="Times New Roman"/>
          <w:sz w:val="24"/>
          <w:szCs w:val="24"/>
        </w:rPr>
      </w:pPr>
      <w:r w:rsidRPr="00F802B9">
        <w:rPr>
          <w:rFonts w:ascii="Times New Roman" w:hAnsi="Times New Roman"/>
          <w:sz w:val="24"/>
          <w:szCs w:val="24"/>
        </w:rPr>
        <w:lastRenderedPageBreak/>
        <w:t>Regulation Impact Statement</w:t>
      </w:r>
    </w:p>
    <w:p w:rsidR="00EC6505" w:rsidRPr="00EC6505" w:rsidRDefault="00EC6505" w:rsidP="00EC6505">
      <w:pPr>
        <w:pStyle w:val="Heading"/>
        <w:keepNext/>
        <w:spacing w:before="240" w:after="120"/>
        <w:rPr>
          <w:rFonts w:ascii="Times New Roman" w:hAnsi="Times New Roman"/>
          <w:b w:val="0"/>
          <w:sz w:val="24"/>
          <w:szCs w:val="24"/>
        </w:rPr>
      </w:pPr>
      <w:r>
        <w:rPr>
          <w:rFonts w:ascii="Times New Roman" w:hAnsi="Times New Roman"/>
          <w:b w:val="0"/>
          <w:sz w:val="24"/>
          <w:szCs w:val="24"/>
        </w:rPr>
        <w:t xml:space="preserve">The Office of Best Practice Regulation has advised that </w:t>
      </w:r>
      <w:r w:rsidR="003E0154">
        <w:rPr>
          <w:rFonts w:ascii="Times New Roman" w:hAnsi="Times New Roman"/>
          <w:b w:val="0"/>
          <w:sz w:val="24"/>
          <w:szCs w:val="24"/>
        </w:rPr>
        <w:t xml:space="preserve">APRA may submit a letter certifying that the instrument is operating effectively and efficiently in lieu of completing a </w:t>
      </w:r>
      <w:r>
        <w:rPr>
          <w:rFonts w:ascii="Times New Roman" w:hAnsi="Times New Roman"/>
          <w:b w:val="0"/>
          <w:sz w:val="24"/>
          <w:szCs w:val="24"/>
        </w:rPr>
        <w:t>Regulation Impact Statement</w:t>
      </w:r>
      <w:r w:rsidR="003E0154">
        <w:rPr>
          <w:rFonts w:ascii="Times New Roman" w:hAnsi="Times New Roman"/>
          <w:b w:val="0"/>
          <w:sz w:val="24"/>
          <w:szCs w:val="24"/>
        </w:rPr>
        <w:t>.</w:t>
      </w:r>
      <w:r>
        <w:rPr>
          <w:rFonts w:ascii="Times New Roman" w:hAnsi="Times New Roman"/>
          <w:b w:val="0"/>
          <w:sz w:val="24"/>
          <w:szCs w:val="24"/>
        </w:rPr>
        <w:t xml:space="preserve"> </w:t>
      </w:r>
    </w:p>
    <w:p w:rsidR="00173B71" w:rsidRPr="00F802B9" w:rsidRDefault="00173B71" w:rsidP="00173B71">
      <w:pPr>
        <w:pStyle w:val="Heading"/>
        <w:keepNext/>
        <w:numPr>
          <w:ilvl w:val="0"/>
          <w:numId w:val="34"/>
        </w:numPr>
        <w:tabs>
          <w:tab w:val="clear" w:pos="644"/>
        </w:tabs>
        <w:spacing w:before="240" w:after="120"/>
        <w:ind w:left="567" w:hanging="567"/>
        <w:rPr>
          <w:rFonts w:ascii="Times New Roman" w:hAnsi="Times New Roman"/>
          <w:sz w:val="24"/>
          <w:szCs w:val="24"/>
        </w:rPr>
      </w:pPr>
      <w:r w:rsidRPr="00F802B9">
        <w:rPr>
          <w:rFonts w:ascii="Times New Roman" w:hAnsi="Times New Roman"/>
          <w:sz w:val="24"/>
          <w:szCs w:val="24"/>
        </w:rPr>
        <w:t>Statement of compatibility prepared in accordance with Part 3 of the Human Rights (Parliamentary Scrutiny) Act 2011</w:t>
      </w:r>
    </w:p>
    <w:p w:rsidR="00173B71" w:rsidRPr="00F802B9" w:rsidRDefault="00173B71" w:rsidP="00173B71">
      <w:pPr>
        <w:pStyle w:val="Heading"/>
        <w:spacing w:after="120"/>
        <w:rPr>
          <w:rFonts w:ascii="Times New Roman" w:hAnsi="Times New Roman"/>
          <w:b w:val="0"/>
          <w:sz w:val="24"/>
          <w:szCs w:val="24"/>
        </w:rPr>
      </w:pPr>
      <w:r w:rsidRPr="00F802B9">
        <w:rPr>
          <w:rFonts w:ascii="Times New Roman" w:hAnsi="Times New Roman"/>
          <w:b w:val="0"/>
          <w:sz w:val="24"/>
          <w:szCs w:val="24"/>
        </w:rPr>
        <w:t xml:space="preserve">A Statement of Compatibility prepared in accordance with Part 3 of the </w:t>
      </w:r>
      <w:r w:rsidRPr="00F802B9">
        <w:rPr>
          <w:rFonts w:ascii="Times New Roman" w:hAnsi="Times New Roman"/>
          <w:b w:val="0"/>
          <w:i/>
          <w:sz w:val="24"/>
          <w:szCs w:val="24"/>
        </w:rPr>
        <w:t>Human Rights (Parliamentary Scrutiny) Act 2011</w:t>
      </w:r>
      <w:r w:rsidRPr="00F802B9">
        <w:rPr>
          <w:rFonts w:ascii="Times New Roman" w:hAnsi="Times New Roman"/>
          <w:i/>
          <w:sz w:val="24"/>
          <w:szCs w:val="24"/>
        </w:rPr>
        <w:t xml:space="preserve"> </w:t>
      </w:r>
      <w:r w:rsidRPr="00F802B9">
        <w:rPr>
          <w:rFonts w:ascii="Times New Roman" w:hAnsi="Times New Roman"/>
          <w:b w:val="0"/>
          <w:sz w:val="24"/>
          <w:szCs w:val="24"/>
        </w:rPr>
        <w:t>is provided at Attachment A to this Explanatory Statement.</w:t>
      </w:r>
      <w:r w:rsidR="003E0154">
        <w:rPr>
          <w:rFonts w:ascii="Times New Roman" w:hAnsi="Times New Roman"/>
          <w:b w:val="0"/>
          <w:sz w:val="24"/>
          <w:szCs w:val="24"/>
        </w:rPr>
        <w:t xml:space="preserve"> </w:t>
      </w:r>
    </w:p>
    <w:p w:rsidR="00E17A15" w:rsidRPr="00F72BC6" w:rsidRDefault="00173B71" w:rsidP="00B70D56">
      <w:pPr>
        <w:spacing w:after="240"/>
        <w:jc w:val="both"/>
        <w:rPr>
          <w:rFonts w:ascii="Times New Roman" w:hAnsi="Times New Roman"/>
          <w:b/>
          <w:sz w:val="24"/>
          <w:szCs w:val="24"/>
        </w:rPr>
      </w:pPr>
      <w:r w:rsidRPr="00F72BC6">
        <w:rPr>
          <w:rFonts w:ascii="Times New Roman" w:hAnsi="Times New Roman"/>
          <w:b/>
          <w:sz w:val="24"/>
          <w:szCs w:val="24"/>
        </w:rPr>
        <w:br w:type="page"/>
      </w:r>
      <w:r w:rsidRPr="00F72BC6">
        <w:rPr>
          <w:rFonts w:ascii="Times New Roman" w:hAnsi="Times New Roman"/>
          <w:b/>
          <w:sz w:val="24"/>
          <w:szCs w:val="24"/>
        </w:rPr>
        <w:lastRenderedPageBreak/>
        <w:t>ATTACHMENT A</w:t>
      </w:r>
      <w:r w:rsidR="00296866" w:rsidRPr="00F72BC6">
        <w:rPr>
          <w:rFonts w:ascii="Times New Roman" w:hAnsi="Times New Roman"/>
          <w:b/>
          <w:sz w:val="24"/>
          <w:szCs w:val="24"/>
        </w:rPr>
        <w:t xml:space="preserve"> </w:t>
      </w:r>
    </w:p>
    <w:p w:rsidR="00173B71" w:rsidRDefault="00173B71" w:rsidP="00B70D56">
      <w:pPr>
        <w:autoSpaceDE w:val="0"/>
        <w:autoSpaceDN w:val="0"/>
        <w:adjustRightInd w:val="0"/>
        <w:spacing w:after="240"/>
        <w:jc w:val="center"/>
        <w:rPr>
          <w:rFonts w:ascii="Times New Roman" w:hAnsi="Times New Roman"/>
          <w:b/>
          <w:sz w:val="24"/>
          <w:szCs w:val="24"/>
        </w:rPr>
      </w:pPr>
      <w:r w:rsidRPr="00173B71">
        <w:rPr>
          <w:rFonts w:ascii="Times New Roman" w:hAnsi="Times New Roman"/>
          <w:sz w:val="24"/>
          <w:szCs w:val="24"/>
        </w:rPr>
        <w:t xml:space="preserve"> </w:t>
      </w:r>
      <w:r w:rsidRPr="00173B71">
        <w:rPr>
          <w:rFonts w:ascii="Times New Roman" w:hAnsi="Times New Roman"/>
          <w:b/>
          <w:sz w:val="24"/>
          <w:szCs w:val="24"/>
        </w:rPr>
        <w:t>Statement of Compatibility with Human Rights</w:t>
      </w:r>
    </w:p>
    <w:p w:rsidR="00173B71" w:rsidRPr="00173B71" w:rsidRDefault="00173B71" w:rsidP="00B70D56">
      <w:pPr>
        <w:autoSpaceDE w:val="0"/>
        <w:autoSpaceDN w:val="0"/>
        <w:adjustRightInd w:val="0"/>
        <w:spacing w:after="240"/>
        <w:jc w:val="center"/>
        <w:rPr>
          <w:rFonts w:ascii="Times New Roman" w:hAnsi="Times New Roman"/>
          <w:i/>
          <w:sz w:val="24"/>
          <w:szCs w:val="24"/>
        </w:rPr>
      </w:pPr>
      <w:r w:rsidRPr="00173B71">
        <w:rPr>
          <w:rFonts w:ascii="Times New Roman" w:hAnsi="Times New Roman"/>
          <w:i/>
          <w:sz w:val="24"/>
          <w:szCs w:val="24"/>
        </w:rPr>
        <w:t>Prepared in accordance with Part 3 of the Human Rights (Parliamentary Scrutiny) Act 2011</w:t>
      </w:r>
    </w:p>
    <w:p w:rsidR="00173B71" w:rsidRPr="00B70D56" w:rsidRDefault="00F47951" w:rsidP="00B70D56">
      <w:pPr>
        <w:pStyle w:val="Heading"/>
        <w:spacing w:before="120" w:after="240"/>
        <w:jc w:val="center"/>
        <w:rPr>
          <w:rFonts w:ascii="Times New Roman" w:hAnsi="Times New Roman"/>
          <w:sz w:val="24"/>
          <w:szCs w:val="24"/>
        </w:rPr>
      </w:pPr>
      <w:r w:rsidRPr="00B70D56">
        <w:rPr>
          <w:rFonts w:ascii="Times New Roman" w:hAnsi="Times New Roman"/>
          <w:sz w:val="24"/>
          <w:szCs w:val="24"/>
        </w:rPr>
        <w:t>Banking (consent to assume or use restricted word or expression) No. 2 of 2015</w:t>
      </w:r>
    </w:p>
    <w:p w:rsidR="00173B71" w:rsidRPr="00173B71" w:rsidRDefault="00173B71" w:rsidP="00173B71">
      <w:pPr>
        <w:pStyle w:val="BodyText"/>
        <w:spacing w:after="120"/>
        <w:jc w:val="both"/>
        <w:rPr>
          <w:rFonts w:ascii="Times New Roman" w:hAnsi="Times New Roman"/>
          <w:i/>
          <w:sz w:val="24"/>
          <w:szCs w:val="24"/>
        </w:rPr>
      </w:pPr>
      <w:r w:rsidRPr="00173B71">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173B71">
        <w:rPr>
          <w:rFonts w:ascii="Times New Roman" w:hAnsi="Times New Roman"/>
          <w:i/>
          <w:sz w:val="24"/>
          <w:szCs w:val="24"/>
        </w:rPr>
        <w:t>Human Rights (Parliamentary Scrutiny) Act 2011</w:t>
      </w:r>
      <w:r w:rsidRPr="00173B71">
        <w:rPr>
          <w:rFonts w:ascii="Times New Roman" w:hAnsi="Times New Roman"/>
          <w:sz w:val="24"/>
          <w:szCs w:val="24"/>
        </w:rPr>
        <w:t xml:space="preserve"> (HRPS Act)</w:t>
      </w:r>
      <w:r w:rsidRPr="00173B71">
        <w:rPr>
          <w:rFonts w:ascii="Times New Roman" w:hAnsi="Times New Roman"/>
          <w:i/>
          <w:sz w:val="24"/>
          <w:szCs w:val="24"/>
        </w:rPr>
        <w:t>.</w:t>
      </w:r>
    </w:p>
    <w:p w:rsidR="00173B71" w:rsidRPr="00B70D56" w:rsidRDefault="00173B71" w:rsidP="00173B71">
      <w:pPr>
        <w:pStyle w:val="BodyText"/>
        <w:keepNext/>
        <w:spacing w:before="240" w:after="120"/>
        <w:jc w:val="both"/>
        <w:rPr>
          <w:rFonts w:ascii="Times New Roman" w:hAnsi="Times New Roman"/>
          <w:b/>
          <w:sz w:val="24"/>
          <w:szCs w:val="24"/>
        </w:rPr>
      </w:pPr>
      <w:r w:rsidRPr="00B70D56">
        <w:rPr>
          <w:rFonts w:ascii="Times New Roman" w:hAnsi="Times New Roman"/>
          <w:b/>
          <w:sz w:val="24"/>
          <w:szCs w:val="24"/>
        </w:rPr>
        <w:t>Overview of the Legislative Instruments</w:t>
      </w:r>
    </w:p>
    <w:p w:rsidR="00BD42C5" w:rsidRDefault="00BD42C5" w:rsidP="00BD42C5">
      <w:pPr>
        <w:pStyle w:val="Heading"/>
        <w:spacing w:before="240" w:after="120"/>
        <w:outlineLvl w:val="0"/>
        <w:rPr>
          <w:rFonts w:ascii="Times New Roman" w:hAnsi="Times New Roman"/>
          <w:b w:val="0"/>
          <w:sz w:val="24"/>
          <w:szCs w:val="24"/>
        </w:rPr>
      </w:pPr>
      <w:r>
        <w:rPr>
          <w:rFonts w:ascii="Times New Roman" w:hAnsi="Times New Roman"/>
          <w:b w:val="0"/>
          <w:sz w:val="24"/>
          <w:szCs w:val="24"/>
        </w:rPr>
        <w:t xml:space="preserve">This legislative instrument revokes the 2005 Consent made under section 66 of the Banking Act, and remakes the consent </w:t>
      </w:r>
      <w:r w:rsidR="00654F90">
        <w:rPr>
          <w:rFonts w:ascii="Times New Roman" w:hAnsi="Times New Roman"/>
          <w:b w:val="0"/>
          <w:sz w:val="24"/>
          <w:szCs w:val="24"/>
        </w:rPr>
        <w:t>unchanged as outlined</w:t>
      </w:r>
      <w:r>
        <w:rPr>
          <w:rFonts w:ascii="Times New Roman" w:hAnsi="Times New Roman"/>
          <w:b w:val="0"/>
          <w:sz w:val="24"/>
          <w:szCs w:val="24"/>
        </w:rPr>
        <w:t xml:space="preserve"> in the Schedule.</w:t>
      </w:r>
    </w:p>
    <w:p w:rsidR="00BD42C5" w:rsidRPr="0071741B" w:rsidRDefault="00BD42C5" w:rsidP="00BD42C5">
      <w:pPr>
        <w:pStyle w:val="Heading"/>
        <w:spacing w:before="240" w:after="120"/>
        <w:outlineLvl w:val="0"/>
        <w:rPr>
          <w:rFonts w:ascii="Times New Roman" w:hAnsi="Times New Roman"/>
          <w:b w:val="0"/>
          <w:sz w:val="24"/>
          <w:szCs w:val="24"/>
        </w:rPr>
      </w:pPr>
      <w:r>
        <w:rPr>
          <w:rFonts w:ascii="Times New Roman" w:hAnsi="Times New Roman"/>
          <w:b w:val="0"/>
          <w:sz w:val="24"/>
          <w:szCs w:val="24"/>
        </w:rPr>
        <w:t>The purpose of this Legislative Instrument is to</w:t>
      </w:r>
      <w:r w:rsidR="00916FAC">
        <w:rPr>
          <w:rFonts w:ascii="Times New Roman" w:hAnsi="Times New Roman"/>
          <w:b w:val="0"/>
          <w:sz w:val="24"/>
          <w:szCs w:val="24"/>
        </w:rPr>
        <w:t xml:space="preserve"> continue to</w:t>
      </w:r>
      <w:r>
        <w:rPr>
          <w:rFonts w:ascii="Times New Roman" w:hAnsi="Times New Roman"/>
          <w:b w:val="0"/>
          <w:sz w:val="24"/>
          <w:szCs w:val="24"/>
        </w:rPr>
        <w:t xml:space="preserve"> give</w:t>
      </w:r>
      <w:r w:rsidR="001555A4">
        <w:rPr>
          <w:rFonts w:ascii="Times New Roman" w:hAnsi="Times New Roman"/>
          <w:b w:val="0"/>
          <w:sz w:val="24"/>
          <w:szCs w:val="24"/>
        </w:rPr>
        <w:t xml:space="preserve"> </w:t>
      </w:r>
      <w:r>
        <w:rPr>
          <w:rFonts w:ascii="Times New Roman" w:hAnsi="Times New Roman"/>
          <w:b w:val="0"/>
          <w:sz w:val="24"/>
          <w:szCs w:val="24"/>
        </w:rPr>
        <w:t xml:space="preserve">consent to offshore banking units to use the restricted term </w:t>
      </w:r>
      <w:r w:rsidRPr="00D770E6">
        <w:rPr>
          <w:rFonts w:ascii="Times New Roman" w:hAnsi="Times New Roman"/>
          <w:b w:val="0"/>
          <w:i/>
          <w:sz w:val="24"/>
          <w:szCs w:val="24"/>
        </w:rPr>
        <w:t>banking</w:t>
      </w:r>
      <w:r>
        <w:rPr>
          <w:rFonts w:ascii="Times New Roman" w:hAnsi="Times New Roman"/>
          <w:b w:val="0"/>
          <w:sz w:val="24"/>
          <w:szCs w:val="24"/>
        </w:rPr>
        <w:t xml:space="preserve"> when designating their offshore banking business. </w:t>
      </w:r>
    </w:p>
    <w:p w:rsidR="00173B71" w:rsidRPr="00B70D56" w:rsidRDefault="00173B71" w:rsidP="00173B71">
      <w:pPr>
        <w:pStyle w:val="BodyText"/>
        <w:keepNext/>
        <w:spacing w:before="240" w:after="120"/>
        <w:jc w:val="both"/>
        <w:rPr>
          <w:rFonts w:ascii="Times New Roman" w:hAnsi="Times New Roman"/>
          <w:b/>
          <w:sz w:val="24"/>
          <w:szCs w:val="24"/>
        </w:rPr>
      </w:pPr>
      <w:r w:rsidRPr="00B70D56">
        <w:rPr>
          <w:rFonts w:ascii="Times New Roman" w:hAnsi="Times New Roman"/>
          <w:b/>
          <w:sz w:val="24"/>
          <w:szCs w:val="24"/>
        </w:rPr>
        <w:t>Human rights implications</w:t>
      </w:r>
    </w:p>
    <w:p w:rsidR="00173B71" w:rsidRPr="00173B71" w:rsidRDefault="00173B71" w:rsidP="00173B71">
      <w:pPr>
        <w:spacing w:before="100" w:beforeAutospacing="1" w:after="100" w:afterAutospacing="1"/>
        <w:jc w:val="both"/>
        <w:rPr>
          <w:rFonts w:ascii="Times New Roman" w:hAnsi="Times New Roman"/>
          <w:sz w:val="24"/>
          <w:szCs w:val="24"/>
        </w:rPr>
      </w:pPr>
      <w:r w:rsidRPr="00173B71">
        <w:rPr>
          <w:rFonts w:ascii="Times New Roman" w:eastAsia="Times New Roman" w:hAnsi="Times New Roman"/>
          <w:sz w:val="24"/>
          <w:szCs w:val="24"/>
          <w:lang w:eastAsia="en-AU"/>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rsidR="00173B71" w:rsidRPr="00B70D56" w:rsidRDefault="00173B71" w:rsidP="00173B71">
      <w:pPr>
        <w:pStyle w:val="BodyText"/>
        <w:keepNext/>
        <w:spacing w:before="240" w:after="120"/>
        <w:jc w:val="both"/>
        <w:rPr>
          <w:rFonts w:ascii="Times New Roman" w:hAnsi="Times New Roman"/>
          <w:b/>
          <w:sz w:val="24"/>
          <w:szCs w:val="24"/>
        </w:rPr>
      </w:pPr>
      <w:r w:rsidRPr="00B70D56">
        <w:rPr>
          <w:rFonts w:ascii="Times New Roman" w:hAnsi="Times New Roman"/>
          <w:b/>
          <w:sz w:val="24"/>
          <w:szCs w:val="24"/>
        </w:rPr>
        <w:t>Conclusion</w:t>
      </w:r>
    </w:p>
    <w:p w:rsidR="00173B71" w:rsidRPr="00173B71" w:rsidRDefault="00173B71" w:rsidP="00173B71">
      <w:pPr>
        <w:pStyle w:val="BodyText"/>
        <w:spacing w:after="120"/>
        <w:jc w:val="both"/>
        <w:rPr>
          <w:rFonts w:ascii="Times New Roman" w:hAnsi="Times New Roman"/>
          <w:b/>
          <w:sz w:val="24"/>
          <w:szCs w:val="24"/>
        </w:rPr>
      </w:pPr>
      <w:r w:rsidRPr="00173B71">
        <w:rPr>
          <w:rFonts w:ascii="Times New Roman" w:hAnsi="Times New Roman"/>
          <w:sz w:val="24"/>
          <w:szCs w:val="24"/>
        </w:rPr>
        <w:t xml:space="preserve">This Legislative Instrument is compatible with human rights as it does not raise any human rights issues. </w:t>
      </w:r>
    </w:p>
    <w:p w:rsidR="00E448C7" w:rsidRPr="00173B71" w:rsidRDefault="00E448C7" w:rsidP="00173B71">
      <w:pPr>
        <w:rPr>
          <w:rFonts w:ascii="Times New Roman" w:hAnsi="Times New Roman"/>
          <w:sz w:val="24"/>
          <w:szCs w:val="24"/>
        </w:rPr>
      </w:pPr>
    </w:p>
    <w:sectPr w:rsidR="00E448C7" w:rsidRPr="00173B71" w:rsidSect="00C62913">
      <w:headerReference w:type="default" r:id="rId10"/>
      <w:headerReference w:type="first" r:id="rId11"/>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C2" w:rsidRDefault="002D4AC2" w:rsidP="007A463E">
      <w:r>
        <w:separator/>
      </w:r>
    </w:p>
    <w:p w:rsidR="002D4AC2" w:rsidRDefault="002D4AC2"/>
  </w:endnote>
  <w:endnote w:type="continuationSeparator" w:id="0">
    <w:p w:rsidR="002D4AC2" w:rsidRDefault="002D4AC2" w:rsidP="007A463E">
      <w:r>
        <w:continuationSeparator/>
      </w:r>
    </w:p>
    <w:p w:rsidR="002D4AC2" w:rsidRDefault="002D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C2" w:rsidRDefault="002D4AC2" w:rsidP="007A463E">
      <w:r>
        <w:separator/>
      </w:r>
    </w:p>
    <w:p w:rsidR="002D4AC2" w:rsidRDefault="002D4AC2"/>
  </w:footnote>
  <w:footnote w:type="continuationSeparator" w:id="0">
    <w:p w:rsidR="002D4AC2" w:rsidRDefault="002D4AC2" w:rsidP="007A463E">
      <w:r>
        <w:continuationSeparator/>
      </w:r>
    </w:p>
    <w:p w:rsidR="002D4AC2" w:rsidRDefault="002D4A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692F6"/>
    <w:lvl w:ilvl="0">
      <w:start w:val="1"/>
      <w:numFmt w:val="lowerLetter"/>
      <w:pStyle w:val="ListNumber5"/>
      <w:lvlText w:val="%1."/>
      <w:lvlJc w:val="left"/>
      <w:pPr>
        <w:ind w:left="1492" w:hanging="360"/>
      </w:pPr>
    </w:lvl>
  </w:abstractNum>
  <w:abstractNum w:abstractNumId="1">
    <w:nsid w:val="FFFFFF7D"/>
    <w:multiLevelType w:val="singleLevel"/>
    <w:tmpl w:val="E4901F6C"/>
    <w:lvl w:ilvl="0">
      <w:start w:val="1"/>
      <w:numFmt w:val="lowerRoman"/>
      <w:pStyle w:val="ListNumber4"/>
      <w:lvlText w:val="%1."/>
      <w:lvlJc w:val="right"/>
      <w:pPr>
        <w:ind w:left="1209" w:hanging="360"/>
      </w:pPr>
    </w:lvl>
  </w:abstractNum>
  <w:abstractNum w:abstractNumId="2">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nsid w:val="FFFFFF89"/>
    <w:multiLevelType w:val="singleLevel"/>
    <w:tmpl w:val="0C09000F"/>
    <w:lvl w:ilvl="0">
      <w:start w:val="1"/>
      <w:numFmt w:val="decimal"/>
      <w:lvlText w:val="%1."/>
      <w:lvlJc w:val="left"/>
      <w:pPr>
        <w:ind w:left="360" w:hanging="360"/>
      </w:pPr>
      <w:rPr>
        <w:rFonts w:hint="default"/>
      </w:rPr>
    </w:lvl>
  </w:abstractNum>
  <w:abstractNum w:abstractNumId="10">
    <w:nsid w:val="147803E8"/>
    <w:multiLevelType w:val="multilevel"/>
    <w:tmpl w:val="0C09001F"/>
    <w:numStyleLink w:val="111111"/>
  </w:abstractNum>
  <w:abstractNum w:abstractNumId="11">
    <w:nsid w:val="14A81249"/>
    <w:multiLevelType w:val="hybridMultilevel"/>
    <w:tmpl w:val="98903850"/>
    <w:lvl w:ilvl="0" w:tplc="0C09000F">
      <w:start w:val="1"/>
      <w:numFmt w:val="decimal"/>
      <w:lvlText w:val="%1."/>
      <w:lvlJc w:val="left"/>
      <w:pPr>
        <w:tabs>
          <w:tab w:val="num" w:pos="644"/>
        </w:tabs>
        <w:ind w:left="644"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E1409B1"/>
    <w:multiLevelType w:val="multilevel"/>
    <w:tmpl w:val="0C09001F"/>
    <w:numStyleLink w:val="111111"/>
  </w:abstractNum>
  <w:abstractNum w:abstractNumId="13">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0E1983"/>
    <w:multiLevelType w:val="multilevel"/>
    <w:tmpl w:val="0C09001F"/>
    <w:numStyleLink w:val="111111"/>
  </w:abstractNum>
  <w:abstractNum w:abstractNumId="16">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nsid w:val="6B712769"/>
    <w:multiLevelType w:val="hybridMultilevel"/>
    <w:tmpl w:val="C71AA254"/>
    <w:lvl w:ilvl="0" w:tplc="6180C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19"/>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9"/>
  </w:num>
  <w:num w:numId="12">
    <w:abstractNumId w:val="19"/>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2"/>
  </w:num>
  <w:num w:numId="27">
    <w:abstractNumId w:val="10"/>
  </w:num>
  <w:num w:numId="28">
    <w:abstractNumId w:val="12"/>
  </w:num>
  <w:num w:numId="29">
    <w:abstractNumId w:val="17"/>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4"/>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45"/>
    <w:rsid w:val="00003065"/>
    <w:rsid w:val="00004A89"/>
    <w:rsid w:val="00011B0A"/>
    <w:rsid w:val="00015445"/>
    <w:rsid w:val="00027690"/>
    <w:rsid w:val="000408CA"/>
    <w:rsid w:val="00042B6F"/>
    <w:rsid w:val="00053F0B"/>
    <w:rsid w:val="00063BDC"/>
    <w:rsid w:val="00066224"/>
    <w:rsid w:val="00080143"/>
    <w:rsid w:val="00087AFA"/>
    <w:rsid w:val="000906C1"/>
    <w:rsid w:val="000A1A18"/>
    <w:rsid w:val="000B2BFD"/>
    <w:rsid w:val="000C170D"/>
    <w:rsid w:val="000D09FA"/>
    <w:rsid w:val="000D2D92"/>
    <w:rsid w:val="000F20CF"/>
    <w:rsid w:val="00135FB6"/>
    <w:rsid w:val="00141114"/>
    <w:rsid w:val="001502F1"/>
    <w:rsid w:val="001555A4"/>
    <w:rsid w:val="00173B71"/>
    <w:rsid w:val="001B2D90"/>
    <w:rsid w:val="001B4731"/>
    <w:rsid w:val="001C0714"/>
    <w:rsid w:val="001D3046"/>
    <w:rsid w:val="001D3B1C"/>
    <w:rsid w:val="001D3CD4"/>
    <w:rsid w:val="001D505A"/>
    <w:rsid w:val="001D7D3C"/>
    <w:rsid w:val="001E00D2"/>
    <w:rsid w:val="001E5B4D"/>
    <w:rsid w:val="0021143E"/>
    <w:rsid w:val="00214138"/>
    <w:rsid w:val="00232903"/>
    <w:rsid w:val="00237BA7"/>
    <w:rsid w:val="002403C8"/>
    <w:rsid w:val="00257E33"/>
    <w:rsid w:val="002600EC"/>
    <w:rsid w:val="0026070C"/>
    <w:rsid w:val="0026542C"/>
    <w:rsid w:val="00267EBC"/>
    <w:rsid w:val="002767C9"/>
    <w:rsid w:val="00293969"/>
    <w:rsid w:val="00296866"/>
    <w:rsid w:val="002B0B89"/>
    <w:rsid w:val="002B2350"/>
    <w:rsid w:val="002B6F5E"/>
    <w:rsid w:val="002D4AC2"/>
    <w:rsid w:val="002F0157"/>
    <w:rsid w:val="002F5035"/>
    <w:rsid w:val="00340359"/>
    <w:rsid w:val="00353DE2"/>
    <w:rsid w:val="00362AD8"/>
    <w:rsid w:val="00363AB6"/>
    <w:rsid w:val="00367A5D"/>
    <w:rsid w:val="003707EE"/>
    <w:rsid w:val="00373B0D"/>
    <w:rsid w:val="00384FB3"/>
    <w:rsid w:val="003C6CBE"/>
    <w:rsid w:val="003D49AD"/>
    <w:rsid w:val="003D6738"/>
    <w:rsid w:val="003E0154"/>
    <w:rsid w:val="0043440F"/>
    <w:rsid w:val="00444BF0"/>
    <w:rsid w:val="00446137"/>
    <w:rsid w:val="00485FC1"/>
    <w:rsid w:val="004A1BDC"/>
    <w:rsid w:val="004B4492"/>
    <w:rsid w:val="004C2EC4"/>
    <w:rsid w:val="004D3FE2"/>
    <w:rsid w:val="004D7117"/>
    <w:rsid w:val="004E13AF"/>
    <w:rsid w:val="004F27CF"/>
    <w:rsid w:val="00513022"/>
    <w:rsid w:val="00521F33"/>
    <w:rsid w:val="005239D1"/>
    <w:rsid w:val="00526DD7"/>
    <w:rsid w:val="00531A57"/>
    <w:rsid w:val="0053581E"/>
    <w:rsid w:val="00547263"/>
    <w:rsid w:val="00552CA7"/>
    <w:rsid w:val="00560B8E"/>
    <w:rsid w:val="00584A8F"/>
    <w:rsid w:val="00587C6F"/>
    <w:rsid w:val="005923DE"/>
    <w:rsid w:val="006031AF"/>
    <w:rsid w:val="00606F5A"/>
    <w:rsid w:val="0060742D"/>
    <w:rsid w:val="006128BA"/>
    <w:rsid w:val="00615AEF"/>
    <w:rsid w:val="0061775B"/>
    <w:rsid w:val="006352A2"/>
    <w:rsid w:val="00646C7A"/>
    <w:rsid w:val="00654F90"/>
    <w:rsid w:val="00665727"/>
    <w:rsid w:val="00677A36"/>
    <w:rsid w:val="00684446"/>
    <w:rsid w:val="00686723"/>
    <w:rsid w:val="0068743E"/>
    <w:rsid w:val="006A5169"/>
    <w:rsid w:val="006C1429"/>
    <w:rsid w:val="006C1E23"/>
    <w:rsid w:val="006C20AF"/>
    <w:rsid w:val="006E1F53"/>
    <w:rsid w:val="006E4003"/>
    <w:rsid w:val="006E57B9"/>
    <w:rsid w:val="00720127"/>
    <w:rsid w:val="007236E2"/>
    <w:rsid w:val="00726713"/>
    <w:rsid w:val="00731816"/>
    <w:rsid w:val="0073485E"/>
    <w:rsid w:val="00734AAE"/>
    <w:rsid w:val="007403DD"/>
    <w:rsid w:val="00744686"/>
    <w:rsid w:val="0074761E"/>
    <w:rsid w:val="00781FF4"/>
    <w:rsid w:val="00786B63"/>
    <w:rsid w:val="00790964"/>
    <w:rsid w:val="007A212E"/>
    <w:rsid w:val="007A28A8"/>
    <w:rsid w:val="007A463E"/>
    <w:rsid w:val="007E4807"/>
    <w:rsid w:val="007E5975"/>
    <w:rsid w:val="007E6359"/>
    <w:rsid w:val="00816255"/>
    <w:rsid w:val="008204C0"/>
    <w:rsid w:val="00843B81"/>
    <w:rsid w:val="00857706"/>
    <w:rsid w:val="00860C00"/>
    <w:rsid w:val="00870FFC"/>
    <w:rsid w:val="00872E1D"/>
    <w:rsid w:val="008843C0"/>
    <w:rsid w:val="008B4426"/>
    <w:rsid w:val="008C48B0"/>
    <w:rsid w:val="008D489D"/>
    <w:rsid w:val="00907579"/>
    <w:rsid w:val="00910073"/>
    <w:rsid w:val="00916FAC"/>
    <w:rsid w:val="00921341"/>
    <w:rsid w:val="0092238E"/>
    <w:rsid w:val="00922ADE"/>
    <w:rsid w:val="0092635A"/>
    <w:rsid w:val="00953FD6"/>
    <w:rsid w:val="00970A4C"/>
    <w:rsid w:val="0098213D"/>
    <w:rsid w:val="00983285"/>
    <w:rsid w:val="009C1A7D"/>
    <w:rsid w:val="009F1036"/>
    <w:rsid w:val="009F210E"/>
    <w:rsid w:val="00A00652"/>
    <w:rsid w:val="00A05B13"/>
    <w:rsid w:val="00A06EE8"/>
    <w:rsid w:val="00A17687"/>
    <w:rsid w:val="00A30827"/>
    <w:rsid w:val="00A37017"/>
    <w:rsid w:val="00A43C50"/>
    <w:rsid w:val="00A447B3"/>
    <w:rsid w:val="00A542F1"/>
    <w:rsid w:val="00A65116"/>
    <w:rsid w:val="00A76695"/>
    <w:rsid w:val="00AA18F1"/>
    <w:rsid w:val="00AC3BDB"/>
    <w:rsid w:val="00AC522A"/>
    <w:rsid w:val="00B00E47"/>
    <w:rsid w:val="00B20CD1"/>
    <w:rsid w:val="00B2174D"/>
    <w:rsid w:val="00B21A37"/>
    <w:rsid w:val="00B235ED"/>
    <w:rsid w:val="00B301BE"/>
    <w:rsid w:val="00B31144"/>
    <w:rsid w:val="00B61C35"/>
    <w:rsid w:val="00B70D56"/>
    <w:rsid w:val="00B8550A"/>
    <w:rsid w:val="00B86EF7"/>
    <w:rsid w:val="00BB63D6"/>
    <w:rsid w:val="00BD42C5"/>
    <w:rsid w:val="00BE3CCD"/>
    <w:rsid w:val="00C02BBA"/>
    <w:rsid w:val="00C5285C"/>
    <w:rsid w:val="00C614C0"/>
    <w:rsid w:val="00C62913"/>
    <w:rsid w:val="00C75B2B"/>
    <w:rsid w:val="00C803E7"/>
    <w:rsid w:val="00C97F58"/>
    <w:rsid w:val="00CC05EA"/>
    <w:rsid w:val="00CC201A"/>
    <w:rsid w:val="00CC505A"/>
    <w:rsid w:val="00CF1372"/>
    <w:rsid w:val="00CF1FC4"/>
    <w:rsid w:val="00D02242"/>
    <w:rsid w:val="00D079B4"/>
    <w:rsid w:val="00D14049"/>
    <w:rsid w:val="00D50DB4"/>
    <w:rsid w:val="00D95999"/>
    <w:rsid w:val="00DA124A"/>
    <w:rsid w:val="00DA63E8"/>
    <w:rsid w:val="00DB62DE"/>
    <w:rsid w:val="00DC7EF3"/>
    <w:rsid w:val="00DE0A59"/>
    <w:rsid w:val="00DE3226"/>
    <w:rsid w:val="00DF7AED"/>
    <w:rsid w:val="00E04F42"/>
    <w:rsid w:val="00E1225E"/>
    <w:rsid w:val="00E1430F"/>
    <w:rsid w:val="00E17A15"/>
    <w:rsid w:val="00E32CE9"/>
    <w:rsid w:val="00E36C9E"/>
    <w:rsid w:val="00E448C7"/>
    <w:rsid w:val="00E55A7E"/>
    <w:rsid w:val="00E63012"/>
    <w:rsid w:val="00E7202B"/>
    <w:rsid w:val="00E83D82"/>
    <w:rsid w:val="00E9363A"/>
    <w:rsid w:val="00E96618"/>
    <w:rsid w:val="00EC6505"/>
    <w:rsid w:val="00ED0A2A"/>
    <w:rsid w:val="00ED3926"/>
    <w:rsid w:val="00ED48F3"/>
    <w:rsid w:val="00EF496F"/>
    <w:rsid w:val="00EF5EE9"/>
    <w:rsid w:val="00F12FD3"/>
    <w:rsid w:val="00F14AF4"/>
    <w:rsid w:val="00F14D5E"/>
    <w:rsid w:val="00F34F34"/>
    <w:rsid w:val="00F443D4"/>
    <w:rsid w:val="00F47951"/>
    <w:rsid w:val="00F6460D"/>
    <w:rsid w:val="00F650C7"/>
    <w:rsid w:val="00F72BC6"/>
    <w:rsid w:val="00F77F5D"/>
    <w:rsid w:val="00F802B9"/>
    <w:rsid w:val="00F865EB"/>
    <w:rsid w:val="00FA261A"/>
    <w:rsid w:val="00FA2F99"/>
    <w:rsid w:val="00FB0896"/>
    <w:rsid w:val="00FC2598"/>
    <w:rsid w:val="00FF5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45"/>
    <w:pPr>
      <w:spacing w:after="0" w:line="240" w:lineRule="auto"/>
    </w:pPr>
    <w:rPr>
      <w:rFonts w:eastAsia="Calibri"/>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nhideWhenUsed/>
    <w:rsid w:val="002F5035"/>
  </w:style>
  <w:style w:type="character" w:customStyle="1" w:styleId="BodyTextChar">
    <w:name w:val="Body Text Char"/>
    <w:basedOn w:val="DefaultParagraphFont"/>
    <w:link w:val="BodyText"/>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pPr>
    <w:rPr>
      <w:rFonts w:cstheme="minorBidi"/>
      <w:b/>
      <w:sz w:val="20"/>
    </w:rPr>
  </w:style>
  <w:style w:type="paragraph" w:customStyle="1" w:styleId="TableRowHeading">
    <w:name w:val="Table Row Heading"/>
    <w:basedOn w:val="Normal"/>
    <w:rsid w:val="00677A36"/>
    <w:pPr>
      <w:keepNext/>
      <w:widowControl w:val="0"/>
      <w:spacing w:before="120"/>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customStyle="1" w:styleId="Heading">
    <w:name w:val="Heading"/>
    <w:basedOn w:val="Normal"/>
    <w:rsid w:val="00015445"/>
    <w:pPr>
      <w:jc w:val="both"/>
    </w:pPr>
    <w:rPr>
      <w:rFonts w:eastAsia="Times New Roman"/>
      <w:b/>
      <w:sz w:val="26"/>
      <w:lang w:eastAsia="en-AU"/>
    </w:rPr>
  </w:style>
  <w:style w:type="character" w:styleId="CommentReference">
    <w:name w:val="annotation reference"/>
    <w:basedOn w:val="DefaultParagraphFont"/>
    <w:uiPriority w:val="99"/>
    <w:unhideWhenUsed/>
    <w:rsid w:val="00015445"/>
    <w:rPr>
      <w:sz w:val="16"/>
      <w:szCs w:val="16"/>
    </w:rPr>
  </w:style>
  <w:style w:type="paragraph" w:styleId="CommentText">
    <w:name w:val="annotation text"/>
    <w:basedOn w:val="Normal"/>
    <w:link w:val="CommentTextChar"/>
    <w:uiPriority w:val="99"/>
    <w:unhideWhenUsed/>
    <w:rsid w:val="00015445"/>
    <w:rPr>
      <w:sz w:val="20"/>
      <w:szCs w:val="20"/>
    </w:rPr>
  </w:style>
  <w:style w:type="character" w:customStyle="1" w:styleId="CommentTextChar">
    <w:name w:val="Comment Text Char"/>
    <w:basedOn w:val="DefaultParagraphFont"/>
    <w:link w:val="CommentText"/>
    <w:uiPriority w:val="99"/>
    <w:rsid w:val="00015445"/>
    <w:rPr>
      <w:rFonts w:eastAsia="Calibri"/>
      <w:sz w:val="20"/>
      <w:szCs w:val="20"/>
    </w:rPr>
  </w:style>
  <w:style w:type="paragraph" w:styleId="BodyText2">
    <w:name w:val="Body Text 2"/>
    <w:basedOn w:val="Normal"/>
    <w:link w:val="BodyText2Char"/>
    <w:uiPriority w:val="99"/>
    <w:unhideWhenUsed/>
    <w:rsid w:val="00015445"/>
    <w:pPr>
      <w:spacing w:after="120" w:line="480" w:lineRule="auto"/>
    </w:pPr>
  </w:style>
  <w:style w:type="character" w:customStyle="1" w:styleId="BodyText2Char">
    <w:name w:val="Body Text 2 Char"/>
    <w:basedOn w:val="DefaultParagraphFont"/>
    <w:link w:val="BodyText2"/>
    <w:uiPriority w:val="99"/>
    <w:rsid w:val="00015445"/>
    <w:rPr>
      <w:rFonts w:eastAsia="Calibri"/>
    </w:rPr>
  </w:style>
  <w:style w:type="paragraph" w:styleId="CommentSubject">
    <w:name w:val="annotation subject"/>
    <w:basedOn w:val="CommentText"/>
    <w:next w:val="CommentText"/>
    <w:link w:val="CommentSubjectChar"/>
    <w:uiPriority w:val="99"/>
    <w:semiHidden/>
    <w:unhideWhenUsed/>
    <w:rsid w:val="00F802B9"/>
    <w:rPr>
      <w:b/>
      <w:bCs/>
    </w:rPr>
  </w:style>
  <w:style w:type="character" w:customStyle="1" w:styleId="CommentSubjectChar">
    <w:name w:val="Comment Subject Char"/>
    <w:basedOn w:val="CommentTextChar"/>
    <w:link w:val="CommentSubject"/>
    <w:uiPriority w:val="99"/>
    <w:semiHidden/>
    <w:rsid w:val="00F802B9"/>
    <w:rPr>
      <w:rFonts w:eastAsia="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45"/>
    <w:pPr>
      <w:spacing w:after="0" w:line="240" w:lineRule="auto"/>
    </w:pPr>
    <w:rPr>
      <w:rFonts w:eastAsia="Calibri"/>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nhideWhenUsed/>
    <w:rsid w:val="002F5035"/>
  </w:style>
  <w:style w:type="character" w:customStyle="1" w:styleId="BodyTextChar">
    <w:name w:val="Body Text Char"/>
    <w:basedOn w:val="DefaultParagraphFont"/>
    <w:link w:val="BodyText"/>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pPr>
    <w:rPr>
      <w:rFonts w:cstheme="minorBidi"/>
      <w:b/>
      <w:sz w:val="20"/>
    </w:rPr>
  </w:style>
  <w:style w:type="paragraph" w:customStyle="1" w:styleId="TableRowHeading">
    <w:name w:val="Table Row Heading"/>
    <w:basedOn w:val="Normal"/>
    <w:rsid w:val="00677A36"/>
    <w:pPr>
      <w:keepNext/>
      <w:widowControl w:val="0"/>
      <w:spacing w:before="120"/>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customStyle="1" w:styleId="Heading">
    <w:name w:val="Heading"/>
    <w:basedOn w:val="Normal"/>
    <w:rsid w:val="00015445"/>
    <w:pPr>
      <w:jc w:val="both"/>
    </w:pPr>
    <w:rPr>
      <w:rFonts w:eastAsia="Times New Roman"/>
      <w:b/>
      <w:sz w:val="26"/>
      <w:lang w:eastAsia="en-AU"/>
    </w:rPr>
  </w:style>
  <w:style w:type="character" w:styleId="CommentReference">
    <w:name w:val="annotation reference"/>
    <w:basedOn w:val="DefaultParagraphFont"/>
    <w:uiPriority w:val="99"/>
    <w:unhideWhenUsed/>
    <w:rsid w:val="00015445"/>
    <w:rPr>
      <w:sz w:val="16"/>
      <w:szCs w:val="16"/>
    </w:rPr>
  </w:style>
  <w:style w:type="paragraph" w:styleId="CommentText">
    <w:name w:val="annotation text"/>
    <w:basedOn w:val="Normal"/>
    <w:link w:val="CommentTextChar"/>
    <w:uiPriority w:val="99"/>
    <w:unhideWhenUsed/>
    <w:rsid w:val="00015445"/>
    <w:rPr>
      <w:sz w:val="20"/>
      <w:szCs w:val="20"/>
    </w:rPr>
  </w:style>
  <w:style w:type="character" w:customStyle="1" w:styleId="CommentTextChar">
    <w:name w:val="Comment Text Char"/>
    <w:basedOn w:val="DefaultParagraphFont"/>
    <w:link w:val="CommentText"/>
    <w:uiPriority w:val="99"/>
    <w:rsid w:val="00015445"/>
    <w:rPr>
      <w:rFonts w:eastAsia="Calibri"/>
      <w:sz w:val="20"/>
      <w:szCs w:val="20"/>
    </w:rPr>
  </w:style>
  <w:style w:type="paragraph" w:styleId="BodyText2">
    <w:name w:val="Body Text 2"/>
    <w:basedOn w:val="Normal"/>
    <w:link w:val="BodyText2Char"/>
    <w:uiPriority w:val="99"/>
    <w:unhideWhenUsed/>
    <w:rsid w:val="00015445"/>
    <w:pPr>
      <w:spacing w:after="120" w:line="480" w:lineRule="auto"/>
    </w:pPr>
  </w:style>
  <w:style w:type="character" w:customStyle="1" w:styleId="BodyText2Char">
    <w:name w:val="Body Text 2 Char"/>
    <w:basedOn w:val="DefaultParagraphFont"/>
    <w:link w:val="BodyText2"/>
    <w:uiPriority w:val="99"/>
    <w:rsid w:val="00015445"/>
    <w:rPr>
      <w:rFonts w:eastAsia="Calibri"/>
    </w:rPr>
  </w:style>
  <w:style w:type="paragraph" w:styleId="CommentSubject">
    <w:name w:val="annotation subject"/>
    <w:basedOn w:val="CommentText"/>
    <w:next w:val="CommentText"/>
    <w:link w:val="CommentSubjectChar"/>
    <w:uiPriority w:val="99"/>
    <w:semiHidden/>
    <w:unhideWhenUsed/>
    <w:rsid w:val="00F802B9"/>
    <w:rPr>
      <w:b/>
      <w:bCs/>
    </w:rPr>
  </w:style>
  <w:style w:type="character" w:customStyle="1" w:styleId="CommentSubjectChar">
    <w:name w:val="Comment Subject Char"/>
    <w:basedOn w:val="CommentTextChar"/>
    <w:link w:val="CommentSubject"/>
    <w:uiPriority w:val="99"/>
    <w:semiHidden/>
    <w:rsid w:val="00F802B9"/>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2CA1451E-0DF8-4E03-9E3A-DA426B93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enter a title</vt:lpstr>
    </vt:vector>
  </TitlesOfParts>
  <Company>APRA</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a title</dc:title>
  <dc:creator>Monika Spudic</dc:creator>
  <cp:lastModifiedBy>Catherine Dawson</cp:lastModifiedBy>
  <cp:revision>4</cp:revision>
  <cp:lastPrinted>2015-09-14T01:52:00Z</cp:lastPrinted>
  <dcterms:created xsi:type="dcterms:W3CDTF">2015-09-11T01:07:00Z</dcterms:created>
  <dcterms:modified xsi:type="dcterms:W3CDTF">2015-09-14T06:47:00Z</dcterms:modified>
</cp:coreProperties>
</file>