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4B9EC" w14:textId="77777777" w:rsidR="007A6C5C" w:rsidRDefault="00053ADB" w:rsidP="007A6C5C">
      <w:pPr>
        <w:spacing w:line="1800" w:lineRule="atLeast"/>
        <w:rPr>
          <w:sz w:val="26"/>
        </w:rPr>
      </w:pPr>
      <w:bookmarkStart w:id="0" w:name="_GoBack"/>
      <w:bookmarkEnd w:id="0"/>
      <w:r>
        <w:rPr>
          <w:noProof/>
          <w:sz w:val="26"/>
        </w:rPr>
        <w:drawing>
          <wp:inline distT="0" distB="0" distL="0" distR="0" wp14:anchorId="5194BA14" wp14:editId="5194BA15">
            <wp:extent cx="1424940" cy="110553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4B9ED" w14:textId="77777777" w:rsidR="007A6C5C" w:rsidRDefault="00053ADB" w:rsidP="007A6C5C">
      <w:pPr>
        <w:pStyle w:val="Title"/>
        <w:pBdr>
          <w:bottom w:val="single" w:sz="2" w:space="3" w:color="auto"/>
        </w:pBdr>
        <w:spacing w:before="480" w:after="0"/>
      </w:pPr>
      <w:r>
        <w:t>GST-free Supply (Drugs and Medicinal Preparations) Determination 2015</w:t>
      </w:r>
    </w:p>
    <w:p w14:paraId="5194B9EE" w14:textId="77777777" w:rsidR="007A6C5C" w:rsidRDefault="00053ADB" w:rsidP="007A6C5C">
      <w:pPr>
        <w:spacing w:before="480" w:line="300" w:lineRule="atLeast"/>
        <w:jc w:val="both"/>
      </w:pPr>
      <w:r>
        <w:t>I, SUSSAN LEY</w:t>
      </w:r>
      <w:r>
        <w:rPr>
          <w:caps/>
        </w:rPr>
        <w:t xml:space="preserve">, </w:t>
      </w:r>
      <w:r>
        <w:t xml:space="preserve">Minister for Health, make this Determination under paragraph 177-10(4)(c) of the </w:t>
      </w:r>
      <w:bookmarkStart w:id="1" w:name="Act"/>
      <w:r>
        <w:rPr>
          <w:i/>
        </w:rPr>
        <w:t>A New Tax System (Goods and Services Tax) Act 1999</w:t>
      </w:r>
      <w:bookmarkEnd w:id="1"/>
      <w:r>
        <w:t>.</w:t>
      </w:r>
      <w:r>
        <w:rPr>
          <w:caps/>
        </w:rPr>
        <w:t xml:space="preserve"> </w:t>
      </w:r>
    </w:p>
    <w:p w14:paraId="5194B9EF" w14:textId="5AC3C4B7" w:rsidR="007A6C5C" w:rsidRDefault="00053ADB" w:rsidP="007A6C5C">
      <w:pPr>
        <w:tabs>
          <w:tab w:val="center" w:pos="3119"/>
        </w:tabs>
        <w:spacing w:before="300" w:after="960" w:line="300" w:lineRule="atLeast"/>
      </w:pPr>
      <w:r>
        <w:t>Dated  16</w:t>
      </w:r>
      <w:r w:rsidRPr="00053ADB">
        <w:rPr>
          <w:vertAlign w:val="superscript"/>
        </w:rPr>
        <w:t>th</w:t>
      </w:r>
      <w:r>
        <w:t xml:space="preserve"> Sept 2015</w:t>
      </w:r>
    </w:p>
    <w:p w14:paraId="5194B9F0" w14:textId="77777777" w:rsidR="007A6C5C" w:rsidRDefault="00044810" w:rsidP="007A6C5C">
      <w:pPr>
        <w:tabs>
          <w:tab w:val="center" w:pos="3119"/>
        </w:tabs>
        <w:spacing w:before="600" w:line="300" w:lineRule="atLeast"/>
        <w:rPr>
          <w:rFonts w:ascii="Arial" w:hAnsi="Arial"/>
          <w:caps/>
        </w:rPr>
      </w:pPr>
    </w:p>
    <w:p w14:paraId="5194B9F1" w14:textId="77777777" w:rsidR="007A6C5C" w:rsidRPr="002562EC" w:rsidRDefault="00053ADB" w:rsidP="007A6C5C">
      <w:pPr>
        <w:tabs>
          <w:tab w:val="center" w:pos="3119"/>
        </w:tabs>
        <w:spacing w:before="600" w:line="300" w:lineRule="atLeast"/>
        <w:rPr>
          <w:rFonts w:ascii="Arial" w:hAnsi="Arial"/>
          <w:caps/>
        </w:rPr>
      </w:pPr>
      <w:r>
        <w:rPr>
          <w:rFonts w:ascii="Arial" w:hAnsi="Arial"/>
          <w:caps/>
        </w:rPr>
        <w:t>SUSSAN LEY</w:t>
      </w:r>
    </w:p>
    <w:p w14:paraId="5194B9F2" w14:textId="77777777" w:rsidR="007A6C5C" w:rsidRDefault="00053ADB" w:rsidP="007A6C5C">
      <w:pPr>
        <w:tabs>
          <w:tab w:val="center" w:pos="3119"/>
        </w:tabs>
        <w:spacing w:line="300" w:lineRule="atLeast"/>
      </w:pPr>
      <w:r>
        <w:rPr>
          <w:rFonts w:ascii="Times" w:hAnsi="Times"/>
        </w:rPr>
        <w:t xml:space="preserve">Minister for Health  </w:t>
      </w:r>
    </w:p>
    <w:p w14:paraId="5194B9F3" w14:textId="77777777" w:rsidR="007A6C5C" w:rsidRDefault="00044810" w:rsidP="007A6C5C">
      <w:pPr>
        <w:pBdr>
          <w:top w:val="single" w:sz="2" w:space="1" w:color="auto"/>
        </w:pBdr>
        <w:tabs>
          <w:tab w:val="center" w:pos="3119"/>
        </w:tabs>
        <w:spacing w:before="240" w:after="600" w:line="300" w:lineRule="atLeast"/>
      </w:pPr>
    </w:p>
    <w:p w14:paraId="5194B9F4" w14:textId="77777777" w:rsidR="00B42851" w:rsidRDefault="00044810" w:rsidP="00CB5B1A">
      <w:pPr>
        <w:pStyle w:val="Heading3"/>
      </w:pPr>
    </w:p>
    <w:p w14:paraId="5194B9F5" w14:textId="77777777" w:rsidR="007A6C5C" w:rsidRDefault="00044810" w:rsidP="007A6C5C">
      <w:pPr>
        <w:rPr>
          <w:lang w:eastAsia="en-US"/>
        </w:rPr>
      </w:pPr>
    </w:p>
    <w:p w14:paraId="5194B9F6" w14:textId="77777777" w:rsidR="007A6C5C" w:rsidRDefault="00044810" w:rsidP="007A6C5C">
      <w:pPr>
        <w:rPr>
          <w:lang w:eastAsia="en-US"/>
        </w:rPr>
      </w:pPr>
    </w:p>
    <w:p w14:paraId="5194B9F7" w14:textId="77777777" w:rsidR="007A6C5C" w:rsidRDefault="00044810" w:rsidP="007A6C5C">
      <w:pPr>
        <w:rPr>
          <w:lang w:eastAsia="en-US"/>
        </w:rPr>
      </w:pPr>
    </w:p>
    <w:p w14:paraId="5194B9F8" w14:textId="77777777" w:rsidR="007A6C5C" w:rsidRDefault="00044810" w:rsidP="007A6C5C">
      <w:pPr>
        <w:rPr>
          <w:lang w:eastAsia="en-US"/>
        </w:rPr>
      </w:pPr>
    </w:p>
    <w:p w14:paraId="5194B9F9" w14:textId="77777777" w:rsidR="007A6C5C" w:rsidRDefault="00044810" w:rsidP="007A6C5C">
      <w:pPr>
        <w:rPr>
          <w:lang w:eastAsia="en-US"/>
        </w:rPr>
      </w:pPr>
    </w:p>
    <w:p w14:paraId="5194B9FA" w14:textId="77777777" w:rsidR="007A6C5C" w:rsidRDefault="00044810" w:rsidP="007A6C5C">
      <w:pPr>
        <w:rPr>
          <w:lang w:eastAsia="en-US"/>
        </w:rPr>
      </w:pPr>
    </w:p>
    <w:p w14:paraId="5194B9FB" w14:textId="77777777" w:rsidR="007A6C5C" w:rsidRDefault="00044810" w:rsidP="007A6C5C">
      <w:pPr>
        <w:rPr>
          <w:lang w:eastAsia="en-US"/>
        </w:rPr>
      </w:pPr>
    </w:p>
    <w:p w14:paraId="5194B9FC" w14:textId="77777777" w:rsidR="007A6C5C" w:rsidRDefault="00044810" w:rsidP="007A6C5C">
      <w:pPr>
        <w:rPr>
          <w:lang w:eastAsia="en-US"/>
        </w:rPr>
      </w:pPr>
    </w:p>
    <w:p w14:paraId="5194B9FD" w14:textId="77777777" w:rsidR="007A6C5C" w:rsidRDefault="00044810" w:rsidP="007A6C5C">
      <w:pPr>
        <w:rPr>
          <w:lang w:eastAsia="en-US"/>
        </w:rPr>
      </w:pPr>
    </w:p>
    <w:p w14:paraId="5194B9FE" w14:textId="77777777" w:rsidR="007A6C5C" w:rsidRDefault="00044810" w:rsidP="007A6C5C">
      <w:pPr>
        <w:rPr>
          <w:lang w:eastAsia="en-US"/>
        </w:rPr>
      </w:pPr>
    </w:p>
    <w:p w14:paraId="5194B9FF" w14:textId="77777777" w:rsidR="007A6C5C" w:rsidRDefault="00044810" w:rsidP="007A6C5C">
      <w:pPr>
        <w:rPr>
          <w:lang w:eastAsia="en-US"/>
        </w:rPr>
      </w:pPr>
    </w:p>
    <w:p w14:paraId="5194BA00" w14:textId="77777777" w:rsidR="007A6C5C" w:rsidRDefault="00044810" w:rsidP="007A6C5C">
      <w:pPr>
        <w:rPr>
          <w:lang w:eastAsia="en-US"/>
        </w:rPr>
      </w:pPr>
    </w:p>
    <w:p w14:paraId="5194BA01" w14:textId="77777777" w:rsidR="007A6C5C" w:rsidRDefault="00053ADB" w:rsidP="007A6C5C">
      <w:pPr>
        <w:pStyle w:val="HR"/>
        <w:pageBreakBefore/>
      </w:pPr>
      <w:r>
        <w:lastRenderedPageBreak/>
        <w:t>1</w:t>
      </w:r>
      <w:r>
        <w:tab/>
        <w:t>Name of Determination</w:t>
      </w:r>
    </w:p>
    <w:p w14:paraId="5194BA02" w14:textId="77777777" w:rsidR="007A6C5C" w:rsidRDefault="00053ADB" w:rsidP="007A6C5C">
      <w:pPr>
        <w:pStyle w:val="R1"/>
      </w:pPr>
      <w:r>
        <w:tab/>
      </w:r>
      <w:r>
        <w:tab/>
        <w:t xml:space="preserve">This Determination is the </w:t>
      </w:r>
      <w:r w:rsidRPr="007A6C5C">
        <w:rPr>
          <w:i/>
        </w:rPr>
        <w:t xml:space="preserve">GST-free Supply (Drugs and Medicinal </w:t>
      </w:r>
      <w:r>
        <w:rPr>
          <w:i/>
        </w:rPr>
        <w:t>P</w:t>
      </w:r>
      <w:r w:rsidRPr="007A6C5C">
        <w:rPr>
          <w:i/>
        </w:rPr>
        <w:t>reparations) Determination 2015</w:t>
      </w:r>
      <w:r>
        <w:rPr>
          <w:i/>
        </w:rPr>
        <w:t>.</w:t>
      </w:r>
    </w:p>
    <w:p w14:paraId="5194BA03" w14:textId="77777777" w:rsidR="007A6C5C" w:rsidRDefault="00053ADB" w:rsidP="007A6C5C">
      <w:pPr>
        <w:pStyle w:val="HR"/>
      </w:pPr>
      <w:bookmarkStart w:id="2" w:name="_Toc488223294"/>
      <w:r>
        <w:rPr>
          <w:rStyle w:val="CharSectno"/>
        </w:rPr>
        <w:t>2</w:t>
      </w:r>
      <w:r>
        <w:tab/>
        <w:t>Commencement</w:t>
      </w:r>
      <w:bookmarkEnd w:id="2"/>
    </w:p>
    <w:p w14:paraId="5194BA04" w14:textId="77777777" w:rsidR="007A6C5C" w:rsidRDefault="00053ADB" w:rsidP="007A6C5C">
      <w:pPr>
        <w:pStyle w:val="R1"/>
      </w:pPr>
      <w:r>
        <w:tab/>
      </w:r>
      <w:r>
        <w:tab/>
        <w:t xml:space="preserve">This Determination commences on 1 October 2015.  </w:t>
      </w:r>
    </w:p>
    <w:p w14:paraId="5194BA05" w14:textId="77777777" w:rsidR="007A6C5C" w:rsidRDefault="00053ADB" w:rsidP="007A6C5C">
      <w:pPr>
        <w:pStyle w:val="HR"/>
      </w:pPr>
      <w:bookmarkStart w:id="3" w:name="_Toc488223295"/>
      <w:r>
        <w:rPr>
          <w:rStyle w:val="CharSectno"/>
        </w:rPr>
        <w:t>3</w:t>
      </w:r>
      <w:r>
        <w:tab/>
        <w:t>Definition</w:t>
      </w:r>
      <w:bookmarkEnd w:id="3"/>
    </w:p>
    <w:p w14:paraId="5194BA06" w14:textId="77777777" w:rsidR="007A6C5C" w:rsidRDefault="00053ADB" w:rsidP="007A6C5C">
      <w:pPr>
        <w:pStyle w:val="R1"/>
        <w:keepNext/>
      </w:pPr>
      <w:r>
        <w:tab/>
      </w:r>
      <w:r>
        <w:tab/>
        <w:t>In this Determination:</w:t>
      </w:r>
    </w:p>
    <w:p w14:paraId="5194BA07" w14:textId="77777777" w:rsidR="007A6C5C" w:rsidRDefault="00053ADB" w:rsidP="007A6C5C">
      <w:pPr>
        <w:pStyle w:val="definition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A New Tax System (Goods and Services Tax) Act 1999</w:t>
      </w:r>
      <w:r>
        <w:t>.</w:t>
      </w:r>
    </w:p>
    <w:p w14:paraId="5194BA08" w14:textId="77777777" w:rsidR="007A6C5C" w:rsidRDefault="00053ADB" w:rsidP="007A6C5C">
      <w:pPr>
        <w:pStyle w:val="Note"/>
      </w:pPr>
      <w:r>
        <w:rPr>
          <w:i/>
        </w:rPr>
        <w:t>Note:</w:t>
      </w:r>
      <w:r>
        <w:t xml:space="preserve"> The following expressions that are used in this Determination are defined in the Act:</w:t>
      </w:r>
    </w:p>
    <w:p w14:paraId="5194BA09" w14:textId="77777777" w:rsidR="007A6C5C" w:rsidRDefault="00053ADB" w:rsidP="007A6C5C">
      <w:pPr>
        <w:pStyle w:val="Note"/>
        <w:numPr>
          <w:ilvl w:val="0"/>
          <w:numId w:val="1"/>
        </w:numPr>
        <w:tabs>
          <w:tab w:val="clear" w:pos="360"/>
          <w:tab w:val="num" w:pos="1684"/>
        </w:tabs>
        <w:spacing w:before="60"/>
        <w:ind w:left="1684"/>
      </w:pPr>
      <w:r>
        <w:t>GST-free</w:t>
      </w:r>
    </w:p>
    <w:p w14:paraId="5194BA0A" w14:textId="77777777" w:rsidR="007A6C5C" w:rsidRDefault="00053ADB" w:rsidP="007A6C5C">
      <w:pPr>
        <w:pStyle w:val="Note"/>
        <w:numPr>
          <w:ilvl w:val="0"/>
          <w:numId w:val="1"/>
        </w:numPr>
        <w:tabs>
          <w:tab w:val="clear" w:pos="360"/>
          <w:tab w:val="num" w:pos="1684"/>
        </w:tabs>
        <w:spacing w:before="60"/>
        <w:ind w:left="1684"/>
      </w:pPr>
      <w:r>
        <w:t>supply.</w:t>
      </w:r>
    </w:p>
    <w:p w14:paraId="5194BA0B" w14:textId="77777777" w:rsidR="007A6C5C" w:rsidRDefault="00053ADB" w:rsidP="007A6C5C">
      <w:pPr>
        <w:pStyle w:val="HR"/>
      </w:pPr>
      <w:bookmarkStart w:id="4" w:name="_Toc488223296"/>
      <w:r>
        <w:rPr>
          <w:rStyle w:val="CharSectno"/>
        </w:rPr>
        <w:t>4</w:t>
      </w:r>
      <w:r>
        <w:tab/>
        <w:t>GST-free supplies</w:t>
      </w:r>
      <w:bookmarkEnd w:id="4"/>
    </w:p>
    <w:p w14:paraId="5194BA0C" w14:textId="77777777" w:rsidR="007A6C5C" w:rsidRDefault="00053ADB" w:rsidP="007A6C5C">
      <w:pPr>
        <w:pStyle w:val="R1"/>
      </w:pPr>
      <w:r>
        <w:tab/>
      </w:r>
      <w:r>
        <w:tab/>
        <w:t>For paragraph 38-50(5)(b) of the Act, the supply of a drug or medicinal preparation is GST-free if the drug or medicinal preparation:</w:t>
      </w:r>
    </w:p>
    <w:p w14:paraId="5194BA0D" w14:textId="77777777" w:rsidR="007A6C5C" w:rsidRDefault="00053ADB" w:rsidP="007A6C5C">
      <w:pPr>
        <w:pStyle w:val="P1"/>
      </w:pPr>
      <w:r>
        <w:tab/>
        <w:t>(a)</w:t>
      </w:r>
      <w:r>
        <w:tab/>
        <w:t xml:space="preserve">is required, under the </w:t>
      </w:r>
      <w:r>
        <w:rPr>
          <w:i/>
        </w:rPr>
        <w:t>Therapeutic Goods Act 1989</w:t>
      </w:r>
      <w:r>
        <w:t>, to be registered or listed, or is included in a class of goods required to be registered or listed; and</w:t>
      </w:r>
    </w:p>
    <w:p w14:paraId="5194BA0E" w14:textId="77777777" w:rsidR="007A6C5C" w:rsidRDefault="00053ADB" w:rsidP="007A6C5C">
      <w:pPr>
        <w:pStyle w:val="P1"/>
      </w:pPr>
      <w:r>
        <w:tab/>
        <w:t>(b)</w:t>
      </w:r>
      <w:r>
        <w:tab/>
        <w:t>contains aspirin, paracetamol or ibuprofen; and</w:t>
      </w:r>
    </w:p>
    <w:p w14:paraId="5194BA0F" w14:textId="77777777" w:rsidR="007A6C5C" w:rsidRDefault="00053ADB" w:rsidP="007A6C5C">
      <w:pPr>
        <w:pStyle w:val="P1"/>
      </w:pPr>
      <w:r>
        <w:tab/>
        <w:t>(c)</w:t>
      </w:r>
      <w:r>
        <w:tab/>
        <w:t>is intended to be taken by mouth.</w:t>
      </w:r>
    </w:p>
    <w:p w14:paraId="5194BA10" w14:textId="77777777" w:rsidR="007A6C5C" w:rsidRDefault="00053ADB" w:rsidP="007A6C5C">
      <w:pPr>
        <w:pStyle w:val="HR"/>
        <w:rPr>
          <w:i/>
        </w:rPr>
      </w:pPr>
      <w:bookmarkStart w:id="5" w:name="_Toc488223297"/>
      <w:r>
        <w:rPr>
          <w:rStyle w:val="CharSectno"/>
        </w:rPr>
        <w:t>5</w:t>
      </w:r>
      <w:r>
        <w:tab/>
        <w:t xml:space="preserve">Revocation of </w:t>
      </w:r>
      <w:r>
        <w:rPr>
          <w:i/>
        </w:rPr>
        <w:t>GST-free Supply (Drugs and Medicinal Preparations) Determination 2004</w:t>
      </w:r>
      <w:bookmarkEnd w:id="5"/>
      <w:r>
        <w:rPr>
          <w:i/>
        </w:rPr>
        <w:t xml:space="preserve"> (No. 2)</w:t>
      </w:r>
    </w:p>
    <w:p w14:paraId="5194BA11" w14:textId="77777777" w:rsidR="007A6C5C" w:rsidRDefault="00053ADB" w:rsidP="007A6C5C">
      <w:pPr>
        <w:pStyle w:val="R1"/>
      </w:pPr>
      <w:r>
        <w:tab/>
      </w:r>
      <w:r>
        <w:tab/>
        <w:t xml:space="preserve">The </w:t>
      </w:r>
      <w:r>
        <w:rPr>
          <w:i/>
        </w:rPr>
        <w:t>GST-free Supply (Drugs and Medicinal Preparations) Determination 2004</w:t>
      </w:r>
      <w:r>
        <w:t xml:space="preserve"> </w:t>
      </w:r>
      <w:r>
        <w:rPr>
          <w:i/>
        </w:rPr>
        <w:t>(No. 2)</w:t>
      </w:r>
      <w:r>
        <w:t xml:space="preserve"> is revoked.</w:t>
      </w:r>
    </w:p>
    <w:p w14:paraId="5194BA12" w14:textId="77777777" w:rsidR="007A6C5C" w:rsidRDefault="00044810" w:rsidP="007A6C5C">
      <w:pPr>
        <w:rPr>
          <w:lang w:eastAsia="en-US"/>
        </w:rPr>
      </w:pPr>
    </w:p>
    <w:p w14:paraId="5194BA13" w14:textId="77777777" w:rsidR="007A6C5C" w:rsidRPr="007A6C5C" w:rsidRDefault="00044810" w:rsidP="007A6C5C">
      <w:pPr>
        <w:rPr>
          <w:lang w:eastAsia="en-US"/>
        </w:rPr>
      </w:pPr>
    </w:p>
    <w:sectPr w:rsidR="007A6C5C" w:rsidRPr="007A6C5C" w:rsidSect="007A6C5C">
      <w:pgSz w:w="11906" w:h="16838"/>
      <w:pgMar w:top="2127" w:right="297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B6C"/>
    <w:multiLevelType w:val="hybridMultilevel"/>
    <w:tmpl w:val="58CE3F04"/>
    <w:lvl w:ilvl="0" w:tplc="BCA20B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A166200" w:tentative="1">
      <w:start w:val="1"/>
      <w:numFmt w:val="lowerLetter"/>
      <w:lvlText w:val="%2."/>
      <w:lvlJc w:val="left"/>
      <w:pPr>
        <w:ind w:left="1440" w:hanging="360"/>
      </w:pPr>
    </w:lvl>
    <w:lvl w:ilvl="2" w:tplc="198A45BA" w:tentative="1">
      <w:start w:val="1"/>
      <w:numFmt w:val="lowerRoman"/>
      <w:lvlText w:val="%3."/>
      <w:lvlJc w:val="right"/>
      <w:pPr>
        <w:ind w:left="2160" w:hanging="180"/>
      </w:pPr>
    </w:lvl>
    <w:lvl w:ilvl="3" w:tplc="5964ADEA" w:tentative="1">
      <w:start w:val="1"/>
      <w:numFmt w:val="decimal"/>
      <w:lvlText w:val="%4."/>
      <w:lvlJc w:val="left"/>
      <w:pPr>
        <w:ind w:left="2880" w:hanging="360"/>
      </w:pPr>
    </w:lvl>
    <w:lvl w:ilvl="4" w:tplc="9026784E" w:tentative="1">
      <w:start w:val="1"/>
      <w:numFmt w:val="lowerLetter"/>
      <w:lvlText w:val="%5."/>
      <w:lvlJc w:val="left"/>
      <w:pPr>
        <w:ind w:left="3600" w:hanging="360"/>
      </w:pPr>
    </w:lvl>
    <w:lvl w:ilvl="5" w:tplc="E16A5C62" w:tentative="1">
      <w:start w:val="1"/>
      <w:numFmt w:val="lowerRoman"/>
      <w:lvlText w:val="%6."/>
      <w:lvlJc w:val="right"/>
      <w:pPr>
        <w:ind w:left="4320" w:hanging="180"/>
      </w:pPr>
    </w:lvl>
    <w:lvl w:ilvl="6" w:tplc="B7109864" w:tentative="1">
      <w:start w:val="1"/>
      <w:numFmt w:val="decimal"/>
      <w:lvlText w:val="%7."/>
      <w:lvlJc w:val="left"/>
      <w:pPr>
        <w:ind w:left="5040" w:hanging="360"/>
      </w:pPr>
    </w:lvl>
    <w:lvl w:ilvl="7" w:tplc="9B4AF970" w:tentative="1">
      <w:start w:val="1"/>
      <w:numFmt w:val="lowerLetter"/>
      <w:lvlText w:val="%8."/>
      <w:lvlJc w:val="left"/>
      <w:pPr>
        <w:ind w:left="5760" w:hanging="360"/>
      </w:pPr>
    </w:lvl>
    <w:lvl w:ilvl="8" w:tplc="04767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0634"/>
    <w:multiLevelType w:val="hybridMultilevel"/>
    <w:tmpl w:val="5728EBEA"/>
    <w:lvl w:ilvl="0" w:tplc="B62072EC">
      <w:start w:val="1"/>
      <w:numFmt w:val="decimal"/>
      <w:lvlText w:val="%1."/>
      <w:lvlJc w:val="left"/>
      <w:pPr>
        <w:ind w:left="720" w:hanging="360"/>
      </w:pPr>
    </w:lvl>
    <w:lvl w:ilvl="1" w:tplc="5B785E08" w:tentative="1">
      <w:start w:val="1"/>
      <w:numFmt w:val="lowerLetter"/>
      <w:lvlText w:val="%2."/>
      <w:lvlJc w:val="left"/>
      <w:pPr>
        <w:ind w:left="1440" w:hanging="360"/>
      </w:pPr>
    </w:lvl>
    <w:lvl w:ilvl="2" w:tplc="B734E342" w:tentative="1">
      <w:start w:val="1"/>
      <w:numFmt w:val="lowerRoman"/>
      <w:lvlText w:val="%3."/>
      <w:lvlJc w:val="right"/>
      <w:pPr>
        <w:ind w:left="2160" w:hanging="180"/>
      </w:pPr>
    </w:lvl>
    <w:lvl w:ilvl="3" w:tplc="FDECECB2" w:tentative="1">
      <w:start w:val="1"/>
      <w:numFmt w:val="decimal"/>
      <w:lvlText w:val="%4."/>
      <w:lvlJc w:val="left"/>
      <w:pPr>
        <w:ind w:left="2880" w:hanging="360"/>
      </w:pPr>
    </w:lvl>
    <w:lvl w:ilvl="4" w:tplc="1DC0CE28" w:tentative="1">
      <w:start w:val="1"/>
      <w:numFmt w:val="lowerLetter"/>
      <w:lvlText w:val="%5."/>
      <w:lvlJc w:val="left"/>
      <w:pPr>
        <w:ind w:left="3600" w:hanging="360"/>
      </w:pPr>
    </w:lvl>
    <w:lvl w:ilvl="5" w:tplc="61CC3626" w:tentative="1">
      <w:start w:val="1"/>
      <w:numFmt w:val="lowerRoman"/>
      <w:lvlText w:val="%6."/>
      <w:lvlJc w:val="right"/>
      <w:pPr>
        <w:ind w:left="4320" w:hanging="180"/>
      </w:pPr>
    </w:lvl>
    <w:lvl w:ilvl="6" w:tplc="E2824986" w:tentative="1">
      <w:start w:val="1"/>
      <w:numFmt w:val="decimal"/>
      <w:lvlText w:val="%7."/>
      <w:lvlJc w:val="left"/>
      <w:pPr>
        <w:ind w:left="5040" w:hanging="360"/>
      </w:pPr>
    </w:lvl>
    <w:lvl w:ilvl="7" w:tplc="16DC534A" w:tentative="1">
      <w:start w:val="1"/>
      <w:numFmt w:val="lowerLetter"/>
      <w:lvlText w:val="%8."/>
      <w:lvlJc w:val="left"/>
      <w:pPr>
        <w:ind w:left="5760" w:hanging="360"/>
      </w:pPr>
    </w:lvl>
    <w:lvl w:ilvl="8" w:tplc="A3DCC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415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582C99"/>
    <w:multiLevelType w:val="hybridMultilevel"/>
    <w:tmpl w:val="5F06F8F0"/>
    <w:lvl w:ilvl="0" w:tplc="9C9EC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056A18E" w:tentative="1">
      <w:start w:val="1"/>
      <w:numFmt w:val="lowerLetter"/>
      <w:lvlText w:val="%2."/>
      <w:lvlJc w:val="left"/>
      <w:pPr>
        <w:ind w:left="1440" w:hanging="360"/>
      </w:pPr>
    </w:lvl>
    <w:lvl w:ilvl="2" w:tplc="608AF5B8" w:tentative="1">
      <w:start w:val="1"/>
      <w:numFmt w:val="lowerRoman"/>
      <w:lvlText w:val="%3."/>
      <w:lvlJc w:val="right"/>
      <w:pPr>
        <w:ind w:left="2160" w:hanging="180"/>
      </w:pPr>
    </w:lvl>
    <w:lvl w:ilvl="3" w:tplc="25E87BDC" w:tentative="1">
      <w:start w:val="1"/>
      <w:numFmt w:val="decimal"/>
      <w:lvlText w:val="%4."/>
      <w:lvlJc w:val="left"/>
      <w:pPr>
        <w:ind w:left="2880" w:hanging="360"/>
      </w:pPr>
    </w:lvl>
    <w:lvl w:ilvl="4" w:tplc="1A84B1AC" w:tentative="1">
      <w:start w:val="1"/>
      <w:numFmt w:val="lowerLetter"/>
      <w:lvlText w:val="%5."/>
      <w:lvlJc w:val="left"/>
      <w:pPr>
        <w:ind w:left="3600" w:hanging="360"/>
      </w:pPr>
    </w:lvl>
    <w:lvl w:ilvl="5" w:tplc="A5D6A478" w:tentative="1">
      <w:start w:val="1"/>
      <w:numFmt w:val="lowerRoman"/>
      <w:lvlText w:val="%6."/>
      <w:lvlJc w:val="right"/>
      <w:pPr>
        <w:ind w:left="4320" w:hanging="180"/>
      </w:pPr>
    </w:lvl>
    <w:lvl w:ilvl="6" w:tplc="00504504" w:tentative="1">
      <w:start w:val="1"/>
      <w:numFmt w:val="decimal"/>
      <w:lvlText w:val="%7."/>
      <w:lvlJc w:val="left"/>
      <w:pPr>
        <w:ind w:left="5040" w:hanging="360"/>
      </w:pPr>
    </w:lvl>
    <w:lvl w:ilvl="7" w:tplc="28EC6F1E" w:tentative="1">
      <w:start w:val="1"/>
      <w:numFmt w:val="lowerLetter"/>
      <w:lvlText w:val="%8."/>
      <w:lvlJc w:val="left"/>
      <w:pPr>
        <w:ind w:left="5760" w:hanging="360"/>
      </w:pPr>
    </w:lvl>
    <w:lvl w:ilvl="8" w:tplc="305A3D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DB"/>
    <w:rsid w:val="00044810"/>
    <w:rsid w:val="0005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4B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C5C"/>
    <w:rPr>
      <w:sz w:val="24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A6C5C"/>
    <w:pPr>
      <w:spacing w:before="240" w:after="240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7A6C5C"/>
    <w:rPr>
      <w:rFonts w:ascii="Arial" w:hAnsi="Arial"/>
      <w:b/>
      <w:sz w:val="40"/>
    </w:rPr>
  </w:style>
  <w:style w:type="paragraph" w:styleId="BalloonText">
    <w:name w:val="Balloon Text"/>
    <w:basedOn w:val="Normal"/>
    <w:link w:val="BalloonTextChar"/>
    <w:rsid w:val="007A6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6C5C"/>
    <w:rPr>
      <w:rFonts w:ascii="Tahoma" w:hAnsi="Tahoma" w:cs="Tahoma"/>
      <w:sz w:val="16"/>
      <w:szCs w:val="16"/>
    </w:rPr>
  </w:style>
  <w:style w:type="paragraph" w:customStyle="1" w:styleId="P1">
    <w:name w:val="P1"/>
    <w:aliases w:val="(a)"/>
    <w:basedOn w:val="R1"/>
    <w:rsid w:val="007A6C5C"/>
    <w:pPr>
      <w:tabs>
        <w:tab w:val="clear" w:pos="794"/>
        <w:tab w:val="clear" w:pos="964"/>
        <w:tab w:val="right" w:pos="1191"/>
        <w:tab w:val="left" w:pos="1644"/>
      </w:tabs>
      <w:spacing w:before="60"/>
      <w:ind w:left="1418" w:hanging="1418"/>
    </w:pPr>
  </w:style>
  <w:style w:type="paragraph" w:customStyle="1" w:styleId="R1">
    <w:name w:val="R1"/>
    <w:aliases w:val="1. or 1.(1)"/>
    <w:basedOn w:val="Normal"/>
    <w:next w:val="Normal"/>
    <w:rsid w:val="007A6C5C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  <w:rPr>
      <w:lang w:eastAsia="en-US"/>
    </w:rPr>
  </w:style>
  <w:style w:type="character" w:customStyle="1" w:styleId="CharSectno">
    <w:name w:val="CharSectno"/>
    <w:rsid w:val="007A6C5C"/>
    <w:rPr>
      <w:rFonts w:ascii="Arial" w:hAnsi="Arial"/>
    </w:rPr>
  </w:style>
  <w:style w:type="paragraph" w:customStyle="1" w:styleId="definition">
    <w:name w:val="definition"/>
    <w:basedOn w:val="Normal"/>
    <w:rsid w:val="007A6C5C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HR">
    <w:name w:val="HR"/>
    <w:aliases w:val="Regulation Heading"/>
    <w:basedOn w:val="Normal"/>
    <w:next w:val="R1"/>
    <w:rsid w:val="007A6C5C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Note">
    <w:name w:val="Note"/>
    <w:basedOn w:val="Normal"/>
    <w:rsid w:val="007A6C5C"/>
    <w:pPr>
      <w:tabs>
        <w:tab w:val="left" w:pos="1560"/>
      </w:tabs>
      <w:spacing w:before="120" w:line="220" w:lineRule="exact"/>
      <w:ind w:left="964"/>
      <w:jc w:val="both"/>
    </w:pPr>
    <w:rPr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C5C"/>
    <w:rPr>
      <w:sz w:val="24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A6C5C"/>
    <w:pPr>
      <w:spacing w:before="240" w:after="240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7A6C5C"/>
    <w:rPr>
      <w:rFonts w:ascii="Arial" w:hAnsi="Arial"/>
      <w:b/>
      <w:sz w:val="40"/>
    </w:rPr>
  </w:style>
  <w:style w:type="paragraph" w:styleId="BalloonText">
    <w:name w:val="Balloon Text"/>
    <w:basedOn w:val="Normal"/>
    <w:link w:val="BalloonTextChar"/>
    <w:rsid w:val="007A6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6C5C"/>
    <w:rPr>
      <w:rFonts w:ascii="Tahoma" w:hAnsi="Tahoma" w:cs="Tahoma"/>
      <w:sz w:val="16"/>
      <w:szCs w:val="16"/>
    </w:rPr>
  </w:style>
  <w:style w:type="paragraph" w:customStyle="1" w:styleId="P1">
    <w:name w:val="P1"/>
    <w:aliases w:val="(a)"/>
    <w:basedOn w:val="R1"/>
    <w:rsid w:val="007A6C5C"/>
    <w:pPr>
      <w:tabs>
        <w:tab w:val="clear" w:pos="794"/>
        <w:tab w:val="clear" w:pos="964"/>
        <w:tab w:val="right" w:pos="1191"/>
        <w:tab w:val="left" w:pos="1644"/>
      </w:tabs>
      <w:spacing w:before="60"/>
      <w:ind w:left="1418" w:hanging="1418"/>
    </w:pPr>
  </w:style>
  <w:style w:type="paragraph" w:customStyle="1" w:styleId="R1">
    <w:name w:val="R1"/>
    <w:aliases w:val="1. or 1.(1)"/>
    <w:basedOn w:val="Normal"/>
    <w:next w:val="Normal"/>
    <w:rsid w:val="007A6C5C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  <w:rPr>
      <w:lang w:eastAsia="en-US"/>
    </w:rPr>
  </w:style>
  <w:style w:type="character" w:customStyle="1" w:styleId="CharSectno">
    <w:name w:val="CharSectno"/>
    <w:rsid w:val="007A6C5C"/>
    <w:rPr>
      <w:rFonts w:ascii="Arial" w:hAnsi="Arial"/>
    </w:rPr>
  </w:style>
  <w:style w:type="paragraph" w:customStyle="1" w:styleId="definition">
    <w:name w:val="definition"/>
    <w:basedOn w:val="Normal"/>
    <w:rsid w:val="007A6C5C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HR">
    <w:name w:val="HR"/>
    <w:aliases w:val="Regulation Heading"/>
    <w:basedOn w:val="Normal"/>
    <w:next w:val="R1"/>
    <w:rsid w:val="007A6C5C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Note">
    <w:name w:val="Note"/>
    <w:basedOn w:val="Normal"/>
    <w:rsid w:val="007A6C5C"/>
    <w:pPr>
      <w:tabs>
        <w:tab w:val="left" w:pos="1560"/>
      </w:tabs>
      <w:spacing w:before="120" w:line="220" w:lineRule="exact"/>
      <w:ind w:left="964"/>
      <w:jc w:val="both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D97D92952973B4DA4CE29AE0673ED7D" ma:contentTypeVersion="0" ma:contentTypeDescription="PDMS Document Site Content Type" ma:contentTypeScope="" ma:versionID="f8a9f1ec2fe63a6be123b2c6a054b25e">
  <xsd:schema xmlns:xsd="http://www.w3.org/2001/XMLSchema" xmlns:xs="http://www.w3.org/2001/XMLSchema" xmlns:p="http://schemas.microsoft.com/office/2006/metadata/properties" xmlns:ns2="7E3FE8AE-8D27-4F21-ACCE-33B7B81CACC5" targetNamespace="http://schemas.microsoft.com/office/2006/metadata/properties" ma:root="true" ma:fieldsID="dfd033e14dd72a51432c9df8b66a48fe" ns2:_="">
    <xsd:import namespace="7E3FE8AE-8D27-4F21-ACCE-33B7B81CACC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E8AE-8D27-4F21-ACCE-33B7B81CACC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49C4B-5AD7-4FCC-900B-CAE87680D3D6}">
  <ds:schemaRefs/>
</ds:datastoreItem>
</file>

<file path=customXml/itemProps2.xml><?xml version="1.0" encoding="utf-8"?>
<ds:datastoreItem xmlns:ds="http://schemas.openxmlformats.org/officeDocument/2006/customXml" ds:itemID="{C55CA5A6-F768-4838-888C-47B17EA2B2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Yelitte Ho</dc:creator>
  <cp:lastModifiedBy>Lewis Eleanor</cp:lastModifiedBy>
  <cp:revision>2</cp:revision>
  <dcterms:created xsi:type="dcterms:W3CDTF">2015-09-17T04:04:00Z</dcterms:created>
  <dcterms:modified xsi:type="dcterms:W3CDTF">2015-09-17T04:04:00Z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September 2015</vt:lpwstr>
  </property>
  <property fmtid="{D5CDD505-2E9C-101B-9397-08002B2CF9AE}" pid="4" name="ClearanceDueDate">
    <vt:lpwstr/>
  </property>
  <property fmtid="{D5CDD505-2E9C-101B-9397-08002B2CF9AE}" pid="5" name="Electorates">
    <vt:lpwstr> </vt:lpwstr>
  </property>
  <property fmtid="{D5CDD505-2E9C-101B-9397-08002B2CF9AE}" pid="6" name="GroupResponsible">
    <vt:lpwstr>Pharmaceutical Benefits Division</vt:lpwstr>
  </property>
  <property fmtid="{D5CDD505-2E9C-101B-9397-08002B2CF9AE}" pid="7" name="HandlingProtocol">
    <vt:lpwstr>Standard</vt:lpwstr>
  </property>
  <property fmtid="{D5CDD505-2E9C-101B-9397-08002B2CF9AE}" pid="8" name="InformationMinister">
    <vt:lpwstr> </vt:lpwstr>
  </property>
  <property fmtid="{D5CDD505-2E9C-101B-9397-08002B2CF9AE}" pid="9" name="LastClearingOfficer">
    <vt:lpwstr>ANDREW JONATHAN STUART</vt:lpwstr>
  </property>
  <property fmtid="{D5CDD505-2E9C-101B-9397-08002B2CF9AE}" pid="10" name="Ministers">
    <vt:lpwstr>Sussan Ley</vt:lpwstr>
  </property>
  <property fmtid="{D5CDD505-2E9C-101B-9397-08002B2CF9AE}" pid="11" name="PdrId">
    <vt:lpwstr>MS15-001991</vt:lpwstr>
  </property>
  <property fmtid="{D5CDD505-2E9C-101B-9397-08002B2CF9AE}" pid="12" name="Principal">
    <vt:lpwstr>Minister</vt:lpwstr>
  </property>
  <property fmtid="{D5CDD505-2E9C-101B-9397-08002B2CF9AE}" pid="13" name="ReasonForSensitivity">
    <vt:lpwstr/>
  </property>
  <property fmtid="{D5CDD505-2E9C-101B-9397-08002B2CF9AE}" pid="14" name="RegisteredDate">
    <vt:lpwstr>31 August 2015</vt:lpwstr>
  </property>
  <property fmtid="{D5CDD505-2E9C-101B-9397-08002B2CF9AE}" pid="15" name="RequestedAction">
    <vt:lpwstr>Signature</vt:lpwstr>
  </property>
  <property fmtid="{D5CDD505-2E9C-101B-9397-08002B2CF9AE}" pid="16" name="ResponsibleMinister">
    <vt:lpwstr>Sussan Ley</vt:lpwstr>
  </property>
  <property fmtid="{D5CDD505-2E9C-101B-9397-08002B2CF9AE}" pid="17" name="SecurityClassification">
    <vt:lpwstr>UNCLASSIFIED  </vt:lpwstr>
  </property>
  <property fmtid="{D5CDD505-2E9C-101B-9397-08002B2CF9AE}" pid="18" name="Subject">
    <vt:lpwstr>GST-free status - Small Packs of Analgesics – Ministerial Determination</vt:lpwstr>
  </property>
  <property fmtid="{D5CDD505-2E9C-101B-9397-08002B2CF9AE}" pid="19" name="TaskSeqNo">
    <vt:lpwstr>0</vt:lpwstr>
  </property>
  <property fmtid="{D5CDD505-2E9C-101B-9397-08002B2CF9AE}" pid="20" name="TemplateSubType">
    <vt:lpwstr>Standard</vt:lpwstr>
  </property>
  <property fmtid="{D5CDD505-2E9C-101B-9397-08002B2CF9AE}" pid="21" name="TemplateType">
    <vt:lpwstr>Ministerial Submission</vt:lpwstr>
  </property>
  <property fmtid="{D5CDD505-2E9C-101B-9397-08002B2CF9AE}" pid="22" name="TrustedGroups">
    <vt:lpwstr>Parliamentary Coordinator MS, DLO, Ministerial Staff - Coalition 2013, Business Administrator, Limited Distribution MS</vt:lpwstr>
  </property>
</Properties>
</file>