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9DA" w:rsidRDefault="00A119DA" w:rsidP="00A119DA">
      <w:pPr>
        <w:spacing w:before="0"/>
        <w:ind w:right="-192"/>
        <w:jc w:val="center"/>
      </w:pPr>
      <w:r>
        <w:rPr>
          <w:b/>
          <w:bCs/>
          <w:u w:val="single"/>
        </w:rPr>
        <w:t>EXPLANATORY STATEMENT</w:t>
      </w:r>
    </w:p>
    <w:p w:rsidR="00A119DA" w:rsidRDefault="00A119DA" w:rsidP="00A119DA">
      <w:pPr>
        <w:spacing w:before="0"/>
        <w:ind w:right="91"/>
        <w:jc w:val="center"/>
      </w:pPr>
    </w:p>
    <w:p w:rsidR="00A119DA" w:rsidRPr="00E10CCD" w:rsidRDefault="00A119DA" w:rsidP="00A119DA">
      <w:pPr>
        <w:spacing w:before="0"/>
        <w:ind w:right="91"/>
        <w:jc w:val="center"/>
        <w:rPr>
          <w:b/>
          <w:u w:val="single"/>
        </w:rPr>
      </w:pPr>
      <w:r w:rsidRPr="00E10CCD">
        <w:rPr>
          <w:b/>
          <w:u w:val="single"/>
        </w:rPr>
        <w:t xml:space="preserve">Select Legislative Instrument No. </w:t>
      </w:r>
      <w:r w:rsidR="00E10CCD" w:rsidRPr="00E10CCD">
        <w:rPr>
          <w:b/>
          <w:highlight w:val="yellow"/>
          <w:u w:val="single"/>
        </w:rPr>
        <w:t>163</w:t>
      </w:r>
      <w:r w:rsidRPr="00E10CCD">
        <w:rPr>
          <w:b/>
          <w:highlight w:val="yellow"/>
          <w:u w:val="single"/>
        </w:rPr>
        <w:t>,</w:t>
      </w:r>
      <w:r w:rsidRPr="00E10CCD">
        <w:rPr>
          <w:b/>
          <w:u w:val="single"/>
        </w:rPr>
        <w:t xml:space="preserve"> 201</w:t>
      </w:r>
      <w:r w:rsidR="006E4E96" w:rsidRPr="00E10CCD">
        <w:rPr>
          <w:b/>
          <w:u w:val="single"/>
        </w:rPr>
        <w:t>5</w:t>
      </w:r>
    </w:p>
    <w:p w:rsidR="00A119DA" w:rsidRDefault="00A119DA" w:rsidP="00A119DA">
      <w:pPr>
        <w:spacing w:before="0"/>
        <w:ind w:right="91"/>
      </w:pPr>
    </w:p>
    <w:p w:rsidR="00A119DA" w:rsidRDefault="00A119DA" w:rsidP="00A119DA">
      <w:pPr>
        <w:spacing w:before="0"/>
        <w:ind w:right="91"/>
        <w:jc w:val="center"/>
        <w:rPr>
          <w:i/>
        </w:rPr>
      </w:pPr>
      <w:r w:rsidRPr="00F7142B">
        <w:rPr>
          <w:i/>
        </w:rPr>
        <w:t>National Health Act 1953</w:t>
      </w:r>
    </w:p>
    <w:p w:rsidR="00A119DA" w:rsidRDefault="00A119DA" w:rsidP="00A119DA">
      <w:pPr>
        <w:spacing w:before="0"/>
        <w:ind w:left="1134" w:right="91"/>
        <w:jc w:val="center"/>
        <w:rPr>
          <w:i/>
        </w:rPr>
      </w:pPr>
    </w:p>
    <w:p w:rsidR="00A119DA" w:rsidRDefault="006E4E96" w:rsidP="00A119DA">
      <w:pPr>
        <w:spacing w:before="0"/>
        <w:ind w:right="-471" w:hanging="142"/>
        <w:jc w:val="center"/>
        <w:rPr>
          <w:i/>
        </w:rPr>
      </w:pPr>
      <w:bookmarkStart w:id="0" w:name="_GoBack"/>
      <w:r w:rsidRPr="002821FC">
        <w:rPr>
          <w:i/>
        </w:rPr>
        <w:t xml:space="preserve">National Health (Pharmaceutical Benefits) </w:t>
      </w:r>
      <w:r>
        <w:rPr>
          <w:i/>
        </w:rPr>
        <w:t xml:space="preserve">Amendment (2015 Measures No. 1) </w:t>
      </w:r>
      <w:r w:rsidRPr="002821FC">
        <w:rPr>
          <w:i/>
        </w:rPr>
        <w:t xml:space="preserve">Regulation </w:t>
      </w:r>
      <w:r>
        <w:rPr>
          <w:i/>
        </w:rPr>
        <w:t>2015</w:t>
      </w:r>
      <w:bookmarkEnd w:id="0"/>
    </w:p>
    <w:p w:rsidR="00A119DA" w:rsidRPr="00001163" w:rsidRDefault="00A119DA" w:rsidP="00A119DA">
      <w:pPr>
        <w:jc w:val="center"/>
      </w:pPr>
      <w:r w:rsidRPr="00001163">
        <w:t>By authority of the Minister for Health</w:t>
      </w:r>
    </w:p>
    <w:p w:rsidR="003D6A50" w:rsidRDefault="003D6A50" w:rsidP="0081255B">
      <w:pPr>
        <w:spacing w:before="0"/>
        <w:ind w:right="91"/>
      </w:pPr>
    </w:p>
    <w:p w:rsidR="00963FBD" w:rsidRDefault="00963FBD" w:rsidP="00632E0B">
      <w:pPr>
        <w:spacing w:before="0" w:after="180"/>
        <w:ind w:right="91"/>
      </w:pPr>
      <w:r>
        <w:t>Section</w:t>
      </w:r>
      <w:r w:rsidR="00D966EB">
        <w:t> </w:t>
      </w:r>
      <w:r>
        <w:t xml:space="preserve">140 of the </w:t>
      </w:r>
      <w:r w:rsidRPr="00D966EB">
        <w:rPr>
          <w:i/>
        </w:rPr>
        <w:t>National Health Act 1953</w:t>
      </w:r>
      <w:r>
        <w:t xml:space="preserve"> (the</w:t>
      </w:r>
      <w:r w:rsidR="00CB2777">
        <w:t> </w:t>
      </w:r>
      <w:r>
        <w:t>Act) provides that the Governor-General may make regulations</w:t>
      </w:r>
      <w:r w:rsidR="002128CB">
        <w:t>,</w:t>
      </w:r>
      <w:r>
        <w:t xml:space="preserve"> </w:t>
      </w:r>
      <w:r w:rsidR="002128CB" w:rsidRPr="0081255B">
        <w:t>not inconsistent with the Act,</w:t>
      </w:r>
      <w:r w:rsidR="002128CB">
        <w:t xml:space="preserve"> </w:t>
      </w:r>
      <w:r>
        <w:t>prescribing all matters which are required or permitted to be prescribed, or which are necessary or convenient to be prescribed, for carrying out or giving effect to the Act.</w:t>
      </w:r>
    </w:p>
    <w:p w:rsidR="00206635" w:rsidRDefault="004B0CDA" w:rsidP="00632E0B">
      <w:pPr>
        <w:spacing w:before="0" w:after="180"/>
        <w:ind w:right="91"/>
        <w:rPr>
          <w:lang w:val="en-US"/>
        </w:rPr>
      </w:pPr>
      <w:r>
        <w:rPr>
          <w:lang w:val="en-US"/>
        </w:rPr>
        <w:t>T</w:t>
      </w:r>
      <w:r w:rsidR="000E4252" w:rsidRPr="001C31BC">
        <w:rPr>
          <w:lang w:val="en-US"/>
        </w:rPr>
        <w:t>he</w:t>
      </w:r>
      <w:r w:rsidR="000E4252">
        <w:rPr>
          <w:lang w:val="en-US"/>
        </w:rPr>
        <w:t xml:space="preserve"> </w:t>
      </w:r>
      <w:r w:rsidR="004E156B" w:rsidRPr="002821FC">
        <w:rPr>
          <w:i/>
        </w:rPr>
        <w:t xml:space="preserve">National Health (Pharmaceutical Benefits) </w:t>
      </w:r>
      <w:r w:rsidR="004E156B">
        <w:rPr>
          <w:i/>
        </w:rPr>
        <w:t xml:space="preserve">Amendment (2015 Measures No. 1) </w:t>
      </w:r>
      <w:r w:rsidR="004E156B" w:rsidRPr="002821FC">
        <w:rPr>
          <w:i/>
        </w:rPr>
        <w:t xml:space="preserve">Regulation </w:t>
      </w:r>
      <w:r w:rsidR="004E156B">
        <w:rPr>
          <w:i/>
        </w:rPr>
        <w:t>2015</w:t>
      </w:r>
      <w:r w:rsidR="004A5DFA">
        <w:rPr>
          <w:lang w:val="en-US"/>
        </w:rPr>
        <w:t xml:space="preserve"> </w:t>
      </w:r>
      <w:r w:rsidR="008B000E">
        <w:rPr>
          <w:lang w:val="en-US"/>
        </w:rPr>
        <w:t>(</w:t>
      </w:r>
      <w:r w:rsidR="00BD5152">
        <w:rPr>
          <w:lang w:val="en-US"/>
        </w:rPr>
        <w:t xml:space="preserve">the </w:t>
      </w:r>
      <w:r w:rsidR="008B000E">
        <w:rPr>
          <w:lang w:val="en-US"/>
        </w:rPr>
        <w:t xml:space="preserve">Regulation) </w:t>
      </w:r>
      <w:r w:rsidR="004A5DFA">
        <w:rPr>
          <w:lang w:val="en-US"/>
        </w:rPr>
        <w:t>amend</w:t>
      </w:r>
      <w:r w:rsidR="006E4E96">
        <w:rPr>
          <w:lang w:val="en-US"/>
        </w:rPr>
        <w:t xml:space="preserve">s </w:t>
      </w:r>
      <w:r w:rsidR="00BC289D">
        <w:rPr>
          <w:lang w:val="en-US"/>
        </w:rPr>
        <w:t xml:space="preserve">Part 5 </w:t>
      </w:r>
      <w:r w:rsidR="00206635">
        <w:rPr>
          <w:lang w:val="en-US"/>
        </w:rPr>
        <w:t>(</w:t>
      </w:r>
      <w:r w:rsidR="00BC289D">
        <w:rPr>
          <w:lang w:val="en-US"/>
        </w:rPr>
        <w:t>Prescriptions and supply</w:t>
      </w:r>
      <w:r w:rsidR="00206635">
        <w:rPr>
          <w:lang w:val="en-US"/>
        </w:rPr>
        <w:t>)</w:t>
      </w:r>
      <w:r w:rsidR="00BC289D">
        <w:rPr>
          <w:lang w:val="en-US"/>
        </w:rPr>
        <w:t xml:space="preserve">, </w:t>
      </w:r>
      <w:r w:rsidR="006E4E96">
        <w:rPr>
          <w:lang w:val="en-US"/>
        </w:rPr>
        <w:t xml:space="preserve">Part 6A </w:t>
      </w:r>
      <w:r w:rsidR="00BC289D">
        <w:rPr>
          <w:lang w:val="en-US"/>
        </w:rPr>
        <w:t>Division</w:t>
      </w:r>
      <w:r w:rsidR="00206635">
        <w:rPr>
          <w:lang w:val="en-US"/>
        </w:rPr>
        <w:t> </w:t>
      </w:r>
      <w:r w:rsidR="00BC289D">
        <w:rPr>
          <w:lang w:val="en-US"/>
        </w:rPr>
        <w:t xml:space="preserve">2 </w:t>
      </w:r>
      <w:r w:rsidR="006E4E96">
        <w:rPr>
          <w:lang w:val="en-US"/>
        </w:rPr>
        <w:t>(</w:t>
      </w:r>
      <w:r w:rsidR="006E4E96" w:rsidRPr="00931D16">
        <w:rPr>
          <w:lang w:val="en-US"/>
        </w:rPr>
        <w:t>Price disclosure</w:t>
      </w:r>
      <w:r w:rsidR="006E4E96">
        <w:rPr>
          <w:lang w:val="en-US"/>
        </w:rPr>
        <w:t>), Part </w:t>
      </w:r>
      <w:r w:rsidR="00BC289D">
        <w:rPr>
          <w:lang w:val="en-US"/>
        </w:rPr>
        <w:t>7</w:t>
      </w:r>
      <w:r w:rsidR="006E4E96">
        <w:rPr>
          <w:lang w:val="en-US"/>
        </w:rPr>
        <w:t xml:space="preserve"> (</w:t>
      </w:r>
      <w:r w:rsidR="00BC289D">
        <w:rPr>
          <w:lang w:val="en-US"/>
        </w:rPr>
        <w:t xml:space="preserve">Arrangements of the Pharmaceutical Benefits Advisory Committee) and Part 8 </w:t>
      </w:r>
      <w:r w:rsidR="00206635">
        <w:rPr>
          <w:lang w:val="en-US"/>
        </w:rPr>
        <w:t>(</w:t>
      </w:r>
      <w:r w:rsidR="006E4E96">
        <w:rPr>
          <w:lang w:val="en-US"/>
        </w:rPr>
        <w:t>Transitional provisions)</w:t>
      </w:r>
      <w:r w:rsidR="004A5DFA">
        <w:rPr>
          <w:lang w:val="en-US"/>
        </w:rPr>
        <w:t xml:space="preserve"> </w:t>
      </w:r>
      <w:r w:rsidR="00206635">
        <w:rPr>
          <w:lang w:val="en-US"/>
        </w:rPr>
        <w:t xml:space="preserve">of </w:t>
      </w:r>
      <w:r w:rsidR="004A5DFA">
        <w:rPr>
          <w:lang w:val="en-US"/>
        </w:rPr>
        <w:t xml:space="preserve">the </w:t>
      </w:r>
      <w:r w:rsidR="004A5DFA" w:rsidRPr="00856702">
        <w:rPr>
          <w:i/>
          <w:lang w:val="en-US"/>
        </w:rPr>
        <w:t>National Health (Pharmaceutical Benefits) Regulations</w:t>
      </w:r>
      <w:r w:rsidR="004A5DFA">
        <w:rPr>
          <w:i/>
          <w:lang w:val="en-US"/>
        </w:rPr>
        <w:t> </w:t>
      </w:r>
      <w:r w:rsidR="004A5DFA" w:rsidRPr="00856702">
        <w:rPr>
          <w:i/>
          <w:lang w:val="en-US"/>
        </w:rPr>
        <w:t>1960</w:t>
      </w:r>
      <w:r w:rsidR="004A5DFA">
        <w:rPr>
          <w:lang w:val="en-US"/>
        </w:rPr>
        <w:t xml:space="preserve"> (the Principal Regulations)</w:t>
      </w:r>
      <w:r w:rsidR="00206635">
        <w:rPr>
          <w:lang w:val="en-US"/>
        </w:rPr>
        <w:t xml:space="preserve">.  </w:t>
      </w:r>
    </w:p>
    <w:p w:rsidR="006D33F6" w:rsidRDefault="00206635" w:rsidP="00632E0B">
      <w:pPr>
        <w:spacing w:before="0" w:after="180"/>
        <w:ind w:right="91"/>
        <w:rPr>
          <w:lang w:val="en-US"/>
        </w:rPr>
      </w:pPr>
      <w:r>
        <w:rPr>
          <w:lang w:val="en-US"/>
        </w:rPr>
        <w:t xml:space="preserve">The amendments made by the Regulation are necessary </w:t>
      </w:r>
      <w:r w:rsidR="00E34B33">
        <w:rPr>
          <w:lang w:val="en-US"/>
        </w:rPr>
        <w:t xml:space="preserve">to </w:t>
      </w:r>
      <w:r>
        <w:rPr>
          <w:lang w:val="en-US"/>
        </w:rPr>
        <w:t xml:space="preserve">implement </w:t>
      </w:r>
      <w:r w:rsidR="00B0392A">
        <w:rPr>
          <w:lang w:val="en-US"/>
        </w:rPr>
        <w:t xml:space="preserve">measures contained in the </w:t>
      </w:r>
      <w:r w:rsidR="004A5DFA">
        <w:rPr>
          <w:lang w:val="en-US"/>
        </w:rPr>
        <w:t>Pharmaceutical Benefits Scheme (</w:t>
      </w:r>
      <w:r w:rsidR="00B0392A">
        <w:rPr>
          <w:lang w:val="en-US"/>
        </w:rPr>
        <w:t>PBS</w:t>
      </w:r>
      <w:r w:rsidR="004A5DFA">
        <w:rPr>
          <w:lang w:val="en-US"/>
        </w:rPr>
        <w:t>)</w:t>
      </w:r>
      <w:r w:rsidR="00B0392A">
        <w:rPr>
          <w:lang w:val="en-US"/>
        </w:rPr>
        <w:t xml:space="preserve"> Access and Sustainability Package</w:t>
      </w:r>
      <w:r w:rsidR="002D278C">
        <w:rPr>
          <w:lang w:val="en-US"/>
        </w:rPr>
        <w:t xml:space="preserve"> announced </w:t>
      </w:r>
      <w:r w:rsidR="004E156B">
        <w:rPr>
          <w:lang w:val="en-US"/>
        </w:rPr>
        <w:t xml:space="preserve">by the Australian Government </w:t>
      </w:r>
      <w:r w:rsidR="00E34B33">
        <w:rPr>
          <w:lang w:val="en-US"/>
        </w:rPr>
        <w:t xml:space="preserve">in </w:t>
      </w:r>
      <w:r w:rsidR="004A5DFA">
        <w:rPr>
          <w:lang w:val="en-US"/>
        </w:rPr>
        <w:t>M</w:t>
      </w:r>
      <w:r w:rsidR="004E156B">
        <w:rPr>
          <w:lang w:val="en-US"/>
        </w:rPr>
        <w:t>ay 2015</w:t>
      </w:r>
      <w:r>
        <w:rPr>
          <w:lang w:val="en-US"/>
        </w:rPr>
        <w:t xml:space="preserve"> and to align with amendments to the Act made by the </w:t>
      </w:r>
      <w:r w:rsidRPr="00BD1FB7">
        <w:rPr>
          <w:i/>
          <w:lang w:val="en-US"/>
        </w:rPr>
        <w:t>National Health Amendment (</w:t>
      </w:r>
      <w:r>
        <w:rPr>
          <w:i/>
          <w:lang w:val="en-US"/>
        </w:rPr>
        <w:t>Pharmaceutical Benefits</w:t>
      </w:r>
      <w:r w:rsidRPr="00BD1FB7">
        <w:rPr>
          <w:i/>
          <w:lang w:val="en-US"/>
        </w:rPr>
        <w:t>) Act</w:t>
      </w:r>
      <w:r>
        <w:rPr>
          <w:i/>
          <w:lang w:val="en-US"/>
        </w:rPr>
        <w:t> </w:t>
      </w:r>
      <w:r w:rsidRPr="00BD1FB7">
        <w:rPr>
          <w:i/>
          <w:lang w:val="en-US"/>
        </w:rPr>
        <w:t>201</w:t>
      </w:r>
      <w:r>
        <w:rPr>
          <w:i/>
          <w:lang w:val="en-US"/>
        </w:rPr>
        <w:t xml:space="preserve">5 </w:t>
      </w:r>
      <w:r>
        <w:rPr>
          <w:lang w:val="en-US"/>
        </w:rPr>
        <w:t>(the Amending Act) for that purpose</w:t>
      </w:r>
      <w:r w:rsidR="004A5DFA">
        <w:rPr>
          <w:lang w:val="en-US"/>
        </w:rPr>
        <w:t>.</w:t>
      </w:r>
    </w:p>
    <w:p w:rsidR="006D33F6" w:rsidRDefault="004A5DFA" w:rsidP="00632E0B">
      <w:pPr>
        <w:spacing w:before="0" w:after="180"/>
        <w:ind w:right="-329"/>
        <w:rPr>
          <w:lang w:val="en-US"/>
        </w:rPr>
      </w:pPr>
      <w:r>
        <w:rPr>
          <w:lang w:val="en-US"/>
        </w:rPr>
        <w:t xml:space="preserve">The measures requiring amendments to the Principal Regulations are </w:t>
      </w:r>
      <w:r w:rsidR="00A44F5B">
        <w:rPr>
          <w:lang w:val="en-US"/>
        </w:rPr>
        <w:t xml:space="preserve">the </w:t>
      </w:r>
      <w:r w:rsidR="00A44F5B">
        <w:t>expansion of early supply provisions for PBS prescriptions,</w:t>
      </w:r>
      <w:r w:rsidR="00A44F5B">
        <w:rPr>
          <w:lang w:val="en-US"/>
        </w:rPr>
        <w:t xml:space="preserve"> </w:t>
      </w:r>
      <w:r>
        <w:rPr>
          <w:lang w:val="en-US"/>
        </w:rPr>
        <w:t xml:space="preserve">removal of the originator brand from price disclosure calculations, </w:t>
      </w:r>
      <w:r w:rsidR="00A44F5B">
        <w:rPr>
          <w:lang w:val="en-US"/>
        </w:rPr>
        <w:t xml:space="preserve">and </w:t>
      </w:r>
      <w:r>
        <w:rPr>
          <w:lang w:val="en-US"/>
        </w:rPr>
        <w:t xml:space="preserve">changes to </w:t>
      </w:r>
      <w:r>
        <w:t>Pharmaceutical Benefits Advisory Committee (PBAC) membership arrangements</w:t>
      </w:r>
      <w:r w:rsidR="00F57094">
        <w:t>.</w:t>
      </w:r>
    </w:p>
    <w:p w:rsidR="00A238FC" w:rsidRDefault="006D33F6" w:rsidP="00632E0B">
      <w:pPr>
        <w:spacing w:before="0" w:after="180"/>
        <w:ind w:right="-187"/>
      </w:pPr>
      <w:r w:rsidRPr="00230D84">
        <w:t>The</w:t>
      </w:r>
      <w:r>
        <w:t xml:space="preserve"> </w:t>
      </w:r>
      <w:r w:rsidR="00D243B3">
        <w:rPr>
          <w:lang w:val="en-US"/>
        </w:rPr>
        <w:t>PBS</w:t>
      </w:r>
      <w:r>
        <w:t xml:space="preserve"> operates under Part VII of the Act and provides Australians with timely, reliable and affordable access to necessary and cost-effective medicines.  </w:t>
      </w:r>
      <w:r w:rsidR="00A238FC">
        <w:t>Part</w:t>
      </w:r>
      <w:r w:rsidR="004E156B">
        <w:t> </w:t>
      </w:r>
      <w:r w:rsidR="00A238FC">
        <w:t>VII of the Act regulates the listing, prescribing, pricing, charging and payment of subsidies for supply of drugs and medicinal preparations as pharmaceutical benefits.</w:t>
      </w:r>
      <w:r w:rsidR="004E156B">
        <w:t xml:space="preserve">  </w:t>
      </w:r>
      <w:r w:rsidR="00A238FC">
        <w:t>The</w:t>
      </w:r>
      <w:r w:rsidR="004E156B">
        <w:t> </w:t>
      </w:r>
      <w:r w:rsidR="00A238FC">
        <w:t>Principal Regulations prescribe matters and set out details in relation to the operation of the PBS.</w:t>
      </w:r>
    </w:p>
    <w:p w:rsidR="007257A1" w:rsidRPr="00CE6754" w:rsidRDefault="007257A1" w:rsidP="00632E0B">
      <w:pPr>
        <w:spacing w:before="0" w:after="180"/>
      </w:pPr>
      <w:r w:rsidRPr="00CE6754">
        <w:t>The PBS Access and Sustainability Package establishes pharmacy funding, medicines pricing arrangements and a range of sector improvements to ensure ongoing access to innovative medicines through a sustainable PBS.</w:t>
      </w:r>
      <w:r w:rsidRPr="00CE6754" w:rsidDel="008041EE">
        <w:t xml:space="preserve"> </w:t>
      </w:r>
      <w:r w:rsidRPr="00CE6754">
        <w:t xml:space="preserve"> It contains measures negotiated following consultations with a wide range of stakeholders from pharmacy</w:t>
      </w:r>
      <w:r>
        <w:t>,</w:t>
      </w:r>
      <w:r w:rsidRPr="00CE6754">
        <w:t xml:space="preserve"> pharmaceutical industr</w:t>
      </w:r>
      <w:r>
        <w:t>y</w:t>
      </w:r>
      <w:r w:rsidRPr="00CE6754">
        <w:t xml:space="preserve"> and consumer groups</w:t>
      </w:r>
      <w:r>
        <w:t>,</w:t>
      </w:r>
      <w:r w:rsidRPr="00CE6754">
        <w:t xml:space="preserve"> includ</w:t>
      </w:r>
      <w:r>
        <w:t>ing</w:t>
      </w:r>
      <w:r w:rsidRPr="00CE6754">
        <w:t xml:space="preserve"> measures relating to the Sixth Community Pharmacy Agreement between the Commonwealth of Australia and the Pharmacy Guild of Australia</w:t>
      </w:r>
      <w:r>
        <w:t xml:space="preserve"> and the Strategic Agreement with the Generic Medicines Industry Association</w:t>
      </w:r>
      <w:r w:rsidR="00590807">
        <w:t xml:space="preserve"> (now known as the Generic and Biosimilar Medicines Association)</w:t>
      </w:r>
      <w:r w:rsidRPr="00CE6754">
        <w:t>.</w:t>
      </w:r>
    </w:p>
    <w:p w:rsidR="00346DED" w:rsidRDefault="007257A1" w:rsidP="00632E0B">
      <w:pPr>
        <w:spacing w:before="0" w:after="180"/>
        <w:ind w:right="91"/>
      </w:pPr>
      <w:r>
        <w:t xml:space="preserve">PBS </w:t>
      </w:r>
      <w:r w:rsidR="00CE69FA">
        <w:t xml:space="preserve">price </w:t>
      </w:r>
      <w:r>
        <w:t xml:space="preserve">disclosure arrangements </w:t>
      </w:r>
      <w:r w:rsidR="00DB33A5">
        <w:t xml:space="preserve">require pharmaceutical companies to disclose specified information about sales of </w:t>
      </w:r>
      <w:r w:rsidR="00CE69FA">
        <w:t>brands</w:t>
      </w:r>
      <w:r w:rsidR="00B41F3A">
        <w:t xml:space="preserve"> of medicines containing a drug on the F2</w:t>
      </w:r>
      <w:r w:rsidR="007A6E46">
        <w:t> </w:t>
      </w:r>
      <w:r w:rsidR="00B41F3A">
        <w:t>formulary</w:t>
      </w:r>
      <w:r w:rsidR="00DB33A5">
        <w:t xml:space="preserve">.  A weighted average price is calculated for a medicine </w:t>
      </w:r>
      <w:r w:rsidR="009878AF">
        <w:t xml:space="preserve">every six months </w:t>
      </w:r>
      <w:r w:rsidR="00DB33A5">
        <w:t xml:space="preserve">using sales data </w:t>
      </w:r>
      <w:r w:rsidR="009878AF">
        <w:t xml:space="preserve">for the previous period </w:t>
      </w:r>
      <w:r w:rsidR="00DB33A5">
        <w:t>and</w:t>
      </w:r>
      <w:r w:rsidR="00232D84">
        <w:t xml:space="preserve"> is</w:t>
      </w:r>
      <w:r w:rsidR="00DB33A5">
        <w:t xml:space="preserve"> used </w:t>
      </w:r>
      <w:r w:rsidR="00232D84">
        <w:t xml:space="preserve">to apply </w:t>
      </w:r>
      <w:r w:rsidR="00DB33A5">
        <w:t xml:space="preserve">reductions in the PBS listed price.  </w:t>
      </w:r>
      <w:r w:rsidR="00594888">
        <w:t xml:space="preserve">Changes made by the Amending Act provide for </w:t>
      </w:r>
      <w:r w:rsidR="00911CE4">
        <w:t>a brand of a pharmaceutical item with a drug on the F2</w:t>
      </w:r>
      <w:r w:rsidR="00A44F5B">
        <w:t> </w:t>
      </w:r>
      <w:r w:rsidR="00911CE4">
        <w:t xml:space="preserve">formulary to be determined as an </w:t>
      </w:r>
      <w:r w:rsidR="00594888">
        <w:t>originator brand</w:t>
      </w:r>
      <w:r w:rsidR="00FF2D23">
        <w:t>.  Those changes also provide</w:t>
      </w:r>
      <w:r w:rsidR="001B19AE">
        <w:t xml:space="preserve"> for the regulations to prescribe </w:t>
      </w:r>
      <w:r w:rsidR="000804AE">
        <w:t>information</w:t>
      </w:r>
      <w:r w:rsidR="00A44F5B">
        <w:t>,</w:t>
      </w:r>
      <w:r w:rsidR="000B3BA1">
        <w:t xml:space="preserve"> which may </w:t>
      </w:r>
      <w:r w:rsidR="00A44F5B">
        <w:t>includ</w:t>
      </w:r>
      <w:r w:rsidR="000B3BA1">
        <w:t>e</w:t>
      </w:r>
      <w:r w:rsidR="00A44F5B">
        <w:t xml:space="preserve"> information relating to originator </w:t>
      </w:r>
      <w:r w:rsidR="00A44F5B">
        <w:lastRenderedPageBreak/>
        <w:t xml:space="preserve">brands, </w:t>
      </w:r>
      <w:r w:rsidR="000804AE">
        <w:t>that the method or formula for determining the weighted average disclosed pr</w:t>
      </w:r>
      <w:r w:rsidR="003648EF">
        <w:t>ice must not take into account</w:t>
      </w:r>
      <w:r w:rsidR="00B87A91">
        <w:t>.</w:t>
      </w:r>
    </w:p>
    <w:p w:rsidR="007257A1" w:rsidRPr="009043B9" w:rsidRDefault="006C1F03" w:rsidP="00632E0B">
      <w:pPr>
        <w:keepNext/>
        <w:keepLines/>
        <w:spacing w:before="0" w:after="180"/>
        <w:ind w:right="91"/>
      </w:pPr>
      <w:r>
        <w:t xml:space="preserve">The </w:t>
      </w:r>
      <w:r w:rsidR="00AB45F4">
        <w:t>Regulation</w:t>
      </w:r>
      <w:r>
        <w:t xml:space="preserve"> </w:t>
      </w:r>
      <w:r w:rsidR="00D524ED">
        <w:t>prescribe</w:t>
      </w:r>
      <w:r w:rsidR="00A44F5B">
        <w:t>s</w:t>
      </w:r>
      <w:r w:rsidR="00D524ED">
        <w:t xml:space="preserve"> </w:t>
      </w:r>
      <w:r w:rsidR="000804AE">
        <w:t>w</w:t>
      </w:r>
      <w:r w:rsidR="00D524ED">
        <w:t xml:space="preserve">hen and how </w:t>
      </w:r>
      <w:r w:rsidR="003648EF">
        <w:t xml:space="preserve">disclosed </w:t>
      </w:r>
      <w:r w:rsidR="000804AE">
        <w:t xml:space="preserve">data regarding </w:t>
      </w:r>
      <w:r>
        <w:t xml:space="preserve">an originator brand </w:t>
      </w:r>
      <w:r w:rsidR="000B3BA1">
        <w:t>are to</w:t>
      </w:r>
      <w:r w:rsidR="00D524ED">
        <w:t xml:space="preserve"> be removed </w:t>
      </w:r>
      <w:r>
        <w:t>f</w:t>
      </w:r>
      <w:r w:rsidR="00594888">
        <w:t>rom the calculation of the weighted average disclosed price</w:t>
      </w:r>
      <w:r>
        <w:t xml:space="preserve">.  This would </w:t>
      </w:r>
      <w:r w:rsidR="00AA16C3">
        <w:t xml:space="preserve">affect the weighted average price </w:t>
      </w:r>
      <w:r>
        <w:t xml:space="preserve">and </w:t>
      </w:r>
      <w:r w:rsidR="00E14B1D">
        <w:t xml:space="preserve">potentially </w:t>
      </w:r>
      <w:r w:rsidR="00AA16C3">
        <w:t>increase price reductions as originator brands tend to maintain higher prices tha</w:t>
      </w:r>
      <w:r w:rsidR="00B41F3A">
        <w:t>n</w:t>
      </w:r>
      <w:r w:rsidR="00AA16C3">
        <w:t xml:space="preserve"> other brands</w:t>
      </w:r>
      <w:r w:rsidR="00AA16C3" w:rsidRPr="00F04875">
        <w:t xml:space="preserve">.  </w:t>
      </w:r>
      <w:r w:rsidR="00F7073C" w:rsidRPr="00F04875">
        <w:t xml:space="preserve">Adjusting </w:t>
      </w:r>
      <w:r w:rsidR="001B444B" w:rsidRPr="00F04875">
        <w:t xml:space="preserve">a </w:t>
      </w:r>
      <w:r w:rsidR="00F7073C" w:rsidRPr="00F04875">
        <w:t>PBS price to the weighted average with an originator brand removed mean</w:t>
      </w:r>
      <w:r w:rsidR="000B3BA1">
        <w:t>s</w:t>
      </w:r>
      <w:r w:rsidR="00F7073C" w:rsidRPr="00F04875">
        <w:t xml:space="preserve"> th</w:t>
      </w:r>
      <w:r w:rsidR="00F04875" w:rsidRPr="00F04875">
        <w:t>at</w:t>
      </w:r>
      <w:r w:rsidR="00F7073C" w:rsidRPr="00F04875">
        <w:t xml:space="preserve"> </w:t>
      </w:r>
      <w:r w:rsidR="00F04875" w:rsidRPr="00F04875">
        <w:t xml:space="preserve">the </w:t>
      </w:r>
      <w:r w:rsidR="00F7073C" w:rsidRPr="00F04875">
        <w:t xml:space="preserve">Government price would </w:t>
      </w:r>
      <w:r w:rsidR="009878AF" w:rsidRPr="00F04875">
        <w:t xml:space="preserve">reflect the prices at which </w:t>
      </w:r>
      <w:r w:rsidR="002A4FED" w:rsidRPr="00F04875">
        <w:t xml:space="preserve">generic </w:t>
      </w:r>
      <w:r w:rsidR="00F7073C" w:rsidRPr="00F04875">
        <w:t xml:space="preserve">brands </w:t>
      </w:r>
      <w:r w:rsidR="00F04875" w:rsidRPr="00F04875">
        <w:t xml:space="preserve">of the medicine </w:t>
      </w:r>
      <w:r w:rsidR="009878AF" w:rsidRPr="00F04875">
        <w:t>are being sold in the market</w:t>
      </w:r>
      <w:r w:rsidR="00F7073C" w:rsidRPr="00F04875">
        <w:t>, not the prices of all brands</w:t>
      </w:r>
      <w:r w:rsidR="009878AF" w:rsidRPr="00F04875">
        <w:t xml:space="preserve">.  </w:t>
      </w:r>
      <w:r w:rsidR="0079084B" w:rsidRPr="00F04875">
        <w:t xml:space="preserve">The amendments </w:t>
      </w:r>
      <w:r w:rsidR="00FA4F4F" w:rsidRPr="00F04875">
        <w:t>include safeguards</w:t>
      </w:r>
      <w:r w:rsidR="00FA4F4F">
        <w:t xml:space="preserve"> to ensure that the originator </w:t>
      </w:r>
      <w:r w:rsidR="00346DED">
        <w:t xml:space="preserve">brand </w:t>
      </w:r>
      <w:r w:rsidR="00FA4F4F">
        <w:t xml:space="preserve">is included </w:t>
      </w:r>
      <w:r w:rsidR="00346DED">
        <w:t xml:space="preserve">in the calculation </w:t>
      </w:r>
      <w:r w:rsidR="00FA4F4F">
        <w:t xml:space="preserve">if there </w:t>
      </w:r>
      <w:r w:rsidR="000B3BA1">
        <w:t>were</w:t>
      </w:r>
      <w:r w:rsidR="00FA4F4F">
        <w:t xml:space="preserve"> no other </w:t>
      </w:r>
      <w:r w:rsidR="00232D84">
        <w:t xml:space="preserve">listed </w:t>
      </w:r>
      <w:r w:rsidR="00FA4F4F">
        <w:t>brand</w:t>
      </w:r>
      <w:r w:rsidR="005724C6">
        <w:t xml:space="preserve"> of a pharmaceutical item</w:t>
      </w:r>
      <w:r w:rsidR="00FA4F4F">
        <w:t>, and that price reductions do not apply in certain circumstances whe</w:t>
      </w:r>
      <w:r w:rsidR="005724C6">
        <w:t>n</w:t>
      </w:r>
      <w:r w:rsidR="00FA4F4F">
        <w:t xml:space="preserve"> there is little discounting </w:t>
      </w:r>
      <w:r w:rsidR="0033193A">
        <w:t xml:space="preserve">and low sales volumes </w:t>
      </w:r>
      <w:r w:rsidR="00FA4F4F">
        <w:t xml:space="preserve">for </w:t>
      </w:r>
      <w:r w:rsidR="005724C6">
        <w:t xml:space="preserve">brands of </w:t>
      </w:r>
      <w:r w:rsidR="002D4ECD">
        <w:t xml:space="preserve">a </w:t>
      </w:r>
      <w:r w:rsidR="00FA4F4F">
        <w:t>pharmaceutical item.</w:t>
      </w:r>
    </w:p>
    <w:p w:rsidR="006C1F03" w:rsidRDefault="006C1F03" w:rsidP="00632E0B">
      <w:pPr>
        <w:spacing w:before="0" w:after="180"/>
        <w:ind w:right="91"/>
      </w:pPr>
      <w:r>
        <w:t xml:space="preserve">The </w:t>
      </w:r>
      <w:r w:rsidR="00346DED">
        <w:t xml:space="preserve">changes for the </w:t>
      </w:r>
      <w:r>
        <w:t xml:space="preserve">PBAC </w:t>
      </w:r>
      <w:r w:rsidR="00346DED">
        <w:t xml:space="preserve">recognise the significant increase in the number and complexity of submissions to list medicines on the </w:t>
      </w:r>
      <w:r>
        <w:t>PBS.</w:t>
      </w:r>
      <w:r w:rsidR="00346DED">
        <w:t xml:space="preserve">  The Amending Act </w:t>
      </w:r>
      <w:r w:rsidR="002D4ECD">
        <w:t xml:space="preserve">increased </w:t>
      </w:r>
      <w:r w:rsidR="00346DED">
        <w:t xml:space="preserve">the maximum number of members </w:t>
      </w:r>
      <w:r w:rsidR="003A138A">
        <w:t xml:space="preserve">of the </w:t>
      </w:r>
      <w:r w:rsidR="00232D84">
        <w:t xml:space="preserve">PBAC </w:t>
      </w:r>
      <w:r w:rsidR="00346DED">
        <w:t xml:space="preserve">by three, </w:t>
      </w:r>
      <w:r w:rsidR="002D4ECD">
        <w:t xml:space="preserve">established </w:t>
      </w:r>
      <w:r w:rsidR="00346DED">
        <w:t xml:space="preserve">a new Deputy Chairperson role, and </w:t>
      </w:r>
      <w:r w:rsidR="002D4ECD">
        <w:t xml:space="preserve">provided </w:t>
      </w:r>
      <w:r w:rsidR="0033193A">
        <w:t xml:space="preserve">the option for </w:t>
      </w:r>
      <w:r w:rsidR="00346DED">
        <w:t xml:space="preserve">an industry </w:t>
      </w:r>
      <w:r w:rsidR="0033193A">
        <w:t>representative to be nominated and appointed as a member</w:t>
      </w:r>
      <w:r w:rsidR="00346DED">
        <w:t xml:space="preserve">.  </w:t>
      </w:r>
      <w:r w:rsidR="002D4ECD">
        <w:t xml:space="preserve">The amendments support implementation of those changes and the operation of the </w:t>
      </w:r>
      <w:r w:rsidR="00232D84">
        <w:t xml:space="preserve">PBAC </w:t>
      </w:r>
      <w:r w:rsidR="002D4ECD">
        <w:t>under the new membership arrangements.</w:t>
      </w:r>
    </w:p>
    <w:p w:rsidR="006C1F03" w:rsidRDefault="002D4ECD" w:rsidP="00632E0B">
      <w:pPr>
        <w:spacing w:before="0" w:after="180"/>
        <w:ind w:right="-471"/>
      </w:pPr>
      <w:r>
        <w:t>Safety net early supply provisions were amended by the Amending Act to remove reference to 20 da</w:t>
      </w:r>
      <w:r w:rsidR="00DA3871">
        <w:t xml:space="preserve">ys </w:t>
      </w:r>
      <w:r w:rsidR="005724C6">
        <w:t xml:space="preserve">as the period for an early supply </w:t>
      </w:r>
      <w:r w:rsidR="00DA3871">
        <w:t xml:space="preserve">and to provide for the supply interval for a medicine to be specified in a legislative instrument.  This will allow the use of a medicine, the listed quantity and the </w:t>
      </w:r>
      <w:r w:rsidR="005724C6">
        <w:t xml:space="preserve">period for an early </w:t>
      </w:r>
      <w:r w:rsidR="00DA3871">
        <w:t xml:space="preserve">supply </w:t>
      </w:r>
      <w:r w:rsidR="005724C6">
        <w:t>t</w:t>
      </w:r>
      <w:r w:rsidR="00DA3871">
        <w:t xml:space="preserve">o be better aligned.  The </w:t>
      </w:r>
      <w:r w:rsidR="00A73329">
        <w:t xml:space="preserve">Regulation </w:t>
      </w:r>
      <w:r w:rsidR="00DA3871">
        <w:t>support</w:t>
      </w:r>
      <w:r w:rsidR="00AE5CBF">
        <w:t>s</w:t>
      </w:r>
      <w:r w:rsidR="00DA3871">
        <w:t xml:space="preserve"> implementation of those changes by providing that the supply interval specified in </w:t>
      </w:r>
      <w:r w:rsidR="002E4AC7">
        <w:t xml:space="preserve">a legislative instrument made under subsection 84AAA(2) </w:t>
      </w:r>
      <w:r w:rsidR="005E61FC">
        <w:t xml:space="preserve">of the Act </w:t>
      </w:r>
      <w:r w:rsidR="002E4AC7">
        <w:t xml:space="preserve">for the </w:t>
      </w:r>
      <w:r w:rsidR="005E61FC">
        <w:t xml:space="preserve">purposes of </w:t>
      </w:r>
      <w:r w:rsidR="00DA3871">
        <w:t xml:space="preserve">early supply </w:t>
      </w:r>
      <w:r w:rsidR="005E61FC">
        <w:t xml:space="preserve">of a specified pharmaceutical benefit </w:t>
      </w:r>
      <w:r w:rsidR="00DA3871">
        <w:t>appl</w:t>
      </w:r>
      <w:r w:rsidR="00AE5CBF">
        <w:t>ies</w:t>
      </w:r>
      <w:r w:rsidR="00DA3871">
        <w:t xml:space="preserve"> also as the interval for </w:t>
      </w:r>
      <w:r w:rsidR="0087070C">
        <w:t xml:space="preserve">repeated supply of a pharmaceutical benefit. </w:t>
      </w:r>
    </w:p>
    <w:p w:rsidR="00F547F3" w:rsidRPr="009A7D25" w:rsidRDefault="00B86D95" w:rsidP="00005314">
      <w:pPr>
        <w:spacing w:before="0" w:after="60"/>
      </w:pPr>
      <w:r w:rsidRPr="009A7D25">
        <w:t xml:space="preserve">The </w:t>
      </w:r>
      <w:r w:rsidR="008B000E">
        <w:t>R</w:t>
      </w:r>
      <w:r w:rsidR="00E72A34" w:rsidRPr="009A7D25">
        <w:t>egulation</w:t>
      </w:r>
      <w:r w:rsidR="000675ED" w:rsidRPr="009A7D25">
        <w:t xml:space="preserve"> </w:t>
      </w:r>
      <w:r w:rsidR="006167D6" w:rsidRPr="009A7D25">
        <w:t>amend</w:t>
      </w:r>
      <w:r w:rsidR="00AE5CBF">
        <w:t>s</w:t>
      </w:r>
      <w:r w:rsidR="00C36841" w:rsidRPr="009A7D25">
        <w:t xml:space="preserve"> the Principal Regulations by</w:t>
      </w:r>
      <w:r w:rsidR="00F01957" w:rsidRPr="009A7D25">
        <w:t>:</w:t>
      </w:r>
    </w:p>
    <w:p w:rsidR="00B43E85" w:rsidRPr="00005314" w:rsidRDefault="00B43E85" w:rsidP="00005314">
      <w:pPr>
        <w:pStyle w:val="ListParagraph"/>
        <w:numPr>
          <w:ilvl w:val="0"/>
          <w:numId w:val="46"/>
        </w:numPr>
        <w:spacing w:after="60"/>
        <w:rPr>
          <w:rFonts w:ascii="Times New Roman" w:hAnsi="Times New Roman"/>
          <w:sz w:val="24"/>
          <w:szCs w:val="24"/>
        </w:rPr>
      </w:pPr>
      <w:r w:rsidRPr="00005314">
        <w:rPr>
          <w:rFonts w:ascii="Times New Roman" w:hAnsi="Times New Roman"/>
          <w:sz w:val="24"/>
          <w:szCs w:val="24"/>
        </w:rPr>
        <w:t xml:space="preserve">providing the circumstances in and the method by which </w:t>
      </w:r>
      <w:r w:rsidR="005724C6">
        <w:rPr>
          <w:rFonts w:ascii="Times New Roman" w:hAnsi="Times New Roman"/>
          <w:sz w:val="24"/>
          <w:szCs w:val="24"/>
        </w:rPr>
        <w:t>an</w:t>
      </w:r>
      <w:r w:rsidRPr="00005314">
        <w:rPr>
          <w:rFonts w:ascii="Times New Roman" w:hAnsi="Times New Roman"/>
          <w:sz w:val="24"/>
          <w:szCs w:val="24"/>
        </w:rPr>
        <w:t xml:space="preserve"> originator brand</w:t>
      </w:r>
      <w:r w:rsidR="00EB3C09">
        <w:rPr>
          <w:rFonts w:ascii="Times New Roman" w:hAnsi="Times New Roman"/>
          <w:sz w:val="24"/>
          <w:szCs w:val="24"/>
        </w:rPr>
        <w:t>’</w:t>
      </w:r>
      <w:r w:rsidR="00232D84">
        <w:rPr>
          <w:rFonts w:ascii="Times New Roman" w:hAnsi="Times New Roman"/>
          <w:sz w:val="24"/>
          <w:szCs w:val="24"/>
        </w:rPr>
        <w:t xml:space="preserve">s </w:t>
      </w:r>
      <w:r w:rsidR="00A301AB">
        <w:rPr>
          <w:rFonts w:ascii="Times New Roman" w:hAnsi="Times New Roman"/>
          <w:sz w:val="24"/>
          <w:szCs w:val="24"/>
        </w:rPr>
        <w:t xml:space="preserve">disclosed </w:t>
      </w:r>
      <w:r w:rsidR="00232D84">
        <w:rPr>
          <w:rFonts w:ascii="Times New Roman" w:hAnsi="Times New Roman"/>
          <w:sz w:val="24"/>
          <w:szCs w:val="24"/>
        </w:rPr>
        <w:t>data</w:t>
      </w:r>
      <w:r w:rsidRPr="00005314">
        <w:rPr>
          <w:rFonts w:ascii="Times New Roman" w:hAnsi="Times New Roman"/>
          <w:sz w:val="24"/>
          <w:szCs w:val="24"/>
        </w:rPr>
        <w:t xml:space="preserve"> </w:t>
      </w:r>
      <w:r w:rsidR="00AE5CBF">
        <w:rPr>
          <w:rFonts w:ascii="Times New Roman" w:hAnsi="Times New Roman"/>
          <w:sz w:val="24"/>
          <w:szCs w:val="24"/>
        </w:rPr>
        <w:t>is to</w:t>
      </w:r>
      <w:r w:rsidR="00005314">
        <w:rPr>
          <w:rFonts w:ascii="Times New Roman" w:hAnsi="Times New Roman"/>
          <w:sz w:val="24"/>
          <w:szCs w:val="24"/>
        </w:rPr>
        <w:t xml:space="preserve"> </w:t>
      </w:r>
      <w:r w:rsidRPr="00005314">
        <w:rPr>
          <w:rFonts w:ascii="Times New Roman" w:hAnsi="Times New Roman"/>
          <w:sz w:val="24"/>
          <w:szCs w:val="24"/>
        </w:rPr>
        <w:t>be removed from price disclosure calculations.  Th</w:t>
      </w:r>
      <w:r w:rsidR="000918CE">
        <w:rPr>
          <w:rFonts w:ascii="Times New Roman" w:hAnsi="Times New Roman"/>
          <w:sz w:val="24"/>
          <w:szCs w:val="24"/>
        </w:rPr>
        <w:t>ese</w:t>
      </w:r>
      <w:r w:rsidRPr="00005314">
        <w:rPr>
          <w:rFonts w:ascii="Times New Roman" w:hAnsi="Times New Roman"/>
          <w:sz w:val="24"/>
          <w:szCs w:val="24"/>
        </w:rPr>
        <w:t xml:space="preserve"> include</w:t>
      </w:r>
      <w:r w:rsidR="00191B22">
        <w:rPr>
          <w:rFonts w:ascii="Times New Roman" w:hAnsi="Times New Roman"/>
          <w:sz w:val="24"/>
          <w:szCs w:val="24"/>
        </w:rPr>
        <w:t xml:space="preserve"> that</w:t>
      </w:r>
      <w:r w:rsidR="005724C6">
        <w:rPr>
          <w:rFonts w:ascii="Times New Roman" w:hAnsi="Times New Roman"/>
          <w:sz w:val="24"/>
          <w:szCs w:val="24"/>
        </w:rPr>
        <w:t xml:space="preserve"> </w:t>
      </w:r>
      <w:r w:rsidR="005724C6" w:rsidRPr="00005314">
        <w:rPr>
          <w:rFonts w:ascii="Times New Roman" w:hAnsi="Times New Roman"/>
          <w:sz w:val="24"/>
          <w:szCs w:val="24"/>
        </w:rPr>
        <w:t xml:space="preserve">the originator brand </w:t>
      </w:r>
      <w:r w:rsidR="005724C6">
        <w:rPr>
          <w:rFonts w:ascii="Times New Roman" w:hAnsi="Times New Roman"/>
          <w:sz w:val="24"/>
          <w:szCs w:val="24"/>
        </w:rPr>
        <w:t xml:space="preserve">cannot be </w:t>
      </w:r>
      <w:r w:rsidR="005724C6" w:rsidRPr="00005314">
        <w:rPr>
          <w:rFonts w:ascii="Times New Roman" w:hAnsi="Times New Roman"/>
          <w:sz w:val="24"/>
          <w:szCs w:val="24"/>
        </w:rPr>
        <w:t>removed</w:t>
      </w:r>
      <w:r w:rsidR="005724C6">
        <w:rPr>
          <w:rFonts w:ascii="Times New Roman" w:hAnsi="Times New Roman"/>
          <w:sz w:val="24"/>
          <w:szCs w:val="24"/>
        </w:rPr>
        <w:t xml:space="preserve"> unless</w:t>
      </w:r>
      <w:r w:rsidRPr="00005314">
        <w:rPr>
          <w:rFonts w:ascii="Times New Roman" w:hAnsi="Times New Roman"/>
          <w:sz w:val="24"/>
          <w:szCs w:val="24"/>
        </w:rPr>
        <w:t>:</w:t>
      </w:r>
    </w:p>
    <w:p w:rsidR="003648EF" w:rsidRDefault="00232D84" w:rsidP="00005314">
      <w:pPr>
        <w:pStyle w:val="ListParagraph"/>
        <w:numPr>
          <w:ilvl w:val="1"/>
          <w:numId w:val="46"/>
        </w:numPr>
        <w:spacing w:after="60"/>
        <w:ind w:left="1134" w:right="-329"/>
        <w:rPr>
          <w:rFonts w:ascii="Times New Roman" w:hAnsi="Times New Roman"/>
          <w:sz w:val="24"/>
          <w:szCs w:val="24"/>
        </w:rPr>
      </w:pPr>
      <w:r>
        <w:rPr>
          <w:rFonts w:ascii="Times New Roman" w:hAnsi="Times New Roman"/>
          <w:sz w:val="24"/>
          <w:szCs w:val="24"/>
        </w:rPr>
        <w:t>the</w:t>
      </w:r>
      <w:r w:rsidRPr="00005314">
        <w:rPr>
          <w:rFonts w:ascii="Times New Roman" w:hAnsi="Times New Roman"/>
          <w:sz w:val="24"/>
          <w:szCs w:val="24"/>
        </w:rPr>
        <w:t xml:space="preserve"> </w:t>
      </w:r>
      <w:r w:rsidR="005724C6">
        <w:rPr>
          <w:rFonts w:ascii="Times New Roman" w:hAnsi="Times New Roman"/>
          <w:sz w:val="24"/>
          <w:szCs w:val="24"/>
        </w:rPr>
        <w:t xml:space="preserve">drug </w:t>
      </w:r>
      <w:r>
        <w:rPr>
          <w:rFonts w:ascii="Times New Roman" w:hAnsi="Times New Roman"/>
          <w:sz w:val="24"/>
          <w:szCs w:val="24"/>
        </w:rPr>
        <w:t xml:space="preserve">in the originator brand has </w:t>
      </w:r>
      <w:r w:rsidR="005724C6">
        <w:rPr>
          <w:rFonts w:ascii="Times New Roman" w:hAnsi="Times New Roman"/>
          <w:sz w:val="24"/>
          <w:szCs w:val="24"/>
        </w:rPr>
        <w:t>been on the F2</w:t>
      </w:r>
      <w:r w:rsidR="007F5BBA">
        <w:rPr>
          <w:rFonts w:ascii="Times New Roman" w:hAnsi="Times New Roman"/>
          <w:sz w:val="24"/>
          <w:szCs w:val="24"/>
        </w:rPr>
        <w:t> </w:t>
      </w:r>
      <w:r w:rsidR="005724C6">
        <w:rPr>
          <w:rFonts w:ascii="Times New Roman" w:hAnsi="Times New Roman"/>
          <w:sz w:val="24"/>
          <w:szCs w:val="24"/>
        </w:rPr>
        <w:t xml:space="preserve">formulary </w:t>
      </w:r>
      <w:r w:rsidR="007F5BBA">
        <w:rPr>
          <w:rFonts w:ascii="Times New Roman" w:hAnsi="Times New Roman"/>
          <w:sz w:val="24"/>
          <w:szCs w:val="24"/>
        </w:rPr>
        <w:t>for at least</w:t>
      </w:r>
      <w:r w:rsidR="00B61845">
        <w:rPr>
          <w:rFonts w:ascii="Times New Roman" w:hAnsi="Times New Roman"/>
          <w:sz w:val="24"/>
          <w:szCs w:val="24"/>
        </w:rPr>
        <w:t xml:space="preserve"> 30</w:t>
      </w:r>
      <w:r w:rsidR="00B87A91">
        <w:rPr>
          <w:rFonts w:ascii="Times New Roman" w:hAnsi="Times New Roman"/>
          <w:sz w:val="24"/>
          <w:szCs w:val="24"/>
        </w:rPr>
        <w:t> </w:t>
      </w:r>
      <w:r w:rsidR="00B61845">
        <w:rPr>
          <w:rFonts w:ascii="Times New Roman" w:hAnsi="Times New Roman"/>
          <w:sz w:val="24"/>
          <w:szCs w:val="24"/>
        </w:rPr>
        <w:t xml:space="preserve">months (worked out from the beginning of </w:t>
      </w:r>
      <w:r w:rsidR="00D564DD">
        <w:rPr>
          <w:rFonts w:ascii="Times New Roman" w:hAnsi="Times New Roman"/>
          <w:sz w:val="24"/>
          <w:szCs w:val="24"/>
        </w:rPr>
        <w:t>the</w:t>
      </w:r>
      <w:r w:rsidR="00B61845">
        <w:rPr>
          <w:rFonts w:ascii="Times New Roman" w:hAnsi="Times New Roman"/>
          <w:sz w:val="24"/>
          <w:szCs w:val="24"/>
        </w:rPr>
        <w:t xml:space="preserve"> data collection period)</w:t>
      </w:r>
      <w:r w:rsidR="007F5BBA">
        <w:rPr>
          <w:rFonts w:ascii="Times New Roman" w:hAnsi="Times New Roman"/>
          <w:sz w:val="24"/>
          <w:szCs w:val="24"/>
        </w:rPr>
        <w:t>;</w:t>
      </w:r>
      <w:r>
        <w:rPr>
          <w:rFonts w:ascii="Times New Roman" w:hAnsi="Times New Roman"/>
          <w:sz w:val="24"/>
          <w:szCs w:val="24"/>
        </w:rPr>
        <w:t xml:space="preserve"> </w:t>
      </w:r>
    </w:p>
    <w:p w:rsidR="00B43E85" w:rsidRPr="00005314" w:rsidRDefault="00D564DD" w:rsidP="00005314">
      <w:pPr>
        <w:pStyle w:val="ListParagraph"/>
        <w:numPr>
          <w:ilvl w:val="1"/>
          <w:numId w:val="46"/>
        </w:numPr>
        <w:spacing w:after="60"/>
        <w:ind w:left="1134" w:right="-329"/>
        <w:rPr>
          <w:rFonts w:ascii="Times New Roman" w:hAnsi="Times New Roman"/>
          <w:sz w:val="24"/>
          <w:szCs w:val="24"/>
        </w:rPr>
      </w:pPr>
      <w:r>
        <w:rPr>
          <w:rFonts w:ascii="Times New Roman" w:hAnsi="Times New Roman"/>
          <w:sz w:val="24"/>
          <w:szCs w:val="24"/>
        </w:rPr>
        <w:t>within the drug and manner of administration group used for price disclosure, at least 30</w:t>
      </w:r>
      <w:r w:rsidR="00B87A91">
        <w:rPr>
          <w:rFonts w:ascii="Times New Roman" w:hAnsi="Times New Roman"/>
          <w:sz w:val="24"/>
          <w:szCs w:val="24"/>
        </w:rPr>
        <w:t> </w:t>
      </w:r>
      <w:r>
        <w:rPr>
          <w:rFonts w:ascii="Times New Roman" w:hAnsi="Times New Roman"/>
          <w:sz w:val="24"/>
          <w:szCs w:val="24"/>
        </w:rPr>
        <w:t>months ago there were at least two brands of the same pharmaceutical item, or, at least two brand</w:t>
      </w:r>
      <w:r w:rsidR="00B87A91">
        <w:rPr>
          <w:rFonts w:ascii="Times New Roman" w:hAnsi="Times New Roman"/>
          <w:sz w:val="24"/>
          <w:szCs w:val="24"/>
        </w:rPr>
        <w:t>s</w:t>
      </w:r>
      <w:r>
        <w:rPr>
          <w:rFonts w:ascii="Times New Roman" w:hAnsi="Times New Roman"/>
          <w:sz w:val="24"/>
          <w:szCs w:val="24"/>
        </w:rPr>
        <w:t xml:space="preserve"> of different pharmaceutical items that are bioequivalent or biosimilar to each other (again, worked out from the beginning of the data collection period);</w:t>
      </w:r>
      <w:r w:rsidR="00B61845">
        <w:rPr>
          <w:rFonts w:ascii="Times New Roman" w:hAnsi="Times New Roman"/>
          <w:sz w:val="24"/>
          <w:szCs w:val="24"/>
        </w:rPr>
        <w:t xml:space="preserve"> </w:t>
      </w:r>
      <w:r w:rsidR="00232D84">
        <w:rPr>
          <w:rFonts w:ascii="Times New Roman" w:hAnsi="Times New Roman"/>
          <w:sz w:val="24"/>
          <w:szCs w:val="24"/>
        </w:rPr>
        <w:t>and</w:t>
      </w:r>
    </w:p>
    <w:p w:rsidR="00B43E85" w:rsidRPr="00005314" w:rsidRDefault="00B43E85" w:rsidP="00005314">
      <w:pPr>
        <w:pStyle w:val="ListParagraph"/>
        <w:numPr>
          <w:ilvl w:val="1"/>
          <w:numId w:val="46"/>
        </w:numPr>
        <w:spacing w:after="60"/>
        <w:ind w:left="1134"/>
        <w:rPr>
          <w:rFonts w:ascii="Times New Roman" w:hAnsi="Times New Roman"/>
          <w:sz w:val="24"/>
          <w:szCs w:val="24"/>
        </w:rPr>
      </w:pPr>
      <w:r w:rsidRPr="00005314">
        <w:rPr>
          <w:rFonts w:ascii="Times New Roman" w:hAnsi="Times New Roman"/>
          <w:sz w:val="24"/>
          <w:szCs w:val="24"/>
        </w:rPr>
        <w:t xml:space="preserve">there </w:t>
      </w:r>
      <w:r w:rsidR="007F5BBA">
        <w:rPr>
          <w:rFonts w:ascii="Times New Roman" w:hAnsi="Times New Roman"/>
          <w:sz w:val="24"/>
          <w:szCs w:val="24"/>
        </w:rPr>
        <w:t>are a</w:t>
      </w:r>
      <w:r w:rsidRPr="00005314">
        <w:rPr>
          <w:rFonts w:ascii="Times New Roman" w:hAnsi="Times New Roman"/>
          <w:sz w:val="24"/>
          <w:szCs w:val="24"/>
        </w:rPr>
        <w:t xml:space="preserve">t least two brands of </w:t>
      </w:r>
      <w:r w:rsidR="007F5BBA">
        <w:rPr>
          <w:rFonts w:ascii="Times New Roman" w:hAnsi="Times New Roman"/>
          <w:sz w:val="24"/>
          <w:szCs w:val="24"/>
        </w:rPr>
        <w:t xml:space="preserve">the </w:t>
      </w:r>
      <w:r w:rsidR="00D564DD">
        <w:rPr>
          <w:rFonts w:ascii="Times New Roman" w:hAnsi="Times New Roman"/>
          <w:sz w:val="24"/>
          <w:szCs w:val="24"/>
        </w:rPr>
        <w:t xml:space="preserve">same </w:t>
      </w:r>
      <w:r w:rsidRPr="00005314">
        <w:rPr>
          <w:rFonts w:ascii="Times New Roman" w:hAnsi="Times New Roman"/>
          <w:sz w:val="24"/>
          <w:szCs w:val="24"/>
        </w:rPr>
        <w:t>pharmaceutical item</w:t>
      </w:r>
      <w:r w:rsidR="00B61845">
        <w:rPr>
          <w:rFonts w:ascii="Times New Roman" w:hAnsi="Times New Roman"/>
          <w:sz w:val="24"/>
          <w:szCs w:val="24"/>
        </w:rPr>
        <w:t xml:space="preserve"> (</w:t>
      </w:r>
      <w:r w:rsidR="00B87A91">
        <w:rPr>
          <w:rFonts w:ascii="Times New Roman" w:hAnsi="Times New Roman"/>
          <w:sz w:val="24"/>
          <w:szCs w:val="24"/>
        </w:rPr>
        <w:t xml:space="preserve">which </w:t>
      </w:r>
      <w:r w:rsidR="00D564DD">
        <w:rPr>
          <w:rFonts w:ascii="Times New Roman" w:hAnsi="Times New Roman"/>
          <w:sz w:val="24"/>
          <w:szCs w:val="24"/>
        </w:rPr>
        <w:t>applies on an ongoing basis)</w:t>
      </w:r>
      <w:r w:rsidR="007F5BBA">
        <w:rPr>
          <w:rFonts w:ascii="Times New Roman" w:hAnsi="Times New Roman"/>
          <w:sz w:val="24"/>
          <w:szCs w:val="24"/>
        </w:rPr>
        <w:t>.</w:t>
      </w:r>
    </w:p>
    <w:p w:rsidR="00B43E85" w:rsidRPr="00005314" w:rsidRDefault="00B43E85" w:rsidP="00005314">
      <w:pPr>
        <w:pStyle w:val="ListParagraph"/>
        <w:numPr>
          <w:ilvl w:val="0"/>
          <w:numId w:val="46"/>
        </w:numPr>
        <w:spacing w:after="60"/>
        <w:rPr>
          <w:rFonts w:ascii="Times New Roman" w:hAnsi="Times New Roman"/>
          <w:sz w:val="24"/>
          <w:szCs w:val="24"/>
        </w:rPr>
      </w:pPr>
      <w:r w:rsidRPr="00005314">
        <w:rPr>
          <w:rFonts w:ascii="Times New Roman" w:hAnsi="Times New Roman"/>
          <w:sz w:val="24"/>
          <w:szCs w:val="24"/>
        </w:rPr>
        <w:t>establishing a</w:t>
      </w:r>
      <w:r w:rsidR="00BC175A" w:rsidRPr="00005314">
        <w:rPr>
          <w:rFonts w:ascii="Times New Roman" w:hAnsi="Times New Roman"/>
          <w:sz w:val="24"/>
          <w:szCs w:val="24"/>
        </w:rPr>
        <w:t xml:space="preserve"> mechanism to </w:t>
      </w:r>
      <w:r w:rsidRPr="00005314">
        <w:rPr>
          <w:rFonts w:ascii="Times New Roman" w:hAnsi="Times New Roman"/>
          <w:sz w:val="24"/>
          <w:szCs w:val="24"/>
        </w:rPr>
        <w:t>exclu</w:t>
      </w:r>
      <w:r w:rsidR="00BC175A" w:rsidRPr="00005314">
        <w:rPr>
          <w:rFonts w:ascii="Times New Roman" w:hAnsi="Times New Roman"/>
          <w:sz w:val="24"/>
          <w:szCs w:val="24"/>
        </w:rPr>
        <w:t>de</w:t>
      </w:r>
      <w:r w:rsidRPr="00005314">
        <w:rPr>
          <w:rFonts w:ascii="Times New Roman" w:hAnsi="Times New Roman"/>
          <w:sz w:val="24"/>
          <w:szCs w:val="24"/>
        </w:rPr>
        <w:t xml:space="preserve"> </w:t>
      </w:r>
      <w:r w:rsidR="00B61845">
        <w:rPr>
          <w:rFonts w:ascii="Times New Roman" w:hAnsi="Times New Roman"/>
          <w:sz w:val="24"/>
          <w:szCs w:val="24"/>
        </w:rPr>
        <w:t xml:space="preserve">low discount/low sales </w:t>
      </w:r>
      <w:r w:rsidR="003648EF">
        <w:rPr>
          <w:rFonts w:ascii="Times New Roman" w:hAnsi="Times New Roman"/>
          <w:sz w:val="24"/>
          <w:szCs w:val="24"/>
        </w:rPr>
        <w:t xml:space="preserve">pharmaceutical </w:t>
      </w:r>
      <w:r w:rsidRPr="00005314">
        <w:rPr>
          <w:rFonts w:ascii="Times New Roman" w:hAnsi="Times New Roman"/>
          <w:sz w:val="24"/>
          <w:szCs w:val="24"/>
        </w:rPr>
        <w:t>items</w:t>
      </w:r>
      <w:r w:rsidR="00BC175A" w:rsidRPr="00005314">
        <w:rPr>
          <w:rFonts w:ascii="Times New Roman" w:hAnsi="Times New Roman"/>
          <w:sz w:val="24"/>
          <w:szCs w:val="24"/>
        </w:rPr>
        <w:t xml:space="preserve"> from </w:t>
      </w:r>
      <w:r w:rsidR="00005314">
        <w:rPr>
          <w:rFonts w:ascii="Times New Roman" w:hAnsi="Times New Roman"/>
          <w:sz w:val="24"/>
          <w:szCs w:val="24"/>
        </w:rPr>
        <w:t xml:space="preserve">price disclosure </w:t>
      </w:r>
      <w:r w:rsidR="00BC175A" w:rsidRPr="00005314">
        <w:rPr>
          <w:rFonts w:ascii="Times New Roman" w:hAnsi="Times New Roman"/>
          <w:sz w:val="24"/>
          <w:szCs w:val="24"/>
        </w:rPr>
        <w:t>price reductions in some circumstances;</w:t>
      </w:r>
    </w:p>
    <w:p w:rsidR="00BC175A" w:rsidRPr="00005314" w:rsidRDefault="00BC175A" w:rsidP="00005314">
      <w:pPr>
        <w:pStyle w:val="ListParagraph"/>
        <w:numPr>
          <w:ilvl w:val="0"/>
          <w:numId w:val="46"/>
        </w:numPr>
        <w:spacing w:after="60"/>
        <w:rPr>
          <w:rFonts w:ascii="Times New Roman" w:hAnsi="Times New Roman"/>
          <w:sz w:val="24"/>
          <w:szCs w:val="24"/>
        </w:rPr>
      </w:pPr>
      <w:r w:rsidRPr="00005314">
        <w:rPr>
          <w:rFonts w:ascii="Times New Roman" w:hAnsi="Times New Roman"/>
          <w:sz w:val="24"/>
          <w:szCs w:val="24"/>
        </w:rPr>
        <w:t>r</w:t>
      </w:r>
      <w:r w:rsidR="00B43E85" w:rsidRPr="00005314">
        <w:rPr>
          <w:rFonts w:ascii="Times New Roman" w:hAnsi="Times New Roman"/>
          <w:sz w:val="24"/>
          <w:szCs w:val="24"/>
        </w:rPr>
        <w:t>ecognis</w:t>
      </w:r>
      <w:r w:rsidRPr="00005314">
        <w:rPr>
          <w:rFonts w:ascii="Times New Roman" w:hAnsi="Times New Roman"/>
          <w:sz w:val="24"/>
          <w:szCs w:val="24"/>
        </w:rPr>
        <w:t xml:space="preserve">ing </w:t>
      </w:r>
      <w:r w:rsidR="00B43E85" w:rsidRPr="00005314">
        <w:rPr>
          <w:rFonts w:ascii="Times New Roman" w:hAnsi="Times New Roman"/>
          <w:sz w:val="24"/>
          <w:szCs w:val="24"/>
        </w:rPr>
        <w:t>the new position of Deputy Chairperson</w:t>
      </w:r>
      <w:r w:rsidRPr="00005314">
        <w:rPr>
          <w:rFonts w:ascii="Times New Roman" w:hAnsi="Times New Roman"/>
          <w:sz w:val="24"/>
          <w:szCs w:val="24"/>
        </w:rPr>
        <w:t xml:space="preserve"> for the PBAC;</w:t>
      </w:r>
    </w:p>
    <w:p w:rsidR="00BC175A" w:rsidRPr="00005314" w:rsidRDefault="00B43E85" w:rsidP="00005314">
      <w:pPr>
        <w:pStyle w:val="ListParagraph"/>
        <w:numPr>
          <w:ilvl w:val="0"/>
          <w:numId w:val="46"/>
        </w:numPr>
        <w:spacing w:after="60"/>
        <w:rPr>
          <w:rFonts w:ascii="Times New Roman" w:hAnsi="Times New Roman"/>
          <w:sz w:val="24"/>
          <w:szCs w:val="24"/>
        </w:rPr>
      </w:pPr>
      <w:r w:rsidRPr="00005314">
        <w:rPr>
          <w:rFonts w:ascii="Times New Roman" w:hAnsi="Times New Roman"/>
          <w:sz w:val="24"/>
          <w:szCs w:val="24"/>
        </w:rPr>
        <w:t>identify</w:t>
      </w:r>
      <w:r w:rsidR="00BC175A" w:rsidRPr="00005314">
        <w:rPr>
          <w:rFonts w:ascii="Times New Roman" w:hAnsi="Times New Roman"/>
          <w:sz w:val="24"/>
          <w:szCs w:val="24"/>
        </w:rPr>
        <w:t>ing</w:t>
      </w:r>
      <w:r w:rsidRPr="00005314">
        <w:rPr>
          <w:rFonts w:ascii="Times New Roman" w:hAnsi="Times New Roman"/>
          <w:sz w:val="24"/>
          <w:szCs w:val="24"/>
        </w:rPr>
        <w:t xml:space="preserve"> the bodies which may nominat</w:t>
      </w:r>
      <w:r w:rsidR="00BC175A" w:rsidRPr="00005314">
        <w:rPr>
          <w:rFonts w:ascii="Times New Roman" w:hAnsi="Times New Roman"/>
          <w:sz w:val="24"/>
          <w:szCs w:val="24"/>
        </w:rPr>
        <w:t xml:space="preserve">e </w:t>
      </w:r>
      <w:r w:rsidRPr="00005314">
        <w:rPr>
          <w:rFonts w:ascii="Times New Roman" w:hAnsi="Times New Roman"/>
          <w:sz w:val="24"/>
          <w:szCs w:val="24"/>
        </w:rPr>
        <w:t xml:space="preserve">PBAC members representing industry </w:t>
      </w:r>
      <w:r w:rsidR="00BC175A" w:rsidRPr="00005314">
        <w:rPr>
          <w:rFonts w:ascii="Times New Roman" w:hAnsi="Times New Roman"/>
          <w:sz w:val="24"/>
          <w:szCs w:val="24"/>
        </w:rPr>
        <w:t>;</w:t>
      </w:r>
    </w:p>
    <w:p w:rsidR="00B43E85" w:rsidRPr="00005314" w:rsidRDefault="00B43E85" w:rsidP="00005314">
      <w:pPr>
        <w:pStyle w:val="ListParagraph"/>
        <w:numPr>
          <w:ilvl w:val="0"/>
          <w:numId w:val="46"/>
        </w:numPr>
        <w:spacing w:after="60"/>
        <w:rPr>
          <w:rFonts w:ascii="Times New Roman" w:hAnsi="Times New Roman"/>
          <w:sz w:val="24"/>
          <w:szCs w:val="24"/>
        </w:rPr>
      </w:pPr>
      <w:r w:rsidRPr="00005314">
        <w:rPr>
          <w:rFonts w:ascii="Times New Roman" w:hAnsi="Times New Roman"/>
          <w:sz w:val="24"/>
          <w:szCs w:val="24"/>
        </w:rPr>
        <w:t>mak</w:t>
      </w:r>
      <w:r w:rsidR="00BC175A" w:rsidRPr="00005314">
        <w:rPr>
          <w:rFonts w:ascii="Times New Roman" w:hAnsi="Times New Roman"/>
          <w:sz w:val="24"/>
          <w:szCs w:val="24"/>
        </w:rPr>
        <w:t>ing</w:t>
      </w:r>
      <w:r w:rsidRPr="00005314">
        <w:rPr>
          <w:rFonts w:ascii="Times New Roman" w:hAnsi="Times New Roman"/>
          <w:sz w:val="24"/>
          <w:szCs w:val="24"/>
        </w:rPr>
        <w:t xml:space="preserve"> technical changes so that procedural committee processes which are dealt with in the </w:t>
      </w:r>
      <w:r w:rsidRPr="00005314">
        <w:rPr>
          <w:rFonts w:ascii="Times New Roman" w:hAnsi="Times New Roman"/>
          <w:i/>
          <w:sz w:val="24"/>
          <w:szCs w:val="24"/>
        </w:rPr>
        <w:t>Acts Interpretation Act 1901</w:t>
      </w:r>
      <w:r w:rsidRPr="00005314">
        <w:rPr>
          <w:rFonts w:ascii="Times New Roman" w:hAnsi="Times New Roman"/>
          <w:sz w:val="24"/>
          <w:szCs w:val="24"/>
        </w:rPr>
        <w:t xml:space="preserve"> are not duplicated</w:t>
      </w:r>
      <w:r w:rsidR="00BC175A" w:rsidRPr="00005314">
        <w:rPr>
          <w:rFonts w:ascii="Times New Roman" w:hAnsi="Times New Roman"/>
          <w:sz w:val="24"/>
          <w:szCs w:val="24"/>
        </w:rPr>
        <w:t>;</w:t>
      </w:r>
    </w:p>
    <w:p w:rsidR="00484B4F" w:rsidRPr="00484B4F" w:rsidRDefault="00B43E85" w:rsidP="00CD79F4">
      <w:pPr>
        <w:pStyle w:val="ListParagraph"/>
        <w:numPr>
          <w:ilvl w:val="0"/>
          <w:numId w:val="46"/>
        </w:numPr>
        <w:spacing w:after="60"/>
      </w:pPr>
      <w:r w:rsidRPr="000918CE">
        <w:rPr>
          <w:rFonts w:ascii="Times New Roman" w:hAnsi="Times New Roman"/>
          <w:sz w:val="24"/>
          <w:szCs w:val="24"/>
        </w:rPr>
        <w:lastRenderedPageBreak/>
        <w:t>align</w:t>
      </w:r>
      <w:r w:rsidR="00BC175A" w:rsidRPr="000918CE">
        <w:rPr>
          <w:rFonts w:ascii="Times New Roman" w:hAnsi="Times New Roman"/>
          <w:sz w:val="24"/>
          <w:szCs w:val="24"/>
        </w:rPr>
        <w:t>ing</w:t>
      </w:r>
      <w:r w:rsidRPr="000918CE">
        <w:rPr>
          <w:rFonts w:ascii="Times New Roman" w:hAnsi="Times New Roman"/>
          <w:sz w:val="24"/>
          <w:szCs w:val="24"/>
        </w:rPr>
        <w:t xml:space="preserve"> the interval periods for when repeated supplie</w:t>
      </w:r>
      <w:r w:rsidR="00A33B49">
        <w:rPr>
          <w:rFonts w:ascii="Times New Roman" w:hAnsi="Times New Roman"/>
          <w:sz w:val="24"/>
          <w:szCs w:val="24"/>
        </w:rPr>
        <w:t>s</w:t>
      </w:r>
      <w:r w:rsidRPr="000918CE">
        <w:rPr>
          <w:rFonts w:ascii="Times New Roman" w:hAnsi="Times New Roman"/>
          <w:sz w:val="24"/>
          <w:szCs w:val="24"/>
        </w:rPr>
        <w:t xml:space="preserve"> of pharmaceutical benefits may be supplied with the new </w:t>
      </w:r>
      <w:r w:rsidR="00A33B49">
        <w:rPr>
          <w:rFonts w:ascii="Times New Roman" w:hAnsi="Times New Roman"/>
          <w:sz w:val="24"/>
          <w:szCs w:val="24"/>
        </w:rPr>
        <w:t xml:space="preserve">provisions </w:t>
      </w:r>
      <w:r w:rsidRPr="000918CE">
        <w:rPr>
          <w:rFonts w:ascii="Times New Roman" w:hAnsi="Times New Roman"/>
          <w:sz w:val="24"/>
          <w:szCs w:val="24"/>
        </w:rPr>
        <w:t>relating to early supply</w:t>
      </w:r>
      <w:r w:rsidR="00A33B49">
        <w:rPr>
          <w:rFonts w:ascii="Times New Roman" w:hAnsi="Times New Roman"/>
          <w:sz w:val="24"/>
          <w:szCs w:val="24"/>
        </w:rPr>
        <w:t xml:space="preserve"> of specified pharmaceutical benefits</w:t>
      </w:r>
      <w:r w:rsidR="00EB3C09">
        <w:rPr>
          <w:rFonts w:ascii="Times New Roman" w:hAnsi="Times New Roman"/>
          <w:sz w:val="24"/>
          <w:szCs w:val="24"/>
        </w:rPr>
        <w:t>; and</w:t>
      </w:r>
    </w:p>
    <w:p w:rsidR="003C27DC" w:rsidRPr="00BE4281" w:rsidRDefault="00484B4F" w:rsidP="00632E0B">
      <w:pPr>
        <w:pStyle w:val="ListParagraph"/>
        <w:numPr>
          <w:ilvl w:val="0"/>
          <w:numId w:val="46"/>
        </w:numPr>
        <w:spacing w:after="120"/>
      </w:pPr>
      <w:r w:rsidRPr="00484B4F">
        <w:rPr>
          <w:rFonts w:ascii="Times New Roman" w:hAnsi="Times New Roman"/>
          <w:sz w:val="24"/>
          <w:szCs w:val="24"/>
        </w:rPr>
        <w:t>simplifying drafting, including removing spent provisions, and providing for transition to the changed price disclosure arrangements</w:t>
      </w:r>
      <w:r w:rsidR="000918CE" w:rsidRPr="000918CE">
        <w:rPr>
          <w:rFonts w:ascii="Times New Roman" w:hAnsi="Times New Roman"/>
          <w:sz w:val="24"/>
          <w:szCs w:val="24"/>
        </w:rPr>
        <w:t>.</w:t>
      </w:r>
    </w:p>
    <w:p w:rsidR="007409A7" w:rsidRDefault="007409A7" w:rsidP="00632E0B">
      <w:pPr>
        <w:spacing w:before="0" w:after="240"/>
        <w:ind w:right="91"/>
      </w:pPr>
      <w:r w:rsidRPr="00966F16">
        <w:t>Details of the</w:t>
      </w:r>
      <w:r>
        <w:t xml:space="preserve"> </w:t>
      </w:r>
      <w:r w:rsidR="004E5AD9">
        <w:t>R</w:t>
      </w:r>
      <w:r>
        <w:t>egulation are set out in the</w:t>
      </w:r>
      <w:r w:rsidRPr="00966F16">
        <w:t xml:space="preserve"> </w:t>
      </w:r>
      <w:r w:rsidRPr="0081255B">
        <w:rPr>
          <w:u w:val="single"/>
        </w:rPr>
        <w:t>Attachment</w:t>
      </w:r>
      <w:r w:rsidRPr="00966F16">
        <w:t>.</w:t>
      </w:r>
    </w:p>
    <w:p w:rsidR="00103AF4" w:rsidRDefault="00103AF4" w:rsidP="00DC337F">
      <w:pPr>
        <w:shd w:val="clear" w:color="auto" w:fill="FFFFFF" w:themeFill="background1"/>
        <w:spacing w:before="0" w:after="180"/>
        <w:ind w:right="-45"/>
      </w:pPr>
      <w:r w:rsidRPr="00CE6754">
        <w:t>The PBS Access and Sustainability Package includ</w:t>
      </w:r>
      <w:r w:rsidR="0090048C">
        <w:t>es</w:t>
      </w:r>
      <w:r w:rsidRPr="00CE6754">
        <w:t xml:space="preserve"> measures relating to the Sixth</w:t>
      </w:r>
      <w:r w:rsidR="00171439">
        <w:t> </w:t>
      </w:r>
      <w:r w:rsidRPr="00CE6754">
        <w:t>Community Pharmacy Agreement between the Commonwealth of Australia and the Pharmacy Guild of Australia</w:t>
      </w:r>
      <w:r>
        <w:t xml:space="preserve"> and the Strategic Agreement with the Generic Medicines Industry Association (now known as the Generic and Biosimilar Medicines Association)</w:t>
      </w:r>
      <w:r w:rsidRPr="00CE6754">
        <w:t>.</w:t>
      </w:r>
      <w:r w:rsidR="0047454D">
        <w:t xml:space="preserve">  </w:t>
      </w:r>
      <w:r w:rsidRPr="0008782D">
        <w:t>The</w:t>
      </w:r>
      <w:r w:rsidR="00171439">
        <w:t> </w:t>
      </w:r>
      <w:r w:rsidR="0090048C">
        <w:t xml:space="preserve">measures were negotiated following consultations </w:t>
      </w:r>
      <w:r w:rsidR="0047454D">
        <w:t xml:space="preserve">during the first half of 2015 </w:t>
      </w:r>
      <w:r w:rsidR="0090048C">
        <w:t xml:space="preserve">by the Minister for Health and the </w:t>
      </w:r>
      <w:r w:rsidRPr="0008782D">
        <w:t xml:space="preserve">Department of Health </w:t>
      </w:r>
      <w:r w:rsidR="0090048C" w:rsidRPr="00CE6754">
        <w:t xml:space="preserve">with </w:t>
      </w:r>
      <w:r w:rsidR="0090048C">
        <w:t xml:space="preserve">stakeholders </w:t>
      </w:r>
      <w:r w:rsidRPr="0008782D">
        <w:t xml:space="preserve">from the pharmaceutical sector including industry, consumer, </w:t>
      </w:r>
      <w:r w:rsidR="00225D0F">
        <w:t>medical,</w:t>
      </w:r>
      <w:r w:rsidR="00171439">
        <w:t xml:space="preserve"> </w:t>
      </w:r>
      <w:r w:rsidRPr="0008782D">
        <w:t xml:space="preserve">pharmacist </w:t>
      </w:r>
      <w:r w:rsidR="00225D0F">
        <w:t xml:space="preserve">and wholesaler </w:t>
      </w:r>
      <w:r w:rsidRPr="0008782D">
        <w:t>groups</w:t>
      </w:r>
      <w:r w:rsidR="0090048C">
        <w:t xml:space="preserve">.  </w:t>
      </w:r>
      <w:r w:rsidR="00225D0F">
        <w:t>Organisations r</w:t>
      </w:r>
      <w:r w:rsidRPr="0008782D">
        <w:t>epresent</w:t>
      </w:r>
      <w:r w:rsidR="00225D0F">
        <w:t>ed</w:t>
      </w:r>
      <w:r w:rsidRPr="0008782D">
        <w:t xml:space="preserve"> </w:t>
      </w:r>
      <w:r w:rsidR="00225D0F">
        <w:t xml:space="preserve">included </w:t>
      </w:r>
      <w:r w:rsidR="00225D0F" w:rsidRPr="0008782D">
        <w:t>Medicines Australia</w:t>
      </w:r>
      <w:r w:rsidR="00225D0F">
        <w:t>,</w:t>
      </w:r>
      <w:r w:rsidR="00225D0F" w:rsidRPr="0008782D">
        <w:t xml:space="preserve"> </w:t>
      </w:r>
      <w:r w:rsidR="00225D0F">
        <w:t xml:space="preserve">the </w:t>
      </w:r>
      <w:r w:rsidR="00225D0F" w:rsidRPr="0008782D">
        <w:t>Generic Medicines Industry Association</w:t>
      </w:r>
      <w:r w:rsidR="00225D0F">
        <w:t>,</w:t>
      </w:r>
      <w:r w:rsidR="00225D0F" w:rsidRPr="0008782D">
        <w:t xml:space="preserve"> </w:t>
      </w:r>
      <w:r w:rsidRPr="0008782D">
        <w:t xml:space="preserve">the Consumers Health Forum, </w:t>
      </w:r>
      <w:r w:rsidR="00225D0F">
        <w:t xml:space="preserve">NPS </w:t>
      </w:r>
      <w:proofErr w:type="spellStart"/>
      <w:r w:rsidR="00225D0F">
        <w:t>MedicineWise</w:t>
      </w:r>
      <w:proofErr w:type="spellEnd"/>
      <w:r w:rsidR="00225D0F">
        <w:t xml:space="preserve">, the Australian Medical Association, </w:t>
      </w:r>
      <w:r>
        <w:t xml:space="preserve">the </w:t>
      </w:r>
      <w:r w:rsidRPr="0008782D">
        <w:t xml:space="preserve">Pharmacy Guild of Australia, </w:t>
      </w:r>
      <w:r>
        <w:t xml:space="preserve">the </w:t>
      </w:r>
      <w:r w:rsidRPr="0008782D">
        <w:t>Pharmaceutical Society of Australia</w:t>
      </w:r>
      <w:r w:rsidR="00225D0F">
        <w:t>,</w:t>
      </w:r>
      <w:r w:rsidRPr="0008782D">
        <w:t xml:space="preserve"> </w:t>
      </w:r>
      <w:r>
        <w:t>the</w:t>
      </w:r>
      <w:r w:rsidR="00171439">
        <w:t> </w:t>
      </w:r>
      <w:r w:rsidRPr="0008782D">
        <w:t>Society of Hospital Pharmacists of Australia</w:t>
      </w:r>
      <w:r w:rsidR="00940113">
        <w:t>,</w:t>
      </w:r>
      <w:r>
        <w:t xml:space="preserve"> </w:t>
      </w:r>
      <w:r w:rsidR="00225D0F">
        <w:t xml:space="preserve">and </w:t>
      </w:r>
      <w:r w:rsidR="00940113">
        <w:t xml:space="preserve">the </w:t>
      </w:r>
      <w:r w:rsidR="00940113" w:rsidRPr="0008782D">
        <w:t>National Pharmaceutical Services Association</w:t>
      </w:r>
      <w:r w:rsidRPr="0008782D">
        <w:t>.</w:t>
      </w:r>
    </w:p>
    <w:p w:rsidR="00B3620E" w:rsidRDefault="00103AF4" w:rsidP="00DC337F">
      <w:pPr>
        <w:shd w:val="clear" w:color="auto" w:fill="FFFFFF" w:themeFill="background1"/>
        <w:spacing w:before="0" w:after="180"/>
        <w:ind w:right="-45"/>
      </w:pPr>
      <w:r>
        <w:t xml:space="preserve">The </w:t>
      </w:r>
      <w:r w:rsidR="004D1473">
        <w:t>R</w:t>
      </w:r>
      <w:r>
        <w:t xml:space="preserve">egulation was drafted taking into consideration the discussions with stakeholders.  </w:t>
      </w:r>
      <w:r w:rsidR="004D1473">
        <w:t>In</w:t>
      </w:r>
      <w:r w:rsidR="0047454D">
        <w:t> mid</w:t>
      </w:r>
      <w:r w:rsidR="0047454D">
        <w:noBreakHyphen/>
      </w:r>
      <w:r w:rsidR="004D1473">
        <w:t>July 2015, a</w:t>
      </w:r>
      <w:r>
        <w:t> </w:t>
      </w:r>
      <w:r w:rsidRPr="00283A5E">
        <w:t xml:space="preserve">confidential draft </w:t>
      </w:r>
      <w:r>
        <w:t xml:space="preserve">was provided to nominated representatives of </w:t>
      </w:r>
      <w:r w:rsidR="004D1473">
        <w:t>five key</w:t>
      </w:r>
      <w:r>
        <w:t xml:space="preserve"> stakeholder </w:t>
      </w:r>
      <w:r w:rsidR="00DC337F">
        <w:t xml:space="preserve">groups </w:t>
      </w:r>
      <w:r>
        <w:t xml:space="preserve">who </w:t>
      </w:r>
      <w:r w:rsidR="004D1473">
        <w:t xml:space="preserve">had participated in the consultations earlier in the year.  </w:t>
      </w:r>
      <w:r w:rsidR="009B5378">
        <w:t>Two</w:t>
      </w:r>
      <w:r w:rsidR="0047454D">
        <w:t> </w:t>
      </w:r>
      <w:r>
        <w:t xml:space="preserve">stakeholder </w:t>
      </w:r>
      <w:r w:rsidR="00DC337F">
        <w:t>organisations</w:t>
      </w:r>
      <w:r w:rsidR="00B3620E">
        <w:t xml:space="preserve">, </w:t>
      </w:r>
      <w:r w:rsidR="00B3620E" w:rsidRPr="0008782D">
        <w:t>Medicines Australia</w:t>
      </w:r>
      <w:r w:rsidR="00B3620E">
        <w:t xml:space="preserve"> and the </w:t>
      </w:r>
      <w:r w:rsidR="00B3620E" w:rsidRPr="0008782D">
        <w:t>Generic Medicines Industry Association</w:t>
      </w:r>
      <w:r w:rsidR="00963D0C">
        <w:t>,</w:t>
      </w:r>
      <w:r>
        <w:t xml:space="preserve"> </w:t>
      </w:r>
      <w:r w:rsidR="009B5378">
        <w:t xml:space="preserve">accepted invitations to meet with the Department regarding the </w:t>
      </w:r>
      <w:r w:rsidR="0047454D">
        <w:t xml:space="preserve">draft </w:t>
      </w:r>
      <w:r>
        <w:t xml:space="preserve">provisions.  Comments </w:t>
      </w:r>
      <w:r w:rsidR="009B5378">
        <w:t xml:space="preserve">were received at the meetings and </w:t>
      </w:r>
      <w:r>
        <w:t>in writing</w:t>
      </w:r>
      <w:r w:rsidR="0040672D">
        <w:t xml:space="preserve"> over the ten-day consultation period</w:t>
      </w:r>
      <w:r>
        <w:t>.</w:t>
      </w:r>
      <w:r w:rsidR="009B5378">
        <w:t xml:space="preserve">  </w:t>
      </w:r>
    </w:p>
    <w:p w:rsidR="00103AF4" w:rsidRDefault="009B5378" w:rsidP="00DC337F">
      <w:pPr>
        <w:shd w:val="clear" w:color="auto" w:fill="FFFFFF" w:themeFill="background1"/>
        <w:spacing w:before="0" w:after="180"/>
        <w:ind w:right="91"/>
      </w:pPr>
      <w:r>
        <w:t>Several changes to the draft Regulation</w:t>
      </w:r>
      <w:r w:rsidR="00141B82" w:rsidRPr="00141B82">
        <w:t xml:space="preserve"> </w:t>
      </w:r>
      <w:r w:rsidR="00141B82">
        <w:t>were made as a result of the consultation</w:t>
      </w:r>
      <w:r>
        <w:t xml:space="preserve">, including changes to the calculation method for </w:t>
      </w:r>
      <w:r w:rsidR="00141B82">
        <w:t xml:space="preserve">identifying </w:t>
      </w:r>
      <w:r w:rsidR="000B124A">
        <w:t xml:space="preserve">low volume products </w:t>
      </w:r>
      <w:r w:rsidR="00141B82">
        <w:t>when a price disclosure price reduction should not apply</w:t>
      </w:r>
      <w:r>
        <w:t xml:space="preserve">.  </w:t>
      </w:r>
      <w:r w:rsidR="00141B82">
        <w:t xml:space="preserve">The changes </w:t>
      </w:r>
      <w:r w:rsidR="00103AF4">
        <w:t>resolved the issues raised</w:t>
      </w:r>
      <w:r w:rsidR="0040672D">
        <w:t xml:space="preserve"> </w:t>
      </w:r>
      <w:r w:rsidR="00963D0C">
        <w:t xml:space="preserve">where that was consistent with </w:t>
      </w:r>
      <w:r w:rsidR="0040672D">
        <w:t>maintaining the policy intent</w:t>
      </w:r>
      <w:r w:rsidR="00141B82">
        <w:t>.</w:t>
      </w:r>
    </w:p>
    <w:p w:rsidR="00103AF4" w:rsidRDefault="00103AF4" w:rsidP="00DC337F">
      <w:pPr>
        <w:shd w:val="clear" w:color="auto" w:fill="FFFFFF" w:themeFill="background1"/>
        <w:spacing w:before="0" w:after="240"/>
        <w:ind w:right="-329"/>
      </w:pPr>
      <w:r>
        <w:t>C</w:t>
      </w:r>
      <w:r w:rsidRPr="0008782D">
        <w:t xml:space="preserve">ommunication </w:t>
      </w:r>
      <w:r>
        <w:t xml:space="preserve">with industry, pharmacy and other stakeholders </w:t>
      </w:r>
      <w:r w:rsidRPr="0008782D">
        <w:t xml:space="preserve">will continue </w:t>
      </w:r>
      <w:r w:rsidR="00632E0B">
        <w:t xml:space="preserve">as part of </w:t>
      </w:r>
      <w:r w:rsidRPr="0008782D">
        <w:t xml:space="preserve">the </w:t>
      </w:r>
      <w:r w:rsidR="00141B82">
        <w:t>implementation</w:t>
      </w:r>
      <w:r w:rsidR="0047454D">
        <w:t xml:space="preserve">.  </w:t>
      </w:r>
      <w:r>
        <w:t>This will include updates to fact sheets and guidelines for PBS price disclosure.</w:t>
      </w:r>
    </w:p>
    <w:p w:rsidR="007649E2" w:rsidRDefault="007649E2" w:rsidP="00632E0B">
      <w:pPr>
        <w:spacing w:before="0" w:after="180"/>
        <w:ind w:right="91"/>
      </w:pPr>
      <w:r w:rsidRPr="00966F16">
        <w:t>The Act specifies no conditions that need to be met before the power to make the</w:t>
      </w:r>
      <w:r w:rsidR="00C71EEF">
        <w:t xml:space="preserve"> </w:t>
      </w:r>
      <w:r w:rsidR="004E5AD9">
        <w:t>R</w:t>
      </w:r>
      <w:r w:rsidRPr="00966F16">
        <w:t>egulation may be exercised.</w:t>
      </w:r>
    </w:p>
    <w:p w:rsidR="00F7142B" w:rsidRPr="00F7142B" w:rsidRDefault="00F7142B" w:rsidP="000B124A">
      <w:pPr>
        <w:spacing w:before="0" w:after="180"/>
        <w:ind w:right="-612"/>
        <w:rPr>
          <w:i/>
        </w:rPr>
      </w:pPr>
      <w:r>
        <w:t xml:space="preserve">The </w:t>
      </w:r>
      <w:r w:rsidR="004E5AD9">
        <w:t>R</w:t>
      </w:r>
      <w:r>
        <w:t xml:space="preserve">egulation </w:t>
      </w:r>
      <w:r w:rsidR="00AE5CBF">
        <w:t>is</w:t>
      </w:r>
      <w:r w:rsidR="0083051E">
        <w:t xml:space="preserve"> </w:t>
      </w:r>
      <w:r>
        <w:t xml:space="preserve">a legislative instrument for the purposes of the </w:t>
      </w:r>
      <w:r w:rsidRPr="00F7142B">
        <w:rPr>
          <w:i/>
        </w:rPr>
        <w:t>Legislative Instruments Act</w:t>
      </w:r>
      <w:r w:rsidR="00C0255D">
        <w:rPr>
          <w:i/>
        </w:rPr>
        <w:t> </w:t>
      </w:r>
      <w:r w:rsidRPr="00F7142B">
        <w:rPr>
          <w:i/>
        </w:rPr>
        <w:t>2003.</w:t>
      </w:r>
    </w:p>
    <w:p w:rsidR="00256964" w:rsidRDefault="007409A7" w:rsidP="00632E0B">
      <w:pPr>
        <w:spacing w:before="0" w:after="180"/>
        <w:ind w:right="91"/>
      </w:pPr>
      <w:r>
        <w:t>The</w:t>
      </w:r>
      <w:r w:rsidR="00B95A76" w:rsidRPr="00966F16">
        <w:t xml:space="preserve"> </w:t>
      </w:r>
      <w:r w:rsidR="004E5AD9">
        <w:t>R</w:t>
      </w:r>
      <w:r w:rsidR="003A719C" w:rsidRPr="00966F16">
        <w:t>egulati</w:t>
      </w:r>
      <w:r w:rsidR="003C3D3E" w:rsidRPr="00966F16">
        <w:t>on</w:t>
      </w:r>
      <w:r w:rsidR="004637E0">
        <w:t xml:space="preserve"> </w:t>
      </w:r>
      <w:r w:rsidR="00AE5CBF">
        <w:t>c</w:t>
      </w:r>
      <w:r>
        <w:t>ommence</w:t>
      </w:r>
      <w:r w:rsidR="00AE5CBF">
        <w:t>s</w:t>
      </w:r>
      <w:r>
        <w:t xml:space="preserve"> on</w:t>
      </w:r>
      <w:r w:rsidR="004637E0">
        <w:t xml:space="preserve"> </w:t>
      </w:r>
      <w:r w:rsidR="00C40D0D">
        <w:t>the day after it is registered</w:t>
      </w:r>
      <w:r w:rsidR="007B0638">
        <w:t>.</w:t>
      </w:r>
    </w:p>
    <w:p w:rsidR="0083051E" w:rsidRDefault="0083051E" w:rsidP="0083051E">
      <w:pPr>
        <w:spacing w:before="0"/>
        <w:ind w:left="1134" w:right="-136" w:firstLine="567"/>
      </w:pPr>
      <w:r w:rsidRPr="0083051E">
        <w:t xml:space="preserve">                                                               </w:t>
      </w:r>
      <w:r w:rsidR="00963FBD" w:rsidRPr="00D32FE4">
        <w:rPr>
          <w:u w:val="single"/>
        </w:rPr>
        <w:t>Authority</w:t>
      </w:r>
      <w:r w:rsidR="00963FBD">
        <w:t xml:space="preserve">:   </w:t>
      </w:r>
      <w:r w:rsidR="00963FBD" w:rsidRPr="00D32FE4">
        <w:t>Section</w:t>
      </w:r>
      <w:r w:rsidR="0039738E">
        <w:t> </w:t>
      </w:r>
      <w:r w:rsidR="00963FBD" w:rsidRPr="00D32FE4">
        <w:t>140 of the</w:t>
      </w:r>
      <w:r w:rsidR="00963FBD">
        <w:t xml:space="preserve"> </w:t>
      </w:r>
    </w:p>
    <w:p w:rsidR="00963FBD" w:rsidRDefault="00963FBD" w:rsidP="004E06A8">
      <w:pPr>
        <w:spacing w:before="0"/>
        <w:ind w:left="1134" w:right="-136" w:firstLine="567"/>
        <w:jc w:val="right"/>
        <w:rPr>
          <w:i/>
        </w:rPr>
      </w:pPr>
      <w:r w:rsidRPr="00D32FE4">
        <w:rPr>
          <w:i/>
        </w:rPr>
        <w:t>National</w:t>
      </w:r>
      <w:r>
        <w:rPr>
          <w:i/>
        </w:rPr>
        <w:t> </w:t>
      </w:r>
      <w:r w:rsidRPr="00D32FE4">
        <w:rPr>
          <w:i/>
        </w:rPr>
        <w:t>Health</w:t>
      </w:r>
      <w:r w:rsidR="0039738E">
        <w:rPr>
          <w:i/>
        </w:rPr>
        <w:t> </w:t>
      </w:r>
      <w:r w:rsidRPr="00D32FE4">
        <w:rPr>
          <w:i/>
        </w:rPr>
        <w:t>Act</w:t>
      </w:r>
      <w:r w:rsidR="0039738E">
        <w:rPr>
          <w:i/>
        </w:rPr>
        <w:t> </w:t>
      </w:r>
      <w:r w:rsidRPr="00D32FE4">
        <w:rPr>
          <w:i/>
        </w:rPr>
        <w:t>1953</w:t>
      </w:r>
    </w:p>
    <w:p w:rsidR="00BE4281" w:rsidRDefault="00BE4281">
      <w:pPr>
        <w:spacing w:before="0"/>
        <w:rPr>
          <w:b/>
          <w:bCs/>
          <w:u w:val="single"/>
        </w:rPr>
        <w:sectPr w:rsidR="00BE4281" w:rsidSect="004F2EAB">
          <w:headerReference w:type="default" r:id="rId9"/>
          <w:footerReference w:type="default" r:id="rId10"/>
          <w:pgSz w:w="11907" w:h="16840" w:code="9"/>
          <w:pgMar w:top="1244" w:right="1440" w:bottom="1135" w:left="1440" w:header="426" w:footer="306" w:gutter="0"/>
          <w:cols w:space="720"/>
          <w:titlePg/>
          <w:docGrid w:linePitch="254"/>
        </w:sectPr>
      </w:pPr>
    </w:p>
    <w:p w:rsidR="00797AB2" w:rsidRDefault="00797AB2" w:rsidP="00931D16">
      <w:pPr>
        <w:tabs>
          <w:tab w:val="left" w:pos="5103"/>
        </w:tabs>
        <w:spacing w:before="0"/>
        <w:ind w:right="91"/>
        <w:jc w:val="right"/>
        <w:rPr>
          <w:b/>
          <w:bCs/>
          <w:u w:val="single"/>
        </w:rPr>
      </w:pPr>
      <w:r>
        <w:rPr>
          <w:b/>
          <w:bCs/>
          <w:u w:val="single"/>
        </w:rPr>
        <w:t>ATTACHMENT</w:t>
      </w:r>
    </w:p>
    <w:p w:rsidR="00797AB2" w:rsidRDefault="00797AB2" w:rsidP="00D53897">
      <w:pPr>
        <w:ind w:right="45"/>
      </w:pPr>
      <w:r>
        <w:rPr>
          <w:b/>
          <w:bCs/>
          <w:u w:val="single"/>
        </w:rPr>
        <w:t xml:space="preserve">Details of the </w:t>
      </w:r>
      <w:r w:rsidRPr="004F5085">
        <w:rPr>
          <w:b/>
          <w:bCs/>
          <w:iCs/>
          <w:u w:val="single"/>
        </w:rPr>
        <w:t xml:space="preserve">National Health </w:t>
      </w:r>
      <w:r w:rsidR="00A018CE" w:rsidRPr="004F5085">
        <w:rPr>
          <w:b/>
          <w:bCs/>
          <w:iCs/>
          <w:u w:val="single"/>
        </w:rPr>
        <w:t>(Pharmaceutical Benefits) Amendment (2015</w:t>
      </w:r>
      <w:r w:rsidR="002B64B5" w:rsidRPr="004F5085">
        <w:rPr>
          <w:b/>
          <w:bCs/>
          <w:iCs/>
          <w:u w:val="single"/>
        </w:rPr>
        <w:t> Measures No </w:t>
      </w:r>
      <w:r w:rsidR="00A018CE" w:rsidRPr="004F5085">
        <w:rPr>
          <w:b/>
          <w:bCs/>
          <w:iCs/>
          <w:u w:val="single"/>
        </w:rPr>
        <w:t>1) Regulation 2015</w:t>
      </w:r>
    </w:p>
    <w:p w:rsidR="00797AB2" w:rsidRPr="00BE4281" w:rsidRDefault="00F219DC" w:rsidP="00D319E6">
      <w:pPr>
        <w:spacing w:before="360"/>
        <w:rPr>
          <w:u w:val="single"/>
        </w:rPr>
      </w:pPr>
      <w:r w:rsidRPr="00BE4281">
        <w:rPr>
          <w:u w:val="single"/>
        </w:rPr>
        <w:t>1</w:t>
      </w:r>
      <w:r w:rsidR="00BE4281" w:rsidRPr="00BE4281">
        <w:rPr>
          <w:u w:val="single"/>
        </w:rPr>
        <w:t xml:space="preserve"> - </w:t>
      </w:r>
      <w:r w:rsidR="00797AB2" w:rsidRPr="00BE4281">
        <w:rPr>
          <w:u w:val="single"/>
        </w:rPr>
        <w:t xml:space="preserve">Name of </w:t>
      </w:r>
      <w:r w:rsidR="00230D84" w:rsidRPr="00BE4281">
        <w:rPr>
          <w:u w:val="single"/>
        </w:rPr>
        <w:t>r</w:t>
      </w:r>
      <w:r w:rsidR="00797AB2" w:rsidRPr="00BE4281">
        <w:rPr>
          <w:u w:val="single"/>
        </w:rPr>
        <w:t>egulation</w:t>
      </w:r>
    </w:p>
    <w:p w:rsidR="00797AB2" w:rsidRDefault="00797AB2" w:rsidP="00BE4281">
      <w:pPr>
        <w:spacing w:before="0"/>
      </w:pPr>
      <w:r>
        <w:t xml:space="preserve">This </w:t>
      </w:r>
      <w:r w:rsidR="00B458F3">
        <w:t>section</w:t>
      </w:r>
      <w:r w:rsidR="00744F1E">
        <w:t xml:space="preserve"> </w:t>
      </w:r>
      <w:r w:rsidR="00DF4F17">
        <w:t>provide</w:t>
      </w:r>
      <w:r w:rsidR="00171439">
        <w:t>s</w:t>
      </w:r>
      <w:r w:rsidR="00DF4F17">
        <w:t xml:space="preserve"> </w:t>
      </w:r>
      <w:r>
        <w:t xml:space="preserve">that the title of the </w:t>
      </w:r>
      <w:r w:rsidR="006F18CB">
        <w:t>r</w:t>
      </w:r>
      <w:r>
        <w:t xml:space="preserve">egulation </w:t>
      </w:r>
      <w:r w:rsidR="00DF4F17">
        <w:t>is t</w:t>
      </w:r>
      <w:r>
        <w:t xml:space="preserve">he </w:t>
      </w:r>
      <w:r w:rsidRPr="00B91440">
        <w:rPr>
          <w:i/>
        </w:rPr>
        <w:t xml:space="preserve">National Health (Pharmaceutical Benefits) Amendment </w:t>
      </w:r>
      <w:r w:rsidR="00F219DC">
        <w:rPr>
          <w:i/>
        </w:rPr>
        <w:t>(</w:t>
      </w:r>
      <w:r w:rsidR="00DF4F17">
        <w:rPr>
          <w:i/>
        </w:rPr>
        <w:t>2015 Measures No.</w:t>
      </w:r>
      <w:r w:rsidR="00A018CE">
        <w:rPr>
          <w:i/>
        </w:rPr>
        <w:t> </w:t>
      </w:r>
      <w:r w:rsidR="00DF4F17">
        <w:rPr>
          <w:i/>
        </w:rPr>
        <w:t>1</w:t>
      </w:r>
      <w:r w:rsidR="00F219DC">
        <w:rPr>
          <w:i/>
        </w:rPr>
        <w:t xml:space="preserve">) </w:t>
      </w:r>
      <w:r w:rsidRPr="00B91440">
        <w:rPr>
          <w:i/>
        </w:rPr>
        <w:t>Regulation 201</w:t>
      </w:r>
      <w:r w:rsidR="00DF4F17">
        <w:rPr>
          <w:i/>
        </w:rPr>
        <w:t>5</w:t>
      </w:r>
      <w:r w:rsidRPr="00B91440">
        <w:rPr>
          <w:i/>
        </w:rPr>
        <w:t>.</w:t>
      </w:r>
    </w:p>
    <w:p w:rsidR="00797AB2" w:rsidRPr="00BE4281" w:rsidRDefault="00F219DC" w:rsidP="00797AB2">
      <w:pPr>
        <w:rPr>
          <w:u w:val="single"/>
        </w:rPr>
      </w:pPr>
      <w:r w:rsidRPr="00BE4281">
        <w:rPr>
          <w:u w:val="single"/>
        </w:rPr>
        <w:t>2</w:t>
      </w:r>
      <w:r w:rsidR="00BE4281" w:rsidRPr="00BE4281">
        <w:rPr>
          <w:u w:val="single"/>
        </w:rPr>
        <w:t xml:space="preserve"> - </w:t>
      </w:r>
      <w:r w:rsidR="00797AB2" w:rsidRPr="00BE4281">
        <w:rPr>
          <w:u w:val="single"/>
        </w:rPr>
        <w:t>Commencement</w:t>
      </w:r>
    </w:p>
    <w:p w:rsidR="00797AB2" w:rsidRDefault="00797AB2" w:rsidP="00BE4281">
      <w:pPr>
        <w:spacing w:before="0"/>
      </w:pPr>
      <w:r>
        <w:t xml:space="preserve">This </w:t>
      </w:r>
      <w:r w:rsidR="00B458F3">
        <w:t>section</w:t>
      </w:r>
      <w:r w:rsidR="00885917">
        <w:t xml:space="preserve"> </w:t>
      </w:r>
      <w:r w:rsidR="00DF4F17">
        <w:t>provide</w:t>
      </w:r>
      <w:r w:rsidR="00171439">
        <w:t>s</w:t>
      </w:r>
      <w:r w:rsidR="00DF4F17">
        <w:t xml:space="preserve"> </w:t>
      </w:r>
      <w:r w:rsidR="00F73DD4">
        <w:t>that se</w:t>
      </w:r>
      <w:r w:rsidR="00E30B02">
        <w:t>ctions 1 to 4, Schedule 1 items 5, 6 and 8 to 1</w:t>
      </w:r>
      <w:r w:rsidR="002E4AC7">
        <w:t>6</w:t>
      </w:r>
      <w:r w:rsidR="00E30B02">
        <w:t xml:space="preserve">, and anything </w:t>
      </w:r>
      <w:r w:rsidR="002E4AC7">
        <w:t xml:space="preserve">in the instrument </w:t>
      </w:r>
      <w:r w:rsidR="00E30B02">
        <w:t>not elsewhere</w:t>
      </w:r>
      <w:r w:rsidR="002E4AC7">
        <w:t xml:space="preserve"> covered by the table</w:t>
      </w:r>
      <w:r w:rsidR="00E30B02">
        <w:t xml:space="preserve">, </w:t>
      </w:r>
      <w:r>
        <w:t xml:space="preserve">commence on </w:t>
      </w:r>
      <w:r w:rsidR="00C40D0D">
        <w:t>the day after it is registered</w:t>
      </w:r>
      <w:r w:rsidR="00E30B02">
        <w:t>; Schedule 1 items 1 and 2 commence on 1 January 2016; and Schedule 1 items 3, 4 and 7 commence on 1 May 2016.</w:t>
      </w:r>
    </w:p>
    <w:p w:rsidR="00797AB2" w:rsidRPr="00BE4281" w:rsidRDefault="00F219DC" w:rsidP="00797AB2">
      <w:pPr>
        <w:rPr>
          <w:u w:val="single"/>
        </w:rPr>
      </w:pPr>
      <w:r w:rsidRPr="00BE4281">
        <w:rPr>
          <w:u w:val="single"/>
        </w:rPr>
        <w:t>3</w:t>
      </w:r>
      <w:r w:rsidR="00BE4281" w:rsidRPr="00BE4281">
        <w:rPr>
          <w:u w:val="single"/>
        </w:rPr>
        <w:t xml:space="preserve"> - </w:t>
      </w:r>
      <w:r w:rsidR="00B36108" w:rsidRPr="00BE4281">
        <w:rPr>
          <w:u w:val="single"/>
        </w:rPr>
        <w:t>Authority</w:t>
      </w:r>
    </w:p>
    <w:p w:rsidR="00797AB2" w:rsidRDefault="00797AB2" w:rsidP="00171439">
      <w:pPr>
        <w:spacing w:before="0"/>
        <w:ind w:right="-187"/>
      </w:pPr>
      <w:r>
        <w:t>This</w:t>
      </w:r>
      <w:r w:rsidR="00885917">
        <w:t xml:space="preserve"> s</w:t>
      </w:r>
      <w:r w:rsidR="00B458F3">
        <w:t>ection</w:t>
      </w:r>
      <w:r w:rsidR="00744F1E">
        <w:t xml:space="preserve"> </w:t>
      </w:r>
      <w:r w:rsidR="00F219DC">
        <w:t>provide</w:t>
      </w:r>
      <w:r w:rsidR="00171439">
        <w:t>s</w:t>
      </w:r>
      <w:r>
        <w:t xml:space="preserve"> </w:t>
      </w:r>
      <w:r w:rsidR="00B36108">
        <w:t xml:space="preserve">that </w:t>
      </w:r>
      <w:r>
        <w:t xml:space="preserve">the </w:t>
      </w:r>
      <w:r w:rsidR="00B36108">
        <w:t xml:space="preserve">regulation is made under the </w:t>
      </w:r>
      <w:r w:rsidR="00B36108" w:rsidRPr="00B36108">
        <w:rPr>
          <w:i/>
        </w:rPr>
        <w:t>National Health Act</w:t>
      </w:r>
      <w:r w:rsidR="001A6D7F">
        <w:rPr>
          <w:i/>
        </w:rPr>
        <w:t> </w:t>
      </w:r>
      <w:r w:rsidR="00B36108" w:rsidRPr="00B36108">
        <w:rPr>
          <w:i/>
        </w:rPr>
        <w:t>1953</w:t>
      </w:r>
      <w:r w:rsidR="00344A2C">
        <w:rPr>
          <w:i/>
        </w:rPr>
        <w:t xml:space="preserve"> </w:t>
      </w:r>
      <w:r w:rsidR="00344A2C" w:rsidRPr="00344A2C">
        <w:t>(the Act)</w:t>
      </w:r>
      <w:r>
        <w:t>.</w:t>
      </w:r>
    </w:p>
    <w:p w:rsidR="00C40D0D" w:rsidRPr="00695FEA" w:rsidRDefault="00F219DC" w:rsidP="00797AB2">
      <w:pPr>
        <w:rPr>
          <w:u w:val="single"/>
        </w:rPr>
      </w:pPr>
      <w:r w:rsidRPr="00695FEA">
        <w:rPr>
          <w:u w:val="single"/>
        </w:rPr>
        <w:t>4</w:t>
      </w:r>
      <w:r w:rsidR="00BE4281" w:rsidRPr="00695FEA">
        <w:rPr>
          <w:u w:val="single"/>
        </w:rPr>
        <w:t xml:space="preserve"> - </w:t>
      </w:r>
      <w:r w:rsidR="00C40D0D" w:rsidRPr="00695FEA">
        <w:rPr>
          <w:u w:val="single"/>
        </w:rPr>
        <w:t>Schedule</w:t>
      </w:r>
      <w:r w:rsidR="00290E70" w:rsidRPr="00695FEA">
        <w:rPr>
          <w:u w:val="single"/>
        </w:rPr>
        <w:t>s</w:t>
      </w:r>
    </w:p>
    <w:p w:rsidR="00C40D0D" w:rsidRPr="006B69A0" w:rsidRDefault="00A73561" w:rsidP="00BE4281">
      <w:pPr>
        <w:spacing w:before="0"/>
        <w:ind w:right="-187"/>
      </w:pPr>
      <w:r>
        <w:t xml:space="preserve">The </w:t>
      </w:r>
      <w:r w:rsidR="00F822D6">
        <w:t xml:space="preserve">section </w:t>
      </w:r>
      <w:r>
        <w:t>provide</w:t>
      </w:r>
      <w:r w:rsidR="00171439">
        <w:t>s</w:t>
      </w:r>
      <w:r>
        <w:t xml:space="preserve"> that e</w:t>
      </w:r>
      <w:r w:rsidR="00C40D0D">
        <w:t xml:space="preserve">ach instrument that is specified in </w:t>
      </w:r>
      <w:r w:rsidR="004B0CDA">
        <w:t xml:space="preserve">a </w:t>
      </w:r>
      <w:r w:rsidR="00C40D0D">
        <w:t>Schedule to this instrument is am</w:t>
      </w:r>
      <w:r w:rsidR="000A1BE0">
        <w:t>ended or rep</w:t>
      </w:r>
      <w:r w:rsidR="00C40D0D">
        <w:t xml:space="preserve">ealed as set out in </w:t>
      </w:r>
      <w:r w:rsidR="000A1BE0">
        <w:t xml:space="preserve">the </w:t>
      </w:r>
      <w:r w:rsidR="00C40D0D">
        <w:t xml:space="preserve">applicable items in </w:t>
      </w:r>
      <w:r w:rsidR="004B0CDA">
        <w:t>the</w:t>
      </w:r>
      <w:r w:rsidR="00C40D0D">
        <w:t xml:space="preserve"> Schedule </w:t>
      </w:r>
      <w:r w:rsidR="004B0CDA">
        <w:t xml:space="preserve">concerned, </w:t>
      </w:r>
      <w:r w:rsidR="00C40D0D">
        <w:t xml:space="preserve">and any other item in </w:t>
      </w:r>
      <w:r w:rsidR="000A1BE0">
        <w:t>a</w:t>
      </w:r>
      <w:r w:rsidR="00C40D0D">
        <w:t xml:space="preserve"> Schedule </w:t>
      </w:r>
      <w:r w:rsidR="000A1BE0">
        <w:t xml:space="preserve">to this instrument </w:t>
      </w:r>
      <w:r w:rsidR="00C40D0D">
        <w:t>has effect according to its terms.</w:t>
      </w:r>
    </w:p>
    <w:p w:rsidR="001B3774" w:rsidRPr="00F219DC" w:rsidRDefault="00797AB2" w:rsidP="00E80CB5">
      <w:pPr>
        <w:spacing w:after="120"/>
        <w:rPr>
          <w:b/>
        </w:rPr>
      </w:pPr>
      <w:r w:rsidRPr="00F219DC">
        <w:rPr>
          <w:b/>
        </w:rPr>
        <w:t xml:space="preserve">Schedule 1 </w:t>
      </w:r>
      <w:r w:rsidR="00BA4182">
        <w:rPr>
          <w:b/>
        </w:rPr>
        <w:t>-</w:t>
      </w:r>
      <w:r w:rsidR="00AB3BA5">
        <w:rPr>
          <w:b/>
        </w:rPr>
        <w:t xml:space="preserve"> </w:t>
      </w:r>
      <w:r w:rsidRPr="00F219DC">
        <w:rPr>
          <w:b/>
        </w:rPr>
        <w:t>Amendments</w:t>
      </w:r>
    </w:p>
    <w:p w:rsidR="0015528E" w:rsidRDefault="00F219DC" w:rsidP="00E80CB5">
      <w:pPr>
        <w:pStyle w:val="Headingbold0"/>
        <w:spacing w:before="0" w:after="120"/>
        <w:rPr>
          <w:i/>
        </w:rPr>
      </w:pPr>
      <w:r w:rsidRPr="00F219DC">
        <w:rPr>
          <w:i/>
        </w:rPr>
        <w:t>National Health (Pharmaceutical Benefits) Regulations 1960</w:t>
      </w:r>
    </w:p>
    <w:p w:rsidR="0059669E" w:rsidRPr="00F219DC" w:rsidRDefault="001B3774" w:rsidP="00B63A16">
      <w:pPr>
        <w:pStyle w:val="Headingbold0"/>
        <w:tabs>
          <w:tab w:val="left" w:pos="1134"/>
        </w:tabs>
        <w:spacing w:before="0"/>
      </w:pPr>
      <w:r w:rsidRPr="00F219DC">
        <w:t>Item</w:t>
      </w:r>
      <w:r w:rsidR="0020118D">
        <w:t>s</w:t>
      </w:r>
      <w:r w:rsidRPr="00F219DC">
        <w:t xml:space="preserve"> 1</w:t>
      </w:r>
      <w:r w:rsidR="00CE6E00">
        <w:t xml:space="preserve"> </w:t>
      </w:r>
      <w:r w:rsidR="0020118D">
        <w:t xml:space="preserve">and 2 </w:t>
      </w:r>
      <w:r w:rsidR="00CE6E00">
        <w:t xml:space="preserve">– </w:t>
      </w:r>
      <w:r w:rsidR="00A24083">
        <w:t>Paragraph 25(3)(a)</w:t>
      </w:r>
      <w:r w:rsidR="0020118D">
        <w:t xml:space="preserve"> and Paragraph 25(4)(a)</w:t>
      </w:r>
    </w:p>
    <w:p w:rsidR="00B63A16" w:rsidRPr="00B63A16" w:rsidRDefault="00B63A16" w:rsidP="005550C4">
      <w:pPr>
        <w:pStyle w:val="Textbody0"/>
        <w:ind w:right="-45"/>
        <w:rPr>
          <w:bCs w:val="0"/>
        </w:rPr>
      </w:pPr>
      <w:r w:rsidRPr="00B63A16">
        <w:rPr>
          <w:bCs w:val="0"/>
        </w:rPr>
        <w:t xml:space="preserve">Items 1 and 2 align the interval periods for when </w:t>
      </w:r>
      <w:r>
        <w:rPr>
          <w:bCs w:val="0"/>
        </w:rPr>
        <w:t xml:space="preserve">a </w:t>
      </w:r>
      <w:r w:rsidRPr="00B63A16">
        <w:rPr>
          <w:bCs w:val="0"/>
        </w:rPr>
        <w:t>repeated suppl</w:t>
      </w:r>
      <w:r>
        <w:rPr>
          <w:bCs w:val="0"/>
        </w:rPr>
        <w:t>y</w:t>
      </w:r>
      <w:r w:rsidRPr="00B63A16">
        <w:rPr>
          <w:bCs w:val="0"/>
        </w:rPr>
        <w:t xml:space="preserve"> of </w:t>
      </w:r>
      <w:r>
        <w:rPr>
          <w:bCs w:val="0"/>
        </w:rPr>
        <w:t xml:space="preserve">a </w:t>
      </w:r>
      <w:r w:rsidRPr="00B63A16">
        <w:rPr>
          <w:bCs w:val="0"/>
        </w:rPr>
        <w:t xml:space="preserve">pharmaceutical benefit may be supplied with the </w:t>
      </w:r>
      <w:r>
        <w:rPr>
          <w:bCs w:val="0"/>
        </w:rPr>
        <w:t xml:space="preserve">provisions </w:t>
      </w:r>
      <w:r w:rsidRPr="00B63A16">
        <w:rPr>
          <w:bCs w:val="0"/>
        </w:rPr>
        <w:t>relating to early supply</w:t>
      </w:r>
      <w:r>
        <w:rPr>
          <w:bCs w:val="0"/>
        </w:rPr>
        <w:t xml:space="preserve"> made by the Amending Act</w:t>
      </w:r>
      <w:r w:rsidRPr="00B63A16">
        <w:rPr>
          <w:bCs w:val="0"/>
        </w:rPr>
        <w:t>.</w:t>
      </w:r>
      <w:r w:rsidR="00586702">
        <w:rPr>
          <w:bCs w:val="0"/>
        </w:rPr>
        <w:t xml:space="preserve">  T</w:t>
      </w:r>
      <w:r w:rsidRPr="00B63A16">
        <w:rPr>
          <w:bCs w:val="0"/>
        </w:rPr>
        <w:t>he period for repeated supplies change</w:t>
      </w:r>
      <w:r w:rsidR="00703275">
        <w:rPr>
          <w:bCs w:val="0"/>
        </w:rPr>
        <w:t>s</w:t>
      </w:r>
      <w:r w:rsidRPr="00B63A16">
        <w:rPr>
          <w:bCs w:val="0"/>
        </w:rPr>
        <w:t xml:space="preserve"> from </w:t>
      </w:r>
      <w:r w:rsidR="00586702">
        <w:rPr>
          <w:bCs w:val="0"/>
        </w:rPr>
        <w:t>being a</w:t>
      </w:r>
      <w:r w:rsidRPr="00B63A16">
        <w:rPr>
          <w:bCs w:val="0"/>
        </w:rPr>
        <w:t xml:space="preserve"> fixed 20 day or 4 day period based on the number of repeats</w:t>
      </w:r>
      <w:r w:rsidR="007F5BBA">
        <w:rPr>
          <w:bCs w:val="0"/>
        </w:rPr>
        <w:t xml:space="preserve"> that may be prescribed </w:t>
      </w:r>
      <w:r w:rsidR="00586702">
        <w:rPr>
          <w:bCs w:val="0"/>
        </w:rPr>
        <w:t xml:space="preserve">to being </w:t>
      </w:r>
      <w:r w:rsidRPr="00B63A16">
        <w:rPr>
          <w:bCs w:val="0"/>
        </w:rPr>
        <w:t xml:space="preserve">the same </w:t>
      </w:r>
      <w:r w:rsidR="00586702">
        <w:rPr>
          <w:bCs w:val="0"/>
        </w:rPr>
        <w:t xml:space="preserve">period as </w:t>
      </w:r>
      <w:r w:rsidR="00DC052C">
        <w:rPr>
          <w:bCs w:val="0"/>
        </w:rPr>
        <w:t xml:space="preserve">specified </w:t>
      </w:r>
      <w:r w:rsidR="00586702">
        <w:rPr>
          <w:bCs w:val="0"/>
        </w:rPr>
        <w:t>f</w:t>
      </w:r>
      <w:r w:rsidRPr="00B63A16">
        <w:rPr>
          <w:bCs w:val="0"/>
        </w:rPr>
        <w:t xml:space="preserve">or the </w:t>
      </w:r>
      <w:r w:rsidR="00586702">
        <w:rPr>
          <w:bCs w:val="0"/>
        </w:rPr>
        <w:t xml:space="preserve">pharmaceutical benefit </w:t>
      </w:r>
      <w:r w:rsidRPr="00B63A16">
        <w:rPr>
          <w:bCs w:val="0"/>
        </w:rPr>
        <w:t>as an early supply</w:t>
      </w:r>
      <w:r w:rsidR="00DC052C">
        <w:rPr>
          <w:bCs w:val="0"/>
        </w:rPr>
        <w:t xml:space="preserve"> under subsection</w:t>
      </w:r>
      <w:r w:rsidR="004F053E">
        <w:rPr>
          <w:bCs w:val="0"/>
        </w:rPr>
        <w:t> </w:t>
      </w:r>
      <w:r w:rsidR="00DC052C">
        <w:rPr>
          <w:bCs w:val="0"/>
        </w:rPr>
        <w:t>84AAA(2)</w:t>
      </w:r>
      <w:r w:rsidRPr="00B63A16">
        <w:rPr>
          <w:bCs w:val="0"/>
        </w:rPr>
        <w:t>.</w:t>
      </w:r>
    </w:p>
    <w:p w:rsidR="00161C42" w:rsidRDefault="00B37482" w:rsidP="00F219DC">
      <w:pPr>
        <w:pStyle w:val="Textbody0"/>
        <w:rPr>
          <w:bCs w:val="0"/>
        </w:rPr>
      </w:pPr>
      <w:r w:rsidRPr="007A6E46">
        <w:rPr>
          <w:bCs w:val="0"/>
        </w:rPr>
        <w:t xml:space="preserve">Subregulation 25(2) </w:t>
      </w:r>
      <w:r w:rsidR="00586702" w:rsidRPr="007A6E46">
        <w:rPr>
          <w:bCs w:val="0"/>
        </w:rPr>
        <w:t xml:space="preserve">of the Principal Regulations </w:t>
      </w:r>
      <w:r w:rsidRPr="007A6E46">
        <w:rPr>
          <w:bCs w:val="0"/>
        </w:rPr>
        <w:t>provide</w:t>
      </w:r>
      <w:r w:rsidR="00001774" w:rsidRPr="007A6E46">
        <w:rPr>
          <w:bCs w:val="0"/>
        </w:rPr>
        <w:t>s</w:t>
      </w:r>
      <w:r w:rsidRPr="007A6E46">
        <w:rPr>
          <w:bCs w:val="0"/>
        </w:rPr>
        <w:t xml:space="preserve"> that </w:t>
      </w:r>
      <w:r w:rsidR="00001774" w:rsidRPr="007A6E46">
        <w:rPr>
          <w:bCs w:val="0"/>
        </w:rPr>
        <w:t xml:space="preserve">subregulation 25(3) applies </w:t>
      </w:r>
      <w:r w:rsidRPr="007A6E46">
        <w:rPr>
          <w:bCs w:val="0"/>
        </w:rPr>
        <w:t xml:space="preserve">for pharmaceutical benefits which the Minister has determined under paragraph 85A(2)(b) of the Act may be prescribed with more than </w:t>
      </w:r>
      <w:r w:rsidR="004141E6" w:rsidRPr="007A6E46">
        <w:rPr>
          <w:bCs w:val="0"/>
        </w:rPr>
        <w:t>four</w:t>
      </w:r>
      <w:r w:rsidR="005B2E36" w:rsidRPr="007A6E46">
        <w:rPr>
          <w:bCs w:val="0"/>
        </w:rPr>
        <w:t> </w:t>
      </w:r>
      <w:r w:rsidRPr="007A6E46">
        <w:rPr>
          <w:bCs w:val="0"/>
        </w:rPr>
        <w:t xml:space="preserve">repeats, and under paragraph 85A(2)(c) have a manner of administration which is not application to </w:t>
      </w:r>
      <w:r w:rsidR="004141E6" w:rsidRPr="007A6E46">
        <w:rPr>
          <w:bCs w:val="0"/>
        </w:rPr>
        <w:t>the eye</w:t>
      </w:r>
      <w:r w:rsidR="00001774" w:rsidRPr="007A6E46">
        <w:rPr>
          <w:bCs w:val="0"/>
        </w:rPr>
        <w:t xml:space="preserve">.  </w:t>
      </w:r>
    </w:p>
    <w:p w:rsidR="00B37482" w:rsidRDefault="00001774" w:rsidP="00F219DC">
      <w:pPr>
        <w:pStyle w:val="Textbody0"/>
        <w:rPr>
          <w:bCs w:val="0"/>
        </w:rPr>
      </w:pPr>
      <w:r w:rsidRPr="007A6E46">
        <w:rPr>
          <w:bCs w:val="0"/>
        </w:rPr>
        <w:t xml:space="preserve">Subregulation 25(3) </w:t>
      </w:r>
      <w:r w:rsidR="00703275" w:rsidRPr="007A6E46">
        <w:rPr>
          <w:bCs w:val="0"/>
        </w:rPr>
        <w:t xml:space="preserve">of the Principal Regulations </w:t>
      </w:r>
      <w:r w:rsidRPr="007A6E46">
        <w:rPr>
          <w:bCs w:val="0"/>
        </w:rPr>
        <w:t xml:space="preserve">provides that </w:t>
      </w:r>
      <w:r w:rsidR="004141E6" w:rsidRPr="007A6E46">
        <w:rPr>
          <w:bCs w:val="0"/>
        </w:rPr>
        <w:t xml:space="preserve">a repeated supply of </w:t>
      </w:r>
      <w:r w:rsidR="006334EE" w:rsidRPr="007A6E46">
        <w:rPr>
          <w:bCs w:val="0"/>
        </w:rPr>
        <w:t>the benefit</w:t>
      </w:r>
      <w:r w:rsidR="004141E6" w:rsidRPr="007A6E46">
        <w:rPr>
          <w:bCs w:val="0"/>
        </w:rPr>
        <w:t xml:space="preserve"> may be made to a person only if the supplier reasonably believes that the person has not received a supply of </w:t>
      </w:r>
      <w:r w:rsidR="0014501F" w:rsidRPr="007A6E46">
        <w:rPr>
          <w:bCs w:val="0"/>
        </w:rPr>
        <w:t>that</w:t>
      </w:r>
      <w:r w:rsidR="00DC052C" w:rsidRPr="007A6E46">
        <w:rPr>
          <w:bCs w:val="0"/>
        </w:rPr>
        <w:t>,</w:t>
      </w:r>
      <w:r w:rsidR="0014501F" w:rsidRPr="007A6E46">
        <w:rPr>
          <w:bCs w:val="0"/>
        </w:rPr>
        <w:t xml:space="preserve"> or another brand of the benefit</w:t>
      </w:r>
      <w:r w:rsidR="00DC052C" w:rsidRPr="007A6E46">
        <w:rPr>
          <w:bCs w:val="0"/>
        </w:rPr>
        <w:t xml:space="preserve">, </w:t>
      </w:r>
      <w:r w:rsidR="004141E6" w:rsidRPr="007A6E46">
        <w:rPr>
          <w:bCs w:val="0"/>
        </w:rPr>
        <w:t xml:space="preserve">in the </w:t>
      </w:r>
      <w:r w:rsidR="00545F5D" w:rsidRPr="007A6E46">
        <w:rPr>
          <w:bCs w:val="0"/>
        </w:rPr>
        <w:t>period of</w:t>
      </w:r>
      <w:r w:rsidR="004141E6" w:rsidRPr="007A6E46">
        <w:rPr>
          <w:bCs w:val="0"/>
        </w:rPr>
        <w:t xml:space="preserve"> 20 days</w:t>
      </w:r>
      <w:r w:rsidR="00545F5D" w:rsidRPr="007A6E46">
        <w:rPr>
          <w:bCs w:val="0"/>
        </w:rPr>
        <w:t xml:space="preserve"> immediately preceding the day on which it is to be supplied</w:t>
      </w:r>
      <w:r w:rsidR="004141E6" w:rsidRPr="007A6E46">
        <w:rPr>
          <w:bCs w:val="0"/>
        </w:rPr>
        <w:t xml:space="preserve">, or that the previous supply has been destroyed, lost or stolen, or </w:t>
      </w:r>
      <w:r w:rsidR="00880685" w:rsidRPr="007A6E46">
        <w:rPr>
          <w:bCs w:val="0"/>
        </w:rPr>
        <w:t xml:space="preserve">that </w:t>
      </w:r>
      <w:r w:rsidR="004141E6" w:rsidRPr="007A6E46">
        <w:rPr>
          <w:bCs w:val="0"/>
        </w:rPr>
        <w:t>the repeated supply is necessary, without delay, for the treatment of the person.</w:t>
      </w:r>
    </w:p>
    <w:p w:rsidR="0020118D" w:rsidRDefault="0020118D" w:rsidP="0020118D">
      <w:pPr>
        <w:pStyle w:val="Textbody0"/>
        <w:rPr>
          <w:bCs w:val="0"/>
        </w:rPr>
      </w:pPr>
      <w:r>
        <w:rPr>
          <w:bCs w:val="0"/>
        </w:rPr>
        <w:t>Subregulation 25(4)</w:t>
      </w:r>
      <w:r w:rsidR="007336D8">
        <w:rPr>
          <w:bCs w:val="0"/>
        </w:rPr>
        <w:t xml:space="preserve"> of the Principal Regulations</w:t>
      </w:r>
      <w:r>
        <w:rPr>
          <w:bCs w:val="0"/>
        </w:rPr>
        <w:t xml:space="preserve"> provides that for pharmaceutical benefits other than those to which subregulation 25(3) appl</w:t>
      </w:r>
      <w:r w:rsidR="00001774">
        <w:rPr>
          <w:bCs w:val="0"/>
        </w:rPr>
        <w:t>ies</w:t>
      </w:r>
      <w:r>
        <w:rPr>
          <w:bCs w:val="0"/>
        </w:rPr>
        <w:t>, a repeated supply of the benefit may be made to a person only if the supplier reasonably believes that the person has not received a supply of that</w:t>
      </w:r>
      <w:r w:rsidR="00DC052C">
        <w:rPr>
          <w:bCs w:val="0"/>
        </w:rPr>
        <w:t>,</w:t>
      </w:r>
      <w:r>
        <w:rPr>
          <w:bCs w:val="0"/>
        </w:rPr>
        <w:t xml:space="preserve"> or another brand of</w:t>
      </w:r>
      <w:r w:rsidR="00DC052C">
        <w:rPr>
          <w:bCs w:val="0"/>
        </w:rPr>
        <w:t>,</w:t>
      </w:r>
      <w:r>
        <w:rPr>
          <w:bCs w:val="0"/>
        </w:rPr>
        <w:t xml:space="preserve"> the benefit in the period of four days immediately preceding the day on which it is to be supplied, or that the previous supply has been destroyed, lost or stolen, or that the repeated supply is necessary, without delay, for the treatment of the person.</w:t>
      </w:r>
    </w:p>
    <w:p w:rsidR="003D0C4A" w:rsidRDefault="0020118D" w:rsidP="003D0C4A">
      <w:pPr>
        <w:pStyle w:val="Textbody0"/>
      </w:pPr>
      <w:r>
        <w:rPr>
          <w:bCs w:val="0"/>
        </w:rPr>
        <w:t xml:space="preserve">Item 1 </w:t>
      </w:r>
      <w:r w:rsidR="00E25247">
        <w:rPr>
          <w:bCs w:val="0"/>
        </w:rPr>
        <w:t>change</w:t>
      </w:r>
      <w:r w:rsidR="00703275">
        <w:rPr>
          <w:bCs w:val="0"/>
        </w:rPr>
        <w:t>s</w:t>
      </w:r>
      <w:r w:rsidR="00E25247">
        <w:rPr>
          <w:bCs w:val="0"/>
        </w:rPr>
        <w:t xml:space="preserve"> </w:t>
      </w:r>
      <w:r w:rsidR="003D0C4A">
        <w:rPr>
          <w:bCs w:val="0"/>
        </w:rPr>
        <w:t xml:space="preserve">the repeat supply period </w:t>
      </w:r>
      <w:r w:rsidR="005B2E36">
        <w:rPr>
          <w:bCs w:val="0"/>
        </w:rPr>
        <w:t xml:space="preserve">in paragraph 25(3)(a) for a pharmaceutical benefit with more than four repeats </w:t>
      </w:r>
      <w:r w:rsidR="003D0C4A">
        <w:rPr>
          <w:bCs w:val="0"/>
        </w:rPr>
        <w:t xml:space="preserve">to </w:t>
      </w:r>
      <w:r w:rsidR="00545F5D">
        <w:rPr>
          <w:bCs w:val="0"/>
        </w:rPr>
        <w:t xml:space="preserve">refer to </w:t>
      </w:r>
      <w:r w:rsidR="003D0C4A">
        <w:t xml:space="preserve">the </w:t>
      </w:r>
      <w:r w:rsidR="00545F5D">
        <w:t xml:space="preserve">period </w:t>
      </w:r>
      <w:r w:rsidR="003D0C4A">
        <w:t>specified in a legislative instrument made under subsection 84AAA(2) of the Act for the purposes of early supply of specified pharmaceutical benefits</w:t>
      </w:r>
      <w:r w:rsidR="005B2E36">
        <w:t>.  If no period</w:t>
      </w:r>
      <w:r w:rsidR="00545F5D">
        <w:t xml:space="preserve"> is specified for the pharmaceutical benefit in the instrument, the period </w:t>
      </w:r>
      <w:r w:rsidR="00DC052C">
        <w:t xml:space="preserve">will remain </w:t>
      </w:r>
      <w:r w:rsidR="00545F5D">
        <w:t>20 </w:t>
      </w:r>
      <w:r w:rsidR="00D91B7A">
        <w:t>days.</w:t>
      </w:r>
    </w:p>
    <w:p w:rsidR="00D91B7A" w:rsidRDefault="00D91B7A" w:rsidP="00D91B7A">
      <w:pPr>
        <w:pStyle w:val="Textbody0"/>
      </w:pPr>
      <w:r>
        <w:rPr>
          <w:bCs w:val="0"/>
        </w:rPr>
        <w:t xml:space="preserve">Item 2 </w:t>
      </w:r>
      <w:r w:rsidR="00326EFA">
        <w:rPr>
          <w:bCs w:val="0"/>
        </w:rPr>
        <w:t>make</w:t>
      </w:r>
      <w:r w:rsidR="0038280E">
        <w:rPr>
          <w:bCs w:val="0"/>
        </w:rPr>
        <w:t>s</w:t>
      </w:r>
      <w:r w:rsidR="00326EFA">
        <w:rPr>
          <w:bCs w:val="0"/>
        </w:rPr>
        <w:t xml:space="preserve"> </w:t>
      </w:r>
      <w:r>
        <w:rPr>
          <w:bCs w:val="0"/>
        </w:rPr>
        <w:t xml:space="preserve">changes </w:t>
      </w:r>
      <w:r w:rsidR="00326EFA">
        <w:rPr>
          <w:bCs w:val="0"/>
        </w:rPr>
        <w:t>to paragraph 25(4)(a) similar to the changes Item 1 make</w:t>
      </w:r>
      <w:r w:rsidR="0038280E">
        <w:rPr>
          <w:bCs w:val="0"/>
        </w:rPr>
        <w:t>s</w:t>
      </w:r>
      <w:r w:rsidR="00326EFA">
        <w:rPr>
          <w:bCs w:val="0"/>
        </w:rPr>
        <w:t xml:space="preserve"> to paragraph 25(3)(a), but in relation to the repeat supply period for </w:t>
      </w:r>
      <w:r>
        <w:rPr>
          <w:bCs w:val="0"/>
        </w:rPr>
        <w:t xml:space="preserve">pharmaceutical benefits which can be prescribed with four </w:t>
      </w:r>
      <w:r w:rsidR="0020118D">
        <w:rPr>
          <w:bCs w:val="0"/>
        </w:rPr>
        <w:t xml:space="preserve">or less </w:t>
      </w:r>
      <w:r>
        <w:rPr>
          <w:bCs w:val="0"/>
        </w:rPr>
        <w:t>repeats or have a manner of administration which is application to the eye.</w:t>
      </w:r>
      <w:r w:rsidR="0020118D">
        <w:rPr>
          <w:bCs w:val="0"/>
        </w:rPr>
        <w:t xml:space="preserve">  </w:t>
      </w:r>
      <w:r w:rsidR="00BD227A">
        <w:rPr>
          <w:bCs w:val="0"/>
        </w:rPr>
        <w:t>T</w:t>
      </w:r>
      <w:r>
        <w:rPr>
          <w:bCs w:val="0"/>
        </w:rPr>
        <w:t>he repeat supply period in paragraph 25(</w:t>
      </w:r>
      <w:r w:rsidR="0020118D">
        <w:rPr>
          <w:bCs w:val="0"/>
        </w:rPr>
        <w:t>4</w:t>
      </w:r>
      <w:r>
        <w:rPr>
          <w:bCs w:val="0"/>
        </w:rPr>
        <w:t>)(a) refer</w:t>
      </w:r>
      <w:r w:rsidR="0038280E">
        <w:rPr>
          <w:bCs w:val="0"/>
        </w:rPr>
        <w:t>s</w:t>
      </w:r>
      <w:r>
        <w:rPr>
          <w:bCs w:val="0"/>
        </w:rPr>
        <w:t xml:space="preserve"> to </w:t>
      </w:r>
      <w:r>
        <w:t xml:space="preserve">the period specified </w:t>
      </w:r>
      <w:r w:rsidR="00326EFA">
        <w:t xml:space="preserve">for the pharmaceutical benefit </w:t>
      </w:r>
      <w:r>
        <w:t xml:space="preserve">in </w:t>
      </w:r>
      <w:r w:rsidR="00326EFA">
        <w:t xml:space="preserve">the </w:t>
      </w:r>
      <w:r>
        <w:t>legislative instrument made under subsection 84AAA(2) of the Act</w:t>
      </w:r>
      <w:r w:rsidR="00BD227A">
        <w:t>, or i</w:t>
      </w:r>
      <w:r>
        <w:t>f no period</w:t>
      </w:r>
      <w:r w:rsidR="00BD227A">
        <w:t xml:space="preserve"> is specified</w:t>
      </w:r>
      <w:r>
        <w:t>, the period</w:t>
      </w:r>
      <w:r w:rsidR="00DC052C">
        <w:t xml:space="preserve"> will remain</w:t>
      </w:r>
      <w:r w:rsidR="004F053E">
        <w:t xml:space="preserve"> </w:t>
      </w:r>
      <w:r w:rsidR="0020118D">
        <w:t>four</w:t>
      </w:r>
      <w:r>
        <w:t> days.</w:t>
      </w:r>
    </w:p>
    <w:p w:rsidR="00E25247" w:rsidRDefault="00326EFA" w:rsidP="00F219DC">
      <w:pPr>
        <w:pStyle w:val="Textbody0"/>
        <w:rPr>
          <w:bCs w:val="0"/>
        </w:rPr>
      </w:pPr>
      <w:r>
        <w:rPr>
          <w:bCs w:val="0"/>
        </w:rPr>
        <w:t>Items 1 and</w:t>
      </w:r>
      <w:r w:rsidR="00EB3C09">
        <w:rPr>
          <w:bCs w:val="0"/>
        </w:rPr>
        <w:t> </w:t>
      </w:r>
      <w:r>
        <w:rPr>
          <w:bCs w:val="0"/>
        </w:rPr>
        <w:t>2</w:t>
      </w:r>
      <w:r w:rsidR="00A24083">
        <w:rPr>
          <w:bCs w:val="0"/>
        </w:rPr>
        <w:t xml:space="preserve"> </w:t>
      </w:r>
      <w:r w:rsidR="00E25247">
        <w:rPr>
          <w:bCs w:val="0"/>
        </w:rPr>
        <w:t xml:space="preserve">also </w:t>
      </w:r>
      <w:r w:rsidR="00A24083">
        <w:rPr>
          <w:bCs w:val="0"/>
        </w:rPr>
        <w:t xml:space="preserve">change </w:t>
      </w:r>
      <w:r w:rsidR="003D0C4A">
        <w:rPr>
          <w:bCs w:val="0"/>
        </w:rPr>
        <w:t>paragraph</w:t>
      </w:r>
      <w:r w:rsidR="00EB3C09">
        <w:rPr>
          <w:bCs w:val="0"/>
        </w:rPr>
        <w:t>s</w:t>
      </w:r>
      <w:r w:rsidR="00880685">
        <w:rPr>
          <w:bCs w:val="0"/>
        </w:rPr>
        <w:t> 25(3)</w:t>
      </w:r>
      <w:r w:rsidR="007B313E">
        <w:rPr>
          <w:bCs w:val="0"/>
        </w:rPr>
        <w:t>(a)</w:t>
      </w:r>
      <w:r w:rsidR="00880685">
        <w:rPr>
          <w:bCs w:val="0"/>
        </w:rPr>
        <w:t xml:space="preserve"> </w:t>
      </w:r>
      <w:r>
        <w:rPr>
          <w:bCs w:val="0"/>
        </w:rPr>
        <w:t xml:space="preserve">and </w:t>
      </w:r>
      <w:r w:rsidR="00BD227A">
        <w:rPr>
          <w:bCs w:val="0"/>
        </w:rPr>
        <w:t>25(4)(a)</w:t>
      </w:r>
      <w:r w:rsidR="009E4713">
        <w:rPr>
          <w:bCs w:val="0"/>
        </w:rPr>
        <w:t>,</w:t>
      </w:r>
      <w:r w:rsidR="00EB3C09">
        <w:rPr>
          <w:bCs w:val="0"/>
        </w:rPr>
        <w:t xml:space="preserve"> respectively,</w:t>
      </w:r>
      <w:r w:rsidR="00BD227A">
        <w:rPr>
          <w:bCs w:val="0"/>
        </w:rPr>
        <w:t xml:space="preserve"> </w:t>
      </w:r>
      <w:r w:rsidR="00880685">
        <w:rPr>
          <w:bCs w:val="0"/>
        </w:rPr>
        <w:t xml:space="preserve">to include </w:t>
      </w:r>
      <w:r w:rsidR="00DB70C7">
        <w:rPr>
          <w:bCs w:val="0"/>
        </w:rPr>
        <w:t xml:space="preserve">that the relevant period during which </w:t>
      </w:r>
      <w:r w:rsidR="007B313E">
        <w:rPr>
          <w:bCs w:val="0"/>
        </w:rPr>
        <w:t xml:space="preserve">a person has not received a supply of the pharmaceutical benefit </w:t>
      </w:r>
      <w:r w:rsidR="00161C42">
        <w:rPr>
          <w:bCs w:val="0"/>
        </w:rPr>
        <w:t xml:space="preserve">may also be calculated from the date </w:t>
      </w:r>
      <w:r w:rsidR="007B313E">
        <w:rPr>
          <w:bCs w:val="0"/>
        </w:rPr>
        <w:t>ano</w:t>
      </w:r>
      <w:r w:rsidR="0014501F">
        <w:rPr>
          <w:bCs w:val="0"/>
        </w:rPr>
        <w:t>ther benefit with the same pharmaceutical item (i</w:t>
      </w:r>
      <w:r w:rsidR="007B313E">
        <w:rPr>
          <w:bCs w:val="0"/>
        </w:rPr>
        <w:t>.</w:t>
      </w:r>
      <w:r w:rsidR="0014501F">
        <w:rPr>
          <w:bCs w:val="0"/>
        </w:rPr>
        <w:t>e</w:t>
      </w:r>
      <w:r w:rsidR="007B313E">
        <w:rPr>
          <w:bCs w:val="0"/>
        </w:rPr>
        <w:t>.</w:t>
      </w:r>
      <w:r w:rsidR="006334EE">
        <w:rPr>
          <w:bCs w:val="0"/>
        </w:rPr>
        <w:t> </w:t>
      </w:r>
      <w:r w:rsidR="007B313E">
        <w:rPr>
          <w:bCs w:val="0"/>
        </w:rPr>
        <w:t>an</w:t>
      </w:r>
      <w:r w:rsidR="0014501F">
        <w:rPr>
          <w:bCs w:val="0"/>
        </w:rPr>
        <w:t xml:space="preserve">other brand), </w:t>
      </w:r>
      <w:r w:rsidR="00161C42">
        <w:rPr>
          <w:bCs w:val="0"/>
        </w:rPr>
        <w:t>or</w:t>
      </w:r>
      <w:r w:rsidR="007B313E">
        <w:rPr>
          <w:bCs w:val="0"/>
        </w:rPr>
        <w:t xml:space="preserve"> b</w:t>
      </w:r>
      <w:r w:rsidR="00880685">
        <w:rPr>
          <w:bCs w:val="0"/>
        </w:rPr>
        <w:t xml:space="preserve">enefit that is </w:t>
      </w:r>
      <w:r w:rsidR="007B313E">
        <w:rPr>
          <w:bCs w:val="0"/>
        </w:rPr>
        <w:t>S</w:t>
      </w:r>
      <w:r w:rsidR="00880685">
        <w:rPr>
          <w:bCs w:val="0"/>
        </w:rPr>
        <w:t xml:space="preserve">chedule equivalent </w:t>
      </w:r>
      <w:r w:rsidR="007B313E">
        <w:rPr>
          <w:bCs w:val="0"/>
        </w:rPr>
        <w:t>to the benefit</w:t>
      </w:r>
      <w:r w:rsidR="00161C42">
        <w:rPr>
          <w:bCs w:val="0"/>
        </w:rPr>
        <w:t xml:space="preserve"> is supplied</w:t>
      </w:r>
      <w:r w:rsidR="007B313E">
        <w:rPr>
          <w:bCs w:val="0"/>
        </w:rPr>
        <w:t>.</w:t>
      </w:r>
    </w:p>
    <w:p w:rsidR="0069541E" w:rsidRPr="00E80CB5" w:rsidRDefault="0069541E" w:rsidP="003B796D">
      <w:pPr>
        <w:pStyle w:val="Headingbold0"/>
        <w:tabs>
          <w:tab w:val="left" w:pos="1134"/>
        </w:tabs>
        <w:spacing w:before="0"/>
      </w:pPr>
      <w:r>
        <w:t>Item</w:t>
      </w:r>
      <w:r w:rsidR="00082CF1">
        <w:t> </w:t>
      </w:r>
      <w:r w:rsidR="00BD227A">
        <w:t>3</w:t>
      </w:r>
      <w:r w:rsidR="006E4BAA">
        <w:t xml:space="preserve"> – </w:t>
      </w:r>
      <w:r w:rsidR="00BD227A">
        <w:t>Subregu</w:t>
      </w:r>
      <w:r w:rsidR="00A905D0">
        <w:t>l</w:t>
      </w:r>
      <w:r w:rsidR="00BD227A">
        <w:t>ation 37F</w:t>
      </w:r>
      <w:r w:rsidR="00A905D0">
        <w:t>(3) (note)</w:t>
      </w:r>
    </w:p>
    <w:p w:rsidR="00BD227A" w:rsidRDefault="00A905D0" w:rsidP="0038280E">
      <w:pPr>
        <w:pStyle w:val="Textbody0"/>
        <w:ind w:right="-471"/>
        <w:rPr>
          <w:bCs w:val="0"/>
        </w:rPr>
      </w:pPr>
      <w:r>
        <w:rPr>
          <w:bCs w:val="0"/>
        </w:rPr>
        <w:t xml:space="preserve">Item 3 </w:t>
      </w:r>
      <w:r w:rsidR="0093037E">
        <w:rPr>
          <w:bCs w:val="0"/>
        </w:rPr>
        <w:t>replace</w:t>
      </w:r>
      <w:r w:rsidR="0038280E">
        <w:rPr>
          <w:bCs w:val="0"/>
        </w:rPr>
        <w:t>s</w:t>
      </w:r>
      <w:r w:rsidR="0093037E">
        <w:rPr>
          <w:bCs w:val="0"/>
        </w:rPr>
        <w:t xml:space="preserve"> “Note” as </w:t>
      </w:r>
      <w:r w:rsidR="00082CF1">
        <w:rPr>
          <w:bCs w:val="0"/>
        </w:rPr>
        <w:t xml:space="preserve">the label of the </w:t>
      </w:r>
      <w:r>
        <w:rPr>
          <w:bCs w:val="0"/>
        </w:rPr>
        <w:t xml:space="preserve">existing </w:t>
      </w:r>
      <w:r w:rsidR="00082CF1">
        <w:rPr>
          <w:bCs w:val="0"/>
        </w:rPr>
        <w:t>n</w:t>
      </w:r>
      <w:r>
        <w:rPr>
          <w:bCs w:val="0"/>
        </w:rPr>
        <w:t xml:space="preserve">ote for regulation 37F </w:t>
      </w:r>
      <w:r w:rsidR="0093037E">
        <w:rPr>
          <w:bCs w:val="0"/>
        </w:rPr>
        <w:t xml:space="preserve">with </w:t>
      </w:r>
      <w:r w:rsidR="00082CF1">
        <w:rPr>
          <w:bCs w:val="0"/>
        </w:rPr>
        <w:t>th</w:t>
      </w:r>
      <w:r w:rsidR="0093037E">
        <w:rPr>
          <w:bCs w:val="0"/>
        </w:rPr>
        <w:t>e</w:t>
      </w:r>
      <w:r w:rsidR="00082CF1">
        <w:rPr>
          <w:bCs w:val="0"/>
        </w:rPr>
        <w:t xml:space="preserve"> label “Note 1”</w:t>
      </w:r>
      <w:r w:rsidR="00161C42">
        <w:rPr>
          <w:bCs w:val="0"/>
        </w:rPr>
        <w:t>.</w:t>
      </w:r>
      <w:r w:rsidR="00082CF1">
        <w:rPr>
          <w:bCs w:val="0"/>
        </w:rPr>
        <w:t xml:space="preserve">  This allow</w:t>
      </w:r>
      <w:r w:rsidR="0038280E">
        <w:rPr>
          <w:bCs w:val="0"/>
        </w:rPr>
        <w:t>s</w:t>
      </w:r>
      <w:r w:rsidR="00082CF1">
        <w:rPr>
          <w:bCs w:val="0"/>
        </w:rPr>
        <w:t xml:space="preserve"> the additional note added under item 4 to be numbered </w:t>
      </w:r>
      <w:r w:rsidR="0093037E">
        <w:rPr>
          <w:bCs w:val="0"/>
        </w:rPr>
        <w:t xml:space="preserve">sequentially </w:t>
      </w:r>
      <w:r w:rsidR="00082CF1">
        <w:rPr>
          <w:bCs w:val="0"/>
        </w:rPr>
        <w:t>as “Note 2”.</w:t>
      </w:r>
    </w:p>
    <w:p w:rsidR="00082CF1" w:rsidRDefault="00082CF1" w:rsidP="00082CF1">
      <w:pPr>
        <w:pStyle w:val="Headingbold0"/>
        <w:tabs>
          <w:tab w:val="left" w:pos="1134"/>
        </w:tabs>
        <w:spacing w:before="0"/>
      </w:pPr>
      <w:r>
        <w:t>Item </w:t>
      </w:r>
      <w:r w:rsidR="00BD227A" w:rsidRPr="006675DA">
        <w:t>4</w:t>
      </w:r>
      <w:r>
        <w:t xml:space="preserve"> - </w:t>
      </w:r>
      <w:r w:rsidR="00BD227A" w:rsidRPr="006675DA">
        <w:t>At the end of subregulation 37F(3)</w:t>
      </w:r>
    </w:p>
    <w:p w:rsidR="00BD227A" w:rsidRPr="0011041E" w:rsidRDefault="00082CF1" w:rsidP="0011041E">
      <w:pPr>
        <w:pStyle w:val="Textbody0"/>
        <w:rPr>
          <w:bCs w:val="0"/>
        </w:rPr>
      </w:pPr>
      <w:r w:rsidRPr="00082CF1">
        <w:rPr>
          <w:bCs w:val="0"/>
        </w:rPr>
        <w:t>Item </w:t>
      </w:r>
      <w:r w:rsidR="0002425E">
        <w:rPr>
          <w:bCs w:val="0"/>
        </w:rPr>
        <w:t>4</w:t>
      </w:r>
      <w:r w:rsidRPr="00082CF1">
        <w:rPr>
          <w:bCs w:val="0"/>
        </w:rPr>
        <w:t xml:space="preserve"> </w:t>
      </w:r>
      <w:r w:rsidRPr="0011041E">
        <w:rPr>
          <w:bCs w:val="0"/>
        </w:rPr>
        <w:t>add</w:t>
      </w:r>
      <w:r w:rsidR="0038280E">
        <w:rPr>
          <w:bCs w:val="0"/>
        </w:rPr>
        <w:t>s</w:t>
      </w:r>
      <w:r w:rsidRPr="0011041E">
        <w:rPr>
          <w:bCs w:val="0"/>
        </w:rPr>
        <w:t xml:space="preserve"> as an additional note </w:t>
      </w:r>
      <w:r w:rsidRPr="00082CF1">
        <w:rPr>
          <w:bCs w:val="0"/>
        </w:rPr>
        <w:t>for regulation 37F</w:t>
      </w:r>
      <w:r w:rsidR="00B674B7">
        <w:rPr>
          <w:bCs w:val="0"/>
        </w:rPr>
        <w:t>,</w:t>
      </w:r>
      <w:r w:rsidRPr="0011041E">
        <w:rPr>
          <w:bCs w:val="0"/>
        </w:rPr>
        <w:t xml:space="preserve"> </w:t>
      </w:r>
      <w:r w:rsidR="00B674B7">
        <w:rPr>
          <w:bCs w:val="0"/>
        </w:rPr>
        <w:t xml:space="preserve">and </w:t>
      </w:r>
      <w:r w:rsidR="006D2B8F" w:rsidRPr="0011041E">
        <w:rPr>
          <w:bCs w:val="0"/>
        </w:rPr>
        <w:t xml:space="preserve">labelled as </w:t>
      </w:r>
      <w:r w:rsidR="009E4713">
        <w:rPr>
          <w:bCs w:val="0"/>
        </w:rPr>
        <w:t>“</w:t>
      </w:r>
      <w:r w:rsidRPr="0011041E">
        <w:rPr>
          <w:bCs w:val="0"/>
        </w:rPr>
        <w:t>N</w:t>
      </w:r>
      <w:r w:rsidR="00BD227A" w:rsidRPr="0011041E">
        <w:rPr>
          <w:bCs w:val="0"/>
        </w:rPr>
        <w:t>ote</w:t>
      </w:r>
      <w:r w:rsidR="004F053E">
        <w:rPr>
          <w:bCs w:val="0"/>
        </w:rPr>
        <w:t> </w:t>
      </w:r>
      <w:r w:rsidR="00BD227A" w:rsidRPr="0011041E">
        <w:rPr>
          <w:bCs w:val="0"/>
        </w:rPr>
        <w:t>2</w:t>
      </w:r>
      <w:r w:rsidR="009E4713">
        <w:rPr>
          <w:bCs w:val="0"/>
        </w:rPr>
        <w:t>”</w:t>
      </w:r>
      <w:r w:rsidRPr="0011041E">
        <w:rPr>
          <w:bCs w:val="0"/>
        </w:rPr>
        <w:t xml:space="preserve">, that </w:t>
      </w:r>
      <w:r w:rsidR="00BD227A" w:rsidRPr="0011041E">
        <w:rPr>
          <w:bCs w:val="0"/>
        </w:rPr>
        <w:t>Subdivision 2A prescribes information that must not be taken into account in determining a weighted average disclosed price.</w:t>
      </w:r>
      <w:r w:rsidR="006D2B8F" w:rsidRPr="0011041E">
        <w:rPr>
          <w:bCs w:val="0"/>
        </w:rPr>
        <w:t xml:space="preserve">  Subdivision 2A </w:t>
      </w:r>
      <w:r w:rsidR="0038280E">
        <w:rPr>
          <w:bCs w:val="0"/>
        </w:rPr>
        <w:t xml:space="preserve">is </w:t>
      </w:r>
      <w:r w:rsidR="006D2B8F" w:rsidRPr="0011041E">
        <w:rPr>
          <w:bCs w:val="0"/>
        </w:rPr>
        <w:t>inserted by item 7.</w:t>
      </w:r>
    </w:p>
    <w:p w:rsidR="00BD227A" w:rsidRPr="006675DA" w:rsidRDefault="0011041E" w:rsidP="0011041E">
      <w:pPr>
        <w:pStyle w:val="Headingbold0"/>
        <w:tabs>
          <w:tab w:val="left" w:pos="1134"/>
        </w:tabs>
        <w:spacing w:before="0"/>
      </w:pPr>
      <w:r>
        <w:t>Item </w:t>
      </w:r>
      <w:r w:rsidR="00BD227A" w:rsidRPr="006675DA">
        <w:t xml:space="preserve">5 </w:t>
      </w:r>
      <w:r>
        <w:t>-</w:t>
      </w:r>
      <w:r w:rsidR="00BD227A" w:rsidRPr="006675DA">
        <w:t xml:space="preserve"> At the end of regulation 37S</w:t>
      </w:r>
    </w:p>
    <w:p w:rsidR="00F65C6E" w:rsidRDefault="00262CC8" w:rsidP="00F65C6E">
      <w:pPr>
        <w:pStyle w:val="Textbody0"/>
        <w:rPr>
          <w:bCs w:val="0"/>
        </w:rPr>
      </w:pPr>
      <w:r>
        <w:rPr>
          <w:bCs w:val="0"/>
        </w:rPr>
        <w:t>Regulation</w:t>
      </w:r>
      <w:r w:rsidR="00B674B7">
        <w:rPr>
          <w:bCs w:val="0"/>
        </w:rPr>
        <w:t> </w:t>
      </w:r>
      <w:r>
        <w:rPr>
          <w:bCs w:val="0"/>
        </w:rPr>
        <w:t xml:space="preserve">37S of the </w:t>
      </w:r>
      <w:r w:rsidR="00586702">
        <w:rPr>
          <w:bCs w:val="0"/>
        </w:rPr>
        <w:t xml:space="preserve">Principal Regulations </w:t>
      </w:r>
      <w:r>
        <w:rPr>
          <w:bCs w:val="0"/>
        </w:rPr>
        <w:t>is Step </w:t>
      </w:r>
      <w:r w:rsidR="00007ABE">
        <w:rPr>
          <w:bCs w:val="0"/>
        </w:rPr>
        <w:t xml:space="preserve">11, the final step, </w:t>
      </w:r>
      <w:r>
        <w:rPr>
          <w:bCs w:val="0"/>
        </w:rPr>
        <w:t xml:space="preserve">of the method prescribed in Regulations 37G to 37S </w:t>
      </w:r>
      <w:r w:rsidR="00F65C6E">
        <w:rPr>
          <w:bCs w:val="0"/>
        </w:rPr>
        <w:t xml:space="preserve">for </w:t>
      </w:r>
      <w:r w:rsidR="00A42FB0">
        <w:rPr>
          <w:bCs w:val="0"/>
        </w:rPr>
        <w:t xml:space="preserve">determining the weighted average disclosed price of a listed brand of a pharmaceutical item </w:t>
      </w:r>
      <w:r>
        <w:rPr>
          <w:bCs w:val="0"/>
        </w:rPr>
        <w:t xml:space="preserve">for </w:t>
      </w:r>
      <w:r w:rsidR="00007ABE">
        <w:rPr>
          <w:bCs w:val="0"/>
        </w:rPr>
        <w:t xml:space="preserve">a </w:t>
      </w:r>
      <w:r w:rsidR="00A42FB0">
        <w:rPr>
          <w:bCs w:val="0"/>
        </w:rPr>
        <w:t>data collection period.  Step 11 works out the weighted average disclosed price for the listed brand</w:t>
      </w:r>
      <w:r w:rsidR="00340466">
        <w:rPr>
          <w:bCs w:val="0"/>
        </w:rPr>
        <w:t xml:space="preserve"> </w:t>
      </w:r>
      <w:r w:rsidR="00007ABE">
        <w:rPr>
          <w:bCs w:val="0"/>
        </w:rPr>
        <w:t xml:space="preserve">by reducing </w:t>
      </w:r>
      <w:r w:rsidR="00340466">
        <w:rPr>
          <w:bCs w:val="0"/>
        </w:rPr>
        <w:t>the average approved ex</w:t>
      </w:r>
      <w:r w:rsidR="00340466">
        <w:rPr>
          <w:bCs w:val="0"/>
        </w:rPr>
        <w:noBreakHyphen/>
        <w:t xml:space="preserve">manufacturer price for the brand </w:t>
      </w:r>
      <w:r w:rsidR="00EF29DD">
        <w:rPr>
          <w:bCs w:val="0"/>
        </w:rPr>
        <w:t xml:space="preserve">over the data collection period </w:t>
      </w:r>
      <w:r w:rsidR="00340466">
        <w:rPr>
          <w:bCs w:val="0"/>
        </w:rPr>
        <w:t>by the weighted average percentage difference for all related brands</w:t>
      </w:r>
      <w:r w:rsidR="00EF29DD">
        <w:rPr>
          <w:bCs w:val="0"/>
        </w:rPr>
        <w:t xml:space="preserve"> (i.e. brands of pharmaceutical items </w:t>
      </w:r>
      <w:r w:rsidR="00B674B7">
        <w:rPr>
          <w:bCs w:val="0"/>
        </w:rPr>
        <w:t xml:space="preserve">with the same drug and </w:t>
      </w:r>
      <w:r w:rsidR="00EF29DD">
        <w:rPr>
          <w:bCs w:val="0"/>
        </w:rPr>
        <w:t xml:space="preserve">with the same manner of administration) </w:t>
      </w:r>
      <w:r w:rsidR="00340466">
        <w:rPr>
          <w:bCs w:val="0"/>
        </w:rPr>
        <w:t>worked out under Step 10.</w:t>
      </w:r>
      <w:r w:rsidR="00A42FB0">
        <w:rPr>
          <w:bCs w:val="0"/>
        </w:rPr>
        <w:t xml:space="preserve"> </w:t>
      </w:r>
    </w:p>
    <w:p w:rsidR="00534B61" w:rsidRDefault="0011041E" w:rsidP="00F65C6E">
      <w:pPr>
        <w:pStyle w:val="Textbody0"/>
        <w:rPr>
          <w:bCs w:val="0"/>
        </w:rPr>
      </w:pPr>
      <w:r w:rsidRPr="00F65C6E">
        <w:rPr>
          <w:bCs w:val="0"/>
        </w:rPr>
        <w:t xml:space="preserve">Item 5 </w:t>
      </w:r>
      <w:r w:rsidR="00340466">
        <w:rPr>
          <w:bCs w:val="0"/>
        </w:rPr>
        <w:t>add</w:t>
      </w:r>
      <w:r w:rsidR="0038280E">
        <w:rPr>
          <w:bCs w:val="0"/>
        </w:rPr>
        <w:t>s</w:t>
      </w:r>
      <w:r w:rsidR="00340466">
        <w:rPr>
          <w:bCs w:val="0"/>
        </w:rPr>
        <w:t xml:space="preserve"> subregulation 37S</w:t>
      </w:r>
      <w:r w:rsidR="00BD227A" w:rsidRPr="00F65C6E">
        <w:rPr>
          <w:bCs w:val="0"/>
        </w:rPr>
        <w:t>(4)</w:t>
      </w:r>
      <w:r w:rsidR="00340466">
        <w:rPr>
          <w:bCs w:val="0"/>
        </w:rPr>
        <w:t xml:space="preserve"> to provide that </w:t>
      </w:r>
      <w:r w:rsidR="00007ABE">
        <w:rPr>
          <w:bCs w:val="0"/>
        </w:rPr>
        <w:t>R</w:t>
      </w:r>
      <w:r w:rsidR="00BD227A" w:rsidRPr="00F65C6E">
        <w:rPr>
          <w:bCs w:val="0"/>
        </w:rPr>
        <w:t>egulation</w:t>
      </w:r>
      <w:r w:rsidR="00007ABE">
        <w:rPr>
          <w:bCs w:val="0"/>
        </w:rPr>
        <w:t> 37S</w:t>
      </w:r>
      <w:r w:rsidR="00BD227A" w:rsidRPr="00F65C6E">
        <w:rPr>
          <w:bCs w:val="0"/>
        </w:rPr>
        <w:t xml:space="preserve"> has ef</w:t>
      </w:r>
      <w:r w:rsidR="006874B0">
        <w:rPr>
          <w:bCs w:val="0"/>
        </w:rPr>
        <w:t xml:space="preserve">fect subject to </w:t>
      </w:r>
      <w:r w:rsidR="00B252C2">
        <w:rPr>
          <w:bCs w:val="0"/>
        </w:rPr>
        <w:t xml:space="preserve">new </w:t>
      </w:r>
      <w:r w:rsidR="006874B0">
        <w:rPr>
          <w:bCs w:val="0"/>
        </w:rPr>
        <w:t xml:space="preserve">regulation 37SA, which </w:t>
      </w:r>
      <w:r w:rsidR="0038280E">
        <w:rPr>
          <w:bCs w:val="0"/>
        </w:rPr>
        <w:t xml:space="preserve">is </w:t>
      </w:r>
      <w:r w:rsidR="006874B0">
        <w:rPr>
          <w:bCs w:val="0"/>
        </w:rPr>
        <w:t>added under item 6.</w:t>
      </w:r>
    </w:p>
    <w:p w:rsidR="00BD227A" w:rsidRDefault="00321911" w:rsidP="0038280E">
      <w:pPr>
        <w:pStyle w:val="Textbody0"/>
        <w:ind w:right="-187"/>
        <w:rPr>
          <w:bCs w:val="0"/>
        </w:rPr>
      </w:pPr>
      <w:r>
        <w:rPr>
          <w:bCs w:val="0"/>
        </w:rPr>
        <w:t xml:space="preserve">The effect of adding subregulation 37S(4) </w:t>
      </w:r>
      <w:r w:rsidR="0038280E">
        <w:rPr>
          <w:bCs w:val="0"/>
        </w:rPr>
        <w:t xml:space="preserve">is </w:t>
      </w:r>
      <w:r>
        <w:rPr>
          <w:bCs w:val="0"/>
        </w:rPr>
        <w:t>that notwithstanding the weighted average disclosed price of a listed brand worked out under regulation 37S (</w:t>
      </w:r>
      <w:r w:rsidR="005D7CDC">
        <w:rPr>
          <w:bCs w:val="0"/>
        </w:rPr>
        <w:t xml:space="preserve">in </w:t>
      </w:r>
      <w:r>
        <w:rPr>
          <w:bCs w:val="0"/>
        </w:rPr>
        <w:t>Step</w:t>
      </w:r>
      <w:r w:rsidR="005D7CDC">
        <w:rPr>
          <w:bCs w:val="0"/>
        </w:rPr>
        <w:t> </w:t>
      </w:r>
      <w:r>
        <w:rPr>
          <w:bCs w:val="0"/>
        </w:rPr>
        <w:t>11)</w:t>
      </w:r>
      <w:r w:rsidR="00DF3B85">
        <w:rPr>
          <w:bCs w:val="0"/>
        </w:rPr>
        <w:t>,</w:t>
      </w:r>
      <w:r w:rsidR="00BC2E13">
        <w:rPr>
          <w:bCs w:val="0"/>
        </w:rPr>
        <w:t xml:space="preserve"> that would otherwise become the approved ex</w:t>
      </w:r>
      <w:r w:rsidR="00BC2E13">
        <w:rPr>
          <w:bCs w:val="0"/>
        </w:rPr>
        <w:noBreakHyphen/>
        <w:t>manufacturer price of the brand</w:t>
      </w:r>
      <w:r>
        <w:rPr>
          <w:bCs w:val="0"/>
        </w:rPr>
        <w:t xml:space="preserve">, </w:t>
      </w:r>
      <w:r w:rsidR="00BC2E13">
        <w:rPr>
          <w:bCs w:val="0"/>
        </w:rPr>
        <w:t xml:space="preserve">if the circumstances set out in </w:t>
      </w:r>
      <w:r w:rsidR="00B252C2">
        <w:rPr>
          <w:bCs w:val="0"/>
        </w:rPr>
        <w:t xml:space="preserve">new </w:t>
      </w:r>
      <w:r w:rsidR="00BC2E13">
        <w:rPr>
          <w:bCs w:val="0"/>
        </w:rPr>
        <w:t xml:space="preserve">regulation 37SA are met, </w:t>
      </w:r>
      <w:r>
        <w:rPr>
          <w:bCs w:val="0"/>
        </w:rPr>
        <w:t xml:space="preserve">the </w:t>
      </w:r>
      <w:r w:rsidR="00BC2E13">
        <w:rPr>
          <w:bCs w:val="0"/>
        </w:rPr>
        <w:t>weighted average disclosed price for the brand is taken to be the applicable approved ex</w:t>
      </w:r>
      <w:r w:rsidR="00BC2E13">
        <w:rPr>
          <w:bCs w:val="0"/>
        </w:rPr>
        <w:noBreakHyphen/>
        <w:t xml:space="preserve">manufacturer </w:t>
      </w:r>
      <w:r>
        <w:rPr>
          <w:bCs w:val="0"/>
        </w:rPr>
        <w:t>price</w:t>
      </w:r>
      <w:r w:rsidR="00BC2E13">
        <w:rPr>
          <w:bCs w:val="0"/>
        </w:rPr>
        <w:t xml:space="preserve">.  That is, </w:t>
      </w:r>
      <w:r w:rsidR="00B674B7">
        <w:rPr>
          <w:bCs w:val="0"/>
        </w:rPr>
        <w:t xml:space="preserve">the price </w:t>
      </w:r>
      <w:r w:rsidR="00ED6AF5">
        <w:rPr>
          <w:bCs w:val="0"/>
        </w:rPr>
        <w:t xml:space="preserve">of the brand </w:t>
      </w:r>
      <w:r w:rsidR="00B674B7">
        <w:rPr>
          <w:bCs w:val="0"/>
        </w:rPr>
        <w:t xml:space="preserve">is not reduced by the weighted average percentage difference calculated in Step 10 </w:t>
      </w:r>
      <w:r w:rsidR="003E5F44">
        <w:rPr>
          <w:bCs w:val="0"/>
        </w:rPr>
        <w:t xml:space="preserve">for the data collection period </w:t>
      </w:r>
      <w:r w:rsidR="00B674B7">
        <w:rPr>
          <w:bCs w:val="0"/>
        </w:rPr>
        <w:t xml:space="preserve">and a </w:t>
      </w:r>
      <w:r w:rsidR="00EF29DD">
        <w:rPr>
          <w:bCs w:val="0"/>
        </w:rPr>
        <w:t xml:space="preserve">price </w:t>
      </w:r>
      <w:r w:rsidR="001B1B3E">
        <w:rPr>
          <w:bCs w:val="0"/>
        </w:rPr>
        <w:t xml:space="preserve">disclosure </w:t>
      </w:r>
      <w:r w:rsidR="009A1CE0">
        <w:rPr>
          <w:bCs w:val="0"/>
        </w:rPr>
        <w:t xml:space="preserve">price </w:t>
      </w:r>
      <w:r w:rsidR="001B1B3E">
        <w:rPr>
          <w:bCs w:val="0"/>
        </w:rPr>
        <w:t>reduction</w:t>
      </w:r>
      <w:r w:rsidR="00B674B7">
        <w:rPr>
          <w:bCs w:val="0"/>
        </w:rPr>
        <w:t xml:space="preserve"> does not occur</w:t>
      </w:r>
      <w:r w:rsidR="00912EE3">
        <w:rPr>
          <w:bCs w:val="0"/>
        </w:rPr>
        <w:t xml:space="preserve"> for that or any brand of the pharmaceutical item</w:t>
      </w:r>
      <w:r w:rsidR="001B1B3E">
        <w:rPr>
          <w:bCs w:val="0"/>
        </w:rPr>
        <w:t>.</w:t>
      </w:r>
      <w:r w:rsidR="00B674B7">
        <w:rPr>
          <w:bCs w:val="0"/>
        </w:rPr>
        <w:t xml:space="preserve">  </w:t>
      </w:r>
      <w:r w:rsidR="00ED6AF5">
        <w:rPr>
          <w:bCs w:val="0"/>
        </w:rPr>
        <w:t>The applicable approved ex</w:t>
      </w:r>
      <w:r w:rsidR="00ED6AF5">
        <w:rPr>
          <w:bCs w:val="0"/>
        </w:rPr>
        <w:noBreakHyphen/>
        <w:t>manufacturer price is defined under section 99ADB of the Act to be the approved ex</w:t>
      </w:r>
      <w:r w:rsidR="00ED6AF5">
        <w:rPr>
          <w:bCs w:val="0"/>
        </w:rPr>
        <w:noBreakHyphen/>
        <w:t xml:space="preserve">manufacturer price of the brand on the day after the end </w:t>
      </w:r>
      <w:r w:rsidR="00912EE3">
        <w:rPr>
          <w:bCs w:val="0"/>
        </w:rPr>
        <w:t>of the period for which the weighted average price of the brand is determined.</w:t>
      </w:r>
      <w:r w:rsidR="00534B61">
        <w:rPr>
          <w:bCs w:val="0"/>
        </w:rPr>
        <w:t xml:space="preserve">  </w:t>
      </w:r>
      <w:r w:rsidR="0000102A">
        <w:rPr>
          <w:bCs w:val="0"/>
        </w:rPr>
        <w:t>The applicable approved ex</w:t>
      </w:r>
      <w:r w:rsidR="00534B61">
        <w:rPr>
          <w:bCs w:val="0"/>
        </w:rPr>
        <w:noBreakHyphen/>
      </w:r>
      <w:r w:rsidR="0000102A">
        <w:rPr>
          <w:bCs w:val="0"/>
        </w:rPr>
        <w:t>manufacturer price is used in</w:t>
      </w:r>
      <w:r w:rsidR="009653AE">
        <w:rPr>
          <w:bCs w:val="0"/>
        </w:rPr>
        <w:t xml:space="preserve"> paragraph</w:t>
      </w:r>
      <w:r w:rsidR="00534B61">
        <w:rPr>
          <w:bCs w:val="0"/>
        </w:rPr>
        <w:t> </w:t>
      </w:r>
      <w:r w:rsidR="009653AE">
        <w:rPr>
          <w:bCs w:val="0"/>
        </w:rPr>
        <w:t>99ADH(1)(c) of the Act</w:t>
      </w:r>
      <w:r w:rsidR="0000102A">
        <w:rPr>
          <w:bCs w:val="0"/>
        </w:rPr>
        <w:t xml:space="preserve"> (</w:t>
      </w:r>
      <w:r w:rsidR="009653AE">
        <w:rPr>
          <w:bCs w:val="0"/>
        </w:rPr>
        <w:t>the ‘10% test</w:t>
      </w:r>
      <w:r w:rsidR="0000102A">
        <w:rPr>
          <w:bCs w:val="0"/>
        </w:rPr>
        <w:t xml:space="preserve">’). </w:t>
      </w:r>
      <w:r w:rsidR="00534B61">
        <w:rPr>
          <w:bCs w:val="0"/>
        </w:rPr>
        <w:t xml:space="preserve"> </w:t>
      </w:r>
      <w:r w:rsidR="0000102A">
        <w:rPr>
          <w:bCs w:val="0"/>
        </w:rPr>
        <w:t>Since the 10</w:t>
      </w:r>
      <w:r w:rsidR="00534B61">
        <w:rPr>
          <w:bCs w:val="0"/>
        </w:rPr>
        <w:t xml:space="preserve"> per cent </w:t>
      </w:r>
      <w:r w:rsidR="0000102A">
        <w:rPr>
          <w:bCs w:val="0"/>
        </w:rPr>
        <w:t>test is failed,</w:t>
      </w:r>
      <w:r w:rsidR="009653AE">
        <w:rPr>
          <w:bCs w:val="0"/>
        </w:rPr>
        <w:t xml:space="preserve"> </w:t>
      </w:r>
      <w:r w:rsidR="0000102A">
        <w:rPr>
          <w:bCs w:val="0"/>
        </w:rPr>
        <w:t>a</w:t>
      </w:r>
      <w:r w:rsidR="009653AE">
        <w:rPr>
          <w:bCs w:val="0"/>
        </w:rPr>
        <w:t xml:space="preserve"> price disclosure reduction </w:t>
      </w:r>
      <w:r w:rsidR="0000102A">
        <w:rPr>
          <w:bCs w:val="0"/>
        </w:rPr>
        <w:t>does not</w:t>
      </w:r>
      <w:r w:rsidR="009653AE">
        <w:rPr>
          <w:bCs w:val="0"/>
        </w:rPr>
        <w:t xml:space="preserve"> occur.</w:t>
      </w:r>
    </w:p>
    <w:p w:rsidR="00BD227A" w:rsidRDefault="001B1B3E" w:rsidP="00834060">
      <w:pPr>
        <w:pStyle w:val="Headingbold0"/>
        <w:tabs>
          <w:tab w:val="left" w:pos="1134"/>
        </w:tabs>
        <w:spacing w:before="0" w:after="240"/>
      </w:pPr>
      <w:r>
        <w:t>Item 6</w:t>
      </w:r>
      <w:r w:rsidRPr="006675DA">
        <w:t xml:space="preserve"> </w:t>
      </w:r>
      <w:r>
        <w:t>-</w:t>
      </w:r>
      <w:r w:rsidRPr="006675DA">
        <w:t xml:space="preserve"> </w:t>
      </w:r>
      <w:r w:rsidRPr="001B1B3E">
        <w:t>At the end of Subdivision 2 of Division 2 of Part 6A</w:t>
      </w:r>
    </w:p>
    <w:p w:rsidR="00EE3793" w:rsidRPr="006675DA" w:rsidRDefault="00EE3793" w:rsidP="00EE3793">
      <w:pPr>
        <w:pStyle w:val="Headingbold0"/>
        <w:tabs>
          <w:tab w:val="left" w:pos="1134"/>
        </w:tabs>
        <w:spacing w:before="0"/>
        <w:ind w:left="709" w:hanging="709"/>
      </w:pPr>
      <w:r w:rsidRPr="00284220">
        <w:t>37S</w:t>
      </w:r>
      <w:r>
        <w:t>A</w:t>
      </w:r>
      <w:r>
        <w:tab/>
        <w:t>When weighted average disclosed price is the same as the applicable approved ex-manufacturer price</w:t>
      </w:r>
    </w:p>
    <w:p w:rsidR="00D01CCC" w:rsidRPr="007A6E46" w:rsidRDefault="001B1B3E" w:rsidP="001B1B3E">
      <w:pPr>
        <w:pStyle w:val="Textbody0"/>
        <w:rPr>
          <w:bCs w:val="0"/>
        </w:rPr>
      </w:pPr>
      <w:r w:rsidRPr="007A6E46">
        <w:rPr>
          <w:bCs w:val="0"/>
        </w:rPr>
        <w:t>Item 6 add</w:t>
      </w:r>
      <w:r w:rsidR="0038280E">
        <w:rPr>
          <w:bCs w:val="0"/>
        </w:rPr>
        <w:t>s</w:t>
      </w:r>
      <w:r w:rsidRPr="007A6E46">
        <w:rPr>
          <w:bCs w:val="0"/>
        </w:rPr>
        <w:t xml:space="preserve"> regulation 37SA to set out when the weighted average disclosed price of a listed brand </w:t>
      </w:r>
      <w:r w:rsidR="00A84059" w:rsidRPr="007A6E46">
        <w:rPr>
          <w:bCs w:val="0"/>
        </w:rPr>
        <w:t xml:space="preserve">of a pharmaceutical item </w:t>
      </w:r>
      <w:r w:rsidR="00D01CCC" w:rsidRPr="007A6E46">
        <w:rPr>
          <w:bCs w:val="0"/>
        </w:rPr>
        <w:t xml:space="preserve">calculated under regulation 37S </w:t>
      </w:r>
      <w:r w:rsidR="00E71E09" w:rsidRPr="007A6E46">
        <w:rPr>
          <w:bCs w:val="0"/>
        </w:rPr>
        <w:t xml:space="preserve">for the data collection period </w:t>
      </w:r>
      <w:r w:rsidRPr="007A6E46">
        <w:rPr>
          <w:bCs w:val="0"/>
        </w:rPr>
        <w:t>is taken to be the amount of the applicable approved ex</w:t>
      </w:r>
      <w:r w:rsidRPr="007A6E46">
        <w:rPr>
          <w:bCs w:val="0"/>
        </w:rPr>
        <w:noBreakHyphen/>
        <w:t xml:space="preserve">manufacturer price of the brand.  </w:t>
      </w:r>
      <w:r w:rsidR="007B7374" w:rsidRPr="007A6E46">
        <w:rPr>
          <w:bCs w:val="0"/>
        </w:rPr>
        <w:t xml:space="preserve">Under </w:t>
      </w:r>
      <w:r w:rsidR="00E339A4">
        <w:rPr>
          <w:bCs w:val="0"/>
        </w:rPr>
        <w:t xml:space="preserve">new </w:t>
      </w:r>
      <w:r w:rsidR="007B7374" w:rsidRPr="007A6E46">
        <w:rPr>
          <w:bCs w:val="0"/>
        </w:rPr>
        <w:t>subregulation 37S(4)</w:t>
      </w:r>
      <w:r w:rsidR="00EE3793" w:rsidRPr="007A6E46">
        <w:rPr>
          <w:bCs w:val="0"/>
        </w:rPr>
        <w:t>,</w:t>
      </w:r>
      <w:r w:rsidR="007B7374" w:rsidRPr="007A6E46">
        <w:rPr>
          <w:bCs w:val="0"/>
        </w:rPr>
        <w:t xml:space="preserve"> added under item 5</w:t>
      </w:r>
      <w:r w:rsidR="00EE3793" w:rsidRPr="007A6E46">
        <w:rPr>
          <w:bCs w:val="0"/>
        </w:rPr>
        <w:t>,</w:t>
      </w:r>
      <w:r w:rsidR="007B7374" w:rsidRPr="007A6E46">
        <w:rPr>
          <w:bCs w:val="0"/>
        </w:rPr>
        <w:t xml:space="preserve"> a</w:t>
      </w:r>
      <w:r w:rsidRPr="007A6E46">
        <w:rPr>
          <w:bCs w:val="0"/>
        </w:rPr>
        <w:t xml:space="preserve">pplication of the weighted average disclosed price of a listed brand </w:t>
      </w:r>
      <w:r w:rsidR="00D01CCC" w:rsidRPr="007A6E46">
        <w:rPr>
          <w:bCs w:val="0"/>
        </w:rPr>
        <w:t xml:space="preserve">would be subject to </w:t>
      </w:r>
      <w:r w:rsidR="00E339A4">
        <w:rPr>
          <w:bCs w:val="0"/>
        </w:rPr>
        <w:t xml:space="preserve">new </w:t>
      </w:r>
      <w:r w:rsidR="00D01CCC" w:rsidRPr="007A6E46">
        <w:rPr>
          <w:bCs w:val="0"/>
        </w:rPr>
        <w:t>regulation 37SA</w:t>
      </w:r>
      <w:r w:rsidR="007B7374" w:rsidRPr="007A6E46">
        <w:rPr>
          <w:bCs w:val="0"/>
        </w:rPr>
        <w:t>.</w:t>
      </w:r>
    </w:p>
    <w:p w:rsidR="009653AE" w:rsidRDefault="009653AE" w:rsidP="00BA6EB8">
      <w:pPr>
        <w:pStyle w:val="Textbody0"/>
        <w:ind w:right="-329"/>
        <w:rPr>
          <w:bCs w:val="0"/>
        </w:rPr>
      </w:pPr>
      <w:r w:rsidRPr="007A6E46">
        <w:t xml:space="preserve">The effect of </w:t>
      </w:r>
      <w:r w:rsidR="00B252C2">
        <w:t xml:space="preserve">new </w:t>
      </w:r>
      <w:r w:rsidRPr="007A6E46">
        <w:t>regulation 37SA is that price disclosure reductions do not apply in certain circumstances when there is little discounting and low sales volumes for brands of a pharmace</w:t>
      </w:r>
      <w:r w:rsidR="00161C42">
        <w:t>utical item.</w:t>
      </w:r>
    </w:p>
    <w:p w:rsidR="005C4F52" w:rsidRPr="007A6E46" w:rsidRDefault="00B252C2" w:rsidP="00BA585A">
      <w:pPr>
        <w:pStyle w:val="Textbody0"/>
        <w:spacing w:after="120"/>
        <w:rPr>
          <w:bCs w:val="0"/>
        </w:rPr>
      </w:pPr>
      <w:r>
        <w:rPr>
          <w:bCs w:val="0"/>
        </w:rPr>
        <w:t>New r</w:t>
      </w:r>
      <w:r w:rsidR="00D01CCC" w:rsidRPr="007A6E46">
        <w:rPr>
          <w:bCs w:val="0"/>
        </w:rPr>
        <w:t xml:space="preserve">egulation 37SA </w:t>
      </w:r>
      <w:r w:rsidR="00A84059" w:rsidRPr="007A6E46">
        <w:rPr>
          <w:bCs w:val="0"/>
        </w:rPr>
        <w:t>provide</w:t>
      </w:r>
      <w:r w:rsidR="001870D1">
        <w:rPr>
          <w:bCs w:val="0"/>
        </w:rPr>
        <w:t>s</w:t>
      </w:r>
      <w:r w:rsidR="00A84059" w:rsidRPr="007A6E46">
        <w:rPr>
          <w:bCs w:val="0"/>
        </w:rPr>
        <w:t xml:space="preserve"> that </w:t>
      </w:r>
      <w:r w:rsidR="00003068" w:rsidRPr="007A6E46">
        <w:rPr>
          <w:bCs w:val="0"/>
        </w:rPr>
        <w:t>application of the weighted average disclosed price calculated in regulation 37S would be subject to whether</w:t>
      </w:r>
      <w:r w:rsidR="005C4F52" w:rsidRPr="007A6E46">
        <w:rPr>
          <w:bCs w:val="0"/>
        </w:rPr>
        <w:t>:</w:t>
      </w:r>
    </w:p>
    <w:p w:rsidR="005C4F52" w:rsidRPr="007A6E46" w:rsidRDefault="00BD227A" w:rsidP="00DC337F">
      <w:pPr>
        <w:pStyle w:val="Textbody0"/>
        <w:numPr>
          <w:ilvl w:val="0"/>
          <w:numId w:val="50"/>
        </w:numPr>
        <w:spacing w:after="120"/>
        <w:ind w:left="567" w:hanging="425"/>
      </w:pPr>
      <w:r w:rsidRPr="007A6E46">
        <w:t xml:space="preserve">the total adjusted volume </w:t>
      </w:r>
      <w:r w:rsidR="00BA6EB8" w:rsidRPr="007A6E46">
        <w:t xml:space="preserve">for brands </w:t>
      </w:r>
      <w:r w:rsidR="00D01CCC" w:rsidRPr="007A6E46">
        <w:t xml:space="preserve">of the </w:t>
      </w:r>
      <w:r w:rsidR="005C4F52" w:rsidRPr="007A6E46">
        <w:t xml:space="preserve">pharmaceutical item </w:t>
      </w:r>
      <w:r w:rsidRPr="007A6E46">
        <w:t>worked out under regulation 37N</w:t>
      </w:r>
      <w:r w:rsidR="00D01CCC" w:rsidRPr="007A6E46">
        <w:t xml:space="preserve"> (</w:t>
      </w:r>
      <w:r w:rsidR="00A84059" w:rsidRPr="007A6E46">
        <w:t xml:space="preserve">Step 7) </w:t>
      </w:r>
      <w:r w:rsidRPr="007A6E46">
        <w:t>is more than zero and</w:t>
      </w:r>
      <w:r w:rsidR="00A84059" w:rsidRPr="007A6E46">
        <w:t xml:space="preserve"> </w:t>
      </w:r>
      <w:r w:rsidRPr="007A6E46">
        <w:t xml:space="preserve">no more than </w:t>
      </w:r>
      <w:r w:rsidR="00A84059" w:rsidRPr="007A6E46">
        <w:t xml:space="preserve">ten per cent </w:t>
      </w:r>
      <w:r w:rsidRPr="007A6E46">
        <w:t xml:space="preserve">of the </w:t>
      </w:r>
      <w:r w:rsidR="00BA6EB8" w:rsidRPr="007A6E46">
        <w:t xml:space="preserve">sum of the </w:t>
      </w:r>
      <w:r w:rsidRPr="007A6E46">
        <w:t>total adjusted volume</w:t>
      </w:r>
      <w:r w:rsidR="00BA6EB8" w:rsidRPr="007A6E46">
        <w:t>s</w:t>
      </w:r>
      <w:r w:rsidRPr="007A6E46">
        <w:t xml:space="preserve"> </w:t>
      </w:r>
      <w:r w:rsidR="00A84059" w:rsidRPr="007A6E46">
        <w:t xml:space="preserve">for </w:t>
      </w:r>
      <w:r w:rsidR="00BA6EB8" w:rsidRPr="007A6E46">
        <w:t xml:space="preserve">the brands of each </w:t>
      </w:r>
      <w:r w:rsidR="005C4F52" w:rsidRPr="007A6E46">
        <w:t>pharmaceutical item sharing the same drug and manner of administration</w:t>
      </w:r>
      <w:r w:rsidR="005F1794" w:rsidRPr="007A6E46">
        <w:t>,</w:t>
      </w:r>
      <w:r w:rsidR="005C4F52" w:rsidRPr="007A6E46">
        <w:t xml:space="preserve"> also worked out under regulation</w:t>
      </w:r>
      <w:r w:rsidR="00FE6C77">
        <w:t> </w:t>
      </w:r>
      <w:r w:rsidR="005C4F52" w:rsidRPr="007A6E46">
        <w:t>37N (Step</w:t>
      </w:r>
      <w:r w:rsidR="00BA6EB8" w:rsidRPr="007A6E46">
        <w:t> </w:t>
      </w:r>
      <w:r w:rsidR="005C4F52" w:rsidRPr="007A6E46">
        <w:t>7)</w:t>
      </w:r>
      <w:r w:rsidR="00BA6EB8" w:rsidRPr="007A6E46">
        <w:t xml:space="preserve">, and including the </w:t>
      </w:r>
      <w:r w:rsidR="005F1794" w:rsidRPr="007A6E46">
        <w:t xml:space="preserve">total adjusted volume of the </w:t>
      </w:r>
      <w:r w:rsidR="00BA6EB8" w:rsidRPr="007A6E46">
        <w:t>pharmaceutical item of the listed brand</w:t>
      </w:r>
      <w:r w:rsidR="005C4F52" w:rsidRPr="007A6E46">
        <w:t>;</w:t>
      </w:r>
    </w:p>
    <w:p w:rsidR="00DE66A7" w:rsidRPr="007A6E46" w:rsidRDefault="00BD227A" w:rsidP="00DC337F">
      <w:pPr>
        <w:pStyle w:val="Textbody0"/>
        <w:numPr>
          <w:ilvl w:val="0"/>
          <w:numId w:val="50"/>
        </w:numPr>
        <w:spacing w:after="120"/>
        <w:ind w:left="567" w:hanging="425"/>
      </w:pPr>
      <w:r w:rsidRPr="007A6E46">
        <w:t xml:space="preserve">the weighted average percentage difference worked out </w:t>
      </w:r>
      <w:r w:rsidR="005C4F52" w:rsidRPr="007A6E46">
        <w:t xml:space="preserve">for </w:t>
      </w:r>
      <w:r w:rsidR="005F1794" w:rsidRPr="007A6E46">
        <w:t xml:space="preserve">brands of </w:t>
      </w:r>
      <w:r w:rsidR="005C4F52" w:rsidRPr="007A6E46">
        <w:t xml:space="preserve">the pharmaceutical item </w:t>
      </w:r>
      <w:r w:rsidRPr="007A6E46">
        <w:t xml:space="preserve">under regulation 37P </w:t>
      </w:r>
      <w:r w:rsidR="00A84059" w:rsidRPr="007A6E46">
        <w:t xml:space="preserve">(Step 8) </w:t>
      </w:r>
      <w:r w:rsidRPr="007A6E46">
        <w:t xml:space="preserve">is not more than </w:t>
      </w:r>
      <w:r w:rsidR="00A84059" w:rsidRPr="007A6E46">
        <w:t>three per cent</w:t>
      </w:r>
      <w:r w:rsidR="005C4F52" w:rsidRPr="007A6E46">
        <w:t>;</w:t>
      </w:r>
    </w:p>
    <w:p w:rsidR="005C4F52" w:rsidRPr="007A6E46" w:rsidRDefault="005F1794" w:rsidP="00DC337F">
      <w:pPr>
        <w:pStyle w:val="Textbody0"/>
        <w:numPr>
          <w:ilvl w:val="0"/>
          <w:numId w:val="50"/>
        </w:numPr>
        <w:spacing w:after="120"/>
        <w:ind w:left="567" w:right="-45" w:hanging="425"/>
      </w:pPr>
      <w:r w:rsidRPr="007A6E46">
        <w:t>there is not a brand of a pharmaceutical item with the same drug and manner of administration as the listed brand that is bioequivalent or biosimilar to the listed brand of the pharmaceutical item and to which paragraph 37SA(a) (</w:t>
      </w:r>
      <w:r w:rsidR="00D059CE" w:rsidRPr="007A6E46">
        <w:t xml:space="preserve">a total adjusted volume of </w:t>
      </w:r>
      <w:r w:rsidRPr="007A6E46">
        <w:t xml:space="preserve">no more than ten per cent of summed total adjusted volumes) and </w:t>
      </w:r>
      <w:r w:rsidR="00D059CE" w:rsidRPr="007A6E46">
        <w:t>paragraph 37SA(</w:t>
      </w:r>
      <w:r w:rsidRPr="007A6E46">
        <w:t xml:space="preserve">b) </w:t>
      </w:r>
      <w:r w:rsidR="00D059CE" w:rsidRPr="007A6E46">
        <w:t xml:space="preserve">(a weighted average percentage difference of no more than three per cent) </w:t>
      </w:r>
      <w:r w:rsidRPr="007A6E46">
        <w:t>do not apply;</w:t>
      </w:r>
    </w:p>
    <w:p w:rsidR="00A84059" w:rsidRDefault="00A84059" w:rsidP="00DC337F">
      <w:pPr>
        <w:pStyle w:val="Textbody0"/>
        <w:numPr>
          <w:ilvl w:val="0"/>
          <w:numId w:val="50"/>
        </w:numPr>
        <w:ind w:left="567" w:hanging="425"/>
      </w:pPr>
      <w:r>
        <w:t xml:space="preserve">the </w:t>
      </w:r>
      <w:r w:rsidR="00BD227A" w:rsidRPr="006675DA">
        <w:t>Pharmaceutical Benefits Advisory Committee has not advised the Minister that the pharmaceutical item does not provide a significant improvement in efficacy or a reduction in toxicity over alternative therapies.</w:t>
      </w:r>
      <w:r>
        <w:t xml:space="preserve">  </w:t>
      </w:r>
    </w:p>
    <w:p w:rsidR="00525342" w:rsidRDefault="00A84059" w:rsidP="00D01CCC">
      <w:pPr>
        <w:pStyle w:val="Textbody0"/>
      </w:pPr>
      <w:r>
        <w:t xml:space="preserve">If all </w:t>
      </w:r>
      <w:r w:rsidR="00161C42">
        <w:t xml:space="preserve">of the above </w:t>
      </w:r>
      <w:r>
        <w:t xml:space="preserve">apply, </w:t>
      </w:r>
      <w:r w:rsidR="00D01CCC" w:rsidRPr="006675DA">
        <w:t xml:space="preserve">the </w:t>
      </w:r>
      <w:r w:rsidR="00D01CCC" w:rsidRPr="00A84059">
        <w:t>weighted average disclosed price</w:t>
      </w:r>
      <w:r w:rsidR="00D01CCC" w:rsidRPr="006675DA">
        <w:t xml:space="preserve"> of the brand </w:t>
      </w:r>
      <w:r w:rsidR="00003068">
        <w:t>i</w:t>
      </w:r>
      <w:r w:rsidR="00D01CCC" w:rsidRPr="006675DA">
        <w:t>s taken to be the amount of the applicable approved ex</w:t>
      </w:r>
      <w:r w:rsidR="00D01CCC">
        <w:noBreakHyphen/>
      </w:r>
      <w:r w:rsidR="00D01CCC" w:rsidRPr="006675DA">
        <w:t>manufacturer price of the listed brand of the pharmaceutical item</w:t>
      </w:r>
      <w:r w:rsidR="007B7374">
        <w:t>.</w:t>
      </w:r>
    </w:p>
    <w:p w:rsidR="00161C42" w:rsidRPr="006675DA" w:rsidRDefault="00161C42" w:rsidP="00D01CCC">
      <w:pPr>
        <w:pStyle w:val="Textbody0"/>
      </w:pPr>
      <w:r w:rsidRPr="007A6E46">
        <w:t xml:space="preserve">Disclosed originator brand data </w:t>
      </w:r>
      <w:r w:rsidR="005550C4">
        <w:t>is</w:t>
      </w:r>
      <w:r w:rsidRPr="007A6E46">
        <w:t xml:space="preserve"> not excluded when determining whether the conditions in </w:t>
      </w:r>
      <w:r w:rsidR="00E339A4">
        <w:t xml:space="preserve">new </w:t>
      </w:r>
      <w:r w:rsidRPr="007A6E46">
        <w:t xml:space="preserve">regulation 37SA all apply due to item 7 and </w:t>
      </w:r>
      <w:r w:rsidR="001870D1">
        <w:t>new</w:t>
      </w:r>
      <w:r w:rsidRPr="007A6E46">
        <w:t xml:space="preserve"> subregulation 37SB(3).</w:t>
      </w:r>
    </w:p>
    <w:p w:rsidR="00BD227A" w:rsidRDefault="00003068" w:rsidP="00003068">
      <w:pPr>
        <w:pStyle w:val="Headingbold0"/>
        <w:tabs>
          <w:tab w:val="left" w:pos="1134"/>
        </w:tabs>
        <w:spacing w:before="0"/>
      </w:pPr>
      <w:r>
        <w:t>Item </w:t>
      </w:r>
      <w:r w:rsidR="00FE7E23">
        <w:t>7</w:t>
      </w:r>
      <w:r w:rsidRPr="006675DA">
        <w:t xml:space="preserve"> </w:t>
      </w:r>
      <w:r>
        <w:t>-</w:t>
      </w:r>
      <w:r w:rsidRPr="006675DA">
        <w:t xml:space="preserve"> </w:t>
      </w:r>
      <w:r w:rsidRPr="001B1B3E">
        <w:t>A</w:t>
      </w:r>
      <w:r w:rsidR="00BD227A" w:rsidRPr="006675DA">
        <w:t>fter Subdivision 2 of Division 2 of Part 6A</w:t>
      </w:r>
    </w:p>
    <w:p w:rsidR="00BD227A" w:rsidRDefault="00FE7E23" w:rsidP="00FE7E23">
      <w:pPr>
        <w:pStyle w:val="Textbody0"/>
        <w:rPr>
          <w:rStyle w:val="CharSubdNo"/>
        </w:rPr>
      </w:pPr>
      <w:r w:rsidRPr="00F65C6E">
        <w:rPr>
          <w:bCs w:val="0"/>
        </w:rPr>
        <w:t>Item </w:t>
      </w:r>
      <w:r>
        <w:rPr>
          <w:bCs w:val="0"/>
        </w:rPr>
        <w:t>7</w:t>
      </w:r>
      <w:r w:rsidRPr="00F65C6E">
        <w:rPr>
          <w:bCs w:val="0"/>
        </w:rPr>
        <w:t xml:space="preserve"> </w:t>
      </w:r>
      <w:r>
        <w:rPr>
          <w:bCs w:val="0"/>
        </w:rPr>
        <w:t>add</w:t>
      </w:r>
      <w:r w:rsidR="001870D1">
        <w:rPr>
          <w:bCs w:val="0"/>
        </w:rPr>
        <w:t>s</w:t>
      </w:r>
      <w:r>
        <w:rPr>
          <w:bCs w:val="0"/>
        </w:rPr>
        <w:t xml:space="preserve"> after Subdivision 2 of Division 2</w:t>
      </w:r>
      <w:r w:rsidR="007B7374">
        <w:rPr>
          <w:bCs w:val="0"/>
        </w:rPr>
        <w:t xml:space="preserve"> of Part</w:t>
      </w:r>
      <w:r w:rsidR="003E6739">
        <w:rPr>
          <w:bCs w:val="0"/>
        </w:rPr>
        <w:t> </w:t>
      </w:r>
      <w:r w:rsidR="007B7374">
        <w:rPr>
          <w:bCs w:val="0"/>
        </w:rPr>
        <w:t>6A</w:t>
      </w:r>
      <w:r>
        <w:rPr>
          <w:bCs w:val="0"/>
        </w:rPr>
        <w:t xml:space="preserve">, </w:t>
      </w:r>
      <w:r w:rsidR="00E339A4">
        <w:rPr>
          <w:bCs w:val="0"/>
        </w:rPr>
        <w:t xml:space="preserve">new </w:t>
      </w:r>
      <w:r>
        <w:rPr>
          <w:bCs w:val="0"/>
        </w:rPr>
        <w:t>S</w:t>
      </w:r>
      <w:bookmarkStart w:id="1" w:name="_Toc424565507"/>
      <w:r w:rsidR="00BD227A" w:rsidRPr="006675DA">
        <w:rPr>
          <w:rStyle w:val="CharSubdNo"/>
        </w:rPr>
        <w:t>ubdivision 2A</w:t>
      </w:r>
      <w:r>
        <w:rPr>
          <w:rStyle w:val="CharSubdNo"/>
        </w:rPr>
        <w:t xml:space="preserve"> </w:t>
      </w:r>
      <w:r w:rsidR="00650873">
        <w:rPr>
          <w:rStyle w:val="CharSubdNo"/>
        </w:rPr>
        <w:t>which i</w:t>
      </w:r>
      <w:r w:rsidR="00650873" w:rsidRPr="006675DA">
        <w:t>s made for subsection 99ADB(6A)</w:t>
      </w:r>
      <w:r w:rsidR="009D265E">
        <w:t xml:space="preserve"> of the Act</w:t>
      </w:r>
      <w:r w:rsidR="007B7374">
        <w:t xml:space="preserve">. </w:t>
      </w:r>
      <w:r w:rsidR="003E6739">
        <w:t xml:space="preserve"> Subsection 9</w:t>
      </w:r>
      <w:r w:rsidR="007B7374">
        <w:t>9ADB(6A) is</w:t>
      </w:r>
      <w:r w:rsidR="00A57C1D">
        <w:t xml:space="preserve"> a new subsection added by the Amending Act.  </w:t>
      </w:r>
      <w:r w:rsidR="00193ADE">
        <w:t xml:space="preserve">Subdivision 2A </w:t>
      </w:r>
      <w:r>
        <w:rPr>
          <w:rStyle w:val="CharSubdNo"/>
        </w:rPr>
        <w:t>include</w:t>
      </w:r>
      <w:r w:rsidR="001870D1">
        <w:rPr>
          <w:rStyle w:val="CharSubdNo"/>
        </w:rPr>
        <w:t>s</w:t>
      </w:r>
      <w:r>
        <w:rPr>
          <w:rStyle w:val="CharSubdNo"/>
        </w:rPr>
        <w:t xml:space="preserve"> </w:t>
      </w:r>
      <w:r w:rsidR="00E51522">
        <w:rPr>
          <w:rStyle w:val="CharSubdNo"/>
        </w:rPr>
        <w:t xml:space="preserve">a new </w:t>
      </w:r>
      <w:r>
        <w:rPr>
          <w:rStyle w:val="CharSubdNo"/>
        </w:rPr>
        <w:t xml:space="preserve">heading, ‘Information that must not be taken into account’ and </w:t>
      </w:r>
      <w:r w:rsidR="001870D1">
        <w:rPr>
          <w:rStyle w:val="CharSubdNo"/>
        </w:rPr>
        <w:t>new</w:t>
      </w:r>
      <w:r>
        <w:rPr>
          <w:rStyle w:val="CharSubdNo"/>
        </w:rPr>
        <w:t xml:space="preserve"> regulations 37SB and</w:t>
      </w:r>
      <w:r w:rsidR="003E6739">
        <w:rPr>
          <w:rStyle w:val="CharSubdNo"/>
        </w:rPr>
        <w:t> </w:t>
      </w:r>
      <w:r>
        <w:rPr>
          <w:rStyle w:val="CharSubdNo"/>
        </w:rPr>
        <w:t>37SC.</w:t>
      </w:r>
      <w:bookmarkEnd w:id="1"/>
    </w:p>
    <w:p w:rsidR="00193ADE" w:rsidRDefault="00193ADE" w:rsidP="004320F0">
      <w:pPr>
        <w:pStyle w:val="Textbody0"/>
        <w:rPr>
          <w:bCs w:val="0"/>
        </w:rPr>
      </w:pPr>
      <w:r w:rsidRPr="004320F0">
        <w:rPr>
          <w:bCs w:val="0"/>
        </w:rPr>
        <w:t xml:space="preserve">Subsection 99ADB(6A) of the Act provides that the regulations may prescribe information that the method </w:t>
      </w:r>
      <w:r w:rsidR="004320F0" w:rsidRPr="004320F0">
        <w:rPr>
          <w:bCs w:val="0"/>
        </w:rPr>
        <w:t xml:space="preserve">used to determine the weighted average disclosed price for a brand </w:t>
      </w:r>
      <w:r w:rsidRPr="004320F0">
        <w:rPr>
          <w:bCs w:val="0"/>
        </w:rPr>
        <w:t xml:space="preserve">must not take into account (including information that has been provided in compliance with the price disclosure requirements).  </w:t>
      </w:r>
      <w:r w:rsidR="004320F0" w:rsidRPr="004320F0">
        <w:rPr>
          <w:bCs w:val="0"/>
        </w:rPr>
        <w:t>The i</w:t>
      </w:r>
      <w:r w:rsidRPr="004320F0">
        <w:rPr>
          <w:bCs w:val="0"/>
        </w:rPr>
        <w:t xml:space="preserve">nformation </w:t>
      </w:r>
      <w:r w:rsidR="004320F0" w:rsidRPr="004320F0">
        <w:rPr>
          <w:bCs w:val="0"/>
        </w:rPr>
        <w:t xml:space="preserve">not </w:t>
      </w:r>
      <w:r w:rsidR="00B41F3A">
        <w:rPr>
          <w:bCs w:val="0"/>
        </w:rPr>
        <w:t xml:space="preserve">to </w:t>
      </w:r>
      <w:r w:rsidR="004320F0" w:rsidRPr="004320F0">
        <w:rPr>
          <w:bCs w:val="0"/>
        </w:rPr>
        <w:t xml:space="preserve">be taken into account </w:t>
      </w:r>
      <w:r w:rsidRPr="004320F0">
        <w:rPr>
          <w:bCs w:val="0"/>
        </w:rPr>
        <w:t>may include information relating to originator brands.</w:t>
      </w:r>
    </w:p>
    <w:p w:rsidR="00284220" w:rsidRPr="006675DA" w:rsidRDefault="00284220" w:rsidP="00284220">
      <w:pPr>
        <w:pStyle w:val="Headingbold0"/>
        <w:tabs>
          <w:tab w:val="left" w:pos="1134"/>
        </w:tabs>
        <w:spacing w:before="0"/>
      </w:pPr>
      <w:r w:rsidRPr="00284220">
        <w:t>37S</w:t>
      </w:r>
      <w:r>
        <w:t>B</w:t>
      </w:r>
      <w:r w:rsidRPr="006675DA">
        <w:t xml:space="preserve">  </w:t>
      </w:r>
      <w:r>
        <w:t>Information that must not be taken into account</w:t>
      </w:r>
    </w:p>
    <w:p w:rsidR="0002425E" w:rsidRDefault="00B252C2" w:rsidP="007840CD">
      <w:pPr>
        <w:pStyle w:val="Textbody0"/>
        <w:rPr>
          <w:bCs w:val="0"/>
        </w:rPr>
      </w:pPr>
      <w:r>
        <w:rPr>
          <w:bCs w:val="0"/>
        </w:rPr>
        <w:t>New r</w:t>
      </w:r>
      <w:r w:rsidR="004320F0" w:rsidRPr="00284220">
        <w:rPr>
          <w:bCs w:val="0"/>
        </w:rPr>
        <w:t>egulation 37</w:t>
      </w:r>
      <w:bookmarkStart w:id="2" w:name="_Toc424565508"/>
      <w:r w:rsidR="00BD227A" w:rsidRPr="00284220">
        <w:rPr>
          <w:bCs w:val="0"/>
        </w:rPr>
        <w:t xml:space="preserve">SB </w:t>
      </w:r>
      <w:r w:rsidR="00A41A3F" w:rsidRPr="00284220">
        <w:rPr>
          <w:bCs w:val="0"/>
        </w:rPr>
        <w:t>contain</w:t>
      </w:r>
      <w:r w:rsidR="001870D1">
        <w:rPr>
          <w:bCs w:val="0"/>
        </w:rPr>
        <w:t>s</w:t>
      </w:r>
      <w:r w:rsidR="00A41A3F" w:rsidRPr="00284220">
        <w:rPr>
          <w:bCs w:val="0"/>
        </w:rPr>
        <w:t xml:space="preserve"> </w:t>
      </w:r>
      <w:r w:rsidR="004320F0" w:rsidRPr="00284220">
        <w:rPr>
          <w:bCs w:val="0"/>
        </w:rPr>
        <w:t>provi</w:t>
      </w:r>
      <w:r w:rsidR="00A41A3F" w:rsidRPr="00284220">
        <w:rPr>
          <w:bCs w:val="0"/>
        </w:rPr>
        <w:t xml:space="preserve">sions </w:t>
      </w:r>
      <w:r w:rsidR="004320F0" w:rsidRPr="00284220">
        <w:rPr>
          <w:bCs w:val="0"/>
        </w:rPr>
        <w:t xml:space="preserve">regarding the purpose and </w:t>
      </w:r>
      <w:r w:rsidR="00A41A3F" w:rsidRPr="00284220">
        <w:rPr>
          <w:bCs w:val="0"/>
        </w:rPr>
        <w:t xml:space="preserve">scope </w:t>
      </w:r>
      <w:r w:rsidR="004320F0" w:rsidRPr="00284220">
        <w:rPr>
          <w:bCs w:val="0"/>
        </w:rPr>
        <w:t>of Subdivision 2A</w:t>
      </w:r>
      <w:r w:rsidR="00E51522" w:rsidRPr="00284220">
        <w:rPr>
          <w:bCs w:val="0"/>
        </w:rPr>
        <w:t xml:space="preserve">, including </w:t>
      </w:r>
      <w:r w:rsidR="00BF0B4B" w:rsidRPr="00284220">
        <w:rPr>
          <w:bCs w:val="0"/>
        </w:rPr>
        <w:t>reference to</w:t>
      </w:r>
      <w:r w:rsidR="00A41A3F" w:rsidRPr="00284220">
        <w:rPr>
          <w:bCs w:val="0"/>
        </w:rPr>
        <w:t xml:space="preserve"> subsection 99ADB(6A) of the Act</w:t>
      </w:r>
      <w:r w:rsidR="00E51522" w:rsidRPr="00284220">
        <w:rPr>
          <w:bCs w:val="0"/>
        </w:rPr>
        <w:t xml:space="preserve">.  </w:t>
      </w:r>
    </w:p>
    <w:p w:rsidR="0002425E" w:rsidRDefault="00E51522" w:rsidP="007840CD">
      <w:pPr>
        <w:pStyle w:val="Textbody0"/>
        <w:rPr>
          <w:bCs w:val="0"/>
        </w:rPr>
      </w:pPr>
      <w:r w:rsidRPr="00284220">
        <w:rPr>
          <w:bCs w:val="0"/>
        </w:rPr>
        <w:t>It include</w:t>
      </w:r>
      <w:r w:rsidR="001870D1">
        <w:rPr>
          <w:bCs w:val="0"/>
        </w:rPr>
        <w:t>s</w:t>
      </w:r>
      <w:r w:rsidR="00A41A3F" w:rsidRPr="00284220">
        <w:rPr>
          <w:bCs w:val="0"/>
        </w:rPr>
        <w:t xml:space="preserve"> </w:t>
      </w:r>
      <w:r w:rsidR="004C1F3E">
        <w:rPr>
          <w:bCs w:val="0"/>
        </w:rPr>
        <w:t xml:space="preserve">as </w:t>
      </w:r>
      <w:r w:rsidR="00B252C2">
        <w:rPr>
          <w:bCs w:val="0"/>
        </w:rPr>
        <w:t xml:space="preserve">new </w:t>
      </w:r>
      <w:r w:rsidR="004C1F3E">
        <w:rPr>
          <w:bCs w:val="0"/>
        </w:rPr>
        <w:t xml:space="preserve">subregulation 37SB(2) </w:t>
      </w:r>
      <w:r w:rsidR="00A41A3F" w:rsidRPr="00284220">
        <w:rPr>
          <w:bCs w:val="0"/>
        </w:rPr>
        <w:t xml:space="preserve">that </w:t>
      </w:r>
      <w:r w:rsidR="00B252C2">
        <w:rPr>
          <w:bCs w:val="0"/>
        </w:rPr>
        <w:t xml:space="preserve">new </w:t>
      </w:r>
      <w:r w:rsidR="00A41A3F" w:rsidRPr="00284220">
        <w:rPr>
          <w:bCs w:val="0"/>
        </w:rPr>
        <w:t>r</w:t>
      </w:r>
      <w:r w:rsidR="004320F0" w:rsidRPr="00284220">
        <w:rPr>
          <w:bCs w:val="0"/>
        </w:rPr>
        <w:t>egulation 37SC</w:t>
      </w:r>
      <w:r w:rsidR="00A41A3F" w:rsidRPr="00284220">
        <w:rPr>
          <w:bCs w:val="0"/>
        </w:rPr>
        <w:t xml:space="preserve"> </w:t>
      </w:r>
      <w:bookmarkEnd w:id="2"/>
      <w:r w:rsidR="00596BEF">
        <w:rPr>
          <w:bCs w:val="0"/>
        </w:rPr>
        <w:t xml:space="preserve">(originator brands) </w:t>
      </w:r>
      <w:r w:rsidR="00BD227A" w:rsidRPr="00284220">
        <w:rPr>
          <w:bCs w:val="0"/>
        </w:rPr>
        <w:t xml:space="preserve">prescribes information that must not be taken into account in determining the weighted average disclosed price of a listed brand of a pharmaceutical item (the </w:t>
      </w:r>
      <w:r w:rsidR="00BD227A" w:rsidRPr="00284220">
        <w:rPr>
          <w:bCs w:val="0"/>
          <w:i/>
        </w:rPr>
        <w:t>WADP brand</w:t>
      </w:r>
      <w:r w:rsidR="00BD227A" w:rsidRPr="00284220">
        <w:rPr>
          <w:bCs w:val="0"/>
        </w:rPr>
        <w:t>) in respect of a data collection period.</w:t>
      </w:r>
      <w:r w:rsidR="00A41A3F" w:rsidRPr="00284220">
        <w:rPr>
          <w:bCs w:val="0"/>
        </w:rPr>
        <w:t xml:space="preserve">  The term </w:t>
      </w:r>
      <w:r w:rsidR="007840CD" w:rsidRPr="00284220">
        <w:rPr>
          <w:bCs w:val="0"/>
        </w:rPr>
        <w:t>‘</w:t>
      </w:r>
      <w:r w:rsidR="00A41A3F" w:rsidRPr="00284220">
        <w:rPr>
          <w:bCs w:val="0"/>
        </w:rPr>
        <w:t>WADP brand</w:t>
      </w:r>
      <w:r w:rsidR="007840CD" w:rsidRPr="00284220">
        <w:rPr>
          <w:bCs w:val="0"/>
        </w:rPr>
        <w:t xml:space="preserve">’ </w:t>
      </w:r>
      <w:r w:rsidR="00A41A3F" w:rsidRPr="00284220">
        <w:rPr>
          <w:bCs w:val="0"/>
        </w:rPr>
        <w:t xml:space="preserve">is introduced for use in </w:t>
      </w:r>
      <w:r w:rsidR="00B252C2">
        <w:rPr>
          <w:bCs w:val="0"/>
        </w:rPr>
        <w:t xml:space="preserve">new </w:t>
      </w:r>
      <w:r w:rsidR="00A41A3F" w:rsidRPr="00284220">
        <w:rPr>
          <w:bCs w:val="0"/>
        </w:rPr>
        <w:t xml:space="preserve">regulation 37SC.  </w:t>
      </w:r>
    </w:p>
    <w:p w:rsidR="004C1F3E" w:rsidRDefault="001870D1" w:rsidP="004C1F3E">
      <w:pPr>
        <w:pStyle w:val="Textbody0"/>
        <w:rPr>
          <w:bCs w:val="0"/>
        </w:rPr>
      </w:pPr>
      <w:r>
        <w:rPr>
          <w:bCs w:val="0"/>
        </w:rPr>
        <w:t>New s</w:t>
      </w:r>
      <w:r w:rsidR="004C1F3E">
        <w:rPr>
          <w:bCs w:val="0"/>
        </w:rPr>
        <w:t xml:space="preserve">ubregulation 37SB(3) </w:t>
      </w:r>
      <w:r w:rsidR="00596BEF">
        <w:rPr>
          <w:bCs w:val="0"/>
        </w:rPr>
        <w:t>ensure</w:t>
      </w:r>
      <w:r>
        <w:rPr>
          <w:bCs w:val="0"/>
        </w:rPr>
        <w:t>s</w:t>
      </w:r>
      <w:r w:rsidR="00596BEF">
        <w:rPr>
          <w:bCs w:val="0"/>
        </w:rPr>
        <w:t xml:space="preserve"> that </w:t>
      </w:r>
      <w:r>
        <w:rPr>
          <w:bCs w:val="0"/>
        </w:rPr>
        <w:t xml:space="preserve">new </w:t>
      </w:r>
      <w:r w:rsidR="00596BEF">
        <w:rPr>
          <w:bCs w:val="0"/>
        </w:rPr>
        <w:t xml:space="preserve">regulation 37SA does use </w:t>
      </w:r>
      <w:r>
        <w:rPr>
          <w:bCs w:val="0"/>
        </w:rPr>
        <w:t>originator brand data t</w:t>
      </w:r>
      <w:r w:rsidR="00596BEF">
        <w:rPr>
          <w:bCs w:val="0"/>
        </w:rPr>
        <w:t>hat would otherwise be excluded.</w:t>
      </w:r>
    </w:p>
    <w:p w:rsidR="00BD227A" w:rsidRPr="00284220" w:rsidRDefault="001870D1" w:rsidP="008D7321">
      <w:pPr>
        <w:pStyle w:val="Textbody0"/>
        <w:ind w:right="-329"/>
        <w:rPr>
          <w:bCs w:val="0"/>
        </w:rPr>
      </w:pPr>
      <w:r>
        <w:rPr>
          <w:bCs w:val="0"/>
        </w:rPr>
        <w:t>New s</w:t>
      </w:r>
      <w:r w:rsidR="0091618A">
        <w:rPr>
          <w:bCs w:val="0"/>
        </w:rPr>
        <w:t>ubr</w:t>
      </w:r>
      <w:r w:rsidR="002811AC" w:rsidRPr="00284220">
        <w:rPr>
          <w:bCs w:val="0"/>
        </w:rPr>
        <w:t>egulation 37SB</w:t>
      </w:r>
      <w:r w:rsidR="0091618A">
        <w:rPr>
          <w:bCs w:val="0"/>
        </w:rPr>
        <w:t>(4)</w:t>
      </w:r>
      <w:r w:rsidR="002811AC" w:rsidRPr="00284220">
        <w:rPr>
          <w:bCs w:val="0"/>
        </w:rPr>
        <w:t xml:space="preserve"> </w:t>
      </w:r>
      <w:r w:rsidR="004C1F3E">
        <w:rPr>
          <w:bCs w:val="0"/>
        </w:rPr>
        <w:t>clarif</w:t>
      </w:r>
      <w:r>
        <w:rPr>
          <w:bCs w:val="0"/>
        </w:rPr>
        <w:t>ies</w:t>
      </w:r>
      <w:r w:rsidR="004C1F3E">
        <w:rPr>
          <w:bCs w:val="0"/>
        </w:rPr>
        <w:t xml:space="preserve"> </w:t>
      </w:r>
      <w:r w:rsidR="002811AC" w:rsidRPr="00284220">
        <w:rPr>
          <w:bCs w:val="0"/>
        </w:rPr>
        <w:t xml:space="preserve">that </w:t>
      </w:r>
      <w:r w:rsidR="0008768D">
        <w:rPr>
          <w:bCs w:val="0"/>
        </w:rPr>
        <w:t xml:space="preserve">provisions in </w:t>
      </w:r>
      <w:r w:rsidR="00E339A4">
        <w:rPr>
          <w:bCs w:val="0"/>
        </w:rPr>
        <w:t xml:space="preserve">new </w:t>
      </w:r>
      <w:r w:rsidR="0008768D" w:rsidRPr="00284220">
        <w:rPr>
          <w:bCs w:val="0"/>
        </w:rPr>
        <w:t xml:space="preserve">Subdivision 2A </w:t>
      </w:r>
      <w:r w:rsidR="0008768D">
        <w:rPr>
          <w:bCs w:val="0"/>
        </w:rPr>
        <w:t xml:space="preserve">for excluding information about originator brands are to apply </w:t>
      </w:r>
      <w:r w:rsidR="002811AC" w:rsidRPr="00284220">
        <w:rPr>
          <w:bCs w:val="0"/>
        </w:rPr>
        <w:t xml:space="preserve">despite </w:t>
      </w:r>
      <w:r w:rsidR="0008768D" w:rsidRPr="00284220">
        <w:rPr>
          <w:bCs w:val="0"/>
        </w:rPr>
        <w:t xml:space="preserve">the method for determining </w:t>
      </w:r>
      <w:r w:rsidR="0008768D">
        <w:rPr>
          <w:bCs w:val="0"/>
        </w:rPr>
        <w:t xml:space="preserve">the </w:t>
      </w:r>
      <w:r w:rsidR="0008768D" w:rsidRPr="00284220">
        <w:rPr>
          <w:bCs w:val="0"/>
        </w:rPr>
        <w:t xml:space="preserve">weighted average disclosed price </w:t>
      </w:r>
      <w:r w:rsidR="0008768D">
        <w:rPr>
          <w:bCs w:val="0"/>
        </w:rPr>
        <w:t xml:space="preserve">for a brand in </w:t>
      </w:r>
      <w:r w:rsidR="002811AC" w:rsidRPr="00284220">
        <w:rPr>
          <w:bCs w:val="0"/>
        </w:rPr>
        <w:t>Subdivision 2</w:t>
      </w:r>
      <w:r w:rsidR="007840CD" w:rsidRPr="00284220">
        <w:rPr>
          <w:bCs w:val="0"/>
        </w:rPr>
        <w:t>,</w:t>
      </w:r>
      <w:r w:rsidR="002811AC" w:rsidRPr="00284220">
        <w:rPr>
          <w:bCs w:val="0"/>
        </w:rPr>
        <w:t xml:space="preserve"> </w:t>
      </w:r>
      <w:r w:rsidR="00BD227A" w:rsidRPr="00284220">
        <w:rPr>
          <w:bCs w:val="0"/>
        </w:rPr>
        <w:t>and</w:t>
      </w:r>
      <w:r w:rsidR="00E51522" w:rsidRPr="00284220">
        <w:rPr>
          <w:bCs w:val="0"/>
        </w:rPr>
        <w:t xml:space="preserve"> even if </w:t>
      </w:r>
      <w:r w:rsidR="00BF0B4B" w:rsidRPr="00284220">
        <w:rPr>
          <w:bCs w:val="0"/>
        </w:rPr>
        <w:t>the data to be excluded relates to the brand for which the weighted average disclosed price is being determined.</w:t>
      </w:r>
    </w:p>
    <w:p w:rsidR="00BD227A" w:rsidRPr="006675DA" w:rsidRDefault="00BD227A" w:rsidP="00834060">
      <w:pPr>
        <w:pStyle w:val="Headingbold0"/>
        <w:tabs>
          <w:tab w:val="left" w:pos="709"/>
          <w:tab w:val="left" w:pos="1134"/>
        </w:tabs>
        <w:spacing w:before="0"/>
      </w:pPr>
      <w:bookmarkStart w:id="3" w:name="_Toc424565509"/>
      <w:r w:rsidRPr="00284220">
        <w:t>37SC</w:t>
      </w:r>
      <w:r w:rsidR="00834060">
        <w:tab/>
      </w:r>
      <w:r w:rsidRPr="006675DA">
        <w:t>Originator brands</w:t>
      </w:r>
      <w:bookmarkEnd w:id="3"/>
    </w:p>
    <w:p w:rsidR="000D06B9" w:rsidRDefault="00FE6C77" w:rsidP="00423EBF">
      <w:pPr>
        <w:pStyle w:val="Textbody0"/>
        <w:rPr>
          <w:bCs w:val="0"/>
        </w:rPr>
      </w:pPr>
      <w:r>
        <w:rPr>
          <w:bCs w:val="0"/>
        </w:rPr>
        <w:t>New r</w:t>
      </w:r>
      <w:r w:rsidR="00BF0B4B" w:rsidRPr="007A6E46">
        <w:rPr>
          <w:bCs w:val="0"/>
        </w:rPr>
        <w:t xml:space="preserve">egulation 37SC </w:t>
      </w:r>
      <w:r w:rsidR="003E29AD" w:rsidRPr="007A6E46">
        <w:rPr>
          <w:bCs w:val="0"/>
        </w:rPr>
        <w:t>set</w:t>
      </w:r>
      <w:r w:rsidR="001870D1">
        <w:rPr>
          <w:bCs w:val="0"/>
        </w:rPr>
        <w:t>s</w:t>
      </w:r>
      <w:r w:rsidR="003E29AD" w:rsidRPr="007A6E46">
        <w:rPr>
          <w:bCs w:val="0"/>
        </w:rPr>
        <w:t xml:space="preserve"> out the circumstances where </w:t>
      </w:r>
      <w:r w:rsidR="00DD0AD8" w:rsidRPr="007A6E46">
        <w:rPr>
          <w:bCs w:val="0"/>
        </w:rPr>
        <w:t xml:space="preserve">disclosed </w:t>
      </w:r>
      <w:r w:rsidR="003E29AD" w:rsidRPr="007A6E46">
        <w:rPr>
          <w:bCs w:val="0"/>
        </w:rPr>
        <w:t>data for an originator</w:t>
      </w:r>
      <w:r w:rsidR="003E29AD" w:rsidRPr="00834060">
        <w:rPr>
          <w:bCs w:val="0"/>
        </w:rPr>
        <w:t xml:space="preserve"> brand would be </w:t>
      </w:r>
      <w:r w:rsidR="00120CA6" w:rsidRPr="00834060">
        <w:rPr>
          <w:bCs w:val="0"/>
        </w:rPr>
        <w:t xml:space="preserve">excluded </w:t>
      </w:r>
      <w:r w:rsidR="003E29AD" w:rsidRPr="00834060">
        <w:rPr>
          <w:bCs w:val="0"/>
        </w:rPr>
        <w:t>when determining the weighted average disclosed price of a brand</w:t>
      </w:r>
      <w:r w:rsidR="00120CA6" w:rsidRPr="00834060">
        <w:rPr>
          <w:bCs w:val="0"/>
        </w:rPr>
        <w:t>,</w:t>
      </w:r>
      <w:r w:rsidR="003E29AD" w:rsidRPr="00834060">
        <w:rPr>
          <w:bCs w:val="0"/>
        </w:rPr>
        <w:t xml:space="preserve"> and the timing for </w:t>
      </w:r>
      <w:r w:rsidR="00284220" w:rsidRPr="00834060">
        <w:rPr>
          <w:bCs w:val="0"/>
        </w:rPr>
        <w:t xml:space="preserve">when this </w:t>
      </w:r>
      <w:r w:rsidR="003E29AD" w:rsidRPr="00834060">
        <w:rPr>
          <w:bCs w:val="0"/>
        </w:rPr>
        <w:t>would first occur.</w:t>
      </w:r>
    </w:p>
    <w:p w:rsidR="00284220" w:rsidRPr="00834060" w:rsidRDefault="00DD0AD8" w:rsidP="00423EBF">
      <w:pPr>
        <w:pStyle w:val="Textbody0"/>
        <w:rPr>
          <w:bCs w:val="0"/>
        </w:rPr>
      </w:pPr>
      <w:r>
        <w:rPr>
          <w:bCs w:val="0"/>
        </w:rPr>
        <w:t xml:space="preserve">Data is disclosed by the responsible person for </w:t>
      </w:r>
      <w:r w:rsidR="0089085F">
        <w:rPr>
          <w:bCs w:val="0"/>
        </w:rPr>
        <w:t>a brand</w:t>
      </w:r>
      <w:r>
        <w:rPr>
          <w:bCs w:val="0"/>
        </w:rPr>
        <w:t xml:space="preserve"> in accordance with subsection</w:t>
      </w:r>
      <w:r w:rsidR="00DE66A7">
        <w:rPr>
          <w:bCs w:val="0"/>
        </w:rPr>
        <w:t> </w:t>
      </w:r>
      <w:r>
        <w:rPr>
          <w:bCs w:val="0"/>
        </w:rPr>
        <w:t>99ADC(1) of the Act and regulation</w:t>
      </w:r>
      <w:r w:rsidR="00DE66A7">
        <w:rPr>
          <w:bCs w:val="0"/>
        </w:rPr>
        <w:t> </w:t>
      </w:r>
      <w:r>
        <w:rPr>
          <w:bCs w:val="0"/>
        </w:rPr>
        <w:t xml:space="preserve">37T of the </w:t>
      </w:r>
      <w:r w:rsidR="005550C4">
        <w:rPr>
          <w:bCs w:val="0"/>
        </w:rPr>
        <w:t>Principal R</w:t>
      </w:r>
      <w:r>
        <w:rPr>
          <w:bCs w:val="0"/>
        </w:rPr>
        <w:t xml:space="preserve">egulations. </w:t>
      </w:r>
      <w:r w:rsidR="00DE66A7">
        <w:rPr>
          <w:bCs w:val="0"/>
        </w:rPr>
        <w:t xml:space="preserve"> </w:t>
      </w:r>
      <w:r>
        <w:rPr>
          <w:bCs w:val="0"/>
        </w:rPr>
        <w:t>The disclosed data essentially relates to sales (revenue, incentives, volume of sales).</w:t>
      </w:r>
      <w:r w:rsidR="000D06B9">
        <w:rPr>
          <w:bCs w:val="0"/>
        </w:rPr>
        <w:t xml:space="preserve"> </w:t>
      </w:r>
      <w:r w:rsidR="00DE66A7">
        <w:rPr>
          <w:bCs w:val="0"/>
        </w:rPr>
        <w:t xml:space="preserve"> </w:t>
      </w:r>
      <w:r w:rsidR="000D06B9">
        <w:rPr>
          <w:bCs w:val="0"/>
        </w:rPr>
        <w:t xml:space="preserve">It is only disclosed data that is excluded.  Originator brands continue to contribute otherwise to the method, for example, when </w:t>
      </w:r>
      <w:r w:rsidR="00B94B0F">
        <w:rPr>
          <w:bCs w:val="0"/>
        </w:rPr>
        <w:t>using PBS pricing and PBS ‘pricing quantity’</w:t>
      </w:r>
      <w:r w:rsidR="005C6F60">
        <w:rPr>
          <w:bCs w:val="0"/>
        </w:rPr>
        <w:t xml:space="preserve"> in the method. </w:t>
      </w:r>
    </w:p>
    <w:p w:rsidR="00BD227A" w:rsidRDefault="007B5C34" w:rsidP="009E4713">
      <w:pPr>
        <w:pStyle w:val="Textbody0"/>
        <w:rPr>
          <w:bCs w:val="0"/>
        </w:rPr>
      </w:pPr>
      <w:r>
        <w:rPr>
          <w:bCs w:val="0"/>
        </w:rPr>
        <w:t xml:space="preserve">New </w:t>
      </w:r>
      <w:r w:rsidR="00A825B6">
        <w:rPr>
          <w:bCs w:val="0"/>
        </w:rPr>
        <w:t>r</w:t>
      </w:r>
      <w:r w:rsidR="00EB15F9" w:rsidRPr="007A6E46">
        <w:rPr>
          <w:bCs w:val="0"/>
        </w:rPr>
        <w:t>egulation</w:t>
      </w:r>
      <w:r w:rsidR="00DE66A7" w:rsidRPr="007A6E46">
        <w:rPr>
          <w:bCs w:val="0"/>
        </w:rPr>
        <w:t> </w:t>
      </w:r>
      <w:r w:rsidR="00EB15F9" w:rsidRPr="007A6E46">
        <w:rPr>
          <w:bCs w:val="0"/>
        </w:rPr>
        <w:t xml:space="preserve">37SC </w:t>
      </w:r>
      <w:r w:rsidR="00284220" w:rsidRPr="007A6E46">
        <w:rPr>
          <w:bCs w:val="0"/>
        </w:rPr>
        <w:t>provide</w:t>
      </w:r>
      <w:r>
        <w:rPr>
          <w:bCs w:val="0"/>
        </w:rPr>
        <w:t>s</w:t>
      </w:r>
      <w:r w:rsidR="00284220" w:rsidRPr="007A6E46">
        <w:rPr>
          <w:bCs w:val="0"/>
        </w:rPr>
        <w:t xml:space="preserve"> that </w:t>
      </w:r>
      <w:r w:rsidR="00EB15F9" w:rsidRPr="007A6E46">
        <w:rPr>
          <w:bCs w:val="0"/>
        </w:rPr>
        <w:t xml:space="preserve">disclosed data </w:t>
      </w:r>
      <w:r w:rsidR="00BD227A" w:rsidRPr="007A6E46">
        <w:rPr>
          <w:bCs w:val="0"/>
        </w:rPr>
        <w:t>about an originator brand must not be</w:t>
      </w:r>
      <w:r w:rsidR="00BD227A" w:rsidRPr="009E4713">
        <w:rPr>
          <w:bCs w:val="0"/>
        </w:rPr>
        <w:t xml:space="preserve"> taken into account if</w:t>
      </w:r>
      <w:r w:rsidR="0094674B" w:rsidRPr="009E4713">
        <w:rPr>
          <w:bCs w:val="0"/>
        </w:rPr>
        <w:t xml:space="preserve"> three requirements are met.  Firstly, that </w:t>
      </w:r>
      <w:r w:rsidR="00BD227A" w:rsidRPr="009E4713">
        <w:rPr>
          <w:bCs w:val="0"/>
        </w:rPr>
        <w:t xml:space="preserve">on the first day of each calendar month </w:t>
      </w:r>
      <w:r w:rsidR="0094674B" w:rsidRPr="009E4713">
        <w:rPr>
          <w:bCs w:val="0"/>
        </w:rPr>
        <w:t xml:space="preserve">on </w:t>
      </w:r>
      <w:r w:rsidR="00284220" w:rsidRPr="009E4713">
        <w:rPr>
          <w:bCs w:val="0"/>
        </w:rPr>
        <w:t>which the originator brand is a listed brand in the data collection period</w:t>
      </w:r>
      <w:r w:rsidR="00BD227A" w:rsidRPr="009E4713">
        <w:rPr>
          <w:bCs w:val="0"/>
        </w:rPr>
        <w:t xml:space="preserve">, there is another listed brand of </w:t>
      </w:r>
      <w:r w:rsidR="00284220" w:rsidRPr="009E4713">
        <w:rPr>
          <w:bCs w:val="0"/>
        </w:rPr>
        <w:t xml:space="preserve">the same </w:t>
      </w:r>
      <w:r w:rsidR="00BD227A" w:rsidRPr="009E4713">
        <w:rPr>
          <w:bCs w:val="0"/>
        </w:rPr>
        <w:t>pharmaceutical item that</w:t>
      </w:r>
      <w:r w:rsidR="00284220" w:rsidRPr="009E4713">
        <w:rPr>
          <w:bCs w:val="0"/>
        </w:rPr>
        <w:t xml:space="preserve"> </w:t>
      </w:r>
      <w:r w:rsidR="00BD227A" w:rsidRPr="009E4713">
        <w:rPr>
          <w:bCs w:val="0"/>
        </w:rPr>
        <w:t>is not an</w:t>
      </w:r>
      <w:r w:rsidR="00284220" w:rsidRPr="009E4713">
        <w:rPr>
          <w:bCs w:val="0"/>
        </w:rPr>
        <w:t xml:space="preserve">other </w:t>
      </w:r>
      <w:r w:rsidR="00BD227A" w:rsidRPr="009E4713">
        <w:rPr>
          <w:bCs w:val="0"/>
        </w:rPr>
        <w:t>originator brand</w:t>
      </w:r>
      <w:r w:rsidR="00284220" w:rsidRPr="009E4713">
        <w:rPr>
          <w:bCs w:val="0"/>
        </w:rPr>
        <w:t xml:space="preserve">.  </w:t>
      </w:r>
      <w:r w:rsidR="00DC71AC" w:rsidRPr="009E4713">
        <w:rPr>
          <w:bCs w:val="0"/>
        </w:rPr>
        <w:t xml:space="preserve">Secondly, </w:t>
      </w:r>
      <w:r>
        <w:rPr>
          <w:bCs w:val="0"/>
        </w:rPr>
        <w:t xml:space="preserve">that </w:t>
      </w:r>
      <w:r w:rsidR="00BF047A" w:rsidRPr="009E4713">
        <w:rPr>
          <w:bCs w:val="0"/>
        </w:rPr>
        <w:t xml:space="preserve">by the end of </w:t>
      </w:r>
      <w:r w:rsidR="00A9199B" w:rsidRPr="009E4713">
        <w:rPr>
          <w:bCs w:val="0"/>
        </w:rPr>
        <w:t xml:space="preserve">the </w:t>
      </w:r>
      <w:r w:rsidR="00BF047A" w:rsidRPr="009E4713">
        <w:rPr>
          <w:bCs w:val="0"/>
        </w:rPr>
        <w:t xml:space="preserve">previous data collection period, the </w:t>
      </w:r>
      <w:r w:rsidR="00A9199B" w:rsidRPr="009E4713">
        <w:rPr>
          <w:bCs w:val="0"/>
        </w:rPr>
        <w:t xml:space="preserve">drug in the </w:t>
      </w:r>
      <w:r w:rsidR="00BF047A" w:rsidRPr="009E4713">
        <w:rPr>
          <w:bCs w:val="0"/>
        </w:rPr>
        <w:t>WADP </w:t>
      </w:r>
      <w:r w:rsidR="00A9199B" w:rsidRPr="009E4713">
        <w:rPr>
          <w:bCs w:val="0"/>
        </w:rPr>
        <w:t xml:space="preserve">brand must have been on </w:t>
      </w:r>
      <w:r w:rsidR="00BD227A" w:rsidRPr="009E4713">
        <w:rPr>
          <w:bCs w:val="0"/>
        </w:rPr>
        <w:t>F2 for at least 30</w:t>
      </w:r>
      <w:r w:rsidR="00BF047A" w:rsidRPr="009E4713">
        <w:rPr>
          <w:bCs w:val="0"/>
        </w:rPr>
        <w:t> </w:t>
      </w:r>
      <w:r w:rsidR="00BD227A" w:rsidRPr="009E4713">
        <w:rPr>
          <w:bCs w:val="0"/>
        </w:rPr>
        <w:t>months</w:t>
      </w:r>
      <w:r w:rsidR="00DC71AC" w:rsidRPr="009E4713">
        <w:rPr>
          <w:bCs w:val="0"/>
        </w:rPr>
        <w:t xml:space="preserve">. </w:t>
      </w:r>
      <w:r w:rsidR="003E1F5B" w:rsidRPr="009E4713">
        <w:rPr>
          <w:bCs w:val="0"/>
        </w:rPr>
        <w:t xml:space="preserve"> </w:t>
      </w:r>
      <w:r w:rsidR="00DC71AC" w:rsidRPr="009E4713">
        <w:rPr>
          <w:bCs w:val="0"/>
        </w:rPr>
        <w:t xml:space="preserve">Thirdly, </w:t>
      </w:r>
      <w:r>
        <w:rPr>
          <w:bCs w:val="0"/>
        </w:rPr>
        <w:t xml:space="preserve">that </w:t>
      </w:r>
      <w:r w:rsidR="00BD227A" w:rsidRPr="009E4713">
        <w:rPr>
          <w:bCs w:val="0"/>
        </w:rPr>
        <w:t>on a day at least 30</w:t>
      </w:r>
      <w:r w:rsidR="00BF047A" w:rsidRPr="009E4713">
        <w:rPr>
          <w:bCs w:val="0"/>
        </w:rPr>
        <w:t> </w:t>
      </w:r>
      <w:r w:rsidR="00BD227A" w:rsidRPr="009E4713">
        <w:rPr>
          <w:bCs w:val="0"/>
        </w:rPr>
        <w:t>months before the end of the previous data collection period</w:t>
      </w:r>
      <w:r w:rsidR="00BF047A" w:rsidRPr="009E4713">
        <w:rPr>
          <w:bCs w:val="0"/>
        </w:rPr>
        <w:t xml:space="preserve">, there must have been </w:t>
      </w:r>
      <w:r w:rsidR="00BD227A" w:rsidRPr="009E4713">
        <w:rPr>
          <w:bCs w:val="0"/>
        </w:rPr>
        <w:t>a related brand of the WADP</w:t>
      </w:r>
      <w:r w:rsidR="003E1F5B" w:rsidRPr="009E4713">
        <w:rPr>
          <w:bCs w:val="0"/>
        </w:rPr>
        <w:t> </w:t>
      </w:r>
      <w:r w:rsidR="00BD227A" w:rsidRPr="009E4713">
        <w:rPr>
          <w:bCs w:val="0"/>
        </w:rPr>
        <w:t xml:space="preserve">brand that had the same pharmaceutical item as, or was bioequivalent or </w:t>
      </w:r>
      <w:proofErr w:type="spellStart"/>
      <w:r w:rsidR="00BD227A" w:rsidRPr="009E4713">
        <w:rPr>
          <w:bCs w:val="0"/>
        </w:rPr>
        <w:t>biosimilar</w:t>
      </w:r>
      <w:proofErr w:type="spellEnd"/>
      <w:r w:rsidR="00BD227A" w:rsidRPr="009E4713">
        <w:rPr>
          <w:bCs w:val="0"/>
        </w:rPr>
        <w:t xml:space="preserve"> to, the </w:t>
      </w:r>
      <w:proofErr w:type="spellStart"/>
      <w:r w:rsidR="00BD227A" w:rsidRPr="009E4713">
        <w:rPr>
          <w:bCs w:val="0"/>
        </w:rPr>
        <w:t>WADP</w:t>
      </w:r>
      <w:proofErr w:type="spellEnd"/>
      <w:r w:rsidR="003E1F5B" w:rsidRPr="009E4713">
        <w:rPr>
          <w:bCs w:val="0"/>
        </w:rPr>
        <w:t> </w:t>
      </w:r>
      <w:r w:rsidR="00BD227A" w:rsidRPr="009E4713">
        <w:rPr>
          <w:bCs w:val="0"/>
        </w:rPr>
        <w:t>brand</w:t>
      </w:r>
      <w:r w:rsidR="00DC71AC" w:rsidRPr="009E4713">
        <w:rPr>
          <w:bCs w:val="0"/>
        </w:rPr>
        <w:t>,</w:t>
      </w:r>
      <w:r w:rsidR="00BF047A" w:rsidRPr="009E4713">
        <w:rPr>
          <w:bCs w:val="0"/>
        </w:rPr>
        <w:t xml:space="preserve"> </w:t>
      </w:r>
      <w:r w:rsidR="00BD227A" w:rsidRPr="009E4713">
        <w:rPr>
          <w:bCs w:val="0"/>
        </w:rPr>
        <w:t>or</w:t>
      </w:r>
      <w:r w:rsidR="00BF047A" w:rsidRPr="009E4713">
        <w:rPr>
          <w:bCs w:val="0"/>
        </w:rPr>
        <w:t xml:space="preserve"> </w:t>
      </w:r>
      <w:r w:rsidR="003E1F5B" w:rsidRPr="009E4713">
        <w:rPr>
          <w:bCs w:val="0"/>
        </w:rPr>
        <w:t xml:space="preserve">there must have been </w:t>
      </w:r>
      <w:r w:rsidR="00BF047A" w:rsidRPr="009E4713">
        <w:rPr>
          <w:bCs w:val="0"/>
        </w:rPr>
        <w:t>two or more</w:t>
      </w:r>
      <w:r w:rsidR="00BD227A" w:rsidRPr="009E4713">
        <w:rPr>
          <w:bCs w:val="0"/>
        </w:rPr>
        <w:t xml:space="preserve"> related brands of the WADP</w:t>
      </w:r>
      <w:r w:rsidR="003E1F5B" w:rsidRPr="009E4713">
        <w:rPr>
          <w:bCs w:val="0"/>
        </w:rPr>
        <w:t> </w:t>
      </w:r>
      <w:r w:rsidR="00BD227A" w:rsidRPr="009E4713">
        <w:rPr>
          <w:bCs w:val="0"/>
        </w:rPr>
        <w:t>brand that had the same pharmaceutical item as, or were bioequivalent or biosimilar to, each other.</w:t>
      </w:r>
    </w:p>
    <w:p w:rsidR="002D365E" w:rsidRDefault="000A65B9" w:rsidP="009E4713">
      <w:pPr>
        <w:pStyle w:val="Textbody0"/>
        <w:rPr>
          <w:bCs w:val="0"/>
        </w:rPr>
      </w:pPr>
      <w:r>
        <w:rPr>
          <w:bCs w:val="0"/>
        </w:rPr>
        <w:t>A ‘related brand’ has the same drug and manner of administration: subregulation</w:t>
      </w:r>
      <w:r w:rsidR="00885917">
        <w:rPr>
          <w:bCs w:val="0"/>
        </w:rPr>
        <w:t> </w:t>
      </w:r>
      <w:r>
        <w:rPr>
          <w:bCs w:val="0"/>
        </w:rPr>
        <w:t>5(1) of the Principal Regulations.</w:t>
      </w:r>
      <w:r w:rsidR="00ED2D70">
        <w:rPr>
          <w:bCs w:val="0"/>
        </w:rPr>
        <w:t xml:space="preserve"> </w:t>
      </w:r>
      <w:r w:rsidR="003A0C58">
        <w:rPr>
          <w:bCs w:val="0"/>
        </w:rPr>
        <w:t xml:space="preserve"> </w:t>
      </w:r>
      <w:r w:rsidR="00ED2D70">
        <w:rPr>
          <w:bCs w:val="0"/>
        </w:rPr>
        <w:t>By assessing whether at least 30</w:t>
      </w:r>
      <w:r w:rsidR="003A0C58">
        <w:rPr>
          <w:bCs w:val="0"/>
        </w:rPr>
        <w:t> </w:t>
      </w:r>
      <w:r w:rsidR="00ED2D70">
        <w:rPr>
          <w:bCs w:val="0"/>
        </w:rPr>
        <w:t xml:space="preserve">months has run at ‘the end of the previous data collection period’, the </w:t>
      </w:r>
      <w:r w:rsidR="000C0710">
        <w:rPr>
          <w:bCs w:val="0"/>
        </w:rPr>
        <w:t>30</w:t>
      </w:r>
      <w:r w:rsidR="003A0C58">
        <w:rPr>
          <w:bCs w:val="0"/>
        </w:rPr>
        <w:t> </w:t>
      </w:r>
      <w:r w:rsidR="000C0710">
        <w:rPr>
          <w:bCs w:val="0"/>
        </w:rPr>
        <w:t xml:space="preserve">months is always applied </w:t>
      </w:r>
      <w:r w:rsidR="00ED2D70">
        <w:rPr>
          <w:bCs w:val="0"/>
        </w:rPr>
        <w:t>at the beginning of 1</w:t>
      </w:r>
      <w:r w:rsidR="00885917">
        <w:rPr>
          <w:bCs w:val="0"/>
        </w:rPr>
        <w:t> </w:t>
      </w:r>
      <w:r w:rsidR="00ED2D70">
        <w:rPr>
          <w:bCs w:val="0"/>
        </w:rPr>
        <w:t>April or 1</w:t>
      </w:r>
      <w:r w:rsidR="00885917">
        <w:rPr>
          <w:bCs w:val="0"/>
        </w:rPr>
        <w:t> </w:t>
      </w:r>
      <w:r w:rsidR="00ED2D70">
        <w:rPr>
          <w:bCs w:val="0"/>
        </w:rPr>
        <w:t xml:space="preserve">October of the data collection period for which the weighted average disclosed price is being determined. </w:t>
      </w:r>
    </w:p>
    <w:p w:rsidR="002D365E" w:rsidRDefault="002D365E" w:rsidP="009E4713">
      <w:pPr>
        <w:pStyle w:val="Textbody0"/>
        <w:rPr>
          <w:bCs w:val="0"/>
        </w:rPr>
      </w:pPr>
      <w:r>
        <w:rPr>
          <w:bCs w:val="0"/>
        </w:rPr>
        <w:t>The two 30</w:t>
      </w:r>
      <w:r w:rsidR="003A0C58">
        <w:rPr>
          <w:bCs w:val="0"/>
        </w:rPr>
        <w:t> </w:t>
      </w:r>
      <w:r>
        <w:rPr>
          <w:bCs w:val="0"/>
        </w:rPr>
        <w:t>month tests mean</w:t>
      </w:r>
      <w:r w:rsidR="0048144F">
        <w:rPr>
          <w:bCs w:val="0"/>
        </w:rPr>
        <w:t xml:space="preserve"> that once a drug and manner of administration </w:t>
      </w:r>
      <w:r>
        <w:rPr>
          <w:bCs w:val="0"/>
        </w:rPr>
        <w:t xml:space="preserve">has a ‘match’ (either two brands of </w:t>
      </w:r>
      <w:r w:rsidR="00B41F3A">
        <w:rPr>
          <w:bCs w:val="0"/>
        </w:rPr>
        <w:t xml:space="preserve">the </w:t>
      </w:r>
      <w:r>
        <w:rPr>
          <w:bCs w:val="0"/>
        </w:rPr>
        <w:t xml:space="preserve">same pharmaceutical item, or different pharmaceutical items that are bioequivalent or biosimilar to each other) a minimum of three years pass before the weighted average disclosed price is determined without the originator brand data, and a minimum of three and a half years pass before an affected reduction can occur.  </w:t>
      </w:r>
    </w:p>
    <w:p w:rsidR="003C6F0B" w:rsidRDefault="003C6F0B" w:rsidP="009E4713">
      <w:pPr>
        <w:pStyle w:val="Textbody0"/>
        <w:rPr>
          <w:bCs w:val="0"/>
        </w:rPr>
      </w:pPr>
      <w:r>
        <w:rPr>
          <w:bCs w:val="0"/>
        </w:rPr>
        <w:t xml:space="preserve">The Act considers competition to have entered the PBS market for a drug when at drug level there is a bioequivalent or biosimilar match (or across </w:t>
      </w:r>
      <w:r w:rsidR="001A6507">
        <w:rPr>
          <w:bCs w:val="0"/>
        </w:rPr>
        <w:t xml:space="preserve">different </w:t>
      </w:r>
      <w:r>
        <w:rPr>
          <w:bCs w:val="0"/>
        </w:rPr>
        <w:t>drugs</w:t>
      </w:r>
      <w:r w:rsidR="001A6507">
        <w:rPr>
          <w:bCs w:val="0"/>
        </w:rPr>
        <w:t xml:space="preserve"> </w:t>
      </w:r>
      <w:r>
        <w:rPr>
          <w:bCs w:val="0"/>
        </w:rPr>
        <w:t>if the drugs are in a therapeutic</w:t>
      </w:r>
      <w:r w:rsidR="00885CF0">
        <w:rPr>
          <w:bCs w:val="0"/>
        </w:rPr>
        <w:t xml:space="preserve"> group)</w:t>
      </w:r>
      <w:r w:rsidR="00714215">
        <w:rPr>
          <w:bCs w:val="0"/>
        </w:rPr>
        <w:t>: section</w:t>
      </w:r>
      <w:r w:rsidR="005550C4">
        <w:rPr>
          <w:bCs w:val="0"/>
        </w:rPr>
        <w:t> </w:t>
      </w:r>
      <w:r w:rsidR="00714215">
        <w:rPr>
          <w:bCs w:val="0"/>
        </w:rPr>
        <w:t>85AB of the Act.</w:t>
      </w:r>
      <w:r w:rsidR="000463EB">
        <w:rPr>
          <w:bCs w:val="0"/>
        </w:rPr>
        <w:t xml:space="preserve"> </w:t>
      </w:r>
      <w:r w:rsidR="003A0C58">
        <w:rPr>
          <w:bCs w:val="0"/>
        </w:rPr>
        <w:t xml:space="preserve"> </w:t>
      </w:r>
      <w:r w:rsidR="005550C4">
        <w:rPr>
          <w:bCs w:val="0"/>
        </w:rPr>
        <w:t>Once this occurs, t</w:t>
      </w:r>
      <w:r w:rsidR="000463EB">
        <w:rPr>
          <w:bCs w:val="0"/>
        </w:rPr>
        <w:t xml:space="preserve">he </w:t>
      </w:r>
      <w:r w:rsidR="00885CF0">
        <w:rPr>
          <w:bCs w:val="0"/>
        </w:rPr>
        <w:t xml:space="preserve">drug moves </w:t>
      </w:r>
      <w:r>
        <w:rPr>
          <w:bCs w:val="0"/>
        </w:rPr>
        <w:t xml:space="preserve">to F2 and price disclosure starts. </w:t>
      </w:r>
      <w:r w:rsidR="003A0C58">
        <w:rPr>
          <w:bCs w:val="0"/>
        </w:rPr>
        <w:t xml:space="preserve"> </w:t>
      </w:r>
      <w:r w:rsidR="00247C03">
        <w:rPr>
          <w:bCs w:val="0"/>
        </w:rPr>
        <w:t>S</w:t>
      </w:r>
      <w:r>
        <w:rPr>
          <w:bCs w:val="0"/>
        </w:rPr>
        <w:t xml:space="preserve">ituations can arise where there is no bioequivalent or biosimilar match at </w:t>
      </w:r>
      <w:r w:rsidR="00247C03">
        <w:rPr>
          <w:bCs w:val="0"/>
        </w:rPr>
        <w:t xml:space="preserve">the level of a particular </w:t>
      </w:r>
      <w:r w:rsidR="00B41F3A">
        <w:rPr>
          <w:bCs w:val="0"/>
        </w:rPr>
        <w:t xml:space="preserve">drug or </w:t>
      </w:r>
      <w:r>
        <w:rPr>
          <w:bCs w:val="0"/>
        </w:rPr>
        <w:t>manner of administration</w:t>
      </w:r>
      <w:r w:rsidR="00247C03">
        <w:rPr>
          <w:bCs w:val="0"/>
        </w:rPr>
        <w:t xml:space="preserve"> </w:t>
      </w:r>
      <w:r>
        <w:rPr>
          <w:bCs w:val="0"/>
        </w:rPr>
        <w:t>– in these cases the 30</w:t>
      </w:r>
      <w:r w:rsidR="003A0C58">
        <w:rPr>
          <w:bCs w:val="0"/>
        </w:rPr>
        <w:t> </w:t>
      </w:r>
      <w:r>
        <w:rPr>
          <w:bCs w:val="0"/>
        </w:rPr>
        <w:t>months does not start until there is a match</w:t>
      </w:r>
      <w:r w:rsidR="00885CF0">
        <w:rPr>
          <w:bCs w:val="0"/>
        </w:rPr>
        <w:t xml:space="preserve"> within the same </w:t>
      </w:r>
      <w:r w:rsidR="00B41F3A">
        <w:rPr>
          <w:bCs w:val="0"/>
        </w:rPr>
        <w:t xml:space="preserve">drug and </w:t>
      </w:r>
      <w:r w:rsidR="00885CF0">
        <w:rPr>
          <w:bCs w:val="0"/>
        </w:rPr>
        <w:t>manner of administration</w:t>
      </w:r>
      <w:r>
        <w:rPr>
          <w:bCs w:val="0"/>
        </w:rPr>
        <w:t xml:space="preserve">. </w:t>
      </w:r>
      <w:r w:rsidR="003A0C58">
        <w:rPr>
          <w:bCs w:val="0"/>
        </w:rPr>
        <w:t xml:space="preserve"> </w:t>
      </w:r>
      <w:r w:rsidR="00885CF0">
        <w:rPr>
          <w:bCs w:val="0"/>
        </w:rPr>
        <w:t xml:space="preserve">This allows further </w:t>
      </w:r>
      <w:r w:rsidR="00247C03">
        <w:rPr>
          <w:bCs w:val="0"/>
        </w:rPr>
        <w:t>delay</w:t>
      </w:r>
      <w:r w:rsidR="00885CF0">
        <w:rPr>
          <w:bCs w:val="0"/>
        </w:rPr>
        <w:t>, for example, in situations where a drug has moved to F2 because it is in a therapeutic group, or a particular manner of administration does not have a ‘match’</w:t>
      </w:r>
      <w:r w:rsidR="00247C03">
        <w:rPr>
          <w:bCs w:val="0"/>
        </w:rPr>
        <w:t>.</w:t>
      </w:r>
    </w:p>
    <w:p w:rsidR="00BF047A" w:rsidRPr="009E4713" w:rsidRDefault="00885CF0" w:rsidP="009E4713">
      <w:pPr>
        <w:pStyle w:val="Textbody0"/>
        <w:rPr>
          <w:bCs w:val="0"/>
        </w:rPr>
      </w:pPr>
      <w:r>
        <w:rPr>
          <w:bCs w:val="0"/>
        </w:rPr>
        <w:t>On an ongoing basis, even when the 30</w:t>
      </w:r>
      <w:r w:rsidR="003A0C58">
        <w:rPr>
          <w:bCs w:val="0"/>
        </w:rPr>
        <w:t> </w:t>
      </w:r>
      <w:r>
        <w:rPr>
          <w:bCs w:val="0"/>
        </w:rPr>
        <w:t xml:space="preserve">month test is met, </w:t>
      </w:r>
      <w:r w:rsidR="00FE6C77">
        <w:rPr>
          <w:bCs w:val="0"/>
        </w:rPr>
        <w:t xml:space="preserve">new </w:t>
      </w:r>
      <w:r>
        <w:rPr>
          <w:bCs w:val="0"/>
        </w:rPr>
        <w:t>paragraph</w:t>
      </w:r>
      <w:r w:rsidR="003A0C58">
        <w:rPr>
          <w:bCs w:val="0"/>
        </w:rPr>
        <w:t> </w:t>
      </w:r>
      <w:r>
        <w:rPr>
          <w:bCs w:val="0"/>
        </w:rPr>
        <w:t>37SC(1)(a)</w:t>
      </w:r>
      <w:r w:rsidR="00714215">
        <w:rPr>
          <w:bCs w:val="0"/>
        </w:rPr>
        <w:t xml:space="preserve"> does not require the removal of an originator brand for a particular pharmaceutical item within a manner of administration unless there is a non-originator brand match. </w:t>
      </w:r>
      <w:r w:rsidR="003A0C58">
        <w:rPr>
          <w:bCs w:val="0"/>
        </w:rPr>
        <w:t xml:space="preserve"> </w:t>
      </w:r>
      <w:r w:rsidR="00714215">
        <w:rPr>
          <w:bCs w:val="0"/>
        </w:rPr>
        <w:t xml:space="preserve">Otherwise, </w:t>
      </w:r>
      <w:r w:rsidR="000463EB">
        <w:rPr>
          <w:bCs w:val="0"/>
        </w:rPr>
        <w:t xml:space="preserve">due to removal of the originator brand data, </w:t>
      </w:r>
      <w:r w:rsidR="00714215">
        <w:rPr>
          <w:bCs w:val="0"/>
        </w:rPr>
        <w:t>the price disclosure calculations would not have data at</w:t>
      </w:r>
      <w:r w:rsidR="000463EB">
        <w:rPr>
          <w:bCs w:val="0"/>
        </w:rPr>
        <w:t xml:space="preserve"> the pharmaceutical item level</w:t>
      </w:r>
      <w:r w:rsidR="00714215">
        <w:rPr>
          <w:bCs w:val="0"/>
        </w:rPr>
        <w:t>, either because the pharmaceutical item only has an originator brand, or, all brands of the pharmaceutical item are originator brands.</w:t>
      </w:r>
    </w:p>
    <w:p w:rsidR="003A0C58" w:rsidRDefault="007B5C34" w:rsidP="009E4713">
      <w:pPr>
        <w:pStyle w:val="Textbody0"/>
        <w:rPr>
          <w:bCs w:val="0"/>
        </w:rPr>
      </w:pPr>
      <w:r>
        <w:rPr>
          <w:bCs w:val="0"/>
        </w:rPr>
        <w:t>New s</w:t>
      </w:r>
      <w:r w:rsidR="00515E6F" w:rsidRPr="009E4713">
        <w:rPr>
          <w:bCs w:val="0"/>
        </w:rPr>
        <w:t xml:space="preserve">ubregulation 37SC(2) </w:t>
      </w:r>
      <w:r w:rsidR="00C75105">
        <w:rPr>
          <w:bCs w:val="0"/>
        </w:rPr>
        <w:t>ensure</w:t>
      </w:r>
      <w:r w:rsidR="00A825B6">
        <w:rPr>
          <w:bCs w:val="0"/>
        </w:rPr>
        <w:t>s</w:t>
      </w:r>
      <w:r w:rsidR="00C75105">
        <w:rPr>
          <w:bCs w:val="0"/>
        </w:rPr>
        <w:t xml:space="preserve"> that </w:t>
      </w:r>
      <w:r w:rsidR="00FE6C77">
        <w:rPr>
          <w:bCs w:val="0"/>
        </w:rPr>
        <w:t xml:space="preserve">new </w:t>
      </w:r>
      <w:r w:rsidR="00C75105">
        <w:rPr>
          <w:bCs w:val="0"/>
        </w:rPr>
        <w:t>paragraph</w:t>
      </w:r>
      <w:r w:rsidR="003A0C58">
        <w:rPr>
          <w:bCs w:val="0"/>
        </w:rPr>
        <w:t> </w:t>
      </w:r>
      <w:r w:rsidR="00C75105">
        <w:rPr>
          <w:bCs w:val="0"/>
        </w:rPr>
        <w:t>37SC(1)(a) still works</w:t>
      </w:r>
      <w:r w:rsidR="00A3356B">
        <w:rPr>
          <w:bCs w:val="0"/>
        </w:rPr>
        <w:t xml:space="preserve">, provided there is </w:t>
      </w:r>
      <w:r w:rsidR="00C75105">
        <w:rPr>
          <w:bCs w:val="0"/>
        </w:rPr>
        <w:t xml:space="preserve">a match, if the particular originator or non-originator listed brand is not constant. </w:t>
      </w:r>
      <w:r w:rsidR="00E247A2" w:rsidRPr="009E4713">
        <w:rPr>
          <w:bCs w:val="0"/>
        </w:rPr>
        <w:t xml:space="preserve"> </w:t>
      </w:r>
    </w:p>
    <w:p w:rsidR="00515E6F" w:rsidRPr="009E4713" w:rsidRDefault="00A825B6" w:rsidP="009E4713">
      <w:pPr>
        <w:pStyle w:val="Textbody0"/>
        <w:rPr>
          <w:bCs w:val="0"/>
        </w:rPr>
      </w:pPr>
      <w:r>
        <w:rPr>
          <w:bCs w:val="0"/>
        </w:rPr>
        <w:t>New s</w:t>
      </w:r>
      <w:r w:rsidR="00E247A2" w:rsidRPr="009E4713">
        <w:rPr>
          <w:bCs w:val="0"/>
        </w:rPr>
        <w:t>ubregulation 37SC(3) provide</w:t>
      </w:r>
      <w:r>
        <w:rPr>
          <w:bCs w:val="0"/>
        </w:rPr>
        <w:t>s</w:t>
      </w:r>
      <w:r w:rsidR="00E247A2" w:rsidRPr="009E4713">
        <w:rPr>
          <w:bCs w:val="0"/>
        </w:rPr>
        <w:t xml:space="preserve"> that the requirement </w:t>
      </w:r>
      <w:r w:rsidR="00A3356B">
        <w:rPr>
          <w:bCs w:val="0"/>
        </w:rPr>
        <w:t xml:space="preserve">to exclude </w:t>
      </w:r>
      <w:r w:rsidR="00E247A2" w:rsidRPr="009E4713">
        <w:rPr>
          <w:bCs w:val="0"/>
        </w:rPr>
        <w:t xml:space="preserve">originator brand </w:t>
      </w:r>
      <w:r w:rsidR="00A3356B">
        <w:rPr>
          <w:bCs w:val="0"/>
        </w:rPr>
        <w:t>data</w:t>
      </w:r>
      <w:r w:rsidR="00E247A2" w:rsidRPr="009E4713">
        <w:rPr>
          <w:bCs w:val="0"/>
        </w:rPr>
        <w:t xml:space="preserve"> does not apply if taking the </w:t>
      </w:r>
      <w:r w:rsidR="00A3356B">
        <w:rPr>
          <w:bCs w:val="0"/>
        </w:rPr>
        <w:t>originator brand data</w:t>
      </w:r>
      <w:r w:rsidR="00A3356B" w:rsidRPr="009E4713">
        <w:rPr>
          <w:bCs w:val="0"/>
        </w:rPr>
        <w:t xml:space="preserve"> </w:t>
      </w:r>
      <w:r w:rsidR="00E247A2" w:rsidRPr="009E4713">
        <w:rPr>
          <w:bCs w:val="0"/>
        </w:rPr>
        <w:t xml:space="preserve">into account would result in a higher weighted average percentage difference calculated under regulation 37R for the WADP brand and related brands.  </w:t>
      </w:r>
      <w:r w:rsidR="00A3356B">
        <w:rPr>
          <w:bCs w:val="0"/>
        </w:rPr>
        <w:t>The method is applied twice, with originator brands excluded, and with them included, and the result that is more likely to achieve a reduction is chosen.</w:t>
      </w:r>
    </w:p>
    <w:p w:rsidR="00BD227A" w:rsidRPr="006675DA" w:rsidRDefault="00423EBF" w:rsidP="00516F02">
      <w:pPr>
        <w:pStyle w:val="Headingbold0"/>
        <w:tabs>
          <w:tab w:val="left" w:pos="1134"/>
        </w:tabs>
        <w:spacing w:before="0"/>
      </w:pPr>
      <w:r>
        <w:t>Item 8</w:t>
      </w:r>
      <w:r w:rsidRPr="006675DA">
        <w:t xml:space="preserve"> </w:t>
      </w:r>
      <w:r>
        <w:t>-</w:t>
      </w:r>
      <w:r w:rsidRPr="006675DA">
        <w:t xml:space="preserve"> </w:t>
      </w:r>
      <w:r w:rsidRPr="00423EBF">
        <w:t>Regulatio</w:t>
      </w:r>
      <w:r w:rsidR="00516F02">
        <w:t xml:space="preserve">n 38 (definition of </w:t>
      </w:r>
      <w:r w:rsidR="00516F02" w:rsidRPr="00DB6CF0">
        <w:rPr>
          <w:i/>
        </w:rPr>
        <w:t>Chairperson</w:t>
      </w:r>
      <w:r w:rsidR="00DB6CF0">
        <w:t>)</w:t>
      </w:r>
    </w:p>
    <w:p w:rsidR="007E1754" w:rsidRDefault="00536020" w:rsidP="00516F02">
      <w:pPr>
        <w:pStyle w:val="Textbody0"/>
        <w:rPr>
          <w:bCs w:val="0"/>
        </w:rPr>
      </w:pPr>
      <w:r>
        <w:rPr>
          <w:bCs w:val="0"/>
        </w:rPr>
        <w:t xml:space="preserve">This item </w:t>
      </w:r>
      <w:r w:rsidR="007E1754">
        <w:rPr>
          <w:bCs w:val="0"/>
        </w:rPr>
        <w:t>amend</w:t>
      </w:r>
      <w:r w:rsidR="00A825B6">
        <w:rPr>
          <w:bCs w:val="0"/>
        </w:rPr>
        <w:t>s</w:t>
      </w:r>
      <w:r w:rsidR="007E1754">
        <w:rPr>
          <w:bCs w:val="0"/>
        </w:rPr>
        <w:t xml:space="preserve"> </w:t>
      </w:r>
      <w:r w:rsidR="00055359">
        <w:rPr>
          <w:bCs w:val="0"/>
        </w:rPr>
        <w:t>regulation</w:t>
      </w:r>
      <w:r w:rsidR="003A0C58">
        <w:rPr>
          <w:bCs w:val="0"/>
        </w:rPr>
        <w:t> </w:t>
      </w:r>
      <w:r w:rsidR="00055359">
        <w:rPr>
          <w:bCs w:val="0"/>
        </w:rPr>
        <w:t>38 which contains definitions for ‘Part</w:t>
      </w:r>
      <w:r w:rsidR="003A0C58">
        <w:rPr>
          <w:bCs w:val="0"/>
        </w:rPr>
        <w:t> </w:t>
      </w:r>
      <w:r w:rsidR="00055359">
        <w:rPr>
          <w:bCs w:val="0"/>
        </w:rPr>
        <w:t xml:space="preserve">7 – Arrangements of the Pharmaceutical Benefits Advisory Committee’. </w:t>
      </w:r>
      <w:r w:rsidR="003A0C58">
        <w:rPr>
          <w:bCs w:val="0"/>
        </w:rPr>
        <w:t xml:space="preserve"> </w:t>
      </w:r>
      <w:r w:rsidR="00055359">
        <w:rPr>
          <w:bCs w:val="0"/>
        </w:rPr>
        <w:t>T</w:t>
      </w:r>
      <w:r w:rsidR="007E1754">
        <w:rPr>
          <w:bCs w:val="0"/>
        </w:rPr>
        <w:t xml:space="preserve">he definition of ‘Chairperson’ </w:t>
      </w:r>
      <w:r w:rsidR="00055359">
        <w:rPr>
          <w:bCs w:val="0"/>
        </w:rPr>
        <w:t>no longer refer</w:t>
      </w:r>
      <w:r w:rsidR="00A825B6">
        <w:rPr>
          <w:bCs w:val="0"/>
        </w:rPr>
        <w:t>s</w:t>
      </w:r>
      <w:r w:rsidR="00055359">
        <w:rPr>
          <w:bCs w:val="0"/>
        </w:rPr>
        <w:t xml:space="preserve"> to </w:t>
      </w:r>
      <w:r w:rsidR="007E1754">
        <w:rPr>
          <w:bCs w:val="0"/>
        </w:rPr>
        <w:t>‘appointed under regulation</w:t>
      </w:r>
      <w:r w:rsidR="0089056D">
        <w:rPr>
          <w:bCs w:val="0"/>
        </w:rPr>
        <w:t> </w:t>
      </w:r>
      <w:r w:rsidR="007E1754">
        <w:rPr>
          <w:bCs w:val="0"/>
        </w:rPr>
        <w:t>39’ and refer</w:t>
      </w:r>
      <w:r w:rsidR="00A825B6">
        <w:rPr>
          <w:bCs w:val="0"/>
        </w:rPr>
        <w:t>s</w:t>
      </w:r>
      <w:r w:rsidR="007E1754">
        <w:rPr>
          <w:bCs w:val="0"/>
        </w:rPr>
        <w:t xml:space="preserve"> instead to Chairperson of the Pharmaceutical Benefits Advisory Committee (PBAC).</w:t>
      </w:r>
      <w:r w:rsidR="00055359">
        <w:rPr>
          <w:bCs w:val="0"/>
        </w:rPr>
        <w:t xml:space="preserve"> </w:t>
      </w:r>
    </w:p>
    <w:p w:rsidR="007E1754" w:rsidRDefault="007E1754" w:rsidP="00516F02">
      <w:pPr>
        <w:pStyle w:val="Textbody0"/>
        <w:rPr>
          <w:bCs w:val="0"/>
        </w:rPr>
      </w:pPr>
      <w:r>
        <w:rPr>
          <w:bCs w:val="0"/>
        </w:rPr>
        <w:t>Due to the Amending A</w:t>
      </w:r>
      <w:r w:rsidR="00536020">
        <w:rPr>
          <w:bCs w:val="0"/>
        </w:rPr>
        <w:t>ct, the Minister</w:t>
      </w:r>
      <w:r>
        <w:rPr>
          <w:bCs w:val="0"/>
        </w:rPr>
        <w:t xml:space="preserve"> </w:t>
      </w:r>
      <w:r w:rsidR="00536020">
        <w:rPr>
          <w:bCs w:val="0"/>
        </w:rPr>
        <w:t xml:space="preserve">must </w:t>
      </w:r>
      <w:r>
        <w:rPr>
          <w:bCs w:val="0"/>
        </w:rPr>
        <w:t>appoint a member of the PBAC under subsection</w:t>
      </w:r>
      <w:r w:rsidR="0089056D">
        <w:rPr>
          <w:bCs w:val="0"/>
        </w:rPr>
        <w:t> </w:t>
      </w:r>
      <w:r>
        <w:rPr>
          <w:bCs w:val="0"/>
        </w:rPr>
        <w:t xml:space="preserve">100B(1C) of the Act, shifting this requirement from the Principal Regulations to the Act. </w:t>
      </w:r>
      <w:r w:rsidR="003A0C58">
        <w:rPr>
          <w:bCs w:val="0"/>
        </w:rPr>
        <w:t xml:space="preserve"> </w:t>
      </w:r>
      <w:r>
        <w:rPr>
          <w:bCs w:val="0"/>
        </w:rPr>
        <w:t>The reference to regulation</w:t>
      </w:r>
      <w:r w:rsidR="003A0C58">
        <w:rPr>
          <w:bCs w:val="0"/>
        </w:rPr>
        <w:t> </w:t>
      </w:r>
      <w:r>
        <w:rPr>
          <w:bCs w:val="0"/>
        </w:rPr>
        <w:t xml:space="preserve">39 is no longer required. </w:t>
      </w:r>
      <w:r w:rsidR="003A0C58">
        <w:rPr>
          <w:bCs w:val="0"/>
        </w:rPr>
        <w:t xml:space="preserve"> </w:t>
      </w:r>
      <w:r>
        <w:rPr>
          <w:bCs w:val="0"/>
        </w:rPr>
        <w:t>Item</w:t>
      </w:r>
      <w:r w:rsidR="003A0C58">
        <w:rPr>
          <w:bCs w:val="0"/>
        </w:rPr>
        <w:t> </w:t>
      </w:r>
      <w:r>
        <w:rPr>
          <w:bCs w:val="0"/>
        </w:rPr>
        <w:t>13 remove</w:t>
      </w:r>
      <w:r w:rsidR="00A825B6">
        <w:rPr>
          <w:bCs w:val="0"/>
        </w:rPr>
        <w:t>s</w:t>
      </w:r>
      <w:r>
        <w:rPr>
          <w:bCs w:val="0"/>
        </w:rPr>
        <w:t xml:space="preserve"> regulation</w:t>
      </w:r>
      <w:r w:rsidR="003A0C58">
        <w:rPr>
          <w:bCs w:val="0"/>
        </w:rPr>
        <w:t> </w:t>
      </w:r>
      <w:r>
        <w:rPr>
          <w:bCs w:val="0"/>
        </w:rPr>
        <w:t>39 from the Principal Regulations.</w:t>
      </w:r>
    </w:p>
    <w:p w:rsidR="007E1754" w:rsidRDefault="00536020" w:rsidP="00516F02">
      <w:pPr>
        <w:pStyle w:val="Textbody0"/>
        <w:rPr>
          <w:bCs w:val="0"/>
        </w:rPr>
      </w:pPr>
      <w:r>
        <w:rPr>
          <w:bCs w:val="0"/>
        </w:rPr>
        <w:t>Appointments made under old regulation</w:t>
      </w:r>
      <w:r w:rsidR="003A0C58">
        <w:rPr>
          <w:bCs w:val="0"/>
        </w:rPr>
        <w:t> </w:t>
      </w:r>
      <w:r>
        <w:rPr>
          <w:bCs w:val="0"/>
        </w:rPr>
        <w:t xml:space="preserve">39 are unaffected as the requirement to appoint under </w:t>
      </w:r>
      <w:r w:rsidR="007E1754">
        <w:rPr>
          <w:bCs w:val="0"/>
        </w:rPr>
        <w:t>subsection</w:t>
      </w:r>
      <w:r w:rsidR="003A0C58">
        <w:rPr>
          <w:bCs w:val="0"/>
        </w:rPr>
        <w:t> </w:t>
      </w:r>
      <w:r w:rsidR="007E1754">
        <w:rPr>
          <w:bCs w:val="0"/>
        </w:rPr>
        <w:t xml:space="preserve">100B(1C) </w:t>
      </w:r>
      <w:r>
        <w:rPr>
          <w:bCs w:val="0"/>
        </w:rPr>
        <w:t xml:space="preserve">only </w:t>
      </w:r>
      <w:r w:rsidR="007E1754">
        <w:rPr>
          <w:bCs w:val="0"/>
        </w:rPr>
        <w:t>applies to appointments</w:t>
      </w:r>
      <w:r>
        <w:rPr>
          <w:bCs w:val="0"/>
        </w:rPr>
        <w:t xml:space="preserve"> made after Schedule</w:t>
      </w:r>
      <w:r w:rsidR="003A0C58">
        <w:rPr>
          <w:bCs w:val="0"/>
        </w:rPr>
        <w:t> </w:t>
      </w:r>
      <w:r>
        <w:rPr>
          <w:bCs w:val="0"/>
        </w:rPr>
        <w:t>1 of the Amending Act commenced: item</w:t>
      </w:r>
      <w:r w:rsidR="003A0C58">
        <w:rPr>
          <w:bCs w:val="0"/>
        </w:rPr>
        <w:t> </w:t>
      </w:r>
      <w:r>
        <w:rPr>
          <w:bCs w:val="0"/>
        </w:rPr>
        <w:t>40, Schedule</w:t>
      </w:r>
      <w:r w:rsidR="003A0C58">
        <w:rPr>
          <w:bCs w:val="0"/>
        </w:rPr>
        <w:t> </w:t>
      </w:r>
      <w:r>
        <w:rPr>
          <w:bCs w:val="0"/>
        </w:rPr>
        <w:t xml:space="preserve">1, Amending Act.  </w:t>
      </w:r>
    </w:p>
    <w:p w:rsidR="00BD227A" w:rsidRPr="006675DA" w:rsidRDefault="00DB6CF0" w:rsidP="00DB6CF0">
      <w:pPr>
        <w:pStyle w:val="Headingbold0"/>
        <w:tabs>
          <w:tab w:val="left" w:pos="1134"/>
        </w:tabs>
        <w:spacing w:before="0"/>
      </w:pPr>
      <w:r>
        <w:t xml:space="preserve">Item </w:t>
      </w:r>
      <w:r w:rsidR="00BD227A" w:rsidRPr="006675DA">
        <w:t xml:space="preserve">9 </w:t>
      </w:r>
      <w:r w:rsidR="004E417F">
        <w:t>-</w:t>
      </w:r>
      <w:r w:rsidR="00BD227A" w:rsidRPr="006675DA">
        <w:t xml:space="preserve"> Regulation 38</w:t>
      </w:r>
    </w:p>
    <w:p w:rsidR="00BD227A" w:rsidRPr="006675DA" w:rsidRDefault="00DB6CF0" w:rsidP="004E417F">
      <w:pPr>
        <w:pStyle w:val="Textbody0"/>
      </w:pPr>
      <w:r>
        <w:rPr>
          <w:bCs w:val="0"/>
        </w:rPr>
        <w:t>This item in</w:t>
      </w:r>
      <w:r w:rsidR="00BD227A" w:rsidRPr="00DB6CF0">
        <w:rPr>
          <w:bCs w:val="0"/>
        </w:rPr>
        <w:t>sert</w:t>
      </w:r>
      <w:r w:rsidR="00A825B6">
        <w:rPr>
          <w:bCs w:val="0"/>
        </w:rPr>
        <w:t>s</w:t>
      </w:r>
      <w:r>
        <w:rPr>
          <w:bCs w:val="0"/>
        </w:rPr>
        <w:t xml:space="preserve"> as a new definition</w:t>
      </w:r>
      <w:r w:rsidR="004E417F">
        <w:rPr>
          <w:bCs w:val="0"/>
        </w:rPr>
        <w:t xml:space="preserve"> in regulation 38 that </w:t>
      </w:r>
      <w:r w:rsidR="00BD227A" w:rsidRPr="006675DA">
        <w:rPr>
          <w:b/>
          <w:i/>
        </w:rPr>
        <w:t>Deputy Chairperson</w:t>
      </w:r>
      <w:r w:rsidR="00BD227A" w:rsidRPr="006675DA">
        <w:t xml:space="preserve"> means the Deputy</w:t>
      </w:r>
      <w:r w:rsidR="004E417F">
        <w:t> </w:t>
      </w:r>
      <w:r w:rsidR="00BD227A" w:rsidRPr="006675DA">
        <w:t>Chairperson of the Pharmaceutical Benefits Advisory Committee.</w:t>
      </w:r>
      <w:r w:rsidR="00730622">
        <w:t xml:space="preserve"> </w:t>
      </w:r>
      <w:r w:rsidR="0089056D">
        <w:t xml:space="preserve"> </w:t>
      </w:r>
      <w:r w:rsidR="00730622">
        <w:t>Due to the Amending Act, subsection</w:t>
      </w:r>
      <w:r w:rsidR="0089056D">
        <w:t> </w:t>
      </w:r>
      <w:r w:rsidR="00730622">
        <w:t>100B(1D) of the Act provides that the Minister may appoint a PBAC member (other than the Chairperson) as the Deputy Chairperson of the PBAC.</w:t>
      </w:r>
    </w:p>
    <w:p w:rsidR="00BD227A" w:rsidRPr="006675DA" w:rsidRDefault="004E417F" w:rsidP="004E417F">
      <w:pPr>
        <w:pStyle w:val="Headingbold0"/>
        <w:tabs>
          <w:tab w:val="left" w:pos="1134"/>
        </w:tabs>
        <w:spacing w:before="0"/>
      </w:pPr>
      <w:r>
        <w:t xml:space="preserve">Item </w:t>
      </w:r>
      <w:r w:rsidR="00BD227A" w:rsidRPr="006675DA">
        <w:t xml:space="preserve">10 </w:t>
      </w:r>
      <w:r>
        <w:t>-</w:t>
      </w:r>
      <w:r w:rsidR="00BD227A" w:rsidRPr="006675DA">
        <w:t xml:space="preserve"> Subregulation 38A(1)</w:t>
      </w:r>
    </w:p>
    <w:p w:rsidR="00602DE8" w:rsidRDefault="00ED19A9" w:rsidP="004E417F">
      <w:pPr>
        <w:pStyle w:val="Textbody0"/>
        <w:rPr>
          <w:bCs w:val="0"/>
        </w:rPr>
      </w:pPr>
      <w:r>
        <w:rPr>
          <w:bCs w:val="0"/>
        </w:rPr>
        <w:t xml:space="preserve">Regulation 38A </w:t>
      </w:r>
      <w:r w:rsidR="00BF3970">
        <w:rPr>
          <w:bCs w:val="0"/>
        </w:rPr>
        <w:t xml:space="preserve">specifies nominating bodies for PBAC membership. </w:t>
      </w:r>
      <w:r w:rsidR="0089056D">
        <w:rPr>
          <w:bCs w:val="0"/>
        </w:rPr>
        <w:t xml:space="preserve"> </w:t>
      </w:r>
      <w:r w:rsidR="00BF3970">
        <w:rPr>
          <w:bCs w:val="0"/>
        </w:rPr>
        <w:t>Regulation</w:t>
      </w:r>
      <w:r w:rsidR="0089056D">
        <w:rPr>
          <w:bCs w:val="0"/>
        </w:rPr>
        <w:t> </w:t>
      </w:r>
      <w:r w:rsidR="00BF3970">
        <w:rPr>
          <w:bCs w:val="0"/>
        </w:rPr>
        <w:t>38A now also specif</w:t>
      </w:r>
      <w:r w:rsidR="00A825B6">
        <w:rPr>
          <w:bCs w:val="0"/>
        </w:rPr>
        <w:t>ies</w:t>
      </w:r>
      <w:r w:rsidR="00BF3970">
        <w:rPr>
          <w:bCs w:val="0"/>
        </w:rPr>
        <w:t>, in subregulation</w:t>
      </w:r>
      <w:r w:rsidR="0089056D">
        <w:rPr>
          <w:bCs w:val="0"/>
        </w:rPr>
        <w:t> </w:t>
      </w:r>
      <w:r w:rsidR="00BF3970">
        <w:rPr>
          <w:bCs w:val="0"/>
        </w:rPr>
        <w:t>38A(1), nominating bodies for paragraph</w:t>
      </w:r>
      <w:r w:rsidR="0089056D">
        <w:rPr>
          <w:bCs w:val="0"/>
        </w:rPr>
        <w:t> </w:t>
      </w:r>
      <w:r w:rsidR="00BF3970">
        <w:rPr>
          <w:bCs w:val="0"/>
        </w:rPr>
        <w:t>100B(1AA)(a) (industry organisations for PBAC industry member).</w:t>
      </w:r>
    </w:p>
    <w:p w:rsidR="00627116" w:rsidRDefault="00847545" w:rsidP="00734D23">
      <w:pPr>
        <w:pStyle w:val="Textbody0"/>
        <w:ind w:right="-329"/>
        <w:rPr>
          <w:b/>
        </w:rPr>
      </w:pPr>
      <w:r>
        <w:rPr>
          <w:bCs w:val="0"/>
        </w:rPr>
        <w:t xml:space="preserve">The Amending Act </w:t>
      </w:r>
      <w:r w:rsidR="00734D23">
        <w:rPr>
          <w:bCs w:val="0"/>
        </w:rPr>
        <w:t xml:space="preserve">inserted </w:t>
      </w:r>
      <w:r w:rsidR="00627116" w:rsidRPr="00CE6754">
        <w:t xml:space="preserve">new paragraph 100A(3)(aa) referring to </w:t>
      </w:r>
      <w:r w:rsidR="0089056D">
        <w:t>‘</w:t>
      </w:r>
      <w:r w:rsidR="00627116" w:rsidRPr="00CE6754">
        <w:t>industry</w:t>
      </w:r>
      <w:r w:rsidR="0089056D">
        <w:t>’</w:t>
      </w:r>
      <w:r w:rsidR="00734D23">
        <w:t xml:space="preserve"> as </w:t>
      </w:r>
      <w:r w:rsidR="00627116" w:rsidRPr="00FF0687">
        <w:t>one of the member groups from which members of the PBAC may be nominated and selected.  Appointment of an industry member is not mandatory as it is not one of the groups of interest</w:t>
      </w:r>
      <w:r w:rsidR="00627116">
        <w:t>s or professions from which at least one member must be selected.</w:t>
      </w:r>
      <w:r w:rsidR="00734D23">
        <w:t xml:space="preserve">  </w:t>
      </w:r>
      <w:r w:rsidR="00627116" w:rsidRPr="00CE6754">
        <w:t xml:space="preserve">The reference to an </w:t>
      </w:r>
      <w:r w:rsidR="0089056D">
        <w:t>‘</w:t>
      </w:r>
      <w:r w:rsidR="00627116" w:rsidRPr="00CE6754">
        <w:t>industry</w:t>
      </w:r>
      <w:r w:rsidR="0089056D">
        <w:t>’</w:t>
      </w:r>
      <w:r w:rsidR="00627116" w:rsidRPr="00CE6754">
        <w:t xml:space="preserve"> member </w:t>
      </w:r>
      <w:r w:rsidR="00734D23">
        <w:t xml:space="preserve">in the Act </w:t>
      </w:r>
      <w:r w:rsidR="00627116" w:rsidRPr="00CE6754">
        <w:t xml:space="preserve">is intended to provide for the appointment of a member </w:t>
      </w:r>
      <w:r w:rsidR="00734D23">
        <w:t>w</w:t>
      </w:r>
      <w:r w:rsidR="00627116" w:rsidRPr="00CE6754">
        <w:t>ith expertise in a pharmaceutical or health-related industry relevant to the work of the PBAC.</w:t>
      </w:r>
    </w:p>
    <w:p w:rsidR="00302DF1" w:rsidRDefault="00602DE8" w:rsidP="00B43F8B">
      <w:pPr>
        <w:pStyle w:val="Textbody0"/>
        <w:ind w:right="-329"/>
        <w:rPr>
          <w:bCs w:val="0"/>
        </w:rPr>
      </w:pPr>
      <w:r>
        <w:t>New s</w:t>
      </w:r>
      <w:r w:rsidR="003A5CC4">
        <w:t xml:space="preserve">ubsection 100B(1AA) </w:t>
      </w:r>
      <w:r w:rsidR="00302DF1">
        <w:t xml:space="preserve">of the Act </w:t>
      </w:r>
      <w:r w:rsidR="00847545" w:rsidRPr="00CE6754">
        <w:t>provide</w:t>
      </w:r>
      <w:r w:rsidR="00847545">
        <w:t>s</w:t>
      </w:r>
      <w:r w:rsidR="00847545" w:rsidRPr="00CE6754">
        <w:t xml:space="preserve"> for a</w:t>
      </w:r>
      <w:r w:rsidR="00847545">
        <w:t>n</w:t>
      </w:r>
      <w:r w:rsidR="00847545" w:rsidRPr="00CE6754">
        <w:t xml:space="preserve"> </w:t>
      </w:r>
      <w:r w:rsidR="00847545">
        <w:t xml:space="preserve">industry </w:t>
      </w:r>
      <w:r w:rsidR="00847545" w:rsidRPr="00CE6754">
        <w:t xml:space="preserve">member to be </w:t>
      </w:r>
      <w:r w:rsidR="00847545">
        <w:t xml:space="preserve">appointed from nominations made </w:t>
      </w:r>
      <w:r w:rsidR="00847545" w:rsidRPr="00CE6754">
        <w:t xml:space="preserve">by </w:t>
      </w:r>
      <w:r w:rsidR="00847545">
        <w:t xml:space="preserve">industry </w:t>
      </w:r>
      <w:r w:rsidR="00847545" w:rsidRPr="00CE6754">
        <w:t xml:space="preserve">organisations specified </w:t>
      </w:r>
      <w:r w:rsidR="00847545">
        <w:t>by the</w:t>
      </w:r>
      <w:r w:rsidR="00847545" w:rsidRPr="00CE6754">
        <w:t xml:space="preserve"> regulations</w:t>
      </w:r>
      <w:r w:rsidR="00847545">
        <w:t xml:space="preserve">, and </w:t>
      </w:r>
      <w:r w:rsidR="003A5CC4">
        <w:t>b</w:t>
      </w:r>
      <w:r w:rsidR="00847545">
        <w:t>y industry organisations invited by the Minister to make nominations</w:t>
      </w:r>
      <w:r w:rsidR="000B7C68">
        <w:t xml:space="preserve"> for an industry member</w:t>
      </w:r>
      <w:r w:rsidR="00847545" w:rsidRPr="00CE6754">
        <w:t>.</w:t>
      </w:r>
      <w:r w:rsidR="00847545">
        <w:rPr>
          <w:bCs w:val="0"/>
        </w:rPr>
        <w:t xml:space="preserve">  </w:t>
      </w:r>
    </w:p>
    <w:p w:rsidR="00ED19A9" w:rsidRDefault="00602DE8" w:rsidP="00B43F8B">
      <w:pPr>
        <w:pStyle w:val="Textbody0"/>
        <w:ind w:right="-329"/>
        <w:rPr>
          <w:bCs w:val="0"/>
        </w:rPr>
      </w:pPr>
      <w:r>
        <w:rPr>
          <w:bCs w:val="0"/>
        </w:rPr>
        <w:t>New</w:t>
      </w:r>
      <w:r w:rsidR="00B43F8B">
        <w:rPr>
          <w:bCs w:val="0"/>
        </w:rPr>
        <w:t xml:space="preserve"> </w:t>
      </w:r>
      <w:r>
        <w:rPr>
          <w:bCs w:val="0"/>
        </w:rPr>
        <w:t>s</w:t>
      </w:r>
      <w:r w:rsidR="003A5CC4">
        <w:rPr>
          <w:bCs w:val="0"/>
        </w:rPr>
        <w:t xml:space="preserve">ubsection 100B(1AB) </w:t>
      </w:r>
      <w:r w:rsidR="00302DF1">
        <w:rPr>
          <w:bCs w:val="0"/>
        </w:rPr>
        <w:t xml:space="preserve">of the Act </w:t>
      </w:r>
      <w:r w:rsidR="003A5CC4">
        <w:rPr>
          <w:bCs w:val="0"/>
        </w:rPr>
        <w:t xml:space="preserve">continues to provide </w:t>
      </w:r>
      <w:r w:rsidR="003A5CC4" w:rsidRPr="006651DD">
        <w:t>for a consumer member to be appointed by the Minister from nominations made by consumer organisations</w:t>
      </w:r>
      <w:r w:rsidR="003A5CC4">
        <w:t xml:space="preserve"> specified in regulations (</w:t>
      </w:r>
      <w:r w:rsidR="00B43F8B">
        <w:t xml:space="preserve">as </w:t>
      </w:r>
      <w:r w:rsidR="003A5CC4">
        <w:t xml:space="preserve">previously </w:t>
      </w:r>
      <w:r w:rsidR="00B43F8B">
        <w:t xml:space="preserve">provided </w:t>
      </w:r>
      <w:r w:rsidR="003A5CC4" w:rsidRPr="006651DD">
        <w:t>in paragraph 100B(1A)(a) of the Act</w:t>
      </w:r>
      <w:r w:rsidR="003A5CC4">
        <w:t xml:space="preserve">), </w:t>
      </w:r>
      <w:r w:rsidR="00B43F8B">
        <w:t xml:space="preserve">and </w:t>
      </w:r>
      <w:r w:rsidR="003A5CC4" w:rsidRPr="006651DD">
        <w:t>now also provide</w:t>
      </w:r>
      <w:r w:rsidR="000B7C68">
        <w:t>s</w:t>
      </w:r>
      <w:r w:rsidR="003A5CC4" w:rsidRPr="006651DD">
        <w:t xml:space="preserve"> for individuals and consumer organisations to be invited by the Minister to make nominations for a consumer member.</w:t>
      </w:r>
    </w:p>
    <w:p w:rsidR="00BD0A12" w:rsidRDefault="00A825B6" w:rsidP="009E4713">
      <w:pPr>
        <w:pStyle w:val="Textbody0"/>
        <w:ind w:right="-329"/>
        <w:rPr>
          <w:bCs w:val="0"/>
        </w:rPr>
      </w:pPr>
      <w:r>
        <w:rPr>
          <w:bCs w:val="0"/>
        </w:rPr>
        <w:t>I</w:t>
      </w:r>
      <w:r w:rsidR="000B7C68" w:rsidRPr="009E4713">
        <w:rPr>
          <w:bCs w:val="0"/>
        </w:rPr>
        <w:t>tem</w:t>
      </w:r>
      <w:r>
        <w:rPr>
          <w:bCs w:val="0"/>
        </w:rPr>
        <w:t> 10</w:t>
      </w:r>
      <w:r w:rsidR="000B7C68" w:rsidRPr="009E4713">
        <w:rPr>
          <w:bCs w:val="0"/>
        </w:rPr>
        <w:t xml:space="preserve"> provide</w:t>
      </w:r>
      <w:r>
        <w:rPr>
          <w:bCs w:val="0"/>
        </w:rPr>
        <w:t>s</w:t>
      </w:r>
      <w:r w:rsidR="000B7C68" w:rsidRPr="009E4713">
        <w:rPr>
          <w:bCs w:val="0"/>
        </w:rPr>
        <w:t xml:space="preserve"> that for </w:t>
      </w:r>
      <w:r w:rsidR="00BD227A" w:rsidRPr="009E4713">
        <w:rPr>
          <w:bCs w:val="0"/>
        </w:rPr>
        <w:t>paragraph 100B(1AA)(a) of the Act, the industry organisations prescribed</w:t>
      </w:r>
      <w:r w:rsidR="000B7C68" w:rsidRPr="009E4713">
        <w:rPr>
          <w:bCs w:val="0"/>
        </w:rPr>
        <w:t xml:space="preserve"> as bodies </w:t>
      </w:r>
      <w:r w:rsidR="00627116" w:rsidRPr="009E4713">
        <w:rPr>
          <w:bCs w:val="0"/>
        </w:rPr>
        <w:t xml:space="preserve">which can nominate </w:t>
      </w:r>
      <w:r w:rsidR="000B7C68" w:rsidRPr="009E4713">
        <w:rPr>
          <w:bCs w:val="0"/>
        </w:rPr>
        <w:t xml:space="preserve">persons for appointment </w:t>
      </w:r>
      <w:r w:rsidR="00627116" w:rsidRPr="009E4713">
        <w:rPr>
          <w:bCs w:val="0"/>
        </w:rPr>
        <w:t xml:space="preserve">of an industry member </w:t>
      </w:r>
      <w:r w:rsidR="000B7C68" w:rsidRPr="009E4713">
        <w:rPr>
          <w:bCs w:val="0"/>
        </w:rPr>
        <w:t xml:space="preserve">to the Committee </w:t>
      </w:r>
      <w:r>
        <w:rPr>
          <w:bCs w:val="0"/>
        </w:rPr>
        <w:t>are</w:t>
      </w:r>
      <w:r w:rsidR="000B7C68" w:rsidRPr="009E4713">
        <w:rPr>
          <w:bCs w:val="0"/>
        </w:rPr>
        <w:t>: M</w:t>
      </w:r>
      <w:r w:rsidR="00BD227A" w:rsidRPr="009E4713">
        <w:rPr>
          <w:bCs w:val="0"/>
        </w:rPr>
        <w:t>edicines Australia Limited</w:t>
      </w:r>
      <w:r w:rsidR="00627116" w:rsidRPr="009E4713">
        <w:rPr>
          <w:bCs w:val="0"/>
        </w:rPr>
        <w:t>,</w:t>
      </w:r>
      <w:r w:rsidR="000B7C68" w:rsidRPr="009E4713">
        <w:rPr>
          <w:bCs w:val="0"/>
        </w:rPr>
        <w:t xml:space="preserve"> </w:t>
      </w:r>
      <w:r w:rsidR="00BD227A" w:rsidRPr="009E4713">
        <w:rPr>
          <w:bCs w:val="0"/>
        </w:rPr>
        <w:t>the Generic Medicines Industry Association Pty Ltd</w:t>
      </w:r>
      <w:r w:rsidR="00302DF1">
        <w:rPr>
          <w:bCs w:val="0"/>
        </w:rPr>
        <w:t xml:space="preserve"> trading as the Generic and Biosimilar Medicines Association</w:t>
      </w:r>
      <w:r w:rsidR="00627116" w:rsidRPr="009E4713">
        <w:rPr>
          <w:bCs w:val="0"/>
        </w:rPr>
        <w:t>,</w:t>
      </w:r>
      <w:r w:rsidR="000B7C68" w:rsidRPr="009E4713">
        <w:rPr>
          <w:bCs w:val="0"/>
        </w:rPr>
        <w:t xml:space="preserve"> and </w:t>
      </w:r>
      <w:proofErr w:type="spellStart"/>
      <w:r w:rsidR="00BD227A" w:rsidRPr="009E4713">
        <w:rPr>
          <w:bCs w:val="0"/>
        </w:rPr>
        <w:t>Ausbiotech</w:t>
      </w:r>
      <w:proofErr w:type="spellEnd"/>
      <w:r w:rsidR="00BD227A" w:rsidRPr="009E4713">
        <w:rPr>
          <w:bCs w:val="0"/>
        </w:rPr>
        <w:t xml:space="preserve"> Ltd.</w:t>
      </w:r>
      <w:r w:rsidR="000B7C68" w:rsidRPr="009E4713">
        <w:rPr>
          <w:bCs w:val="0"/>
        </w:rPr>
        <w:t xml:space="preserve">  </w:t>
      </w:r>
    </w:p>
    <w:p w:rsidR="00BD227A" w:rsidRPr="009E4713" w:rsidRDefault="000B7C68" w:rsidP="009E4713">
      <w:pPr>
        <w:pStyle w:val="Textbody0"/>
        <w:ind w:right="-329"/>
        <w:rPr>
          <w:bCs w:val="0"/>
        </w:rPr>
      </w:pPr>
      <w:r w:rsidRPr="009E4713">
        <w:rPr>
          <w:bCs w:val="0"/>
        </w:rPr>
        <w:t>This item also provide</w:t>
      </w:r>
      <w:r w:rsidR="00A825B6">
        <w:rPr>
          <w:bCs w:val="0"/>
        </w:rPr>
        <w:t>s</w:t>
      </w:r>
      <w:r w:rsidRPr="009E4713">
        <w:rPr>
          <w:bCs w:val="0"/>
        </w:rPr>
        <w:t xml:space="preserve"> that for paragraph 100B(1AB)(a) of the Act, the consumer organisations prescribed as bodies </w:t>
      </w:r>
      <w:r w:rsidR="00B43F8B" w:rsidRPr="009E4713">
        <w:rPr>
          <w:bCs w:val="0"/>
        </w:rPr>
        <w:t xml:space="preserve">which can nominate </w:t>
      </w:r>
      <w:r w:rsidRPr="009E4713">
        <w:rPr>
          <w:bCs w:val="0"/>
        </w:rPr>
        <w:t xml:space="preserve">persons for appointment </w:t>
      </w:r>
      <w:r w:rsidR="00B43F8B" w:rsidRPr="009E4713">
        <w:rPr>
          <w:bCs w:val="0"/>
        </w:rPr>
        <w:t xml:space="preserve">of a consumer member </w:t>
      </w:r>
      <w:r w:rsidRPr="009E4713">
        <w:rPr>
          <w:bCs w:val="0"/>
        </w:rPr>
        <w:t>to the Committee</w:t>
      </w:r>
      <w:r w:rsidR="00377AB1">
        <w:rPr>
          <w:bCs w:val="0"/>
        </w:rPr>
        <w:t xml:space="preserve"> are</w:t>
      </w:r>
      <w:r w:rsidR="00BD227A" w:rsidRPr="009E4713">
        <w:rPr>
          <w:bCs w:val="0"/>
        </w:rPr>
        <w:t>:</w:t>
      </w:r>
      <w:r w:rsidR="00B43F8B" w:rsidRPr="009E4713">
        <w:rPr>
          <w:bCs w:val="0"/>
        </w:rPr>
        <w:t xml:space="preserve"> </w:t>
      </w:r>
      <w:r w:rsidR="00BD227A" w:rsidRPr="009E4713">
        <w:rPr>
          <w:bCs w:val="0"/>
        </w:rPr>
        <w:t>the Consumers Health Forum of Australia Ltd</w:t>
      </w:r>
      <w:r w:rsidR="00B43F8B" w:rsidRPr="009E4713">
        <w:rPr>
          <w:bCs w:val="0"/>
        </w:rPr>
        <w:t>,</w:t>
      </w:r>
      <w:r w:rsidR="00B152F8" w:rsidRPr="009E4713">
        <w:rPr>
          <w:bCs w:val="0"/>
        </w:rPr>
        <w:t xml:space="preserve"> </w:t>
      </w:r>
      <w:r w:rsidR="00BD227A" w:rsidRPr="009E4713">
        <w:rPr>
          <w:bCs w:val="0"/>
        </w:rPr>
        <w:t>the Australian Federation of AIDS Organisations Incorporated</w:t>
      </w:r>
      <w:r w:rsidR="00B43F8B" w:rsidRPr="009E4713">
        <w:rPr>
          <w:bCs w:val="0"/>
        </w:rPr>
        <w:t>,</w:t>
      </w:r>
      <w:r w:rsidR="00B152F8" w:rsidRPr="009E4713">
        <w:rPr>
          <w:bCs w:val="0"/>
        </w:rPr>
        <w:t xml:space="preserve"> and </w:t>
      </w:r>
      <w:r w:rsidR="00BD227A" w:rsidRPr="009E4713">
        <w:rPr>
          <w:bCs w:val="0"/>
        </w:rPr>
        <w:t>the Australian Consumers</w:t>
      </w:r>
      <w:r w:rsidR="00B43F8B" w:rsidRPr="009E4713">
        <w:rPr>
          <w:bCs w:val="0"/>
        </w:rPr>
        <w:t>’</w:t>
      </w:r>
      <w:r w:rsidR="00BD227A" w:rsidRPr="009E4713">
        <w:rPr>
          <w:bCs w:val="0"/>
        </w:rPr>
        <w:t xml:space="preserve"> Association.</w:t>
      </w:r>
      <w:r w:rsidR="00BD0A12">
        <w:rPr>
          <w:bCs w:val="0"/>
        </w:rPr>
        <w:t xml:space="preserve"> </w:t>
      </w:r>
      <w:r w:rsidR="00A825B6">
        <w:rPr>
          <w:bCs w:val="0"/>
        </w:rPr>
        <w:t xml:space="preserve"> </w:t>
      </w:r>
      <w:r w:rsidR="00BD0A12">
        <w:rPr>
          <w:bCs w:val="0"/>
        </w:rPr>
        <w:t>The consumer bodies have not changed – they have been relocated from subregulation</w:t>
      </w:r>
      <w:r w:rsidR="003A0C58">
        <w:rPr>
          <w:bCs w:val="0"/>
        </w:rPr>
        <w:t> </w:t>
      </w:r>
      <w:r w:rsidR="00BD0A12">
        <w:rPr>
          <w:bCs w:val="0"/>
        </w:rPr>
        <w:t>38A(1) of the Principal Regulations.</w:t>
      </w:r>
    </w:p>
    <w:p w:rsidR="00AB113F" w:rsidRDefault="00AB113F" w:rsidP="00AB113F">
      <w:pPr>
        <w:pStyle w:val="Headingbold0"/>
        <w:tabs>
          <w:tab w:val="left" w:pos="1134"/>
        </w:tabs>
        <w:spacing w:before="0"/>
      </w:pPr>
      <w:r>
        <w:t>Item</w:t>
      </w:r>
      <w:r w:rsidR="002850E3">
        <w:t> </w:t>
      </w:r>
      <w:r w:rsidRPr="006675DA">
        <w:t>1</w:t>
      </w:r>
      <w:r>
        <w:t>1</w:t>
      </w:r>
      <w:r w:rsidR="00BD227A" w:rsidRPr="006675DA">
        <w:t xml:space="preserve"> </w:t>
      </w:r>
      <w:r>
        <w:t>-</w:t>
      </w:r>
      <w:r w:rsidR="00BD227A" w:rsidRPr="006675DA">
        <w:t xml:space="preserve"> Paragraph 38A(4)(c)</w:t>
      </w:r>
    </w:p>
    <w:p w:rsidR="00DB4553" w:rsidRDefault="002850E3" w:rsidP="00AB113F">
      <w:pPr>
        <w:pStyle w:val="Textbody0"/>
        <w:rPr>
          <w:bCs w:val="0"/>
        </w:rPr>
      </w:pPr>
      <w:r>
        <w:rPr>
          <w:bCs w:val="0"/>
        </w:rPr>
        <w:t xml:space="preserve">Subregulation 38A(4) prescribes the professional associations </w:t>
      </w:r>
      <w:r w:rsidR="00B43F8B">
        <w:rPr>
          <w:bCs w:val="0"/>
        </w:rPr>
        <w:t>of medical practitioners</w:t>
      </w:r>
      <w:r w:rsidR="00DB4553">
        <w:rPr>
          <w:bCs w:val="0"/>
        </w:rPr>
        <w:t>,</w:t>
      </w:r>
      <w:r w:rsidR="00B43F8B">
        <w:rPr>
          <w:bCs w:val="0"/>
        </w:rPr>
        <w:t xml:space="preserve"> </w:t>
      </w:r>
      <w:r w:rsidR="00DB4553">
        <w:rPr>
          <w:bCs w:val="0"/>
        </w:rPr>
        <w:t xml:space="preserve">for paragraph 100B(1A)(d) of the Act, </w:t>
      </w:r>
      <w:r w:rsidR="00B43F8B">
        <w:rPr>
          <w:bCs w:val="0"/>
        </w:rPr>
        <w:t xml:space="preserve">which can </w:t>
      </w:r>
      <w:r w:rsidR="00DB4553">
        <w:rPr>
          <w:bCs w:val="0"/>
        </w:rPr>
        <w:t xml:space="preserve">make </w:t>
      </w:r>
      <w:r w:rsidR="00B43F8B">
        <w:rPr>
          <w:bCs w:val="0"/>
        </w:rPr>
        <w:t>nominat</w:t>
      </w:r>
      <w:r w:rsidR="00DB4553">
        <w:rPr>
          <w:bCs w:val="0"/>
        </w:rPr>
        <w:t>ions for the appointment of general practitioners as members of the Committee.</w:t>
      </w:r>
    </w:p>
    <w:p w:rsidR="00DB4553" w:rsidRDefault="00DB4553" w:rsidP="00AB113F">
      <w:pPr>
        <w:pStyle w:val="Textbody0"/>
        <w:rPr>
          <w:bCs w:val="0"/>
        </w:rPr>
      </w:pPr>
      <w:r>
        <w:rPr>
          <w:bCs w:val="0"/>
        </w:rPr>
        <w:t>This item remove</w:t>
      </w:r>
      <w:r w:rsidR="00A825B6">
        <w:rPr>
          <w:bCs w:val="0"/>
        </w:rPr>
        <w:t>s</w:t>
      </w:r>
      <w:r>
        <w:rPr>
          <w:bCs w:val="0"/>
        </w:rPr>
        <w:t xml:space="preserve"> paragraph 38(4)(c), which refers to ‘the Australian Divisions of General Practice Limited’, from the list of professional associations of medical practitioners as th</w:t>
      </w:r>
      <w:r w:rsidR="004B193D">
        <w:rPr>
          <w:bCs w:val="0"/>
        </w:rPr>
        <w:t>e</w:t>
      </w:r>
      <w:r>
        <w:rPr>
          <w:bCs w:val="0"/>
        </w:rPr>
        <w:t xml:space="preserve"> organisation is no longer in existence.</w:t>
      </w:r>
    </w:p>
    <w:p w:rsidR="00EA025C" w:rsidRDefault="00DB4553" w:rsidP="00EA025C">
      <w:pPr>
        <w:pStyle w:val="Headingbold0"/>
        <w:tabs>
          <w:tab w:val="left" w:pos="1134"/>
        </w:tabs>
        <w:spacing w:before="0"/>
      </w:pPr>
      <w:r>
        <w:t>Item </w:t>
      </w:r>
      <w:r w:rsidRPr="006675DA">
        <w:t>1</w:t>
      </w:r>
      <w:r>
        <w:t>2</w:t>
      </w:r>
      <w:r w:rsidR="00BD227A" w:rsidRPr="006675DA">
        <w:t xml:space="preserve"> </w:t>
      </w:r>
      <w:r>
        <w:t>-</w:t>
      </w:r>
      <w:r w:rsidR="00BD227A" w:rsidRPr="006675DA">
        <w:t xml:space="preserve"> Regulation 38B</w:t>
      </w:r>
    </w:p>
    <w:p w:rsidR="00E93F7D" w:rsidRDefault="00EA025C" w:rsidP="0089056D">
      <w:pPr>
        <w:pStyle w:val="Textbody0"/>
        <w:ind w:right="-329"/>
        <w:rPr>
          <w:bCs w:val="0"/>
        </w:rPr>
      </w:pPr>
      <w:r>
        <w:rPr>
          <w:bCs w:val="0"/>
        </w:rPr>
        <w:t xml:space="preserve">Regulation 38B </w:t>
      </w:r>
      <w:r w:rsidR="00E93F7D">
        <w:rPr>
          <w:bCs w:val="0"/>
        </w:rPr>
        <w:t>is made for subsection</w:t>
      </w:r>
      <w:r w:rsidR="0089056D">
        <w:rPr>
          <w:bCs w:val="0"/>
        </w:rPr>
        <w:t> </w:t>
      </w:r>
      <w:r w:rsidR="00E93F7D">
        <w:rPr>
          <w:bCs w:val="0"/>
        </w:rPr>
        <w:t>100B(1B) of the Act and relates to nominations, in particular</w:t>
      </w:r>
      <w:r w:rsidR="0089056D">
        <w:rPr>
          <w:bCs w:val="0"/>
        </w:rPr>
        <w:t>,</w:t>
      </w:r>
      <w:r w:rsidR="00E93F7D">
        <w:rPr>
          <w:bCs w:val="0"/>
        </w:rPr>
        <w:t xml:space="preserve"> </w:t>
      </w:r>
      <w:r w:rsidR="0089056D">
        <w:rPr>
          <w:bCs w:val="0"/>
        </w:rPr>
        <w:t xml:space="preserve">the </w:t>
      </w:r>
      <w:r w:rsidR="00E93F7D">
        <w:rPr>
          <w:bCs w:val="0"/>
        </w:rPr>
        <w:t xml:space="preserve">number of nominations. </w:t>
      </w:r>
      <w:r w:rsidR="0089056D">
        <w:rPr>
          <w:bCs w:val="0"/>
        </w:rPr>
        <w:t xml:space="preserve"> </w:t>
      </w:r>
      <w:r w:rsidR="00E93F7D">
        <w:rPr>
          <w:bCs w:val="0"/>
        </w:rPr>
        <w:t>Regulation</w:t>
      </w:r>
      <w:r w:rsidR="0089056D">
        <w:rPr>
          <w:bCs w:val="0"/>
        </w:rPr>
        <w:t> </w:t>
      </w:r>
      <w:r w:rsidR="00E93F7D">
        <w:rPr>
          <w:bCs w:val="0"/>
        </w:rPr>
        <w:t>38B continues to provide that the Minister must ask nominating bodies specified in the regulations to nominate at least three persons for selection for appointment.  The amendment insert</w:t>
      </w:r>
      <w:r w:rsidR="004B193D">
        <w:rPr>
          <w:bCs w:val="0"/>
        </w:rPr>
        <w:t>s</w:t>
      </w:r>
      <w:r w:rsidR="00E93F7D">
        <w:rPr>
          <w:bCs w:val="0"/>
        </w:rPr>
        <w:t xml:space="preserve"> reference to new subsections</w:t>
      </w:r>
      <w:r w:rsidR="0089056D">
        <w:rPr>
          <w:bCs w:val="0"/>
        </w:rPr>
        <w:t> </w:t>
      </w:r>
      <w:r w:rsidR="00E93F7D">
        <w:rPr>
          <w:bCs w:val="0"/>
        </w:rPr>
        <w:t xml:space="preserve">100B(1AA) (industry member) and (1AB) (consumer member) of the Act. </w:t>
      </w:r>
    </w:p>
    <w:p w:rsidR="00E93F7D" w:rsidRDefault="00E93F7D" w:rsidP="00EA025C">
      <w:pPr>
        <w:pStyle w:val="Textbody0"/>
        <w:rPr>
          <w:bCs w:val="0"/>
        </w:rPr>
      </w:pPr>
      <w:r>
        <w:rPr>
          <w:bCs w:val="0"/>
        </w:rPr>
        <w:t xml:space="preserve">This regulation does not apply </w:t>
      </w:r>
      <w:r w:rsidR="00CE783A">
        <w:rPr>
          <w:bCs w:val="0"/>
        </w:rPr>
        <w:t>to nominations that the Minister may choose to invite from bodies not specified in the regulations, from industry organisations for an industry member, or individuals or consumer organisations for a consumer member.</w:t>
      </w:r>
    </w:p>
    <w:p w:rsidR="00BD227A" w:rsidRPr="006675DA" w:rsidRDefault="00F6045E" w:rsidP="00F6045E">
      <w:pPr>
        <w:pStyle w:val="Headingbold0"/>
        <w:tabs>
          <w:tab w:val="left" w:pos="1134"/>
        </w:tabs>
        <w:spacing w:before="0"/>
      </w:pPr>
      <w:r>
        <w:t>Item </w:t>
      </w:r>
      <w:r w:rsidRPr="006675DA">
        <w:t>1</w:t>
      </w:r>
      <w:r w:rsidR="00BD227A" w:rsidRPr="006675DA">
        <w:t xml:space="preserve">3 </w:t>
      </w:r>
      <w:r>
        <w:t>-</w:t>
      </w:r>
      <w:r w:rsidR="00BD227A" w:rsidRPr="006675DA">
        <w:t xml:space="preserve"> Regulations 39 to 41</w:t>
      </w:r>
    </w:p>
    <w:p w:rsidR="007E628D" w:rsidRDefault="00297038">
      <w:pPr>
        <w:pStyle w:val="Textbody0"/>
        <w:rPr>
          <w:bCs w:val="0"/>
        </w:rPr>
      </w:pPr>
      <w:r>
        <w:rPr>
          <w:bCs w:val="0"/>
        </w:rPr>
        <w:t>Item</w:t>
      </w:r>
      <w:r w:rsidR="0089056D">
        <w:rPr>
          <w:bCs w:val="0"/>
        </w:rPr>
        <w:t> </w:t>
      </w:r>
      <w:r>
        <w:rPr>
          <w:bCs w:val="0"/>
        </w:rPr>
        <w:t>13 remove</w:t>
      </w:r>
      <w:r w:rsidR="004B193D">
        <w:rPr>
          <w:bCs w:val="0"/>
        </w:rPr>
        <w:t>s</w:t>
      </w:r>
      <w:r>
        <w:rPr>
          <w:bCs w:val="0"/>
        </w:rPr>
        <w:t xml:space="preserve"> regulation</w:t>
      </w:r>
      <w:r w:rsidR="0089056D">
        <w:rPr>
          <w:bCs w:val="0"/>
        </w:rPr>
        <w:t> </w:t>
      </w:r>
      <w:r w:rsidR="006355DB">
        <w:rPr>
          <w:bCs w:val="0"/>
        </w:rPr>
        <w:t>39</w:t>
      </w:r>
      <w:r>
        <w:rPr>
          <w:bCs w:val="0"/>
        </w:rPr>
        <w:t xml:space="preserve"> (Minister to appoint a PBAC member as Chairperson) as this requirement is now located in subsection</w:t>
      </w:r>
      <w:r w:rsidR="0089056D">
        <w:rPr>
          <w:bCs w:val="0"/>
        </w:rPr>
        <w:t> </w:t>
      </w:r>
      <w:r>
        <w:rPr>
          <w:bCs w:val="0"/>
        </w:rPr>
        <w:t>100B(1C) of the Act.</w:t>
      </w:r>
      <w:r w:rsidR="006355DB">
        <w:rPr>
          <w:bCs w:val="0"/>
        </w:rPr>
        <w:t xml:space="preserve"> </w:t>
      </w:r>
    </w:p>
    <w:p w:rsidR="001B6BB1" w:rsidRDefault="001B6BB1">
      <w:pPr>
        <w:pStyle w:val="Textbody0"/>
        <w:rPr>
          <w:bCs w:val="0"/>
        </w:rPr>
      </w:pPr>
      <w:r>
        <w:rPr>
          <w:bCs w:val="0"/>
        </w:rPr>
        <w:t>Regulation</w:t>
      </w:r>
      <w:r w:rsidR="0089056D">
        <w:rPr>
          <w:bCs w:val="0"/>
        </w:rPr>
        <w:t> </w:t>
      </w:r>
      <w:r>
        <w:rPr>
          <w:bCs w:val="0"/>
        </w:rPr>
        <w:t>40 continues to provide for resignation by providing that a PBAC member (including the Chairperson and any Deputy Chairperson), may resign by notice in writing given to the Minister.</w:t>
      </w:r>
    </w:p>
    <w:p w:rsidR="00BF369E" w:rsidRDefault="00BF369E">
      <w:pPr>
        <w:pStyle w:val="Textbody0"/>
        <w:rPr>
          <w:bCs w:val="0"/>
        </w:rPr>
      </w:pPr>
      <w:r>
        <w:rPr>
          <w:bCs w:val="0"/>
        </w:rPr>
        <w:t>Regulation</w:t>
      </w:r>
      <w:r w:rsidR="0089056D">
        <w:rPr>
          <w:bCs w:val="0"/>
        </w:rPr>
        <w:t> </w:t>
      </w:r>
      <w:r>
        <w:rPr>
          <w:bCs w:val="0"/>
        </w:rPr>
        <w:t xml:space="preserve">41 continues to provide for the Chairperson to be the presiding member if the Chairperson is present at a meeting. </w:t>
      </w:r>
      <w:r w:rsidR="004B193D">
        <w:rPr>
          <w:bCs w:val="0"/>
        </w:rPr>
        <w:t xml:space="preserve"> </w:t>
      </w:r>
      <w:r>
        <w:rPr>
          <w:bCs w:val="0"/>
        </w:rPr>
        <w:t xml:space="preserve">To reflect the new Deputy Chairperson role, the Deputy Chairperson presides at a meeting if the Chairperson is absent. </w:t>
      </w:r>
      <w:r w:rsidR="0089056D">
        <w:rPr>
          <w:bCs w:val="0"/>
        </w:rPr>
        <w:t xml:space="preserve"> </w:t>
      </w:r>
      <w:r>
        <w:rPr>
          <w:bCs w:val="0"/>
        </w:rPr>
        <w:t xml:space="preserve">If neither </w:t>
      </w:r>
      <w:r w:rsidR="0089056D">
        <w:rPr>
          <w:bCs w:val="0"/>
        </w:rPr>
        <w:t xml:space="preserve">is </w:t>
      </w:r>
      <w:r>
        <w:rPr>
          <w:bCs w:val="0"/>
        </w:rPr>
        <w:t>present, reflecting the procedure under regulation</w:t>
      </w:r>
      <w:r w:rsidR="0089056D">
        <w:rPr>
          <w:bCs w:val="0"/>
        </w:rPr>
        <w:t> </w:t>
      </w:r>
      <w:r>
        <w:rPr>
          <w:bCs w:val="0"/>
        </w:rPr>
        <w:t>41 now, the members attending the meeting elect a member to preside at the meeting.</w:t>
      </w:r>
    </w:p>
    <w:p w:rsidR="00BF369E" w:rsidRPr="002A5194" w:rsidRDefault="00BF369E" w:rsidP="004B193D">
      <w:pPr>
        <w:pStyle w:val="Textbody0"/>
        <w:ind w:right="-187"/>
        <w:rPr>
          <w:bCs w:val="0"/>
        </w:rPr>
      </w:pPr>
      <w:r>
        <w:rPr>
          <w:bCs w:val="0"/>
        </w:rPr>
        <w:t>Regulation</w:t>
      </w:r>
      <w:r w:rsidR="0089056D">
        <w:rPr>
          <w:bCs w:val="0"/>
        </w:rPr>
        <w:t> </w:t>
      </w:r>
      <w:r>
        <w:rPr>
          <w:bCs w:val="0"/>
        </w:rPr>
        <w:t>40 is also simplified by relying on section</w:t>
      </w:r>
      <w:r w:rsidR="0089056D">
        <w:rPr>
          <w:bCs w:val="0"/>
        </w:rPr>
        <w:t> </w:t>
      </w:r>
      <w:r>
        <w:rPr>
          <w:bCs w:val="0"/>
        </w:rPr>
        <w:t xml:space="preserve">33B of the </w:t>
      </w:r>
      <w:r w:rsidRPr="0089056D">
        <w:rPr>
          <w:bCs w:val="0"/>
          <w:i/>
        </w:rPr>
        <w:t>Acts Interpretation Act</w:t>
      </w:r>
      <w:r w:rsidR="004B193D">
        <w:rPr>
          <w:bCs w:val="0"/>
          <w:i/>
        </w:rPr>
        <w:t> </w:t>
      </w:r>
      <w:r w:rsidRPr="0089056D">
        <w:rPr>
          <w:bCs w:val="0"/>
          <w:i/>
        </w:rPr>
        <w:t>1901</w:t>
      </w:r>
      <w:r w:rsidR="002A5194">
        <w:rPr>
          <w:bCs w:val="0"/>
        </w:rPr>
        <w:t xml:space="preserve"> </w:t>
      </w:r>
      <w:r w:rsidR="00C0279A">
        <w:rPr>
          <w:bCs w:val="0"/>
        </w:rPr>
        <w:t xml:space="preserve">(Participating in meetings by telephone, </w:t>
      </w:r>
      <w:proofErr w:type="spellStart"/>
      <w:r w:rsidR="00C0279A">
        <w:rPr>
          <w:bCs w:val="0"/>
        </w:rPr>
        <w:t>etc</w:t>
      </w:r>
      <w:proofErr w:type="spellEnd"/>
      <w:r w:rsidR="00C0279A">
        <w:rPr>
          <w:bCs w:val="0"/>
        </w:rPr>
        <w:t xml:space="preserve">) </w:t>
      </w:r>
      <w:r w:rsidR="002A5194">
        <w:rPr>
          <w:bCs w:val="0"/>
        </w:rPr>
        <w:t xml:space="preserve">which indicates that a body established by an Act (such as the PBAC) may permit its members to participate in a meeting by telephone, closed-circuit television, or any other means of communication. </w:t>
      </w:r>
      <w:r w:rsidR="0089056D">
        <w:rPr>
          <w:bCs w:val="0"/>
        </w:rPr>
        <w:t xml:space="preserve"> </w:t>
      </w:r>
      <w:r w:rsidR="002A5194">
        <w:rPr>
          <w:bCs w:val="0"/>
        </w:rPr>
        <w:t>The member (or all members, as the case may be) are taken to be present and to form part of the quorum for the meeting.</w:t>
      </w:r>
    </w:p>
    <w:p w:rsidR="00BD227A" w:rsidRPr="006675DA" w:rsidRDefault="00FB76E2" w:rsidP="00FB76E2">
      <w:pPr>
        <w:pStyle w:val="Headingbold0"/>
        <w:tabs>
          <w:tab w:val="left" w:pos="1134"/>
        </w:tabs>
        <w:spacing w:before="0"/>
      </w:pPr>
      <w:r>
        <w:t>Item </w:t>
      </w:r>
      <w:r w:rsidRPr="006675DA">
        <w:t>1</w:t>
      </w:r>
      <w:r w:rsidR="00BD227A" w:rsidRPr="006675DA">
        <w:t xml:space="preserve">4 </w:t>
      </w:r>
      <w:r w:rsidR="002E71FE">
        <w:t>-</w:t>
      </w:r>
      <w:r w:rsidR="00BD227A" w:rsidRPr="006675DA">
        <w:t xml:space="preserve"> </w:t>
      </w:r>
      <w:proofErr w:type="spellStart"/>
      <w:r w:rsidR="00BD227A" w:rsidRPr="006675DA">
        <w:t>Subregulations</w:t>
      </w:r>
      <w:proofErr w:type="spellEnd"/>
      <w:r w:rsidR="00BD227A" w:rsidRPr="006675DA">
        <w:t> 42(1) to (3)</w:t>
      </w:r>
    </w:p>
    <w:p w:rsidR="00C0279A" w:rsidRPr="00CA16E9" w:rsidRDefault="00C0279A" w:rsidP="004B193D">
      <w:pPr>
        <w:pStyle w:val="Textbody0"/>
        <w:ind w:right="-45"/>
        <w:rPr>
          <w:bCs w:val="0"/>
        </w:rPr>
      </w:pPr>
      <w:r>
        <w:rPr>
          <w:bCs w:val="0"/>
        </w:rPr>
        <w:t>Regulation</w:t>
      </w:r>
      <w:r w:rsidR="0089056D">
        <w:rPr>
          <w:bCs w:val="0"/>
        </w:rPr>
        <w:t> </w:t>
      </w:r>
      <w:r>
        <w:rPr>
          <w:bCs w:val="0"/>
        </w:rPr>
        <w:t xml:space="preserve">42 deals with meetings of the Committee. </w:t>
      </w:r>
      <w:r w:rsidR="00576C42">
        <w:rPr>
          <w:bCs w:val="0"/>
        </w:rPr>
        <w:t xml:space="preserve"> </w:t>
      </w:r>
      <w:r>
        <w:rPr>
          <w:bCs w:val="0"/>
        </w:rPr>
        <w:t>The amendment simplif</w:t>
      </w:r>
      <w:r w:rsidR="004B193D">
        <w:rPr>
          <w:bCs w:val="0"/>
        </w:rPr>
        <w:t>ies</w:t>
      </w:r>
      <w:r>
        <w:rPr>
          <w:bCs w:val="0"/>
        </w:rPr>
        <w:t xml:space="preserve"> regulation</w:t>
      </w:r>
      <w:r w:rsidR="0089056D">
        <w:rPr>
          <w:bCs w:val="0"/>
        </w:rPr>
        <w:t> </w:t>
      </w:r>
      <w:r>
        <w:rPr>
          <w:bCs w:val="0"/>
        </w:rPr>
        <w:t xml:space="preserve">42 by providing that the Chairperson may, from time to time, by notice in writing to all members, convene a meeting of the Committee. </w:t>
      </w:r>
      <w:r w:rsidR="0089056D">
        <w:rPr>
          <w:bCs w:val="0"/>
        </w:rPr>
        <w:t xml:space="preserve"> </w:t>
      </w:r>
      <w:r>
        <w:rPr>
          <w:bCs w:val="0"/>
        </w:rPr>
        <w:t>Other detail provided for in regulation</w:t>
      </w:r>
      <w:r w:rsidR="00576C42">
        <w:rPr>
          <w:bCs w:val="0"/>
        </w:rPr>
        <w:t> </w:t>
      </w:r>
      <w:r>
        <w:rPr>
          <w:bCs w:val="0"/>
        </w:rPr>
        <w:t>42 is removed, in order to simply rely on section</w:t>
      </w:r>
      <w:r w:rsidR="0089056D">
        <w:rPr>
          <w:bCs w:val="0"/>
        </w:rPr>
        <w:t> </w:t>
      </w:r>
      <w:r>
        <w:rPr>
          <w:bCs w:val="0"/>
        </w:rPr>
        <w:t xml:space="preserve">33B of the </w:t>
      </w:r>
      <w:r w:rsidRPr="0089056D">
        <w:rPr>
          <w:bCs w:val="0"/>
          <w:i/>
        </w:rPr>
        <w:t>Acts Interpretation Ac</w:t>
      </w:r>
      <w:r w:rsidR="004B193D">
        <w:rPr>
          <w:bCs w:val="0"/>
          <w:i/>
        </w:rPr>
        <w:t>t </w:t>
      </w:r>
      <w:r w:rsidRPr="0089056D">
        <w:rPr>
          <w:bCs w:val="0"/>
          <w:i/>
        </w:rPr>
        <w:t>1901</w:t>
      </w:r>
      <w:r>
        <w:rPr>
          <w:bCs w:val="0"/>
        </w:rPr>
        <w:t xml:space="preserve"> (Participation in meetings by telephone, etc</w:t>
      </w:r>
      <w:r w:rsidR="00885917">
        <w:rPr>
          <w:bCs w:val="0"/>
        </w:rPr>
        <w:t>etera</w:t>
      </w:r>
      <w:r>
        <w:rPr>
          <w:bCs w:val="0"/>
        </w:rPr>
        <w:t>).</w:t>
      </w:r>
    </w:p>
    <w:p w:rsidR="00BD227A" w:rsidRPr="006675DA" w:rsidRDefault="006B206C" w:rsidP="00B50AE0">
      <w:pPr>
        <w:pStyle w:val="Headingbold0"/>
        <w:tabs>
          <w:tab w:val="left" w:pos="1134"/>
        </w:tabs>
        <w:spacing w:before="0"/>
      </w:pPr>
      <w:r>
        <w:t>Item </w:t>
      </w:r>
      <w:r w:rsidRPr="006675DA">
        <w:t>1</w:t>
      </w:r>
      <w:r w:rsidR="00BD227A" w:rsidRPr="006675DA">
        <w:t xml:space="preserve">5 </w:t>
      </w:r>
      <w:r w:rsidR="002E71FE">
        <w:t>-</w:t>
      </w:r>
      <w:r w:rsidR="00BD227A" w:rsidRPr="006675DA">
        <w:t xml:space="preserve"> Regulations 44 and 45</w:t>
      </w:r>
    </w:p>
    <w:p w:rsidR="00BB2DFC" w:rsidRDefault="00BB2DFC" w:rsidP="00B50AE0">
      <w:pPr>
        <w:pStyle w:val="Textbody0"/>
      </w:pPr>
      <w:r>
        <w:t>Regulations 44 and</w:t>
      </w:r>
      <w:r w:rsidR="00576C42">
        <w:t> </w:t>
      </w:r>
      <w:r>
        <w:t xml:space="preserve">45 refer to voting and disclosure of pecuniary interests by the Chairperson and members of the PBAC.  </w:t>
      </w:r>
      <w:r w:rsidR="009D46DC">
        <w:t>This item replace</w:t>
      </w:r>
      <w:r w:rsidR="004B193D">
        <w:t>s</w:t>
      </w:r>
      <w:r w:rsidR="009D46DC">
        <w:t xml:space="preserve"> </w:t>
      </w:r>
      <w:proofErr w:type="spellStart"/>
      <w:r w:rsidR="009D46DC">
        <w:t>subregulations</w:t>
      </w:r>
      <w:proofErr w:type="spellEnd"/>
      <w:r w:rsidR="009D46DC">
        <w:t> 44 and 45</w:t>
      </w:r>
      <w:r w:rsidR="00CF71B5">
        <w:t>, which continue to have the same effect, but now also reflect the new role of Deputy Chairperson.</w:t>
      </w:r>
      <w:r w:rsidR="009D46DC">
        <w:t xml:space="preserve"> </w:t>
      </w:r>
      <w:r w:rsidR="00576C42">
        <w:t xml:space="preserve"> </w:t>
      </w:r>
      <w:r w:rsidR="00DE5EA7">
        <w:t>The amendments make use</w:t>
      </w:r>
      <w:r w:rsidR="004B193D">
        <w:t xml:space="preserve"> of </w:t>
      </w:r>
      <w:r w:rsidR="00DE5EA7">
        <w:t>‘member’ to include all PBAC members, including the Chairperson and Deputy Chairperson, whenever possible, to keep the wording simple and avoid repetition.</w:t>
      </w:r>
    </w:p>
    <w:p w:rsidR="003F0B3F" w:rsidRPr="006675DA" w:rsidRDefault="003F0B3F" w:rsidP="003F0B3F">
      <w:pPr>
        <w:pStyle w:val="ActHead5"/>
        <w:spacing w:before="0" w:after="60"/>
      </w:pPr>
      <w:bookmarkStart w:id="4" w:name="_Toc424565512"/>
      <w:r w:rsidRPr="006675DA">
        <w:rPr>
          <w:rStyle w:val="CharSectno"/>
        </w:rPr>
        <w:t>44</w:t>
      </w:r>
      <w:r w:rsidRPr="006675DA">
        <w:t xml:space="preserve">  Voting</w:t>
      </w:r>
      <w:bookmarkEnd w:id="4"/>
    </w:p>
    <w:p w:rsidR="005C5C44" w:rsidRDefault="00BB2DFC" w:rsidP="005C5C44">
      <w:pPr>
        <w:pStyle w:val="Textbody0"/>
      </w:pPr>
      <w:r>
        <w:t>Subregulation 44(1) provides that at a meeting of the Committee, the Chairperson and other members present each have a deliberative vote.</w:t>
      </w:r>
      <w:r w:rsidR="00547E56">
        <w:t xml:space="preserve">  </w:t>
      </w:r>
      <w:r>
        <w:t>This item amend</w:t>
      </w:r>
      <w:r w:rsidR="004B193D">
        <w:t>s</w:t>
      </w:r>
      <w:r>
        <w:t xml:space="preserve"> </w:t>
      </w:r>
      <w:r w:rsidR="00547E56">
        <w:t xml:space="preserve">the provision </w:t>
      </w:r>
      <w:r>
        <w:t xml:space="preserve">to </w:t>
      </w:r>
      <w:r w:rsidR="005C5C44">
        <w:t>read that at a meeting of the Committee, the members present each have a deliberative vote.</w:t>
      </w:r>
      <w:r w:rsidR="00DE5EA7">
        <w:t xml:space="preserve"> </w:t>
      </w:r>
      <w:r w:rsidR="00576C42">
        <w:t xml:space="preserve"> </w:t>
      </w:r>
      <w:r w:rsidR="00DE5EA7">
        <w:t xml:space="preserve">The reference to members includes the Chairperson and the Deputy Chairperson. </w:t>
      </w:r>
    </w:p>
    <w:p w:rsidR="00576C42" w:rsidRDefault="00547E56" w:rsidP="00B50AE0">
      <w:pPr>
        <w:pStyle w:val="Textbody0"/>
      </w:pPr>
      <w:r>
        <w:t xml:space="preserve">Subregulation 44(2) provides that a decision at a meeting must be determined by a majority of the votes of the Chairperson and other members present and voting.  </w:t>
      </w:r>
      <w:r w:rsidR="001D4CDD">
        <w:t>The provision</w:t>
      </w:r>
      <w:r>
        <w:t xml:space="preserve"> </w:t>
      </w:r>
      <w:r w:rsidR="004B193D">
        <w:t>is</w:t>
      </w:r>
      <w:r w:rsidR="001D4CDD">
        <w:t xml:space="preserve"> </w:t>
      </w:r>
      <w:r>
        <w:t>revis</w:t>
      </w:r>
      <w:r w:rsidR="001D4CDD">
        <w:t>ed</w:t>
      </w:r>
      <w:r>
        <w:t xml:space="preserve"> to refer </w:t>
      </w:r>
      <w:r w:rsidR="001D4CDD">
        <w:t xml:space="preserve">more simply </w:t>
      </w:r>
      <w:r>
        <w:t xml:space="preserve">to a majority of the votes of the members present and voting. </w:t>
      </w:r>
      <w:r w:rsidR="001D4CDD">
        <w:t xml:space="preserve"> </w:t>
      </w:r>
    </w:p>
    <w:p w:rsidR="005F45C1" w:rsidRDefault="005F45C1" w:rsidP="00B50AE0">
      <w:pPr>
        <w:pStyle w:val="Textbody0"/>
      </w:pPr>
      <w:r>
        <w:t xml:space="preserve">Subregulation 44(3) relates to the situation where an equal number of votes is cast for and against a matter at a meeting and provides that the Chairperson, or the member elected to preside at the meeting, may exercise a casting vote, or that if they decline to do so, the matter is resolved in the negative.  </w:t>
      </w:r>
    </w:p>
    <w:p w:rsidR="003F0B3F" w:rsidRDefault="004B193D" w:rsidP="00B50AE0">
      <w:pPr>
        <w:pStyle w:val="Textbody0"/>
      </w:pPr>
      <w:r>
        <w:t>S</w:t>
      </w:r>
      <w:r w:rsidR="005F45C1">
        <w:t xml:space="preserve">ubregulation 44(3) </w:t>
      </w:r>
      <w:r>
        <w:t xml:space="preserve">is amended </w:t>
      </w:r>
      <w:r w:rsidR="005F45C1">
        <w:t xml:space="preserve">in a similar fashion to </w:t>
      </w:r>
      <w:proofErr w:type="spellStart"/>
      <w:r w:rsidR="005F45C1">
        <w:t>subregulations</w:t>
      </w:r>
      <w:proofErr w:type="spellEnd"/>
      <w:r w:rsidR="005F45C1">
        <w:t> 44(1) and</w:t>
      </w:r>
      <w:r w:rsidR="00576C42">
        <w:t> </w:t>
      </w:r>
      <w:r w:rsidR="005F45C1">
        <w:t xml:space="preserve">(2) to </w:t>
      </w:r>
      <w:r w:rsidR="00492FFC">
        <w:t xml:space="preserve">change </w:t>
      </w:r>
      <w:r w:rsidR="005F45C1">
        <w:t>refer</w:t>
      </w:r>
      <w:r w:rsidR="00492FFC">
        <w:t xml:space="preserve">ences to the Chairperson, or member appointed to preside </w:t>
      </w:r>
      <w:r w:rsidR="003F0B3F">
        <w:t xml:space="preserve">to refer </w:t>
      </w:r>
      <w:r w:rsidR="005F45C1">
        <w:t xml:space="preserve">more generally to the member presiding at the meeting.  </w:t>
      </w:r>
      <w:r w:rsidR="00492FFC">
        <w:t xml:space="preserve">This more general reference would also accommodate a Deputy Chairperson presiding in the Chairperson’s absence.  </w:t>
      </w:r>
    </w:p>
    <w:p w:rsidR="002F1264" w:rsidRDefault="002F1264" w:rsidP="00B50AE0">
      <w:pPr>
        <w:pStyle w:val="Textbody0"/>
      </w:pPr>
      <w:r>
        <w:t>Subregulation</w:t>
      </w:r>
      <w:r w:rsidR="00576C42">
        <w:t> </w:t>
      </w:r>
      <w:r>
        <w:t>44(4) provide</w:t>
      </w:r>
      <w:r w:rsidR="004B193D">
        <w:t>s</w:t>
      </w:r>
      <w:r>
        <w:t xml:space="preserve"> that decisions of the Committee must be recorded in the minutes of the Committee. </w:t>
      </w:r>
      <w:r w:rsidR="00576C42">
        <w:t xml:space="preserve"> </w:t>
      </w:r>
      <w:r>
        <w:t>This is the same as current subregulation 44(4) of the Principal Regulations.</w:t>
      </w:r>
    </w:p>
    <w:p w:rsidR="00BD227A" w:rsidRPr="006675DA" w:rsidRDefault="00BD227A" w:rsidP="0039771F">
      <w:pPr>
        <w:pStyle w:val="ActHead5"/>
        <w:spacing w:before="0" w:after="60"/>
      </w:pPr>
      <w:bookmarkStart w:id="5" w:name="_Toc424565513"/>
      <w:r w:rsidRPr="006675DA">
        <w:rPr>
          <w:rStyle w:val="CharSectno"/>
        </w:rPr>
        <w:t>45</w:t>
      </w:r>
      <w:r w:rsidRPr="006675DA">
        <w:t xml:space="preserve">  Disclosure of pecuniary interests by members</w:t>
      </w:r>
      <w:bookmarkEnd w:id="5"/>
    </w:p>
    <w:p w:rsidR="007F28CF" w:rsidRDefault="007F28CF" w:rsidP="0039771F">
      <w:pPr>
        <w:pStyle w:val="Textbody0"/>
      </w:pPr>
      <w:r>
        <w:t xml:space="preserve">Regulation 45 </w:t>
      </w:r>
      <w:r w:rsidR="002D4D5F">
        <w:t>relates to disclosure of pecuniary interests by PBAC members.</w:t>
      </w:r>
      <w:r w:rsidR="004664F9">
        <w:t xml:space="preserve"> </w:t>
      </w:r>
      <w:r w:rsidR="00576C42">
        <w:t xml:space="preserve"> </w:t>
      </w:r>
      <w:r w:rsidR="004664F9">
        <w:t>The heading to regulation</w:t>
      </w:r>
      <w:r w:rsidR="00576C42">
        <w:t> </w:t>
      </w:r>
      <w:r w:rsidR="004664F9">
        <w:t xml:space="preserve">45 </w:t>
      </w:r>
      <w:r w:rsidR="004B193D">
        <w:t>is</w:t>
      </w:r>
      <w:r w:rsidR="002D4D5F">
        <w:t xml:space="preserve"> simplified by removing reference to ‘Chairperson’ and simply referring to ‘members’ (which includes the Chairperson). </w:t>
      </w:r>
    </w:p>
    <w:p w:rsidR="004664F9" w:rsidRDefault="004664F9" w:rsidP="0039771F">
      <w:pPr>
        <w:pStyle w:val="Textbody0"/>
      </w:pPr>
      <w:r>
        <w:t xml:space="preserve">Although the obligations remain the same, the simplified drafting allows the role of Deputy Chairperson to be incorporated, and reduces the length of the regulation. </w:t>
      </w:r>
    </w:p>
    <w:p w:rsidR="00BD227A" w:rsidRDefault="0039771F" w:rsidP="0045124D">
      <w:pPr>
        <w:pStyle w:val="Headingbold0"/>
        <w:tabs>
          <w:tab w:val="left" w:pos="1134"/>
        </w:tabs>
        <w:spacing w:before="0"/>
      </w:pPr>
      <w:r>
        <w:t>Item </w:t>
      </w:r>
      <w:r w:rsidRPr="006675DA">
        <w:t>1</w:t>
      </w:r>
      <w:r w:rsidR="0045124D">
        <w:t>6</w:t>
      </w:r>
      <w:r w:rsidR="00BD227A" w:rsidRPr="006675DA">
        <w:t xml:space="preserve"> </w:t>
      </w:r>
      <w:r w:rsidR="0045124D">
        <w:t xml:space="preserve">- </w:t>
      </w:r>
      <w:r w:rsidR="00BD227A" w:rsidRPr="006675DA">
        <w:t>At the end of Part 8</w:t>
      </w:r>
    </w:p>
    <w:p w:rsidR="008D0B39" w:rsidRPr="00590807" w:rsidRDefault="008D0B39" w:rsidP="00576C42">
      <w:pPr>
        <w:pStyle w:val="PlainText"/>
      </w:pPr>
      <w:r w:rsidRPr="00576C42">
        <w:rPr>
          <w:rFonts w:ascii="Times New Roman" w:hAnsi="Times New Roman" w:cs="Times New Roman"/>
          <w:b/>
          <w:sz w:val="24"/>
          <w:szCs w:val="24"/>
        </w:rPr>
        <w:t>Division 5 – Provisions for the National Health (Pharmaceutical Benefits) Amendment (2015 Measures No.1) Regulation 2015</w:t>
      </w:r>
    </w:p>
    <w:p w:rsidR="008D0B39" w:rsidRPr="00590807" w:rsidRDefault="008D0B39" w:rsidP="00576C42">
      <w:pPr>
        <w:pStyle w:val="PlainText"/>
      </w:pPr>
      <w:r>
        <w:rPr>
          <w:rFonts w:ascii="Times New Roman" w:hAnsi="Times New Roman" w:cs="Times New Roman"/>
          <w:b/>
          <w:sz w:val="24"/>
          <w:szCs w:val="24"/>
        </w:rPr>
        <w:t>62</w:t>
      </w:r>
      <w:r>
        <w:rPr>
          <w:rFonts w:ascii="Times New Roman" w:hAnsi="Times New Roman" w:cs="Times New Roman"/>
          <w:b/>
          <w:sz w:val="24"/>
          <w:szCs w:val="24"/>
        </w:rPr>
        <w:tab/>
      </w:r>
      <w:r w:rsidRPr="00576C42">
        <w:rPr>
          <w:rFonts w:ascii="Times New Roman" w:hAnsi="Times New Roman" w:cs="Times New Roman"/>
          <w:b/>
          <w:sz w:val="24"/>
          <w:szCs w:val="24"/>
        </w:rPr>
        <w:t xml:space="preserve">Application </w:t>
      </w:r>
    </w:p>
    <w:p w:rsidR="00BD227A" w:rsidRDefault="0045124D" w:rsidP="0045124D">
      <w:pPr>
        <w:pStyle w:val="Textbody0"/>
        <w:rPr>
          <w:bCs w:val="0"/>
        </w:rPr>
      </w:pPr>
      <w:r>
        <w:t>This item is an application provision and provide</w:t>
      </w:r>
      <w:r w:rsidR="004B193D">
        <w:t>s</w:t>
      </w:r>
      <w:r>
        <w:t xml:space="preserve"> that the amendments made by items 5 and 6 of this regulation in relation to </w:t>
      </w:r>
      <w:r w:rsidR="00B252C2">
        <w:t>new</w:t>
      </w:r>
      <w:r>
        <w:t xml:space="preserve"> regulation 37SA </w:t>
      </w:r>
      <w:r w:rsidR="004B193D">
        <w:t xml:space="preserve">do </w:t>
      </w:r>
      <w:r>
        <w:t>not apply to a data collection period that ends before 30 September 2015.  This has the effect that the provision</w:t>
      </w:r>
      <w:r w:rsidR="008D7321">
        <w:t>s</w:t>
      </w:r>
      <w:r>
        <w:t xml:space="preserve"> made by item 5</w:t>
      </w:r>
      <w:r w:rsidR="00C800CE">
        <w:t>,</w:t>
      </w:r>
      <w:r>
        <w:t xml:space="preserve"> that </w:t>
      </w:r>
      <w:r w:rsidR="008D7321">
        <w:t xml:space="preserve">the application of the weighted average disclosed price for a brand is subject to </w:t>
      </w:r>
      <w:r w:rsidR="00C800CE">
        <w:t xml:space="preserve">new </w:t>
      </w:r>
      <w:r>
        <w:rPr>
          <w:bCs w:val="0"/>
        </w:rPr>
        <w:t>regulation 37SA</w:t>
      </w:r>
      <w:r w:rsidR="004B193D">
        <w:rPr>
          <w:bCs w:val="0"/>
        </w:rPr>
        <w:t>,</w:t>
      </w:r>
      <w:r>
        <w:rPr>
          <w:bCs w:val="0"/>
        </w:rPr>
        <w:t xml:space="preserve"> </w:t>
      </w:r>
      <w:r w:rsidR="008D7321">
        <w:rPr>
          <w:bCs w:val="0"/>
        </w:rPr>
        <w:t>and by item 6</w:t>
      </w:r>
      <w:r w:rsidR="00C800CE">
        <w:rPr>
          <w:bCs w:val="0"/>
        </w:rPr>
        <w:t>,</w:t>
      </w:r>
      <w:r w:rsidR="008D7321">
        <w:rPr>
          <w:bCs w:val="0"/>
        </w:rPr>
        <w:t xml:space="preserve"> that sets out in </w:t>
      </w:r>
      <w:r w:rsidR="00C800CE">
        <w:rPr>
          <w:bCs w:val="0"/>
        </w:rPr>
        <w:t>new</w:t>
      </w:r>
      <w:r w:rsidR="008D7321">
        <w:rPr>
          <w:bCs w:val="0"/>
        </w:rPr>
        <w:t xml:space="preserve"> regulation 37SA </w:t>
      </w:r>
      <w:r>
        <w:rPr>
          <w:bCs w:val="0"/>
        </w:rPr>
        <w:t>when the weighted average disclosed price of a listed brand of a pharmaceutical item calculated under regulation 37S is taken to be the amount of the applicable approved ex</w:t>
      </w:r>
      <w:r>
        <w:rPr>
          <w:bCs w:val="0"/>
        </w:rPr>
        <w:noBreakHyphen/>
        <w:t>manufacturer price of the brand</w:t>
      </w:r>
      <w:r w:rsidR="008D7321">
        <w:rPr>
          <w:bCs w:val="0"/>
        </w:rPr>
        <w:t>, do not apply until the data collection period ending 30 September 2015.</w:t>
      </w:r>
    </w:p>
    <w:p w:rsidR="00E376BD" w:rsidRDefault="00E376BD">
      <w:pPr>
        <w:spacing w:before="0"/>
      </w:pPr>
      <w:r>
        <w:br w:type="page"/>
      </w:r>
    </w:p>
    <w:p w:rsidR="00E376BD" w:rsidRDefault="00E376BD" w:rsidP="00DC337F">
      <w:pPr>
        <w:shd w:val="clear" w:color="auto" w:fill="FFFFFF" w:themeFill="background1"/>
        <w:spacing w:after="120"/>
        <w:jc w:val="center"/>
        <w:rPr>
          <w:b/>
        </w:rPr>
      </w:pPr>
      <w:r w:rsidRPr="00D41E19">
        <w:rPr>
          <w:b/>
        </w:rPr>
        <w:t>Statement of Compatibility with Human Rights</w:t>
      </w:r>
    </w:p>
    <w:p w:rsidR="00E376BD" w:rsidRPr="00D41E19" w:rsidRDefault="00E376BD" w:rsidP="00DC337F">
      <w:pPr>
        <w:shd w:val="clear" w:color="auto" w:fill="FFFFFF" w:themeFill="background1"/>
        <w:spacing w:after="240"/>
        <w:jc w:val="center"/>
      </w:pPr>
      <w:r w:rsidRPr="00D41E19">
        <w:rPr>
          <w:i/>
        </w:rPr>
        <w:t>Prepared in accordance with Part 3 of the Human Rights (Parliamentary Scrutiny) Act 2011</w:t>
      </w:r>
    </w:p>
    <w:p w:rsidR="00E376BD" w:rsidRDefault="00E376BD" w:rsidP="00DC337F">
      <w:pPr>
        <w:shd w:val="clear" w:color="auto" w:fill="FFFFFF" w:themeFill="background1"/>
        <w:spacing w:before="120" w:after="180"/>
        <w:ind w:right="-612" w:hanging="142"/>
        <w:jc w:val="center"/>
        <w:rPr>
          <w:b/>
        </w:rPr>
      </w:pPr>
      <w:r w:rsidRPr="00C800CE">
        <w:rPr>
          <w:b/>
        </w:rPr>
        <w:t>National Health (Pharmaceutical Benefits) Amendment (2015 Measures No. 1) Regulation 2015</w:t>
      </w:r>
    </w:p>
    <w:p w:rsidR="00E376BD" w:rsidRDefault="00E376BD" w:rsidP="00DC337F">
      <w:pPr>
        <w:shd w:val="clear" w:color="auto" w:fill="FFFFFF" w:themeFill="background1"/>
        <w:spacing w:before="120" w:after="180"/>
      </w:pPr>
      <w:r w:rsidRPr="00D41E19">
        <w:t xml:space="preserve">This Legislative Instrument is compatible with the human rights and freedoms recognised or declared in the international instruments listed in section 3 of the </w:t>
      </w:r>
      <w:r w:rsidRPr="00D41E19">
        <w:rPr>
          <w:i/>
        </w:rPr>
        <w:t>Human Rights (Parliamentary Scrutiny) Act 2011</w:t>
      </w:r>
      <w:r w:rsidRPr="00D41E19">
        <w:t>.</w:t>
      </w:r>
    </w:p>
    <w:p w:rsidR="00E376BD" w:rsidRPr="00D41E19" w:rsidRDefault="00E376BD" w:rsidP="00DC337F">
      <w:pPr>
        <w:shd w:val="clear" w:color="auto" w:fill="FFFFFF" w:themeFill="background1"/>
        <w:spacing w:before="120"/>
        <w:jc w:val="both"/>
        <w:rPr>
          <w:b/>
        </w:rPr>
      </w:pPr>
      <w:r w:rsidRPr="00D41E19">
        <w:rPr>
          <w:b/>
        </w:rPr>
        <w:t>Overview of the Legislative Instrument</w:t>
      </w:r>
    </w:p>
    <w:p w:rsidR="00E376BD" w:rsidRDefault="00E376BD" w:rsidP="00DC337F">
      <w:pPr>
        <w:shd w:val="clear" w:color="auto" w:fill="FFFFFF" w:themeFill="background1"/>
        <w:spacing w:before="0" w:after="180"/>
        <w:ind w:right="-187"/>
      </w:pPr>
      <w:r w:rsidRPr="00D41E19">
        <w:t xml:space="preserve">The </w:t>
      </w:r>
      <w:r w:rsidRPr="006C0D39">
        <w:rPr>
          <w:i/>
        </w:rPr>
        <w:t>National Health (Pharmaceutical Benefits) Amendment (2015 Measures No. 1) Regulation</w:t>
      </w:r>
      <w:r>
        <w:rPr>
          <w:i/>
        </w:rPr>
        <w:t> </w:t>
      </w:r>
      <w:r w:rsidRPr="006C0D39">
        <w:rPr>
          <w:i/>
        </w:rPr>
        <w:t>2015</w:t>
      </w:r>
      <w:r w:rsidRPr="00D41E19">
        <w:t xml:space="preserve"> </w:t>
      </w:r>
      <w:r>
        <w:t xml:space="preserve">(the Regulation) </w:t>
      </w:r>
      <w:r w:rsidRPr="00D41E19">
        <w:rPr>
          <w:lang w:val="en-US"/>
        </w:rPr>
        <w:t xml:space="preserve">amends the </w:t>
      </w:r>
      <w:r w:rsidRPr="00D41E19">
        <w:rPr>
          <w:i/>
          <w:lang w:val="en-US"/>
        </w:rPr>
        <w:t>National Health</w:t>
      </w:r>
      <w:r w:rsidRPr="00D41E19">
        <w:rPr>
          <w:lang w:val="en-US"/>
        </w:rPr>
        <w:t xml:space="preserve"> </w:t>
      </w:r>
      <w:r w:rsidRPr="00D41E19">
        <w:rPr>
          <w:i/>
        </w:rPr>
        <w:t>(Pharm</w:t>
      </w:r>
      <w:r>
        <w:rPr>
          <w:i/>
        </w:rPr>
        <w:t>aceutical Benefits) Regulations </w:t>
      </w:r>
      <w:r w:rsidRPr="00D41E19">
        <w:rPr>
          <w:i/>
        </w:rPr>
        <w:t xml:space="preserve">1960 </w:t>
      </w:r>
      <w:r w:rsidRPr="00D41E19">
        <w:t xml:space="preserve">(the </w:t>
      </w:r>
      <w:r>
        <w:t xml:space="preserve">Principal </w:t>
      </w:r>
      <w:r w:rsidRPr="00D41E19">
        <w:t xml:space="preserve">Regulations) to </w:t>
      </w:r>
      <w:r>
        <w:t xml:space="preserve">support </w:t>
      </w:r>
      <w:r w:rsidRPr="00D41E19">
        <w:t xml:space="preserve">amendments to the </w:t>
      </w:r>
      <w:r w:rsidRPr="00D41E19">
        <w:rPr>
          <w:i/>
        </w:rPr>
        <w:t xml:space="preserve">National </w:t>
      </w:r>
      <w:r>
        <w:rPr>
          <w:i/>
        </w:rPr>
        <w:t>Health Act </w:t>
      </w:r>
      <w:r w:rsidRPr="00D41E19">
        <w:rPr>
          <w:i/>
        </w:rPr>
        <w:t xml:space="preserve">1953 </w:t>
      </w:r>
      <w:r w:rsidRPr="00D41E19">
        <w:t xml:space="preserve">(the Act) made by the </w:t>
      </w:r>
      <w:r w:rsidRPr="006C0D39">
        <w:rPr>
          <w:i/>
        </w:rPr>
        <w:t>National Health Amendment (Pharmaceutical Benefits) Act 2015</w:t>
      </w:r>
      <w:r>
        <w:t xml:space="preserve"> (the Amending Act).</w:t>
      </w:r>
    </w:p>
    <w:p w:rsidR="00E376BD" w:rsidRDefault="00E376BD" w:rsidP="00DC337F">
      <w:pPr>
        <w:shd w:val="clear" w:color="auto" w:fill="FFFFFF" w:themeFill="background1"/>
        <w:spacing w:before="0" w:after="180"/>
        <w:ind w:right="-187"/>
      </w:pPr>
      <w:r w:rsidRPr="00230D84">
        <w:t>The</w:t>
      </w:r>
      <w:r>
        <w:t xml:space="preserve"> </w:t>
      </w:r>
      <w:r>
        <w:rPr>
          <w:lang w:val="en-US"/>
        </w:rPr>
        <w:t>Pharmaceutical Benefits Scheme (PBS)</w:t>
      </w:r>
      <w:r>
        <w:t xml:space="preserve"> provides Australians with timely, reliable and affordable access to necessary and cost-effective medicines.  The PBS operates under Part VII of the Act </w:t>
      </w:r>
      <w:r w:rsidR="002923A0">
        <w:t>which</w:t>
      </w:r>
      <w:r w:rsidR="000A5FC1">
        <w:t xml:space="preserve"> </w:t>
      </w:r>
      <w:r>
        <w:t>regulates the listing, prescribing, pricing, charging and payment of subsidies for supply of drugs and medicinal preparations as pharmaceutical benefits.  The Principal Regulations prescribe matters and set out details in relation to the operation of the PBS.</w:t>
      </w:r>
    </w:p>
    <w:p w:rsidR="00E376BD" w:rsidRDefault="00E376BD" w:rsidP="00DC337F">
      <w:pPr>
        <w:shd w:val="clear" w:color="auto" w:fill="FFFFFF" w:themeFill="background1"/>
        <w:spacing w:before="0" w:after="180"/>
        <w:ind w:right="-45"/>
        <w:rPr>
          <w:snapToGrid w:val="0"/>
          <w:color w:val="000000"/>
        </w:rPr>
      </w:pPr>
      <w:r>
        <w:rPr>
          <w:lang w:val="en-US"/>
        </w:rPr>
        <w:t xml:space="preserve">The amendments made by the Amending Act and the Regulation are necessary to implement measures contained in the PBS Access and Sustainability Package announced by the Australian Government in May 2015.  </w:t>
      </w:r>
      <w:r w:rsidRPr="00A72275">
        <w:rPr>
          <w:snapToGrid w:val="0"/>
          <w:color w:val="000000"/>
        </w:rPr>
        <w:t xml:space="preserve">The </w:t>
      </w:r>
      <w:r>
        <w:rPr>
          <w:snapToGrid w:val="0"/>
          <w:color w:val="000000"/>
        </w:rPr>
        <w:t>measures</w:t>
      </w:r>
      <w:r w:rsidRPr="00A72275">
        <w:rPr>
          <w:snapToGrid w:val="0"/>
          <w:color w:val="000000"/>
        </w:rPr>
        <w:t xml:space="preserve"> establish community pharmacy funding through the Sixth Community Pharmacy Agreement, change pricing arrangements for PBS medicines</w:t>
      </w:r>
      <w:r>
        <w:rPr>
          <w:snapToGrid w:val="0"/>
          <w:color w:val="000000"/>
        </w:rPr>
        <w:t>,</w:t>
      </w:r>
      <w:r w:rsidRPr="00A72275">
        <w:rPr>
          <w:snapToGrid w:val="0"/>
          <w:color w:val="000000"/>
        </w:rPr>
        <w:t xml:space="preserve"> and facilitate improvements</w:t>
      </w:r>
      <w:r>
        <w:rPr>
          <w:snapToGrid w:val="0"/>
          <w:color w:val="000000"/>
        </w:rPr>
        <w:t xml:space="preserve"> to the pharmaceutical sector.</w:t>
      </w:r>
    </w:p>
    <w:p w:rsidR="00E376BD" w:rsidRDefault="00E376BD" w:rsidP="00DC337F">
      <w:pPr>
        <w:shd w:val="clear" w:color="auto" w:fill="FFFFFF" w:themeFill="background1"/>
        <w:spacing w:before="0" w:after="180"/>
        <w:ind w:right="91"/>
        <w:rPr>
          <w:lang w:val="en-US"/>
        </w:rPr>
      </w:pPr>
      <w:r>
        <w:rPr>
          <w:lang w:val="en-US"/>
        </w:rPr>
        <w:t>The amendments in the Regulation relate to supply intervals for repeat supplies of PBS medicines</w:t>
      </w:r>
      <w:r>
        <w:t>,</w:t>
      </w:r>
      <w:r>
        <w:rPr>
          <w:lang w:val="en-US"/>
        </w:rPr>
        <w:t xml:space="preserve"> removal of the originator brand from price disclosure weighted average price calculations, and changes to </w:t>
      </w:r>
      <w:r>
        <w:t>Pharmaceutical Benefits Advisory Committee (PBAC) membership arrangements.</w:t>
      </w:r>
    </w:p>
    <w:p w:rsidR="00E376BD" w:rsidRPr="00D41E19" w:rsidRDefault="00E376BD" w:rsidP="00DC337F">
      <w:pPr>
        <w:shd w:val="clear" w:color="auto" w:fill="FFFFFF" w:themeFill="background1"/>
        <w:spacing w:before="120"/>
        <w:rPr>
          <w:b/>
        </w:rPr>
      </w:pPr>
      <w:r w:rsidRPr="00D41E19">
        <w:rPr>
          <w:b/>
        </w:rPr>
        <w:t>Human rights implications</w:t>
      </w:r>
    </w:p>
    <w:p w:rsidR="00E376BD" w:rsidRPr="00D41E19" w:rsidRDefault="00E376BD" w:rsidP="00DC337F">
      <w:pPr>
        <w:shd w:val="clear" w:color="auto" w:fill="FFFFFF" w:themeFill="background1"/>
        <w:spacing w:before="0" w:after="180"/>
      </w:pPr>
      <w:r w:rsidRPr="00D41E19">
        <w:t xml:space="preserve">This legislative instrument </w:t>
      </w:r>
      <w:r>
        <w:t>is compatible with</w:t>
      </w:r>
      <w:r w:rsidRPr="00D41E19">
        <w:t xml:space="preserve"> Articles 2 and 12 of the International Covenant on Econom</w:t>
      </w:r>
      <w:r>
        <w:t xml:space="preserve">ic, Social and Cultural Rights </w:t>
      </w:r>
      <w:r w:rsidRPr="00D41E19">
        <w:t>by assisting with the progressive realisation by all appropriate means of the right of everyone to the enjoyment of the highest attainable standard of physical and mental health.</w:t>
      </w:r>
    </w:p>
    <w:p w:rsidR="00E376BD" w:rsidRDefault="00E376BD" w:rsidP="00DC337F">
      <w:pPr>
        <w:shd w:val="clear" w:color="auto" w:fill="FFFFFF" w:themeFill="background1"/>
        <w:spacing w:before="0" w:after="180"/>
      </w:pPr>
      <w:r w:rsidRPr="00D41E19">
        <w:t>The PBS assists with advancement of this human right by providing subsidised access to medicines</w:t>
      </w:r>
      <w:r>
        <w:t xml:space="preserve"> for Australians</w:t>
      </w:r>
      <w:r w:rsidRPr="00D41E19">
        <w:t>.</w:t>
      </w:r>
    </w:p>
    <w:p w:rsidR="00E376BD" w:rsidRDefault="00E376BD" w:rsidP="00DC337F">
      <w:pPr>
        <w:shd w:val="clear" w:color="auto" w:fill="FFFFFF" w:themeFill="background1"/>
        <w:spacing w:before="0" w:after="180"/>
        <w:ind w:right="-187"/>
      </w:pPr>
      <w:r>
        <w:t xml:space="preserve">The measures in the </w:t>
      </w:r>
      <w:r>
        <w:rPr>
          <w:lang w:val="en-US"/>
        </w:rPr>
        <w:t xml:space="preserve">PBS Access and Sustainability Package </w:t>
      </w:r>
      <w:r>
        <w:t xml:space="preserve">are designed to build and maintain capacity to provide consumer access to new, and increasingly expensive, medicines as quickly as possible.  </w:t>
      </w:r>
    </w:p>
    <w:p w:rsidR="00E376BD" w:rsidRDefault="00E376BD" w:rsidP="00DC337F">
      <w:pPr>
        <w:shd w:val="clear" w:color="auto" w:fill="FFFFFF" w:themeFill="background1"/>
        <w:spacing w:before="0" w:after="180"/>
      </w:pPr>
      <w:r>
        <w:t xml:space="preserve">The Regulation changes the method for assigning intervals for repeated supplies of prescriptions.  The period that applies for ‘immediate supply’ of a medicine under the circumstances prescribed in the Principal Regulations will now be the period specified in a legislative instrument made for the early </w:t>
      </w:r>
      <w:r w:rsidRPr="00D45899">
        <w:t xml:space="preserve">supply </w:t>
      </w:r>
      <w:r>
        <w:t>provisions under the Act.  The changes made by the Amending Act provide for different intervals to be specified for different medicines.  This allows the period to be better aligned to the use of a medicine and the listed quantity.  The Regulation supports implementation of those changes and provides greater clarity for consumers and pharmacists by using the same period as the supply interval for both purposes.</w:t>
      </w:r>
    </w:p>
    <w:p w:rsidR="00E376BD" w:rsidRDefault="00E376BD" w:rsidP="00DC337F">
      <w:pPr>
        <w:shd w:val="clear" w:color="auto" w:fill="FFFFFF" w:themeFill="background1"/>
        <w:spacing w:before="0" w:after="180"/>
        <w:ind w:right="91"/>
      </w:pPr>
      <w:r>
        <w:t>The Regulation prescribes when and how disclosed data regarding an originator brand are to be removed from the calculation of the weighted average disclosed price.  This would affect the weighted average price and potentially increase price reductions as originator brands tend to maintain higher prices than other brands</w:t>
      </w:r>
      <w:r w:rsidRPr="00F04875">
        <w:t>.  Adjusting a PBS price to the weighted average with an originator brand removed mean</w:t>
      </w:r>
      <w:r>
        <w:t>s</w:t>
      </w:r>
      <w:r w:rsidRPr="00F04875">
        <w:t xml:space="preserve"> that the Government price would reflect the prices at which generic brands of the medicine are being sold in the market, not the prices of all brands.  The amendments include safeguards</w:t>
      </w:r>
      <w:r>
        <w:t xml:space="preserve"> to ensure that the originator brand is included in the calculation if there were no other listed brand of a pharmaceutical item, and that price reductions do not apply in certain circumstances when there is little discounting and low sales volumes for brands of a pharmaceutical item. </w:t>
      </w:r>
    </w:p>
    <w:p w:rsidR="00E376BD" w:rsidRDefault="00E376BD" w:rsidP="00DC337F">
      <w:pPr>
        <w:shd w:val="clear" w:color="auto" w:fill="FFFFFF" w:themeFill="background1"/>
        <w:spacing w:before="0" w:after="180"/>
        <w:ind w:right="91"/>
      </w:pPr>
      <w:r w:rsidRPr="00D41E19">
        <w:t xml:space="preserve">The </w:t>
      </w:r>
      <w:r>
        <w:t xml:space="preserve">price disclosure changes </w:t>
      </w:r>
      <w:r w:rsidRPr="00D41E19">
        <w:t xml:space="preserve">will improve the operation of the PBS </w:t>
      </w:r>
      <w:r>
        <w:t>by d</w:t>
      </w:r>
      <w:r w:rsidRPr="00D41E19">
        <w:t>elivering better value for money for PBS medicines</w:t>
      </w:r>
      <w:r>
        <w:t xml:space="preserve"> through price reductions and by protecting some products from price reductions.  This will assist consumers by reducing out-of- pocket costs for some PBS medicines and helping to maintain the availability of low </w:t>
      </w:r>
      <w:r w:rsidR="000A5FC1">
        <w:t>usage</w:t>
      </w:r>
      <w:r>
        <w:t xml:space="preserve"> items.</w:t>
      </w:r>
    </w:p>
    <w:p w:rsidR="00E376BD" w:rsidRDefault="00E376BD" w:rsidP="00DC337F">
      <w:pPr>
        <w:shd w:val="clear" w:color="auto" w:fill="FFFFFF" w:themeFill="background1"/>
        <w:spacing w:before="0" w:after="180"/>
        <w:ind w:right="91"/>
      </w:pPr>
      <w:r>
        <w:t xml:space="preserve">The changes for the PBAC recognise the significant increase in the number and complexity of submissions to list medicines on the PBS.  The Amending Act increased the maximum number of members of the PBAC by three, established a new Deputy Chairperson role, and provided the option for an industry representative to be nominated and appointed as a member.  The Regulation supports implementation of those changes and the operation of the PBAC under the new membership arrangements.  Changes to PBAC membership arrangements will </w:t>
      </w:r>
      <w:r w:rsidRPr="00CE6754">
        <w:t>improve the capacity, flexibility, efficiency and transparency of PBAC processes and reduce the time to list medicines for certain types of submissions.</w:t>
      </w:r>
      <w:r>
        <w:t xml:space="preserve">  This will benefit consumers through faster access to new medicines.</w:t>
      </w:r>
    </w:p>
    <w:p w:rsidR="00E376BD" w:rsidRDefault="00E376BD" w:rsidP="00DC337F">
      <w:pPr>
        <w:shd w:val="clear" w:color="auto" w:fill="FFFFFF" w:themeFill="background1"/>
        <w:spacing w:before="0" w:after="180"/>
        <w:ind w:right="91"/>
      </w:pPr>
      <w:r>
        <w:t xml:space="preserve">The </w:t>
      </w:r>
      <w:r w:rsidRPr="00F11859">
        <w:t xml:space="preserve">PBS Access and Sustainability Package </w:t>
      </w:r>
      <w:r>
        <w:t>is the result of extensive consultation with stakeholders across the PBS supply chain.  The Government worked with more than 20 stakeholder groups to develop a package of measures that will ensure ongoing access to innovative medicines through a sustainable PBS.  Inputs and ideas were canvassed and received from all sectors and detailed negotiations were held with the pharmacy, pharmaceutical industry, and consumer organisations.</w:t>
      </w:r>
    </w:p>
    <w:p w:rsidR="00E376BD" w:rsidRPr="00F11859" w:rsidRDefault="00E376BD" w:rsidP="00DC337F">
      <w:pPr>
        <w:shd w:val="clear" w:color="auto" w:fill="FFFFFF" w:themeFill="background1"/>
        <w:spacing w:before="0" w:after="180"/>
        <w:ind w:right="91"/>
      </w:pPr>
      <w:r>
        <w:t xml:space="preserve">Together, the measures provide a fair and balanced approach.  </w:t>
      </w:r>
      <w:r w:rsidRPr="00F11859">
        <w:t xml:space="preserve">PBS benefits and savings are shared across Government, suppliers and consumers. </w:t>
      </w:r>
      <w:r>
        <w:t xml:space="preserve"> </w:t>
      </w:r>
      <w:r w:rsidRPr="00F11859">
        <w:t>Patients benefit from the changes as they support sustainable mechanisms for supply, subsidy and ongoing affordable access to medicines.</w:t>
      </w:r>
    </w:p>
    <w:p w:rsidR="00E376BD" w:rsidRPr="00D41E19" w:rsidRDefault="00E376BD" w:rsidP="00DC337F">
      <w:pPr>
        <w:shd w:val="clear" w:color="auto" w:fill="FFFFFF" w:themeFill="background1"/>
        <w:spacing w:before="120"/>
        <w:rPr>
          <w:b/>
        </w:rPr>
      </w:pPr>
      <w:r w:rsidRPr="00D41E19">
        <w:rPr>
          <w:b/>
        </w:rPr>
        <w:t xml:space="preserve">Conclusion </w:t>
      </w:r>
    </w:p>
    <w:p w:rsidR="00E376BD" w:rsidRPr="00D41E19" w:rsidRDefault="00E376BD" w:rsidP="00DC337F">
      <w:pPr>
        <w:shd w:val="clear" w:color="auto" w:fill="FFFFFF" w:themeFill="background1"/>
        <w:autoSpaceDE w:val="0"/>
        <w:autoSpaceDN w:val="0"/>
        <w:adjustRightInd w:val="0"/>
        <w:spacing w:before="0"/>
      </w:pPr>
      <w:r w:rsidRPr="00D41E19">
        <w:t xml:space="preserve">This Legislative Instrument is compatible with human rights </w:t>
      </w:r>
      <w:r>
        <w:t xml:space="preserve">as it </w:t>
      </w:r>
      <w:r w:rsidR="002923A0">
        <w:t>advances the protection of human rights</w:t>
      </w:r>
      <w:r>
        <w:t>.</w:t>
      </w:r>
    </w:p>
    <w:p w:rsidR="00E376BD" w:rsidRDefault="00E376BD" w:rsidP="00DC337F">
      <w:pPr>
        <w:pStyle w:val="ListParagraph"/>
        <w:widowControl w:val="0"/>
        <w:shd w:val="clear" w:color="auto" w:fill="FFFFFF" w:themeFill="background1"/>
        <w:tabs>
          <w:tab w:val="left" w:pos="3119"/>
        </w:tabs>
        <w:spacing w:line="300" w:lineRule="atLeast"/>
        <w:jc w:val="center"/>
        <w:rPr>
          <w:b/>
          <w:sz w:val="24"/>
          <w:szCs w:val="24"/>
        </w:rPr>
      </w:pPr>
    </w:p>
    <w:p w:rsidR="00E376BD" w:rsidRPr="00D41E19" w:rsidRDefault="00E376BD" w:rsidP="00DC337F">
      <w:pPr>
        <w:widowControl w:val="0"/>
        <w:shd w:val="clear" w:color="auto" w:fill="FFFFFF" w:themeFill="background1"/>
        <w:tabs>
          <w:tab w:val="left" w:pos="3119"/>
        </w:tabs>
        <w:spacing w:before="0"/>
        <w:jc w:val="center"/>
        <w:rPr>
          <w:rFonts w:eastAsia="Calibri"/>
          <w:b/>
          <w:lang w:eastAsia="en-US"/>
        </w:rPr>
      </w:pPr>
      <w:r w:rsidRPr="00D41E19">
        <w:rPr>
          <w:b/>
        </w:rPr>
        <w:t xml:space="preserve">The Hon. </w:t>
      </w:r>
      <w:proofErr w:type="spellStart"/>
      <w:r>
        <w:rPr>
          <w:b/>
        </w:rPr>
        <w:t>Su</w:t>
      </w:r>
      <w:r w:rsidR="004F5583">
        <w:rPr>
          <w:b/>
        </w:rPr>
        <w:t>s</w:t>
      </w:r>
      <w:r>
        <w:rPr>
          <w:b/>
        </w:rPr>
        <w:t>san</w:t>
      </w:r>
      <w:proofErr w:type="spellEnd"/>
      <w:r>
        <w:rPr>
          <w:b/>
        </w:rPr>
        <w:t xml:space="preserve"> Ley </w:t>
      </w:r>
      <w:r w:rsidRPr="00D41E19">
        <w:rPr>
          <w:b/>
        </w:rPr>
        <w:t>MP</w:t>
      </w:r>
      <w:r>
        <w:rPr>
          <w:b/>
        </w:rPr>
        <w:t xml:space="preserve">, </w:t>
      </w:r>
      <w:r w:rsidRPr="00D41E19">
        <w:rPr>
          <w:rFonts w:eastAsia="Calibri"/>
          <w:b/>
          <w:lang w:eastAsia="en-US"/>
        </w:rPr>
        <w:t>Minister for Health</w:t>
      </w:r>
    </w:p>
    <w:sectPr w:rsidR="00E376BD" w:rsidRPr="00D41E19" w:rsidSect="005550C4">
      <w:footerReference w:type="default" r:id="rId11"/>
      <w:pgSz w:w="11907" w:h="16840" w:code="9"/>
      <w:pgMar w:top="1276" w:right="1440" w:bottom="1135" w:left="1440" w:header="426" w:footer="45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093" w:rsidRDefault="00400093">
      <w:r>
        <w:separator/>
      </w:r>
    </w:p>
  </w:endnote>
  <w:endnote w:type="continuationSeparator" w:id="0">
    <w:p w:rsidR="00400093" w:rsidRDefault="00400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3674011"/>
      <w:docPartObj>
        <w:docPartGallery w:val="Page Numbers (Bottom of Page)"/>
        <w:docPartUnique/>
      </w:docPartObj>
    </w:sdtPr>
    <w:sdtEndPr>
      <w:rPr>
        <w:noProof/>
      </w:rPr>
    </w:sdtEndPr>
    <w:sdtContent>
      <w:p w:rsidR="00016DCE" w:rsidRDefault="00016DCE">
        <w:pPr>
          <w:pStyle w:val="Footer"/>
          <w:jc w:val="center"/>
        </w:pPr>
        <w:r>
          <w:fldChar w:fldCharType="begin"/>
        </w:r>
        <w:r>
          <w:instrText xml:space="preserve"> PAGE   \* MERGEFORMAT </w:instrText>
        </w:r>
        <w:r>
          <w:fldChar w:fldCharType="separate"/>
        </w:r>
        <w:r w:rsidR="00E10CCD">
          <w:rPr>
            <w:noProof/>
          </w:rPr>
          <w:t>3</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3030287"/>
      <w:docPartObj>
        <w:docPartGallery w:val="Page Numbers (Bottom of Page)"/>
        <w:docPartUnique/>
      </w:docPartObj>
    </w:sdtPr>
    <w:sdtEndPr>
      <w:rPr>
        <w:noProof/>
      </w:rPr>
    </w:sdtEndPr>
    <w:sdtContent>
      <w:p w:rsidR="00D23222" w:rsidRDefault="00D23222">
        <w:pPr>
          <w:pStyle w:val="Footer"/>
          <w:jc w:val="center"/>
        </w:pPr>
        <w:r>
          <w:fldChar w:fldCharType="begin"/>
        </w:r>
        <w:r>
          <w:instrText xml:space="preserve"> PAGE   \* MERGEFORMAT </w:instrText>
        </w:r>
        <w:r>
          <w:fldChar w:fldCharType="separate"/>
        </w:r>
        <w:r w:rsidR="00E10CCD">
          <w:rPr>
            <w:noProof/>
          </w:rPr>
          <w:t>13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093" w:rsidRDefault="00400093">
      <w:r>
        <w:separator/>
      </w:r>
    </w:p>
  </w:footnote>
  <w:footnote w:type="continuationSeparator" w:id="0">
    <w:p w:rsidR="00400093" w:rsidRDefault="004000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093" w:rsidRDefault="00400093">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85057"/>
    <w:multiLevelType w:val="hybridMultilevel"/>
    <w:tmpl w:val="A5145F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60B0CBF"/>
    <w:multiLevelType w:val="hybridMultilevel"/>
    <w:tmpl w:val="BE72D206"/>
    <w:lvl w:ilvl="0" w:tplc="B824C074">
      <w:start w:val="1"/>
      <w:numFmt w:val="bullet"/>
      <w:lvlText w:val="-"/>
      <w:lvlJc w:val="left"/>
      <w:pPr>
        <w:ind w:left="927" w:hanging="360"/>
      </w:pPr>
      <w:rPr>
        <w:rFonts w:ascii="Times New Roman" w:eastAsia="Times New Roman" w:hAnsi="Times New Roman" w:cs="Times New Roman"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
    <w:nsid w:val="0709201A"/>
    <w:multiLevelType w:val="hybridMultilevel"/>
    <w:tmpl w:val="B9EAEC5A"/>
    <w:lvl w:ilvl="0" w:tplc="1BEEBD9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74A465F"/>
    <w:multiLevelType w:val="hybridMultilevel"/>
    <w:tmpl w:val="DA92C1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BDF0FD0"/>
    <w:multiLevelType w:val="hybridMultilevel"/>
    <w:tmpl w:val="9EE8C5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F055F3D"/>
    <w:multiLevelType w:val="hybridMultilevel"/>
    <w:tmpl w:val="DC7C2A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74B5B55"/>
    <w:multiLevelType w:val="hybridMultilevel"/>
    <w:tmpl w:val="F7F4F8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829164F"/>
    <w:multiLevelType w:val="hybridMultilevel"/>
    <w:tmpl w:val="F7AE66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8B05F4B"/>
    <w:multiLevelType w:val="hybridMultilevel"/>
    <w:tmpl w:val="20B64190"/>
    <w:lvl w:ilvl="0" w:tplc="0C090001">
      <w:start w:val="1"/>
      <w:numFmt w:val="bullet"/>
      <w:lvlText w:val=""/>
      <w:lvlJc w:val="left"/>
      <w:pPr>
        <w:ind w:left="781" w:hanging="360"/>
      </w:pPr>
      <w:rPr>
        <w:rFonts w:ascii="Symbol" w:hAnsi="Symbol" w:hint="default"/>
      </w:rPr>
    </w:lvl>
    <w:lvl w:ilvl="1" w:tplc="0C090003" w:tentative="1">
      <w:start w:val="1"/>
      <w:numFmt w:val="bullet"/>
      <w:lvlText w:val="o"/>
      <w:lvlJc w:val="left"/>
      <w:pPr>
        <w:ind w:left="1501" w:hanging="360"/>
      </w:pPr>
      <w:rPr>
        <w:rFonts w:ascii="Courier New" w:hAnsi="Courier New" w:cs="Courier New" w:hint="default"/>
      </w:rPr>
    </w:lvl>
    <w:lvl w:ilvl="2" w:tplc="0C090005" w:tentative="1">
      <w:start w:val="1"/>
      <w:numFmt w:val="bullet"/>
      <w:lvlText w:val=""/>
      <w:lvlJc w:val="left"/>
      <w:pPr>
        <w:ind w:left="2221" w:hanging="360"/>
      </w:pPr>
      <w:rPr>
        <w:rFonts w:ascii="Wingdings" w:hAnsi="Wingdings" w:hint="default"/>
      </w:rPr>
    </w:lvl>
    <w:lvl w:ilvl="3" w:tplc="0C090001" w:tentative="1">
      <w:start w:val="1"/>
      <w:numFmt w:val="bullet"/>
      <w:lvlText w:val=""/>
      <w:lvlJc w:val="left"/>
      <w:pPr>
        <w:ind w:left="2941" w:hanging="360"/>
      </w:pPr>
      <w:rPr>
        <w:rFonts w:ascii="Symbol" w:hAnsi="Symbol" w:hint="default"/>
      </w:rPr>
    </w:lvl>
    <w:lvl w:ilvl="4" w:tplc="0C090003" w:tentative="1">
      <w:start w:val="1"/>
      <w:numFmt w:val="bullet"/>
      <w:lvlText w:val="o"/>
      <w:lvlJc w:val="left"/>
      <w:pPr>
        <w:ind w:left="3661" w:hanging="360"/>
      </w:pPr>
      <w:rPr>
        <w:rFonts w:ascii="Courier New" w:hAnsi="Courier New" w:cs="Courier New" w:hint="default"/>
      </w:rPr>
    </w:lvl>
    <w:lvl w:ilvl="5" w:tplc="0C090005" w:tentative="1">
      <w:start w:val="1"/>
      <w:numFmt w:val="bullet"/>
      <w:lvlText w:val=""/>
      <w:lvlJc w:val="left"/>
      <w:pPr>
        <w:ind w:left="4381" w:hanging="360"/>
      </w:pPr>
      <w:rPr>
        <w:rFonts w:ascii="Wingdings" w:hAnsi="Wingdings" w:hint="default"/>
      </w:rPr>
    </w:lvl>
    <w:lvl w:ilvl="6" w:tplc="0C090001" w:tentative="1">
      <w:start w:val="1"/>
      <w:numFmt w:val="bullet"/>
      <w:lvlText w:val=""/>
      <w:lvlJc w:val="left"/>
      <w:pPr>
        <w:ind w:left="5101" w:hanging="360"/>
      </w:pPr>
      <w:rPr>
        <w:rFonts w:ascii="Symbol" w:hAnsi="Symbol" w:hint="default"/>
      </w:rPr>
    </w:lvl>
    <w:lvl w:ilvl="7" w:tplc="0C090003" w:tentative="1">
      <w:start w:val="1"/>
      <w:numFmt w:val="bullet"/>
      <w:lvlText w:val="o"/>
      <w:lvlJc w:val="left"/>
      <w:pPr>
        <w:ind w:left="5821" w:hanging="360"/>
      </w:pPr>
      <w:rPr>
        <w:rFonts w:ascii="Courier New" w:hAnsi="Courier New" w:cs="Courier New" w:hint="default"/>
      </w:rPr>
    </w:lvl>
    <w:lvl w:ilvl="8" w:tplc="0C090005" w:tentative="1">
      <w:start w:val="1"/>
      <w:numFmt w:val="bullet"/>
      <w:lvlText w:val=""/>
      <w:lvlJc w:val="left"/>
      <w:pPr>
        <w:ind w:left="6541" w:hanging="360"/>
      </w:pPr>
      <w:rPr>
        <w:rFonts w:ascii="Wingdings" w:hAnsi="Wingdings" w:hint="default"/>
      </w:rPr>
    </w:lvl>
  </w:abstractNum>
  <w:abstractNum w:abstractNumId="9">
    <w:nsid w:val="19480C61"/>
    <w:multiLevelType w:val="hybridMultilevel"/>
    <w:tmpl w:val="FE220036"/>
    <w:lvl w:ilvl="0" w:tplc="72F23A1C">
      <w:start w:val="2"/>
      <w:numFmt w:val="decimal"/>
      <w:lvlText w:val="%1."/>
      <w:lvlJc w:val="left"/>
      <w:pPr>
        <w:tabs>
          <w:tab w:val="num" w:pos="720"/>
        </w:tabs>
        <w:ind w:left="720" w:hanging="360"/>
      </w:pPr>
      <w:rPr>
        <w:rFonts w:hint="default"/>
        <w:b w:val="0"/>
        <w:i w:val="0"/>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rPr>
        <w:rFonts w:hint="default"/>
      </w:r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nsid w:val="197E31B7"/>
    <w:multiLevelType w:val="hybridMultilevel"/>
    <w:tmpl w:val="DB4C987A"/>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9841871"/>
    <w:multiLevelType w:val="hybridMultilevel"/>
    <w:tmpl w:val="DCAEAE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AFA2791"/>
    <w:multiLevelType w:val="hybridMultilevel"/>
    <w:tmpl w:val="24289A1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3">
    <w:nsid w:val="1B7516AC"/>
    <w:multiLevelType w:val="hybridMultilevel"/>
    <w:tmpl w:val="E2402B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3716890"/>
    <w:multiLevelType w:val="hybridMultilevel"/>
    <w:tmpl w:val="73EE10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7687579"/>
    <w:multiLevelType w:val="hybridMultilevel"/>
    <w:tmpl w:val="D95654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C144478"/>
    <w:multiLevelType w:val="hybridMultilevel"/>
    <w:tmpl w:val="3D04378A"/>
    <w:lvl w:ilvl="0" w:tplc="0C090001">
      <w:start w:val="1"/>
      <w:numFmt w:val="bullet"/>
      <w:lvlText w:val=""/>
      <w:lvlJc w:val="left"/>
      <w:pPr>
        <w:ind w:left="786" w:hanging="360"/>
      </w:pPr>
      <w:rPr>
        <w:rFonts w:ascii="Symbol" w:hAnsi="Symbol" w:hint="default"/>
      </w:rPr>
    </w:lvl>
    <w:lvl w:ilvl="1" w:tplc="0C090003">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7">
    <w:nsid w:val="2EDB41F3"/>
    <w:multiLevelType w:val="hybridMultilevel"/>
    <w:tmpl w:val="0D0CC4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13A3DBD"/>
    <w:multiLevelType w:val="hybridMultilevel"/>
    <w:tmpl w:val="6414B1E2"/>
    <w:lvl w:ilvl="0" w:tplc="3D0ECE52">
      <w:start w:val="1"/>
      <w:numFmt w:val="bullet"/>
      <w:lvlText w:val=""/>
      <w:lvlJc w:val="left"/>
      <w:pPr>
        <w:tabs>
          <w:tab w:val="num" w:pos="780"/>
        </w:tabs>
        <w:ind w:left="780" w:hanging="360"/>
      </w:pPr>
      <w:rPr>
        <w:rFonts w:ascii="Symbol" w:hAnsi="Symbol" w:hint="default"/>
        <w:sz w:val="16"/>
        <w:szCs w:val="16"/>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9">
    <w:nsid w:val="33103AC6"/>
    <w:multiLevelType w:val="hybridMultilevel"/>
    <w:tmpl w:val="D4C2C9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35D25B6"/>
    <w:multiLevelType w:val="hybridMultilevel"/>
    <w:tmpl w:val="BC6C35F0"/>
    <w:lvl w:ilvl="0" w:tplc="0C090001">
      <w:start w:val="1"/>
      <w:numFmt w:val="bullet"/>
      <w:lvlText w:val=""/>
      <w:lvlJc w:val="left"/>
      <w:pPr>
        <w:ind w:left="782" w:hanging="360"/>
      </w:pPr>
      <w:rPr>
        <w:rFonts w:ascii="Symbol" w:hAnsi="Symbol" w:hint="default"/>
      </w:rPr>
    </w:lvl>
    <w:lvl w:ilvl="1" w:tplc="0C090003" w:tentative="1">
      <w:start w:val="1"/>
      <w:numFmt w:val="bullet"/>
      <w:lvlText w:val="o"/>
      <w:lvlJc w:val="left"/>
      <w:pPr>
        <w:ind w:left="1502" w:hanging="360"/>
      </w:pPr>
      <w:rPr>
        <w:rFonts w:ascii="Courier New" w:hAnsi="Courier New" w:cs="Courier New" w:hint="default"/>
      </w:rPr>
    </w:lvl>
    <w:lvl w:ilvl="2" w:tplc="0C090005" w:tentative="1">
      <w:start w:val="1"/>
      <w:numFmt w:val="bullet"/>
      <w:lvlText w:val=""/>
      <w:lvlJc w:val="left"/>
      <w:pPr>
        <w:ind w:left="2222" w:hanging="360"/>
      </w:pPr>
      <w:rPr>
        <w:rFonts w:ascii="Wingdings" w:hAnsi="Wingdings" w:hint="default"/>
      </w:rPr>
    </w:lvl>
    <w:lvl w:ilvl="3" w:tplc="0C090001" w:tentative="1">
      <w:start w:val="1"/>
      <w:numFmt w:val="bullet"/>
      <w:lvlText w:val=""/>
      <w:lvlJc w:val="left"/>
      <w:pPr>
        <w:ind w:left="2942" w:hanging="360"/>
      </w:pPr>
      <w:rPr>
        <w:rFonts w:ascii="Symbol" w:hAnsi="Symbol" w:hint="default"/>
      </w:rPr>
    </w:lvl>
    <w:lvl w:ilvl="4" w:tplc="0C090003" w:tentative="1">
      <w:start w:val="1"/>
      <w:numFmt w:val="bullet"/>
      <w:lvlText w:val="o"/>
      <w:lvlJc w:val="left"/>
      <w:pPr>
        <w:ind w:left="3662" w:hanging="360"/>
      </w:pPr>
      <w:rPr>
        <w:rFonts w:ascii="Courier New" w:hAnsi="Courier New" w:cs="Courier New" w:hint="default"/>
      </w:rPr>
    </w:lvl>
    <w:lvl w:ilvl="5" w:tplc="0C090005" w:tentative="1">
      <w:start w:val="1"/>
      <w:numFmt w:val="bullet"/>
      <w:lvlText w:val=""/>
      <w:lvlJc w:val="left"/>
      <w:pPr>
        <w:ind w:left="4382" w:hanging="360"/>
      </w:pPr>
      <w:rPr>
        <w:rFonts w:ascii="Wingdings" w:hAnsi="Wingdings" w:hint="default"/>
      </w:rPr>
    </w:lvl>
    <w:lvl w:ilvl="6" w:tplc="0C090001" w:tentative="1">
      <w:start w:val="1"/>
      <w:numFmt w:val="bullet"/>
      <w:lvlText w:val=""/>
      <w:lvlJc w:val="left"/>
      <w:pPr>
        <w:ind w:left="5102" w:hanging="360"/>
      </w:pPr>
      <w:rPr>
        <w:rFonts w:ascii="Symbol" w:hAnsi="Symbol" w:hint="default"/>
      </w:rPr>
    </w:lvl>
    <w:lvl w:ilvl="7" w:tplc="0C090003" w:tentative="1">
      <w:start w:val="1"/>
      <w:numFmt w:val="bullet"/>
      <w:lvlText w:val="o"/>
      <w:lvlJc w:val="left"/>
      <w:pPr>
        <w:ind w:left="5822" w:hanging="360"/>
      </w:pPr>
      <w:rPr>
        <w:rFonts w:ascii="Courier New" w:hAnsi="Courier New" w:cs="Courier New" w:hint="default"/>
      </w:rPr>
    </w:lvl>
    <w:lvl w:ilvl="8" w:tplc="0C090005" w:tentative="1">
      <w:start w:val="1"/>
      <w:numFmt w:val="bullet"/>
      <w:lvlText w:val=""/>
      <w:lvlJc w:val="left"/>
      <w:pPr>
        <w:ind w:left="6542" w:hanging="360"/>
      </w:pPr>
      <w:rPr>
        <w:rFonts w:ascii="Wingdings" w:hAnsi="Wingdings" w:hint="default"/>
      </w:rPr>
    </w:lvl>
  </w:abstractNum>
  <w:abstractNum w:abstractNumId="21">
    <w:nsid w:val="33BD223E"/>
    <w:multiLevelType w:val="hybridMultilevel"/>
    <w:tmpl w:val="7B980A4E"/>
    <w:lvl w:ilvl="0" w:tplc="DA662E80">
      <w:start w:val="1"/>
      <w:numFmt w:val="bullet"/>
      <w:lvlText w:val="•"/>
      <w:lvlJc w:val="left"/>
      <w:pPr>
        <w:ind w:left="720" w:hanging="360"/>
      </w:pPr>
      <w:rPr>
        <w:rFonts w:ascii="Helv" w:hAnsi="Helv"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3D10692"/>
    <w:multiLevelType w:val="hybridMultilevel"/>
    <w:tmpl w:val="33CC96C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37447087"/>
    <w:multiLevelType w:val="hybridMultilevel"/>
    <w:tmpl w:val="C2386494"/>
    <w:lvl w:ilvl="0" w:tplc="11C28D1C">
      <w:start w:val="1"/>
      <w:numFmt w:val="bullet"/>
      <w:pStyle w:val="HB-Table-dotpoint"/>
      <w:lvlText w:val=""/>
      <w:lvlJc w:val="left"/>
      <w:pPr>
        <w:tabs>
          <w:tab w:val="num" w:pos="720"/>
        </w:tabs>
        <w:ind w:left="720" w:hanging="360"/>
      </w:pPr>
      <w:rPr>
        <w:rFonts w:ascii="Symbol" w:hAnsi="Symbol" w:cs="Symbol" w:hint="default"/>
        <w:sz w:val="22"/>
        <w:szCs w:val="22"/>
      </w:rPr>
    </w:lvl>
    <w:lvl w:ilvl="1" w:tplc="0C090003">
      <w:start w:val="1"/>
      <w:numFmt w:val="bullet"/>
      <w:lvlText w:val="o"/>
      <w:lvlJc w:val="left"/>
      <w:pPr>
        <w:tabs>
          <w:tab w:val="num" w:pos="1004"/>
        </w:tabs>
        <w:ind w:left="1004" w:hanging="360"/>
      </w:pPr>
      <w:rPr>
        <w:rFonts w:ascii="Courier New" w:hAnsi="Courier New" w:cs="Courier New" w:hint="default"/>
      </w:rPr>
    </w:lvl>
    <w:lvl w:ilvl="2" w:tplc="0C090005">
      <w:start w:val="1"/>
      <w:numFmt w:val="bullet"/>
      <w:lvlText w:val=""/>
      <w:lvlJc w:val="left"/>
      <w:pPr>
        <w:tabs>
          <w:tab w:val="num" w:pos="1724"/>
        </w:tabs>
        <w:ind w:left="1724" w:hanging="360"/>
      </w:pPr>
      <w:rPr>
        <w:rFonts w:ascii="Wingdings" w:hAnsi="Wingdings" w:cs="Wingdings" w:hint="default"/>
      </w:rPr>
    </w:lvl>
    <w:lvl w:ilvl="3" w:tplc="0C090001">
      <w:start w:val="1"/>
      <w:numFmt w:val="bullet"/>
      <w:lvlText w:val=""/>
      <w:lvlJc w:val="left"/>
      <w:pPr>
        <w:tabs>
          <w:tab w:val="num" w:pos="2444"/>
        </w:tabs>
        <w:ind w:left="2444" w:hanging="360"/>
      </w:pPr>
      <w:rPr>
        <w:rFonts w:ascii="Symbol" w:hAnsi="Symbol" w:cs="Symbol" w:hint="default"/>
      </w:rPr>
    </w:lvl>
    <w:lvl w:ilvl="4" w:tplc="0C090003">
      <w:start w:val="1"/>
      <w:numFmt w:val="bullet"/>
      <w:lvlText w:val="o"/>
      <w:lvlJc w:val="left"/>
      <w:pPr>
        <w:tabs>
          <w:tab w:val="num" w:pos="3164"/>
        </w:tabs>
        <w:ind w:left="3164" w:hanging="360"/>
      </w:pPr>
      <w:rPr>
        <w:rFonts w:ascii="Courier New" w:hAnsi="Courier New" w:cs="Courier New" w:hint="default"/>
      </w:rPr>
    </w:lvl>
    <w:lvl w:ilvl="5" w:tplc="0C090005">
      <w:start w:val="1"/>
      <w:numFmt w:val="bullet"/>
      <w:lvlText w:val=""/>
      <w:lvlJc w:val="left"/>
      <w:pPr>
        <w:tabs>
          <w:tab w:val="num" w:pos="3884"/>
        </w:tabs>
        <w:ind w:left="3884" w:hanging="360"/>
      </w:pPr>
      <w:rPr>
        <w:rFonts w:ascii="Wingdings" w:hAnsi="Wingdings" w:cs="Wingdings" w:hint="default"/>
      </w:rPr>
    </w:lvl>
    <w:lvl w:ilvl="6" w:tplc="0C090001">
      <w:start w:val="1"/>
      <w:numFmt w:val="bullet"/>
      <w:lvlText w:val=""/>
      <w:lvlJc w:val="left"/>
      <w:pPr>
        <w:tabs>
          <w:tab w:val="num" w:pos="4604"/>
        </w:tabs>
        <w:ind w:left="4604" w:hanging="360"/>
      </w:pPr>
      <w:rPr>
        <w:rFonts w:ascii="Symbol" w:hAnsi="Symbol" w:cs="Symbol" w:hint="default"/>
      </w:rPr>
    </w:lvl>
    <w:lvl w:ilvl="7" w:tplc="0C090003">
      <w:start w:val="1"/>
      <w:numFmt w:val="bullet"/>
      <w:lvlText w:val="o"/>
      <w:lvlJc w:val="left"/>
      <w:pPr>
        <w:tabs>
          <w:tab w:val="num" w:pos="5324"/>
        </w:tabs>
        <w:ind w:left="5324" w:hanging="360"/>
      </w:pPr>
      <w:rPr>
        <w:rFonts w:ascii="Courier New" w:hAnsi="Courier New" w:cs="Courier New" w:hint="default"/>
      </w:rPr>
    </w:lvl>
    <w:lvl w:ilvl="8" w:tplc="0C090005">
      <w:start w:val="1"/>
      <w:numFmt w:val="bullet"/>
      <w:lvlText w:val=""/>
      <w:lvlJc w:val="left"/>
      <w:pPr>
        <w:tabs>
          <w:tab w:val="num" w:pos="6044"/>
        </w:tabs>
        <w:ind w:left="6044" w:hanging="360"/>
      </w:pPr>
      <w:rPr>
        <w:rFonts w:ascii="Wingdings" w:hAnsi="Wingdings" w:cs="Wingdings" w:hint="default"/>
      </w:rPr>
    </w:lvl>
  </w:abstractNum>
  <w:abstractNum w:abstractNumId="24">
    <w:nsid w:val="397B5458"/>
    <w:multiLevelType w:val="singleLevel"/>
    <w:tmpl w:val="BE8804F8"/>
    <w:lvl w:ilvl="0">
      <w:start w:val="1"/>
      <w:numFmt w:val="bullet"/>
      <w:pStyle w:val="HB-dotpoint"/>
      <w:lvlText w:val=""/>
      <w:lvlJc w:val="left"/>
      <w:pPr>
        <w:tabs>
          <w:tab w:val="num" w:pos="720"/>
        </w:tabs>
        <w:ind w:left="720" w:hanging="720"/>
      </w:pPr>
      <w:rPr>
        <w:rFonts w:ascii="Symbol" w:hAnsi="Symbol" w:cs="Symbol" w:hint="default"/>
        <w:sz w:val="20"/>
        <w:szCs w:val="20"/>
      </w:rPr>
    </w:lvl>
  </w:abstractNum>
  <w:abstractNum w:abstractNumId="25">
    <w:nsid w:val="3A272EC1"/>
    <w:multiLevelType w:val="hybridMultilevel"/>
    <w:tmpl w:val="DED671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3B0B41E1"/>
    <w:multiLevelType w:val="hybridMultilevel"/>
    <w:tmpl w:val="57DE4F92"/>
    <w:lvl w:ilvl="0" w:tplc="D83E7D6E">
      <w:start w:val="1"/>
      <w:numFmt w:val="bullet"/>
      <w:lvlText w:val=""/>
      <w:lvlJc w:val="left"/>
      <w:pPr>
        <w:tabs>
          <w:tab w:val="num" w:pos="720"/>
        </w:tabs>
        <w:ind w:left="72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1FD21EF8">
      <w:start w:val="24"/>
      <w:numFmt w:val="bullet"/>
      <w:lvlText w:val="-"/>
      <w:lvlJc w:val="left"/>
      <w:pPr>
        <w:tabs>
          <w:tab w:val="num" w:pos="2880"/>
        </w:tabs>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F0845B0"/>
    <w:multiLevelType w:val="hybridMultilevel"/>
    <w:tmpl w:val="102A813A"/>
    <w:lvl w:ilvl="0" w:tplc="7DDAA85A">
      <w:start w:val="1"/>
      <w:numFmt w:val="lowerLetter"/>
      <w:pStyle w:val="HB-Paragraph-alphpoint"/>
      <w:lvlText w:val="(%1)"/>
      <w:lvlJc w:val="left"/>
      <w:pPr>
        <w:tabs>
          <w:tab w:val="num" w:pos="1211"/>
        </w:tabs>
        <w:ind w:left="1211" w:hanging="360"/>
      </w:pPr>
      <w:rPr>
        <w:rFonts w:hint="default"/>
      </w:rPr>
    </w:lvl>
    <w:lvl w:ilvl="1" w:tplc="0C090019">
      <w:start w:val="1"/>
      <w:numFmt w:val="lowerLetter"/>
      <w:lvlText w:val="%2."/>
      <w:lvlJc w:val="left"/>
      <w:pPr>
        <w:tabs>
          <w:tab w:val="num" w:pos="2291"/>
        </w:tabs>
        <w:ind w:left="2291" w:hanging="360"/>
      </w:pPr>
    </w:lvl>
    <w:lvl w:ilvl="2" w:tplc="0C09001B">
      <w:start w:val="1"/>
      <w:numFmt w:val="lowerRoman"/>
      <w:lvlText w:val="%3."/>
      <w:lvlJc w:val="right"/>
      <w:pPr>
        <w:tabs>
          <w:tab w:val="num" w:pos="3011"/>
        </w:tabs>
        <w:ind w:left="3011" w:hanging="180"/>
      </w:pPr>
    </w:lvl>
    <w:lvl w:ilvl="3" w:tplc="0C09000F">
      <w:start w:val="1"/>
      <w:numFmt w:val="decimal"/>
      <w:lvlText w:val="%4."/>
      <w:lvlJc w:val="left"/>
      <w:pPr>
        <w:tabs>
          <w:tab w:val="num" w:pos="3731"/>
        </w:tabs>
        <w:ind w:left="3731" w:hanging="360"/>
      </w:pPr>
    </w:lvl>
    <w:lvl w:ilvl="4" w:tplc="0C090019">
      <w:start w:val="1"/>
      <w:numFmt w:val="lowerLetter"/>
      <w:lvlText w:val="%5."/>
      <w:lvlJc w:val="left"/>
      <w:pPr>
        <w:tabs>
          <w:tab w:val="num" w:pos="4451"/>
        </w:tabs>
        <w:ind w:left="4451" w:hanging="360"/>
      </w:pPr>
    </w:lvl>
    <w:lvl w:ilvl="5" w:tplc="0C09001B">
      <w:start w:val="1"/>
      <w:numFmt w:val="lowerRoman"/>
      <w:lvlText w:val="%6."/>
      <w:lvlJc w:val="right"/>
      <w:pPr>
        <w:tabs>
          <w:tab w:val="num" w:pos="5171"/>
        </w:tabs>
        <w:ind w:left="5171" w:hanging="180"/>
      </w:pPr>
    </w:lvl>
    <w:lvl w:ilvl="6" w:tplc="0C09000F">
      <w:start w:val="1"/>
      <w:numFmt w:val="decimal"/>
      <w:lvlText w:val="%7."/>
      <w:lvlJc w:val="left"/>
      <w:pPr>
        <w:tabs>
          <w:tab w:val="num" w:pos="5891"/>
        </w:tabs>
        <w:ind w:left="5891" w:hanging="360"/>
      </w:pPr>
    </w:lvl>
    <w:lvl w:ilvl="7" w:tplc="0C090019">
      <w:start w:val="1"/>
      <w:numFmt w:val="lowerLetter"/>
      <w:lvlText w:val="%8."/>
      <w:lvlJc w:val="left"/>
      <w:pPr>
        <w:tabs>
          <w:tab w:val="num" w:pos="6611"/>
        </w:tabs>
        <w:ind w:left="6611" w:hanging="360"/>
      </w:pPr>
    </w:lvl>
    <w:lvl w:ilvl="8" w:tplc="0C09001B">
      <w:start w:val="1"/>
      <w:numFmt w:val="lowerRoman"/>
      <w:lvlText w:val="%9."/>
      <w:lvlJc w:val="right"/>
      <w:pPr>
        <w:tabs>
          <w:tab w:val="num" w:pos="7331"/>
        </w:tabs>
        <w:ind w:left="7331" w:hanging="180"/>
      </w:pPr>
    </w:lvl>
  </w:abstractNum>
  <w:abstractNum w:abstractNumId="28">
    <w:nsid w:val="3FBC4819"/>
    <w:multiLevelType w:val="hybridMultilevel"/>
    <w:tmpl w:val="6BE247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44C21C54"/>
    <w:multiLevelType w:val="multilevel"/>
    <w:tmpl w:val="D924C8CE"/>
    <w:lvl w:ilvl="0">
      <w:start w:val="1"/>
      <w:numFmt w:val="decimal"/>
      <w:lvlText w:val="%1."/>
      <w:lvlJc w:val="left"/>
      <w:pPr>
        <w:tabs>
          <w:tab w:val="num" w:pos="360"/>
        </w:tabs>
        <w:ind w:left="360" w:hanging="360"/>
      </w:pPr>
      <w:rPr>
        <w:rFonts w:hint="default"/>
        <w:b/>
      </w:rPr>
    </w:lvl>
    <w:lvl w:ilvl="1">
      <w:start w:val="1"/>
      <w:numFmt w:val="bullet"/>
      <w:lvlText w:val=""/>
      <w:lvlJc w:val="left"/>
      <w:pPr>
        <w:tabs>
          <w:tab w:val="num" w:pos="702"/>
        </w:tabs>
        <w:ind w:left="702" w:hanging="360"/>
      </w:pPr>
      <w:rPr>
        <w:rFonts w:ascii="Symbol" w:hAnsi="Symbol" w:hint="default"/>
        <w:b/>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nsid w:val="48AA6518"/>
    <w:multiLevelType w:val="hybridMultilevel"/>
    <w:tmpl w:val="32649A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4A072350"/>
    <w:multiLevelType w:val="hybridMultilevel"/>
    <w:tmpl w:val="B4FCDC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50725B8F"/>
    <w:multiLevelType w:val="hybridMultilevel"/>
    <w:tmpl w:val="719AB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507733CC"/>
    <w:multiLevelType w:val="hybridMultilevel"/>
    <w:tmpl w:val="CEB236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51A315B0"/>
    <w:multiLevelType w:val="hybridMultilevel"/>
    <w:tmpl w:val="55B21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51F73B76"/>
    <w:multiLevelType w:val="hybridMultilevel"/>
    <w:tmpl w:val="02D892EE"/>
    <w:lvl w:ilvl="0" w:tplc="20E40F8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59487ACD"/>
    <w:multiLevelType w:val="hybridMultilevel"/>
    <w:tmpl w:val="ABB6FDEC"/>
    <w:lvl w:ilvl="0" w:tplc="DA662E80">
      <w:start w:val="1"/>
      <w:numFmt w:val="bullet"/>
      <w:lvlText w:val="•"/>
      <w:lvlJc w:val="left"/>
      <w:pPr>
        <w:ind w:left="720" w:hanging="360"/>
      </w:pPr>
      <w:rPr>
        <w:rFonts w:ascii="Helv" w:hAnsi="Helv" w:hint="default"/>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5A4D11E0"/>
    <w:multiLevelType w:val="hybridMultilevel"/>
    <w:tmpl w:val="04A8EE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63DC33FE"/>
    <w:multiLevelType w:val="hybridMultilevel"/>
    <w:tmpl w:val="B9F21B5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9">
    <w:nsid w:val="68211A21"/>
    <w:multiLevelType w:val="hybridMultilevel"/>
    <w:tmpl w:val="437EBB5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68610F4C"/>
    <w:multiLevelType w:val="hybridMultilevel"/>
    <w:tmpl w:val="F5207348"/>
    <w:lvl w:ilvl="0" w:tplc="DA662E80">
      <w:start w:val="1"/>
      <w:numFmt w:val="bullet"/>
      <w:lvlText w:val="•"/>
      <w:lvlJc w:val="left"/>
      <w:pPr>
        <w:ind w:left="780" w:hanging="360"/>
      </w:pPr>
      <w:rPr>
        <w:rFonts w:ascii="Helv" w:hAnsi="Helv" w:hint="default"/>
        <w:sz w:val="20"/>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1">
    <w:nsid w:val="69B054B9"/>
    <w:multiLevelType w:val="hybridMultilevel"/>
    <w:tmpl w:val="0E507E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6FC76718"/>
    <w:multiLevelType w:val="hybridMultilevel"/>
    <w:tmpl w:val="82986BF4"/>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43">
    <w:nsid w:val="71C31A9C"/>
    <w:multiLevelType w:val="hybridMultilevel"/>
    <w:tmpl w:val="00842B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nsid w:val="742C0434"/>
    <w:multiLevelType w:val="hybridMultilevel"/>
    <w:tmpl w:val="BF14DF82"/>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45">
    <w:nsid w:val="778C0F23"/>
    <w:multiLevelType w:val="hybridMultilevel"/>
    <w:tmpl w:val="278EEF6A"/>
    <w:lvl w:ilvl="0" w:tplc="DA662E80">
      <w:start w:val="1"/>
      <w:numFmt w:val="bullet"/>
      <w:lvlText w:val="•"/>
      <w:lvlJc w:val="left"/>
      <w:pPr>
        <w:ind w:left="720" w:hanging="360"/>
      </w:pPr>
      <w:rPr>
        <w:rFonts w:ascii="Helv" w:hAnsi="Helv"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nsid w:val="79A46ADA"/>
    <w:multiLevelType w:val="hybridMultilevel"/>
    <w:tmpl w:val="F34E928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7">
    <w:nsid w:val="7D3B041F"/>
    <w:multiLevelType w:val="hybridMultilevel"/>
    <w:tmpl w:val="AFEC85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cs="Symbol" w:hint="default"/>
        <w:color w:val="auto"/>
      </w:rPr>
    </w:lvl>
  </w:abstractNum>
  <w:abstractNum w:abstractNumId="49">
    <w:nsid w:val="7EB008FF"/>
    <w:multiLevelType w:val="multilevel"/>
    <w:tmpl w:val="883CC8BE"/>
    <w:lvl w:ilvl="0">
      <w:start w:val="1"/>
      <w:numFmt w:val="decimal"/>
      <w:pStyle w:val="Heading1"/>
      <w:lvlText w:val="%1"/>
      <w:lvlJc w:val="left"/>
      <w:pPr>
        <w:tabs>
          <w:tab w:val="num" w:pos="855"/>
        </w:tabs>
        <w:ind w:left="855" w:hanging="855"/>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B-Paragraph"/>
      <w:lvlText w:val="%1.%2.%3"/>
      <w:lvlJc w:val="left"/>
      <w:pPr>
        <w:tabs>
          <w:tab w:val="num" w:pos="855"/>
        </w:tabs>
        <w:ind w:left="855" w:hanging="855"/>
      </w:pPr>
      <w:rPr>
        <w:rFonts w:hint="default"/>
        <w:b w:val="0"/>
        <w:bCs w:val="0"/>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4"/>
  </w:num>
  <w:num w:numId="2">
    <w:abstractNumId w:val="48"/>
  </w:num>
  <w:num w:numId="3">
    <w:abstractNumId w:val="27"/>
  </w:num>
  <w:num w:numId="4">
    <w:abstractNumId w:val="49"/>
  </w:num>
  <w:num w:numId="5">
    <w:abstractNumId w:val="23"/>
  </w:num>
  <w:num w:numId="6">
    <w:abstractNumId w:val="29"/>
  </w:num>
  <w:num w:numId="7">
    <w:abstractNumId w:val="10"/>
  </w:num>
  <w:num w:numId="8">
    <w:abstractNumId w:val="18"/>
  </w:num>
  <w:num w:numId="9">
    <w:abstractNumId w:val="47"/>
  </w:num>
  <w:num w:numId="10">
    <w:abstractNumId w:val="14"/>
  </w:num>
  <w:num w:numId="11">
    <w:abstractNumId w:val="9"/>
  </w:num>
  <w:num w:numId="12">
    <w:abstractNumId w:val="26"/>
  </w:num>
  <w:num w:numId="13">
    <w:abstractNumId w:val="1"/>
  </w:num>
  <w:num w:numId="14">
    <w:abstractNumId w:val="16"/>
  </w:num>
  <w:num w:numId="15">
    <w:abstractNumId w:val="35"/>
  </w:num>
  <w:num w:numId="16">
    <w:abstractNumId w:val="31"/>
  </w:num>
  <w:num w:numId="17">
    <w:abstractNumId w:val="0"/>
  </w:num>
  <w:num w:numId="18">
    <w:abstractNumId w:val="28"/>
  </w:num>
  <w:num w:numId="19">
    <w:abstractNumId w:val="25"/>
  </w:num>
  <w:num w:numId="20">
    <w:abstractNumId w:val="22"/>
  </w:num>
  <w:num w:numId="21">
    <w:abstractNumId w:val="13"/>
  </w:num>
  <w:num w:numId="22">
    <w:abstractNumId w:val="33"/>
  </w:num>
  <w:num w:numId="23">
    <w:abstractNumId w:val="3"/>
  </w:num>
  <w:num w:numId="24">
    <w:abstractNumId w:val="17"/>
  </w:num>
  <w:num w:numId="25">
    <w:abstractNumId w:val="43"/>
  </w:num>
  <w:num w:numId="26">
    <w:abstractNumId w:val="15"/>
  </w:num>
  <w:num w:numId="27">
    <w:abstractNumId w:val="46"/>
  </w:num>
  <w:num w:numId="28">
    <w:abstractNumId w:val="20"/>
  </w:num>
  <w:num w:numId="29">
    <w:abstractNumId w:val="19"/>
  </w:num>
  <w:num w:numId="30">
    <w:abstractNumId w:val="11"/>
  </w:num>
  <w:num w:numId="31">
    <w:abstractNumId w:val="5"/>
  </w:num>
  <w:num w:numId="32">
    <w:abstractNumId w:val="7"/>
  </w:num>
  <w:num w:numId="33">
    <w:abstractNumId w:val="6"/>
  </w:num>
  <w:num w:numId="34">
    <w:abstractNumId w:val="30"/>
  </w:num>
  <w:num w:numId="35">
    <w:abstractNumId w:val="4"/>
  </w:num>
  <w:num w:numId="36">
    <w:abstractNumId w:val="34"/>
  </w:num>
  <w:num w:numId="37">
    <w:abstractNumId w:val="32"/>
  </w:num>
  <w:num w:numId="38">
    <w:abstractNumId w:val="45"/>
  </w:num>
  <w:num w:numId="39">
    <w:abstractNumId w:val="37"/>
  </w:num>
  <w:num w:numId="40">
    <w:abstractNumId w:val="41"/>
  </w:num>
  <w:num w:numId="41">
    <w:abstractNumId w:val="2"/>
  </w:num>
  <w:num w:numId="42">
    <w:abstractNumId w:val="12"/>
  </w:num>
  <w:num w:numId="43">
    <w:abstractNumId w:val="38"/>
  </w:num>
  <w:num w:numId="44">
    <w:abstractNumId w:val="44"/>
  </w:num>
  <w:num w:numId="45">
    <w:abstractNumId w:val="42"/>
  </w:num>
  <w:num w:numId="46">
    <w:abstractNumId w:val="36"/>
  </w:num>
  <w:num w:numId="47">
    <w:abstractNumId w:val="40"/>
  </w:num>
  <w:num w:numId="48">
    <w:abstractNumId w:val="21"/>
  </w:num>
  <w:num w:numId="49">
    <w:abstractNumId w:val="39"/>
  </w:num>
  <w:num w:numId="50">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embedSystemFonts/>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Formatting/>
  <w:defaultTabStop w:val="567"/>
  <w:doNotHyphenateCaps/>
  <w:drawingGridHorizontalSpacing w:val="187"/>
  <w:displayHorizontalDrawingGridEvery w:val="0"/>
  <w:displayVerticalDrawingGridEvery w:val="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F69"/>
    <w:rsid w:val="00000942"/>
    <w:rsid w:val="0000102A"/>
    <w:rsid w:val="00001774"/>
    <w:rsid w:val="000017C5"/>
    <w:rsid w:val="00003068"/>
    <w:rsid w:val="000032E6"/>
    <w:rsid w:val="000042A6"/>
    <w:rsid w:val="00005314"/>
    <w:rsid w:val="0000611E"/>
    <w:rsid w:val="00007523"/>
    <w:rsid w:val="00007ABE"/>
    <w:rsid w:val="00012002"/>
    <w:rsid w:val="00013E75"/>
    <w:rsid w:val="000143F0"/>
    <w:rsid w:val="00015FE5"/>
    <w:rsid w:val="00016D7D"/>
    <w:rsid w:val="00016DCE"/>
    <w:rsid w:val="00017DB1"/>
    <w:rsid w:val="00021E67"/>
    <w:rsid w:val="00022606"/>
    <w:rsid w:val="00022D2E"/>
    <w:rsid w:val="0002425E"/>
    <w:rsid w:val="000242FB"/>
    <w:rsid w:val="000248F4"/>
    <w:rsid w:val="00031EC1"/>
    <w:rsid w:val="000341A4"/>
    <w:rsid w:val="0003495D"/>
    <w:rsid w:val="0003645E"/>
    <w:rsid w:val="00036829"/>
    <w:rsid w:val="00042141"/>
    <w:rsid w:val="0004226D"/>
    <w:rsid w:val="00043262"/>
    <w:rsid w:val="0004425F"/>
    <w:rsid w:val="00044EDA"/>
    <w:rsid w:val="000463EB"/>
    <w:rsid w:val="00051322"/>
    <w:rsid w:val="00051E49"/>
    <w:rsid w:val="000524E6"/>
    <w:rsid w:val="00052AEA"/>
    <w:rsid w:val="00053C4A"/>
    <w:rsid w:val="00054067"/>
    <w:rsid w:val="00055359"/>
    <w:rsid w:val="000577C8"/>
    <w:rsid w:val="00057BB2"/>
    <w:rsid w:val="00061BE4"/>
    <w:rsid w:val="00061DFD"/>
    <w:rsid w:val="00062A18"/>
    <w:rsid w:val="00063242"/>
    <w:rsid w:val="000675ED"/>
    <w:rsid w:val="00067612"/>
    <w:rsid w:val="00067FC3"/>
    <w:rsid w:val="00070AD8"/>
    <w:rsid w:val="00070BD5"/>
    <w:rsid w:val="000718DF"/>
    <w:rsid w:val="00072A1E"/>
    <w:rsid w:val="000742BD"/>
    <w:rsid w:val="000756B5"/>
    <w:rsid w:val="00076248"/>
    <w:rsid w:val="000804AE"/>
    <w:rsid w:val="00081C7E"/>
    <w:rsid w:val="00081CC3"/>
    <w:rsid w:val="00082CF1"/>
    <w:rsid w:val="000836BC"/>
    <w:rsid w:val="00083D6B"/>
    <w:rsid w:val="00085DC8"/>
    <w:rsid w:val="0008768D"/>
    <w:rsid w:val="000876DA"/>
    <w:rsid w:val="0009055B"/>
    <w:rsid w:val="000918CE"/>
    <w:rsid w:val="00092071"/>
    <w:rsid w:val="00094AB2"/>
    <w:rsid w:val="000953C5"/>
    <w:rsid w:val="000978AD"/>
    <w:rsid w:val="000A0C14"/>
    <w:rsid w:val="000A1BE0"/>
    <w:rsid w:val="000A39CF"/>
    <w:rsid w:val="000A40A0"/>
    <w:rsid w:val="000A5FC1"/>
    <w:rsid w:val="000A65B9"/>
    <w:rsid w:val="000A6887"/>
    <w:rsid w:val="000B03B8"/>
    <w:rsid w:val="000B06E6"/>
    <w:rsid w:val="000B124A"/>
    <w:rsid w:val="000B263E"/>
    <w:rsid w:val="000B275F"/>
    <w:rsid w:val="000B3BA1"/>
    <w:rsid w:val="000B71E1"/>
    <w:rsid w:val="000B7C68"/>
    <w:rsid w:val="000C0710"/>
    <w:rsid w:val="000C1DDB"/>
    <w:rsid w:val="000C302B"/>
    <w:rsid w:val="000C5F2E"/>
    <w:rsid w:val="000D06B9"/>
    <w:rsid w:val="000D08F2"/>
    <w:rsid w:val="000D1B54"/>
    <w:rsid w:val="000D1C7C"/>
    <w:rsid w:val="000D25C3"/>
    <w:rsid w:val="000D2631"/>
    <w:rsid w:val="000D5225"/>
    <w:rsid w:val="000D64DF"/>
    <w:rsid w:val="000D6A12"/>
    <w:rsid w:val="000D6AB6"/>
    <w:rsid w:val="000D748A"/>
    <w:rsid w:val="000D77B0"/>
    <w:rsid w:val="000E29AB"/>
    <w:rsid w:val="000E2B99"/>
    <w:rsid w:val="000E2BA6"/>
    <w:rsid w:val="000E2BC4"/>
    <w:rsid w:val="000E2F94"/>
    <w:rsid w:val="000E4252"/>
    <w:rsid w:val="000E72F4"/>
    <w:rsid w:val="000F2D9A"/>
    <w:rsid w:val="000F625B"/>
    <w:rsid w:val="000F6922"/>
    <w:rsid w:val="000F6F76"/>
    <w:rsid w:val="000F779B"/>
    <w:rsid w:val="000F7A49"/>
    <w:rsid w:val="00101EAB"/>
    <w:rsid w:val="00102949"/>
    <w:rsid w:val="00102DC5"/>
    <w:rsid w:val="001036C5"/>
    <w:rsid w:val="00103AF4"/>
    <w:rsid w:val="0010497A"/>
    <w:rsid w:val="00105F69"/>
    <w:rsid w:val="00106056"/>
    <w:rsid w:val="0011041E"/>
    <w:rsid w:val="001108A5"/>
    <w:rsid w:val="0011112A"/>
    <w:rsid w:val="00111414"/>
    <w:rsid w:val="001121E4"/>
    <w:rsid w:val="00112855"/>
    <w:rsid w:val="0011576C"/>
    <w:rsid w:val="00115EBA"/>
    <w:rsid w:val="001203BA"/>
    <w:rsid w:val="00120CA6"/>
    <w:rsid w:val="001218B3"/>
    <w:rsid w:val="00122706"/>
    <w:rsid w:val="001242E7"/>
    <w:rsid w:val="001249CE"/>
    <w:rsid w:val="00124B4D"/>
    <w:rsid w:val="00125117"/>
    <w:rsid w:val="00125904"/>
    <w:rsid w:val="00126FC1"/>
    <w:rsid w:val="00127A05"/>
    <w:rsid w:val="00127F91"/>
    <w:rsid w:val="001315C6"/>
    <w:rsid w:val="001337C7"/>
    <w:rsid w:val="001342B4"/>
    <w:rsid w:val="001346A7"/>
    <w:rsid w:val="0013794D"/>
    <w:rsid w:val="00137D0F"/>
    <w:rsid w:val="0014119D"/>
    <w:rsid w:val="00141B82"/>
    <w:rsid w:val="001428E5"/>
    <w:rsid w:val="00142FF0"/>
    <w:rsid w:val="0014501F"/>
    <w:rsid w:val="00146322"/>
    <w:rsid w:val="001469DE"/>
    <w:rsid w:val="00147111"/>
    <w:rsid w:val="00147A54"/>
    <w:rsid w:val="00151266"/>
    <w:rsid w:val="00151974"/>
    <w:rsid w:val="0015528E"/>
    <w:rsid w:val="00161C42"/>
    <w:rsid w:val="00164400"/>
    <w:rsid w:val="00165786"/>
    <w:rsid w:val="001661D0"/>
    <w:rsid w:val="001661F7"/>
    <w:rsid w:val="00170E2E"/>
    <w:rsid w:val="0017111F"/>
    <w:rsid w:val="001712F0"/>
    <w:rsid w:val="00171439"/>
    <w:rsid w:val="00172A4F"/>
    <w:rsid w:val="0017640C"/>
    <w:rsid w:val="00177527"/>
    <w:rsid w:val="001779FC"/>
    <w:rsid w:val="00177D6D"/>
    <w:rsid w:val="00181A18"/>
    <w:rsid w:val="00182B34"/>
    <w:rsid w:val="00182B38"/>
    <w:rsid w:val="00183D17"/>
    <w:rsid w:val="00186F4C"/>
    <w:rsid w:val="001870D1"/>
    <w:rsid w:val="001872D9"/>
    <w:rsid w:val="00187E4A"/>
    <w:rsid w:val="00191B22"/>
    <w:rsid w:val="0019323B"/>
    <w:rsid w:val="00193ADE"/>
    <w:rsid w:val="00194B26"/>
    <w:rsid w:val="00195D95"/>
    <w:rsid w:val="001969F3"/>
    <w:rsid w:val="00197158"/>
    <w:rsid w:val="001971BE"/>
    <w:rsid w:val="00197C24"/>
    <w:rsid w:val="001A0954"/>
    <w:rsid w:val="001A2434"/>
    <w:rsid w:val="001A4EF5"/>
    <w:rsid w:val="001A536D"/>
    <w:rsid w:val="001A5851"/>
    <w:rsid w:val="001A6507"/>
    <w:rsid w:val="001A6D7F"/>
    <w:rsid w:val="001B0E9E"/>
    <w:rsid w:val="001B19AE"/>
    <w:rsid w:val="001B1B3E"/>
    <w:rsid w:val="001B34EC"/>
    <w:rsid w:val="001B36D6"/>
    <w:rsid w:val="001B3774"/>
    <w:rsid w:val="001B41A8"/>
    <w:rsid w:val="001B444B"/>
    <w:rsid w:val="001B4737"/>
    <w:rsid w:val="001B490F"/>
    <w:rsid w:val="001B5095"/>
    <w:rsid w:val="001B64C6"/>
    <w:rsid w:val="001B6BB1"/>
    <w:rsid w:val="001B6FF6"/>
    <w:rsid w:val="001C03F3"/>
    <w:rsid w:val="001C0DFC"/>
    <w:rsid w:val="001C255C"/>
    <w:rsid w:val="001C34C7"/>
    <w:rsid w:val="001C3C74"/>
    <w:rsid w:val="001C411F"/>
    <w:rsid w:val="001C53CE"/>
    <w:rsid w:val="001C5B32"/>
    <w:rsid w:val="001C5C38"/>
    <w:rsid w:val="001C66C1"/>
    <w:rsid w:val="001C6BF3"/>
    <w:rsid w:val="001C7F77"/>
    <w:rsid w:val="001D29F1"/>
    <w:rsid w:val="001D2EFE"/>
    <w:rsid w:val="001D3EB7"/>
    <w:rsid w:val="001D497A"/>
    <w:rsid w:val="001D4BA6"/>
    <w:rsid w:val="001D4CDD"/>
    <w:rsid w:val="001D64D7"/>
    <w:rsid w:val="001D6A1F"/>
    <w:rsid w:val="001D75A5"/>
    <w:rsid w:val="001E0434"/>
    <w:rsid w:val="001E1D77"/>
    <w:rsid w:val="001E26FC"/>
    <w:rsid w:val="001E3323"/>
    <w:rsid w:val="001E4EC2"/>
    <w:rsid w:val="001E70B8"/>
    <w:rsid w:val="001E76E6"/>
    <w:rsid w:val="001E787E"/>
    <w:rsid w:val="001F0305"/>
    <w:rsid w:val="001F0B29"/>
    <w:rsid w:val="001F0B90"/>
    <w:rsid w:val="001F1DB6"/>
    <w:rsid w:val="001F2BFC"/>
    <w:rsid w:val="001F34EB"/>
    <w:rsid w:val="001F4779"/>
    <w:rsid w:val="001F4828"/>
    <w:rsid w:val="001F5DFF"/>
    <w:rsid w:val="001F6827"/>
    <w:rsid w:val="00200BF3"/>
    <w:rsid w:val="00200E1A"/>
    <w:rsid w:val="0020118D"/>
    <w:rsid w:val="00202706"/>
    <w:rsid w:val="002032CC"/>
    <w:rsid w:val="00205B24"/>
    <w:rsid w:val="00206635"/>
    <w:rsid w:val="00210AD6"/>
    <w:rsid w:val="0021130D"/>
    <w:rsid w:val="00211506"/>
    <w:rsid w:val="002128CB"/>
    <w:rsid w:val="002129EC"/>
    <w:rsid w:val="00213204"/>
    <w:rsid w:val="00213713"/>
    <w:rsid w:val="00213C66"/>
    <w:rsid w:val="00214D30"/>
    <w:rsid w:val="002160FF"/>
    <w:rsid w:val="00216474"/>
    <w:rsid w:val="002169BD"/>
    <w:rsid w:val="0022217B"/>
    <w:rsid w:val="00222480"/>
    <w:rsid w:val="00222C6E"/>
    <w:rsid w:val="00222E1D"/>
    <w:rsid w:val="00223465"/>
    <w:rsid w:val="00223646"/>
    <w:rsid w:val="00223B6E"/>
    <w:rsid w:val="00223C9D"/>
    <w:rsid w:val="00225C04"/>
    <w:rsid w:val="00225D0F"/>
    <w:rsid w:val="0022766A"/>
    <w:rsid w:val="00230D84"/>
    <w:rsid w:val="00232D84"/>
    <w:rsid w:val="00234233"/>
    <w:rsid w:val="00237666"/>
    <w:rsid w:val="00240AE1"/>
    <w:rsid w:val="002412CB"/>
    <w:rsid w:val="00243DE7"/>
    <w:rsid w:val="0024601A"/>
    <w:rsid w:val="002471AA"/>
    <w:rsid w:val="00247C03"/>
    <w:rsid w:val="002524B2"/>
    <w:rsid w:val="002529EB"/>
    <w:rsid w:val="00252FDC"/>
    <w:rsid w:val="002546B4"/>
    <w:rsid w:val="002559B9"/>
    <w:rsid w:val="00256964"/>
    <w:rsid w:val="002574BF"/>
    <w:rsid w:val="0026152B"/>
    <w:rsid w:val="00262CC8"/>
    <w:rsid w:val="00263F6F"/>
    <w:rsid w:val="00265D15"/>
    <w:rsid w:val="00265FB8"/>
    <w:rsid w:val="00267D25"/>
    <w:rsid w:val="00270427"/>
    <w:rsid w:val="002745B1"/>
    <w:rsid w:val="00274903"/>
    <w:rsid w:val="00274DDC"/>
    <w:rsid w:val="002811AC"/>
    <w:rsid w:val="00281877"/>
    <w:rsid w:val="00284220"/>
    <w:rsid w:val="002850E3"/>
    <w:rsid w:val="00286148"/>
    <w:rsid w:val="00287CBE"/>
    <w:rsid w:val="00290E70"/>
    <w:rsid w:val="00291437"/>
    <w:rsid w:val="002923A0"/>
    <w:rsid w:val="0029291A"/>
    <w:rsid w:val="00293221"/>
    <w:rsid w:val="00293CF2"/>
    <w:rsid w:val="00293DB3"/>
    <w:rsid w:val="00294795"/>
    <w:rsid w:val="00295B49"/>
    <w:rsid w:val="00297038"/>
    <w:rsid w:val="002971C0"/>
    <w:rsid w:val="00297C9C"/>
    <w:rsid w:val="002A07A2"/>
    <w:rsid w:val="002A0C87"/>
    <w:rsid w:val="002A2749"/>
    <w:rsid w:val="002A39F9"/>
    <w:rsid w:val="002A4FED"/>
    <w:rsid w:val="002A50BB"/>
    <w:rsid w:val="002A5194"/>
    <w:rsid w:val="002A66EE"/>
    <w:rsid w:val="002A774D"/>
    <w:rsid w:val="002A7D2B"/>
    <w:rsid w:val="002B0370"/>
    <w:rsid w:val="002B1545"/>
    <w:rsid w:val="002B42C9"/>
    <w:rsid w:val="002B60F8"/>
    <w:rsid w:val="002B64B5"/>
    <w:rsid w:val="002C0F95"/>
    <w:rsid w:val="002C290A"/>
    <w:rsid w:val="002C3563"/>
    <w:rsid w:val="002C42F9"/>
    <w:rsid w:val="002C5281"/>
    <w:rsid w:val="002C6CA1"/>
    <w:rsid w:val="002D105C"/>
    <w:rsid w:val="002D278C"/>
    <w:rsid w:val="002D365E"/>
    <w:rsid w:val="002D4D5F"/>
    <w:rsid w:val="002D4ECD"/>
    <w:rsid w:val="002D4F69"/>
    <w:rsid w:val="002D5C1F"/>
    <w:rsid w:val="002D7400"/>
    <w:rsid w:val="002E0CF4"/>
    <w:rsid w:val="002E378C"/>
    <w:rsid w:val="002E41E9"/>
    <w:rsid w:val="002E4AC7"/>
    <w:rsid w:val="002E64EB"/>
    <w:rsid w:val="002E65C6"/>
    <w:rsid w:val="002E71FE"/>
    <w:rsid w:val="002E779A"/>
    <w:rsid w:val="002E78B8"/>
    <w:rsid w:val="002F0054"/>
    <w:rsid w:val="002F120E"/>
    <w:rsid w:val="002F1264"/>
    <w:rsid w:val="002F151F"/>
    <w:rsid w:val="002F1BA9"/>
    <w:rsid w:val="002F2948"/>
    <w:rsid w:val="002F38BD"/>
    <w:rsid w:val="002F4372"/>
    <w:rsid w:val="002F49FC"/>
    <w:rsid w:val="002F4C44"/>
    <w:rsid w:val="002F741A"/>
    <w:rsid w:val="00300352"/>
    <w:rsid w:val="00301E53"/>
    <w:rsid w:val="00302427"/>
    <w:rsid w:val="00302882"/>
    <w:rsid w:val="00302DF1"/>
    <w:rsid w:val="00303508"/>
    <w:rsid w:val="00303889"/>
    <w:rsid w:val="00303BCD"/>
    <w:rsid w:val="00303C79"/>
    <w:rsid w:val="00304BE0"/>
    <w:rsid w:val="0030560C"/>
    <w:rsid w:val="00305A17"/>
    <w:rsid w:val="00305D64"/>
    <w:rsid w:val="00305F11"/>
    <w:rsid w:val="00307EA6"/>
    <w:rsid w:val="00311EBC"/>
    <w:rsid w:val="003128B5"/>
    <w:rsid w:val="00313984"/>
    <w:rsid w:val="00314D36"/>
    <w:rsid w:val="00314DF1"/>
    <w:rsid w:val="0031520D"/>
    <w:rsid w:val="00315301"/>
    <w:rsid w:val="00317A5F"/>
    <w:rsid w:val="00317B11"/>
    <w:rsid w:val="00317EC7"/>
    <w:rsid w:val="003214A2"/>
    <w:rsid w:val="00321911"/>
    <w:rsid w:val="003244D6"/>
    <w:rsid w:val="00324909"/>
    <w:rsid w:val="00324C19"/>
    <w:rsid w:val="00325C2C"/>
    <w:rsid w:val="00325E78"/>
    <w:rsid w:val="00326EFA"/>
    <w:rsid w:val="003307C0"/>
    <w:rsid w:val="0033167C"/>
    <w:rsid w:val="003317B8"/>
    <w:rsid w:val="0033193A"/>
    <w:rsid w:val="00332EFF"/>
    <w:rsid w:val="00334FB5"/>
    <w:rsid w:val="00337171"/>
    <w:rsid w:val="0034010D"/>
    <w:rsid w:val="00340466"/>
    <w:rsid w:val="00341454"/>
    <w:rsid w:val="003424A5"/>
    <w:rsid w:val="00343230"/>
    <w:rsid w:val="003433A5"/>
    <w:rsid w:val="003441A3"/>
    <w:rsid w:val="00344A2C"/>
    <w:rsid w:val="00346DED"/>
    <w:rsid w:val="003471BB"/>
    <w:rsid w:val="00347A71"/>
    <w:rsid w:val="00347BC0"/>
    <w:rsid w:val="003511D6"/>
    <w:rsid w:val="00351500"/>
    <w:rsid w:val="00354A0D"/>
    <w:rsid w:val="00355ADC"/>
    <w:rsid w:val="00357C08"/>
    <w:rsid w:val="00360615"/>
    <w:rsid w:val="00360AC6"/>
    <w:rsid w:val="0036132E"/>
    <w:rsid w:val="003632AF"/>
    <w:rsid w:val="00363382"/>
    <w:rsid w:val="003648EF"/>
    <w:rsid w:val="00364B44"/>
    <w:rsid w:val="003662FF"/>
    <w:rsid w:val="00366976"/>
    <w:rsid w:val="00366DCA"/>
    <w:rsid w:val="00367F4D"/>
    <w:rsid w:val="003720FF"/>
    <w:rsid w:val="003724DD"/>
    <w:rsid w:val="00372C4B"/>
    <w:rsid w:val="003737D3"/>
    <w:rsid w:val="00373AD4"/>
    <w:rsid w:val="003740C9"/>
    <w:rsid w:val="00375086"/>
    <w:rsid w:val="00375498"/>
    <w:rsid w:val="0037669A"/>
    <w:rsid w:val="003775EC"/>
    <w:rsid w:val="00377AB1"/>
    <w:rsid w:val="00380186"/>
    <w:rsid w:val="0038280E"/>
    <w:rsid w:val="00383BD1"/>
    <w:rsid w:val="00383FA8"/>
    <w:rsid w:val="00386060"/>
    <w:rsid w:val="00386509"/>
    <w:rsid w:val="00386CF0"/>
    <w:rsid w:val="00387692"/>
    <w:rsid w:val="0038771F"/>
    <w:rsid w:val="00393DA6"/>
    <w:rsid w:val="0039404D"/>
    <w:rsid w:val="00395975"/>
    <w:rsid w:val="0039738E"/>
    <w:rsid w:val="0039771F"/>
    <w:rsid w:val="003A0C58"/>
    <w:rsid w:val="003A0DAB"/>
    <w:rsid w:val="003A138A"/>
    <w:rsid w:val="003A15F9"/>
    <w:rsid w:val="003A5CC4"/>
    <w:rsid w:val="003A6D5C"/>
    <w:rsid w:val="003A719C"/>
    <w:rsid w:val="003B105A"/>
    <w:rsid w:val="003B2559"/>
    <w:rsid w:val="003B29F9"/>
    <w:rsid w:val="003B4058"/>
    <w:rsid w:val="003B4176"/>
    <w:rsid w:val="003B430A"/>
    <w:rsid w:val="003B4FDB"/>
    <w:rsid w:val="003B65B4"/>
    <w:rsid w:val="003B796D"/>
    <w:rsid w:val="003B7C56"/>
    <w:rsid w:val="003C118F"/>
    <w:rsid w:val="003C1401"/>
    <w:rsid w:val="003C27DC"/>
    <w:rsid w:val="003C2BC5"/>
    <w:rsid w:val="003C2F74"/>
    <w:rsid w:val="003C37AF"/>
    <w:rsid w:val="003C3D3E"/>
    <w:rsid w:val="003C527B"/>
    <w:rsid w:val="003C570F"/>
    <w:rsid w:val="003C5D50"/>
    <w:rsid w:val="003C6F0B"/>
    <w:rsid w:val="003C7DBE"/>
    <w:rsid w:val="003D0C4A"/>
    <w:rsid w:val="003D44FD"/>
    <w:rsid w:val="003D5069"/>
    <w:rsid w:val="003D6A50"/>
    <w:rsid w:val="003D7C6B"/>
    <w:rsid w:val="003D7E90"/>
    <w:rsid w:val="003D7FCB"/>
    <w:rsid w:val="003E1F5B"/>
    <w:rsid w:val="003E29AD"/>
    <w:rsid w:val="003E34E7"/>
    <w:rsid w:val="003E5F44"/>
    <w:rsid w:val="003E6739"/>
    <w:rsid w:val="003E780A"/>
    <w:rsid w:val="003F099A"/>
    <w:rsid w:val="003F0A8D"/>
    <w:rsid w:val="003F0B3F"/>
    <w:rsid w:val="003F0C18"/>
    <w:rsid w:val="003F19D3"/>
    <w:rsid w:val="003F1E7A"/>
    <w:rsid w:val="003F27A3"/>
    <w:rsid w:val="003F3173"/>
    <w:rsid w:val="003F6B1A"/>
    <w:rsid w:val="003F714F"/>
    <w:rsid w:val="003F7A64"/>
    <w:rsid w:val="00400093"/>
    <w:rsid w:val="00404F07"/>
    <w:rsid w:val="0040672D"/>
    <w:rsid w:val="00406850"/>
    <w:rsid w:val="004070BB"/>
    <w:rsid w:val="004108C8"/>
    <w:rsid w:val="00410B90"/>
    <w:rsid w:val="00410C70"/>
    <w:rsid w:val="004123BD"/>
    <w:rsid w:val="004141E6"/>
    <w:rsid w:val="00414D5B"/>
    <w:rsid w:val="00414E10"/>
    <w:rsid w:val="004154C4"/>
    <w:rsid w:val="00415BCA"/>
    <w:rsid w:val="004164AB"/>
    <w:rsid w:val="0041655F"/>
    <w:rsid w:val="004166D7"/>
    <w:rsid w:val="004175CB"/>
    <w:rsid w:val="00421816"/>
    <w:rsid w:val="00423EBF"/>
    <w:rsid w:val="0042449C"/>
    <w:rsid w:val="00425316"/>
    <w:rsid w:val="0042594D"/>
    <w:rsid w:val="00425D4C"/>
    <w:rsid w:val="00430B11"/>
    <w:rsid w:val="00430B1C"/>
    <w:rsid w:val="004320F0"/>
    <w:rsid w:val="0043303E"/>
    <w:rsid w:val="00434116"/>
    <w:rsid w:val="00434433"/>
    <w:rsid w:val="00434BAC"/>
    <w:rsid w:val="00435A64"/>
    <w:rsid w:val="00436DEE"/>
    <w:rsid w:val="00440236"/>
    <w:rsid w:val="00440A44"/>
    <w:rsid w:val="00441A76"/>
    <w:rsid w:val="0044234D"/>
    <w:rsid w:val="00442617"/>
    <w:rsid w:val="004429D7"/>
    <w:rsid w:val="004455B8"/>
    <w:rsid w:val="00445F75"/>
    <w:rsid w:val="004467DF"/>
    <w:rsid w:val="00446D1E"/>
    <w:rsid w:val="0045013A"/>
    <w:rsid w:val="00450562"/>
    <w:rsid w:val="0045124D"/>
    <w:rsid w:val="00451FF0"/>
    <w:rsid w:val="0045365A"/>
    <w:rsid w:val="0045451F"/>
    <w:rsid w:val="004551EA"/>
    <w:rsid w:val="00455433"/>
    <w:rsid w:val="00455439"/>
    <w:rsid w:val="0045664F"/>
    <w:rsid w:val="00457E45"/>
    <w:rsid w:val="0046026E"/>
    <w:rsid w:val="00460B92"/>
    <w:rsid w:val="00461D84"/>
    <w:rsid w:val="004623EA"/>
    <w:rsid w:val="00462957"/>
    <w:rsid w:val="004637E0"/>
    <w:rsid w:val="004638E7"/>
    <w:rsid w:val="0046452B"/>
    <w:rsid w:val="004647CE"/>
    <w:rsid w:val="00465FFA"/>
    <w:rsid w:val="004664F9"/>
    <w:rsid w:val="00466C48"/>
    <w:rsid w:val="00466CDE"/>
    <w:rsid w:val="004670C2"/>
    <w:rsid w:val="0046723B"/>
    <w:rsid w:val="00467707"/>
    <w:rsid w:val="00471069"/>
    <w:rsid w:val="0047454D"/>
    <w:rsid w:val="00476B45"/>
    <w:rsid w:val="00476B94"/>
    <w:rsid w:val="0048094F"/>
    <w:rsid w:val="00480FFB"/>
    <w:rsid w:val="0048144F"/>
    <w:rsid w:val="004818B3"/>
    <w:rsid w:val="00482374"/>
    <w:rsid w:val="00484B4F"/>
    <w:rsid w:val="0048717E"/>
    <w:rsid w:val="004875AE"/>
    <w:rsid w:val="00487B74"/>
    <w:rsid w:val="00491310"/>
    <w:rsid w:val="00492CFD"/>
    <w:rsid w:val="00492FFC"/>
    <w:rsid w:val="0049328F"/>
    <w:rsid w:val="00494BB2"/>
    <w:rsid w:val="00497000"/>
    <w:rsid w:val="004A0583"/>
    <w:rsid w:val="004A1F82"/>
    <w:rsid w:val="004A36C7"/>
    <w:rsid w:val="004A3FA2"/>
    <w:rsid w:val="004A4660"/>
    <w:rsid w:val="004A5DFA"/>
    <w:rsid w:val="004A63C2"/>
    <w:rsid w:val="004B0B1A"/>
    <w:rsid w:val="004B0CDA"/>
    <w:rsid w:val="004B193D"/>
    <w:rsid w:val="004B4266"/>
    <w:rsid w:val="004B517D"/>
    <w:rsid w:val="004B51BB"/>
    <w:rsid w:val="004B645A"/>
    <w:rsid w:val="004B69E9"/>
    <w:rsid w:val="004C1DDC"/>
    <w:rsid w:val="004C1F3E"/>
    <w:rsid w:val="004C28F3"/>
    <w:rsid w:val="004C3ED2"/>
    <w:rsid w:val="004C50AE"/>
    <w:rsid w:val="004C51A7"/>
    <w:rsid w:val="004C7F01"/>
    <w:rsid w:val="004D0D57"/>
    <w:rsid w:val="004D1473"/>
    <w:rsid w:val="004D1E6F"/>
    <w:rsid w:val="004D218F"/>
    <w:rsid w:val="004D26B3"/>
    <w:rsid w:val="004D28FA"/>
    <w:rsid w:val="004D4E66"/>
    <w:rsid w:val="004D4F04"/>
    <w:rsid w:val="004D5890"/>
    <w:rsid w:val="004D5B75"/>
    <w:rsid w:val="004D6876"/>
    <w:rsid w:val="004D7431"/>
    <w:rsid w:val="004D7999"/>
    <w:rsid w:val="004E000C"/>
    <w:rsid w:val="004E02B5"/>
    <w:rsid w:val="004E06A8"/>
    <w:rsid w:val="004E1358"/>
    <w:rsid w:val="004E153B"/>
    <w:rsid w:val="004E156B"/>
    <w:rsid w:val="004E1B88"/>
    <w:rsid w:val="004E2CB7"/>
    <w:rsid w:val="004E417F"/>
    <w:rsid w:val="004E4A83"/>
    <w:rsid w:val="004E53F8"/>
    <w:rsid w:val="004E5AD9"/>
    <w:rsid w:val="004E71C1"/>
    <w:rsid w:val="004E7448"/>
    <w:rsid w:val="004F053E"/>
    <w:rsid w:val="004F0BFB"/>
    <w:rsid w:val="004F0DD8"/>
    <w:rsid w:val="004F2EAB"/>
    <w:rsid w:val="004F3C8F"/>
    <w:rsid w:val="004F42FD"/>
    <w:rsid w:val="004F5085"/>
    <w:rsid w:val="004F5583"/>
    <w:rsid w:val="004F6DFA"/>
    <w:rsid w:val="004F7042"/>
    <w:rsid w:val="004F7AD8"/>
    <w:rsid w:val="004F7C36"/>
    <w:rsid w:val="005014C0"/>
    <w:rsid w:val="005021D6"/>
    <w:rsid w:val="00502F95"/>
    <w:rsid w:val="00503656"/>
    <w:rsid w:val="00504A61"/>
    <w:rsid w:val="00506459"/>
    <w:rsid w:val="00506818"/>
    <w:rsid w:val="00506E9C"/>
    <w:rsid w:val="00507591"/>
    <w:rsid w:val="00510820"/>
    <w:rsid w:val="00510A02"/>
    <w:rsid w:val="0051154B"/>
    <w:rsid w:val="00514BC9"/>
    <w:rsid w:val="00514D8F"/>
    <w:rsid w:val="00515E6F"/>
    <w:rsid w:val="00516529"/>
    <w:rsid w:val="005167E9"/>
    <w:rsid w:val="00516F02"/>
    <w:rsid w:val="005177A1"/>
    <w:rsid w:val="005201EC"/>
    <w:rsid w:val="005213E9"/>
    <w:rsid w:val="005215FF"/>
    <w:rsid w:val="00521DE2"/>
    <w:rsid w:val="00522CDC"/>
    <w:rsid w:val="005239BD"/>
    <w:rsid w:val="00523A54"/>
    <w:rsid w:val="00523C9F"/>
    <w:rsid w:val="00524AF3"/>
    <w:rsid w:val="00525342"/>
    <w:rsid w:val="00525ECB"/>
    <w:rsid w:val="00527C63"/>
    <w:rsid w:val="00530D75"/>
    <w:rsid w:val="005328F5"/>
    <w:rsid w:val="00532ADC"/>
    <w:rsid w:val="00533A4A"/>
    <w:rsid w:val="005341B2"/>
    <w:rsid w:val="00534B61"/>
    <w:rsid w:val="00535574"/>
    <w:rsid w:val="0053596A"/>
    <w:rsid w:val="00535DAA"/>
    <w:rsid w:val="00536020"/>
    <w:rsid w:val="005362E7"/>
    <w:rsid w:val="00536759"/>
    <w:rsid w:val="00536A28"/>
    <w:rsid w:val="00540C12"/>
    <w:rsid w:val="00541F5A"/>
    <w:rsid w:val="0054217F"/>
    <w:rsid w:val="00543D37"/>
    <w:rsid w:val="00544198"/>
    <w:rsid w:val="00544B88"/>
    <w:rsid w:val="00545A14"/>
    <w:rsid w:val="00545F5D"/>
    <w:rsid w:val="00546B83"/>
    <w:rsid w:val="00546F6C"/>
    <w:rsid w:val="00547E56"/>
    <w:rsid w:val="00550273"/>
    <w:rsid w:val="00551572"/>
    <w:rsid w:val="00552D66"/>
    <w:rsid w:val="0055388B"/>
    <w:rsid w:val="00553BEB"/>
    <w:rsid w:val="005550C4"/>
    <w:rsid w:val="00556294"/>
    <w:rsid w:val="005564F0"/>
    <w:rsid w:val="005565AE"/>
    <w:rsid w:val="00557638"/>
    <w:rsid w:val="005576CA"/>
    <w:rsid w:val="0056111F"/>
    <w:rsid w:val="00562C8C"/>
    <w:rsid w:val="00563CDF"/>
    <w:rsid w:val="005657D4"/>
    <w:rsid w:val="0056587E"/>
    <w:rsid w:val="005662D1"/>
    <w:rsid w:val="00567A12"/>
    <w:rsid w:val="00570059"/>
    <w:rsid w:val="005706BA"/>
    <w:rsid w:val="005724C6"/>
    <w:rsid w:val="00573327"/>
    <w:rsid w:val="005747F2"/>
    <w:rsid w:val="00575F0C"/>
    <w:rsid w:val="00576C42"/>
    <w:rsid w:val="00576D08"/>
    <w:rsid w:val="00577FEB"/>
    <w:rsid w:val="005808CD"/>
    <w:rsid w:val="00582AD5"/>
    <w:rsid w:val="005838EC"/>
    <w:rsid w:val="00584593"/>
    <w:rsid w:val="00584E41"/>
    <w:rsid w:val="00586702"/>
    <w:rsid w:val="005907BD"/>
    <w:rsid w:val="00590807"/>
    <w:rsid w:val="00593535"/>
    <w:rsid w:val="0059381B"/>
    <w:rsid w:val="005945D9"/>
    <w:rsid w:val="00594888"/>
    <w:rsid w:val="0059669E"/>
    <w:rsid w:val="005969F7"/>
    <w:rsid w:val="00596BEF"/>
    <w:rsid w:val="00596D81"/>
    <w:rsid w:val="005A0611"/>
    <w:rsid w:val="005A0BA0"/>
    <w:rsid w:val="005A4221"/>
    <w:rsid w:val="005A4484"/>
    <w:rsid w:val="005A51C6"/>
    <w:rsid w:val="005A5284"/>
    <w:rsid w:val="005B1287"/>
    <w:rsid w:val="005B19C9"/>
    <w:rsid w:val="005B2AA9"/>
    <w:rsid w:val="005B2B86"/>
    <w:rsid w:val="005B2E36"/>
    <w:rsid w:val="005B3E8E"/>
    <w:rsid w:val="005B73A9"/>
    <w:rsid w:val="005C0918"/>
    <w:rsid w:val="005C13C0"/>
    <w:rsid w:val="005C37B4"/>
    <w:rsid w:val="005C384E"/>
    <w:rsid w:val="005C4448"/>
    <w:rsid w:val="005C456D"/>
    <w:rsid w:val="005C4F52"/>
    <w:rsid w:val="005C5391"/>
    <w:rsid w:val="005C5C44"/>
    <w:rsid w:val="005C653E"/>
    <w:rsid w:val="005C6F4F"/>
    <w:rsid w:val="005C6F60"/>
    <w:rsid w:val="005D0672"/>
    <w:rsid w:val="005D098F"/>
    <w:rsid w:val="005D16D3"/>
    <w:rsid w:val="005D1DC7"/>
    <w:rsid w:val="005D2801"/>
    <w:rsid w:val="005D3546"/>
    <w:rsid w:val="005D6C71"/>
    <w:rsid w:val="005D7433"/>
    <w:rsid w:val="005D7B91"/>
    <w:rsid w:val="005D7CDC"/>
    <w:rsid w:val="005E1237"/>
    <w:rsid w:val="005E2BCD"/>
    <w:rsid w:val="005E345B"/>
    <w:rsid w:val="005E5417"/>
    <w:rsid w:val="005E61FC"/>
    <w:rsid w:val="005E6940"/>
    <w:rsid w:val="005E699A"/>
    <w:rsid w:val="005F0E60"/>
    <w:rsid w:val="005F1794"/>
    <w:rsid w:val="005F271B"/>
    <w:rsid w:val="005F2733"/>
    <w:rsid w:val="005F432B"/>
    <w:rsid w:val="005F44C3"/>
    <w:rsid w:val="005F45C1"/>
    <w:rsid w:val="005F4691"/>
    <w:rsid w:val="00600537"/>
    <w:rsid w:val="00602DE8"/>
    <w:rsid w:val="006033C8"/>
    <w:rsid w:val="00603E87"/>
    <w:rsid w:val="00604833"/>
    <w:rsid w:val="0060541D"/>
    <w:rsid w:val="00605847"/>
    <w:rsid w:val="00606707"/>
    <w:rsid w:val="00607F1D"/>
    <w:rsid w:val="00612E87"/>
    <w:rsid w:val="0061626E"/>
    <w:rsid w:val="006167D6"/>
    <w:rsid w:val="00617215"/>
    <w:rsid w:val="006175FF"/>
    <w:rsid w:val="00617EA1"/>
    <w:rsid w:val="00620323"/>
    <w:rsid w:val="00620781"/>
    <w:rsid w:val="00622D56"/>
    <w:rsid w:val="00622FFF"/>
    <w:rsid w:val="00623BE8"/>
    <w:rsid w:val="0062427A"/>
    <w:rsid w:val="006245ED"/>
    <w:rsid w:val="00625AB0"/>
    <w:rsid w:val="006261B0"/>
    <w:rsid w:val="00627116"/>
    <w:rsid w:val="00627663"/>
    <w:rsid w:val="00631427"/>
    <w:rsid w:val="00632A1A"/>
    <w:rsid w:val="00632E0B"/>
    <w:rsid w:val="006334EE"/>
    <w:rsid w:val="0063462B"/>
    <w:rsid w:val="00635479"/>
    <w:rsid w:val="006355DB"/>
    <w:rsid w:val="00640194"/>
    <w:rsid w:val="00641548"/>
    <w:rsid w:val="006431C5"/>
    <w:rsid w:val="00644363"/>
    <w:rsid w:val="006456D4"/>
    <w:rsid w:val="006466B5"/>
    <w:rsid w:val="00646703"/>
    <w:rsid w:val="00650873"/>
    <w:rsid w:val="006516ED"/>
    <w:rsid w:val="00651C3E"/>
    <w:rsid w:val="006520E5"/>
    <w:rsid w:val="006539D7"/>
    <w:rsid w:val="00653F54"/>
    <w:rsid w:val="00654207"/>
    <w:rsid w:val="00654A52"/>
    <w:rsid w:val="00657D3E"/>
    <w:rsid w:val="00661E56"/>
    <w:rsid w:val="00662776"/>
    <w:rsid w:val="00662795"/>
    <w:rsid w:val="00662900"/>
    <w:rsid w:val="00663899"/>
    <w:rsid w:val="0066433D"/>
    <w:rsid w:val="00664C93"/>
    <w:rsid w:val="00664ED4"/>
    <w:rsid w:val="00665120"/>
    <w:rsid w:val="006653FB"/>
    <w:rsid w:val="00665E8D"/>
    <w:rsid w:val="00665EB8"/>
    <w:rsid w:val="006664D8"/>
    <w:rsid w:val="00666D74"/>
    <w:rsid w:val="00666D79"/>
    <w:rsid w:val="00667804"/>
    <w:rsid w:val="0067608E"/>
    <w:rsid w:val="006766FC"/>
    <w:rsid w:val="006806F6"/>
    <w:rsid w:val="00685933"/>
    <w:rsid w:val="00685D8F"/>
    <w:rsid w:val="006871E2"/>
    <w:rsid w:val="006874B0"/>
    <w:rsid w:val="006909BC"/>
    <w:rsid w:val="00693B5E"/>
    <w:rsid w:val="00693C82"/>
    <w:rsid w:val="006946F0"/>
    <w:rsid w:val="00694916"/>
    <w:rsid w:val="00694C09"/>
    <w:rsid w:val="00695009"/>
    <w:rsid w:val="0069541E"/>
    <w:rsid w:val="00695FEA"/>
    <w:rsid w:val="00696000"/>
    <w:rsid w:val="006971C4"/>
    <w:rsid w:val="006A11CE"/>
    <w:rsid w:val="006A4908"/>
    <w:rsid w:val="006A5143"/>
    <w:rsid w:val="006A5F03"/>
    <w:rsid w:val="006B159E"/>
    <w:rsid w:val="006B1C41"/>
    <w:rsid w:val="006B206C"/>
    <w:rsid w:val="006B2CE4"/>
    <w:rsid w:val="006B35B7"/>
    <w:rsid w:val="006B3A47"/>
    <w:rsid w:val="006B5FA6"/>
    <w:rsid w:val="006B7340"/>
    <w:rsid w:val="006B74E0"/>
    <w:rsid w:val="006C0D39"/>
    <w:rsid w:val="006C19EE"/>
    <w:rsid w:val="006C1F03"/>
    <w:rsid w:val="006C26F5"/>
    <w:rsid w:val="006C3886"/>
    <w:rsid w:val="006C5C11"/>
    <w:rsid w:val="006D0556"/>
    <w:rsid w:val="006D0A7E"/>
    <w:rsid w:val="006D2B8F"/>
    <w:rsid w:val="006D3110"/>
    <w:rsid w:val="006D33F6"/>
    <w:rsid w:val="006D3F27"/>
    <w:rsid w:val="006D5506"/>
    <w:rsid w:val="006D620E"/>
    <w:rsid w:val="006D6D01"/>
    <w:rsid w:val="006D7819"/>
    <w:rsid w:val="006E1823"/>
    <w:rsid w:val="006E202B"/>
    <w:rsid w:val="006E280D"/>
    <w:rsid w:val="006E2CEF"/>
    <w:rsid w:val="006E4BAA"/>
    <w:rsid w:val="006E4E96"/>
    <w:rsid w:val="006E50C4"/>
    <w:rsid w:val="006E55F0"/>
    <w:rsid w:val="006E59ED"/>
    <w:rsid w:val="006E6663"/>
    <w:rsid w:val="006F18CB"/>
    <w:rsid w:val="006F2115"/>
    <w:rsid w:val="006F4112"/>
    <w:rsid w:val="006F49DF"/>
    <w:rsid w:val="006F4BD3"/>
    <w:rsid w:val="006F7C2E"/>
    <w:rsid w:val="00703275"/>
    <w:rsid w:val="00704193"/>
    <w:rsid w:val="00707BC2"/>
    <w:rsid w:val="00710421"/>
    <w:rsid w:val="00710904"/>
    <w:rsid w:val="00711DBF"/>
    <w:rsid w:val="00712A84"/>
    <w:rsid w:val="00714215"/>
    <w:rsid w:val="00716301"/>
    <w:rsid w:val="00717094"/>
    <w:rsid w:val="0071736B"/>
    <w:rsid w:val="007210AC"/>
    <w:rsid w:val="0072157C"/>
    <w:rsid w:val="0072259C"/>
    <w:rsid w:val="00722C6E"/>
    <w:rsid w:val="00724E73"/>
    <w:rsid w:val="007253DB"/>
    <w:rsid w:val="00725757"/>
    <w:rsid w:val="007257A1"/>
    <w:rsid w:val="00725B08"/>
    <w:rsid w:val="00730622"/>
    <w:rsid w:val="007317F4"/>
    <w:rsid w:val="00731BBB"/>
    <w:rsid w:val="00732172"/>
    <w:rsid w:val="007322A5"/>
    <w:rsid w:val="007336D8"/>
    <w:rsid w:val="00734D23"/>
    <w:rsid w:val="00734E8C"/>
    <w:rsid w:val="00736262"/>
    <w:rsid w:val="00736C2D"/>
    <w:rsid w:val="007376F4"/>
    <w:rsid w:val="007409A7"/>
    <w:rsid w:val="00740ACE"/>
    <w:rsid w:val="00741599"/>
    <w:rsid w:val="00743A13"/>
    <w:rsid w:val="00744F1E"/>
    <w:rsid w:val="00750260"/>
    <w:rsid w:val="00750CFB"/>
    <w:rsid w:val="00757E65"/>
    <w:rsid w:val="00760681"/>
    <w:rsid w:val="0076118F"/>
    <w:rsid w:val="007611A6"/>
    <w:rsid w:val="00762015"/>
    <w:rsid w:val="007649E2"/>
    <w:rsid w:val="00767571"/>
    <w:rsid w:val="00770AA3"/>
    <w:rsid w:val="0077180A"/>
    <w:rsid w:val="00771B41"/>
    <w:rsid w:val="00772596"/>
    <w:rsid w:val="007734D7"/>
    <w:rsid w:val="00774720"/>
    <w:rsid w:val="007747F5"/>
    <w:rsid w:val="007754E8"/>
    <w:rsid w:val="0077695B"/>
    <w:rsid w:val="00777006"/>
    <w:rsid w:val="00777122"/>
    <w:rsid w:val="00777B8A"/>
    <w:rsid w:val="00780F83"/>
    <w:rsid w:val="00780FC5"/>
    <w:rsid w:val="007821E0"/>
    <w:rsid w:val="00782949"/>
    <w:rsid w:val="0078380B"/>
    <w:rsid w:val="00783878"/>
    <w:rsid w:val="00783D01"/>
    <w:rsid w:val="007840CD"/>
    <w:rsid w:val="0078705C"/>
    <w:rsid w:val="0078791A"/>
    <w:rsid w:val="0079084B"/>
    <w:rsid w:val="00792668"/>
    <w:rsid w:val="00792B6B"/>
    <w:rsid w:val="00794FAF"/>
    <w:rsid w:val="00795B53"/>
    <w:rsid w:val="00796115"/>
    <w:rsid w:val="0079657E"/>
    <w:rsid w:val="00797AB2"/>
    <w:rsid w:val="00797FE9"/>
    <w:rsid w:val="007A026C"/>
    <w:rsid w:val="007A051A"/>
    <w:rsid w:val="007A09CC"/>
    <w:rsid w:val="007A12F1"/>
    <w:rsid w:val="007A3EB1"/>
    <w:rsid w:val="007A4169"/>
    <w:rsid w:val="007A44CD"/>
    <w:rsid w:val="007A6E46"/>
    <w:rsid w:val="007A780F"/>
    <w:rsid w:val="007B0638"/>
    <w:rsid w:val="007B313E"/>
    <w:rsid w:val="007B57D4"/>
    <w:rsid w:val="007B5C34"/>
    <w:rsid w:val="007B6D6C"/>
    <w:rsid w:val="007B6E90"/>
    <w:rsid w:val="007B7374"/>
    <w:rsid w:val="007B77A3"/>
    <w:rsid w:val="007B7F02"/>
    <w:rsid w:val="007C0B5E"/>
    <w:rsid w:val="007C1B9F"/>
    <w:rsid w:val="007C46D3"/>
    <w:rsid w:val="007C4D7B"/>
    <w:rsid w:val="007C5302"/>
    <w:rsid w:val="007C5E1C"/>
    <w:rsid w:val="007C62FC"/>
    <w:rsid w:val="007C75C2"/>
    <w:rsid w:val="007C7921"/>
    <w:rsid w:val="007D074E"/>
    <w:rsid w:val="007D11F9"/>
    <w:rsid w:val="007D40CB"/>
    <w:rsid w:val="007D4469"/>
    <w:rsid w:val="007D4EE6"/>
    <w:rsid w:val="007D5AEC"/>
    <w:rsid w:val="007D5C1A"/>
    <w:rsid w:val="007D5D14"/>
    <w:rsid w:val="007D696B"/>
    <w:rsid w:val="007D782E"/>
    <w:rsid w:val="007E02E3"/>
    <w:rsid w:val="007E1295"/>
    <w:rsid w:val="007E1754"/>
    <w:rsid w:val="007E181E"/>
    <w:rsid w:val="007E2AF3"/>
    <w:rsid w:val="007E5843"/>
    <w:rsid w:val="007E628D"/>
    <w:rsid w:val="007E6644"/>
    <w:rsid w:val="007F14DF"/>
    <w:rsid w:val="007F15D0"/>
    <w:rsid w:val="007F28CF"/>
    <w:rsid w:val="007F2AD9"/>
    <w:rsid w:val="007F5BBA"/>
    <w:rsid w:val="007F5E70"/>
    <w:rsid w:val="007F661A"/>
    <w:rsid w:val="007F6DC9"/>
    <w:rsid w:val="007F6ED2"/>
    <w:rsid w:val="00800166"/>
    <w:rsid w:val="00800208"/>
    <w:rsid w:val="00801F96"/>
    <w:rsid w:val="00803945"/>
    <w:rsid w:val="00803FC0"/>
    <w:rsid w:val="00806BE2"/>
    <w:rsid w:val="008121BC"/>
    <w:rsid w:val="0081238D"/>
    <w:rsid w:val="0081255B"/>
    <w:rsid w:val="00812711"/>
    <w:rsid w:val="00812B15"/>
    <w:rsid w:val="00815D12"/>
    <w:rsid w:val="00815E9C"/>
    <w:rsid w:val="0081622C"/>
    <w:rsid w:val="00816448"/>
    <w:rsid w:val="00816D62"/>
    <w:rsid w:val="00816E06"/>
    <w:rsid w:val="00817DC2"/>
    <w:rsid w:val="00820BC4"/>
    <w:rsid w:val="008217B3"/>
    <w:rsid w:val="008223D9"/>
    <w:rsid w:val="0082301C"/>
    <w:rsid w:val="0082340C"/>
    <w:rsid w:val="00823AA6"/>
    <w:rsid w:val="00823B52"/>
    <w:rsid w:val="0082405B"/>
    <w:rsid w:val="00825F72"/>
    <w:rsid w:val="00826E97"/>
    <w:rsid w:val="0083051E"/>
    <w:rsid w:val="00831D16"/>
    <w:rsid w:val="00834060"/>
    <w:rsid w:val="00840709"/>
    <w:rsid w:val="00840D1F"/>
    <w:rsid w:val="00841737"/>
    <w:rsid w:val="00844783"/>
    <w:rsid w:val="0084552F"/>
    <w:rsid w:val="00847545"/>
    <w:rsid w:val="00847596"/>
    <w:rsid w:val="00847D45"/>
    <w:rsid w:val="00850820"/>
    <w:rsid w:val="00852317"/>
    <w:rsid w:val="008526E2"/>
    <w:rsid w:val="00856702"/>
    <w:rsid w:val="00856DD6"/>
    <w:rsid w:val="00862383"/>
    <w:rsid w:val="00862B91"/>
    <w:rsid w:val="008641CB"/>
    <w:rsid w:val="008642D3"/>
    <w:rsid w:val="008662C6"/>
    <w:rsid w:val="0087070C"/>
    <w:rsid w:val="00871E48"/>
    <w:rsid w:val="00873DA2"/>
    <w:rsid w:val="00874857"/>
    <w:rsid w:val="00875D04"/>
    <w:rsid w:val="00876BED"/>
    <w:rsid w:val="00880685"/>
    <w:rsid w:val="00881A6C"/>
    <w:rsid w:val="00881E1A"/>
    <w:rsid w:val="00883B9F"/>
    <w:rsid w:val="00883BCD"/>
    <w:rsid w:val="0088504A"/>
    <w:rsid w:val="00885917"/>
    <w:rsid w:val="00885A3A"/>
    <w:rsid w:val="00885CF0"/>
    <w:rsid w:val="00886EB2"/>
    <w:rsid w:val="0089056D"/>
    <w:rsid w:val="008907EF"/>
    <w:rsid w:val="0089085F"/>
    <w:rsid w:val="00893971"/>
    <w:rsid w:val="00894B7A"/>
    <w:rsid w:val="00895C2B"/>
    <w:rsid w:val="00897125"/>
    <w:rsid w:val="008971C2"/>
    <w:rsid w:val="00897DF7"/>
    <w:rsid w:val="008A0EDA"/>
    <w:rsid w:val="008A1E8D"/>
    <w:rsid w:val="008A2E53"/>
    <w:rsid w:val="008A3786"/>
    <w:rsid w:val="008A5351"/>
    <w:rsid w:val="008A6337"/>
    <w:rsid w:val="008B000E"/>
    <w:rsid w:val="008B2C50"/>
    <w:rsid w:val="008B2F44"/>
    <w:rsid w:val="008B4716"/>
    <w:rsid w:val="008B5486"/>
    <w:rsid w:val="008B552C"/>
    <w:rsid w:val="008B5638"/>
    <w:rsid w:val="008B60A5"/>
    <w:rsid w:val="008B748D"/>
    <w:rsid w:val="008C08D9"/>
    <w:rsid w:val="008C1613"/>
    <w:rsid w:val="008C29A6"/>
    <w:rsid w:val="008C2E31"/>
    <w:rsid w:val="008C3120"/>
    <w:rsid w:val="008C7179"/>
    <w:rsid w:val="008D0B39"/>
    <w:rsid w:val="008D10C0"/>
    <w:rsid w:val="008D54BB"/>
    <w:rsid w:val="008D5EDE"/>
    <w:rsid w:val="008D637A"/>
    <w:rsid w:val="008D6BC1"/>
    <w:rsid w:val="008D7321"/>
    <w:rsid w:val="008D7EB7"/>
    <w:rsid w:val="008E16A9"/>
    <w:rsid w:val="008E1D0D"/>
    <w:rsid w:val="008E2D9E"/>
    <w:rsid w:val="008E506C"/>
    <w:rsid w:val="008E55D8"/>
    <w:rsid w:val="008E67EB"/>
    <w:rsid w:val="008E79D9"/>
    <w:rsid w:val="008E7AE8"/>
    <w:rsid w:val="008F0C9A"/>
    <w:rsid w:val="008F1EBA"/>
    <w:rsid w:val="008F2588"/>
    <w:rsid w:val="008F34EF"/>
    <w:rsid w:val="008F3FA0"/>
    <w:rsid w:val="008F48AF"/>
    <w:rsid w:val="008F4D57"/>
    <w:rsid w:val="008F5231"/>
    <w:rsid w:val="008F57B4"/>
    <w:rsid w:val="008F5D38"/>
    <w:rsid w:val="008F69B2"/>
    <w:rsid w:val="008F79B8"/>
    <w:rsid w:val="0090006D"/>
    <w:rsid w:val="0090048C"/>
    <w:rsid w:val="009016FB"/>
    <w:rsid w:val="00901D51"/>
    <w:rsid w:val="00903D65"/>
    <w:rsid w:val="009043B9"/>
    <w:rsid w:val="00906AEE"/>
    <w:rsid w:val="00907E89"/>
    <w:rsid w:val="009104C4"/>
    <w:rsid w:val="00911CE4"/>
    <w:rsid w:val="00911E9C"/>
    <w:rsid w:val="00912956"/>
    <w:rsid w:val="00912EE3"/>
    <w:rsid w:val="00912F1D"/>
    <w:rsid w:val="009136F0"/>
    <w:rsid w:val="00913B2A"/>
    <w:rsid w:val="00914BA8"/>
    <w:rsid w:val="0091618A"/>
    <w:rsid w:val="00916701"/>
    <w:rsid w:val="00916B4F"/>
    <w:rsid w:val="0091749F"/>
    <w:rsid w:val="00921121"/>
    <w:rsid w:val="00921262"/>
    <w:rsid w:val="00923C0E"/>
    <w:rsid w:val="00924000"/>
    <w:rsid w:val="009253BD"/>
    <w:rsid w:val="009264DC"/>
    <w:rsid w:val="00926754"/>
    <w:rsid w:val="0093037E"/>
    <w:rsid w:val="009311C4"/>
    <w:rsid w:val="00931D16"/>
    <w:rsid w:val="00933B3B"/>
    <w:rsid w:val="009340C8"/>
    <w:rsid w:val="00934DD2"/>
    <w:rsid w:val="00934E64"/>
    <w:rsid w:val="00935D36"/>
    <w:rsid w:val="0093644D"/>
    <w:rsid w:val="00937092"/>
    <w:rsid w:val="009377AD"/>
    <w:rsid w:val="00940113"/>
    <w:rsid w:val="00941FE2"/>
    <w:rsid w:val="0094284C"/>
    <w:rsid w:val="0094488B"/>
    <w:rsid w:val="0094674B"/>
    <w:rsid w:val="00951B73"/>
    <w:rsid w:val="0095494C"/>
    <w:rsid w:val="00955706"/>
    <w:rsid w:val="009558DF"/>
    <w:rsid w:val="00956BE3"/>
    <w:rsid w:val="00960C6E"/>
    <w:rsid w:val="009610D8"/>
    <w:rsid w:val="0096110A"/>
    <w:rsid w:val="00961E6C"/>
    <w:rsid w:val="00962AB6"/>
    <w:rsid w:val="009636A1"/>
    <w:rsid w:val="009638AB"/>
    <w:rsid w:val="00963D0C"/>
    <w:rsid w:val="00963D2D"/>
    <w:rsid w:val="00963FBD"/>
    <w:rsid w:val="00964401"/>
    <w:rsid w:val="009653AE"/>
    <w:rsid w:val="00966CDB"/>
    <w:rsid w:val="00966F16"/>
    <w:rsid w:val="00971B99"/>
    <w:rsid w:val="009725F6"/>
    <w:rsid w:val="0097356C"/>
    <w:rsid w:val="00973A7C"/>
    <w:rsid w:val="009740AA"/>
    <w:rsid w:val="0097452D"/>
    <w:rsid w:val="0097471D"/>
    <w:rsid w:val="00975B1C"/>
    <w:rsid w:val="009765BC"/>
    <w:rsid w:val="00980A67"/>
    <w:rsid w:val="00984140"/>
    <w:rsid w:val="00987449"/>
    <w:rsid w:val="009878AF"/>
    <w:rsid w:val="00992714"/>
    <w:rsid w:val="00992719"/>
    <w:rsid w:val="00994DAD"/>
    <w:rsid w:val="00995196"/>
    <w:rsid w:val="009A0055"/>
    <w:rsid w:val="009A0904"/>
    <w:rsid w:val="009A1361"/>
    <w:rsid w:val="009A1765"/>
    <w:rsid w:val="009A19DC"/>
    <w:rsid w:val="009A1B39"/>
    <w:rsid w:val="009A1CE0"/>
    <w:rsid w:val="009A1DE4"/>
    <w:rsid w:val="009A411A"/>
    <w:rsid w:val="009A51DC"/>
    <w:rsid w:val="009A6B09"/>
    <w:rsid w:val="009A6F2C"/>
    <w:rsid w:val="009A7D25"/>
    <w:rsid w:val="009B23FE"/>
    <w:rsid w:val="009B505D"/>
    <w:rsid w:val="009B5378"/>
    <w:rsid w:val="009B5F7A"/>
    <w:rsid w:val="009B60D1"/>
    <w:rsid w:val="009C0831"/>
    <w:rsid w:val="009C15D9"/>
    <w:rsid w:val="009C185F"/>
    <w:rsid w:val="009C231F"/>
    <w:rsid w:val="009D0822"/>
    <w:rsid w:val="009D265E"/>
    <w:rsid w:val="009D46DC"/>
    <w:rsid w:val="009D5474"/>
    <w:rsid w:val="009D5AF1"/>
    <w:rsid w:val="009D79B0"/>
    <w:rsid w:val="009E0D07"/>
    <w:rsid w:val="009E1A87"/>
    <w:rsid w:val="009E2211"/>
    <w:rsid w:val="009E2301"/>
    <w:rsid w:val="009E2516"/>
    <w:rsid w:val="009E39BB"/>
    <w:rsid w:val="009E4713"/>
    <w:rsid w:val="009E5361"/>
    <w:rsid w:val="009E5414"/>
    <w:rsid w:val="009E54F1"/>
    <w:rsid w:val="009E65F5"/>
    <w:rsid w:val="009E68D3"/>
    <w:rsid w:val="009E739E"/>
    <w:rsid w:val="009E7487"/>
    <w:rsid w:val="009F0DD0"/>
    <w:rsid w:val="009F1162"/>
    <w:rsid w:val="009F11BF"/>
    <w:rsid w:val="009F424D"/>
    <w:rsid w:val="009F6923"/>
    <w:rsid w:val="009F69A3"/>
    <w:rsid w:val="009F7367"/>
    <w:rsid w:val="009F756F"/>
    <w:rsid w:val="009F7799"/>
    <w:rsid w:val="009F7D17"/>
    <w:rsid w:val="00A00145"/>
    <w:rsid w:val="00A0110C"/>
    <w:rsid w:val="00A018CE"/>
    <w:rsid w:val="00A05B5A"/>
    <w:rsid w:val="00A063BA"/>
    <w:rsid w:val="00A119DA"/>
    <w:rsid w:val="00A121EC"/>
    <w:rsid w:val="00A12B3E"/>
    <w:rsid w:val="00A136E2"/>
    <w:rsid w:val="00A14084"/>
    <w:rsid w:val="00A1451F"/>
    <w:rsid w:val="00A15D43"/>
    <w:rsid w:val="00A17B02"/>
    <w:rsid w:val="00A17B53"/>
    <w:rsid w:val="00A20661"/>
    <w:rsid w:val="00A20AAA"/>
    <w:rsid w:val="00A238FC"/>
    <w:rsid w:val="00A24083"/>
    <w:rsid w:val="00A257CC"/>
    <w:rsid w:val="00A27231"/>
    <w:rsid w:val="00A27730"/>
    <w:rsid w:val="00A301AB"/>
    <w:rsid w:val="00A3155F"/>
    <w:rsid w:val="00A3356B"/>
    <w:rsid w:val="00A33B49"/>
    <w:rsid w:val="00A344A1"/>
    <w:rsid w:val="00A3544A"/>
    <w:rsid w:val="00A36200"/>
    <w:rsid w:val="00A36331"/>
    <w:rsid w:val="00A36C0B"/>
    <w:rsid w:val="00A36F7D"/>
    <w:rsid w:val="00A4025B"/>
    <w:rsid w:val="00A41A3F"/>
    <w:rsid w:val="00A41ACC"/>
    <w:rsid w:val="00A42C9D"/>
    <w:rsid w:val="00A42FB0"/>
    <w:rsid w:val="00A4441E"/>
    <w:rsid w:val="00A44E54"/>
    <w:rsid w:val="00A44F5B"/>
    <w:rsid w:val="00A45409"/>
    <w:rsid w:val="00A461AE"/>
    <w:rsid w:val="00A46704"/>
    <w:rsid w:val="00A47106"/>
    <w:rsid w:val="00A471FE"/>
    <w:rsid w:val="00A5243E"/>
    <w:rsid w:val="00A53F88"/>
    <w:rsid w:val="00A547E1"/>
    <w:rsid w:val="00A55EF2"/>
    <w:rsid w:val="00A56509"/>
    <w:rsid w:val="00A5798B"/>
    <w:rsid w:val="00A57C1D"/>
    <w:rsid w:val="00A60302"/>
    <w:rsid w:val="00A6314F"/>
    <w:rsid w:val="00A63913"/>
    <w:rsid w:val="00A64666"/>
    <w:rsid w:val="00A652A1"/>
    <w:rsid w:val="00A6767F"/>
    <w:rsid w:val="00A67AAD"/>
    <w:rsid w:val="00A67ED9"/>
    <w:rsid w:val="00A70689"/>
    <w:rsid w:val="00A71943"/>
    <w:rsid w:val="00A72055"/>
    <w:rsid w:val="00A72356"/>
    <w:rsid w:val="00A7239D"/>
    <w:rsid w:val="00A729BD"/>
    <w:rsid w:val="00A73329"/>
    <w:rsid w:val="00A73561"/>
    <w:rsid w:val="00A738A0"/>
    <w:rsid w:val="00A75D6C"/>
    <w:rsid w:val="00A7617D"/>
    <w:rsid w:val="00A80C2B"/>
    <w:rsid w:val="00A825B6"/>
    <w:rsid w:val="00A826EA"/>
    <w:rsid w:val="00A835D2"/>
    <w:rsid w:val="00A84059"/>
    <w:rsid w:val="00A86BE8"/>
    <w:rsid w:val="00A87A39"/>
    <w:rsid w:val="00A87F18"/>
    <w:rsid w:val="00A900C2"/>
    <w:rsid w:val="00A905D0"/>
    <w:rsid w:val="00A9199B"/>
    <w:rsid w:val="00A93818"/>
    <w:rsid w:val="00A96097"/>
    <w:rsid w:val="00A961EC"/>
    <w:rsid w:val="00A9658F"/>
    <w:rsid w:val="00AA08D1"/>
    <w:rsid w:val="00AA16C3"/>
    <w:rsid w:val="00AA25FD"/>
    <w:rsid w:val="00AA264E"/>
    <w:rsid w:val="00AA2B97"/>
    <w:rsid w:val="00AA30EC"/>
    <w:rsid w:val="00AA3F2E"/>
    <w:rsid w:val="00AA52A3"/>
    <w:rsid w:val="00AA5772"/>
    <w:rsid w:val="00AA5A06"/>
    <w:rsid w:val="00AA6021"/>
    <w:rsid w:val="00AA60B6"/>
    <w:rsid w:val="00AA6C30"/>
    <w:rsid w:val="00AB06B8"/>
    <w:rsid w:val="00AB08D8"/>
    <w:rsid w:val="00AB113F"/>
    <w:rsid w:val="00AB17DC"/>
    <w:rsid w:val="00AB2715"/>
    <w:rsid w:val="00AB3BA5"/>
    <w:rsid w:val="00AB45A9"/>
    <w:rsid w:val="00AB45F4"/>
    <w:rsid w:val="00AB7193"/>
    <w:rsid w:val="00AB7206"/>
    <w:rsid w:val="00AC2CAF"/>
    <w:rsid w:val="00AC41C5"/>
    <w:rsid w:val="00AC5AE7"/>
    <w:rsid w:val="00AC5BF8"/>
    <w:rsid w:val="00AC6305"/>
    <w:rsid w:val="00AC739B"/>
    <w:rsid w:val="00AC7C42"/>
    <w:rsid w:val="00AD2078"/>
    <w:rsid w:val="00AD52B6"/>
    <w:rsid w:val="00AD6531"/>
    <w:rsid w:val="00AD67C0"/>
    <w:rsid w:val="00AE3C5F"/>
    <w:rsid w:val="00AE467C"/>
    <w:rsid w:val="00AE53EC"/>
    <w:rsid w:val="00AE561D"/>
    <w:rsid w:val="00AE5CBF"/>
    <w:rsid w:val="00AE6458"/>
    <w:rsid w:val="00AE6BD4"/>
    <w:rsid w:val="00AE7962"/>
    <w:rsid w:val="00AF0615"/>
    <w:rsid w:val="00AF086B"/>
    <w:rsid w:val="00AF420A"/>
    <w:rsid w:val="00AF64A3"/>
    <w:rsid w:val="00B0026E"/>
    <w:rsid w:val="00B00370"/>
    <w:rsid w:val="00B006CE"/>
    <w:rsid w:val="00B00C4E"/>
    <w:rsid w:val="00B01153"/>
    <w:rsid w:val="00B015EE"/>
    <w:rsid w:val="00B0392A"/>
    <w:rsid w:val="00B04501"/>
    <w:rsid w:val="00B06757"/>
    <w:rsid w:val="00B06AAC"/>
    <w:rsid w:val="00B11223"/>
    <w:rsid w:val="00B114C8"/>
    <w:rsid w:val="00B11546"/>
    <w:rsid w:val="00B1292A"/>
    <w:rsid w:val="00B13384"/>
    <w:rsid w:val="00B13F0C"/>
    <w:rsid w:val="00B152F8"/>
    <w:rsid w:val="00B15B79"/>
    <w:rsid w:val="00B17B9F"/>
    <w:rsid w:val="00B204E1"/>
    <w:rsid w:val="00B20EF2"/>
    <w:rsid w:val="00B21389"/>
    <w:rsid w:val="00B22282"/>
    <w:rsid w:val="00B2250A"/>
    <w:rsid w:val="00B240F4"/>
    <w:rsid w:val="00B2515F"/>
    <w:rsid w:val="00B252C2"/>
    <w:rsid w:val="00B27D8A"/>
    <w:rsid w:val="00B30DCD"/>
    <w:rsid w:val="00B3457F"/>
    <w:rsid w:val="00B34D9C"/>
    <w:rsid w:val="00B34E9A"/>
    <w:rsid w:val="00B352F1"/>
    <w:rsid w:val="00B36108"/>
    <w:rsid w:val="00B3620E"/>
    <w:rsid w:val="00B37482"/>
    <w:rsid w:val="00B37C27"/>
    <w:rsid w:val="00B4017E"/>
    <w:rsid w:val="00B40903"/>
    <w:rsid w:val="00B40A4A"/>
    <w:rsid w:val="00B41A32"/>
    <w:rsid w:val="00B41F3A"/>
    <w:rsid w:val="00B43E85"/>
    <w:rsid w:val="00B43F8B"/>
    <w:rsid w:val="00B458F3"/>
    <w:rsid w:val="00B47A8C"/>
    <w:rsid w:val="00B50AE0"/>
    <w:rsid w:val="00B51283"/>
    <w:rsid w:val="00B52927"/>
    <w:rsid w:val="00B52E44"/>
    <w:rsid w:val="00B535D3"/>
    <w:rsid w:val="00B53E54"/>
    <w:rsid w:val="00B5589A"/>
    <w:rsid w:val="00B55BB4"/>
    <w:rsid w:val="00B55E0B"/>
    <w:rsid w:val="00B61845"/>
    <w:rsid w:val="00B6217B"/>
    <w:rsid w:val="00B62E1A"/>
    <w:rsid w:val="00B63A16"/>
    <w:rsid w:val="00B6573B"/>
    <w:rsid w:val="00B66F55"/>
    <w:rsid w:val="00B674B7"/>
    <w:rsid w:val="00B7008A"/>
    <w:rsid w:val="00B72522"/>
    <w:rsid w:val="00B74454"/>
    <w:rsid w:val="00B75271"/>
    <w:rsid w:val="00B806D9"/>
    <w:rsid w:val="00B80ED1"/>
    <w:rsid w:val="00B81FCD"/>
    <w:rsid w:val="00B82F57"/>
    <w:rsid w:val="00B847A8"/>
    <w:rsid w:val="00B85786"/>
    <w:rsid w:val="00B86809"/>
    <w:rsid w:val="00B86D95"/>
    <w:rsid w:val="00B87A91"/>
    <w:rsid w:val="00B90419"/>
    <w:rsid w:val="00B90648"/>
    <w:rsid w:val="00B90A38"/>
    <w:rsid w:val="00B927D1"/>
    <w:rsid w:val="00B92AA7"/>
    <w:rsid w:val="00B9359A"/>
    <w:rsid w:val="00B9388D"/>
    <w:rsid w:val="00B93F4F"/>
    <w:rsid w:val="00B94B0F"/>
    <w:rsid w:val="00B950C3"/>
    <w:rsid w:val="00B95A76"/>
    <w:rsid w:val="00B95CB3"/>
    <w:rsid w:val="00BA2377"/>
    <w:rsid w:val="00BA4182"/>
    <w:rsid w:val="00BA42FC"/>
    <w:rsid w:val="00BA43D5"/>
    <w:rsid w:val="00BA585A"/>
    <w:rsid w:val="00BA6046"/>
    <w:rsid w:val="00BA654E"/>
    <w:rsid w:val="00BA6EB8"/>
    <w:rsid w:val="00BA762C"/>
    <w:rsid w:val="00BB1B2A"/>
    <w:rsid w:val="00BB2DFC"/>
    <w:rsid w:val="00BB4377"/>
    <w:rsid w:val="00BB5423"/>
    <w:rsid w:val="00BB61D8"/>
    <w:rsid w:val="00BB65B3"/>
    <w:rsid w:val="00BB71B3"/>
    <w:rsid w:val="00BC175A"/>
    <w:rsid w:val="00BC1C4F"/>
    <w:rsid w:val="00BC289D"/>
    <w:rsid w:val="00BC2E13"/>
    <w:rsid w:val="00BC3BEE"/>
    <w:rsid w:val="00BC4346"/>
    <w:rsid w:val="00BC47F3"/>
    <w:rsid w:val="00BC4982"/>
    <w:rsid w:val="00BC4A02"/>
    <w:rsid w:val="00BD07B0"/>
    <w:rsid w:val="00BD09FD"/>
    <w:rsid w:val="00BD0A12"/>
    <w:rsid w:val="00BD1FB7"/>
    <w:rsid w:val="00BD227A"/>
    <w:rsid w:val="00BD443C"/>
    <w:rsid w:val="00BD5152"/>
    <w:rsid w:val="00BD6C94"/>
    <w:rsid w:val="00BD6E97"/>
    <w:rsid w:val="00BE03A0"/>
    <w:rsid w:val="00BE13FB"/>
    <w:rsid w:val="00BE1880"/>
    <w:rsid w:val="00BE275D"/>
    <w:rsid w:val="00BE32B6"/>
    <w:rsid w:val="00BE4281"/>
    <w:rsid w:val="00BE5AAD"/>
    <w:rsid w:val="00BE5AB4"/>
    <w:rsid w:val="00BE60E3"/>
    <w:rsid w:val="00BF047A"/>
    <w:rsid w:val="00BF0AC0"/>
    <w:rsid w:val="00BF0B4B"/>
    <w:rsid w:val="00BF0F48"/>
    <w:rsid w:val="00BF2FAC"/>
    <w:rsid w:val="00BF369E"/>
    <w:rsid w:val="00BF3970"/>
    <w:rsid w:val="00BF4147"/>
    <w:rsid w:val="00BF527A"/>
    <w:rsid w:val="00BF65EA"/>
    <w:rsid w:val="00BF720A"/>
    <w:rsid w:val="00BF75FE"/>
    <w:rsid w:val="00BF7FC5"/>
    <w:rsid w:val="00C00665"/>
    <w:rsid w:val="00C00F81"/>
    <w:rsid w:val="00C0105E"/>
    <w:rsid w:val="00C01688"/>
    <w:rsid w:val="00C01F1A"/>
    <w:rsid w:val="00C024CB"/>
    <w:rsid w:val="00C0255D"/>
    <w:rsid w:val="00C0279A"/>
    <w:rsid w:val="00C0328F"/>
    <w:rsid w:val="00C0361A"/>
    <w:rsid w:val="00C04515"/>
    <w:rsid w:val="00C06C43"/>
    <w:rsid w:val="00C079D1"/>
    <w:rsid w:val="00C11BFD"/>
    <w:rsid w:val="00C122E8"/>
    <w:rsid w:val="00C160DD"/>
    <w:rsid w:val="00C165D9"/>
    <w:rsid w:val="00C20366"/>
    <w:rsid w:val="00C20D62"/>
    <w:rsid w:val="00C21EF8"/>
    <w:rsid w:val="00C22F38"/>
    <w:rsid w:val="00C23CD3"/>
    <w:rsid w:val="00C241BE"/>
    <w:rsid w:val="00C24B75"/>
    <w:rsid w:val="00C27C9B"/>
    <w:rsid w:val="00C34138"/>
    <w:rsid w:val="00C34377"/>
    <w:rsid w:val="00C34D38"/>
    <w:rsid w:val="00C36651"/>
    <w:rsid w:val="00C36841"/>
    <w:rsid w:val="00C3689A"/>
    <w:rsid w:val="00C40D0D"/>
    <w:rsid w:val="00C4193E"/>
    <w:rsid w:val="00C425DA"/>
    <w:rsid w:val="00C428B0"/>
    <w:rsid w:val="00C43F33"/>
    <w:rsid w:val="00C44830"/>
    <w:rsid w:val="00C4646F"/>
    <w:rsid w:val="00C468F3"/>
    <w:rsid w:val="00C4699C"/>
    <w:rsid w:val="00C46DA6"/>
    <w:rsid w:val="00C470B1"/>
    <w:rsid w:val="00C474E0"/>
    <w:rsid w:val="00C4774E"/>
    <w:rsid w:val="00C501C8"/>
    <w:rsid w:val="00C50707"/>
    <w:rsid w:val="00C50BE8"/>
    <w:rsid w:val="00C519DD"/>
    <w:rsid w:val="00C52A64"/>
    <w:rsid w:val="00C53CEC"/>
    <w:rsid w:val="00C53E1B"/>
    <w:rsid w:val="00C5405D"/>
    <w:rsid w:val="00C54D4E"/>
    <w:rsid w:val="00C55453"/>
    <w:rsid w:val="00C5660F"/>
    <w:rsid w:val="00C579FE"/>
    <w:rsid w:val="00C60480"/>
    <w:rsid w:val="00C60964"/>
    <w:rsid w:val="00C61CF0"/>
    <w:rsid w:val="00C660FE"/>
    <w:rsid w:val="00C66342"/>
    <w:rsid w:val="00C70CE0"/>
    <w:rsid w:val="00C71EEF"/>
    <w:rsid w:val="00C7223D"/>
    <w:rsid w:val="00C7304A"/>
    <w:rsid w:val="00C73999"/>
    <w:rsid w:val="00C73D30"/>
    <w:rsid w:val="00C75105"/>
    <w:rsid w:val="00C753F1"/>
    <w:rsid w:val="00C76953"/>
    <w:rsid w:val="00C76EF8"/>
    <w:rsid w:val="00C800CE"/>
    <w:rsid w:val="00C80CEC"/>
    <w:rsid w:val="00C8123B"/>
    <w:rsid w:val="00C815CD"/>
    <w:rsid w:val="00C8184A"/>
    <w:rsid w:val="00C8193C"/>
    <w:rsid w:val="00C83830"/>
    <w:rsid w:val="00C83A1C"/>
    <w:rsid w:val="00C84544"/>
    <w:rsid w:val="00C86929"/>
    <w:rsid w:val="00C86DE9"/>
    <w:rsid w:val="00C87C56"/>
    <w:rsid w:val="00C87D1D"/>
    <w:rsid w:val="00C87E5B"/>
    <w:rsid w:val="00C87F1A"/>
    <w:rsid w:val="00C9032C"/>
    <w:rsid w:val="00C92D07"/>
    <w:rsid w:val="00C94DB4"/>
    <w:rsid w:val="00C963B2"/>
    <w:rsid w:val="00C97554"/>
    <w:rsid w:val="00CA16E9"/>
    <w:rsid w:val="00CA2E39"/>
    <w:rsid w:val="00CA3555"/>
    <w:rsid w:val="00CB19C2"/>
    <w:rsid w:val="00CB20E6"/>
    <w:rsid w:val="00CB2318"/>
    <w:rsid w:val="00CB2777"/>
    <w:rsid w:val="00CB33E1"/>
    <w:rsid w:val="00CB3FDF"/>
    <w:rsid w:val="00CB50C2"/>
    <w:rsid w:val="00CB5C41"/>
    <w:rsid w:val="00CB7104"/>
    <w:rsid w:val="00CC065A"/>
    <w:rsid w:val="00CC154A"/>
    <w:rsid w:val="00CC3302"/>
    <w:rsid w:val="00CC3BF5"/>
    <w:rsid w:val="00CC4476"/>
    <w:rsid w:val="00CC4A6C"/>
    <w:rsid w:val="00CC526E"/>
    <w:rsid w:val="00CD0AC6"/>
    <w:rsid w:val="00CD4F0F"/>
    <w:rsid w:val="00CD5919"/>
    <w:rsid w:val="00CD63D4"/>
    <w:rsid w:val="00CD6D23"/>
    <w:rsid w:val="00CD7677"/>
    <w:rsid w:val="00CD79F4"/>
    <w:rsid w:val="00CE00AD"/>
    <w:rsid w:val="00CE04D6"/>
    <w:rsid w:val="00CE1DBF"/>
    <w:rsid w:val="00CE2FD5"/>
    <w:rsid w:val="00CE3A08"/>
    <w:rsid w:val="00CE3D05"/>
    <w:rsid w:val="00CE4CD2"/>
    <w:rsid w:val="00CE641B"/>
    <w:rsid w:val="00CE69FA"/>
    <w:rsid w:val="00CE6B74"/>
    <w:rsid w:val="00CE6E00"/>
    <w:rsid w:val="00CE6FA7"/>
    <w:rsid w:val="00CE7263"/>
    <w:rsid w:val="00CE783A"/>
    <w:rsid w:val="00CF1A1C"/>
    <w:rsid w:val="00CF2B94"/>
    <w:rsid w:val="00CF6E6A"/>
    <w:rsid w:val="00CF71B5"/>
    <w:rsid w:val="00CF794D"/>
    <w:rsid w:val="00D00DFD"/>
    <w:rsid w:val="00D01CCC"/>
    <w:rsid w:val="00D0214B"/>
    <w:rsid w:val="00D02E0E"/>
    <w:rsid w:val="00D04E5B"/>
    <w:rsid w:val="00D059CE"/>
    <w:rsid w:val="00D11ACD"/>
    <w:rsid w:val="00D139E9"/>
    <w:rsid w:val="00D14F46"/>
    <w:rsid w:val="00D1533F"/>
    <w:rsid w:val="00D15694"/>
    <w:rsid w:val="00D17A17"/>
    <w:rsid w:val="00D21275"/>
    <w:rsid w:val="00D21A28"/>
    <w:rsid w:val="00D22F5F"/>
    <w:rsid w:val="00D23222"/>
    <w:rsid w:val="00D2357C"/>
    <w:rsid w:val="00D243B3"/>
    <w:rsid w:val="00D25477"/>
    <w:rsid w:val="00D25563"/>
    <w:rsid w:val="00D2612F"/>
    <w:rsid w:val="00D26B21"/>
    <w:rsid w:val="00D27D35"/>
    <w:rsid w:val="00D27D84"/>
    <w:rsid w:val="00D27F39"/>
    <w:rsid w:val="00D319E6"/>
    <w:rsid w:val="00D32A23"/>
    <w:rsid w:val="00D32E54"/>
    <w:rsid w:val="00D3402C"/>
    <w:rsid w:val="00D34CAB"/>
    <w:rsid w:val="00D37BB0"/>
    <w:rsid w:val="00D40465"/>
    <w:rsid w:val="00D407AA"/>
    <w:rsid w:val="00D40918"/>
    <w:rsid w:val="00D4141B"/>
    <w:rsid w:val="00D45899"/>
    <w:rsid w:val="00D47A5D"/>
    <w:rsid w:val="00D47E31"/>
    <w:rsid w:val="00D50134"/>
    <w:rsid w:val="00D51B31"/>
    <w:rsid w:val="00D524ED"/>
    <w:rsid w:val="00D53897"/>
    <w:rsid w:val="00D56212"/>
    <w:rsid w:val="00D564DD"/>
    <w:rsid w:val="00D57CA5"/>
    <w:rsid w:val="00D57DE1"/>
    <w:rsid w:val="00D6065C"/>
    <w:rsid w:val="00D60FB9"/>
    <w:rsid w:val="00D62C3E"/>
    <w:rsid w:val="00D631B2"/>
    <w:rsid w:val="00D63BB0"/>
    <w:rsid w:val="00D63D8E"/>
    <w:rsid w:val="00D654ED"/>
    <w:rsid w:val="00D65F27"/>
    <w:rsid w:val="00D6735D"/>
    <w:rsid w:val="00D71112"/>
    <w:rsid w:val="00D7271D"/>
    <w:rsid w:val="00D74651"/>
    <w:rsid w:val="00D756E0"/>
    <w:rsid w:val="00D75F26"/>
    <w:rsid w:val="00D77B4D"/>
    <w:rsid w:val="00D80AC9"/>
    <w:rsid w:val="00D822F9"/>
    <w:rsid w:val="00D83078"/>
    <w:rsid w:val="00D83133"/>
    <w:rsid w:val="00D83507"/>
    <w:rsid w:val="00D8462A"/>
    <w:rsid w:val="00D85D4C"/>
    <w:rsid w:val="00D861F7"/>
    <w:rsid w:val="00D91535"/>
    <w:rsid w:val="00D91AFC"/>
    <w:rsid w:val="00D91B7A"/>
    <w:rsid w:val="00D91B8F"/>
    <w:rsid w:val="00D94551"/>
    <w:rsid w:val="00D95361"/>
    <w:rsid w:val="00D95A10"/>
    <w:rsid w:val="00D966EB"/>
    <w:rsid w:val="00DA2C04"/>
    <w:rsid w:val="00DA379A"/>
    <w:rsid w:val="00DA3871"/>
    <w:rsid w:val="00DA7757"/>
    <w:rsid w:val="00DB1D5F"/>
    <w:rsid w:val="00DB2B88"/>
    <w:rsid w:val="00DB33A5"/>
    <w:rsid w:val="00DB4553"/>
    <w:rsid w:val="00DB5CA6"/>
    <w:rsid w:val="00DB6CF0"/>
    <w:rsid w:val="00DB6D79"/>
    <w:rsid w:val="00DB70C7"/>
    <w:rsid w:val="00DC052C"/>
    <w:rsid w:val="00DC09C4"/>
    <w:rsid w:val="00DC3082"/>
    <w:rsid w:val="00DC337F"/>
    <w:rsid w:val="00DC3D83"/>
    <w:rsid w:val="00DC3F01"/>
    <w:rsid w:val="00DC400C"/>
    <w:rsid w:val="00DC424B"/>
    <w:rsid w:val="00DC5A79"/>
    <w:rsid w:val="00DC71AC"/>
    <w:rsid w:val="00DC7875"/>
    <w:rsid w:val="00DD095B"/>
    <w:rsid w:val="00DD0AD8"/>
    <w:rsid w:val="00DD138B"/>
    <w:rsid w:val="00DD59BF"/>
    <w:rsid w:val="00DE101B"/>
    <w:rsid w:val="00DE43D7"/>
    <w:rsid w:val="00DE43E0"/>
    <w:rsid w:val="00DE5478"/>
    <w:rsid w:val="00DE5EA7"/>
    <w:rsid w:val="00DE6328"/>
    <w:rsid w:val="00DE66A7"/>
    <w:rsid w:val="00DE6783"/>
    <w:rsid w:val="00DE69A0"/>
    <w:rsid w:val="00DF2C66"/>
    <w:rsid w:val="00DF32E1"/>
    <w:rsid w:val="00DF396E"/>
    <w:rsid w:val="00DF3B85"/>
    <w:rsid w:val="00DF3E8E"/>
    <w:rsid w:val="00DF4F17"/>
    <w:rsid w:val="00DF5421"/>
    <w:rsid w:val="00DF5842"/>
    <w:rsid w:val="00DF7F0B"/>
    <w:rsid w:val="00DF7F5E"/>
    <w:rsid w:val="00E007E9"/>
    <w:rsid w:val="00E02F31"/>
    <w:rsid w:val="00E03CC9"/>
    <w:rsid w:val="00E05398"/>
    <w:rsid w:val="00E05FCA"/>
    <w:rsid w:val="00E066FC"/>
    <w:rsid w:val="00E06C21"/>
    <w:rsid w:val="00E106BF"/>
    <w:rsid w:val="00E10CCD"/>
    <w:rsid w:val="00E12F66"/>
    <w:rsid w:val="00E144AA"/>
    <w:rsid w:val="00E14B1D"/>
    <w:rsid w:val="00E152CA"/>
    <w:rsid w:val="00E15563"/>
    <w:rsid w:val="00E17A7F"/>
    <w:rsid w:val="00E229AE"/>
    <w:rsid w:val="00E22ECC"/>
    <w:rsid w:val="00E23C5A"/>
    <w:rsid w:val="00E242F7"/>
    <w:rsid w:val="00E2471E"/>
    <w:rsid w:val="00E247A2"/>
    <w:rsid w:val="00E25247"/>
    <w:rsid w:val="00E25C07"/>
    <w:rsid w:val="00E26C19"/>
    <w:rsid w:val="00E26F80"/>
    <w:rsid w:val="00E271CA"/>
    <w:rsid w:val="00E3063D"/>
    <w:rsid w:val="00E30B02"/>
    <w:rsid w:val="00E30D55"/>
    <w:rsid w:val="00E30F12"/>
    <w:rsid w:val="00E32EBA"/>
    <w:rsid w:val="00E339A4"/>
    <w:rsid w:val="00E34B33"/>
    <w:rsid w:val="00E376BD"/>
    <w:rsid w:val="00E3782B"/>
    <w:rsid w:val="00E41B69"/>
    <w:rsid w:val="00E43363"/>
    <w:rsid w:val="00E43B70"/>
    <w:rsid w:val="00E43CD8"/>
    <w:rsid w:val="00E4429F"/>
    <w:rsid w:val="00E458D0"/>
    <w:rsid w:val="00E464C6"/>
    <w:rsid w:val="00E502DB"/>
    <w:rsid w:val="00E50860"/>
    <w:rsid w:val="00E51522"/>
    <w:rsid w:val="00E51F79"/>
    <w:rsid w:val="00E54046"/>
    <w:rsid w:val="00E55B1D"/>
    <w:rsid w:val="00E567E7"/>
    <w:rsid w:val="00E56E8C"/>
    <w:rsid w:val="00E5725E"/>
    <w:rsid w:val="00E60B39"/>
    <w:rsid w:val="00E656E2"/>
    <w:rsid w:val="00E65E42"/>
    <w:rsid w:val="00E6690C"/>
    <w:rsid w:val="00E66929"/>
    <w:rsid w:val="00E670EC"/>
    <w:rsid w:val="00E71E09"/>
    <w:rsid w:val="00E72A34"/>
    <w:rsid w:val="00E72B52"/>
    <w:rsid w:val="00E72B79"/>
    <w:rsid w:val="00E72F6A"/>
    <w:rsid w:val="00E72FC1"/>
    <w:rsid w:val="00E74A72"/>
    <w:rsid w:val="00E77BD9"/>
    <w:rsid w:val="00E80CB5"/>
    <w:rsid w:val="00E812F4"/>
    <w:rsid w:val="00E81C9C"/>
    <w:rsid w:val="00E82B86"/>
    <w:rsid w:val="00E82CE9"/>
    <w:rsid w:val="00E836E6"/>
    <w:rsid w:val="00E83CAA"/>
    <w:rsid w:val="00E862E8"/>
    <w:rsid w:val="00E908A0"/>
    <w:rsid w:val="00E90BEA"/>
    <w:rsid w:val="00E914DB"/>
    <w:rsid w:val="00E9259A"/>
    <w:rsid w:val="00E9308C"/>
    <w:rsid w:val="00E93F7D"/>
    <w:rsid w:val="00E95D16"/>
    <w:rsid w:val="00E97731"/>
    <w:rsid w:val="00EA025C"/>
    <w:rsid w:val="00EA1528"/>
    <w:rsid w:val="00EA18E8"/>
    <w:rsid w:val="00EA753F"/>
    <w:rsid w:val="00EB0A39"/>
    <w:rsid w:val="00EB15F9"/>
    <w:rsid w:val="00EB170A"/>
    <w:rsid w:val="00EB1727"/>
    <w:rsid w:val="00EB2452"/>
    <w:rsid w:val="00EB3C09"/>
    <w:rsid w:val="00EB47A1"/>
    <w:rsid w:val="00EB4D9D"/>
    <w:rsid w:val="00EB56F1"/>
    <w:rsid w:val="00EB5780"/>
    <w:rsid w:val="00EB5CAC"/>
    <w:rsid w:val="00EB7540"/>
    <w:rsid w:val="00EC1105"/>
    <w:rsid w:val="00EC1E31"/>
    <w:rsid w:val="00EC2BDE"/>
    <w:rsid w:val="00EC37D5"/>
    <w:rsid w:val="00EC574C"/>
    <w:rsid w:val="00EC6A4E"/>
    <w:rsid w:val="00ED19A9"/>
    <w:rsid w:val="00ED202C"/>
    <w:rsid w:val="00ED2D70"/>
    <w:rsid w:val="00ED3B38"/>
    <w:rsid w:val="00ED3D2D"/>
    <w:rsid w:val="00ED40A2"/>
    <w:rsid w:val="00ED4C56"/>
    <w:rsid w:val="00ED6AF5"/>
    <w:rsid w:val="00ED7348"/>
    <w:rsid w:val="00EE0F26"/>
    <w:rsid w:val="00EE2D95"/>
    <w:rsid w:val="00EE3793"/>
    <w:rsid w:val="00EE4302"/>
    <w:rsid w:val="00EE44BE"/>
    <w:rsid w:val="00EE4D27"/>
    <w:rsid w:val="00EE650C"/>
    <w:rsid w:val="00EF0A58"/>
    <w:rsid w:val="00EF29DD"/>
    <w:rsid w:val="00EF3015"/>
    <w:rsid w:val="00EF36A4"/>
    <w:rsid w:val="00EF4239"/>
    <w:rsid w:val="00EF4F6D"/>
    <w:rsid w:val="00F01957"/>
    <w:rsid w:val="00F02249"/>
    <w:rsid w:val="00F02B4B"/>
    <w:rsid w:val="00F04875"/>
    <w:rsid w:val="00F05002"/>
    <w:rsid w:val="00F0534C"/>
    <w:rsid w:val="00F05D17"/>
    <w:rsid w:val="00F065FC"/>
    <w:rsid w:val="00F07048"/>
    <w:rsid w:val="00F0743D"/>
    <w:rsid w:val="00F10C3F"/>
    <w:rsid w:val="00F112C1"/>
    <w:rsid w:val="00F11859"/>
    <w:rsid w:val="00F11A67"/>
    <w:rsid w:val="00F125DB"/>
    <w:rsid w:val="00F156F5"/>
    <w:rsid w:val="00F1597F"/>
    <w:rsid w:val="00F163B5"/>
    <w:rsid w:val="00F21356"/>
    <w:rsid w:val="00F219DC"/>
    <w:rsid w:val="00F24497"/>
    <w:rsid w:val="00F247C9"/>
    <w:rsid w:val="00F248C0"/>
    <w:rsid w:val="00F26478"/>
    <w:rsid w:val="00F26A4C"/>
    <w:rsid w:val="00F275F4"/>
    <w:rsid w:val="00F27854"/>
    <w:rsid w:val="00F30527"/>
    <w:rsid w:val="00F30BE4"/>
    <w:rsid w:val="00F31ED8"/>
    <w:rsid w:val="00F33A19"/>
    <w:rsid w:val="00F34659"/>
    <w:rsid w:val="00F36325"/>
    <w:rsid w:val="00F40F10"/>
    <w:rsid w:val="00F413EB"/>
    <w:rsid w:val="00F433CC"/>
    <w:rsid w:val="00F4394B"/>
    <w:rsid w:val="00F45AED"/>
    <w:rsid w:val="00F45E7C"/>
    <w:rsid w:val="00F45EAD"/>
    <w:rsid w:val="00F4694C"/>
    <w:rsid w:val="00F476E5"/>
    <w:rsid w:val="00F479BD"/>
    <w:rsid w:val="00F5070E"/>
    <w:rsid w:val="00F512C3"/>
    <w:rsid w:val="00F51489"/>
    <w:rsid w:val="00F514D3"/>
    <w:rsid w:val="00F547F3"/>
    <w:rsid w:val="00F54961"/>
    <w:rsid w:val="00F57094"/>
    <w:rsid w:val="00F5720F"/>
    <w:rsid w:val="00F601C0"/>
    <w:rsid w:val="00F6045E"/>
    <w:rsid w:val="00F60F32"/>
    <w:rsid w:val="00F65C6E"/>
    <w:rsid w:val="00F669B3"/>
    <w:rsid w:val="00F678E7"/>
    <w:rsid w:val="00F703F1"/>
    <w:rsid w:val="00F7073C"/>
    <w:rsid w:val="00F70D4B"/>
    <w:rsid w:val="00F7142B"/>
    <w:rsid w:val="00F71A6B"/>
    <w:rsid w:val="00F728E1"/>
    <w:rsid w:val="00F72A9F"/>
    <w:rsid w:val="00F73DD4"/>
    <w:rsid w:val="00F747DF"/>
    <w:rsid w:val="00F76983"/>
    <w:rsid w:val="00F76AA9"/>
    <w:rsid w:val="00F80AC6"/>
    <w:rsid w:val="00F812A2"/>
    <w:rsid w:val="00F822D6"/>
    <w:rsid w:val="00F8268B"/>
    <w:rsid w:val="00F83E24"/>
    <w:rsid w:val="00F83E95"/>
    <w:rsid w:val="00F84E7B"/>
    <w:rsid w:val="00F84FC0"/>
    <w:rsid w:val="00F8503A"/>
    <w:rsid w:val="00F85366"/>
    <w:rsid w:val="00F85759"/>
    <w:rsid w:val="00F86E34"/>
    <w:rsid w:val="00F90AFF"/>
    <w:rsid w:val="00F9216E"/>
    <w:rsid w:val="00F9233A"/>
    <w:rsid w:val="00F9389E"/>
    <w:rsid w:val="00F93B0C"/>
    <w:rsid w:val="00F9410F"/>
    <w:rsid w:val="00F94E5B"/>
    <w:rsid w:val="00F953DC"/>
    <w:rsid w:val="00F96845"/>
    <w:rsid w:val="00F97FDB"/>
    <w:rsid w:val="00FA26D6"/>
    <w:rsid w:val="00FA2DE6"/>
    <w:rsid w:val="00FA3F5F"/>
    <w:rsid w:val="00FA4514"/>
    <w:rsid w:val="00FA481D"/>
    <w:rsid w:val="00FA4F4F"/>
    <w:rsid w:val="00FA5C2B"/>
    <w:rsid w:val="00FA66A8"/>
    <w:rsid w:val="00FB3F81"/>
    <w:rsid w:val="00FB58BD"/>
    <w:rsid w:val="00FB6081"/>
    <w:rsid w:val="00FB6A19"/>
    <w:rsid w:val="00FB76E2"/>
    <w:rsid w:val="00FB772C"/>
    <w:rsid w:val="00FC1606"/>
    <w:rsid w:val="00FC2077"/>
    <w:rsid w:val="00FC3BD4"/>
    <w:rsid w:val="00FC4AA0"/>
    <w:rsid w:val="00FC4DD9"/>
    <w:rsid w:val="00FC60FA"/>
    <w:rsid w:val="00FD0563"/>
    <w:rsid w:val="00FD0FBA"/>
    <w:rsid w:val="00FD14F5"/>
    <w:rsid w:val="00FD445A"/>
    <w:rsid w:val="00FD5E65"/>
    <w:rsid w:val="00FD6399"/>
    <w:rsid w:val="00FD7EE6"/>
    <w:rsid w:val="00FD7F07"/>
    <w:rsid w:val="00FE1153"/>
    <w:rsid w:val="00FE2C2F"/>
    <w:rsid w:val="00FE39B5"/>
    <w:rsid w:val="00FE474B"/>
    <w:rsid w:val="00FE6C77"/>
    <w:rsid w:val="00FE716B"/>
    <w:rsid w:val="00FE7E23"/>
    <w:rsid w:val="00FF0339"/>
    <w:rsid w:val="00FF0C54"/>
    <w:rsid w:val="00FF1869"/>
    <w:rsid w:val="00FF2D23"/>
    <w:rsid w:val="00FF4924"/>
    <w:rsid w:val="00FF78D3"/>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240"/>
    </w:pPr>
    <w:rPr>
      <w:sz w:val="24"/>
      <w:szCs w:val="24"/>
    </w:rPr>
  </w:style>
  <w:style w:type="paragraph" w:styleId="Heading1">
    <w:name w:val="heading 1"/>
    <w:basedOn w:val="Normal"/>
    <w:next w:val="Normal"/>
    <w:qFormat/>
    <w:pPr>
      <w:keepNext/>
      <w:numPr>
        <w:numId w:val="4"/>
      </w:numPr>
      <w:spacing w:before="0"/>
      <w:outlineLvl w:val="0"/>
    </w:pPr>
    <w:rPr>
      <w:b/>
      <w:bCs/>
      <w:caps/>
    </w:rPr>
  </w:style>
  <w:style w:type="paragraph" w:styleId="Heading2">
    <w:name w:val="heading 2"/>
    <w:basedOn w:val="Normal"/>
    <w:next w:val="Normal"/>
    <w:qFormat/>
    <w:pPr>
      <w:keepNext/>
      <w:numPr>
        <w:ilvl w:val="1"/>
        <w:numId w:val="4"/>
      </w:numPr>
      <w:spacing w:before="360" w:after="60"/>
      <w:outlineLvl w:val="1"/>
    </w:pPr>
    <w:rPr>
      <w:b/>
      <w:bCs/>
    </w:rPr>
  </w:style>
  <w:style w:type="paragraph" w:styleId="Heading3">
    <w:name w:val="heading 3"/>
    <w:basedOn w:val="Normal"/>
    <w:next w:val="Normal"/>
    <w:qFormat/>
    <w:pPr>
      <w:keepNext/>
      <w:tabs>
        <w:tab w:val="left" w:pos="720"/>
      </w:tabs>
      <w:spacing w:before="360" w:after="120"/>
      <w:ind w:left="720" w:hanging="720"/>
      <w:outlineLvl w:val="2"/>
    </w:pPr>
    <w:rPr>
      <w:b/>
      <w:bCs/>
      <w:i/>
      <w:iCs/>
    </w:rPr>
  </w:style>
  <w:style w:type="paragraph" w:styleId="Heading4">
    <w:name w:val="heading 4"/>
    <w:basedOn w:val="Normal"/>
    <w:next w:val="Normal"/>
    <w:qFormat/>
    <w:pPr>
      <w:keepNext/>
      <w:ind w:right="91"/>
      <w:jc w:val="right"/>
      <w:outlineLvl w:val="3"/>
    </w:pPr>
  </w:style>
  <w:style w:type="paragraph" w:styleId="Heading5">
    <w:name w:val="heading 5"/>
    <w:basedOn w:val="Normal"/>
    <w:next w:val="Normal"/>
    <w:qFormat/>
    <w:pPr>
      <w:keepNext/>
      <w:tabs>
        <w:tab w:val="left" w:pos="2018"/>
      </w:tabs>
      <w:spacing w:line="240" w:lineRule="exact"/>
      <w:ind w:left="742" w:right="91"/>
      <w:outlineLvl w:val="4"/>
    </w:pPr>
    <w:rPr>
      <w:b/>
      <w:bCs/>
    </w:rPr>
  </w:style>
  <w:style w:type="paragraph" w:styleId="Heading6">
    <w:name w:val="heading 6"/>
    <w:basedOn w:val="Normal"/>
    <w:next w:val="Normal"/>
    <w:qFormat/>
    <w:pPr>
      <w:keepNext/>
      <w:ind w:right="91"/>
      <w:outlineLvl w:val="5"/>
    </w:pPr>
    <w:rPr>
      <w:u w:val="single"/>
    </w:rPr>
  </w:style>
  <w:style w:type="paragraph" w:styleId="Heading7">
    <w:name w:val="heading 7"/>
    <w:basedOn w:val="Normal"/>
    <w:next w:val="Normal"/>
    <w:qFormat/>
    <w:pPr>
      <w:keepNext/>
      <w:ind w:left="176" w:firstLine="1264"/>
      <w:jc w:val="both"/>
      <w:outlineLvl w:val="6"/>
    </w:pPr>
  </w:style>
  <w:style w:type="paragraph" w:styleId="Heading8">
    <w:name w:val="heading 8"/>
    <w:basedOn w:val="Normal"/>
    <w:next w:val="Normal"/>
    <w:qFormat/>
    <w:pPr>
      <w:keepNext/>
      <w:tabs>
        <w:tab w:val="left" w:pos="4002"/>
      </w:tabs>
      <w:ind w:left="3216" w:hanging="347"/>
      <w:outlineLvl w:val="7"/>
    </w:pPr>
  </w:style>
  <w:style w:type="paragraph" w:styleId="Heading9">
    <w:name w:val="heading 9"/>
    <w:basedOn w:val="Normal"/>
    <w:next w:val="Normal"/>
    <w:qFormat/>
    <w:pPr>
      <w:keepNext/>
      <w:tabs>
        <w:tab w:val="left" w:pos="4002"/>
      </w:tabs>
      <w:ind w:left="2869"/>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paragraph" w:customStyle="1" w:styleId="HB-Table-dotpoint">
    <w:name w:val="HB - Table - dot point"/>
    <w:basedOn w:val="Normal"/>
    <w:pPr>
      <w:numPr>
        <w:numId w:val="5"/>
      </w:numPr>
      <w:tabs>
        <w:tab w:val="num" w:pos="567"/>
      </w:tabs>
      <w:spacing w:before="120" w:after="120"/>
      <w:ind w:left="567" w:hanging="425"/>
    </w:pPr>
  </w:style>
  <w:style w:type="paragraph" w:customStyle="1" w:styleId="Appendix">
    <w:name w:val="Appendix"/>
    <w:basedOn w:val="Normal"/>
    <w:pPr>
      <w:spacing w:before="0"/>
      <w:jc w:val="right"/>
    </w:pPr>
    <w:rPr>
      <w:b/>
      <w:bCs/>
    </w:rPr>
  </w:style>
  <w:style w:type="character" w:customStyle="1" w:styleId="AppendixCharChar">
    <w:name w:val="Appendix Char Char"/>
    <w:rPr>
      <w:b/>
      <w:bCs/>
      <w:sz w:val="24"/>
      <w:szCs w:val="24"/>
      <w:lang w:val="en-AU" w:eastAsia="en-AU"/>
    </w:rPr>
  </w:style>
  <w:style w:type="paragraph" w:styleId="BlockText">
    <w:name w:val="Block Text"/>
    <w:basedOn w:val="Normal"/>
    <w:pPr>
      <w:ind w:left="1440" w:right="90" w:hanging="720"/>
    </w:pPr>
  </w:style>
  <w:style w:type="paragraph" w:customStyle="1" w:styleId="AppendixTitle">
    <w:name w:val="Appendix Title"/>
    <w:basedOn w:val="Normal"/>
    <w:pPr>
      <w:jc w:val="center"/>
    </w:pPr>
    <w:rPr>
      <w:b/>
      <w:bCs/>
    </w:rPr>
  </w:style>
  <w:style w:type="paragraph" w:styleId="DocumentMap">
    <w:name w:val="Document Map"/>
    <w:basedOn w:val="Normal"/>
    <w:semiHidden/>
    <w:pPr>
      <w:shd w:val="clear" w:color="auto" w:fill="000080"/>
    </w:pPr>
    <w:rPr>
      <w:rFonts w:ascii="Tahoma" w:hAnsi="Tahoma" w:cs="Tahoma"/>
      <w:sz w:val="20"/>
      <w:szCs w:val="20"/>
    </w:rPr>
  </w:style>
  <w:style w:type="paragraph" w:styleId="TOC1">
    <w:name w:val="toc 1"/>
    <w:basedOn w:val="Normal"/>
    <w:next w:val="Normal"/>
    <w:autoRedefine/>
    <w:semiHidden/>
    <w:pPr>
      <w:tabs>
        <w:tab w:val="left" w:pos="284"/>
        <w:tab w:val="right" w:leader="dot" w:pos="8303"/>
      </w:tabs>
      <w:spacing w:before="120" w:after="120"/>
      <w:ind w:left="284" w:hanging="284"/>
    </w:pPr>
    <w:rPr>
      <w:b/>
      <w:bCs/>
    </w:rPr>
  </w:style>
  <w:style w:type="paragraph" w:styleId="TOC2">
    <w:name w:val="toc 2"/>
    <w:basedOn w:val="Normal"/>
    <w:next w:val="Normal"/>
    <w:autoRedefine/>
    <w:semiHidden/>
    <w:pPr>
      <w:spacing w:before="120" w:after="120"/>
      <w:ind w:left="240"/>
    </w:pPr>
  </w:style>
  <w:style w:type="paragraph" w:styleId="TOC3">
    <w:name w:val="toc 3"/>
    <w:basedOn w:val="Normal"/>
    <w:next w:val="Normal"/>
    <w:autoRedefine/>
    <w:semiHidden/>
    <w:pPr>
      <w:spacing w:before="120" w:after="120"/>
      <w:ind w:left="480"/>
    </w:pPr>
    <w:rPr>
      <w:i/>
      <w:iCs/>
    </w:rPr>
  </w:style>
  <w:style w:type="paragraph" w:styleId="TOC4">
    <w:name w:val="toc 4"/>
    <w:basedOn w:val="Normal"/>
    <w:next w:val="Normal"/>
    <w:autoRedefine/>
    <w:semiHidden/>
    <w:pPr>
      <w:ind w:left="720"/>
    </w:pPr>
    <w:rPr>
      <w:sz w:val="18"/>
      <w:szCs w:val="18"/>
    </w:rPr>
  </w:style>
  <w:style w:type="paragraph" w:styleId="TOC5">
    <w:name w:val="toc 5"/>
    <w:basedOn w:val="Normal"/>
    <w:next w:val="Normal"/>
    <w:autoRedefine/>
    <w:semiHidden/>
    <w:pPr>
      <w:ind w:left="960"/>
    </w:pPr>
    <w:rPr>
      <w:sz w:val="18"/>
      <w:szCs w:val="18"/>
    </w:rPr>
  </w:style>
  <w:style w:type="paragraph" w:styleId="TOC6">
    <w:name w:val="toc 6"/>
    <w:basedOn w:val="Normal"/>
    <w:next w:val="Normal"/>
    <w:autoRedefine/>
    <w:semiHidden/>
    <w:pPr>
      <w:ind w:left="1200"/>
    </w:pPr>
    <w:rPr>
      <w:sz w:val="18"/>
      <w:szCs w:val="18"/>
    </w:rPr>
  </w:style>
  <w:style w:type="paragraph" w:styleId="TOC7">
    <w:name w:val="toc 7"/>
    <w:basedOn w:val="Normal"/>
    <w:next w:val="Normal"/>
    <w:autoRedefine/>
    <w:semiHidden/>
    <w:pPr>
      <w:ind w:left="1440"/>
    </w:pPr>
    <w:rPr>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character" w:customStyle="1" w:styleId="HB-Paragraph-unnumberedCharChar">
    <w:name w:val="HB - Paragraph - unnumbered Char Char"/>
    <w:rPr>
      <w:sz w:val="24"/>
      <w:szCs w:val="24"/>
      <w:lang w:val="en-AU" w:eastAsia="en-AU"/>
    </w:rPr>
  </w:style>
  <w:style w:type="paragraph" w:customStyle="1" w:styleId="HB-Paragraph-unnumbered">
    <w:name w:val="HB - Paragraph - unnumbered"/>
    <w:basedOn w:val="Normal"/>
    <w:pPr>
      <w:ind w:left="851"/>
    </w:pPr>
  </w:style>
  <w:style w:type="paragraph" w:customStyle="1" w:styleId="HB-dotpoint">
    <w:name w:val="HB - dotpoint"/>
    <w:basedOn w:val="Normal"/>
    <w:pPr>
      <w:numPr>
        <w:numId w:val="1"/>
      </w:numPr>
      <w:spacing w:before="180"/>
    </w:pPr>
  </w:style>
  <w:style w:type="paragraph" w:customStyle="1" w:styleId="HBTOC1">
    <w:name w:val="HBTOC1"/>
    <w:basedOn w:val="TOC1"/>
    <w:autoRedefine/>
    <w:pPr>
      <w:tabs>
        <w:tab w:val="left" w:pos="720"/>
      </w:tabs>
      <w:spacing w:before="360"/>
      <w:ind w:left="1440" w:hanging="731"/>
    </w:pPr>
    <w:rPr>
      <w:caps/>
      <w:noProof/>
    </w:rPr>
  </w:style>
  <w:style w:type="paragraph" w:customStyle="1" w:styleId="HBTOC2">
    <w:name w:val="HBTOC2"/>
    <w:basedOn w:val="TOC2"/>
    <w:autoRedefine/>
    <w:pPr>
      <w:tabs>
        <w:tab w:val="left" w:pos="1440"/>
        <w:tab w:val="right" w:leader="dot" w:pos="8301"/>
      </w:tabs>
      <w:ind w:left="1440" w:hanging="720"/>
    </w:pPr>
    <w:rPr>
      <w:smallCaps/>
      <w:noProof/>
    </w:rPr>
  </w:style>
  <w:style w:type="paragraph" w:customStyle="1" w:styleId="HBTOC3">
    <w:name w:val="HBTOC3"/>
    <w:basedOn w:val="TOC3"/>
    <w:autoRedefine/>
    <w:pPr>
      <w:tabs>
        <w:tab w:val="right" w:pos="2268"/>
        <w:tab w:val="right" w:leader="dot" w:pos="8303"/>
      </w:tabs>
      <w:ind w:left="2160" w:hanging="720"/>
    </w:pPr>
    <w:rPr>
      <w:noProof/>
    </w:rPr>
  </w:style>
  <w:style w:type="paragraph" w:styleId="BalloonText">
    <w:name w:val="Balloon Text"/>
    <w:basedOn w:val="Normal"/>
    <w:semiHidden/>
    <w:rPr>
      <w:rFonts w:ascii="Tahoma" w:hAnsi="Tahoma" w:cs="Tahoma"/>
      <w:sz w:val="16"/>
      <w:szCs w:val="16"/>
    </w:rPr>
  </w:style>
  <w:style w:type="paragraph" w:customStyle="1" w:styleId="HB-Paragraph">
    <w:name w:val="HB - Paragraph"/>
    <w:basedOn w:val="Normal"/>
    <w:pPr>
      <w:numPr>
        <w:ilvl w:val="2"/>
        <w:numId w:val="4"/>
      </w:numPr>
      <w:spacing w:before="120" w:after="120"/>
    </w:pPr>
  </w:style>
  <w:style w:type="character" w:customStyle="1" w:styleId="HB-ParagraphCharChar">
    <w:name w:val="HB - Paragraph Char Char"/>
    <w:rPr>
      <w:sz w:val="24"/>
      <w:szCs w:val="24"/>
      <w:lang w:val="en-AU" w:eastAsia="en-AU"/>
    </w:rPr>
  </w:style>
  <w:style w:type="paragraph" w:customStyle="1" w:styleId="HB-Paragraph-alphpoint">
    <w:name w:val="HB - Paragraph - alph point"/>
    <w:basedOn w:val="Normal"/>
    <w:pPr>
      <w:numPr>
        <w:numId w:val="3"/>
      </w:numPr>
      <w:spacing w:before="120"/>
    </w:pPr>
  </w:style>
  <w:style w:type="paragraph" w:customStyle="1" w:styleId="Indentedtext">
    <w:name w:val="Indented text"/>
    <w:basedOn w:val="Normal"/>
    <w:pPr>
      <w:tabs>
        <w:tab w:val="left" w:pos="720"/>
      </w:tabs>
      <w:spacing w:before="0"/>
      <w:ind w:left="1440"/>
    </w:pPr>
  </w:style>
  <w:style w:type="character" w:styleId="Hyperlink">
    <w:name w:val="Hyperlink"/>
    <w:rPr>
      <w:color w:val="0000FF"/>
      <w:u w:val="single"/>
    </w:rPr>
  </w:style>
  <w:style w:type="paragraph" w:styleId="Title">
    <w:name w:val="Title"/>
    <w:basedOn w:val="Normal"/>
    <w:qFormat/>
    <w:pPr>
      <w:spacing w:before="0"/>
      <w:jc w:val="center"/>
    </w:pPr>
    <w:rPr>
      <w:b/>
      <w:bCs/>
      <w:sz w:val="36"/>
      <w:szCs w:val="36"/>
    </w:rPr>
  </w:style>
  <w:style w:type="paragraph" w:customStyle="1" w:styleId="HB-Table-Subpoint">
    <w:name w:val="HB - Table - Subpoint"/>
    <w:basedOn w:val="Normal"/>
    <w:pPr>
      <w:numPr>
        <w:numId w:val="2"/>
      </w:numPr>
      <w:tabs>
        <w:tab w:val="clear" w:pos="360"/>
        <w:tab w:val="num" w:pos="993"/>
      </w:tabs>
      <w:spacing w:before="60" w:after="60"/>
      <w:ind w:left="993" w:hanging="426"/>
    </w:pPr>
  </w:style>
  <w:style w:type="paragraph" w:styleId="Header">
    <w:name w:val="header"/>
    <w:basedOn w:val="Normal"/>
    <w:pPr>
      <w:tabs>
        <w:tab w:val="center" w:pos="4153"/>
        <w:tab w:val="right" w:pos="8306"/>
      </w:tabs>
    </w:pPr>
  </w:style>
  <w:style w:type="paragraph" w:styleId="NormalWeb">
    <w:name w:val="Normal (Web)"/>
    <w:basedOn w:val="Normal"/>
    <w:pPr>
      <w:spacing w:before="100" w:beforeAutospacing="1" w:after="100" w:afterAutospacing="1"/>
      <w:ind w:left="300"/>
    </w:pPr>
  </w:style>
  <w:style w:type="character" w:styleId="Strong">
    <w:name w:val="Strong"/>
    <w:qFormat/>
    <w:rPr>
      <w:b/>
      <w:bCs/>
    </w:r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CharCharCharCharCharCharCharCharChar1CharCharCharCharCharCharCharCharCharCharCharCharChar">
    <w:name w:val="Char Char Char Char Char Char Char Char Char1 Char Char Char Char Char Char Char Char Char Char Char Char Char"/>
    <w:basedOn w:val="Normal"/>
    <w:rsid w:val="00B75271"/>
    <w:pPr>
      <w:spacing w:before="0" w:after="160" w:line="240" w:lineRule="exact"/>
    </w:pPr>
    <w:rPr>
      <w:rFonts w:ascii="Verdana" w:hAnsi="Verdana" w:cs="Verdana"/>
      <w:sz w:val="20"/>
      <w:szCs w:val="20"/>
      <w:lang w:val="en-US" w:eastAsia="en-US"/>
    </w:rPr>
  </w:style>
  <w:style w:type="paragraph" w:customStyle="1" w:styleId="CharCharChar">
    <w:name w:val="Char Char Char"/>
    <w:basedOn w:val="Normal"/>
    <w:rsid w:val="007A44CD"/>
    <w:pPr>
      <w:spacing w:before="0"/>
    </w:pPr>
    <w:rPr>
      <w:rFonts w:ascii="Arial" w:hAnsi="Arial" w:cs="Arial"/>
      <w:sz w:val="22"/>
      <w:szCs w:val="22"/>
      <w:lang w:eastAsia="en-US"/>
    </w:rPr>
  </w:style>
  <w:style w:type="paragraph" w:customStyle="1" w:styleId="numberpara">
    <w:name w:val="numberpara"/>
    <w:basedOn w:val="Footer"/>
    <w:rsid w:val="006B3A47"/>
    <w:pPr>
      <w:tabs>
        <w:tab w:val="clear" w:pos="4153"/>
        <w:tab w:val="clear" w:pos="8306"/>
        <w:tab w:val="left" w:pos="360"/>
        <w:tab w:val="left" w:pos="567"/>
      </w:tabs>
      <w:spacing w:before="120" w:line="360" w:lineRule="auto"/>
    </w:pPr>
    <w:rPr>
      <w:szCs w:val="20"/>
      <w:lang w:val="en-US"/>
    </w:rPr>
  </w:style>
  <w:style w:type="paragraph" w:customStyle="1" w:styleId="Char2">
    <w:name w:val="Char2"/>
    <w:basedOn w:val="Normal"/>
    <w:rsid w:val="00963FBD"/>
    <w:pPr>
      <w:widowControl w:val="0"/>
      <w:adjustRightInd w:val="0"/>
      <w:spacing w:before="0" w:line="360" w:lineRule="atLeast"/>
      <w:jc w:val="both"/>
    </w:pPr>
    <w:rPr>
      <w:rFonts w:ascii="Arial" w:hAnsi="Arial" w:cs="Arial"/>
      <w:sz w:val="22"/>
      <w:szCs w:val="22"/>
      <w:lang w:eastAsia="en-US"/>
    </w:rPr>
  </w:style>
  <w:style w:type="paragraph" w:customStyle="1" w:styleId="definition">
    <w:name w:val="definition"/>
    <w:basedOn w:val="Normal"/>
    <w:rsid w:val="00797AB2"/>
    <w:pPr>
      <w:spacing w:before="80" w:line="260" w:lineRule="exact"/>
      <w:ind w:left="964"/>
      <w:jc w:val="both"/>
    </w:pPr>
    <w:rPr>
      <w:lang w:eastAsia="en-US"/>
    </w:rPr>
  </w:style>
  <w:style w:type="paragraph" w:customStyle="1" w:styleId="Note">
    <w:name w:val="Note"/>
    <w:basedOn w:val="Normal"/>
    <w:rsid w:val="00797AB2"/>
    <w:pPr>
      <w:spacing w:before="120" w:line="221" w:lineRule="auto"/>
      <w:ind w:left="964"/>
      <w:jc w:val="both"/>
    </w:pPr>
    <w:rPr>
      <w:sz w:val="20"/>
    </w:rPr>
  </w:style>
  <w:style w:type="paragraph" w:customStyle="1" w:styleId="P1">
    <w:name w:val="P1"/>
    <w:aliases w:val="(a)"/>
    <w:basedOn w:val="Normal"/>
    <w:rsid w:val="00797AB2"/>
    <w:pPr>
      <w:tabs>
        <w:tab w:val="right" w:pos="1191"/>
      </w:tabs>
      <w:spacing w:before="60" w:line="260" w:lineRule="exact"/>
      <w:ind w:left="1418" w:hanging="1418"/>
      <w:jc w:val="both"/>
    </w:pPr>
    <w:rPr>
      <w:lang w:eastAsia="en-US"/>
    </w:rPr>
  </w:style>
  <w:style w:type="paragraph" w:customStyle="1" w:styleId="Headingbold0">
    <w:name w:val="Heading bold 0"/>
    <w:aliases w:val="3"/>
    <w:basedOn w:val="Normal"/>
    <w:next w:val="PlainText"/>
    <w:rsid w:val="00847D45"/>
    <w:pPr>
      <w:keepNext/>
      <w:spacing w:after="60"/>
      <w:ind w:right="45"/>
    </w:pPr>
    <w:rPr>
      <w:b/>
      <w:bCs/>
    </w:rPr>
  </w:style>
  <w:style w:type="paragraph" w:customStyle="1" w:styleId="Textbody0">
    <w:name w:val="Text body 0"/>
    <w:aliases w:val="12"/>
    <w:basedOn w:val="Normal"/>
    <w:rsid w:val="00847D45"/>
    <w:pPr>
      <w:spacing w:before="0" w:after="240"/>
      <w:ind w:right="45"/>
    </w:pPr>
    <w:rPr>
      <w:bCs/>
    </w:rPr>
  </w:style>
  <w:style w:type="paragraph" w:styleId="PlainText">
    <w:name w:val="Plain Text"/>
    <w:basedOn w:val="Normal"/>
    <w:rsid w:val="00847D45"/>
    <w:rPr>
      <w:rFonts w:ascii="Courier New" w:hAnsi="Courier New" w:cs="Courier New"/>
      <w:sz w:val="20"/>
      <w:szCs w:val="20"/>
    </w:rPr>
  </w:style>
  <w:style w:type="paragraph" w:customStyle="1" w:styleId="Default">
    <w:name w:val="Default"/>
    <w:rsid w:val="003C7DBE"/>
    <w:pPr>
      <w:autoSpaceDE w:val="0"/>
      <w:autoSpaceDN w:val="0"/>
      <w:adjustRightInd w:val="0"/>
    </w:pPr>
    <w:rPr>
      <w:color w:val="000000"/>
      <w:sz w:val="24"/>
      <w:szCs w:val="24"/>
    </w:rPr>
  </w:style>
  <w:style w:type="table" w:styleId="TableGrid">
    <w:name w:val="Table Grid"/>
    <w:basedOn w:val="TableNormal"/>
    <w:rsid w:val="00083D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567E7"/>
    <w:pPr>
      <w:spacing w:before="0" w:after="200" w:line="276" w:lineRule="auto"/>
      <w:ind w:left="720"/>
    </w:pPr>
    <w:rPr>
      <w:rFonts w:ascii="Calibri" w:eastAsia="Calibri" w:hAnsi="Calibri"/>
      <w:sz w:val="22"/>
      <w:szCs w:val="22"/>
      <w:lang w:eastAsia="en-US"/>
    </w:rPr>
  </w:style>
  <w:style w:type="paragraph" w:customStyle="1" w:styleId="Heading60">
    <w:name w:val="Heading6"/>
    <w:basedOn w:val="Normal"/>
    <w:link w:val="Heading6Char"/>
    <w:rsid w:val="00BE4281"/>
    <w:pPr>
      <w:keepNext/>
      <w:keepLines/>
      <w:suppressAutoHyphens/>
      <w:spacing w:before="0" w:after="120"/>
      <w:jc w:val="both"/>
    </w:pPr>
    <w:rPr>
      <w:b/>
      <w:sz w:val="20"/>
      <w:szCs w:val="20"/>
    </w:rPr>
  </w:style>
  <w:style w:type="character" w:customStyle="1" w:styleId="Heading6Char">
    <w:name w:val="Heading6 Char"/>
    <w:link w:val="Heading60"/>
    <w:locked/>
    <w:rsid w:val="00BE4281"/>
    <w:rPr>
      <w:b/>
    </w:rPr>
  </w:style>
  <w:style w:type="paragraph" w:customStyle="1" w:styleId="ActHead3">
    <w:name w:val="ActHead 3"/>
    <w:aliases w:val="d"/>
    <w:basedOn w:val="Normal"/>
    <w:next w:val="ActHead4"/>
    <w:qFormat/>
    <w:rsid w:val="00BD227A"/>
    <w:pPr>
      <w:keepNext/>
      <w:keepLines/>
      <w:ind w:left="1134" w:hanging="1134"/>
      <w:outlineLvl w:val="2"/>
    </w:pPr>
    <w:rPr>
      <w:b/>
      <w:kern w:val="28"/>
      <w:sz w:val="28"/>
      <w:szCs w:val="20"/>
    </w:rPr>
  </w:style>
  <w:style w:type="paragraph" w:customStyle="1" w:styleId="ActHead4">
    <w:name w:val="ActHead 4"/>
    <w:aliases w:val="sd"/>
    <w:basedOn w:val="Normal"/>
    <w:next w:val="ActHead5"/>
    <w:qFormat/>
    <w:rsid w:val="00BD227A"/>
    <w:pPr>
      <w:keepNext/>
      <w:keepLines/>
      <w:spacing w:before="220"/>
      <w:ind w:left="1134" w:hanging="1134"/>
      <w:outlineLvl w:val="3"/>
    </w:pPr>
    <w:rPr>
      <w:b/>
      <w:kern w:val="28"/>
      <w:sz w:val="26"/>
      <w:szCs w:val="20"/>
    </w:rPr>
  </w:style>
  <w:style w:type="paragraph" w:customStyle="1" w:styleId="ActHead5">
    <w:name w:val="ActHead 5"/>
    <w:aliases w:val="s"/>
    <w:basedOn w:val="Normal"/>
    <w:next w:val="subsection"/>
    <w:qFormat/>
    <w:rsid w:val="00BD227A"/>
    <w:pPr>
      <w:keepNext/>
      <w:keepLines/>
      <w:spacing w:before="280"/>
      <w:ind w:left="1134" w:hanging="1134"/>
      <w:outlineLvl w:val="4"/>
    </w:pPr>
    <w:rPr>
      <w:b/>
      <w:kern w:val="28"/>
      <w:szCs w:val="20"/>
    </w:rPr>
  </w:style>
  <w:style w:type="character" w:customStyle="1" w:styleId="CharDivNo">
    <w:name w:val="CharDivNo"/>
    <w:basedOn w:val="DefaultParagraphFont"/>
    <w:uiPriority w:val="1"/>
    <w:qFormat/>
    <w:rsid w:val="00BD227A"/>
  </w:style>
  <w:style w:type="character" w:customStyle="1" w:styleId="CharDivText">
    <w:name w:val="CharDivText"/>
    <w:basedOn w:val="DefaultParagraphFont"/>
    <w:uiPriority w:val="1"/>
    <w:qFormat/>
    <w:rsid w:val="00BD227A"/>
  </w:style>
  <w:style w:type="character" w:customStyle="1" w:styleId="CharSectno">
    <w:name w:val="CharSectno"/>
    <w:basedOn w:val="DefaultParagraphFont"/>
    <w:qFormat/>
    <w:rsid w:val="00BD227A"/>
  </w:style>
  <w:style w:type="character" w:customStyle="1" w:styleId="CharSubdNo">
    <w:name w:val="CharSubdNo"/>
    <w:basedOn w:val="DefaultParagraphFont"/>
    <w:uiPriority w:val="1"/>
    <w:qFormat/>
    <w:rsid w:val="00BD227A"/>
  </w:style>
  <w:style w:type="character" w:customStyle="1" w:styleId="CharSubdText">
    <w:name w:val="CharSubdText"/>
    <w:basedOn w:val="DefaultParagraphFont"/>
    <w:uiPriority w:val="1"/>
    <w:qFormat/>
    <w:rsid w:val="00BD227A"/>
  </w:style>
  <w:style w:type="paragraph" w:customStyle="1" w:styleId="subsection">
    <w:name w:val="subsection"/>
    <w:aliases w:val="ss"/>
    <w:basedOn w:val="Normal"/>
    <w:link w:val="subsectionChar"/>
    <w:rsid w:val="00BD227A"/>
    <w:pPr>
      <w:tabs>
        <w:tab w:val="right" w:pos="1021"/>
      </w:tabs>
      <w:spacing w:before="180"/>
      <w:ind w:left="1134" w:hanging="1134"/>
    </w:pPr>
    <w:rPr>
      <w:sz w:val="22"/>
      <w:szCs w:val="20"/>
    </w:rPr>
  </w:style>
  <w:style w:type="paragraph" w:customStyle="1" w:styleId="Definition0">
    <w:name w:val="Definition"/>
    <w:aliases w:val="dd"/>
    <w:basedOn w:val="Normal"/>
    <w:rsid w:val="00BD227A"/>
    <w:pPr>
      <w:spacing w:before="180"/>
      <w:ind w:left="1134"/>
    </w:pPr>
    <w:rPr>
      <w:sz w:val="22"/>
      <w:szCs w:val="20"/>
    </w:rPr>
  </w:style>
  <w:style w:type="paragraph" w:customStyle="1" w:styleId="Item">
    <w:name w:val="Item"/>
    <w:aliases w:val="i"/>
    <w:basedOn w:val="Normal"/>
    <w:next w:val="ItemHead"/>
    <w:rsid w:val="00BD227A"/>
    <w:pPr>
      <w:keepLines/>
      <w:spacing w:before="80"/>
      <w:ind w:left="709"/>
    </w:pPr>
    <w:rPr>
      <w:sz w:val="22"/>
      <w:szCs w:val="20"/>
    </w:rPr>
  </w:style>
  <w:style w:type="paragraph" w:customStyle="1" w:styleId="ItemHead">
    <w:name w:val="ItemHead"/>
    <w:aliases w:val="ih"/>
    <w:basedOn w:val="Normal"/>
    <w:next w:val="Item"/>
    <w:rsid w:val="00BD227A"/>
    <w:pPr>
      <w:keepNext/>
      <w:keepLines/>
      <w:spacing w:before="220"/>
      <w:ind w:left="709" w:hanging="709"/>
    </w:pPr>
    <w:rPr>
      <w:rFonts w:ascii="Arial" w:hAnsi="Arial"/>
      <w:b/>
      <w:kern w:val="28"/>
      <w:szCs w:val="20"/>
    </w:rPr>
  </w:style>
  <w:style w:type="paragraph" w:customStyle="1" w:styleId="paragraphsub">
    <w:name w:val="paragraph(sub)"/>
    <w:aliases w:val="aa"/>
    <w:basedOn w:val="Normal"/>
    <w:rsid w:val="00BD227A"/>
    <w:pPr>
      <w:tabs>
        <w:tab w:val="right" w:pos="1985"/>
      </w:tabs>
      <w:spacing w:before="40"/>
      <w:ind w:left="2098" w:hanging="2098"/>
    </w:pPr>
    <w:rPr>
      <w:sz w:val="22"/>
      <w:szCs w:val="20"/>
    </w:rPr>
  </w:style>
  <w:style w:type="paragraph" w:customStyle="1" w:styleId="paragraph">
    <w:name w:val="paragraph"/>
    <w:aliases w:val="a"/>
    <w:basedOn w:val="Normal"/>
    <w:rsid w:val="00BD227A"/>
    <w:pPr>
      <w:tabs>
        <w:tab w:val="right" w:pos="1531"/>
      </w:tabs>
      <w:spacing w:before="40"/>
      <w:ind w:left="1644" w:hanging="1644"/>
    </w:pPr>
    <w:rPr>
      <w:sz w:val="22"/>
      <w:szCs w:val="20"/>
    </w:rPr>
  </w:style>
  <w:style w:type="paragraph" w:customStyle="1" w:styleId="subsection2">
    <w:name w:val="subsection2"/>
    <w:aliases w:val="ss2"/>
    <w:basedOn w:val="Normal"/>
    <w:next w:val="subsection"/>
    <w:rsid w:val="00BD227A"/>
    <w:pPr>
      <w:spacing w:before="40"/>
      <w:ind w:left="1134"/>
    </w:pPr>
    <w:rPr>
      <w:sz w:val="22"/>
      <w:szCs w:val="20"/>
    </w:rPr>
  </w:style>
  <w:style w:type="paragraph" w:customStyle="1" w:styleId="notetext">
    <w:name w:val="note(text)"/>
    <w:aliases w:val="n"/>
    <w:basedOn w:val="Normal"/>
    <w:link w:val="notetextChar"/>
    <w:rsid w:val="00BD227A"/>
    <w:pPr>
      <w:spacing w:before="122"/>
      <w:ind w:left="1985" w:hanging="851"/>
    </w:pPr>
    <w:rPr>
      <w:sz w:val="18"/>
      <w:szCs w:val="20"/>
    </w:rPr>
  </w:style>
  <w:style w:type="character" w:customStyle="1" w:styleId="subsectionChar">
    <w:name w:val="subsection Char"/>
    <w:aliases w:val="ss Char"/>
    <w:link w:val="subsection"/>
    <w:locked/>
    <w:rsid w:val="00BD227A"/>
    <w:rPr>
      <w:sz w:val="22"/>
    </w:rPr>
  </w:style>
  <w:style w:type="character" w:customStyle="1" w:styleId="notetextChar">
    <w:name w:val="note(text) Char"/>
    <w:aliases w:val="n Char"/>
    <w:link w:val="notetext"/>
    <w:rsid w:val="00BD227A"/>
    <w:rPr>
      <w:sz w:val="18"/>
    </w:rPr>
  </w:style>
  <w:style w:type="character" w:customStyle="1" w:styleId="FooterChar">
    <w:name w:val="Footer Char"/>
    <w:basedOn w:val="DefaultParagraphFont"/>
    <w:link w:val="Footer"/>
    <w:uiPriority w:val="99"/>
    <w:rsid w:val="00016DC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240"/>
    </w:pPr>
    <w:rPr>
      <w:sz w:val="24"/>
      <w:szCs w:val="24"/>
    </w:rPr>
  </w:style>
  <w:style w:type="paragraph" w:styleId="Heading1">
    <w:name w:val="heading 1"/>
    <w:basedOn w:val="Normal"/>
    <w:next w:val="Normal"/>
    <w:qFormat/>
    <w:pPr>
      <w:keepNext/>
      <w:numPr>
        <w:numId w:val="4"/>
      </w:numPr>
      <w:spacing w:before="0"/>
      <w:outlineLvl w:val="0"/>
    </w:pPr>
    <w:rPr>
      <w:b/>
      <w:bCs/>
      <w:caps/>
    </w:rPr>
  </w:style>
  <w:style w:type="paragraph" w:styleId="Heading2">
    <w:name w:val="heading 2"/>
    <w:basedOn w:val="Normal"/>
    <w:next w:val="Normal"/>
    <w:qFormat/>
    <w:pPr>
      <w:keepNext/>
      <w:numPr>
        <w:ilvl w:val="1"/>
        <w:numId w:val="4"/>
      </w:numPr>
      <w:spacing w:before="360" w:after="60"/>
      <w:outlineLvl w:val="1"/>
    </w:pPr>
    <w:rPr>
      <w:b/>
      <w:bCs/>
    </w:rPr>
  </w:style>
  <w:style w:type="paragraph" w:styleId="Heading3">
    <w:name w:val="heading 3"/>
    <w:basedOn w:val="Normal"/>
    <w:next w:val="Normal"/>
    <w:qFormat/>
    <w:pPr>
      <w:keepNext/>
      <w:tabs>
        <w:tab w:val="left" w:pos="720"/>
      </w:tabs>
      <w:spacing w:before="360" w:after="120"/>
      <w:ind w:left="720" w:hanging="720"/>
      <w:outlineLvl w:val="2"/>
    </w:pPr>
    <w:rPr>
      <w:b/>
      <w:bCs/>
      <w:i/>
      <w:iCs/>
    </w:rPr>
  </w:style>
  <w:style w:type="paragraph" w:styleId="Heading4">
    <w:name w:val="heading 4"/>
    <w:basedOn w:val="Normal"/>
    <w:next w:val="Normal"/>
    <w:qFormat/>
    <w:pPr>
      <w:keepNext/>
      <w:ind w:right="91"/>
      <w:jc w:val="right"/>
      <w:outlineLvl w:val="3"/>
    </w:pPr>
  </w:style>
  <w:style w:type="paragraph" w:styleId="Heading5">
    <w:name w:val="heading 5"/>
    <w:basedOn w:val="Normal"/>
    <w:next w:val="Normal"/>
    <w:qFormat/>
    <w:pPr>
      <w:keepNext/>
      <w:tabs>
        <w:tab w:val="left" w:pos="2018"/>
      </w:tabs>
      <w:spacing w:line="240" w:lineRule="exact"/>
      <w:ind w:left="742" w:right="91"/>
      <w:outlineLvl w:val="4"/>
    </w:pPr>
    <w:rPr>
      <w:b/>
      <w:bCs/>
    </w:rPr>
  </w:style>
  <w:style w:type="paragraph" w:styleId="Heading6">
    <w:name w:val="heading 6"/>
    <w:basedOn w:val="Normal"/>
    <w:next w:val="Normal"/>
    <w:qFormat/>
    <w:pPr>
      <w:keepNext/>
      <w:ind w:right="91"/>
      <w:outlineLvl w:val="5"/>
    </w:pPr>
    <w:rPr>
      <w:u w:val="single"/>
    </w:rPr>
  </w:style>
  <w:style w:type="paragraph" w:styleId="Heading7">
    <w:name w:val="heading 7"/>
    <w:basedOn w:val="Normal"/>
    <w:next w:val="Normal"/>
    <w:qFormat/>
    <w:pPr>
      <w:keepNext/>
      <w:ind w:left="176" w:firstLine="1264"/>
      <w:jc w:val="both"/>
      <w:outlineLvl w:val="6"/>
    </w:pPr>
  </w:style>
  <w:style w:type="paragraph" w:styleId="Heading8">
    <w:name w:val="heading 8"/>
    <w:basedOn w:val="Normal"/>
    <w:next w:val="Normal"/>
    <w:qFormat/>
    <w:pPr>
      <w:keepNext/>
      <w:tabs>
        <w:tab w:val="left" w:pos="4002"/>
      </w:tabs>
      <w:ind w:left="3216" w:hanging="347"/>
      <w:outlineLvl w:val="7"/>
    </w:pPr>
  </w:style>
  <w:style w:type="paragraph" w:styleId="Heading9">
    <w:name w:val="heading 9"/>
    <w:basedOn w:val="Normal"/>
    <w:next w:val="Normal"/>
    <w:qFormat/>
    <w:pPr>
      <w:keepNext/>
      <w:tabs>
        <w:tab w:val="left" w:pos="4002"/>
      </w:tabs>
      <w:ind w:left="2869"/>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paragraph" w:customStyle="1" w:styleId="HB-Table-dotpoint">
    <w:name w:val="HB - Table - dot point"/>
    <w:basedOn w:val="Normal"/>
    <w:pPr>
      <w:numPr>
        <w:numId w:val="5"/>
      </w:numPr>
      <w:tabs>
        <w:tab w:val="num" w:pos="567"/>
      </w:tabs>
      <w:spacing w:before="120" w:after="120"/>
      <w:ind w:left="567" w:hanging="425"/>
    </w:pPr>
  </w:style>
  <w:style w:type="paragraph" w:customStyle="1" w:styleId="Appendix">
    <w:name w:val="Appendix"/>
    <w:basedOn w:val="Normal"/>
    <w:pPr>
      <w:spacing w:before="0"/>
      <w:jc w:val="right"/>
    </w:pPr>
    <w:rPr>
      <w:b/>
      <w:bCs/>
    </w:rPr>
  </w:style>
  <w:style w:type="character" w:customStyle="1" w:styleId="AppendixCharChar">
    <w:name w:val="Appendix Char Char"/>
    <w:rPr>
      <w:b/>
      <w:bCs/>
      <w:sz w:val="24"/>
      <w:szCs w:val="24"/>
      <w:lang w:val="en-AU" w:eastAsia="en-AU"/>
    </w:rPr>
  </w:style>
  <w:style w:type="paragraph" w:styleId="BlockText">
    <w:name w:val="Block Text"/>
    <w:basedOn w:val="Normal"/>
    <w:pPr>
      <w:ind w:left="1440" w:right="90" w:hanging="720"/>
    </w:pPr>
  </w:style>
  <w:style w:type="paragraph" w:customStyle="1" w:styleId="AppendixTitle">
    <w:name w:val="Appendix Title"/>
    <w:basedOn w:val="Normal"/>
    <w:pPr>
      <w:jc w:val="center"/>
    </w:pPr>
    <w:rPr>
      <w:b/>
      <w:bCs/>
    </w:rPr>
  </w:style>
  <w:style w:type="paragraph" w:styleId="DocumentMap">
    <w:name w:val="Document Map"/>
    <w:basedOn w:val="Normal"/>
    <w:semiHidden/>
    <w:pPr>
      <w:shd w:val="clear" w:color="auto" w:fill="000080"/>
    </w:pPr>
    <w:rPr>
      <w:rFonts w:ascii="Tahoma" w:hAnsi="Tahoma" w:cs="Tahoma"/>
      <w:sz w:val="20"/>
      <w:szCs w:val="20"/>
    </w:rPr>
  </w:style>
  <w:style w:type="paragraph" w:styleId="TOC1">
    <w:name w:val="toc 1"/>
    <w:basedOn w:val="Normal"/>
    <w:next w:val="Normal"/>
    <w:autoRedefine/>
    <w:semiHidden/>
    <w:pPr>
      <w:tabs>
        <w:tab w:val="left" w:pos="284"/>
        <w:tab w:val="right" w:leader="dot" w:pos="8303"/>
      </w:tabs>
      <w:spacing w:before="120" w:after="120"/>
      <w:ind w:left="284" w:hanging="284"/>
    </w:pPr>
    <w:rPr>
      <w:b/>
      <w:bCs/>
    </w:rPr>
  </w:style>
  <w:style w:type="paragraph" w:styleId="TOC2">
    <w:name w:val="toc 2"/>
    <w:basedOn w:val="Normal"/>
    <w:next w:val="Normal"/>
    <w:autoRedefine/>
    <w:semiHidden/>
    <w:pPr>
      <w:spacing w:before="120" w:after="120"/>
      <w:ind w:left="240"/>
    </w:pPr>
  </w:style>
  <w:style w:type="paragraph" w:styleId="TOC3">
    <w:name w:val="toc 3"/>
    <w:basedOn w:val="Normal"/>
    <w:next w:val="Normal"/>
    <w:autoRedefine/>
    <w:semiHidden/>
    <w:pPr>
      <w:spacing w:before="120" w:after="120"/>
      <w:ind w:left="480"/>
    </w:pPr>
    <w:rPr>
      <w:i/>
      <w:iCs/>
    </w:rPr>
  </w:style>
  <w:style w:type="paragraph" w:styleId="TOC4">
    <w:name w:val="toc 4"/>
    <w:basedOn w:val="Normal"/>
    <w:next w:val="Normal"/>
    <w:autoRedefine/>
    <w:semiHidden/>
    <w:pPr>
      <w:ind w:left="720"/>
    </w:pPr>
    <w:rPr>
      <w:sz w:val="18"/>
      <w:szCs w:val="18"/>
    </w:rPr>
  </w:style>
  <w:style w:type="paragraph" w:styleId="TOC5">
    <w:name w:val="toc 5"/>
    <w:basedOn w:val="Normal"/>
    <w:next w:val="Normal"/>
    <w:autoRedefine/>
    <w:semiHidden/>
    <w:pPr>
      <w:ind w:left="960"/>
    </w:pPr>
    <w:rPr>
      <w:sz w:val="18"/>
      <w:szCs w:val="18"/>
    </w:rPr>
  </w:style>
  <w:style w:type="paragraph" w:styleId="TOC6">
    <w:name w:val="toc 6"/>
    <w:basedOn w:val="Normal"/>
    <w:next w:val="Normal"/>
    <w:autoRedefine/>
    <w:semiHidden/>
    <w:pPr>
      <w:ind w:left="1200"/>
    </w:pPr>
    <w:rPr>
      <w:sz w:val="18"/>
      <w:szCs w:val="18"/>
    </w:rPr>
  </w:style>
  <w:style w:type="paragraph" w:styleId="TOC7">
    <w:name w:val="toc 7"/>
    <w:basedOn w:val="Normal"/>
    <w:next w:val="Normal"/>
    <w:autoRedefine/>
    <w:semiHidden/>
    <w:pPr>
      <w:ind w:left="1440"/>
    </w:pPr>
    <w:rPr>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character" w:customStyle="1" w:styleId="HB-Paragraph-unnumberedCharChar">
    <w:name w:val="HB - Paragraph - unnumbered Char Char"/>
    <w:rPr>
      <w:sz w:val="24"/>
      <w:szCs w:val="24"/>
      <w:lang w:val="en-AU" w:eastAsia="en-AU"/>
    </w:rPr>
  </w:style>
  <w:style w:type="paragraph" w:customStyle="1" w:styleId="HB-Paragraph-unnumbered">
    <w:name w:val="HB - Paragraph - unnumbered"/>
    <w:basedOn w:val="Normal"/>
    <w:pPr>
      <w:ind w:left="851"/>
    </w:pPr>
  </w:style>
  <w:style w:type="paragraph" w:customStyle="1" w:styleId="HB-dotpoint">
    <w:name w:val="HB - dotpoint"/>
    <w:basedOn w:val="Normal"/>
    <w:pPr>
      <w:numPr>
        <w:numId w:val="1"/>
      </w:numPr>
      <w:spacing w:before="180"/>
    </w:pPr>
  </w:style>
  <w:style w:type="paragraph" w:customStyle="1" w:styleId="HBTOC1">
    <w:name w:val="HBTOC1"/>
    <w:basedOn w:val="TOC1"/>
    <w:autoRedefine/>
    <w:pPr>
      <w:tabs>
        <w:tab w:val="left" w:pos="720"/>
      </w:tabs>
      <w:spacing w:before="360"/>
      <w:ind w:left="1440" w:hanging="731"/>
    </w:pPr>
    <w:rPr>
      <w:caps/>
      <w:noProof/>
    </w:rPr>
  </w:style>
  <w:style w:type="paragraph" w:customStyle="1" w:styleId="HBTOC2">
    <w:name w:val="HBTOC2"/>
    <w:basedOn w:val="TOC2"/>
    <w:autoRedefine/>
    <w:pPr>
      <w:tabs>
        <w:tab w:val="left" w:pos="1440"/>
        <w:tab w:val="right" w:leader="dot" w:pos="8301"/>
      </w:tabs>
      <w:ind w:left="1440" w:hanging="720"/>
    </w:pPr>
    <w:rPr>
      <w:smallCaps/>
      <w:noProof/>
    </w:rPr>
  </w:style>
  <w:style w:type="paragraph" w:customStyle="1" w:styleId="HBTOC3">
    <w:name w:val="HBTOC3"/>
    <w:basedOn w:val="TOC3"/>
    <w:autoRedefine/>
    <w:pPr>
      <w:tabs>
        <w:tab w:val="right" w:pos="2268"/>
        <w:tab w:val="right" w:leader="dot" w:pos="8303"/>
      </w:tabs>
      <w:ind w:left="2160" w:hanging="720"/>
    </w:pPr>
    <w:rPr>
      <w:noProof/>
    </w:rPr>
  </w:style>
  <w:style w:type="paragraph" w:styleId="BalloonText">
    <w:name w:val="Balloon Text"/>
    <w:basedOn w:val="Normal"/>
    <w:semiHidden/>
    <w:rPr>
      <w:rFonts w:ascii="Tahoma" w:hAnsi="Tahoma" w:cs="Tahoma"/>
      <w:sz w:val="16"/>
      <w:szCs w:val="16"/>
    </w:rPr>
  </w:style>
  <w:style w:type="paragraph" w:customStyle="1" w:styleId="HB-Paragraph">
    <w:name w:val="HB - Paragraph"/>
    <w:basedOn w:val="Normal"/>
    <w:pPr>
      <w:numPr>
        <w:ilvl w:val="2"/>
        <w:numId w:val="4"/>
      </w:numPr>
      <w:spacing w:before="120" w:after="120"/>
    </w:pPr>
  </w:style>
  <w:style w:type="character" w:customStyle="1" w:styleId="HB-ParagraphCharChar">
    <w:name w:val="HB - Paragraph Char Char"/>
    <w:rPr>
      <w:sz w:val="24"/>
      <w:szCs w:val="24"/>
      <w:lang w:val="en-AU" w:eastAsia="en-AU"/>
    </w:rPr>
  </w:style>
  <w:style w:type="paragraph" w:customStyle="1" w:styleId="HB-Paragraph-alphpoint">
    <w:name w:val="HB - Paragraph - alph point"/>
    <w:basedOn w:val="Normal"/>
    <w:pPr>
      <w:numPr>
        <w:numId w:val="3"/>
      </w:numPr>
      <w:spacing w:before="120"/>
    </w:pPr>
  </w:style>
  <w:style w:type="paragraph" w:customStyle="1" w:styleId="Indentedtext">
    <w:name w:val="Indented text"/>
    <w:basedOn w:val="Normal"/>
    <w:pPr>
      <w:tabs>
        <w:tab w:val="left" w:pos="720"/>
      </w:tabs>
      <w:spacing w:before="0"/>
      <w:ind w:left="1440"/>
    </w:pPr>
  </w:style>
  <w:style w:type="character" w:styleId="Hyperlink">
    <w:name w:val="Hyperlink"/>
    <w:rPr>
      <w:color w:val="0000FF"/>
      <w:u w:val="single"/>
    </w:rPr>
  </w:style>
  <w:style w:type="paragraph" w:styleId="Title">
    <w:name w:val="Title"/>
    <w:basedOn w:val="Normal"/>
    <w:qFormat/>
    <w:pPr>
      <w:spacing w:before="0"/>
      <w:jc w:val="center"/>
    </w:pPr>
    <w:rPr>
      <w:b/>
      <w:bCs/>
      <w:sz w:val="36"/>
      <w:szCs w:val="36"/>
    </w:rPr>
  </w:style>
  <w:style w:type="paragraph" w:customStyle="1" w:styleId="HB-Table-Subpoint">
    <w:name w:val="HB - Table - Subpoint"/>
    <w:basedOn w:val="Normal"/>
    <w:pPr>
      <w:numPr>
        <w:numId w:val="2"/>
      </w:numPr>
      <w:tabs>
        <w:tab w:val="clear" w:pos="360"/>
        <w:tab w:val="num" w:pos="993"/>
      </w:tabs>
      <w:spacing w:before="60" w:after="60"/>
      <w:ind w:left="993" w:hanging="426"/>
    </w:pPr>
  </w:style>
  <w:style w:type="paragraph" w:styleId="Header">
    <w:name w:val="header"/>
    <w:basedOn w:val="Normal"/>
    <w:pPr>
      <w:tabs>
        <w:tab w:val="center" w:pos="4153"/>
        <w:tab w:val="right" w:pos="8306"/>
      </w:tabs>
    </w:pPr>
  </w:style>
  <w:style w:type="paragraph" w:styleId="NormalWeb">
    <w:name w:val="Normal (Web)"/>
    <w:basedOn w:val="Normal"/>
    <w:pPr>
      <w:spacing w:before="100" w:beforeAutospacing="1" w:after="100" w:afterAutospacing="1"/>
      <w:ind w:left="300"/>
    </w:pPr>
  </w:style>
  <w:style w:type="character" w:styleId="Strong">
    <w:name w:val="Strong"/>
    <w:qFormat/>
    <w:rPr>
      <w:b/>
      <w:bCs/>
    </w:r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CharCharCharCharCharCharCharCharChar1CharCharCharCharCharCharCharCharCharCharCharCharChar">
    <w:name w:val="Char Char Char Char Char Char Char Char Char1 Char Char Char Char Char Char Char Char Char Char Char Char Char"/>
    <w:basedOn w:val="Normal"/>
    <w:rsid w:val="00B75271"/>
    <w:pPr>
      <w:spacing w:before="0" w:after="160" w:line="240" w:lineRule="exact"/>
    </w:pPr>
    <w:rPr>
      <w:rFonts w:ascii="Verdana" w:hAnsi="Verdana" w:cs="Verdana"/>
      <w:sz w:val="20"/>
      <w:szCs w:val="20"/>
      <w:lang w:val="en-US" w:eastAsia="en-US"/>
    </w:rPr>
  </w:style>
  <w:style w:type="paragraph" w:customStyle="1" w:styleId="CharCharChar">
    <w:name w:val="Char Char Char"/>
    <w:basedOn w:val="Normal"/>
    <w:rsid w:val="007A44CD"/>
    <w:pPr>
      <w:spacing w:before="0"/>
    </w:pPr>
    <w:rPr>
      <w:rFonts w:ascii="Arial" w:hAnsi="Arial" w:cs="Arial"/>
      <w:sz w:val="22"/>
      <w:szCs w:val="22"/>
      <w:lang w:eastAsia="en-US"/>
    </w:rPr>
  </w:style>
  <w:style w:type="paragraph" w:customStyle="1" w:styleId="numberpara">
    <w:name w:val="numberpara"/>
    <w:basedOn w:val="Footer"/>
    <w:rsid w:val="006B3A47"/>
    <w:pPr>
      <w:tabs>
        <w:tab w:val="clear" w:pos="4153"/>
        <w:tab w:val="clear" w:pos="8306"/>
        <w:tab w:val="left" w:pos="360"/>
        <w:tab w:val="left" w:pos="567"/>
      </w:tabs>
      <w:spacing w:before="120" w:line="360" w:lineRule="auto"/>
    </w:pPr>
    <w:rPr>
      <w:szCs w:val="20"/>
      <w:lang w:val="en-US"/>
    </w:rPr>
  </w:style>
  <w:style w:type="paragraph" w:customStyle="1" w:styleId="Char2">
    <w:name w:val="Char2"/>
    <w:basedOn w:val="Normal"/>
    <w:rsid w:val="00963FBD"/>
    <w:pPr>
      <w:widowControl w:val="0"/>
      <w:adjustRightInd w:val="0"/>
      <w:spacing w:before="0" w:line="360" w:lineRule="atLeast"/>
      <w:jc w:val="both"/>
    </w:pPr>
    <w:rPr>
      <w:rFonts w:ascii="Arial" w:hAnsi="Arial" w:cs="Arial"/>
      <w:sz w:val="22"/>
      <w:szCs w:val="22"/>
      <w:lang w:eastAsia="en-US"/>
    </w:rPr>
  </w:style>
  <w:style w:type="paragraph" w:customStyle="1" w:styleId="definition">
    <w:name w:val="definition"/>
    <w:basedOn w:val="Normal"/>
    <w:rsid w:val="00797AB2"/>
    <w:pPr>
      <w:spacing w:before="80" w:line="260" w:lineRule="exact"/>
      <w:ind w:left="964"/>
      <w:jc w:val="both"/>
    </w:pPr>
    <w:rPr>
      <w:lang w:eastAsia="en-US"/>
    </w:rPr>
  </w:style>
  <w:style w:type="paragraph" w:customStyle="1" w:styleId="Note">
    <w:name w:val="Note"/>
    <w:basedOn w:val="Normal"/>
    <w:rsid w:val="00797AB2"/>
    <w:pPr>
      <w:spacing w:before="120" w:line="221" w:lineRule="auto"/>
      <w:ind w:left="964"/>
      <w:jc w:val="both"/>
    </w:pPr>
    <w:rPr>
      <w:sz w:val="20"/>
    </w:rPr>
  </w:style>
  <w:style w:type="paragraph" w:customStyle="1" w:styleId="P1">
    <w:name w:val="P1"/>
    <w:aliases w:val="(a)"/>
    <w:basedOn w:val="Normal"/>
    <w:rsid w:val="00797AB2"/>
    <w:pPr>
      <w:tabs>
        <w:tab w:val="right" w:pos="1191"/>
      </w:tabs>
      <w:spacing w:before="60" w:line="260" w:lineRule="exact"/>
      <w:ind w:left="1418" w:hanging="1418"/>
      <w:jc w:val="both"/>
    </w:pPr>
    <w:rPr>
      <w:lang w:eastAsia="en-US"/>
    </w:rPr>
  </w:style>
  <w:style w:type="paragraph" w:customStyle="1" w:styleId="Headingbold0">
    <w:name w:val="Heading bold 0"/>
    <w:aliases w:val="3"/>
    <w:basedOn w:val="Normal"/>
    <w:next w:val="PlainText"/>
    <w:rsid w:val="00847D45"/>
    <w:pPr>
      <w:keepNext/>
      <w:spacing w:after="60"/>
      <w:ind w:right="45"/>
    </w:pPr>
    <w:rPr>
      <w:b/>
      <w:bCs/>
    </w:rPr>
  </w:style>
  <w:style w:type="paragraph" w:customStyle="1" w:styleId="Textbody0">
    <w:name w:val="Text body 0"/>
    <w:aliases w:val="12"/>
    <w:basedOn w:val="Normal"/>
    <w:rsid w:val="00847D45"/>
    <w:pPr>
      <w:spacing w:before="0" w:after="240"/>
      <w:ind w:right="45"/>
    </w:pPr>
    <w:rPr>
      <w:bCs/>
    </w:rPr>
  </w:style>
  <w:style w:type="paragraph" w:styleId="PlainText">
    <w:name w:val="Plain Text"/>
    <w:basedOn w:val="Normal"/>
    <w:rsid w:val="00847D45"/>
    <w:rPr>
      <w:rFonts w:ascii="Courier New" w:hAnsi="Courier New" w:cs="Courier New"/>
      <w:sz w:val="20"/>
      <w:szCs w:val="20"/>
    </w:rPr>
  </w:style>
  <w:style w:type="paragraph" w:customStyle="1" w:styleId="Default">
    <w:name w:val="Default"/>
    <w:rsid w:val="003C7DBE"/>
    <w:pPr>
      <w:autoSpaceDE w:val="0"/>
      <w:autoSpaceDN w:val="0"/>
      <w:adjustRightInd w:val="0"/>
    </w:pPr>
    <w:rPr>
      <w:color w:val="000000"/>
      <w:sz w:val="24"/>
      <w:szCs w:val="24"/>
    </w:rPr>
  </w:style>
  <w:style w:type="table" w:styleId="TableGrid">
    <w:name w:val="Table Grid"/>
    <w:basedOn w:val="TableNormal"/>
    <w:rsid w:val="00083D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567E7"/>
    <w:pPr>
      <w:spacing w:before="0" w:after="200" w:line="276" w:lineRule="auto"/>
      <w:ind w:left="720"/>
    </w:pPr>
    <w:rPr>
      <w:rFonts w:ascii="Calibri" w:eastAsia="Calibri" w:hAnsi="Calibri"/>
      <w:sz w:val="22"/>
      <w:szCs w:val="22"/>
      <w:lang w:eastAsia="en-US"/>
    </w:rPr>
  </w:style>
  <w:style w:type="paragraph" w:customStyle="1" w:styleId="Heading60">
    <w:name w:val="Heading6"/>
    <w:basedOn w:val="Normal"/>
    <w:link w:val="Heading6Char"/>
    <w:rsid w:val="00BE4281"/>
    <w:pPr>
      <w:keepNext/>
      <w:keepLines/>
      <w:suppressAutoHyphens/>
      <w:spacing w:before="0" w:after="120"/>
      <w:jc w:val="both"/>
    </w:pPr>
    <w:rPr>
      <w:b/>
      <w:sz w:val="20"/>
      <w:szCs w:val="20"/>
    </w:rPr>
  </w:style>
  <w:style w:type="character" w:customStyle="1" w:styleId="Heading6Char">
    <w:name w:val="Heading6 Char"/>
    <w:link w:val="Heading60"/>
    <w:locked/>
    <w:rsid w:val="00BE4281"/>
    <w:rPr>
      <w:b/>
    </w:rPr>
  </w:style>
  <w:style w:type="paragraph" w:customStyle="1" w:styleId="ActHead3">
    <w:name w:val="ActHead 3"/>
    <w:aliases w:val="d"/>
    <w:basedOn w:val="Normal"/>
    <w:next w:val="ActHead4"/>
    <w:qFormat/>
    <w:rsid w:val="00BD227A"/>
    <w:pPr>
      <w:keepNext/>
      <w:keepLines/>
      <w:ind w:left="1134" w:hanging="1134"/>
      <w:outlineLvl w:val="2"/>
    </w:pPr>
    <w:rPr>
      <w:b/>
      <w:kern w:val="28"/>
      <w:sz w:val="28"/>
      <w:szCs w:val="20"/>
    </w:rPr>
  </w:style>
  <w:style w:type="paragraph" w:customStyle="1" w:styleId="ActHead4">
    <w:name w:val="ActHead 4"/>
    <w:aliases w:val="sd"/>
    <w:basedOn w:val="Normal"/>
    <w:next w:val="ActHead5"/>
    <w:qFormat/>
    <w:rsid w:val="00BD227A"/>
    <w:pPr>
      <w:keepNext/>
      <w:keepLines/>
      <w:spacing w:before="220"/>
      <w:ind w:left="1134" w:hanging="1134"/>
      <w:outlineLvl w:val="3"/>
    </w:pPr>
    <w:rPr>
      <w:b/>
      <w:kern w:val="28"/>
      <w:sz w:val="26"/>
      <w:szCs w:val="20"/>
    </w:rPr>
  </w:style>
  <w:style w:type="paragraph" w:customStyle="1" w:styleId="ActHead5">
    <w:name w:val="ActHead 5"/>
    <w:aliases w:val="s"/>
    <w:basedOn w:val="Normal"/>
    <w:next w:val="subsection"/>
    <w:qFormat/>
    <w:rsid w:val="00BD227A"/>
    <w:pPr>
      <w:keepNext/>
      <w:keepLines/>
      <w:spacing w:before="280"/>
      <w:ind w:left="1134" w:hanging="1134"/>
      <w:outlineLvl w:val="4"/>
    </w:pPr>
    <w:rPr>
      <w:b/>
      <w:kern w:val="28"/>
      <w:szCs w:val="20"/>
    </w:rPr>
  </w:style>
  <w:style w:type="character" w:customStyle="1" w:styleId="CharDivNo">
    <w:name w:val="CharDivNo"/>
    <w:basedOn w:val="DefaultParagraphFont"/>
    <w:uiPriority w:val="1"/>
    <w:qFormat/>
    <w:rsid w:val="00BD227A"/>
  </w:style>
  <w:style w:type="character" w:customStyle="1" w:styleId="CharDivText">
    <w:name w:val="CharDivText"/>
    <w:basedOn w:val="DefaultParagraphFont"/>
    <w:uiPriority w:val="1"/>
    <w:qFormat/>
    <w:rsid w:val="00BD227A"/>
  </w:style>
  <w:style w:type="character" w:customStyle="1" w:styleId="CharSectno">
    <w:name w:val="CharSectno"/>
    <w:basedOn w:val="DefaultParagraphFont"/>
    <w:qFormat/>
    <w:rsid w:val="00BD227A"/>
  </w:style>
  <w:style w:type="character" w:customStyle="1" w:styleId="CharSubdNo">
    <w:name w:val="CharSubdNo"/>
    <w:basedOn w:val="DefaultParagraphFont"/>
    <w:uiPriority w:val="1"/>
    <w:qFormat/>
    <w:rsid w:val="00BD227A"/>
  </w:style>
  <w:style w:type="character" w:customStyle="1" w:styleId="CharSubdText">
    <w:name w:val="CharSubdText"/>
    <w:basedOn w:val="DefaultParagraphFont"/>
    <w:uiPriority w:val="1"/>
    <w:qFormat/>
    <w:rsid w:val="00BD227A"/>
  </w:style>
  <w:style w:type="paragraph" w:customStyle="1" w:styleId="subsection">
    <w:name w:val="subsection"/>
    <w:aliases w:val="ss"/>
    <w:basedOn w:val="Normal"/>
    <w:link w:val="subsectionChar"/>
    <w:rsid w:val="00BD227A"/>
    <w:pPr>
      <w:tabs>
        <w:tab w:val="right" w:pos="1021"/>
      </w:tabs>
      <w:spacing w:before="180"/>
      <w:ind w:left="1134" w:hanging="1134"/>
    </w:pPr>
    <w:rPr>
      <w:sz w:val="22"/>
      <w:szCs w:val="20"/>
    </w:rPr>
  </w:style>
  <w:style w:type="paragraph" w:customStyle="1" w:styleId="Definition0">
    <w:name w:val="Definition"/>
    <w:aliases w:val="dd"/>
    <w:basedOn w:val="Normal"/>
    <w:rsid w:val="00BD227A"/>
    <w:pPr>
      <w:spacing w:before="180"/>
      <w:ind w:left="1134"/>
    </w:pPr>
    <w:rPr>
      <w:sz w:val="22"/>
      <w:szCs w:val="20"/>
    </w:rPr>
  </w:style>
  <w:style w:type="paragraph" w:customStyle="1" w:styleId="Item">
    <w:name w:val="Item"/>
    <w:aliases w:val="i"/>
    <w:basedOn w:val="Normal"/>
    <w:next w:val="ItemHead"/>
    <w:rsid w:val="00BD227A"/>
    <w:pPr>
      <w:keepLines/>
      <w:spacing w:before="80"/>
      <w:ind w:left="709"/>
    </w:pPr>
    <w:rPr>
      <w:sz w:val="22"/>
      <w:szCs w:val="20"/>
    </w:rPr>
  </w:style>
  <w:style w:type="paragraph" w:customStyle="1" w:styleId="ItemHead">
    <w:name w:val="ItemHead"/>
    <w:aliases w:val="ih"/>
    <w:basedOn w:val="Normal"/>
    <w:next w:val="Item"/>
    <w:rsid w:val="00BD227A"/>
    <w:pPr>
      <w:keepNext/>
      <w:keepLines/>
      <w:spacing w:before="220"/>
      <w:ind w:left="709" w:hanging="709"/>
    </w:pPr>
    <w:rPr>
      <w:rFonts w:ascii="Arial" w:hAnsi="Arial"/>
      <w:b/>
      <w:kern w:val="28"/>
      <w:szCs w:val="20"/>
    </w:rPr>
  </w:style>
  <w:style w:type="paragraph" w:customStyle="1" w:styleId="paragraphsub">
    <w:name w:val="paragraph(sub)"/>
    <w:aliases w:val="aa"/>
    <w:basedOn w:val="Normal"/>
    <w:rsid w:val="00BD227A"/>
    <w:pPr>
      <w:tabs>
        <w:tab w:val="right" w:pos="1985"/>
      </w:tabs>
      <w:spacing w:before="40"/>
      <w:ind w:left="2098" w:hanging="2098"/>
    </w:pPr>
    <w:rPr>
      <w:sz w:val="22"/>
      <w:szCs w:val="20"/>
    </w:rPr>
  </w:style>
  <w:style w:type="paragraph" w:customStyle="1" w:styleId="paragraph">
    <w:name w:val="paragraph"/>
    <w:aliases w:val="a"/>
    <w:basedOn w:val="Normal"/>
    <w:rsid w:val="00BD227A"/>
    <w:pPr>
      <w:tabs>
        <w:tab w:val="right" w:pos="1531"/>
      </w:tabs>
      <w:spacing w:before="40"/>
      <w:ind w:left="1644" w:hanging="1644"/>
    </w:pPr>
    <w:rPr>
      <w:sz w:val="22"/>
      <w:szCs w:val="20"/>
    </w:rPr>
  </w:style>
  <w:style w:type="paragraph" w:customStyle="1" w:styleId="subsection2">
    <w:name w:val="subsection2"/>
    <w:aliases w:val="ss2"/>
    <w:basedOn w:val="Normal"/>
    <w:next w:val="subsection"/>
    <w:rsid w:val="00BD227A"/>
    <w:pPr>
      <w:spacing w:before="40"/>
      <w:ind w:left="1134"/>
    </w:pPr>
    <w:rPr>
      <w:sz w:val="22"/>
      <w:szCs w:val="20"/>
    </w:rPr>
  </w:style>
  <w:style w:type="paragraph" w:customStyle="1" w:styleId="notetext">
    <w:name w:val="note(text)"/>
    <w:aliases w:val="n"/>
    <w:basedOn w:val="Normal"/>
    <w:link w:val="notetextChar"/>
    <w:rsid w:val="00BD227A"/>
    <w:pPr>
      <w:spacing w:before="122"/>
      <w:ind w:left="1985" w:hanging="851"/>
    </w:pPr>
    <w:rPr>
      <w:sz w:val="18"/>
      <w:szCs w:val="20"/>
    </w:rPr>
  </w:style>
  <w:style w:type="character" w:customStyle="1" w:styleId="subsectionChar">
    <w:name w:val="subsection Char"/>
    <w:aliases w:val="ss Char"/>
    <w:link w:val="subsection"/>
    <w:locked/>
    <w:rsid w:val="00BD227A"/>
    <w:rPr>
      <w:sz w:val="22"/>
    </w:rPr>
  </w:style>
  <w:style w:type="character" w:customStyle="1" w:styleId="notetextChar">
    <w:name w:val="note(text) Char"/>
    <w:aliases w:val="n Char"/>
    <w:link w:val="notetext"/>
    <w:rsid w:val="00BD227A"/>
    <w:rPr>
      <w:sz w:val="18"/>
    </w:rPr>
  </w:style>
  <w:style w:type="character" w:customStyle="1" w:styleId="FooterChar">
    <w:name w:val="Footer Char"/>
    <w:basedOn w:val="DefaultParagraphFont"/>
    <w:link w:val="Footer"/>
    <w:uiPriority w:val="99"/>
    <w:rsid w:val="00016DC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90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0D6A8-FA1F-45AA-B0C9-705086334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7616</Words>
  <Characters>33207</Characters>
  <Application>Microsoft Office Word</Application>
  <DocSecurity>4</DocSecurity>
  <Lines>16603</Lines>
  <Paragraphs>4082</Paragraphs>
  <ScaleCrop>false</ScaleCrop>
  <HeadingPairs>
    <vt:vector size="2" baseType="variant">
      <vt:variant>
        <vt:lpstr>Title</vt:lpstr>
      </vt:variant>
      <vt:variant>
        <vt:i4>1</vt:i4>
      </vt:variant>
    </vt:vector>
  </HeadingPairs>
  <TitlesOfParts>
    <vt:vector size="1" baseType="lpstr">
      <vt:lpstr>Federal Executive Council Handbook - Appendix E3</vt:lpstr>
    </vt:vector>
  </TitlesOfParts>
  <Company>Matthew Pegg Consulting</Company>
  <LinksUpToDate>false</LinksUpToDate>
  <CharactersWithSpaces>36741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Executive Council Handbook - Appendix E3</dc:title>
  <dc:creator>TR2</dc:creator>
  <cp:lastModifiedBy>Alabaster, John</cp:lastModifiedBy>
  <cp:revision>2</cp:revision>
  <cp:lastPrinted>2015-08-25T06:25:00Z</cp:lastPrinted>
  <dcterms:created xsi:type="dcterms:W3CDTF">2015-09-14T01:54:00Z</dcterms:created>
  <dcterms:modified xsi:type="dcterms:W3CDTF">2015-09-14T01:54:00Z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