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D4316" w14:textId="295EC3E0" w:rsidR="00F65744" w:rsidRDefault="002B0F83">
      <w:r>
        <w:drawing>
          <wp:inline distT="0" distB="0" distL="0" distR="0" wp14:anchorId="6200343E" wp14:editId="55A155A0">
            <wp:extent cx="141478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6947" w14:textId="047499B3" w:rsidR="00F65744" w:rsidRPr="001B5DBF" w:rsidRDefault="00F65744" w:rsidP="00F65744">
      <w:pPr>
        <w:pStyle w:val="Title"/>
      </w:pPr>
      <w:bookmarkStart w:id="0" w:name="Citation"/>
      <w:r>
        <w:t xml:space="preserve">Radiocommunications Licence Conditions (Fixed Licence) </w:t>
      </w:r>
      <w:r w:rsidRPr="001B5DBF">
        <w:t xml:space="preserve">Determination </w:t>
      </w:r>
      <w:r w:rsidR="00621C24" w:rsidRPr="001B5DBF">
        <w:t>201</w:t>
      </w:r>
      <w:r w:rsidR="00FD0042">
        <w:t>5</w:t>
      </w:r>
      <w:bookmarkEnd w:id="0"/>
    </w:p>
    <w:p w14:paraId="25BA8ACF" w14:textId="77777777" w:rsidR="00F65744" w:rsidRPr="001B5DBF" w:rsidRDefault="00F65744" w:rsidP="004C0652">
      <w:pPr>
        <w:pStyle w:val="CoverAct"/>
        <w:spacing w:before="360"/>
        <w:rPr>
          <w:lang w:val="en-US"/>
        </w:rPr>
      </w:pPr>
      <w:bookmarkStart w:id="1" w:name="Act"/>
      <w:r w:rsidRPr="001B5DBF">
        <w:t>Radiocommunications Act 1992</w:t>
      </w:r>
      <w:bookmarkEnd w:id="1"/>
    </w:p>
    <w:p w14:paraId="006BDBA7" w14:textId="77777777" w:rsidR="0018699A" w:rsidRPr="00D57D37" w:rsidRDefault="0018699A">
      <w:pPr>
        <w:pStyle w:val="CoverUpdate"/>
      </w:pPr>
      <w:r w:rsidRPr="00D57D37">
        <w:t xml:space="preserve">The AUSTRALIAN COMMUNICATIONS AND MEDIA AUTHORITY makes this Determination under paragraph 107(1)(f) of the </w:t>
      </w:r>
      <w:r w:rsidRPr="00D57D37">
        <w:rPr>
          <w:i/>
        </w:rPr>
        <w:t>Radiocommunications Act 1992</w:t>
      </w:r>
      <w:r w:rsidRPr="00D57D37">
        <w:t>.</w:t>
      </w:r>
    </w:p>
    <w:p w14:paraId="44D64ED7" w14:textId="73307278" w:rsidR="0018699A" w:rsidRPr="00D57D37" w:rsidRDefault="0018699A" w:rsidP="0018699A">
      <w:pPr>
        <w:tabs>
          <w:tab w:val="right" w:pos="3686"/>
        </w:tabs>
        <w:spacing w:before="300" w:line="300" w:lineRule="exact"/>
      </w:pPr>
      <w:r w:rsidRPr="00D57D37">
        <w:t xml:space="preserve">Dated </w:t>
      </w:r>
      <w:bookmarkStart w:id="2" w:name="MadeDate"/>
      <w:bookmarkEnd w:id="2"/>
      <w:r w:rsidR="00820CC8" w:rsidRPr="00820CC8">
        <w:rPr>
          <w:i/>
        </w:rPr>
        <w:t>4</w:t>
      </w:r>
      <w:r w:rsidR="00820CC8" w:rsidRPr="00820CC8">
        <w:rPr>
          <w:i/>
          <w:vertAlign w:val="superscript"/>
        </w:rPr>
        <w:t>th</w:t>
      </w:r>
      <w:r w:rsidR="00820CC8" w:rsidRPr="00820CC8">
        <w:rPr>
          <w:i/>
        </w:rPr>
        <w:t xml:space="preserve"> September</w:t>
      </w:r>
      <w:r w:rsidR="00820CC8">
        <w:t xml:space="preserve"> </w:t>
      </w:r>
      <w:r w:rsidRPr="00D57D37">
        <w:t>201</w:t>
      </w:r>
      <w:r w:rsidR="00FD0042">
        <w:t>5</w:t>
      </w:r>
    </w:p>
    <w:p w14:paraId="6C9B5849" w14:textId="16D626D2" w:rsidR="0018699A" w:rsidRPr="00D57D37" w:rsidRDefault="00820CC8" w:rsidP="00633DF7">
      <w:pPr>
        <w:tabs>
          <w:tab w:val="right" w:pos="3686"/>
        </w:tabs>
        <w:spacing w:before="360" w:after="600"/>
        <w:jc w:val="right"/>
      </w:pPr>
      <w:r w:rsidRPr="00633DF7">
        <w:rPr>
          <w:i/>
        </w:rPr>
        <w:t>Chris Chapman</w:t>
      </w:r>
      <w:r>
        <w:t xml:space="preserve"> </w:t>
      </w:r>
      <w:r w:rsidR="00633DF7">
        <w:br/>
      </w:r>
      <w:r>
        <w:t>[signed]</w:t>
      </w:r>
      <w:r w:rsidR="00633DF7">
        <w:br/>
      </w:r>
      <w:r>
        <w:t xml:space="preserve"> </w:t>
      </w:r>
      <w:r w:rsidR="0018699A" w:rsidRPr="00D57D37">
        <w:t>Member</w:t>
      </w:r>
    </w:p>
    <w:p w14:paraId="1E96C715" w14:textId="6B25C337" w:rsidR="0018699A" w:rsidRPr="00D57D37" w:rsidRDefault="0018699A" w:rsidP="0018699A">
      <w:pPr>
        <w:tabs>
          <w:tab w:val="right" w:pos="3686"/>
        </w:tabs>
        <w:spacing w:before="600" w:line="300" w:lineRule="exact"/>
        <w:jc w:val="right"/>
      </w:pPr>
      <w:r w:rsidRPr="00D57D37">
        <w:br/>
      </w:r>
      <w:r w:rsidR="00820CC8" w:rsidRPr="00633DF7">
        <w:rPr>
          <w:i/>
        </w:rPr>
        <w:t>Richard Bean</w:t>
      </w:r>
      <w:r w:rsidR="00820CC8">
        <w:t xml:space="preserve"> </w:t>
      </w:r>
      <w:r w:rsidR="00633DF7">
        <w:br/>
      </w:r>
      <w:r w:rsidR="00820CC8">
        <w:t xml:space="preserve">[signed] </w:t>
      </w:r>
      <w:r w:rsidR="00633DF7">
        <w:br/>
      </w:r>
      <w:r w:rsidRPr="00D57D37">
        <w:t>Member/</w:t>
      </w:r>
      <w:r w:rsidRPr="00820CC8">
        <w:rPr>
          <w:strike/>
        </w:rPr>
        <w:t>General Manager</w:t>
      </w:r>
    </w:p>
    <w:p w14:paraId="19602D19" w14:textId="08AC22B5" w:rsidR="0018699A" w:rsidRDefault="0018699A" w:rsidP="0018699A">
      <w:pPr>
        <w:pBdr>
          <w:bottom w:val="single" w:sz="4" w:space="12" w:color="auto"/>
        </w:pBdr>
        <w:spacing w:line="240" w:lineRule="exact"/>
      </w:pPr>
    </w:p>
    <w:p w14:paraId="651F77F3" w14:textId="44DA700A" w:rsidR="001D4C98" w:rsidRPr="000A566D" w:rsidRDefault="001D4C98" w:rsidP="00A16E35">
      <w:pPr>
        <w:pStyle w:val="HP"/>
        <w:keepNext w:val="0"/>
        <w:ind w:left="1701" w:hanging="1701"/>
        <w:rPr>
          <w:szCs w:val="32"/>
        </w:rPr>
      </w:pPr>
      <w:bookmarkStart w:id="3" w:name="_Toc241303043"/>
      <w:r w:rsidRPr="000A566D">
        <w:rPr>
          <w:rStyle w:val="CharPartNo"/>
          <w:szCs w:val="32"/>
        </w:rPr>
        <w:t>P</w:t>
      </w:r>
      <w:r w:rsidR="00133764" w:rsidRPr="000A566D">
        <w:rPr>
          <w:rStyle w:val="CharPartNo"/>
          <w:szCs w:val="32"/>
        </w:rPr>
        <w:t>art</w:t>
      </w:r>
      <w:r w:rsidRPr="000A566D">
        <w:rPr>
          <w:rStyle w:val="CharPartNo"/>
          <w:szCs w:val="32"/>
        </w:rPr>
        <w:t xml:space="preserve"> 1</w:t>
      </w:r>
      <w:r w:rsidR="00133764" w:rsidRPr="000A566D">
        <w:rPr>
          <w:szCs w:val="32"/>
        </w:rPr>
        <w:tab/>
      </w:r>
      <w:r w:rsidRPr="000A566D">
        <w:rPr>
          <w:rStyle w:val="CharPartText"/>
          <w:szCs w:val="32"/>
        </w:rPr>
        <w:t>P</w:t>
      </w:r>
      <w:r w:rsidR="00133764" w:rsidRPr="000A566D">
        <w:rPr>
          <w:rStyle w:val="CharPartText"/>
          <w:szCs w:val="32"/>
        </w:rPr>
        <w:t>reliminary</w:t>
      </w:r>
      <w:bookmarkEnd w:id="3"/>
    </w:p>
    <w:p w14:paraId="0349A077" w14:textId="00F7965E" w:rsidR="001D4C98" w:rsidRPr="00133764" w:rsidRDefault="00133764" w:rsidP="00531076">
      <w:pPr>
        <w:pStyle w:val="HR"/>
        <w:keepNext w:val="0"/>
        <w:rPr>
          <w:b w:val="0"/>
          <w:sz w:val="18"/>
        </w:rPr>
      </w:pPr>
      <w:bookmarkStart w:id="4" w:name="_Toc241303044"/>
      <w:r w:rsidRPr="0083672E">
        <w:rPr>
          <w:rStyle w:val="CharSectno"/>
        </w:rPr>
        <w:t>1</w:t>
      </w:r>
      <w:r>
        <w:tab/>
      </w:r>
      <w:r w:rsidR="001D4C98">
        <w:t>Name of Determination</w:t>
      </w:r>
      <w:r>
        <w:t xml:space="preserve"> </w:t>
      </w:r>
      <w:bookmarkEnd w:id="4"/>
    </w:p>
    <w:p w14:paraId="3A9D9A05" w14:textId="355053C3" w:rsidR="001D4C98" w:rsidRPr="001B5DBF" w:rsidRDefault="00133764" w:rsidP="00531076">
      <w:pPr>
        <w:pStyle w:val="R1"/>
      </w:pPr>
      <w:r>
        <w:tab/>
      </w:r>
      <w:r>
        <w:tab/>
      </w:r>
      <w:r w:rsidR="001D4C98">
        <w:t xml:space="preserve">This Determination </w:t>
      </w:r>
      <w:r w:rsidR="001D4C98" w:rsidRPr="001B5DBF">
        <w:t xml:space="preserve">is the </w:t>
      </w:r>
      <w:bookmarkStart w:id="5" w:name="_GoBack"/>
      <w:r w:rsidR="001D4C98" w:rsidRPr="001B5DBF">
        <w:rPr>
          <w:i/>
        </w:rPr>
        <w:t xml:space="preserve">Radiocommunications Licence Conditions (Fixed Licence) Determination </w:t>
      </w:r>
      <w:r w:rsidR="00621C24" w:rsidRPr="001B5DBF">
        <w:rPr>
          <w:i/>
        </w:rPr>
        <w:t>201</w:t>
      </w:r>
      <w:r w:rsidR="00FD0042">
        <w:rPr>
          <w:i/>
        </w:rPr>
        <w:t>5</w:t>
      </w:r>
      <w:bookmarkEnd w:id="5"/>
      <w:r w:rsidR="001D4C98" w:rsidRPr="001B5DBF">
        <w:t>.</w:t>
      </w:r>
    </w:p>
    <w:p w14:paraId="4B2A92C7" w14:textId="1730CC0F" w:rsidR="003C24BE" w:rsidRPr="00D57D37" w:rsidRDefault="007A25EC" w:rsidP="00531076">
      <w:pPr>
        <w:pStyle w:val="HR"/>
        <w:keepNext w:val="0"/>
        <w:rPr>
          <w:rStyle w:val="CharSectno"/>
        </w:rPr>
      </w:pPr>
      <w:bookmarkStart w:id="6" w:name="_Toc241303045"/>
      <w:r w:rsidRPr="00D57D37">
        <w:rPr>
          <w:rStyle w:val="CharSectno"/>
        </w:rPr>
        <w:t>1A</w:t>
      </w:r>
      <w:r w:rsidR="003C24BE" w:rsidRPr="00D57D37">
        <w:rPr>
          <w:rStyle w:val="CharSectno"/>
        </w:rPr>
        <w:tab/>
        <w:t>Commencement</w:t>
      </w:r>
    </w:p>
    <w:p w14:paraId="3B4DA86C" w14:textId="77777777" w:rsidR="003C24BE" w:rsidRPr="00D57D37" w:rsidRDefault="003C24BE" w:rsidP="00151F53">
      <w:pPr>
        <w:pStyle w:val="R1"/>
      </w:pPr>
      <w:r w:rsidRPr="00D57D37">
        <w:tab/>
      </w:r>
      <w:r w:rsidRPr="00D57D37">
        <w:tab/>
        <w:t>This Determination commences on the day after it is registered.</w:t>
      </w:r>
    </w:p>
    <w:p w14:paraId="2D42FFB1" w14:textId="33935707" w:rsidR="003C24BE" w:rsidRPr="00D57D37" w:rsidRDefault="003C24BE" w:rsidP="003C24BE">
      <w:pPr>
        <w:pStyle w:val="Note"/>
      </w:pPr>
      <w:r w:rsidRPr="00D57D37">
        <w:rPr>
          <w:i/>
          <w:iCs/>
        </w:rPr>
        <w:t>Note</w:t>
      </w:r>
      <w:r w:rsidRPr="00D57D37">
        <w:t xml:space="preserve">   All legislative instruments and compilations are registered on the Federal Register of Legislative Instruments kept under the </w:t>
      </w:r>
      <w:r w:rsidRPr="00D57D37">
        <w:rPr>
          <w:i/>
        </w:rPr>
        <w:t>Legislative Instruments Act 2003</w:t>
      </w:r>
      <w:r w:rsidRPr="00D57D37">
        <w:t xml:space="preserve">.  See </w:t>
      </w:r>
      <w:r w:rsidRPr="005B1CE2">
        <w:t>http://www.frli.gov.au</w:t>
      </w:r>
      <w:r w:rsidRPr="00D57D37">
        <w:t>.</w:t>
      </w:r>
    </w:p>
    <w:p w14:paraId="7E57F593" w14:textId="77777777" w:rsidR="003C24BE" w:rsidRPr="00D57D37" w:rsidRDefault="007A25EC" w:rsidP="00D57D37">
      <w:pPr>
        <w:pStyle w:val="HR"/>
        <w:rPr>
          <w:rStyle w:val="CharSectno"/>
        </w:rPr>
      </w:pPr>
      <w:r w:rsidRPr="00D57D37">
        <w:rPr>
          <w:rStyle w:val="CharSectno"/>
        </w:rPr>
        <w:t>1B</w:t>
      </w:r>
      <w:r w:rsidR="003C24BE" w:rsidRPr="00D57D37">
        <w:rPr>
          <w:rStyle w:val="CharSectno"/>
        </w:rPr>
        <w:tab/>
        <w:t>Revocation</w:t>
      </w:r>
    </w:p>
    <w:p w14:paraId="0F750529" w14:textId="77777777" w:rsidR="002653C4" w:rsidRPr="00D57D37" w:rsidRDefault="002653C4" w:rsidP="002653C4">
      <w:pPr>
        <w:pStyle w:val="R1"/>
      </w:pPr>
      <w:r w:rsidRPr="00D57D37">
        <w:tab/>
      </w:r>
      <w:r w:rsidRPr="00D57D37">
        <w:tab/>
        <w:t xml:space="preserve">The </w:t>
      </w:r>
      <w:r w:rsidRPr="00D57D37">
        <w:rPr>
          <w:i/>
        </w:rPr>
        <w:t xml:space="preserve">Radiocommunications Licence Conditions (Fixed Licence) Determination 1997 </w:t>
      </w:r>
      <w:r w:rsidRPr="00D57D37">
        <w:t>[F2005B01176] is revoked.</w:t>
      </w:r>
    </w:p>
    <w:p w14:paraId="1753BA02" w14:textId="77777777" w:rsidR="001D4C98" w:rsidRDefault="00133764" w:rsidP="00115F31">
      <w:pPr>
        <w:pStyle w:val="HR"/>
      </w:pPr>
      <w:r w:rsidRPr="001B5DBF">
        <w:rPr>
          <w:rStyle w:val="CharSectno"/>
        </w:rPr>
        <w:lastRenderedPageBreak/>
        <w:t>2</w:t>
      </w:r>
      <w:r w:rsidRPr="00115F31">
        <w:rPr>
          <w:rStyle w:val="CharSectno"/>
        </w:rPr>
        <w:tab/>
      </w:r>
      <w:r w:rsidR="001D4C98" w:rsidRPr="00115F31">
        <w:rPr>
          <w:rStyle w:val="CharSectno"/>
        </w:rPr>
        <w:t>Scope</w:t>
      </w:r>
      <w:bookmarkEnd w:id="6"/>
    </w:p>
    <w:p w14:paraId="0213967A" w14:textId="77777777" w:rsidR="001D4C98" w:rsidRDefault="00133764" w:rsidP="00133764">
      <w:pPr>
        <w:pStyle w:val="R1"/>
      </w:pPr>
      <w:r>
        <w:tab/>
      </w:r>
      <w:r w:rsidR="001D4C98">
        <w:t>(1)</w:t>
      </w:r>
      <w:r w:rsidR="001D4C98">
        <w:tab/>
        <w:t>This Determination sets out the conditions to which a fixed licence is subject in the following manner:</w:t>
      </w:r>
    </w:p>
    <w:p w14:paraId="44807F31" w14:textId="77777777" w:rsidR="001D4C98" w:rsidRDefault="00133764" w:rsidP="00133764">
      <w:pPr>
        <w:pStyle w:val="P1"/>
      </w:pPr>
      <w:r>
        <w:tab/>
      </w:r>
      <w:r w:rsidR="001D4C98">
        <w:t>(a)</w:t>
      </w:r>
      <w:r w:rsidR="001D4C98">
        <w:tab/>
        <w:t>every fixed licence (point to point station) is subject to the conditions in Part 2;</w:t>
      </w:r>
    </w:p>
    <w:p w14:paraId="109C4F7A" w14:textId="5C2D64E5" w:rsidR="001D4C98" w:rsidRDefault="00133764" w:rsidP="00133764">
      <w:pPr>
        <w:pStyle w:val="P1"/>
      </w:pPr>
      <w:r>
        <w:tab/>
      </w:r>
      <w:r w:rsidR="001D4C98">
        <w:t>(b)</w:t>
      </w:r>
      <w:r w:rsidR="001D4C98">
        <w:tab/>
        <w:t xml:space="preserve">every fixed licence (point to multipoint station) that is not referred to in </w:t>
      </w:r>
      <w:r w:rsidR="00D10CB2">
        <w:t>paragraph (ba)</w:t>
      </w:r>
      <w:r w:rsidR="00BC2D31">
        <w:t xml:space="preserve"> or</w:t>
      </w:r>
      <w:r w:rsidR="00D10CB2">
        <w:t xml:space="preserve"> (bc) </w:t>
      </w:r>
      <w:r w:rsidR="001D4C98">
        <w:t>is subject to the conditions in Part 3;</w:t>
      </w:r>
    </w:p>
    <w:p w14:paraId="57A1A92D" w14:textId="77777777" w:rsidR="001D4C98" w:rsidRDefault="00133764" w:rsidP="00133764">
      <w:pPr>
        <w:pStyle w:val="P1"/>
      </w:pPr>
      <w:r>
        <w:tab/>
      </w:r>
      <w:r w:rsidR="001D4C98">
        <w:t>(ba)</w:t>
      </w:r>
      <w:r w:rsidR="001D4C98">
        <w:tab/>
        <w:t>every fixed licence (point to multipoint station) used in the provision of distance education services is subject to the conditions in Part 3A;</w:t>
      </w:r>
    </w:p>
    <w:p w14:paraId="6FE4037A" w14:textId="495A84F0" w:rsidR="001D4C98" w:rsidRDefault="001D4C98" w:rsidP="00133764">
      <w:pPr>
        <w:pStyle w:val="Note"/>
      </w:pPr>
      <w:r>
        <w:rPr>
          <w:i/>
          <w:iCs/>
        </w:rPr>
        <w:t>Note</w:t>
      </w:r>
      <w:r>
        <w:t> </w:t>
      </w:r>
      <w:r w:rsidR="001600AA" w:rsidRPr="00115F31">
        <w:rPr>
          <w:i/>
        </w:rPr>
        <w:t>1</w:t>
      </w:r>
      <w:r>
        <w:t xml:space="preserve">  Distance education services are also known as the </w:t>
      </w:r>
      <w:r>
        <w:rPr>
          <w:i/>
          <w:iCs/>
        </w:rPr>
        <w:t>School of the Air</w:t>
      </w:r>
      <w:r>
        <w:t xml:space="preserve">. </w:t>
      </w:r>
    </w:p>
    <w:p w14:paraId="1600D257" w14:textId="0C475D3B" w:rsidR="001600AA" w:rsidRPr="001600AA" w:rsidRDefault="001600AA" w:rsidP="00133764">
      <w:pPr>
        <w:pStyle w:val="Note"/>
      </w:pPr>
      <w:r>
        <w:rPr>
          <w:i/>
        </w:rPr>
        <w:t>Note</w:t>
      </w:r>
      <w:r w:rsidR="00D139FF">
        <w:rPr>
          <w:i/>
        </w:rPr>
        <w:t> </w:t>
      </w:r>
      <w:r>
        <w:rPr>
          <w:i/>
        </w:rPr>
        <w:t>2 </w:t>
      </w:r>
      <w:r>
        <w:t>These licences may also be subject to the conditions in Parts 3B and 3C (see section 11A).</w:t>
      </w:r>
    </w:p>
    <w:p w14:paraId="19666140" w14:textId="5484949C" w:rsidR="00D10CB2" w:rsidRPr="00373CAF" w:rsidRDefault="00D10CB2" w:rsidP="00D10CB2">
      <w:pPr>
        <w:pStyle w:val="P1"/>
      </w:pPr>
      <w:r>
        <w:tab/>
        <w:t>(bc)</w:t>
      </w:r>
      <w:r>
        <w:tab/>
        <w:t xml:space="preserve">every fixed licence (point to multipoint station) for a station that operates in </w:t>
      </w:r>
      <w:r w:rsidRPr="000569CB">
        <w:t xml:space="preserve">the </w:t>
      </w:r>
      <w:r w:rsidRPr="001B5DBF">
        <w:t>1</w:t>
      </w:r>
      <w:r w:rsidR="00F67384" w:rsidRPr="00D57D37">
        <w:t xml:space="preserve"> GHz</w:t>
      </w:r>
      <w:r w:rsidR="001B02AB" w:rsidRPr="00D57D37">
        <w:t xml:space="preserve"> to</w:t>
      </w:r>
      <w:r w:rsidR="001B02AB" w:rsidRPr="001B5DBF">
        <w:t xml:space="preserve"> </w:t>
      </w:r>
      <w:r w:rsidR="00BC2D31" w:rsidRPr="001B5DBF">
        <w:t>275 GH</w:t>
      </w:r>
      <w:r w:rsidR="001B02AB" w:rsidRPr="00D57D37">
        <w:t>z</w:t>
      </w:r>
      <w:r w:rsidR="00BC2D31" w:rsidRPr="001B5DBF">
        <w:t xml:space="preserve"> </w:t>
      </w:r>
      <w:r w:rsidRPr="001B5DBF">
        <w:t>frequency</w:t>
      </w:r>
      <w:r w:rsidRPr="000569CB">
        <w:t xml:space="preserve"> </w:t>
      </w:r>
      <w:r w:rsidRPr="00184B9D">
        <w:t xml:space="preserve">band </w:t>
      </w:r>
      <w:r>
        <w:t>is subject to the conditions in Part 3E;</w:t>
      </w:r>
    </w:p>
    <w:p w14:paraId="270EBE50" w14:textId="79FBF65B" w:rsidR="001D4C98" w:rsidRDefault="00A16E35" w:rsidP="00133764">
      <w:pPr>
        <w:pStyle w:val="P1"/>
      </w:pPr>
      <w:r>
        <w:tab/>
      </w:r>
      <w:r w:rsidR="001D4C98">
        <w:t>(c)</w:t>
      </w:r>
      <w:r w:rsidR="001D4C98">
        <w:tab/>
        <w:t>every fixed licence (sound outside broadcast station) is subject to the condition in Part 4;</w:t>
      </w:r>
    </w:p>
    <w:p w14:paraId="7BA7D1A9" w14:textId="5226F62C" w:rsidR="001D4C98" w:rsidRDefault="00133764" w:rsidP="00133764">
      <w:pPr>
        <w:pStyle w:val="P1"/>
      </w:pPr>
      <w:r>
        <w:tab/>
      </w:r>
      <w:r w:rsidR="001D4C98">
        <w:t>(d)</w:t>
      </w:r>
      <w:r w:rsidR="001D4C98">
        <w:tab/>
        <w:t>every fixed licence (television outside broadcast station) is subject to the condition in Part 5;</w:t>
      </w:r>
    </w:p>
    <w:p w14:paraId="70232EFC" w14:textId="3BBECC3A" w:rsidR="001D4C98" w:rsidRDefault="00133764" w:rsidP="00133764">
      <w:pPr>
        <w:pStyle w:val="P1"/>
      </w:pPr>
      <w:r>
        <w:tab/>
      </w:r>
      <w:r w:rsidR="001D4C98">
        <w:t>(e)</w:t>
      </w:r>
      <w:r w:rsidR="001D4C98">
        <w:tab/>
        <w:t>every fixed licence (television outside broadcast network station) is subject to the condition in Part 6;</w:t>
      </w:r>
    </w:p>
    <w:p w14:paraId="10CE7DA6" w14:textId="21ADA989" w:rsidR="001D4C98" w:rsidRDefault="00133764" w:rsidP="00133764">
      <w:pPr>
        <w:pStyle w:val="P1"/>
      </w:pPr>
      <w:r>
        <w:tab/>
      </w:r>
      <w:r w:rsidR="001D4C98">
        <w:t>(f)</w:t>
      </w:r>
      <w:r w:rsidR="001D4C98">
        <w:tab/>
        <w:t>every fixed licence (television outside broadcast system station) is subject to the condition in Part 7.</w:t>
      </w:r>
    </w:p>
    <w:p w14:paraId="5CB705C5" w14:textId="77777777" w:rsidR="001D4C98" w:rsidRDefault="001D4C98" w:rsidP="00C565F5">
      <w:pPr>
        <w:pStyle w:val="R2"/>
      </w:pPr>
      <w:r>
        <w:rPr>
          <w:b/>
          <w:bCs/>
        </w:rPr>
        <w:tab/>
      </w:r>
      <w:r>
        <w:t>(2)</w:t>
      </w:r>
      <w:r>
        <w:tab/>
        <w:t>However, if a condition in this Determination is inconsistent with a condition specified in the licence, the condition specified in the licence applies.</w:t>
      </w:r>
    </w:p>
    <w:p w14:paraId="746546CE" w14:textId="10896151" w:rsidR="001D4C98" w:rsidRPr="00115F31" w:rsidRDefault="002E79AC">
      <w:pPr>
        <w:pStyle w:val="HR"/>
      </w:pPr>
      <w:bookmarkStart w:id="7" w:name="_Toc241303046"/>
      <w:r w:rsidRPr="0083672E">
        <w:rPr>
          <w:rStyle w:val="CharSectno"/>
        </w:rPr>
        <w:t>3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Interpretation</w:t>
      </w:r>
      <w:bookmarkEnd w:id="7"/>
      <w:r w:rsidR="007B4D53">
        <w:rPr>
          <w:rStyle w:val="CharSectno"/>
        </w:rPr>
        <w:t xml:space="preserve"> </w:t>
      </w:r>
    </w:p>
    <w:p w14:paraId="6C5A50C8" w14:textId="77777777" w:rsidR="001D4C98" w:rsidRDefault="001D4C98" w:rsidP="002E79AC">
      <w:pPr>
        <w:pStyle w:val="R1"/>
      </w:pPr>
      <w:r w:rsidRPr="00115F31">
        <w:tab/>
      </w:r>
      <w:r>
        <w:t>(1)</w:t>
      </w:r>
      <w:r>
        <w:tab/>
        <w:t>In this Determination:</w:t>
      </w:r>
    </w:p>
    <w:p w14:paraId="693C650C" w14:textId="77777777" w:rsidR="001D4C98" w:rsidRDefault="001D4C98">
      <w:pPr>
        <w:pStyle w:val="definition"/>
      </w:pPr>
      <w:r>
        <w:rPr>
          <w:b/>
          <w:bCs/>
          <w:i/>
          <w:iCs/>
        </w:rPr>
        <w:t xml:space="preserve">base station </w:t>
      </w:r>
      <w:r>
        <w:t>means the point to multipoint station to which a licence relates that is established at a fixed location mentioned in the licence.</w:t>
      </w:r>
    </w:p>
    <w:p w14:paraId="4CFD7685" w14:textId="77777777" w:rsidR="001D4C98" w:rsidRDefault="001D4C98">
      <w:pPr>
        <w:pStyle w:val="definition"/>
      </w:pPr>
      <w:r>
        <w:rPr>
          <w:b/>
          <w:bCs/>
          <w:i/>
          <w:iCs/>
        </w:rPr>
        <w:t>bit error ratio</w:t>
      </w:r>
      <w:r>
        <w:t xml:space="preserve"> means the ratio of the number of bit errors to the total number of bits transmitted in a given time interval.</w:t>
      </w:r>
    </w:p>
    <w:p w14:paraId="32B89B24" w14:textId="77777777" w:rsidR="001D4C98" w:rsidRDefault="001D4C98">
      <w:pPr>
        <w:pStyle w:val="definition"/>
      </w:pPr>
      <w:r>
        <w:rPr>
          <w:b/>
          <w:bCs/>
          <w:i/>
          <w:iCs/>
        </w:rPr>
        <w:t>conducted spurious power</w:t>
      </w:r>
      <w:r>
        <w:rPr>
          <w:b/>
          <w:bCs/>
        </w:rPr>
        <w:t xml:space="preserve"> </w:t>
      </w:r>
      <w:r>
        <w:t>means the power of conducted spurious radio frequency signals generated from components and wiring in a transmitter or receiver and conducted to the input terminals of the transmitter or receiver.</w:t>
      </w:r>
    </w:p>
    <w:p w14:paraId="6F249136" w14:textId="77777777" w:rsidR="001D4C98" w:rsidRDefault="001D4C98">
      <w:pPr>
        <w:pStyle w:val="definition"/>
      </w:pPr>
      <w:r>
        <w:rPr>
          <w:b/>
          <w:bCs/>
          <w:i/>
          <w:iCs/>
        </w:rPr>
        <w:t>duty cycle</w:t>
      </w:r>
      <w:r>
        <w:t xml:space="preserve"> means the ratio of the period of time a transmitter is transmitting in a given period of time to the given period of time.</w:t>
      </w:r>
    </w:p>
    <w:p w14:paraId="68E3BC5A" w14:textId="77777777" w:rsidR="001D4C98" w:rsidRDefault="001D4C98">
      <w:pPr>
        <w:pStyle w:val="definition"/>
      </w:pPr>
      <w:r>
        <w:rPr>
          <w:b/>
          <w:bCs/>
          <w:i/>
          <w:iCs/>
        </w:rPr>
        <w:t>fixed licence (point to multipoint station)</w:t>
      </w:r>
      <w:r>
        <w:t xml:space="preserve"> means a fixed licence authorising the holder to operate a point to multipoint station.</w:t>
      </w:r>
    </w:p>
    <w:p w14:paraId="03BDACBB" w14:textId="77777777" w:rsidR="001D4C98" w:rsidRDefault="001D4C98">
      <w:pPr>
        <w:pStyle w:val="definition"/>
      </w:pPr>
      <w:r>
        <w:rPr>
          <w:b/>
          <w:bCs/>
          <w:i/>
          <w:iCs/>
        </w:rPr>
        <w:t xml:space="preserve">fixed licence (point to point station) </w:t>
      </w:r>
      <w:r>
        <w:t>means a fixed licence authorising the holder to operate a point to point station.</w:t>
      </w:r>
    </w:p>
    <w:p w14:paraId="1E9821DB" w14:textId="77777777" w:rsidR="001D4C98" w:rsidRDefault="001D4C98">
      <w:pPr>
        <w:pStyle w:val="definition"/>
      </w:pPr>
      <w:r>
        <w:rPr>
          <w:b/>
          <w:bCs/>
          <w:i/>
          <w:iCs/>
        </w:rPr>
        <w:t>fixed licence (sound outside broadcast station)</w:t>
      </w:r>
      <w:r>
        <w:rPr>
          <w:b/>
          <w:bCs/>
        </w:rPr>
        <w:t xml:space="preserve"> </w:t>
      </w:r>
      <w:r>
        <w:t>means a fixed licence authorising the holder to operate a sound outside broadcast station.</w:t>
      </w:r>
    </w:p>
    <w:p w14:paraId="4D579092" w14:textId="77777777" w:rsidR="001D4C98" w:rsidRDefault="001D4C98">
      <w:pPr>
        <w:pStyle w:val="definition"/>
      </w:pPr>
      <w:r>
        <w:rPr>
          <w:b/>
          <w:bCs/>
          <w:i/>
          <w:iCs/>
        </w:rPr>
        <w:lastRenderedPageBreak/>
        <w:t>fixed licence (television outside broadcast network station)</w:t>
      </w:r>
      <w:r>
        <w:t xml:space="preserve"> means a fixed licence authorising the holder to operate a television outside broadcast network station.</w:t>
      </w:r>
    </w:p>
    <w:p w14:paraId="33520BDA" w14:textId="77777777" w:rsidR="001D4C98" w:rsidRDefault="001D4C98">
      <w:pPr>
        <w:pStyle w:val="definition"/>
      </w:pPr>
      <w:r>
        <w:rPr>
          <w:b/>
          <w:bCs/>
          <w:i/>
          <w:iCs/>
        </w:rPr>
        <w:t>fixed licence (television outside broadcast station)</w:t>
      </w:r>
      <w:r>
        <w:t xml:space="preserve"> means a fixed licence authorising the holder to operate a television outside broadcast station.</w:t>
      </w:r>
    </w:p>
    <w:p w14:paraId="6D9D89BA" w14:textId="77777777" w:rsidR="001D4C98" w:rsidRDefault="001D4C98">
      <w:pPr>
        <w:pStyle w:val="definition"/>
      </w:pPr>
      <w:r>
        <w:rPr>
          <w:b/>
          <w:bCs/>
          <w:i/>
          <w:iCs/>
        </w:rPr>
        <w:t>fixed licence (television outside broadcast system station)</w:t>
      </w:r>
      <w:r>
        <w:t xml:space="preserve"> means a fixed licence authorising the holder to operate a television outside broadcast system station.</w:t>
      </w:r>
    </w:p>
    <w:p w14:paraId="4FB9951D" w14:textId="77777777" w:rsidR="001D4C98" w:rsidRDefault="001D4C98">
      <w:pPr>
        <w:pStyle w:val="definition"/>
      </w:pPr>
      <w:r>
        <w:rPr>
          <w:b/>
          <w:bCs/>
          <w:i/>
          <w:iCs/>
        </w:rPr>
        <w:t>licence</w:t>
      </w:r>
      <w:r>
        <w:t xml:space="preserve"> means:</w:t>
      </w:r>
    </w:p>
    <w:p w14:paraId="1D9A4CC8" w14:textId="02A83804" w:rsidR="001D4C98" w:rsidRDefault="00331293" w:rsidP="00331293">
      <w:pPr>
        <w:pStyle w:val="P1"/>
      </w:pPr>
      <w:r>
        <w:tab/>
      </w:r>
      <w:r w:rsidR="001D4C98">
        <w:t>(a)</w:t>
      </w:r>
      <w:r w:rsidR="001D4C98">
        <w:tab/>
        <w:t xml:space="preserve">a fixed licence (point to </w:t>
      </w:r>
      <w:r w:rsidR="00C0301D">
        <w:t>multi</w:t>
      </w:r>
      <w:r w:rsidR="001D4C98">
        <w:t>point station); or</w:t>
      </w:r>
    </w:p>
    <w:p w14:paraId="438066ED" w14:textId="4448EA68" w:rsidR="001D4C98" w:rsidRDefault="00331293" w:rsidP="00331293">
      <w:pPr>
        <w:pStyle w:val="P1"/>
      </w:pPr>
      <w:r>
        <w:tab/>
      </w:r>
      <w:r w:rsidR="001D4C98">
        <w:t>(b)</w:t>
      </w:r>
      <w:r w:rsidR="001D4C98">
        <w:tab/>
        <w:t>a fixed licence (point to point station); or</w:t>
      </w:r>
    </w:p>
    <w:p w14:paraId="2FF97CDF" w14:textId="77777777" w:rsidR="001D4C98" w:rsidRDefault="00331293" w:rsidP="00331293">
      <w:pPr>
        <w:pStyle w:val="P1"/>
      </w:pPr>
      <w:r>
        <w:tab/>
      </w:r>
      <w:r w:rsidR="001D4C98">
        <w:t>(c)</w:t>
      </w:r>
      <w:r w:rsidR="001D4C98">
        <w:tab/>
        <w:t>a fixed licence (sound outside broadcast station); or</w:t>
      </w:r>
    </w:p>
    <w:p w14:paraId="11384AA3" w14:textId="4F0AC4FB" w:rsidR="001D4C98" w:rsidRDefault="00331293" w:rsidP="00331293">
      <w:pPr>
        <w:pStyle w:val="P1"/>
      </w:pPr>
      <w:r>
        <w:tab/>
      </w:r>
      <w:r w:rsidR="001D4C98">
        <w:t>(d)</w:t>
      </w:r>
      <w:r w:rsidR="001D4C98">
        <w:tab/>
        <w:t xml:space="preserve">a fixed licence (television outside broadcast </w:t>
      </w:r>
      <w:r w:rsidR="00C0301D">
        <w:t xml:space="preserve">network </w:t>
      </w:r>
      <w:r w:rsidR="001D4C98">
        <w:t>station); or</w:t>
      </w:r>
    </w:p>
    <w:p w14:paraId="3793F79A" w14:textId="3C5569D4" w:rsidR="001D4C98" w:rsidRDefault="00331293" w:rsidP="00331293">
      <w:pPr>
        <w:pStyle w:val="P1"/>
      </w:pPr>
      <w:r>
        <w:tab/>
      </w:r>
      <w:r w:rsidR="001D4C98">
        <w:t>(e)</w:t>
      </w:r>
      <w:r w:rsidR="001D4C98">
        <w:tab/>
        <w:t>a fixed licence (television outside broadcast station); or</w:t>
      </w:r>
    </w:p>
    <w:p w14:paraId="428EA51D" w14:textId="77777777" w:rsidR="001D4C98" w:rsidRDefault="00331293" w:rsidP="00331293">
      <w:pPr>
        <w:pStyle w:val="P1"/>
      </w:pPr>
      <w:r>
        <w:tab/>
      </w:r>
      <w:r w:rsidR="001D4C98">
        <w:t>(f)</w:t>
      </w:r>
      <w:r w:rsidR="001D4C98">
        <w:tab/>
        <w:t>a fixed licence (television outside broadcast system station).</w:t>
      </w:r>
    </w:p>
    <w:p w14:paraId="75611F07" w14:textId="77777777" w:rsidR="001D4C98" w:rsidRDefault="001D4C98" w:rsidP="00331293">
      <w:pPr>
        <w:pStyle w:val="definition"/>
      </w:pPr>
      <w:r w:rsidRPr="00331293">
        <w:rPr>
          <w:b/>
          <w:i/>
        </w:rPr>
        <w:t>licensee</w:t>
      </w:r>
      <w:r>
        <w:t xml:space="preserve"> means:</w:t>
      </w:r>
    </w:p>
    <w:p w14:paraId="29F0330D" w14:textId="77777777" w:rsidR="001D4C98" w:rsidRDefault="00331293" w:rsidP="00331293">
      <w:pPr>
        <w:pStyle w:val="P1"/>
      </w:pPr>
      <w:r>
        <w:tab/>
      </w:r>
      <w:r w:rsidR="001D4C98">
        <w:t>(a)</w:t>
      </w:r>
      <w:r w:rsidR="001D4C98">
        <w:tab/>
        <w:t>the holder of a licence; or</w:t>
      </w:r>
    </w:p>
    <w:p w14:paraId="7EE33596" w14:textId="77777777" w:rsidR="001D4C98" w:rsidRDefault="00331293" w:rsidP="00331293">
      <w:pPr>
        <w:pStyle w:val="P1"/>
      </w:pPr>
      <w:r>
        <w:tab/>
      </w:r>
      <w:r w:rsidR="001D4C98">
        <w:t>(b)</w:t>
      </w:r>
      <w:r w:rsidR="001D4C98">
        <w:tab/>
        <w:t>a person authorised by the holder of a licence to operate a fixed station under the licence.</w:t>
      </w:r>
    </w:p>
    <w:p w14:paraId="6D8BC0B6" w14:textId="270ECD09" w:rsidR="001D4C98" w:rsidRDefault="001D4C98" w:rsidP="00213C15">
      <w:pPr>
        <w:pStyle w:val="definition"/>
      </w:pPr>
      <w:r>
        <w:rPr>
          <w:b/>
          <w:bCs/>
          <w:i/>
          <w:iCs/>
        </w:rPr>
        <w:t xml:space="preserve">maximum </w:t>
      </w:r>
      <w:r w:rsidR="00151F53">
        <w:rPr>
          <w:b/>
          <w:bCs/>
          <w:i/>
          <w:iCs/>
        </w:rPr>
        <w:t xml:space="preserve">beamwidth of antenna </w:t>
      </w:r>
      <w:r>
        <w:rPr>
          <w:b/>
          <w:bCs/>
          <w:i/>
          <w:iCs/>
        </w:rPr>
        <w:t>in E</w:t>
      </w:r>
      <w:r w:rsidR="0083672E">
        <w:rPr>
          <w:b/>
          <w:bCs/>
          <w:i/>
          <w:iCs/>
        </w:rPr>
        <w:noBreakHyphen/>
      </w:r>
      <w:r>
        <w:rPr>
          <w:b/>
          <w:bCs/>
          <w:i/>
          <w:iCs/>
        </w:rPr>
        <w:t>plane</w:t>
      </w:r>
      <w:r>
        <w:t xml:space="preserve"> means the angle between the half power points of an antenna measured in the plane of the electric field.</w:t>
      </w:r>
    </w:p>
    <w:p w14:paraId="256D04D3" w14:textId="77777777" w:rsidR="00042372" w:rsidRPr="003B7E13" w:rsidRDefault="00042372" w:rsidP="00042372">
      <w:pPr>
        <w:pStyle w:val="definition"/>
        <w:rPr>
          <w:b/>
          <w:bCs/>
          <w:i/>
          <w:iCs/>
        </w:rPr>
      </w:pPr>
      <w:r w:rsidRPr="00D57D37">
        <w:rPr>
          <w:b/>
          <w:bCs/>
          <w:i/>
          <w:iCs/>
        </w:rPr>
        <w:t>MF or HF band</w:t>
      </w:r>
      <w:r w:rsidRPr="00D57D37">
        <w:rPr>
          <w:bCs/>
          <w:iCs/>
        </w:rPr>
        <w:t xml:space="preserve"> means the frequency bands consisting of medium frequencies and high frequencies.</w:t>
      </w:r>
    </w:p>
    <w:p w14:paraId="69C9A750" w14:textId="77777777" w:rsidR="001D4C98" w:rsidRDefault="001D4C98" w:rsidP="00213C15">
      <w:pPr>
        <w:pStyle w:val="definition"/>
      </w:pPr>
      <w:r>
        <w:rPr>
          <w:b/>
          <w:bCs/>
          <w:i/>
          <w:iCs/>
        </w:rPr>
        <w:t>mid band gain</w:t>
      </w:r>
      <w:r>
        <w:t xml:space="preserve"> means the antenna gain in the centre of the frequency band of operation.</w:t>
      </w:r>
    </w:p>
    <w:p w14:paraId="78249109" w14:textId="77777777" w:rsidR="001D4C98" w:rsidRDefault="001D4C98" w:rsidP="00213C15">
      <w:pPr>
        <w:pStyle w:val="definition"/>
      </w:pPr>
      <w:r>
        <w:rPr>
          <w:b/>
          <w:bCs/>
          <w:i/>
          <w:iCs/>
        </w:rPr>
        <w:t>minimum front/back ratio</w:t>
      </w:r>
      <w:r>
        <w:t xml:space="preserve"> means the minimum ratio of the maximum directivity of an antenna in the forward direction to its directivity in a specified backward direction.</w:t>
      </w:r>
    </w:p>
    <w:p w14:paraId="2DDCF278" w14:textId="77777777" w:rsidR="001D4C98" w:rsidRDefault="001D4C98">
      <w:pPr>
        <w:pStyle w:val="definition"/>
      </w:pPr>
      <w:r>
        <w:rPr>
          <w:b/>
          <w:bCs/>
          <w:i/>
          <w:iCs/>
        </w:rPr>
        <w:t>remote control station</w:t>
      </w:r>
      <w:r>
        <w:t xml:space="preserve"> means a fixed station established at a fixed location to achieve remote control of a base station and a supplementary base station (if any).</w:t>
      </w:r>
    </w:p>
    <w:p w14:paraId="104EA42A" w14:textId="77777777" w:rsidR="001D4C98" w:rsidRDefault="001D4C98">
      <w:pPr>
        <w:pStyle w:val="definition"/>
      </w:pPr>
      <w:r>
        <w:rPr>
          <w:b/>
          <w:bCs/>
          <w:i/>
          <w:iCs/>
        </w:rPr>
        <w:t>remote station</w:t>
      </w:r>
      <w:r>
        <w:t xml:space="preserve"> means a fixed station that communicates with a base station or a supplementary base station (if any).</w:t>
      </w:r>
    </w:p>
    <w:p w14:paraId="33FC8612" w14:textId="77777777" w:rsidR="001D4C98" w:rsidRDefault="001D4C98">
      <w:pPr>
        <w:pStyle w:val="definition"/>
      </w:pPr>
      <w:r>
        <w:rPr>
          <w:b/>
          <w:bCs/>
          <w:i/>
          <w:iCs/>
        </w:rPr>
        <w:t>supplementary base station</w:t>
      </w:r>
      <w:r>
        <w:t xml:space="preserve"> means a point to multipoint station used with a base station to communicate with at least 1 remote station.</w:t>
      </w:r>
    </w:p>
    <w:p w14:paraId="2FF5AC65" w14:textId="77777777" w:rsidR="00042372" w:rsidRPr="00373CAF" w:rsidRDefault="00042372" w:rsidP="00042372">
      <w:pPr>
        <w:pStyle w:val="definition"/>
      </w:pPr>
      <w:r>
        <w:rPr>
          <w:b/>
          <w:bCs/>
          <w:i/>
          <w:iCs/>
        </w:rPr>
        <w:t>V</w:t>
      </w:r>
      <w:r w:rsidRPr="00D57D37">
        <w:rPr>
          <w:b/>
          <w:bCs/>
          <w:i/>
          <w:iCs/>
        </w:rPr>
        <w:t>HF band</w:t>
      </w:r>
      <w:r w:rsidRPr="00D57D37">
        <w:rPr>
          <w:bCs/>
          <w:iCs/>
        </w:rPr>
        <w:t xml:space="preserve"> means the frequency bands consisting of </w:t>
      </w:r>
      <w:r>
        <w:rPr>
          <w:bCs/>
          <w:iCs/>
        </w:rPr>
        <w:t>very</w:t>
      </w:r>
      <w:r w:rsidRPr="00D57D37">
        <w:rPr>
          <w:bCs/>
          <w:iCs/>
        </w:rPr>
        <w:t xml:space="preserve"> high frequencies.</w:t>
      </w:r>
    </w:p>
    <w:p w14:paraId="4BBED1C2" w14:textId="77777777" w:rsidR="00921965" w:rsidRPr="00A20CCB" w:rsidRDefault="00921965" w:rsidP="00921965">
      <w:pPr>
        <w:pStyle w:val="Note"/>
      </w:pPr>
      <w:r>
        <w:rPr>
          <w:i/>
        </w:rPr>
        <w:t>Note</w:t>
      </w:r>
      <w:r>
        <w:t> </w:t>
      </w:r>
      <w:r w:rsidRPr="00C444BD">
        <w:rPr>
          <w:i/>
        </w:rPr>
        <w:t>1</w:t>
      </w:r>
      <w:r>
        <w:t xml:space="preserve">  In accordance with paragraph 13(1)(b) of the </w:t>
      </w:r>
      <w:r>
        <w:rPr>
          <w:i/>
        </w:rPr>
        <w:t xml:space="preserve">Legislative Instruments Act </w:t>
      </w:r>
      <w:r w:rsidRPr="00700702">
        <w:t>2003</w:t>
      </w:r>
      <w:r>
        <w:t>, other expressions in this Determination have the same meaning as in the Act, including</w:t>
      </w:r>
      <w:r w:rsidRPr="00A20CCB">
        <w:t>:</w:t>
      </w:r>
    </w:p>
    <w:p w14:paraId="7281EA65" w14:textId="77777777" w:rsidR="00921965" w:rsidRDefault="00921965" w:rsidP="00921965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  <w:t>ACMA</w:t>
      </w:r>
    </w:p>
    <w:p w14:paraId="742AC62F" w14:textId="5A58FF01" w:rsidR="004B637C" w:rsidRDefault="004B637C" w:rsidP="004B637C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  <w:t>A</w:t>
      </w:r>
      <w:r>
        <w:t>ustralia</w:t>
      </w:r>
    </w:p>
    <w:p w14:paraId="5F17D7AB" w14:textId="3B09C1BB" w:rsidR="007B4D53" w:rsidRDefault="007B4D53" w:rsidP="007B4D53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</w:r>
      <w:r>
        <w:t>frequency band</w:t>
      </w:r>
    </w:p>
    <w:p w14:paraId="442CD9D4" w14:textId="7865970F" w:rsidR="004B637C" w:rsidRDefault="004B637C" w:rsidP="004B637C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</w:r>
      <w:r>
        <w:t>import</w:t>
      </w:r>
    </w:p>
    <w:p w14:paraId="712A41F4" w14:textId="77777777" w:rsidR="00921965" w:rsidRPr="00A20CCB" w:rsidRDefault="00921965" w:rsidP="00115F31">
      <w:pPr>
        <w:pStyle w:val="Note"/>
        <w:keepNext/>
      </w:pPr>
      <w:r>
        <w:rPr>
          <w:i/>
        </w:rPr>
        <w:t>Note</w:t>
      </w:r>
      <w:r>
        <w:t> </w:t>
      </w:r>
      <w:r w:rsidRPr="00C444BD">
        <w:rPr>
          <w:i/>
        </w:rPr>
        <w:t>2</w:t>
      </w:r>
      <w:r>
        <w:t xml:space="preserve">  In accordance with section 64 of the </w:t>
      </w:r>
      <w:r>
        <w:rPr>
          <w:i/>
        </w:rPr>
        <w:t xml:space="preserve">Australian Communications and Media Authority Act </w:t>
      </w:r>
      <w:r w:rsidRPr="00C444BD">
        <w:rPr>
          <w:i/>
        </w:rPr>
        <w:t>2005</w:t>
      </w:r>
      <w:r>
        <w:t>, other expressions in this Determination have the same meaning as in</w:t>
      </w:r>
      <w:r w:rsidRPr="00A20CCB">
        <w:t xml:space="preserve"> the </w:t>
      </w:r>
      <w:r>
        <w:rPr>
          <w:i/>
        </w:rPr>
        <w:t>Radiocommunications (Interpretation) Determination 2015</w:t>
      </w:r>
      <w:r>
        <w:t>, including</w:t>
      </w:r>
      <w:r w:rsidRPr="00A20CCB">
        <w:t>:</w:t>
      </w:r>
    </w:p>
    <w:p w14:paraId="7D31334F" w14:textId="5DF6D5E9" w:rsidR="00921965" w:rsidRDefault="00921965" w:rsidP="00115F31">
      <w:pPr>
        <w:pStyle w:val="Notepara"/>
        <w:numPr>
          <w:ilvl w:val="0"/>
          <w:numId w:val="31"/>
        </w:numPr>
        <w:tabs>
          <w:tab w:val="left" w:pos="1418"/>
        </w:tabs>
      </w:pPr>
      <w:r w:rsidRPr="00C444BD">
        <w:t>Act</w:t>
      </w:r>
    </w:p>
    <w:p w14:paraId="76284512" w14:textId="462647A6" w:rsidR="007B4D53" w:rsidRDefault="007B4D53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fixed station</w:t>
      </w:r>
    </w:p>
    <w:p w14:paraId="6886E934" w14:textId="1AAD563F" w:rsidR="002A1608" w:rsidRDefault="002A1608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harmful interference</w:t>
      </w:r>
    </w:p>
    <w:p w14:paraId="7A3FE3E5" w14:textId="3646E849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high frequency or HF</w:t>
      </w:r>
    </w:p>
    <w:p w14:paraId="060FFE99" w14:textId="3DD7ECDF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medium frequency or MF</w:t>
      </w:r>
    </w:p>
    <w:p w14:paraId="43477C3D" w14:textId="5079558E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point to multipoint station</w:t>
      </w:r>
    </w:p>
    <w:p w14:paraId="2875F65F" w14:textId="59D40785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point to point station</w:t>
      </w:r>
    </w:p>
    <w:p w14:paraId="0642B667" w14:textId="1751D5EF" w:rsidR="00713AC6" w:rsidRDefault="00713AC6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sound outside broadcast station</w:t>
      </w:r>
    </w:p>
    <w:p w14:paraId="45CC57B3" w14:textId="7A57FE74" w:rsidR="007B4D53" w:rsidRDefault="007B4D53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station</w:t>
      </w:r>
    </w:p>
    <w:p w14:paraId="3193E346" w14:textId="00240C94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television outside broadcast network</w:t>
      </w:r>
    </w:p>
    <w:p w14:paraId="187C89BD" w14:textId="52037D2E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television outside broadcast network station</w:t>
      </w:r>
    </w:p>
    <w:p w14:paraId="55463798" w14:textId="34333C91" w:rsidR="00C538CB" w:rsidRDefault="00C538CB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television outisde broadcast station</w:t>
      </w:r>
    </w:p>
    <w:p w14:paraId="020341E4" w14:textId="77016A6E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television outside broadcast system station</w:t>
      </w:r>
    </w:p>
    <w:p w14:paraId="6DF884E2" w14:textId="67E47ACA" w:rsidR="00633B3A" w:rsidRDefault="00633B3A" w:rsidP="00115F31">
      <w:pPr>
        <w:pStyle w:val="Notepara"/>
        <w:numPr>
          <w:ilvl w:val="0"/>
          <w:numId w:val="31"/>
        </w:numPr>
        <w:tabs>
          <w:tab w:val="left" w:pos="1418"/>
        </w:tabs>
      </w:pPr>
      <w:r>
        <w:t>very high frequency or VHF</w:t>
      </w:r>
    </w:p>
    <w:p w14:paraId="745AD031" w14:textId="226D14B3" w:rsidR="00A16E35" w:rsidRDefault="001D4C98" w:rsidP="00A16E35">
      <w:pPr>
        <w:pStyle w:val="R2"/>
        <w:tabs>
          <w:tab w:val="left" w:pos="1134"/>
        </w:tabs>
      </w:pPr>
      <w:r>
        <w:tab/>
      </w:r>
      <w:r w:rsidRPr="001B5DBF">
        <w:t>(2)</w:t>
      </w:r>
      <w:r w:rsidRPr="001B5DBF">
        <w:tab/>
      </w:r>
      <w:r w:rsidR="00053D47" w:rsidRPr="00D57D37">
        <w:t>In this Determination, unless otherwise specified, the range of numbers that identifies a frequency band includes the higher, but not the lower, number</w:t>
      </w:r>
      <w:r w:rsidRPr="001B5DBF">
        <w:t>.</w:t>
      </w:r>
      <w:bookmarkStart w:id="8" w:name="_Toc241303047"/>
    </w:p>
    <w:p w14:paraId="0C55CC03" w14:textId="4CD9DE3F" w:rsidR="001D4C98" w:rsidRPr="000A566D" w:rsidRDefault="001D4C98" w:rsidP="00115F31">
      <w:pPr>
        <w:pStyle w:val="R2"/>
        <w:tabs>
          <w:tab w:val="clear" w:pos="794"/>
          <w:tab w:val="right" w:pos="2410"/>
        </w:tabs>
        <w:spacing w:before="360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</w:t>
      </w:r>
      <w:r w:rsidR="00A12886" w:rsidRPr="000A566D">
        <w:rPr>
          <w:rStyle w:val="CharPartNo"/>
          <w:rFonts w:ascii="Arial" w:hAnsi="Arial" w:cs="Arial"/>
          <w:b/>
          <w:sz w:val="32"/>
          <w:szCs w:val="32"/>
        </w:rPr>
        <w:t>art</w:t>
      </w:r>
      <w:r w:rsidRPr="000A566D">
        <w:rPr>
          <w:rStyle w:val="CharPartNo"/>
          <w:rFonts w:ascii="Arial" w:hAnsi="Arial" w:cs="Arial"/>
          <w:b/>
          <w:sz w:val="32"/>
          <w:szCs w:val="32"/>
        </w:rPr>
        <w:t xml:space="preserve"> 2</w:t>
      </w:r>
      <w:r w:rsidR="00F376FD" w:rsidRPr="000A566D">
        <w:rPr>
          <w:rStyle w:val="CharPartNo"/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="00A12886" w:rsidRPr="000A566D">
        <w:rPr>
          <w:rStyle w:val="CharPartText"/>
          <w:rFonts w:ascii="Arial" w:hAnsi="Arial" w:cs="Arial"/>
          <w:b/>
          <w:sz w:val="32"/>
          <w:szCs w:val="32"/>
        </w:rPr>
        <w:t xml:space="preserve">onditions for fixed licence 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(</w:t>
      </w:r>
      <w:r w:rsidR="00A12886" w:rsidRPr="000A566D">
        <w:rPr>
          <w:rStyle w:val="CharPartText"/>
          <w:rFonts w:ascii="Arial" w:hAnsi="Arial" w:cs="Arial"/>
          <w:b/>
          <w:sz w:val="32"/>
          <w:szCs w:val="32"/>
        </w:rPr>
        <w:t>point to point station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)</w:t>
      </w:r>
      <w:bookmarkEnd w:id="8"/>
    </w:p>
    <w:p w14:paraId="52804496" w14:textId="77777777" w:rsidR="001D4C98" w:rsidRPr="00115F31" w:rsidRDefault="00A12886" w:rsidP="00115F31">
      <w:pPr>
        <w:spacing w:before="360"/>
        <w:ind w:left="992" w:hanging="992"/>
      </w:pPr>
      <w:bookmarkStart w:id="9" w:name="_Toc241303048"/>
      <w:r w:rsidRPr="00477625">
        <w:rPr>
          <w:rStyle w:val="CharSectno"/>
          <w:rFonts w:ascii="Arial" w:hAnsi="Arial"/>
          <w:b/>
          <w:lang w:eastAsia="en-US"/>
        </w:rPr>
        <w:t>4</w:t>
      </w:r>
      <w:r w:rsidRPr="000E0A12">
        <w:rPr>
          <w:rStyle w:val="CharSectno"/>
          <w:rFonts w:ascii="Arial" w:hAnsi="Arial"/>
          <w:b/>
          <w:lang w:eastAsia="en-US"/>
        </w:rPr>
        <w:tab/>
      </w:r>
      <w:r w:rsidR="001D4C98" w:rsidRPr="000E0A12">
        <w:rPr>
          <w:rStyle w:val="CharSectno"/>
          <w:rFonts w:ascii="Arial" w:hAnsi="Arial"/>
          <w:b/>
          <w:lang w:eastAsia="en-US"/>
        </w:rPr>
        <w:t>Conditions</w:t>
      </w:r>
      <w:bookmarkEnd w:id="9"/>
    </w:p>
    <w:p w14:paraId="1DD422DC" w14:textId="62FFE08A" w:rsidR="001D4C98" w:rsidRDefault="00A12886" w:rsidP="00A12886">
      <w:pPr>
        <w:pStyle w:val="R1"/>
      </w:pPr>
      <w:r>
        <w:rPr>
          <w:b/>
          <w:bCs/>
        </w:rPr>
        <w:tab/>
      </w:r>
      <w:r w:rsidR="001D4C98">
        <w:rPr>
          <w:b/>
          <w:bCs/>
        </w:rPr>
        <w:tab/>
      </w:r>
      <w:r w:rsidR="001D4C98">
        <w:t xml:space="preserve">For paragraph </w:t>
      </w:r>
      <w:r w:rsidR="00A149E2">
        <w:t>107(1)(f)</w:t>
      </w:r>
      <w:r w:rsidR="001D4C98">
        <w:t xml:space="preserve"> of the Act, every fixed licence (point to point station) is subject to the conditions in this Part</w:t>
      </w:r>
      <w:r w:rsidR="00151F53">
        <w:t>.</w:t>
      </w:r>
    </w:p>
    <w:p w14:paraId="6E4A08C4" w14:textId="77777777" w:rsidR="001D4C98" w:rsidRPr="00D57D37" w:rsidRDefault="00A12886" w:rsidP="00A12886">
      <w:pPr>
        <w:pStyle w:val="HR"/>
        <w:rPr>
          <w:rStyle w:val="CharSectno"/>
        </w:rPr>
      </w:pPr>
      <w:bookmarkStart w:id="10" w:name="_Toc241303049"/>
      <w:r w:rsidRPr="0083672E">
        <w:rPr>
          <w:rStyle w:val="CharSectno"/>
        </w:rPr>
        <w:t>5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Technical performance of antenna</w:t>
      </w:r>
      <w:bookmarkEnd w:id="10"/>
    </w:p>
    <w:p w14:paraId="293F45E9" w14:textId="77777777" w:rsidR="001D4C98" w:rsidRDefault="00A12886" w:rsidP="00A12886">
      <w:pPr>
        <w:pStyle w:val="R1"/>
      </w:pPr>
      <w:r>
        <w:rPr>
          <w:bCs/>
        </w:rPr>
        <w:tab/>
      </w:r>
      <w:r w:rsidR="001D4C98" w:rsidRPr="00A12886">
        <w:rPr>
          <w:bCs/>
        </w:rPr>
        <w:t>(1)</w:t>
      </w:r>
      <w:r w:rsidR="001D4C98">
        <w:rPr>
          <w:b/>
          <w:bCs/>
        </w:rPr>
        <w:tab/>
      </w:r>
      <w:r w:rsidR="001D4C98">
        <w:t>If the licensee operates a point to point station to transmit on a frequency mentioned in column 2 of an item in Schedule 1, the licensee must operate the station using:</w:t>
      </w:r>
    </w:p>
    <w:p w14:paraId="7B69B51C" w14:textId="2A23512A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 xml:space="preserve">the antenna specified </w:t>
      </w:r>
      <w:r w:rsidR="00C538CB">
        <w:t>i</w:t>
      </w:r>
      <w:r w:rsidR="001D4C98">
        <w:t>n the licence; or</w:t>
      </w:r>
    </w:p>
    <w:p w14:paraId="2155FF97" w14:textId="5D643946" w:rsidR="001D4C98" w:rsidRDefault="00A12886" w:rsidP="00D57D37">
      <w:pPr>
        <w:pStyle w:val="P1"/>
        <w:keepNext/>
      </w:pPr>
      <w:r>
        <w:tab/>
      </w:r>
      <w:r w:rsidR="001D4C98">
        <w:t>(b)</w:t>
      </w:r>
      <w:r w:rsidR="001D4C98">
        <w:tab/>
        <w:t xml:space="preserve">if no antenna is specified </w:t>
      </w:r>
      <w:r w:rsidR="00C538CB">
        <w:t>i</w:t>
      </w:r>
      <w:r w:rsidR="001D4C98">
        <w:t>n the licence</w:t>
      </w:r>
      <w:r>
        <w:t> </w:t>
      </w:r>
      <w:r w:rsidR="001D4C98">
        <w:t>—</w:t>
      </w:r>
      <w:r>
        <w:t xml:space="preserve"> </w:t>
      </w:r>
      <w:r w:rsidR="001D4C98">
        <w:t>an antenna that complies with the requirements mentioned in columns 3, 4 and 5 of the item.</w:t>
      </w:r>
    </w:p>
    <w:p w14:paraId="7B3B069D" w14:textId="77777777" w:rsidR="001D4C98" w:rsidRDefault="001D4C98" w:rsidP="00A12886">
      <w:pPr>
        <w:pStyle w:val="Note"/>
      </w:pPr>
      <w:r w:rsidRPr="00A12886">
        <w:rPr>
          <w:i/>
        </w:rPr>
        <w:t>N</w:t>
      </w:r>
      <w:r w:rsidR="00A12886" w:rsidRPr="00A12886">
        <w:rPr>
          <w:i/>
        </w:rPr>
        <w:t>ote</w:t>
      </w:r>
      <w:r w:rsidR="00A12886">
        <w:rPr>
          <w:i/>
        </w:rPr>
        <w:t>   </w:t>
      </w:r>
      <w:r>
        <w:t>The requirements in columns 3, 4 and 5 of the items in Schedule 1 are minimum requirements only. Every licensee is encouraged to use an antenna exceeding those requirements if possible.</w:t>
      </w:r>
    </w:p>
    <w:p w14:paraId="2279AF2C" w14:textId="77777777" w:rsidR="001D4C98" w:rsidRDefault="001D4C98" w:rsidP="00A12886">
      <w:pPr>
        <w:pStyle w:val="R2"/>
      </w:pPr>
      <w:r>
        <w:tab/>
      </w:r>
      <w:r w:rsidRPr="00A12886">
        <w:rPr>
          <w:bCs/>
        </w:rPr>
        <w:t>(2)</w:t>
      </w:r>
      <w:r>
        <w:tab/>
        <w:t>If the licensee operates a point to point station to transmit on a frequency that is not mentioned in column 2 of an item in Schedule 1, the licensee must operate the station using:</w:t>
      </w:r>
    </w:p>
    <w:p w14:paraId="3141E175" w14:textId="4435AE3C" w:rsidR="001D4C98" w:rsidRDefault="00A12886" w:rsidP="00A12886">
      <w:pPr>
        <w:pStyle w:val="P1"/>
      </w:pPr>
      <w:r>
        <w:tab/>
      </w:r>
      <w:r w:rsidR="00C538CB">
        <w:t>(a)</w:t>
      </w:r>
      <w:r w:rsidR="00C538CB">
        <w:tab/>
        <w:t>the antenna specified i</w:t>
      </w:r>
      <w:r w:rsidR="001D4C98">
        <w:t>n the licence; or</w:t>
      </w:r>
    </w:p>
    <w:p w14:paraId="4773215E" w14:textId="334EE43B" w:rsidR="00A16E35" w:rsidRDefault="00A12886" w:rsidP="00A16E35">
      <w:pPr>
        <w:pStyle w:val="P1"/>
      </w:pPr>
      <w:r>
        <w:tab/>
      </w:r>
      <w:r w:rsidR="001D4C98">
        <w:t>(b)</w:t>
      </w:r>
      <w:r w:rsidR="001D4C98">
        <w:tab/>
        <w:t xml:space="preserve">if no antenna is specified </w:t>
      </w:r>
      <w:r w:rsidR="00C538CB">
        <w:t>i</w:t>
      </w:r>
      <w:r w:rsidR="001D4C98">
        <w:t>n the licence</w:t>
      </w:r>
      <w:r>
        <w:t> </w:t>
      </w:r>
      <w:r w:rsidR="001D4C98">
        <w:t>—</w:t>
      </w:r>
      <w:r>
        <w:t xml:space="preserve"> </w:t>
      </w:r>
      <w:r w:rsidR="001D4C98">
        <w:t>an antenna that can be used in operating the station without causing harmful interference to a service provided by another station.</w:t>
      </w:r>
      <w:bookmarkStart w:id="11" w:name="_Toc241303050"/>
    </w:p>
    <w:p w14:paraId="29714C04" w14:textId="56A94BAD" w:rsidR="00A16E35" w:rsidRPr="000A566D" w:rsidRDefault="00D10CB2" w:rsidP="00115F31">
      <w:pPr>
        <w:keepNext/>
        <w:keepLines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Part 3</w:t>
      </w:r>
      <w:r w:rsidRPr="000A566D">
        <w:rPr>
          <w:rFonts w:ascii="Arial" w:hAnsi="Arial" w:cs="Arial"/>
          <w:b/>
          <w:sz w:val="32"/>
          <w:szCs w:val="32"/>
        </w:rPr>
        <w:tab/>
      </w:r>
      <w:bookmarkEnd w:id="11"/>
      <w:r w:rsidR="00A16E35" w:rsidRPr="000A566D">
        <w:rPr>
          <w:rFonts w:ascii="Arial" w:hAnsi="Arial" w:cs="Arial"/>
          <w:b/>
          <w:sz w:val="32"/>
          <w:szCs w:val="32"/>
        </w:rPr>
        <w:t>Conditions for fixed licences (point to multipoint station)</w:t>
      </w:r>
      <w:r w:rsidR="00E44959" w:rsidRPr="000A566D">
        <w:rPr>
          <w:rFonts w:ascii="Arial" w:hAnsi="Arial" w:cs="Arial"/>
          <w:b/>
          <w:sz w:val="32"/>
          <w:szCs w:val="32"/>
        </w:rPr>
        <w:t>,</w:t>
      </w:r>
      <w:r w:rsidR="00A16E35" w:rsidRPr="000A566D">
        <w:rPr>
          <w:rFonts w:ascii="Arial" w:hAnsi="Arial" w:cs="Arial"/>
          <w:b/>
          <w:sz w:val="32"/>
          <w:szCs w:val="32"/>
        </w:rPr>
        <w:t xml:space="preserve"> except licences for stations used to provide distance education</w:t>
      </w:r>
      <w:r w:rsidR="00FC4D09" w:rsidRPr="000A566D">
        <w:rPr>
          <w:rFonts w:ascii="Arial" w:hAnsi="Arial" w:cs="Arial"/>
          <w:b/>
          <w:sz w:val="32"/>
          <w:szCs w:val="32"/>
        </w:rPr>
        <w:t xml:space="preserve"> services</w:t>
      </w:r>
      <w:r w:rsidR="00A16E35" w:rsidRPr="000A566D">
        <w:rPr>
          <w:rFonts w:ascii="Arial" w:hAnsi="Arial" w:cs="Arial"/>
          <w:b/>
          <w:sz w:val="32"/>
          <w:szCs w:val="32"/>
        </w:rPr>
        <w:t xml:space="preserve"> or stations that operate in the </w:t>
      </w:r>
      <w:r w:rsidR="00EF175C" w:rsidRPr="000A566D">
        <w:rPr>
          <w:rFonts w:ascii="Arial" w:hAnsi="Arial" w:cs="Arial"/>
          <w:b/>
          <w:sz w:val="32"/>
          <w:szCs w:val="32"/>
        </w:rPr>
        <w:t xml:space="preserve">1 </w:t>
      </w:r>
      <w:r w:rsidR="00F67384" w:rsidRPr="000A566D">
        <w:rPr>
          <w:rFonts w:ascii="Arial" w:hAnsi="Arial" w:cs="Arial"/>
          <w:b/>
          <w:sz w:val="32"/>
          <w:szCs w:val="32"/>
        </w:rPr>
        <w:t xml:space="preserve">GHz </w:t>
      </w:r>
      <w:r w:rsidR="00EF175C" w:rsidRPr="000A566D">
        <w:rPr>
          <w:rFonts w:ascii="Arial" w:hAnsi="Arial" w:cs="Arial"/>
          <w:b/>
          <w:sz w:val="32"/>
          <w:szCs w:val="32"/>
        </w:rPr>
        <w:t>to 275</w:t>
      </w:r>
      <w:r w:rsidR="00A16E35" w:rsidRPr="000A566D">
        <w:rPr>
          <w:rFonts w:ascii="Arial" w:hAnsi="Arial" w:cs="Arial"/>
          <w:b/>
          <w:sz w:val="32"/>
          <w:szCs w:val="32"/>
        </w:rPr>
        <w:t xml:space="preserve"> GHz </w:t>
      </w:r>
      <w:r w:rsidR="00425C66" w:rsidRPr="000A566D">
        <w:rPr>
          <w:rFonts w:ascii="Arial" w:hAnsi="Arial" w:cs="Arial"/>
          <w:b/>
          <w:sz w:val="32"/>
          <w:szCs w:val="32"/>
        </w:rPr>
        <w:t>frequency band</w:t>
      </w:r>
    </w:p>
    <w:p w14:paraId="7A7E0DCA" w14:textId="77777777" w:rsidR="00990553" w:rsidRPr="001B5DBF" w:rsidRDefault="00990553" w:rsidP="00990553">
      <w:pPr>
        <w:pStyle w:val="HR"/>
      </w:pPr>
      <w:bookmarkStart w:id="12" w:name="_Toc241303051"/>
      <w:r w:rsidRPr="001B5DBF">
        <w:rPr>
          <w:rStyle w:val="CharSectno"/>
        </w:rPr>
        <w:t>6</w:t>
      </w:r>
      <w:r w:rsidRPr="00D57D37">
        <w:rPr>
          <w:rStyle w:val="CharSectno"/>
        </w:rPr>
        <w:tab/>
        <w:t>Conditions</w:t>
      </w:r>
      <w:bookmarkEnd w:id="12"/>
    </w:p>
    <w:p w14:paraId="50E40481" w14:textId="339E7C1F" w:rsidR="00151F53" w:rsidRPr="00D57D37" w:rsidRDefault="00B04C47" w:rsidP="00D57D37">
      <w:pPr>
        <w:pStyle w:val="R2"/>
      </w:pPr>
      <w:r>
        <w:tab/>
      </w:r>
      <w:r w:rsidR="001B5DBF">
        <w:t>(1)</w:t>
      </w:r>
      <w:r w:rsidR="001B5DBF">
        <w:tab/>
      </w:r>
      <w:r w:rsidR="00151F53" w:rsidRPr="00D57D37">
        <w:t xml:space="preserve">Subject to subsection (2), </w:t>
      </w:r>
      <w:r w:rsidR="00F776C4" w:rsidRPr="001B5DBF">
        <w:t>for paragraph 107(1)(f) of the Act,</w:t>
      </w:r>
      <w:r w:rsidR="00F776C4" w:rsidRPr="00D57D37">
        <w:t xml:space="preserve"> </w:t>
      </w:r>
      <w:r w:rsidR="00151F53" w:rsidRPr="00D57D37">
        <w:t>every fixed licence (point to multipoint station) is subject to the conditions in this Part.</w:t>
      </w:r>
    </w:p>
    <w:p w14:paraId="568DA819" w14:textId="620C8E65" w:rsidR="0035740B" w:rsidRDefault="00B04C47" w:rsidP="0035740B">
      <w:pPr>
        <w:pStyle w:val="R2"/>
      </w:pPr>
      <w:r>
        <w:tab/>
      </w:r>
      <w:r w:rsidR="001B5DBF">
        <w:t>(2)</w:t>
      </w:r>
      <w:r w:rsidR="001B5DBF">
        <w:tab/>
      </w:r>
      <w:r w:rsidR="00151F53" w:rsidRPr="00D57D37">
        <w:t xml:space="preserve">Subsection (1) does not apply </w:t>
      </w:r>
      <w:r w:rsidR="00381179">
        <w:rPr>
          <w:lang w:eastAsia="en-AU"/>
        </w:rPr>
        <w:t xml:space="preserve">to </w:t>
      </w:r>
      <w:r w:rsidR="00151F53" w:rsidRPr="00D57D37">
        <w:t>a fixed licence (point to multipoint station) that authorises the operation of:</w:t>
      </w:r>
    </w:p>
    <w:p w14:paraId="13769BC1" w14:textId="77777777" w:rsidR="001B5DBF" w:rsidRDefault="00B04C47" w:rsidP="00D57D37">
      <w:pPr>
        <w:pStyle w:val="P1"/>
      </w:pPr>
      <w:r>
        <w:tab/>
      </w:r>
      <w:r w:rsidR="001B5DBF">
        <w:t>(a)</w:t>
      </w:r>
      <w:r w:rsidR="001B5DBF">
        <w:tab/>
      </w:r>
      <w:r w:rsidR="001B5DBF" w:rsidRPr="002B5D1A">
        <w:t>a station used to provide distance education services;</w:t>
      </w:r>
      <w:r w:rsidR="00381179">
        <w:t xml:space="preserve"> </w:t>
      </w:r>
      <w:r w:rsidR="001B5DBF">
        <w:t>or</w:t>
      </w:r>
    </w:p>
    <w:p w14:paraId="34292238" w14:textId="35143615" w:rsidR="0035740B" w:rsidRDefault="00B04C47" w:rsidP="0035740B">
      <w:pPr>
        <w:pStyle w:val="P1"/>
      </w:pPr>
      <w:r>
        <w:tab/>
      </w:r>
      <w:r w:rsidR="001B5DBF">
        <w:t>(b)</w:t>
      </w:r>
      <w:r w:rsidR="001B5DBF">
        <w:tab/>
        <w:t>a station that operates in the 1 GHz to 275 GHz frequency band.</w:t>
      </w:r>
    </w:p>
    <w:p w14:paraId="291296E9" w14:textId="77777777" w:rsidR="001D4C98" w:rsidRPr="00D57D37" w:rsidRDefault="00A12886">
      <w:pPr>
        <w:pStyle w:val="HR"/>
        <w:rPr>
          <w:rStyle w:val="CharSectno"/>
          <w:rFonts w:ascii="Times New Roman" w:hAnsi="Times New Roman"/>
          <w:b w:val="0"/>
        </w:rPr>
      </w:pPr>
      <w:bookmarkStart w:id="13" w:name="_Toc241303052"/>
      <w:r w:rsidRPr="00477625">
        <w:rPr>
          <w:rStyle w:val="CharSectno"/>
        </w:rPr>
        <w:t>7</w:t>
      </w:r>
      <w:r w:rsidRPr="00477625">
        <w:rPr>
          <w:rStyle w:val="CharSectno"/>
        </w:rPr>
        <w:tab/>
      </w:r>
      <w:r w:rsidR="001D4C98" w:rsidRPr="00477625">
        <w:rPr>
          <w:rStyle w:val="CharSectno"/>
        </w:rPr>
        <w:t>Restrictions on communications</w:t>
      </w:r>
      <w:bookmarkEnd w:id="13"/>
    </w:p>
    <w:p w14:paraId="493436F2" w14:textId="77777777" w:rsidR="001D4C98" w:rsidRDefault="00A12886" w:rsidP="00A12886">
      <w:pPr>
        <w:pStyle w:val="R1"/>
      </w:pPr>
      <w:r>
        <w:tab/>
      </w:r>
      <w:r w:rsidR="001D4C98">
        <w:tab/>
        <w:t>The licensee of a fixed licence (point to multipoint station) must operate a fixed station only to communicate with other stations to which the licence relates.</w:t>
      </w:r>
    </w:p>
    <w:p w14:paraId="732CB4A2" w14:textId="77777777" w:rsidR="001D4C98" w:rsidRDefault="00A12886" w:rsidP="00A12886">
      <w:pPr>
        <w:pStyle w:val="HR"/>
      </w:pPr>
      <w:bookmarkStart w:id="14" w:name="_Toc241303053"/>
      <w:r w:rsidRPr="0083672E">
        <w:rPr>
          <w:rStyle w:val="CharSectno"/>
        </w:rPr>
        <w:t>8</w:t>
      </w:r>
      <w:r>
        <w:tab/>
      </w:r>
      <w:r w:rsidR="001D4C98">
        <w:t>Supplementary base stations</w:t>
      </w:r>
      <w:bookmarkEnd w:id="14"/>
    </w:p>
    <w:p w14:paraId="151A9913" w14:textId="77777777" w:rsidR="001D4C98" w:rsidRDefault="00A12886" w:rsidP="00A12886">
      <w:pPr>
        <w:pStyle w:val="R1"/>
      </w:pPr>
      <w:r>
        <w:tab/>
      </w:r>
      <w:r w:rsidR="001D4C98">
        <w:tab/>
        <w:t>If the licensee operates a supplementary base station, the licensee:</w:t>
      </w:r>
    </w:p>
    <w:p w14:paraId="386F28DF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must not operate the station if its operation causes harmful interference to a service provided by another station; and</w:t>
      </w:r>
    </w:p>
    <w:p w14:paraId="1B7FCAFB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must operate the station to transmit only using the receive or transmit frequencies specified on the licence for the base station; and</w:t>
      </w:r>
    </w:p>
    <w:p w14:paraId="109ABC1B" w14:textId="77777777" w:rsidR="001D4C98" w:rsidRDefault="00A12886" w:rsidP="00A12886">
      <w:pPr>
        <w:pStyle w:val="P1"/>
      </w:pPr>
      <w:r>
        <w:tab/>
      </w:r>
      <w:r w:rsidR="001D4C98">
        <w:t>(c)</w:t>
      </w:r>
      <w:r w:rsidR="001D4C98">
        <w:tab/>
        <w:t>must operate the station only to overcome deficiencies within the coverage area of the base station; and</w:t>
      </w:r>
    </w:p>
    <w:p w14:paraId="1B2EFEC6" w14:textId="77777777" w:rsidR="001D4C98" w:rsidRDefault="00A12886" w:rsidP="00A12886">
      <w:pPr>
        <w:pStyle w:val="P1"/>
      </w:pPr>
      <w:r>
        <w:tab/>
      </w:r>
      <w:r w:rsidR="001D4C98">
        <w:t>(d)</w:t>
      </w:r>
      <w:r w:rsidR="001D4C98">
        <w:tab/>
        <w:t>must not operate the station to extend the coverage area of the base station.</w:t>
      </w:r>
    </w:p>
    <w:p w14:paraId="74F0B6C9" w14:textId="77777777" w:rsidR="001D4C98" w:rsidRPr="00D57D37" w:rsidRDefault="00A12886" w:rsidP="00A12886">
      <w:pPr>
        <w:pStyle w:val="HR"/>
        <w:rPr>
          <w:rStyle w:val="CharSectno"/>
        </w:rPr>
      </w:pPr>
      <w:bookmarkStart w:id="15" w:name="_Toc241303054"/>
      <w:r w:rsidRPr="0083672E">
        <w:rPr>
          <w:rStyle w:val="CharSectno"/>
        </w:rPr>
        <w:t>9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Remote stations</w:t>
      </w:r>
      <w:bookmarkEnd w:id="15"/>
    </w:p>
    <w:p w14:paraId="51A13A73" w14:textId="77777777" w:rsidR="001D4C98" w:rsidRDefault="00A12886" w:rsidP="00A12886">
      <w:pPr>
        <w:pStyle w:val="R1"/>
      </w:pPr>
      <w:r>
        <w:rPr>
          <w:bCs/>
        </w:rPr>
        <w:tab/>
      </w:r>
      <w:r w:rsidR="001D4C98" w:rsidRPr="00A12886">
        <w:rPr>
          <w:bCs/>
        </w:rPr>
        <w:t>(1)</w:t>
      </w:r>
      <w:r w:rsidR="001D4C98">
        <w:tab/>
        <w:t>For a remote station, the licensee:</w:t>
      </w:r>
    </w:p>
    <w:p w14:paraId="314C2A51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must not operate the station if its operation causes harmful interference to a service provided by another station; and</w:t>
      </w:r>
    </w:p>
    <w:p w14:paraId="5200256A" w14:textId="4B8F769B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 xml:space="preserve">must operate the station to transmit to the base station or supplementary base station (if any) using the receive or transmit frequencies specified </w:t>
      </w:r>
      <w:r w:rsidR="00C538CB">
        <w:t>i</w:t>
      </w:r>
      <w:r w:rsidR="001D4C98">
        <w:t>n the licence for the base station.</w:t>
      </w:r>
    </w:p>
    <w:p w14:paraId="6AA831FD" w14:textId="77777777" w:rsidR="001D4C98" w:rsidRDefault="001D4C98" w:rsidP="00A12886">
      <w:pPr>
        <w:pStyle w:val="R2"/>
      </w:pPr>
      <w:r>
        <w:rPr>
          <w:b/>
          <w:bCs/>
        </w:rPr>
        <w:tab/>
      </w:r>
      <w:r w:rsidRPr="00A12886">
        <w:rPr>
          <w:bCs/>
        </w:rPr>
        <w:t>(2)</w:t>
      </w:r>
      <w:r>
        <w:tab/>
        <w:t>The licensee must not operate a remote station for data transmission, telecommand or telemetry if:</w:t>
      </w:r>
    </w:p>
    <w:p w14:paraId="5192B8FC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the duty cycle of the station is more than 1 in 30; or</w:t>
      </w:r>
    </w:p>
    <w:p w14:paraId="04CF81FA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the duration of a transmission from the station is more than 2 seconds; or</w:t>
      </w:r>
    </w:p>
    <w:p w14:paraId="27BA12E9" w14:textId="77777777" w:rsidR="001D4C98" w:rsidRDefault="00A12886" w:rsidP="00A12886">
      <w:pPr>
        <w:pStyle w:val="P1"/>
      </w:pPr>
      <w:r>
        <w:tab/>
      </w:r>
      <w:r w:rsidR="001D4C98">
        <w:t>(c)</w:t>
      </w:r>
      <w:r w:rsidR="001D4C98">
        <w:tab/>
        <w:t>the minimum repetition interval of the station is less than 10 seconds.</w:t>
      </w:r>
    </w:p>
    <w:p w14:paraId="28744C3D" w14:textId="77777777" w:rsidR="001D4C98" w:rsidRDefault="001D4C98" w:rsidP="004E730E">
      <w:pPr>
        <w:pStyle w:val="R2"/>
        <w:tabs>
          <w:tab w:val="left" w:pos="5245"/>
        </w:tabs>
      </w:pPr>
      <w:r>
        <w:tab/>
      </w:r>
      <w:r w:rsidRPr="00A12886">
        <w:rPr>
          <w:bCs/>
        </w:rPr>
        <w:t>(3)</w:t>
      </w:r>
      <w:r>
        <w:tab/>
        <w:t>If the licensee operates a remote station for data transmission, telecommand or telemetry in accordance with column 2 of an item in Schedule 2, the licensee must operate the station using the transmitter output power mentioned in column 3 of the item.</w:t>
      </w:r>
    </w:p>
    <w:p w14:paraId="109D809A" w14:textId="77777777" w:rsidR="001D4C98" w:rsidRDefault="001D4C98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(4)</w:t>
      </w:r>
      <w:r>
        <w:tab/>
        <w:t>The licensee may operate a remote station for purposes other than data transmission, telecommand or telemetry if it is operated:</w:t>
      </w:r>
    </w:p>
    <w:p w14:paraId="055B4F84" w14:textId="181002B0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 xml:space="preserve">using the maximum transmitter output power specified </w:t>
      </w:r>
      <w:r w:rsidR="00C538CB">
        <w:t>i</w:t>
      </w:r>
      <w:r w:rsidR="001D4C98">
        <w:t>n the licence; or</w:t>
      </w:r>
    </w:p>
    <w:p w14:paraId="1B063DF1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if no power is specified on the licence</w:t>
      </w:r>
      <w:r>
        <w:t> </w:t>
      </w:r>
      <w:r w:rsidR="001D4C98">
        <w:t>—</w:t>
      </w:r>
      <w:r>
        <w:t xml:space="preserve"> </w:t>
      </w:r>
      <w:r w:rsidR="001D4C98">
        <w:t>using a maximum transmitter output power of 1 watt at the antenna input.</w:t>
      </w:r>
    </w:p>
    <w:p w14:paraId="598308DC" w14:textId="77777777" w:rsidR="001D4C98" w:rsidRDefault="001D4C98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(5)</w:t>
      </w:r>
      <w:r>
        <w:tab/>
        <w:t>If a remote station is located in a central business district of a city or town, the licensee:</w:t>
      </w:r>
    </w:p>
    <w:p w14:paraId="12F7D69D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must not locate the antenna of the station more than 30 metres above the average surrounding ground level; and</w:t>
      </w:r>
    </w:p>
    <w:p w14:paraId="48F0EDB9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must fit a device between the transmitter and the antenna that provides intermodulation performance equivalent to, or better than, the intermodulation performance achieved by a 20 dB in</w:t>
      </w:r>
      <w:r w:rsidR="0083672E">
        <w:noBreakHyphen/>
      </w:r>
      <w:r w:rsidR="001D4C98">
        <w:t>line attenuator.</w:t>
      </w:r>
    </w:p>
    <w:p w14:paraId="5DDC9DE2" w14:textId="77777777" w:rsidR="001D4C98" w:rsidRPr="00115F31" w:rsidRDefault="00A12886">
      <w:pPr>
        <w:pStyle w:val="HR"/>
      </w:pPr>
      <w:bookmarkStart w:id="16" w:name="_Toc241303055"/>
      <w:r w:rsidRPr="0083672E">
        <w:rPr>
          <w:rStyle w:val="CharSectno"/>
        </w:rPr>
        <w:t>10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Remote control stations</w:t>
      </w:r>
      <w:bookmarkEnd w:id="16"/>
    </w:p>
    <w:p w14:paraId="73A1D279" w14:textId="77777777" w:rsidR="001D4C98" w:rsidRDefault="001D4C98" w:rsidP="00A12886">
      <w:pPr>
        <w:pStyle w:val="R1"/>
      </w:pPr>
      <w:r>
        <w:tab/>
      </w:r>
      <w:r w:rsidRPr="00A12886">
        <w:rPr>
          <w:bCs/>
        </w:rPr>
        <w:t>(1)</w:t>
      </w:r>
      <w:r>
        <w:tab/>
        <w:t>If the licensee operates a remote control station, the licensee:</w:t>
      </w:r>
    </w:p>
    <w:p w14:paraId="221450F6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must not operate the station if its operation causes harmful interference to a service provided by another station; and</w:t>
      </w:r>
    </w:p>
    <w:p w14:paraId="0072C184" w14:textId="7CA74516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 xml:space="preserve">must operate the station to transmit to the base station or supplementary base station (if any) using the receive or </w:t>
      </w:r>
      <w:r w:rsidR="00C538CB">
        <w:t>transmit frequencies specified i</w:t>
      </w:r>
      <w:r w:rsidR="001D4C98">
        <w:t>n the licence for the base station; and</w:t>
      </w:r>
    </w:p>
    <w:p w14:paraId="4D7697C1" w14:textId="77777777" w:rsidR="001D4C98" w:rsidRDefault="00A12886" w:rsidP="00A12886">
      <w:pPr>
        <w:pStyle w:val="P1"/>
      </w:pPr>
      <w:r>
        <w:tab/>
      </w:r>
      <w:r w:rsidR="001D4C98">
        <w:t>(c)</w:t>
      </w:r>
      <w:r w:rsidR="001D4C98">
        <w:tab/>
        <w:t>must not operate the station unless it is operated using a maximum transmitter output power not exceeding 1 watt at the antenna input.</w:t>
      </w:r>
    </w:p>
    <w:p w14:paraId="59A8A6CC" w14:textId="77777777" w:rsidR="001D4C98" w:rsidRDefault="001D4C98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(2)</w:t>
      </w:r>
      <w:r>
        <w:tab/>
        <w:t>If the licensee operates a remote control station for data transmission, telecommand or telemetry, the licensee must operate the station using a transmitter output power that does not exceed the power necessary to achieve a wanted receive signal level of 10 dB above the input signal level required to achieve a bit error ratio of 1 in 1000 at the base station.</w:t>
      </w:r>
    </w:p>
    <w:p w14:paraId="3613C3B1" w14:textId="77777777" w:rsidR="001D4C98" w:rsidRDefault="001D4C98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(3)</w:t>
      </w:r>
      <w:r>
        <w:tab/>
        <w:t>If a remote control station is located in a central business district of a city or town, the licensee:</w:t>
      </w:r>
    </w:p>
    <w:p w14:paraId="2F472023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must not locate the antenna of the station more than 30 metres above the average surrounding ground level; and</w:t>
      </w:r>
    </w:p>
    <w:p w14:paraId="56A8B974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must fit a device between the transmitter and the antenna that provides intermodulation performance equivalent to, or better than, the intermodulation performance achieved by a 20 dB in</w:t>
      </w:r>
      <w:r w:rsidR="0083672E">
        <w:noBreakHyphen/>
      </w:r>
      <w:r w:rsidR="001D4C98">
        <w:t>line attenuator.</w:t>
      </w:r>
    </w:p>
    <w:p w14:paraId="21DF6FB5" w14:textId="77777777" w:rsidR="001D4C98" w:rsidRPr="00D57D37" w:rsidRDefault="00A12886" w:rsidP="00A12886">
      <w:pPr>
        <w:pStyle w:val="HR"/>
        <w:rPr>
          <w:rStyle w:val="CharSectno"/>
        </w:rPr>
      </w:pPr>
      <w:bookmarkStart w:id="17" w:name="_Toc241303056"/>
      <w:r w:rsidRPr="0083672E">
        <w:rPr>
          <w:rStyle w:val="CharSectno"/>
        </w:rPr>
        <w:t>11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Short range communications</w:t>
      </w:r>
      <w:bookmarkEnd w:id="17"/>
    </w:p>
    <w:p w14:paraId="13CD410F" w14:textId="77777777" w:rsidR="001D4C98" w:rsidRDefault="001D4C98" w:rsidP="00A12886">
      <w:pPr>
        <w:pStyle w:val="R1"/>
      </w:pPr>
      <w:r>
        <w:rPr>
          <w:b/>
          <w:bCs/>
        </w:rPr>
        <w:tab/>
      </w:r>
      <w:r w:rsidRPr="00A12886">
        <w:rPr>
          <w:bCs/>
        </w:rPr>
        <w:t>(1)</w:t>
      </w:r>
      <w:r>
        <w:tab/>
        <w:t>This section applies if a licensee of a fixed licence (point to multipoint station) operates a fixed station to communicate with another station not more than 100 metres from it.</w:t>
      </w:r>
    </w:p>
    <w:p w14:paraId="444588CF" w14:textId="77777777" w:rsidR="001D4C98" w:rsidRDefault="001D4C98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(2)</w:t>
      </w:r>
      <w:r>
        <w:tab/>
        <w:t>The licensee must operate the fixed station:</w:t>
      </w:r>
    </w:p>
    <w:p w14:paraId="3A9E350E" w14:textId="77777777" w:rsidR="001D4C98" w:rsidRDefault="00A12886" w:rsidP="00A12886">
      <w:pPr>
        <w:pStyle w:val="P1"/>
      </w:pPr>
      <w:r>
        <w:tab/>
      </w:r>
      <w:r w:rsidR="001D4C98">
        <w:t>(a)</w:t>
      </w:r>
      <w:r w:rsidR="001D4C98">
        <w:tab/>
        <w:t>in a manner that ensures that any transmitter or receiver conducted spurious power is less than minus 45 dBm; and</w:t>
      </w:r>
    </w:p>
    <w:p w14:paraId="62663B57" w14:textId="77777777" w:rsidR="001D4C98" w:rsidRDefault="00A12886" w:rsidP="00A12886">
      <w:pPr>
        <w:pStyle w:val="P1"/>
      </w:pPr>
      <w:r>
        <w:tab/>
      </w:r>
      <w:r w:rsidR="001D4C98">
        <w:t>(b)</w:t>
      </w:r>
      <w:r w:rsidR="001D4C98">
        <w:tab/>
        <w:t>using an external antenna located not more than 10 metres above ground level; and</w:t>
      </w:r>
    </w:p>
    <w:p w14:paraId="06FF6FF8" w14:textId="77777777" w:rsidR="001D4C98" w:rsidRDefault="00A12886" w:rsidP="00A12886">
      <w:pPr>
        <w:pStyle w:val="P1"/>
      </w:pPr>
      <w:r>
        <w:tab/>
      </w:r>
      <w:r w:rsidR="001D4C98">
        <w:t>(c)</w:t>
      </w:r>
      <w:r w:rsidR="001D4C98">
        <w:tab/>
        <w:t>in a manner that ensures that the transmitter noise power does not exceed minus 60 dBm in a 10 kHz bandwidth at an offset that is at least 300 kHz from the frequency specified on the licence.</w:t>
      </w:r>
    </w:p>
    <w:p w14:paraId="10773E22" w14:textId="636BA4F5" w:rsidR="001D6FA3" w:rsidRDefault="001D4C98" w:rsidP="001D6FA3">
      <w:pPr>
        <w:pStyle w:val="R2"/>
        <w:tabs>
          <w:tab w:val="left" w:pos="1134"/>
        </w:tabs>
      </w:pPr>
      <w:r>
        <w:tab/>
      </w:r>
      <w:r w:rsidRPr="00A12886">
        <w:rPr>
          <w:bCs/>
        </w:rPr>
        <w:t>(3)</w:t>
      </w:r>
      <w:r>
        <w:tab/>
        <w:t>If the licensee operates the fixed station in a temperature range of 0</w:t>
      </w:r>
      <w:r w:rsidR="00847EE0">
        <w:t>–</w:t>
      </w:r>
      <w:r>
        <w:t xml:space="preserve">40 degrees </w:t>
      </w:r>
      <w:r w:rsidR="00AA3D0E">
        <w:t>Celsius</w:t>
      </w:r>
      <w:r>
        <w:t xml:space="preserve"> (inclusive), the licensee must operate the station using adjacent channel power not exceeding minus 30 dBm in a 10 kHz bandwidth that is centred in the upper or lower 12.5 kHz channel adjoining the bandwidth specified on the licence.</w:t>
      </w:r>
      <w:bookmarkStart w:id="18" w:name="_Toc241303057"/>
    </w:p>
    <w:p w14:paraId="50FC57B7" w14:textId="77777777" w:rsidR="001D4C98" w:rsidRPr="000A566D" w:rsidRDefault="001D4C98" w:rsidP="00115F31">
      <w:pPr>
        <w:pStyle w:val="R2"/>
        <w:keepNext/>
        <w:tabs>
          <w:tab w:val="left" w:pos="1701"/>
        </w:tabs>
        <w:spacing w:before="360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Part 3A</w:t>
      </w:r>
      <w:r w:rsidR="00A12886" w:rsidRPr="000A566D">
        <w:rPr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Conditions for fixed licences (point to multipoint station) used to provide distance education services</w:t>
      </w:r>
      <w:bookmarkEnd w:id="18"/>
    </w:p>
    <w:p w14:paraId="7BBDF326" w14:textId="77777777" w:rsidR="001D4C98" w:rsidRPr="00D57D37" w:rsidRDefault="001D4C98">
      <w:pPr>
        <w:pStyle w:val="HR"/>
        <w:rPr>
          <w:rStyle w:val="CharSectno"/>
        </w:rPr>
      </w:pPr>
      <w:bookmarkStart w:id="19" w:name="_Toc241303058"/>
      <w:r w:rsidRPr="0083672E">
        <w:rPr>
          <w:rStyle w:val="CharSectno"/>
        </w:rPr>
        <w:t>11A</w:t>
      </w:r>
      <w:r w:rsidRPr="00D57D37">
        <w:rPr>
          <w:rStyle w:val="CharSectno"/>
        </w:rPr>
        <w:tab/>
        <w:t>Conditions</w:t>
      </w:r>
      <w:bookmarkEnd w:id="19"/>
    </w:p>
    <w:p w14:paraId="4125F9AE" w14:textId="595F4691" w:rsidR="00F176B2" w:rsidRPr="00970E4F" w:rsidRDefault="001D4C98">
      <w:pPr>
        <w:pStyle w:val="R1"/>
      </w:pPr>
      <w:r>
        <w:tab/>
      </w:r>
      <w:r>
        <w:rPr>
          <w:b/>
          <w:bCs/>
        </w:rPr>
        <w:tab/>
      </w:r>
      <w:r>
        <w:t xml:space="preserve">For paragraph </w:t>
      </w:r>
      <w:r w:rsidR="00A149E2">
        <w:t>107(1)(f)</w:t>
      </w:r>
      <w:r>
        <w:t xml:space="preserve"> of the Act, every fixed licence (point to multipoint station) for a station used to provide distance education services is subject to</w:t>
      </w:r>
      <w:r w:rsidR="00F176B2" w:rsidRPr="00970E4F">
        <w:t>:</w:t>
      </w:r>
    </w:p>
    <w:p w14:paraId="68E8723B" w14:textId="77777777" w:rsidR="00F176B2" w:rsidRPr="00D57D37" w:rsidRDefault="00F176B2" w:rsidP="005B1CE2">
      <w:pPr>
        <w:pStyle w:val="P1"/>
        <w:tabs>
          <w:tab w:val="left" w:pos="1418"/>
        </w:tabs>
        <w:ind w:hanging="567"/>
      </w:pPr>
      <w:r w:rsidRPr="00970E4F">
        <w:tab/>
      </w:r>
      <w:r w:rsidRPr="00D57D37">
        <w:t>(a)</w:t>
      </w:r>
      <w:r w:rsidRPr="00D57D37">
        <w:tab/>
      </w:r>
      <w:r w:rsidR="00381179">
        <w:t xml:space="preserve">the conditions </w:t>
      </w:r>
      <w:r w:rsidR="001D4C98" w:rsidRPr="00D57D37">
        <w:t>in this Part</w:t>
      </w:r>
      <w:r w:rsidRPr="00D57D37">
        <w:t>;</w:t>
      </w:r>
      <w:r w:rsidR="001D4C98" w:rsidRPr="00D57D37">
        <w:t xml:space="preserve"> and </w:t>
      </w:r>
    </w:p>
    <w:p w14:paraId="38734276" w14:textId="77777777" w:rsidR="001D4C98" w:rsidRDefault="00F176B2" w:rsidP="005B1CE2">
      <w:pPr>
        <w:pStyle w:val="P1"/>
        <w:tabs>
          <w:tab w:val="left" w:pos="1418"/>
        </w:tabs>
        <w:ind w:hanging="567"/>
      </w:pPr>
      <w:r w:rsidRPr="00D57D37">
        <w:tab/>
        <w:t>(b)</w:t>
      </w:r>
      <w:r w:rsidRPr="00D57D37">
        <w:tab/>
        <w:t xml:space="preserve">if a condition in </w:t>
      </w:r>
      <w:r w:rsidR="001D4C98" w:rsidRPr="00D57D37">
        <w:t xml:space="preserve">Part 3B </w:t>
      </w:r>
      <w:r w:rsidRPr="00D57D37">
        <w:t xml:space="preserve">or </w:t>
      </w:r>
      <w:r w:rsidR="001D4C98" w:rsidRPr="00D57D37">
        <w:t xml:space="preserve">3C </w:t>
      </w:r>
      <w:r w:rsidRPr="00D57D37">
        <w:t>is</w:t>
      </w:r>
      <w:r w:rsidR="001D4C98" w:rsidRPr="00D57D37">
        <w:t xml:space="preserve"> applicable to the licence</w:t>
      </w:r>
      <w:r w:rsidRPr="00D57D37">
        <w:t xml:space="preserve"> – that condition.</w:t>
      </w:r>
    </w:p>
    <w:p w14:paraId="38C97A77" w14:textId="77777777" w:rsidR="001D4C98" w:rsidRPr="00D57D37" w:rsidRDefault="001D4C98">
      <w:pPr>
        <w:pStyle w:val="HR"/>
        <w:rPr>
          <w:rStyle w:val="CharSectno"/>
        </w:rPr>
      </w:pPr>
      <w:bookmarkStart w:id="20" w:name="_Toc241303059"/>
      <w:r w:rsidRPr="0083672E">
        <w:rPr>
          <w:rStyle w:val="CharSectno"/>
        </w:rPr>
        <w:t>11B</w:t>
      </w:r>
      <w:r w:rsidRPr="00D57D37">
        <w:rPr>
          <w:rStyle w:val="CharSectno"/>
        </w:rPr>
        <w:tab/>
        <w:t>Transmitter output power</w:t>
      </w:r>
      <w:bookmarkEnd w:id="20"/>
    </w:p>
    <w:p w14:paraId="5D554E03" w14:textId="02465A4B" w:rsidR="001D4C98" w:rsidRPr="00A12886" w:rsidRDefault="001D4C98" w:rsidP="005B1CE2">
      <w:pPr>
        <w:pStyle w:val="R1"/>
        <w:rPr>
          <w:bCs/>
          <w:szCs w:val="20"/>
        </w:rPr>
      </w:pPr>
      <w:r>
        <w:tab/>
      </w:r>
      <w:r>
        <w:tab/>
        <w:t>The licensee of a fixed licence (point to multipoint station) must not operate a station authorised under the licence at a transmitter output power greater than the power sufficient to achieve efficient communications.</w:t>
      </w:r>
    </w:p>
    <w:p w14:paraId="2C9EBAD5" w14:textId="3A128DA4" w:rsidR="001D4C98" w:rsidRPr="00D57D37" w:rsidRDefault="001D4C98">
      <w:pPr>
        <w:pStyle w:val="HR"/>
        <w:rPr>
          <w:rStyle w:val="CharSectno"/>
        </w:rPr>
      </w:pPr>
      <w:bookmarkStart w:id="21" w:name="_Toc241303060"/>
      <w:r w:rsidRPr="0083672E">
        <w:rPr>
          <w:rStyle w:val="CharSectno"/>
        </w:rPr>
        <w:t>11C</w:t>
      </w:r>
      <w:r w:rsidRPr="00D57D37">
        <w:rPr>
          <w:rStyle w:val="CharSectno"/>
        </w:rPr>
        <w:tab/>
        <w:t>Restrictions on communications</w:t>
      </w:r>
      <w:bookmarkEnd w:id="21"/>
    </w:p>
    <w:p w14:paraId="60724CE0" w14:textId="77777777" w:rsidR="001D4C98" w:rsidRDefault="001D4C98">
      <w:pPr>
        <w:pStyle w:val="R1"/>
      </w:pPr>
      <w:r>
        <w:tab/>
      </w:r>
      <w:r>
        <w:tab/>
        <w:t>The licensee of a fixed licence (point to multipoint station) must only operate a fixed station authorised under the licence:</w:t>
      </w:r>
    </w:p>
    <w:p w14:paraId="1BFC22DD" w14:textId="77777777" w:rsidR="001D4C98" w:rsidRDefault="001D4C98" w:rsidP="00A12886">
      <w:pPr>
        <w:pStyle w:val="P1"/>
      </w:pPr>
      <w:r>
        <w:tab/>
        <w:t>(a)</w:t>
      </w:r>
      <w:r>
        <w:tab/>
        <w:t>to communicate with other stations to which the licence relates; or</w:t>
      </w:r>
    </w:p>
    <w:p w14:paraId="32D24AEF" w14:textId="77777777" w:rsidR="001D4C98" w:rsidRDefault="001D4C98" w:rsidP="00A12886">
      <w:pPr>
        <w:pStyle w:val="P1"/>
      </w:pPr>
      <w:r>
        <w:tab/>
        <w:t>(b)</w:t>
      </w:r>
      <w:r>
        <w:tab/>
        <w:t>if no other satisfactory means of communication is available, to transmit or receive messages in relation to distress or emergency situations.</w:t>
      </w:r>
    </w:p>
    <w:p w14:paraId="489173B6" w14:textId="77777777" w:rsidR="001D4C98" w:rsidRPr="00115F31" w:rsidRDefault="001D4C98" w:rsidP="00115F31">
      <w:pPr>
        <w:keepNext/>
        <w:spacing w:before="360"/>
        <w:ind w:left="993" w:hanging="993"/>
      </w:pPr>
      <w:bookmarkStart w:id="22" w:name="_Toc241303061"/>
      <w:r w:rsidRPr="008A1758">
        <w:rPr>
          <w:rStyle w:val="CharSectno"/>
          <w:rFonts w:ascii="Arial" w:hAnsi="Arial"/>
          <w:b/>
          <w:lang w:eastAsia="en-US"/>
        </w:rPr>
        <w:t>11D</w:t>
      </w:r>
      <w:r w:rsidRPr="008A1758">
        <w:rPr>
          <w:rStyle w:val="CharSectno"/>
          <w:rFonts w:ascii="Arial" w:hAnsi="Arial"/>
          <w:b/>
          <w:lang w:eastAsia="en-US"/>
        </w:rPr>
        <w:tab/>
        <w:t>Call signs</w:t>
      </w:r>
      <w:bookmarkEnd w:id="22"/>
    </w:p>
    <w:p w14:paraId="0F10F280" w14:textId="77777777" w:rsidR="001D4C98" w:rsidRDefault="001D4C98" w:rsidP="00115F31">
      <w:pPr>
        <w:pStyle w:val="R1"/>
        <w:keepNext/>
        <w:keepLines/>
      </w:pPr>
      <w:r>
        <w:tab/>
      </w:r>
      <w:r>
        <w:tab/>
        <w:t>When operating a station authorised under a fixed licence (point to multipoint station), the licensee must:</w:t>
      </w:r>
    </w:p>
    <w:p w14:paraId="1833C2C3" w14:textId="77777777" w:rsidR="001D4C98" w:rsidRDefault="001D4C98" w:rsidP="00A12886">
      <w:pPr>
        <w:pStyle w:val="P1"/>
      </w:pPr>
      <w:r>
        <w:tab/>
        <w:t>(a)</w:t>
      </w:r>
      <w:r>
        <w:tab/>
        <w:t>use:</w:t>
      </w:r>
    </w:p>
    <w:p w14:paraId="14C37767" w14:textId="77777777" w:rsidR="001D4C98" w:rsidRDefault="001D4C98" w:rsidP="00A12886">
      <w:pPr>
        <w:pStyle w:val="P2"/>
      </w:pPr>
      <w:r>
        <w:tab/>
        <w:t>(i)</w:t>
      </w:r>
      <w:r>
        <w:tab/>
        <w:t xml:space="preserve">the call sign allocated by the </w:t>
      </w:r>
      <w:r w:rsidR="00D10CB2">
        <w:t xml:space="preserve">ACMA; </w:t>
      </w:r>
      <w:r>
        <w:t>or</w:t>
      </w:r>
    </w:p>
    <w:p w14:paraId="29C8659D" w14:textId="77777777" w:rsidR="001D4C98" w:rsidRDefault="001D4C98" w:rsidP="004D327D">
      <w:pPr>
        <w:pStyle w:val="P2"/>
      </w:pPr>
      <w:r>
        <w:tab/>
        <w:t>(ii)</w:t>
      </w:r>
      <w:r>
        <w:tab/>
        <w:t>another form of identification that clearly identifies the station; and</w:t>
      </w:r>
    </w:p>
    <w:p w14:paraId="07EEFE8C" w14:textId="77777777" w:rsidR="001D6FA3" w:rsidRDefault="001D4C98" w:rsidP="002061F3">
      <w:pPr>
        <w:pStyle w:val="P1"/>
        <w:spacing w:after="60"/>
      </w:pPr>
      <w:r>
        <w:tab/>
        <w:t>(b)</w:t>
      </w:r>
      <w:r>
        <w:tab/>
        <w:t>transmit the call sign or form of identification at the start of each transmission or series of transmissions.</w:t>
      </w:r>
      <w:bookmarkStart w:id="23" w:name="_Toc241303062"/>
    </w:p>
    <w:p w14:paraId="76A7F169" w14:textId="0541ECC3" w:rsidR="0035740B" w:rsidRPr="000A566D" w:rsidRDefault="001D4C98" w:rsidP="00115F31">
      <w:pPr>
        <w:pStyle w:val="P1"/>
        <w:keepNext/>
        <w:tabs>
          <w:tab w:val="clear" w:pos="1191"/>
          <w:tab w:val="right" w:pos="1985"/>
        </w:tabs>
        <w:spacing w:before="360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Part 3B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 xml:space="preserve">onditions for 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f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ixed licences (point to multipoint</w:t>
      </w:r>
      <w:r w:rsidR="00ED4D80" w:rsidRPr="000A566D">
        <w:rPr>
          <w:rStyle w:val="CharPartText"/>
          <w:rFonts w:ascii="Arial" w:hAnsi="Arial" w:cs="Arial"/>
          <w:b/>
          <w:sz w:val="32"/>
          <w:szCs w:val="32"/>
        </w:rPr>
        <w:t xml:space="preserve"> station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 xml:space="preserve">) MF </w:t>
      </w:r>
      <w:r w:rsidR="005C6E2E">
        <w:rPr>
          <w:rStyle w:val="CharPartText"/>
          <w:rFonts w:ascii="Arial" w:hAnsi="Arial" w:cs="Arial"/>
          <w:b/>
          <w:sz w:val="32"/>
          <w:szCs w:val="32"/>
        </w:rPr>
        <w:t>or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 xml:space="preserve"> HF stations</w:t>
      </w:r>
      <w:bookmarkEnd w:id="23"/>
    </w:p>
    <w:p w14:paraId="23E53DF6" w14:textId="6FB2C116" w:rsidR="001D4C98" w:rsidRPr="00115F31" w:rsidRDefault="001D4C98" w:rsidP="00115F31">
      <w:pPr>
        <w:spacing w:before="360"/>
        <w:ind w:left="993" w:hanging="993"/>
      </w:pPr>
      <w:bookmarkStart w:id="24" w:name="_Toc241303063"/>
      <w:r w:rsidRPr="00EC47BE">
        <w:rPr>
          <w:rStyle w:val="CharSectno"/>
          <w:rFonts w:ascii="Arial" w:hAnsi="Arial"/>
          <w:b/>
          <w:lang w:eastAsia="en-US"/>
        </w:rPr>
        <w:t>11E</w:t>
      </w:r>
      <w:r w:rsidRPr="00EC47BE">
        <w:rPr>
          <w:rStyle w:val="CharSectno"/>
          <w:rFonts w:ascii="Arial" w:hAnsi="Arial"/>
          <w:b/>
          <w:lang w:eastAsia="en-US"/>
        </w:rPr>
        <w:tab/>
        <w:t>Technical performance of base stations</w:t>
      </w:r>
      <w:bookmarkEnd w:id="24"/>
      <w:r w:rsidR="00ED4D80" w:rsidRPr="00EC47BE">
        <w:rPr>
          <w:rStyle w:val="CharSectno"/>
          <w:rFonts w:ascii="Arial" w:hAnsi="Arial"/>
          <w:b/>
          <w:lang w:eastAsia="en-US"/>
        </w:rPr>
        <w:t xml:space="preserve"> </w:t>
      </w:r>
      <w:r w:rsidR="00545401" w:rsidRPr="00EC47BE">
        <w:rPr>
          <w:rStyle w:val="CharSectno"/>
          <w:rFonts w:ascii="Arial" w:hAnsi="Arial"/>
          <w:b/>
          <w:lang w:eastAsia="en-US"/>
        </w:rPr>
        <w:t xml:space="preserve">operating </w:t>
      </w:r>
      <w:r w:rsidR="00ED4D80" w:rsidRPr="00EC47BE">
        <w:rPr>
          <w:rStyle w:val="CharSectno"/>
          <w:rFonts w:ascii="Arial" w:hAnsi="Arial"/>
          <w:b/>
          <w:lang w:eastAsia="en-US"/>
        </w:rPr>
        <w:t>in the MF or HF bands</w:t>
      </w:r>
    </w:p>
    <w:p w14:paraId="2C86C0BD" w14:textId="77777777" w:rsidR="001D4C98" w:rsidRPr="00970E4F" w:rsidRDefault="001D4C98" w:rsidP="002061F3">
      <w:pPr>
        <w:pStyle w:val="R1"/>
        <w:keepNext/>
      </w:pPr>
      <w:r w:rsidRPr="00970E4F">
        <w:tab/>
      </w:r>
      <w:r w:rsidRPr="00970E4F">
        <w:rPr>
          <w:bCs/>
        </w:rPr>
        <w:t>(1)</w:t>
      </w:r>
      <w:r w:rsidRPr="00970E4F">
        <w:tab/>
        <w:t>Subsection (2) applies to a base station authorised under a fixed licence (point to multipoint station) if the station:</w:t>
      </w:r>
    </w:p>
    <w:p w14:paraId="489CD93E" w14:textId="77777777" w:rsidR="001D4C98" w:rsidRPr="00970E4F" w:rsidRDefault="001D4C98" w:rsidP="004D327D">
      <w:pPr>
        <w:pStyle w:val="P1"/>
      </w:pPr>
      <w:r w:rsidRPr="00970E4F">
        <w:tab/>
        <w:t>(a)</w:t>
      </w:r>
      <w:r w:rsidRPr="00970E4F">
        <w:tab/>
        <w:t xml:space="preserve">is operating in </w:t>
      </w:r>
      <w:r w:rsidR="00ED4D80" w:rsidRPr="00D57D37">
        <w:t>the</w:t>
      </w:r>
      <w:r w:rsidR="00ED4D80" w:rsidRPr="00970E4F">
        <w:t xml:space="preserve"> </w:t>
      </w:r>
      <w:r w:rsidRPr="00970E4F">
        <w:t>MF or HF bands; and</w:t>
      </w:r>
    </w:p>
    <w:p w14:paraId="4446FD69" w14:textId="77777777" w:rsidR="001D4C98" w:rsidRDefault="001D4C98">
      <w:pPr>
        <w:pStyle w:val="P1"/>
      </w:pPr>
      <w:r w:rsidRPr="00970E4F">
        <w:tab/>
        <w:t>(b)</w:t>
      </w:r>
      <w:r w:rsidRPr="00970E4F">
        <w:tab/>
        <w:t>is operating single sideband</w:t>
      </w:r>
      <w:r>
        <w:t xml:space="preserve"> suppressed carrier radiotelephony equipment.</w:t>
      </w:r>
    </w:p>
    <w:p w14:paraId="72746F78" w14:textId="77777777" w:rsidR="00972500" w:rsidRDefault="001D4C98" w:rsidP="00972500">
      <w:pPr>
        <w:pStyle w:val="R1"/>
      </w:pPr>
      <w:r>
        <w:tab/>
      </w:r>
      <w:r w:rsidRPr="004D327D">
        <w:rPr>
          <w:bCs/>
        </w:rPr>
        <w:t>(2)</w:t>
      </w:r>
      <w:r>
        <w:tab/>
        <w:t xml:space="preserve">The station must </w:t>
      </w:r>
      <w:r w:rsidR="00D4276F">
        <w:t xml:space="preserve">comply with the requirements of </w:t>
      </w:r>
      <w:r w:rsidR="00972500">
        <w:t>any applicable standard made under section 162 of the Act as in force at the time when:</w:t>
      </w:r>
    </w:p>
    <w:p w14:paraId="77E555FC" w14:textId="77777777" w:rsidR="00972500" w:rsidRPr="00A91B3F" w:rsidRDefault="00972500" w:rsidP="00972500">
      <w:pPr>
        <w:pStyle w:val="P1"/>
      </w:pPr>
      <w:r>
        <w:tab/>
      </w:r>
      <w:r w:rsidRPr="00A91B3F">
        <w:t>(a)</w:t>
      </w:r>
      <w:r>
        <w:tab/>
      </w:r>
      <w:r w:rsidRPr="00A91B3F">
        <w:t>if the station was manufactured in Australia — the day it was manufactured;</w:t>
      </w:r>
    </w:p>
    <w:p w14:paraId="3420AD71" w14:textId="6B63B4D0" w:rsidR="00972500" w:rsidRDefault="00972500" w:rsidP="00972500">
      <w:pPr>
        <w:pStyle w:val="P1"/>
      </w:pPr>
      <w:r>
        <w:tab/>
      </w:r>
      <w:r w:rsidRPr="00A91B3F">
        <w:t>(b)</w:t>
      </w:r>
      <w:r>
        <w:tab/>
      </w:r>
      <w:r w:rsidRPr="00A91B3F">
        <w:t xml:space="preserve">if </w:t>
      </w:r>
      <w:r w:rsidR="00C128AD">
        <w:t xml:space="preserve">the </w:t>
      </w:r>
      <w:r w:rsidRPr="00A91B3F">
        <w:t>station was manufactured overseas and imported — the day it was imported;</w:t>
      </w:r>
    </w:p>
    <w:p w14:paraId="64AA9C7E" w14:textId="77777777" w:rsidR="00972500" w:rsidRDefault="00972500" w:rsidP="00972500">
      <w:pPr>
        <w:pStyle w:val="P1"/>
      </w:pPr>
      <w:r>
        <w:tab/>
      </w:r>
      <w:r w:rsidRPr="00A91B3F">
        <w:t>(c)</w:t>
      </w:r>
      <w:r>
        <w:tab/>
      </w:r>
      <w:r w:rsidRPr="00A91B3F">
        <w:t>if the station was altered or modified in a material respect in Australia — the day it was altered or modified.</w:t>
      </w:r>
    </w:p>
    <w:p w14:paraId="2808B1A4" w14:textId="0AA3FAB2" w:rsidR="001D4C98" w:rsidRPr="00D57D37" w:rsidRDefault="001D4C98" w:rsidP="009B537E">
      <w:pPr>
        <w:pStyle w:val="HR"/>
        <w:rPr>
          <w:rStyle w:val="CharSectno"/>
        </w:rPr>
      </w:pPr>
      <w:bookmarkStart w:id="25" w:name="_Toc241303064"/>
      <w:r w:rsidRPr="0083672E">
        <w:rPr>
          <w:rStyle w:val="CharSectno"/>
        </w:rPr>
        <w:t>11F</w:t>
      </w:r>
      <w:r w:rsidRPr="00D57D37">
        <w:rPr>
          <w:rStyle w:val="CharSectno"/>
        </w:rPr>
        <w:tab/>
        <w:t>Technical performance of remote stations</w:t>
      </w:r>
      <w:bookmarkEnd w:id="25"/>
      <w:r w:rsidR="00F93906">
        <w:rPr>
          <w:rStyle w:val="CharSectno"/>
        </w:rPr>
        <w:t xml:space="preserve"> operating in the MF </w:t>
      </w:r>
      <w:r w:rsidR="005C6E2E">
        <w:rPr>
          <w:rStyle w:val="CharSectno"/>
        </w:rPr>
        <w:t>or</w:t>
      </w:r>
      <w:r w:rsidR="00F93906">
        <w:rPr>
          <w:rStyle w:val="CharSectno"/>
        </w:rPr>
        <w:t xml:space="preserve"> HF bands</w:t>
      </w:r>
    </w:p>
    <w:p w14:paraId="7093A309" w14:textId="4FD529AC" w:rsidR="00F93906" w:rsidRPr="00F93906" w:rsidRDefault="000A130F" w:rsidP="00115F31">
      <w:pPr>
        <w:pStyle w:val="R1"/>
        <w:keepNext/>
      </w:pPr>
      <w:r>
        <w:tab/>
      </w:r>
      <w:r w:rsidR="00F93906" w:rsidRPr="00F93906">
        <w:t>(1)</w:t>
      </w:r>
      <w:r>
        <w:tab/>
      </w:r>
      <w:r w:rsidR="00F93906" w:rsidRPr="00F93906">
        <w:t>Subsection (2) applies to a remote station authorised under a fixed licence (point to multipoint station) if the station:</w:t>
      </w:r>
    </w:p>
    <w:p w14:paraId="6AE294E4" w14:textId="5A04C17E" w:rsidR="00F93906" w:rsidRPr="00F93906" w:rsidRDefault="00BD6574" w:rsidP="00F93906">
      <w:pPr>
        <w:pStyle w:val="P1"/>
      </w:pPr>
      <w:r>
        <w:tab/>
      </w:r>
      <w:r w:rsidR="00F93906" w:rsidRPr="00F93906">
        <w:t>(a)</w:t>
      </w:r>
      <w:r w:rsidR="00F93906">
        <w:tab/>
      </w:r>
      <w:r w:rsidR="00F93906" w:rsidRPr="00F93906">
        <w:t>is operating in</w:t>
      </w:r>
      <w:r w:rsidR="00381179">
        <w:t xml:space="preserve"> the</w:t>
      </w:r>
      <w:r w:rsidR="00F93906" w:rsidRPr="00F93906">
        <w:t xml:space="preserve"> MF or HF bands; and</w:t>
      </w:r>
    </w:p>
    <w:p w14:paraId="1176DC27" w14:textId="5E0FA964" w:rsidR="00F93906" w:rsidRPr="00F93906" w:rsidRDefault="00BD6574" w:rsidP="00F93906">
      <w:pPr>
        <w:pStyle w:val="P1"/>
      </w:pPr>
      <w:r>
        <w:tab/>
      </w:r>
      <w:r w:rsidR="00F93906" w:rsidRPr="00F93906">
        <w:t>(b)</w:t>
      </w:r>
      <w:r w:rsidR="00F93906">
        <w:tab/>
      </w:r>
      <w:r w:rsidR="00F93906" w:rsidRPr="00F93906">
        <w:t>is operating single sideband suppressed carrier radiotelephony equipment.</w:t>
      </w:r>
    </w:p>
    <w:p w14:paraId="17E8783F" w14:textId="19E247E8" w:rsidR="00F93906" w:rsidRDefault="00BD6574" w:rsidP="00115F31">
      <w:pPr>
        <w:pStyle w:val="R1"/>
        <w:keepNext/>
      </w:pPr>
      <w:r>
        <w:tab/>
      </w:r>
      <w:r w:rsidR="00F93906" w:rsidRPr="00F93906">
        <w:t>(2)</w:t>
      </w:r>
      <w:r w:rsidR="000A130F">
        <w:tab/>
      </w:r>
      <w:r w:rsidR="00F93906" w:rsidRPr="00F93906">
        <w:t xml:space="preserve">The station must comply with the requirements of </w:t>
      </w:r>
      <w:r w:rsidR="00F93906">
        <w:t>any applicable standard made under section 162 of the Act as in force at the time when:</w:t>
      </w:r>
    </w:p>
    <w:p w14:paraId="4C59C594" w14:textId="77777777" w:rsidR="00F93906" w:rsidRPr="00A91B3F" w:rsidRDefault="00F93906" w:rsidP="00F93906">
      <w:pPr>
        <w:pStyle w:val="P1"/>
      </w:pPr>
      <w:r>
        <w:tab/>
      </w:r>
      <w:r w:rsidRPr="00A91B3F">
        <w:t>(a)</w:t>
      </w:r>
      <w:r>
        <w:tab/>
      </w:r>
      <w:r w:rsidRPr="00A91B3F">
        <w:t>if the station was manufactured in Australia — the day it was manufactured;</w:t>
      </w:r>
    </w:p>
    <w:p w14:paraId="2AFD9D8D" w14:textId="6B1C747D" w:rsidR="00F93906" w:rsidRDefault="00F93906" w:rsidP="00F93906">
      <w:pPr>
        <w:pStyle w:val="P1"/>
      </w:pPr>
      <w:r>
        <w:tab/>
      </w:r>
      <w:r w:rsidRPr="00A91B3F">
        <w:t>(b)</w:t>
      </w:r>
      <w:r>
        <w:tab/>
      </w:r>
      <w:r w:rsidRPr="00A91B3F">
        <w:t xml:space="preserve">if </w:t>
      </w:r>
      <w:r w:rsidR="00C128AD">
        <w:t xml:space="preserve">the </w:t>
      </w:r>
      <w:r w:rsidRPr="00A91B3F">
        <w:t>station was manufactured overseas and imported — the day it was imported;</w:t>
      </w:r>
    </w:p>
    <w:p w14:paraId="5E91FB72" w14:textId="77777777" w:rsidR="00F93906" w:rsidRDefault="00F93906" w:rsidP="00F93906">
      <w:pPr>
        <w:pStyle w:val="P1"/>
      </w:pPr>
      <w:r>
        <w:tab/>
      </w:r>
      <w:r w:rsidRPr="00A91B3F">
        <w:t>(c)</w:t>
      </w:r>
      <w:r>
        <w:tab/>
      </w:r>
      <w:r w:rsidRPr="00A91B3F">
        <w:t>if the station was altered or modified in a material respect in Australia — the day it was altered or modified.</w:t>
      </w:r>
    </w:p>
    <w:p w14:paraId="24EB5054" w14:textId="10511A70" w:rsidR="001D4C98" w:rsidRPr="00D57D37" w:rsidRDefault="001D4C98" w:rsidP="002133E3">
      <w:pPr>
        <w:pStyle w:val="HR"/>
        <w:rPr>
          <w:rStyle w:val="CharSectno"/>
        </w:rPr>
      </w:pPr>
      <w:bookmarkStart w:id="26" w:name="_Toc241303065"/>
      <w:r w:rsidRPr="0083672E">
        <w:rPr>
          <w:rStyle w:val="CharSectno"/>
        </w:rPr>
        <w:t>11G</w:t>
      </w:r>
      <w:r w:rsidRPr="00D57D37">
        <w:rPr>
          <w:rStyle w:val="CharSectno"/>
        </w:rPr>
        <w:tab/>
        <w:t>Transmitter output power for remote stations</w:t>
      </w:r>
      <w:bookmarkEnd w:id="26"/>
      <w:r w:rsidR="00545401" w:rsidRPr="00D57D37">
        <w:rPr>
          <w:rStyle w:val="CharSectno"/>
        </w:rPr>
        <w:t xml:space="preserve"> </w:t>
      </w:r>
      <w:r w:rsidR="00F93906">
        <w:rPr>
          <w:rStyle w:val="CharSectno"/>
        </w:rPr>
        <w:t>operating in the MF or HF bands</w:t>
      </w:r>
    </w:p>
    <w:p w14:paraId="72756993" w14:textId="77777777" w:rsidR="001D4C98" w:rsidRDefault="001D4C98" w:rsidP="004D327D">
      <w:pPr>
        <w:pStyle w:val="R1"/>
      </w:pPr>
      <w:r>
        <w:tab/>
      </w:r>
      <w:r w:rsidRPr="004D327D">
        <w:rPr>
          <w:bCs/>
        </w:rPr>
        <w:t>(1)</w:t>
      </w:r>
      <w:r>
        <w:tab/>
        <w:t>Subsection (2) applies to a remote station authorised under a fixed licence (point to multipoint station) if the station:</w:t>
      </w:r>
    </w:p>
    <w:p w14:paraId="1D601C0C" w14:textId="77777777" w:rsidR="001D4C98" w:rsidRDefault="001D4C98" w:rsidP="006B5BA9">
      <w:pPr>
        <w:pStyle w:val="P1"/>
      </w:pPr>
      <w:r>
        <w:tab/>
        <w:t>(a)</w:t>
      </w:r>
      <w:r>
        <w:tab/>
        <w:t xml:space="preserve">is operating </w:t>
      </w:r>
      <w:r w:rsidRPr="001A0706">
        <w:t xml:space="preserve">in </w:t>
      </w:r>
      <w:r w:rsidR="00F93906">
        <w:t xml:space="preserve">the </w:t>
      </w:r>
      <w:r w:rsidRPr="001A0706">
        <w:t>MF or</w:t>
      </w:r>
      <w:r>
        <w:t xml:space="preserve"> HF bands; and</w:t>
      </w:r>
    </w:p>
    <w:p w14:paraId="0B20C4B7" w14:textId="77777777" w:rsidR="001D4C98" w:rsidRDefault="001D4C98">
      <w:pPr>
        <w:pStyle w:val="P1"/>
      </w:pPr>
      <w:r>
        <w:tab/>
        <w:t>(b)</w:t>
      </w:r>
      <w:r>
        <w:tab/>
        <w:t>is operating single sideband suppressed carrier radiotelephony equipment.</w:t>
      </w:r>
    </w:p>
    <w:p w14:paraId="0327577B" w14:textId="77777777" w:rsidR="00196F63" w:rsidRDefault="001D4C98" w:rsidP="005B1CE2">
      <w:pPr>
        <w:pStyle w:val="R2"/>
        <w:spacing w:before="120"/>
      </w:pPr>
      <w:r>
        <w:tab/>
      </w:r>
      <w:r w:rsidRPr="004D327D">
        <w:rPr>
          <w:bCs/>
        </w:rPr>
        <w:t>(2)</w:t>
      </w:r>
      <w:r>
        <w:tab/>
        <w:t>The station must not be operated using transmitter output power of more than 100 watts pX.</w:t>
      </w:r>
    </w:p>
    <w:p w14:paraId="1753C99A" w14:textId="5FA182E7" w:rsidR="001D4C98" w:rsidRPr="00D57D37" w:rsidRDefault="001D4C98" w:rsidP="00D57D37">
      <w:pPr>
        <w:pStyle w:val="HR"/>
        <w:rPr>
          <w:rStyle w:val="CharSectno"/>
        </w:rPr>
      </w:pPr>
      <w:bookmarkStart w:id="27" w:name="_Toc241303066"/>
      <w:r w:rsidRPr="0083672E">
        <w:rPr>
          <w:rStyle w:val="CharSectno"/>
        </w:rPr>
        <w:t>11H</w:t>
      </w:r>
      <w:r w:rsidRPr="00D57D37">
        <w:rPr>
          <w:rStyle w:val="CharSectno"/>
        </w:rPr>
        <w:tab/>
        <w:t>Additional conditions for remote stations</w:t>
      </w:r>
      <w:bookmarkEnd w:id="27"/>
      <w:r w:rsidR="00545401" w:rsidRPr="00D57D37">
        <w:rPr>
          <w:rStyle w:val="CharSectno"/>
        </w:rPr>
        <w:t xml:space="preserve"> operating in</w:t>
      </w:r>
      <w:r w:rsidR="00D27629">
        <w:rPr>
          <w:rStyle w:val="CharSectno"/>
        </w:rPr>
        <w:t xml:space="preserve"> the </w:t>
      </w:r>
      <w:r w:rsidR="00545401" w:rsidRPr="00D57D37">
        <w:rPr>
          <w:rStyle w:val="CharSectno"/>
        </w:rPr>
        <w:t>MF or HF bands</w:t>
      </w:r>
    </w:p>
    <w:p w14:paraId="0469CA1B" w14:textId="77777777" w:rsidR="001D4C98" w:rsidRDefault="001D4C98" w:rsidP="007D1D28">
      <w:pPr>
        <w:pStyle w:val="R1"/>
        <w:keepNext/>
        <w:keepLines/>
      </w:pPr>
      <w:r>
        <w:rPr>
          <w:b/>
        </w:rPr>
        <w:tab/>
      </w:r>
      <w:r w:rsidRPr="004D327D">
        <w:rPr>
          <w:bCs/>
        </w:rPr>
        <w:t>(1)</w:t>
      </w:r>
      <w:r>
        <w:tab/>
        <w:t>Subsection (2) applies to a remote station authorised under a fixed licence (point to multipoint station) if the station:</w:t>
      </w:r>
    </w:p>
    <w:p w14:paraId="697B17EB" w14:textId="77777777" w:rsidR="001D4C98" w:rsidRDefault="001D4C98" w:rsidP="007D1D28">
      <w:pPr>
        <w:pStyle w:val="P1"/>
        <w:keepNext/>
        <w:keepLines/>
      </w:pPr>
      <w:r>
        <w:tab/>
        <w:t>(a)</w:t>
      </w:r>
      <w:r>
        <w:tab/>
        <w:t xml:space="preserve">is </w:t>
      </w:r>
      <w:r w:rsidRPr="001A0706">
        <w:t xml:space="preserve">operating in </w:t>
      </w:r>
      <w:r w:rsidR="00545401" w:rsidRPr="00D57D37">
        <w:t>the</w:t>
      </w:r>
      <w:r w:rsidR="00545401" w:rsidRPr="001A0706">
        <w:t xml:space="preserve"> </w:t>
      </w:r>
      <w:r w:rsidRPr="001A0706">
        <w:t>MF</w:t>
      </w:r>
      <w:r>
        <w:t xml:space="preserve"> or HF bands; and</w:t>
      </w:r>
    </w:p>
    <w:p w14:paraId="3B70869E" w14:textId="64FB120C" w:rsidR="00810F3B" w:rsidRDefault="001D4C98" w:rsidP="00115F31">
      <w:pPr>
        <w:pStyle w:val="P1"/>
        <w:keepNext/>
        <w:keepLines/>
      </w:pPr>
      <w:r>
        <w:tab/>
        <w:t>(b)</w:t>
      </w:r>
      <w:r>
        <w:tab/>
        <w:t>is operating single sideband suppressed carrier radiotelephony equipment.</w:t>
      </w:r>
    </w:p>
    <w:p w14:paraId="7929DFDB" w14:textId="1A22688D" w:rsidR="001D4C98" w:rsidRDefault="00810F3B" w:rsidP="007D1D28">
      <w:pPr>
        <w:pStyle w:val="R2"/>
      </w:pPr>
      <w:r>
        <w:tab/>
      </w:r>
      <w:r w:rsidR="001D4C98" w:rsidRPr="004D327D">
        <w:rPr>
          <w:bCs/>
        </w:rPr>
        <w:t>(2)</w:t>
      </w:r>
      <w:r w:rsidR="001D4C98">
        <w:tab/>
        <w:t>The station must not be operated:</w:t>
      </w:r>
    </w:p>
    <w:p w14:paraId="567DC0AE" w14:textId="0EF03DEA" w:rsidR="001D4C98" w:rsidRDefault="001D4C98" w:rsidP="007D1D28">
      <w:pPr>
        <w:pStyle w:val="P1"/>
      </w:pPr>
      <w:r>
        <w:tab/>
        <w:t>(a)</w:t>
      </w:r>
      <w:r>
        <w:tab/>
        <w:t xml:space="preserve">if </w:t>
      </w:r>
      <w:r w:rsidR="00E5521E">
        <w:t xml:space="preserve">its </w:t>
      </w:r>
      <w:r>
        <w:t>operation cause</w:t>
      </w:r>
      <w:r w:rsidR="00E5521E">
        <w:t>s</w:t>
      </w:r>
      <w:r>
        <w:t xml:space="preserve"> harmful interference to a service provided by another station; or</w:t>
      </w:r>
    </w:p>
    <w:p w14:paraId="3155B13F" w14:textId="77777777" w:rsidR="001D6FA3" w:rsidRDefault="001D4C98" w:rsidP="001D6FA3">
      <w:pPr>
        <w:pStyle w:val="P1"/>
      </w:pPr>
      <w:r>
        <w:tab/>
        <w:t>(b)</w:t>
      </w:r>
      <w:r>
        <w:tab/>
        <w:t>to transmit to the base station unless it uses a frequency specified in the licence for the base station.</w:t>
      </w:r>
      <w:bookmarkStart w:id="28" w:name="_Toc241303067"/>
    </w:p>
    <w:p w14:paraId="3F7D9627" w14:textId="77777777" w:rsidR="001D6FA3" w:rsidRDefault="001D6FA3" w:rsidP="001D6FA3">
      <w:pPr>
        <w:pStyle w:val="P1"/>
      </w:pPr>
    </w:p>
    <w:p w14:paraId="4FF62EF5" w14:textId="71484635" w:rsidR="001D4C98" w:rsidRPr="000A566D" w:rsidRDefault="001D4C98" w:rsidP="001D6FA3">
      <w:pPr>
        <w:pStyle w:val="P1"/>
        <w:tabs>
          <w:tab w:val="clear" w:pos="1191"/>
          <w:tab w:val="right" w:pos="1843"/>
        </w:tabs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Part 3C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 xml:space="preserve">onditions for 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f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ixed licences (point to multipoint</w:t>
      </w:r>
      <w:r w:rsidR="00606089" w:rsidRPr="000A566D">
        <w:rPr>
          <w:rStyle w:val="CharPartText"/>
          <w:rFonts w:ascii="Arial" w:hAnsi="Arial" w:cs="Arial"/>
          <w:b/>
          <w:sz w:val="32"/>
          <w:szCs w:val="32"/>
        </w:rPr>
        <w:t xml:space="preserve"> station</w:t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) VHF stations</w:t>
      </w:r>
      <w:bookmarkEnd w:id="28"/>
    </w:p>
    <w:p w14:paraId="32745036" w14:textId="4B2AC881" w:rsidR="001D4C98" w:rsidRPr="00D57D37" w:rsidRDefault="001D4C98">
      <w:pPr>
        <w:pStyle w:val="HR"/>
        <w:rPr>
          <w:rStyle w:val="CharSectno"/>
        </w:rPr>
      </w:pPr>
      <w:bookmarkStart w:id="29" w:name="_Toc241303068"/>
      <w:r w:rsidRPr="00E81C6A">
        <w:rPr>
          <w:rStyle w:val="CharSectno"/>
        </w:rPr>
        <w:t>11I</w:t>
      </w:r>
      <w:r w:rsidRPr="00D57D37">
        <w:rPr>
          <w:rStyle w:val="CharSectno"/>
        </w:rPr>
        <w:tab/>
        <w:t>Technical performance for base stations</w:t>
      </w:r>
      <w:bookmarkEnd w:id="29"/>
      <w:r w:rsidR="00606089" w:rsidRPr="00D57D37">
        <w:rPr>
          <w:rStyle w:val="CharSectno"/>
        </w:rPr>
        <w:t xml:space="preserve"> operating in the VHF band</w:t>
      </w:r>
      <w:r w:rsidR="00A9429E" w:rsidRPr="00D57D37">
        <w:rPr>
          <w:rStyle w:val="CharSectno"/>
        </w:rPr>
        <w:t>s</w:t>
      </w:r>
    </w:p>
    <w:p w14:paraId="3335EDFA" w14:textId="77777777" w:rsidR="001D4C98" w:rsidRDefault="001D4C98">
      <w:pPr>
        <w:pStyle w:val="R1"/>
      </w:pPr>
      <w:r>
        <w:tab/>
      </w:r>
      <w:r w:rsidRPr="004D327D">
        <w:rPr>
          <w:bCs/>
        </w:rPr>
        <w:t>(1)</w:t>
      </w:r>
      <w:r>
        <w:tab/>
        <w:t>Subsection (2) applies to a base station authorised under a fixed licence (point to multipoint station) if the station:</w:t>
      </w:r>
    </w:p>
    <w:p w14:paraId="36F758CD" w14:textId="77777777" w:rsidR="001D4C98" w:rsidRDefault="001D4C98" w:rsidP="004D327D">
      <w:pPr>
        <w:pStyle w:val="P1"/>
      </w:pPr>
      <w:r>
        <w:tab/>
        <w:t>(a)</w:t>
      </w:r>
      <w:r>
        <w:tab/>
        <w:t xml:space="preserve">is </w:t>
      </w:r>
      <w:r w:rsidRPr="00E81C6A">
        <w:t xml:space="preserve">operating in </w:t>
      </w:r>
      <w:r w:rsidR="00606089" w:rsidRPr="00D57D37">
        <w:t>the</w:t>
      </w:r>
      <w:r w:rsidR="00606089" w:rsidRPr="00E81C6A">
        <w:t xml:space="preserve"> </w:t>
      </w:r>
      <w:r w:rsidRPr="00E81C6A">
        <w:t>VHF</w:t>
      </w:r>
      <w:r>
        <w:t xml:space="preserve"> bands; and</w:t>
      </w:r>
    </w:p>
    <w:p w14:paraId="4A16872A" w14:textId="77777777" w:rsidR="001D4C98" w:rsidRDefault="001D4C98" w:rsidP="004D327D">
      <w:pPr>
        <w:pStyle w:val="P1"/>
      </w:pPr>
      <w:r>
        <w:tab/>
        <w:t>(b)</w:t>
      </w:r>
      <w:r>
        <w:tab/>
        <w:t>is operating VHF radiotelephony equipment.</w:t>
      </w:r>
    </w:p>
    <w:p w14:paraId="5D4C362A" w14:textId="77777777" w:rsidR="00D27629" w:rsidRDefault="001D4C98" w:rsidP="00D27629">
      <w:pPr>
        <w:pStyle w:val="R1"/>
      </w:pPr>
      <w:r>
        <w:tab/>
      </w:r>
      <w:r w:rsidRPr="004D327D">
        <w:rPr>
          <w:bCs/>
        </w:rPr>
        <w:t>(2)</w:t>
      </w:r>
      <w:r>
        <w:tab/>
        <w:t xml:space="preserve">The station must </w:t>
      </w:r>
      <w:r w:rsidR="00D4276F">
        <w:t xml:space="preserve">comply with the requirements of </w:t>
      </w:r>
      <w:r w:rsidR="00D27629">
        <w:t>any applicable standard made under section 162 of the Act as in force at the time when:</w:t>
      </w:r>
    </w:p>
    <w:p w14:paraId="4FC6D647" w14:textId="77777777" w:rsidR="00D27629" w:rsidRPr="00A91B3F" w:rsidRDefault="00D27629" w:rsidP="00D27629">
      <w:pPr>
        <w:pStyle w:val="P1"/>
      </w:pPr>
      <w:r>
        <w:tab/>
      </w:r>
      <w:r w:rsidRPr="00A91B3F">
        <w:t>(a)</w:t>
      </w:r>
      <w:r>
        <w:tab/>
      </w:r>
      <w:r w:rsidRPr="00A91B3F">
        <w:t>if the station was manufactured in Australia — the day it was manufactured;</w:t>
      </w:r>
    </w:p>
    <w:p w14:paraId="1A1746A6" w14:textId="3DADD306" w:rsidR="00D27629" w:rsidRDefault="00D27629" w:rsidP="00D27629">
      <w:pPr>
        <w:pStyle w:val="P1"/>
      </w:pPr>
      <w:r>
        <w:tab/>
      </w:r>
      <w:r w:rsidRPr="00A91B3F">
        <w:t>(b)</w:t>
      </w:r>
      <w:r>
        <w:tab/>
      </w:r>
      <w:r w:rsidRPr="00A91B3F">
        <w:t xml:space="preserve">if </w:t>
      </w:r>
      <w:r w:rsidR="00C128AD">
        <w:t xml:space="preserve">the </w:t>
      </w:r>
      <w:r w:rsidRPr="00A91B3F">
        <w:t>station was manufactured overseas and imported — the day it was imported;</w:t>
      </w:r>
    </w:p>
    <w:p w14:paraId="22900393" w14:textId="21FB59E3" w:rsidR="00D4276F" w:rsidRDefault="00D27629" w:rsidP="00D27629">
      <w:pPr>
        <w:pStyle w:val="P1"/>
      </w:pPr>
      <w:r>
        <w:tab/>
      </w:r>
      <w:r w:rsidRPr="00A91B3F">
        <w:t>(c)</w:t>
      </w:r>
      <w:r>
        <w:tab/>
      </w:r>
      <w:r w:rsidRPr="00A91B3F">
        <w:t>if the station was altered or modified in a material respect in Australia — the day it was altered or modified</w:t>
      </w:r>
      <w:r w:rsidR="00D4276F" w:rsidRPr="00A91B3F">
        <w:t>.</w:t>
      </w:r>
    </w:p>
    <w:p w14:paraId="09E5D747" w14:textId="42B4213F" w:rsidR="001D4C98" w:rsidRPr="00115F31" w:rsidRDefault="001D4C98" w:rsidP="00115F31">
      <w:pPr>
        <w:keepNext/>
        <w:spacing w:before="360"/>
      </w:pPr>
      <w:bookmarkStart w:id="30" w:name="_Toc241303069"/>
      <w:r w:rsidRPr="00F9002B">
        <w:rPr>
          <w:rStyle w:val="CharSectno"/>
          <w:rFonts w:ascii="Arial" w:hAnsi="Arial"/>
          <w:b/>
          <w:lang w:eastAsia="en-US"/>
        </w:rPr>
        <w:t>11J</w:t>
      </w:r>
      <w:r w:rsidRPr="00F9002B">
        <w:rPr>
          <w:rStyle w:val="CharSectno"/>
          <w:rFonts w:ascii="Arial" w:hAnsi="Arial"/>
          <w:b/>
          <w:lang w:eastAsia="en-US"/>
        </w:rPr>
        <w:tab/>
      </w:r>
      <w:r w:rsidR="00A9429E" w:rsidRPr="00F9002B">
        <w:rPr>
          <w:rStyle w:val="CharSectno"/>
          <w:rFonts w:ascii="Arial" w:hAnsi="Arial"/>
          <w:b/>
          <w:lang w:eastAsia="en-US"/>
        </w:rPr>
        <w:t>S</w:t>
      </w:r>
      <w:r w:rsidRPr="00F9002B">
        <w:rPr>
          <w:rStyle w:val="CharSectno"/>
          <w:rFonts w:ascii="Arial" w:hAnsi="Arial"/>
          <w:b/>
          <w:lang w:eastAsia="en-US"/>
        </w:rPr>
        <w:t>upplementary base stations</w:t>
      </w:r>
      <w:bookmarkEnd w:id="30"/>
      <w:r w:rsidR="00A9429E" w:rsidRPr="00F9002B">
        <w:rPr>
          <w:rStyle w:val="CharSectno"/>
          <w:rFonts w:ascii="Arial" w:hAnsi="Arial"/>
          <w:b/>
          <w:lang w:eastAsia="en-US"/>
        </w:rPr>
        <w:t xml:space="preserve"> operating in the VHF bands</w:t>
      </w:r>
    </w:p>
    <w:p w14:paraId="51806D19" w14:textId="77777777" w:rsidR="001D4C98" w:rsidRDefault="001D4C98">
      <w:pPr>
        <w:pStyle w:val="R1"/>
      </w:pPr>
      <w:r>
        <w:tab/>
      </w:r>
      <w:r w:rsidRPr="004D327D">
        <w:rPr>
          <w:bCs/>
        </w:rPr>
        <w:t>(1)</w:t>
      </w:r>
      <w:r>
        <w:tab/>
        <w:t>Subsection (2) applies to a supplementary base station authorised under a fixed licence (point to multipoint station) if the station:</w:t>
      </w:r>
    </w:p>
    <w:p w14:paraId="46E63BA9" w14:textId="77777777" w:rsidR="001D4C98" w:rsidRDefault="001D4C98">
      <w:pPr>
        <w:pStyle w:val="P1"/>
      </w:pPr>
      <w:r>
        <w:tab/>
        <w:t>(a)</w:t>
      </w:r>
      <w:r>
        <w:tab/>
        <w:t xml:space="preserve">is </w:t>
      </w:r>
      <w:r w:rsidRPr="00276B29">
        <w:t>operating in</w:t>
      </w:r>
      <w:r w:rsidR="00A9429E" w:rsidRPr="00D47240">
        <w:t xml:space="preserve"> </w:t>
      </w:r>
      <w:r w:rsidR="00A9429E" w:rsidRPr="00D57D37">
        <w:t>the</w:t>
      </w:r>
      <w:r w:rsidRPr="00276B29">
        <w:t xml:space="preserve"> VHF</w:t>
      </w:r>
      <w:r>
        <w:t xml:space="preserve"> bands; and</w:t>
      </w:r>
    </w:p>
    <w:p w14:paraId="098BAB99" w14:textId="77777777" w:rsidR="001D4C98" w:rsidRDefault="001D4C98">
      <w:pPr>
        <w:pStyle w:val="P1"/>
      </w:pPr>
      <w:r>
        <w:tab/>
        <w:t>(b)</w:t>
      </w:r>
      <w:r>
        <w:tab/>
        <w:t>is operating VHF radiotelephony equipment.</w:t>
      </w:r>
    </w:p>
    <w:p w14:paraId="4E42C0F5" w14:textId="77777777" w:rsidR="001D4C98" w:rsidRDefault="001D4C98">
      <w:pPr>
        <w:pStyle w:val="R2"/>
      </w:pPr>
      <w:r>
        <w:tab/>
      </w:r>
      <w:r w:rsidRPr="004D327D">
        <w:rPr>
          <w:bCs/>
        </w:rPr>
        <w:t>(2)</w:t>
      </w:r>
      <w:r>
        <w:tab/>
        <w:t>The station must not be operated:</w:t>
      </w:r>
    </w:p>
    <w:p w14:paraId="71F14F91" w14:textId="401C59B4" w:rsidR="001D4C98" w:rsidRDefault="001D4C98">
      <w:pPr>
        <w:pStyle w:val="P1"/>
      </w:pPr>
      <w:r>
        <w:tab/>
        <w:t>(a)</w:t>
      </w:r>
      <w:r>
        <w:tab/>
        <w:t xml:space="preserve">if </w:t>
      </w:r>
      <w:r w:rsidR="00E5521E">
        <w:t xml:space="preserve">its </w:t>
      </w:r>
      <w:r>
        <w:t xml:space="preserve">operation </w:t>
      </w:r>
      <w:r w:rsidR="00A055BE">
        <w:t>causes</w:t>
      </w:r>
      <w:r>
        <w:t xml:space="preserve"> harmful interference to </w:t>
      </w:r>
      <w:r w:rsidR="00EE585B">
        <w:t>a</w:t>
      </w:r>
      <w:r>
        <w:t xml:space="preserve"> service provided by another station;</w:t>
      </w:r>
      <w:r w:rsidR="00EE585B">
        <w:t xml:space="preserve"> </w:t>
      </w:r>
      <w:r w:rsidR="00E5521E">
        <w:t>and</w:t>
      </w:r>
    </w:p>
    <w:p w14:paraId="51866257" w14:textId="72C5897D" w:rsidR="001D4C98" w:rsidRDefault="001D4C98">
      <w:pPr>
        <w:pStyle w:val="P1"/>
      </w:pPr>
      <w:r>
        <w:tab/>
        <w:t>(b)</w:t>
      </w:r>
      <w:r>
        <w:tab/>
        <w:t>unless it uses a frequency specified in the licence f</w:t>
      </w:r>
      <w:r w:rsidR="00561D1A">
        <w:t>or</w:t>
      </w:r>
      <w:r>
        <w:t xml:space="preserve"> the base station; </w:t>
      </w:r>
      <w:r w:rsidR="00E5521E">
        <w:t>and</w:t>
      </w:r>
    </w:p>
    <w:p w14:paraId="2B777667" w14:textId="77777777" w:rsidR="001D4C98" w:rsidRDefault="001D4C98">
      <w:pPr>
        <w:pStyle w:val="P1"/>
      </w:pPr>
      <w:r>
        <w:tab/>
        <w:t>(c)</w:t>
      </w:r>
      <w:r>
        <w:tab/>
        <w:t>unless it is used to overcome a deficiency within the coverage area of the base station.</w:t>
      </w:r>
    </w:p>
    <w:p w14:paraId="21061C3F" w14:textId="69CBAA56" w:rsidR="001D4C98" w:rsidRPr="00D57D37" w:rsidRDefault="001D4C98">
      <w:pPr>
        <w:pStyle w:val="HR"/>
        <w:rPr>
          <w:rStyle w:val="CharSectno"/>
        </w:rPr>
      </w:pPr>
      <w:bookmarkStart w:id="31" w:name="_Toc241303070"/>
      <w:r w:rsidRPr="0083672E">
        <w:rPr>
          <w:rStyle w:val="CharSectno"/>
        </w:rPr>
        <w:t>11K</w:t>
      </w:r>
      <w:r w:rsidRPr="00D57D37">
        <w:rPr>
          <w:rStyle w:val="CharSectno"/>
        </w:rPr>
        <w:tab/>
        <w:t>Additional conditions for remote stations</w:t>
      </w:r>
      <w:bookmarkEnd w:id="31"/>
      <w:r w:rsidR="00A9429E" w:rsidRPr="00D57D37">
        <w:rPr>
          <w:rStyle w:val="CharSectno"/>
        </w:rPr>
        <w:t xml:space="preserve"> operating in the VHF bands</w:t>
      </w:r>
    </w:p>
    <w:p w14:paraId="027653AA" w14:textId="77777777" w:rsidR="001D4C98" w:rsidRDefault="001D4C98">
      <w:pPr>
        <w:pStyle w:val="R1"/>
      </w:pPr>
      <w:r>
        <w:tab/>
      </w:r>
      <w:r w:rsidRPr="004D327D">
        <w:rPr>
          <w:bCs/>
        </w:rPr>
        <w:t>(1)</w:t>
      </w:r>
      <w:r>
        <w:tab/>
        <w:t>Subsections (2) and (3) apply to a remote station authorised under a fixed licence (point to multipoint station) if the station:</w:t>
      </w:r>
    </w:p>
    <w:p w14:paraId="10744BC5" w14:textId="77777777" w:rsidR="001D4C98" w:rsidRDefault="001D4C98">
      <w:pPr>
        <w:pStyle w:val="P1"/>
      </w:pPr>
      <w:r>
        <w:tab/>
        <w:t>(a)</w:t>
      </w:r>
      <w:r>
        <w:tab/>
        <w:t xml:space="preserve">is operating </w:t>
      </w:r>
      <w:r w:rsidRPr="00D47240">
        <w:t xml:space="preserve">in </w:t>
      </w:r>
      <w:r w:rsidR="00B51908" w:rsidRPr="00D57D37">
        <w:t>the</w:t>
      </w:r>
      <w:r w:rsidR="00B51908" w:rsidRPr="00D47240">
        <w:t xml:space="preserve"> </w:t>
      </w:r>
      <w:r w:rsidRPr="00D47240">
        <w:t>VHF</w:t>
      </w:r>
      <w:r>
        <w:t xml:space="preserve"> bands; and</w:t>
      </w:r>
    </w:p>
    <w:p w14:paraId="588B8215" w14:textId="77777777" w:rsidR="001D4C98" w:rsidRDefault="001D4C98">
      <w:pPr>
        <w:pStyle w:val="P1"/>
      </w:pPr>
      <w:r>
        <w:tab/>
        <w:t>(b)</w:t>
      </w:r>
      <w:r>
        <w:tab/>
        <w:t>is operating VHF radiotelephony equipment.</w:t>
      </w:r>
    </w:p>
    <w:p w14:paraId="7B0A5557" w14:textId="1F387B85" w:rsidR="001D4C98" w:rsidRDefault="001D4C98">
      <w:pPr>
        <w:pStyle w:val="R2"/>
      </w:pPr>
      <w:r>
        <w:tab/>
      </w:r>
      <w:r w:rsidRPr="004D327D">
        <w:rPr>
          <w:bCs/>
        </w:rPr>
        <w:t>(2)</w:t>
      </w:r>
      <w:r>
        <w:tab/>
        <w:t xml:space="preserve">The station must not be operated if its operation </w:t>
      </w:r>
      <w:r w:rsidR="00A055BE">
        <w:t>causes</w:t>
      </w:r>
      <w:r>
        <w:t xml:space="preserve"> harmful interference to a service provided by another station.</w:t>
      </w:r>
    </w:p>
    <w:p w14:paraId="5678D228" w14:textId="77777777" w:rsidR="001D4C98" w:rsidRDefault="001D4C98">
      <w:pPr>
        <w:pStyle w:val="R2"/>
      </w:pPr>
      <w:r>
        <w:tab/>
      </w:r>
      <w:r w:rsidRPr="004D327D">
        <w:rPr>
          <w:bCs/>
        </w:rPr>
        <w:t>(3)</w:t>
      </w:r>
      <w:r>
        <w:tab/>
        <w:t>The station must not transmit to a base station or supplementary base station (if any) unless the transmission uses a frequency specified in the licence for the base station.</w:t>
      </w:r>
    </w:p>
    <w:p w14:paraId="74232391" w14:textId="634D674C" w:rsidR="001D4C98" w:rsidRPr="00D57D37" w:rsidRDefault="001D4C98">
      <w:pPr>
        <w:pStyle w:val="HR"/>
        <w:rPr>
          <w:rStyle w:val="CharSectno"/>
        </w:rPr>
      </w:pPr>
      <w:bookmarkStart w:id="32" w:name="_Toc241303071"/>
      <w:r w:rsidRPr="0083672E">
        <w:rPr>
          <w:rStyle w:val="CharSectno"/>
        </w:rPr>
        <w:t>11L</w:t>
      </w:r>
      <w:r w:rsidRPr="00D57D37">
        <w:rPr>
          <w:rStyle w:val="CharSectno"/>
        </w:rPr>
        <w:tab/>
      </w:r>
      <w:r w:rsidR="00B51908" w:rsidRPr="00D57D37">
        <w:rPr>
          <w:rStyle w:val="CharSectno"/>
        </w:rPr>
        <w:t>R</w:t>
      </w:r>
      <w:r w:rsidRPr="00D57D37">
        <w:rPr>
          <w:rStyle w:val="CharSectno"/>
        </w:rPr>
        <w:t>emote control stations</w:t>
      </w:r>
      <w:bookmarkEnd w:id="32"/>
      <w:r w:rsidR="00B51908" w:rsidRPr="00D57D37">
        <w:rPr>
          <w:rStyle w:val="CharSectno"/>
        </w:rPr>
        <w:t xml:space="preserve"> operating in the VHF bands</w:t>
      </w:r>
    </w:p>
    <w:p w14:paraId="0318661E" w14:textId="77777777" w:rsidR="001D4C98" w:rsidRDefault="001D4C98">
      <w:pPr>
        <w:pStyle w:val="R1"/>
      </w:pPr>
      <w:r>
        <w:tab/>
      </w:r>
      <w:r w:rsidRPr="004D327D">
        <w:rPr>
          <w:bCs/>
        </w:rPr>
        <w:t>(1)</w:t>
      </w:r>
      <w:r>
        <w:tab/>
        <w:t>Subsections (2) and (3) apply to a remote control station authorised under a fixed licence (point to multipoint station) if the station:</w:t>
      </w:r>
    </w:p>
    <w:p w14:paraId="5A124ADD" w14:textId="77777777" w:rsidR="001D4C98" w:rsidRDefault="001D4C98">
      <w:pPr>
        <w:pStyle w:val="P1"/>
      </w:pPr>
      <w:r>
        <w:tab/>
        <w:t>(a)</w:t>
      </w:r>
      <w:r>
        <w:tab/>
        <w:t xml:space="preserve">is </w:t>
      </w:r>
      <w:r w:rsidRPr="00D47240">
        <w:t>operating in</w:t>
      </w:r>
      <w:r w:rsidR="00B51908" w:rsidRPr="00D47240">
        <w:t xml:space="preserve"> </w:t>
      </w:r>
      <w:r w:rsidR="00B51908" w:rsidRPr="00D57D37">
        <w:t>the</w:t>
      </w:r>
      <w:r w:rsidRPr="00D47240">
        <w:t xml:space="preserve"> VHF</w:t>
      </w:r>
      <w:r>
        <w:t xml:space="preserve"> bands; and</w:t>
      </w:r>
    </w:p>
    <w:p w14:paraId="0ACEE272" w14:textId="77777777" w:rsidR="001D4C98" w:rsidRDefault="001D4C98">
      <w:pPr>
        <w:pStyle w:val="P1"/>
      </w:pPr>
      <w:r>
        <w:tab/>
        <w:t>(b)</w:t>
      </w:r>
      <w:r>
        <w:tab/>
        <w:t>is operating VHF radiotelephony equipment.</w:t>
      </w:r>
    </w:p>
    <w:p w14:paraId="3DD1F7F2" w14:textId="77777777" w:rsidR="001D4C98" w:rsidRDefault="001D4C98">
      <w:pPr>
        <w:pStyle w:val="R2"/>
      </w:pPr>
      <w:r>
        <w:tab/>
      </w:r>
      <w:r w:rsidRPr="004D327D">
        <w:rPr>
          <w:bCs/>
        </w:rPr>
        <w:t>(2)</w:t>
      </w:r>
      <w:r>
        <w:tab/>
        <w:t>The station must not be operated:</w:t>
      </w:r>
    </w:p>
    <w:p w14:paraId="3B21D229" w14:textId="1273E72A" w:rsidR="001D4C98" w:rsidRDefault="001D4C98">
      <w:pPr>
        <w:pStyle w:val="P1"/>
      </w:pPr>
      <w:r>
        <w:tab/>
        <w:t>(a)</w:t>
      </w:r>
      <w:r>
        <w:tab/>
        <w:t>if its operation cause</w:t>
      </w:r>
      <w:r w:rsidR="00DE557B">
        <w:t>s</w:t>
      </w:r>
      <w:r>
        <w:t xml:space="preserve"> harmful interference to a service provided by another station; and</w:t>
      </w:r>
    </w:p>
    <w:p w14:paraId="1B88412B" w14:textId="77777777" w:rsidR="001D4C98" w:rsidRDefault="001D4C98">
      <w:pPr>
        <w:pStyle w:val="P1"/>
      </w:pPr>
      <w:r>
        <w:tab/>
        <w:t>(b)</w:t>
      </w:r>
      <w:r>
        <w:tab/>
        <w:t>unless it uses a frequency specified in the licence for the base station; and</w:t>
      </w:r>
    </w:p>
    <w:p w14:paraId="5538D308" w14:textId="77777777" w:rsidR="001D4C98" w:rsidRDefault="001D4C98">
      <w:pPr>
        <w:pStyle w:val="P1"/>
      </w:pPr>
      <w:r>
        <w:tab/>
        <w:t>(c)</w:t>
      </w:r>
      <w:r>
        <w:tab/>
        <w:t>if the maximum transmitter output power exceeds 1 watt at the antenna input.</w:t>
      </w:r>
    </w:p>
    <w:p w14:paraId="0004AD88" w14:textId="77777777" w:rsidR="001D4C98" w:rsidRDefault="001D4C98">
      <w:pPr>
        <w:pStyle w:val="R2"/>
      </w:pPr>
      <w:r>
        <w:rPr>
          <w:b/>
          <w:bCs/>
        </w:rPr>
        <w:tab/>
      </w:r>
      <w:r w:rsidRPr="004D327D">
        <w:rPr>
          <w:bCs/>
        </w:rPr>
        <w:t>(3)</w:t>
      </w:r>
      <w:r>
        <w:rPr>
          <w:b/>
          <w:bCs/>
        </w:rPr>
        <w:tab/>
      </w:r>
      <w:r>
        <w:t>If the station is located in a town:</w:t>
      </w:r>
    </w:p>
    <w:p w14:paraId="4E81E2CB" w14:textId="77777777" w:rsidR="001D4C98" w:rsidRDefault="001D4C98">
      <w:pPr>
        <w:pStyle w:val="P1"/>
      </w:pPr>
      <w:r>
        <w:tab/>
        <w:t>(a)</w:t>
      </w:r>
      <w:r>
        <w:tab/>
        <w:t>the antenna of the station must not be more than 30 metres above the average surrounding ground level; and</w:t>
      </w:r>
    </w:p>
    <w:p w14:paraId="67E65BEA" w14:textId="56849C96" w:rsidR="001D6FA3" w:rsidRDefault="001D4C98" w:rsidP="001D6FA3">
      <w:pPr>
        <w:pStyle w:val="P1"/>
      </w:pPr>
      <w:r>
        <w:tab/>
        <w:t>(b)</w:t>
      </w:r>
      <w:r>
        <w:tab/>
        <w:t xml:space="preserve">a device must be fitted between the transmitter and the antenna that provides intermodulation performance equivalent to, or better than, the intermodulation performance achieved by a </w:t>
      </w:r>
      <w:r w:rsidR="00176AA2">
        <w:t xml:space="preserve">20 dB </w:t>
      </w:r>
      <w:r>
        <w:t>in</w:t>
      </w:r>
      <w:r w:rsidR="00176AA2">
        <w:t>-</w:t>
      </w:r>
      <w:r>
        <w:t>line attenuator.</w:t>
      </w:r>
      <w:bookmarkStart w:id="33" w:name="_Toc241303072"/>
    </w:p>
    <w:p w14:paraId="23CADB15" w14:textId="728E620F" w:rsidR="00D10CB2" w:rsidRPr="000A566D" w:rsidRDefault="00D10CB2" w:rsidP="00115F31">
      <w:pPr>
        <w:pStyle w:val="P1"/>
        <w:keepNext/>
        <w:tabs>
          <w:tab w:val="clear" w:pos="1191"/>
          <w:tab w:val="right" w:pos="2127"/>
        </w:tabs>
        <w:spacing w:before="360"/>
        <w:ind w:left="1701" w:hanging="1701"/>
        <w:rPr>
          <w:rFonts w:ascii="Arial" w:hAnsi="Arial" w:cs="Arial"/>
          <w:b/>
          <w:sz w:val="32"/>
          <w:szCs w:val="32"/>
        </w:rPr>
      </w:pPr>
      <w:bookmarkStart w:id="34" w:name="_Toc241303078"/>
      <w:bookmarkEnd w:id="33"/>
      <w:r w:rsidRPr="000A566D">
        <w:rPr>
          <w:rStyle w:val="CharPartNo"/>
          <w:rFonts w:ascii="Arial" w:hAnsi="Arial" w:cs="Arial"/>
          <w:b/>
          <w:sz w:val="32"/>
          <w:szCs w:val="32"/>
        </w:rPr>
        <w:t>Part 3E</w:t>
      </w:r>
      <w:r w:rsidRPr="000A566D">
        <w:rPr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 xml:space="preserve">Conditions for fixed licences (point to multipoint station) for stations that operate in </w:t>
      </w:r>
      <w:bookmarkEnd w:id="34"/>
      <w:r w:rsidR="00EF175C" w:rsidRPr="000A566D">
        <w:rPr>
          <w:rStyle w:val="CharPartText"/>
          <w:rFonts w:ascii="Arial" w:hAnsi="Arial" w:cs="Arial"/>
          <w:b/>
          <w:sz w:val="32"/>
          <w:szCs w:val="32"/>
        </w:rPr>
        <w:t xml:space="preserve">the </w:t>
      </w:r>
      <w:r w:rsidR="004F40EC" w:rsidRPr="000A566D">
        <w:rPr>
          <w:rStyle w:val="CharPartText"/>
          <w:rFonts w:ascii="Arial" w:hAnsi="Arial" w:cs="Arial"/>
          <w:b/>
          <w:sz w:val="32"/>
          <w:szCs w:val="32"/>
        </w:rPr>
        <w:t xml:space="preserve">1 GHz </w:t>
      </w:r>
      <w:r w:rsidR="00EF175C" w:rsidRPr="000A566D">
        <w:rPr>
          <w:rStyle w:val="CharPartText"/>
          <w:rFonts w:ascii="Arial" w:hAnsi="Arial" w:cs="Arial"/>
          <w:b/>
          <w:sz w:val="32"/>
          <w:szCs w:val="32"/>
        </w:rPr>
        <w:t>to 275 GHz</w:t>
      </w:r>
      <w:r w:rsidR="00425C66" w:rsidRPr="000A566D">
        <w:rPr>
          <w:rStyle w:val="CharPartText"/>
          <w:rFonts w:ascii="Arial" w:hAnsi="Arial" w:cs="Arial"/>
          <w:b/>
          <w:sz w:val="32"/>
          <w:szCs w:val="32"/>
        </w:rPr>
        <w:t xml:space="preserve"> frequency band</w:t>
      </w:r>
    </w:p>
    <w:p w14:paraId="3843755E" w14:textId="77777777" w:rsidR="00D10CB2" w:rsidRPr="00D57D37" w:rsidRDefault="00D10CB2" w:rsidP="00D57D37">
      <w:pPr>
        <w:pStyle w:val="HR"/>
        <w:rPr>
          <w:rStyle w:val="CharSectno"/>
        </w:rPr>
      </w:pPr>
      <w:bookmarkStart w:id="35" w:name="_Toc241303079"/>
      <w:r w:rsidRPr="00D47240">
        <w:rPr>
          <w:rStyle w:val="CharSectno"/>
        </w:rPr>
        <w:t>11R</w:t>
      </w:r>
      <w:r w:rsidRPr="00D57D37">
        <w:rPr>
          <w:rStyle w:val="CharSectno"/>
        </w:rPr>
        <w:tab/>
        <w:t>Conditions</w:t>
      </w:r>
      <w:bookmarkEnd w:id="35"/>
    </w:p>
    <w:p w14:paraId="0EFA6E98" w14:textId="5B54DB00" w:rsidR="00D10CB2" w:rsidRDefault="00D10CB2" w:rsidP="00D10CB2">
      <w:pPr>
        <w:pStyle w:val="R1"/>
      </w:pPr>
      <w:r w:rsidRPr="00D47240">
        <w:tab/>
      </w:r>
      <w:r w:rsidRPr="00D47240">
        <w:tab/>
        <w:t xml:space="preserve">For paragraph </w:t>
      </w:r>
      <w:r w:rsidR="00A149E2" w:rsidRPr="00D47240">
        <w:t>107(1)(f)</w:t>
      </w:r>
      <w:r w:rsidRPr="00D61BCA">
        <w:t xml:space="preserve"> of the Act, every fixed licence (point to multipoint station) for a station that operates </w:t>
      </w:r>
      <w:r w:rsidR="003703DB" w:rsidRPr="00D61BCA">
        <w:t xml:space="preserve">in the </w:t>
      </w:r>
      <w:r w:rsidR="003703DB" w:rsidRPr="00D57D37">
        <w:t>1</w:t>
      </w:r>
      <w:r w:rsidR="00653D6C" w:rsidRPr="00D57D37">
        <w:t xml:space="preserve"> GHz</w:t>
      </w:r>
      <w:r w:rsidR="00425C66" w:rsidRPr="00D57D37">
        <w:t xml:space="preserve"> to</w:t>
      </w:r>
      <w:r w:rsidR="00425C66" w:rsidRPr="00D47240">
        <w:t xml:space="preserve"> </w:t>
      </w:r>
      <w:r w:rsidR="003703DB" w:rsidRPr="00D47240">
        <w:t xml:space="preserve">275 GHz </w:t>
      </w:r>
      <w:r w:rsidR="00425C66" w:rsidRPr="00D57D37">
        <w:t>frequency band</w:t>
      </w:r>
      <w:r w:rsidR="00425C66">
        <w:t xml:space="preserve"> </w:t>
      </w:r>
      <w:r>
        <w:t>is subject to the conditions in this Part.</w:t>
      </w:r>
    </w:p>
    <w:p w14:paraId="38716FB9" w14:textId="77777777" w:rsidR="00D10CB2" w:rsidRPr="00D57D37" w:rsidRDefault="00D10CB2" w:rsidP="00D10CB2">
      <w:pPr>
        <w:pStyle w:val="HR"/>
        <w:rPr>
          <w:rStyle w:val="CharSectno"/>
        </w:rPr>
      </w:pPr>
      <w:bookmarkStart w:id="36" w:name="_Toc241303080"/>
      <w:r w:rsidRPr="0083672E">
        <w:rPr>
          <w:rStyle w:val="CharSectno"/>
        </w:rPr>
        <w:t>11S</w:t>
      </w:r>
      <w:r w:rsidRPr="00D57D37">
        <w:rPr>
          <w:rStyle w:val="CharSectno"/>
        </w:rPr>
        <w:tab/>
        <w:t>Remote stations</w:t>
      </w:r>
      <w:bookmarkEnd w:id="36"/>
    </w:p>
    <w:p w14:paraId="72D7D004" w14:textId="77777777" w:rsidR="00D10CB2" w:rsidRDefault="00D10CB2" w:rsidP="00D10CB2">
      <w:pPr>
        <w:pStyle w:val="ZR1"/>
      </w:pPr>
      <w:r>
        <w:tab/>
      </w:r>
      <w:r>
        <w:tab/>
        <w:t>If the station is a remote station, the licensee:</w:t>
      </w:r>
    </w:p>
    <w:p w14:paraId="5C54120D" w14:textId="77777777" w:rsidR="00D10CB2" w:rsidRDefault="00D10CB2" w:rsidP="00D10CB2">
      <w:pPr>
        <w:pStyle w:val="P1"/>
      </w:pPr>
      <w:r>
        <w:tab/>
        <w:t>(a)</w:t>
      </w:r>
      <w:r>
        <w:tab/>
        <w:t>must not operate the station if its operation causes harmful interference to a service provided by another station; and</w:t>
      </w:r>
    </w:p>
    <w:p w14:paraId="20456C71" w14:textId="31C22D9B" w:rsidR="00D10CB2" w:rsidRDefault="00D10CB2" w:rsidP="00D10CB2">
      <w:pPr>
        <w:pStyle w:val="P1"/>
      </w:pPr>
      <w:r>
        <w:tab/>
        <w:t>(b)</w:t>
      </w:r>
      <w:r>
        <w:tab/>
        <w:t xml:space="preserve">must operate the station to transmit to the base station using the receive or </w:t>
      </w:r>
      <w:r w:rsidR="00C538CB">
        <w:t>transmit frequencies specified i</w:t>
      </w:r>
      <w:r>
        <w:t>n the licence for the base station.</w:t>
      </w:r>
    </w:p>
    <w:p w14:paraId="225DFE39" w14:textId="77777777" w:rsidR="00D10CB2" w:rsidRPr="00D57D37" w:rsidRDefault="00D10CB2" w:rsidP="00D57D37">
      <w:pPr>
        <w:pStyle w:val="HR"/>
        <w:rPr>
          <w:rStyle w:val="CharSectno"/>
        </w:rPr>
      </w:pPr>
      <w:bookmarkStart w:id="37" w:name="_Toc241303081"/>
      <w:r w:rsidRPr="0083672E">
        <w:rPr>
          <w:rStyle w:val="CharSectno"/>
        </w:rPr>
        <w:t>11T</w:t>
      </w:r>
      <w:r w:rsidRPr="00D57D37">
        <w:rPr>
          <w:rStyle w:val="CharSectno"/>
        </w:rPr>
        <w:tab/>
        <w:t>Adjacent channel interference</w:t>
      </w:r>
      <w:bookmarkEnd w:id="37"/>
    </w:p>
    <w:p w14:paraId="0AEE9C03" w14:textId="77777777" w:rsidR="00D10CB2" w:rsidRDefault="00D10CB2" w:rsidP="00D10CB2">
      <w:pPr>
        <w:pStyle w:val="ZR1"/>
      </w:pPr>
      <w:r>
        <w:tab/>
        <w:t>(1)</w:t>
      </w:r>
      <w:r>
        <w:tab/>
        <w:t>If the station is a base station that operates using time division duplex</w:t>
      </w:r>
      <w:r w:rsidR="003703DB">
        <w:t xml:space="preserve"> in either the 1900</w:t>
      </w:r>
      <w:r w:rsidR="00B41389">
        <w:t xml:space="preserve"> </w:t>
      </w:r>
      <w:r w:rsidR="00653D6C">
        <w:t xml:space="preserve">MHz </w:t>
      </w:r>
      <w:r w:rsidR="00B41389">
        <w:t xml:space="preserve">to </w:t>
      </w:r>
      <w:r w:rsidR="003703DB">
        <w:t xml:space="preserve">1920 MHz </w:t>
      </w:r>
      <w:r w:rsidR="00651FFF">
        <w:t xml:space="preserve">band </w:t>
      </w:r>
      <w:r w:rsidR="003703DB">
        <w:t>or the 3400</w:t>
      </w:r>
      <w:r w:rsidR="00653D6C">
        <w:t xml:space="preserve"> MHz</w:t>
      </w:r>
      <w:r w:rsidR="00B41389">
        <w:t xml:space="preserve"> to </w:t>
      </w:r>
      <w:r w:rsidR="003703DB">
        <w:t>3700 MHz band</w:t>
      </w:r>
      <w:r>
        <w:t>, the licensee:</w:t>
      </w:r>
    </w:p>
    <w:p w14:paraId="7EE3E79E" w14:textId="77777777" w:rsidR="00D10CB2" w:rsidRDefault="00D10CB2" w:rsidP="00D10CB2">
      <w:pPr>
        <w:pStyle w:val="ZP1"/>
      </w:pPr>
      <w:r>
        <w:tab/>
        <w:t>(a)</w:t>
      </w:r>
      <w:r>
        <w:tab/>
        <w:t>must not cause harmful interference to a base station receiver operating on an adjacent channel that:</w:t>
      </w:r>
    </w:p>
    <w:p w14:paraId="08399203" w14:textId="77777777" w:rsidR="00D10CB2" w:rsidRDefault="00D10CB2" w:rsidP="00D10CB2">
      <w:pPr>
        <w:pStyle w:val="P2"/>
      </w:pPr>
      <w:r>
        <w:tab/>
        <w:t>(i)</w:t>
      </w:r>
      <w:r>
        <w:tab/>
        <w:t>operates using time division duplex; and</w:t>
      </w:r>
    </w:p>
    <w:p w14:paraId="23A32913" w14:textId="61626B16" w:rsidR="00D10CB2" w:rsidRPr="0035045A" w:rsidRDefault="00D10CB2" w:rsidP="00D10CB2">
      <w:pPr>
        <w:pStyle w:val="P2"/>
      </w:pPr>
      <w:r>
        <w:tab/>
        <w:t>(ii)</w:t>
      </w:r>
      <w:r>
        <w:tab/>
        <w:t xml:space="preserve">is operated in accordance with its licence; </w:t>
      </w:r>
      <w:r w:rsidR="00381179">
        <w:t>and</w:t>
      </w:r>
    </w:p>
    <w:p w14:paraId="456B8948" w14:textId="77777777" w:rsidR="00D10CB2" w:rsidRDefault="00D10CB2" w:rsidP="00677EA3">
      <w:pPr>
        <w:pStyle w:val="ZP1"/>
      </w:pPr>
      <w:r>
        <w:tab/>
        <w:t>(b)</w:t>
      </w:r>
      <w:r>
        <w:tab/>
        <w:t>cannot claim protection from harmful interference caused by a base station operating on an adjacent channel that:</w:t>
      </w:r>
    </w:p>
    <w:p w14:paraId="497E5EA8" w14:textId="77777777" w:rsidR="00D10CB2" w:rsidRDefault="00D10CB2" w:rsidP="00D10CB2">
      <w:pPr>
        <w:pStyle w:val="P2"/>
      </w:pPr>
      <w:r>
        <w:tab/>
        <w:t>(i)</w:t>
      </w:r>
      <w:r>
        <w:tab/>
        <w:t>operates using time division duplex; and</w:t>
      </w:r>
    </w:p>
    <w:p w14:paraId="10022229" w14:textId="77777777" w:rsidR="00D10CB2" w:rsidRPr="0035045A" w:rsidRDefault="00D10CB2" w:rsidP="00D10CB2">
      <w:pPr>
        <w:pStyle w:val="P2"/>
      </w:pPr>
      <w:r>
        <w:tab/>
        <w:t>(ii)</w:t>
      </w:r>
      <w:r>
        <w:tab/>
        <w:t>is operated in accordance with its licence.</w:t>
      </w:r>
    </w:p>
    <w:p w14:paraId="3CE52B2D" w14:textId="77777777" w:rsidR="00D10CB2" w:rsidRDefault="00D10CB2" w:rsidP="00D10CB2">
      <w:pPr>
        <w:pStyle w:val="ZR2"/>
      </w:pPr>
      <w:r>
        <w:tab/>
        <w:t>(2)</w:t>
      </w:r>
      <w:r>
        <w:tab/>
        <w:t>The licensee is taken to have complied with subsection (1) in relation to another licensee if the licensees:</w:t>
      </w:r>
    </w:p>
    <w:p w14:paraId="3EB64499" w14:textId="77777777" w:rsidR="00D10CB2" w:rsidRPr="0035045A" w:rsidRDefault="00D10CB2" w:rsidP="00677EA3">
      <w:pPr>
        <w:pStyle w:val="P1"/>
      </w:pPr>
      <w:r>
        <w:tab/>
        <w:t>(a)</w:t>
      </w:r>
      <w:r>
        <w:tab/>
        <w:t>align transmission and reception timing as soon as practicable to avoid the interference; or</w:t>
      </w:r>
    </w:p>
    <w:p w14:paraId="717286F5" w14:textId="77777777" w:rsidR="00D10CB2" w:rsidRDefault="00D10CB2" w:rsidP="00D10CB2">
      <w:pPr>
        <w:pStyle w:val="P1"/>
      </w:pPr>
      <w:r>
        <w:tab/>
        <w:t>(b)</w:t>
      </w:r>
      <w:r>
        <w:tab/>
        <w:t>make other arrangements that avoid the interference.</w:t>
      </w:r>
    </w:p>
    <w:p w14:paraId="51B05BFD" w14:textId="77777777" w:rsidR="00D10CB2" w:rsidRDefault="00D10CB2" w:rsidP="00D10CB2">
      <w:pPr>
        <w:pStyle w:val="ZR2"/>
      </w:pPr>
      <w:r>
        <w:tab/>
        <w:t>(3)</w:t>
      </w:r>
      <w:r>
        <w:tab/>
        <w:t>In this section:</w:t>
      </w:r>
    </w:p>
    <w:p w14:paraId="75C5E3D4" w14:textId="77777777" w:rsidR="00D10CB2" w:rsidRDefault="00D10CB2" w:rsidP="00D10CB2">
      <w:pPr>
        <w:pStyle w:val="definition"/>
      </w:pPr>
      <w:r>
        <w:rPr>
          <w:b/>
          <w:i/>
        </w:rPr>
        <w:t>adjacent channel</w:t>
      </w:r>
      <w:r w:rsidRPr="0054565E">
        <w:t>,</w:t>
      </w:r>
      <w:r>
        <w:t xml:space="preserve"> in relation to a licence, means a frequency band that:</w:t>
      </w:r>
    </w:p>
    <w:p w14:paraId="43C243F0" w14:textId="17B30DE6" w:rsidR="00D10CB2" w:rsidRPr="008F4EF4" w:rsidRDefault="00D10CB2" w:rsidP="00D10CB2">
      <w:pPr>
        <w:pStyle w:val="P1"/>
      </w:pPr>
      <w:r>
        <w:tab/>
        <w:t>(a)</w:t>
      </w:r>
      <w:r>
        <w:tab/>
        <w:t xml:space="preserve">is within </w:t>
      </w:r>
      <w:r w:rsidR="003703DB">
        <w:t>the 1</w:t>
      </w:r>
      <w:r w:rsidR="00FF1CE0">
        <w:t xml:space="preserve"> GHz</w:t>
      </w:r>
      <w:r w:rsidR="00FA1205">
        <w:t xml:space="preserve"> to </w:t>
      </w:r>
      <w:r w:rsidR="003703DB">
        <w:t xml:space="preserve">275 </w:t>
      </w:r>
      <w:r w:rsidR="003703DB" w:rsidRPr="00D47240">
        <w:t>GHz</w:t>
      </w:r>
      <w:r w:rsidR="00FA1205" w:rsidRPr="00D47240">
        <w:t xml:space="preserve"> </w:t>
      </w:r>
      <w:r w:rsidR="00FA1205" w:rsidRPr="00D57D37">
        <w:t>frequency band</w:t>
      </w:r>
      <w:r w:rsidRPr="00D47240">
        <w:t>; and</w:t>
      </w:r>
    </w:p>
    <w:p w14:paraId="0EB514D9" w14:textId="77777777" w:rsidR="00D10CB2" w:rsidRPr="00553660" w:rsidRDefault="00D10CB2" w:rsidP="00D10CB2">
      <w:pPr>
        <w:pStyle w:val="P1"/>
      </w:pPr>
      <w:r>
        <w:tab/>
        <w:t>(b)</w:t>
      </w:r>
      <w:r>
        <w:tab/>
        <w:t>is immediately adjacent to the frequency band to which the licence relates.</w:t>
      </w:r>
    </w:p>
    <w:p w14:paraId="53ED8752" w14:textId="4B290167" w:rsidR="00D10CB2" w:rsidRPr="00D57D37" w:rsidRDefault="00D10CB2">
      <w:pPr>
        <w:pStyle w:val="HR"/>
        <w:rPr>
          <w:rStyle w:val="CharSectno"/>
          <w:rFonts w:ascii="Times New Roman" w:hAnsi="Times New Roman"/>
          <w:b w:val="0"/>
        </w:rPr>
      </w:pPr>
      <w:bookmarkStart w:id="38" w:name="_Toc241303082"/>
      <w:r w:rsidRPr="0083672E">
        <w:rPr>
          <w:rStyle w:val="CharSectno"/>
        </w:rPr>
        <w:t>11U</w:t>
      </w:r>
      <w:r w:rsidRPr="00D57D37">
        <w:rPr>
          <w:rStyle w:val="CharSectno"/>
        </w:rPr>
        <w:tab/>
      </w:r>
      <w:r w:rsidR="00DB368A">
        <w:rPr>
          <w:rStyle w:val="CharSectno"/>
        </w:rPr>
        <w:t>T</w:t>
      </w:r>
      <w:r w:rsidRPr="00D57D37">
        <w:rPr>
          <w:rStyle w:val="CharSectno"/>
        </w:rPr>
        <w:t xml:space="preserve">ransmit power </w:t>
      </w:r>
      <w:r w:rsidRPr="00115F31">
        <w:t>control</w:t>
      </w:r>
      <w:bookmarkEnd w:id="38"/>
    </w:p>
    <w:p w14:paraId="5A6D415C" w14:textId="7F27A5E1" w:rsidR="00262A96" w:rsidRDefault="00D10CB2" w:rsidP="00262A96">
      <w:pPr>
        <w:pStyle w:val="R1"/>
      </w:pPr>
      <w:r>
        <w:tab/>
      </w:r>
      <w:r>
        <w:tab/>
        <w:t>The licensee must use transmit power control on each station that is authorised to be operated under the licence.</w:t>
      </w:r>
      <w:bookmarkStart w:id="39" w:name="_Toc241303083"/>
    </w:p>
    <w:p w14:paraId="1092D7E7" w14:textId="059A0E49" w:rsidR="001D4C98" w:rsidRPr="000A566D" w:rsidRDefault="001D4C98" w:rsidP="00115F31">
      <w:pPr>
        <w:pStyle w:val="R1"/>
        <w:spacing w:before="360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</w:t>
      </w:r>
      <w:r w:rsidR="004D327D" w:rsidRPr="000A566D">
        <w:rPr>
          <w:rStyle w:val="CharPartNo"/>
          <w:rFonts w:ascii="Arial" w:hAnsi="Arial" w:cs="Arial"/>
          <w:b/>
          <w:sz w:val="32"/>
          <w:szCs w:val="32"/>
        </w:rPr>
        <w:t>art</w:t>
      </w:r>
      <w:r w:rsidRPr="000A566D">
        <w:rPr>
          <w:rStyle w:val="CharPartNo"/>
          <w:rFonts w:ascii="Arial" w:hAnsi="Arial" w:cs="Arial"/>
          <w:b/>
          <w:sz w:val="32"/>
          <w:szCs w:val="32"/>
        </w:rPr>
        <w:t xml:space="preserve"> 4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="00262A96" w:rsidRPr="000A566D">
        <w:rPr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ondition for fixed licence (sound outside broadcast station)</w:t>
      </w:r>
      <w:bookmarkEnd w:id="39"/>
    </w:p>
    <w:p w14:paraId="6C716C17" w14:textId="0222BB20" w:rsidR="001D4C98" w:rsidRPr="00D57D37" w:rsidRDefault="004D327D" w:rsidP="004D327D">
      <w:pPr>
        <w:pStyle w:val="HR"/>
        <w:rPr>
          <w:rStyle w:val="CharSectno"/>
        </w:rPr>
      </w:pPr>
      <w:bookmarkStart w:id="40" w:name="_Toc241303084"/>
      <w:r w:rsidRPr="0083672E">
        <w:rPr>
          <w:rStyle w:val="CharSectno"/>
        </w:rPr>
        <w:t>12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Condition</w:t>
      </w:r>
      <w:bookmarkEnd w:id="40"/>
    </w:p>
    <w:p w14:paraId="564CB0E1" w14:textId="1ECBC0DA" w:rsidR="001D4C98" w:rsidRDefault="004D327D" w:rsidP="004D327D">
      <w:pPr>
        <w:pStyle w:val="R1"/>
      </w:pPr>
      <w:r>
        <w:tab/>
      </w:r>
      <w:r w:rsidR="001D4C98">
        <w:tab/>
        <w:t xml:space="preserve">For paragraph </w:t>
      </w:r>
      <w:r w:rsidR="00A149E2">
        <w:t>107(1)(f)</w:t>
      </w:r>
      <w:r w:rsidR="001D4C98">
        <w:t xml:space="preserve"> of the Act, every fixed licence (sound outside broadcast station) is subject to the condition in this Part.</w:t>
      </w:r>
    </w:p>
    <w:p w14:paraId="572A91C3" w14:textId="77777777" w:rsidR="001D4C98" w:rsidRPr="00D57D37" w:rsidRDefault="004D327D" w:rsidP="004D327D">
      <w:pPr>
        <w:pStyle w:val="HR"/>
        <w:rPr>
          <w:rStyle w:val="CharSectno"/>
        </w:rPr>
      </w:pPr>
      <w:bookmarkStart w:id="41" w:name="_Toc241303085"/>
      <w:r w:rsidRPr="0083672E">
        <w:rPr>
          <w:rStyle w:val="CharSectno"/>
        </w:rPr>
        <w:t>13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Harmful interference</w:t>
      </w:r>
      <w:bookmarkEnd w:id="41"/>
    </w:p>
    <w:p w14:paraId="1726C082" w14:textId="77777777" w:rsidR="001D4C98" w:rsidRDefault="004D327D" w:rsidP="004D327D">
      <w:pPr>
        <w:pStyle w:val="R1"/>
      </w:pPr>
      <w:r>
        <w:tab/>
      </w:r>
      <w:r w:rsidR="001D4C98">
        <w:tab/>
        <w:t>The licensee must not operate a sound outside broadcast station if its operation causes harmful interference to a service provided by another station.</w:t>
      </w:r>
    </w:p>
    <w:p w14:paraId="44B3E676" w14:textId="77777777" w:rsidR="00262A96" w:rsidRDefault="001D4C98" w:rsidP="00262A96">
      <w:pPr>
        <w:pStyle w:val="Note"/>
      </w:pPr>
      <w:r>
        <w:rPr>
          <w:i/>
          <w:iCs/>
        </w:rPr>
        <w:t>Note</w:t>
      </w:r>
      <w:r w:rsidR="004D327D">
        <w:rPr>
          <w:i/>
          <w:iCs/>
        </w:rPr>
        <w:t>   </w:t>
      </w:r>
      <w:r>
        <w:t>All licensees of sound outside broadcast stations operating in the same coverage area share the frequencies specified in their licence.</w:t>
      </w:r>
      <w:bookmarkStart w:id="42" w:name="_Toc241303086"/>
    </w:p>
    <w:p w14:paraId="449D0F4A" w14:textId="77777777" w:rsidR="00262A96" w:rsidRDefault="00262A96" w:rsidP="00262A96">
      <w:pPr>
        <w:pStyle w:val="Note"/>
        <w:rPr>
          <w:rStyle w:val="CharPartNo"/>
          <w:sz w:val="28"/>
          <w:szCs w:val="28"/>
        </w:rPr>
      </w:pPr>
    </w:p>
    <w:p w14:paraId="58605C3A" w14:textId="09B23959" w:rsidR="001D4C98" w:rsidRPr="000A566D" w:rsidRDefault="001D4C98" w:rsidP="00D57D37">
      <w:pPr>
        <w:pStyle w:val="Note"/>
        <w:keepNext/>
        <w:spacing w:line="240" w:lineRule="auto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</w:t>
      </w:r>
      <w:r w:rsidR="004D327D" w:rsidRPr="000A566D">
        <w:rPr>
          <w:rStyle w:val="CharPartNo"/>
          <w:rFonts w:ascii="Arial" w:hAnsi="Arial" w:cs="Arial"/>
          <w:b/>
          <w:sz w:val="32"/>
          <w:szCs w:val="32"/>
        </w:rPr>
        <w:t>art</w:t>
      </w:r>
      <w:r w:rsidRPr="000A566D">
        <w:rPr>
          <w:rStyle w:val="CharPartNo"/>
          <w:rFonts w:ascii="Arial" w:hAnsi="Arial" w:cs="Arial"/>
          <w:b/>
          <w:sz w:val="32"/>
          <w:szCs w:val="32"/>
        </w:rPr>
        <w:t xml:space="preserve"> 5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ondition for fixed licence (television outside broadcast station)</w:t>
      </w:r>
      <w:bookmarkEnd w:id="42"/>
    </w:p>
    <w:p w14:paraId="03BF0ED1" w14:textId="7F5AFE07" w:rsidR="001D4C98" w:rsidRPr="00D57D37" w:rsidRDefault="004D327D" w:rsidP="004D327D">
      <w:pPr>
        <w:pStyle w:val="HR"/>
        <w:rPr>
          <w:rStyle w:val="CharSectno"/>
        </w:rPr>
      </w:pPr>
      <w:bookmarkStart w:id="43" w:name="_Toc241303087"/>
      <w:r w:rsidRPr="0083672E">
        <w:rPr>
          <w:rStyle w:val="CharSectno"/>
        </w:rPr>
        <w:t>14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Condition</w:t>
      </w:r>
      <w:bookmarkEnd w:id="43"/>
    </w:p>
    <w:p w14:paraId="53A8110F" w14:textId="5D56E27F" w:rsidR="001D4C98" w:rsidRDefault="004D327D" w:rsidP="004D327D">
      <w:pPr>
        <w:pStyle w:val="R1"/>
      </w:pPr>
      <w:r>
        <w:tab/>
      </w:r>
      <w:r w:rsidR="001D4C98">
        <w:tab/>
        <w:t xml:space="preserve">For paragraph </w:t>
      </w:r>
      <w:r w:rsidR="00A149E2">
        <w:t>107(1)(f)</w:t>
      </w:r>
      <w:r w:rsidR="001D4C98">
        <w:t xml:space="preserve"> of the Act, every fixed licence (television outside broadcast station) is subject to the condition in this Part.</w:t>
      </w:r>
    </w:p>
    <w:p w14:paraId="71A361EF" w14:textId="77777777" w:rsidR="001D4C98" w:rsidRPr="00D57D37" w:rsidRDefault="004D327D" w:rsidP="004D327D">
      <w:pPr>
        <w:pStyle w:val="HR"/>
        <w:rPr>
          <w:rStyle w:val="CharSectno"/>
        </w:rPr>
      </w:pPr>
      <w:bookmarkStart w:id="44" w:name="_Toc241303088"/>
      <w:r w:rsidRPr="0083672E">
        <w:rPr>
          <w:rStyle w:val="CharSectno"/>
        </w:rPr>
        <w:t>15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Harmful interference</w:t>
      </w:r>
      <w:bookmarkEnd w:id="44"/>
    </w:p>
    <w:p w14:paraId="23F106D6" w14:textId="77777777" w:rsidR="001D4C98" w:rsidRDefault="004D327D" w:rsidP="004D327D">
      <w:pPr>
        <w:pStyle w:val="R1"/>
      </w:pPr>
      <w:r>
        <w:tab/>
      </w:r>
      <w:r w:rsidR="001D4C98">
        <w:tab/>
        <w:t>The licensee must not operate a television outside broadcast station if its operation causes harmful interference to a service provided by another station.</w:t>
      </w:r>
    </w:p>
    <w:p w14:paraId="70A000B4" w14:textId="3F405029" w:rsidR="00262A96" w:rsidRDefault="001D4C98" w:rsidP="00262A96">
      <w:pPr>
        <w:pStyle w:val="Note"/>
      </w:pPr>
      <w:r>
        <w:rPr>
          <w:i/>
          <w:iCs/>
        </w:rPr>
        <w:t>Note</w:t>
      </w:r>
      <w:r w:rsidR="004D327D">
        <w:rPr>
          <w:i/>
          <w:iCs/>
        </w:rPr>
        <w:t>   </w:t>
      </w:r>
      <w:r>
        <w:t xml:space="preserve">The licensee may operate </w:t>
      </w:r>
      <w:r w:rsidR="00A149E2">
        <w:t>one</w:t>
      </w:r>
      <w:r>
        <w:t xml:space="preserve"> television outside broadcast station under the licence, in the area specified in the licence.</w:t>
      </w:r>
      <w:bookmarkStart w:id="45" w:name="_Toc241303089"/>
    </w:p>
    <w:p w14:paraId="7245504F" w14:textId="4E226706" w:rsidR="001D4C98" w:rsidRPr="000A566D" w:rsidRDefault="001D4C98" w:rsidP="00115F31">
      <w:pPr>
        <w:pStyle w:val="Note"/>
        <w:spacing w:before="360" w:line="240" w:lineRule="auto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</w:t>
      </w:r>
      <w:r w:rsidR="002E79AC" w:rsidRPr="000A566D">
        <w:rPr>
          <w:rStyle w:val="CharPartNo"/>
          <w:rFonts w:ascii="Arial" w:hAnsi="Arial" w:cs="Arial"/>
          <w:b/>
          <w:sz w:val="32"/>
          <w:szCs w:val="32"/>
        </w:rPr>
        <w:t>art</w:t>
      </w:r>
      <w:r w:rsidRPr="000A566D">
        <w:rPr>
          <w:rStyle w:val="CharPartNo"/>
          <w:rFonts w:ascii="Arial" w:hAnsi="Arial" w:cs="Arial"/>
          <w:b/>
          <w:sz w:val="32"/>
          <w:szCs w:val="32"/>
        </w:rPr>
        <w:t xml:space="preserve"> 6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="00B73319">
        <w:rPr>
          <w:rStyle w:val="CharPartText"/>
          <w:rFonts w:ascii="Arial" w:hAnsi="Arial" w:cs="Arial"/>
          <w:b/>
          <w:sz w:val="32"/>
          <w:szCs w:val="32"/>
        </w:rPr>
        <w:t>Condition for f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ixed licence (television outside broadcast network station)</w:t>
      </w:r>
      <w:bookmarkEnd w:id="45"/>
    </w:p>
    <w:p w14:paraId="6826DFEE" w14:textId="18D737AF" w:rsidR="001D4C98" w:rsidRPr="00D57D37" w:rsidRDefault="004D327D" w:rsidP="004D327D">
      <w:pPr>
        <w:pStyle w:val="HR"/>
        <w:rPr>
          <w:rStyle w:val="CharSectno"/>
        </w:rPr>
      </w:pPr>
      <w:bookmarkStart w:id="46" w:name="_Toc241303090"/>
      <w:r w:rsidRPr="0083672E">
        <w:rPr>
          <w:rStyle w:val="CharSectno"/>
        </w:rPr>
        <w:t>16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Condition</w:t>
      </w:r>
      <w:bookmarkEnd w:id="46"/>
    </w:p>
    <w:p w14:paraId="3669A9C5" w14:textId="3176B889" w:rsidR="001D4C98" w:rsidRDefault="004D327D" w:rsidP="004D327D">
      <w:pPr>
        <w:pStyle w:val="R1"/>
      </w:pPr>
      <w:r>
        <w:tab/>
      </w:r>
      <w:r w:rsidR="001D4C98">
        <w:tab/>
        <w:t xml:space="preserve">For paragraph </w:t>
      </w:r>
      <w:r w:rsidR="00A149E2">
        <w:t>107(1)(f)</w:t>
      </w:r>
      <w:r w:rsidR="001D4C98">
        <w:t xml:space="preserve"> of the Act, every fixed licence (television outside broadcast network stati</w:t>
      </w:r>
      <w:r w:rsidR="00C538CB">
        <w:t>on) is subject to the condition</w:t>
      </w:r>
      <w:r w:rsidR="001D4C98">
        <w:t xml:space="preserve"> in this Part.</w:t>
      </w:r>
    </w:p>
    <w:p w14:paraId="118CE70A" w14:textId="77777777" w:rsidR="001D4C98" w:rsidRPr="00D57D37" w:rsidRDefault="004D327D" w:rsidP="004D327D">
      <w:pPr>
        <w:pStyle w:val="HR"/>
        <w:rPr>
          <w:rStyle w:val="CharSectno"/>
        </w:rPr>
      </w:pPr>
      <w:bookmarkStart w:id="47" w:name="_Toc241303091"/>
      <w:r w:rsidRPr="0083672E">
        <w:rPr>
          <w:rStyle w:val="CharSectno"/>
        </w:rPr>
        <w:t>17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Harmful interference</w:t>
      </w:r>
      <w:bookmarkEnd w:id="47"/>
    </w:p>
    <w:p w14:paraId="65882560" w14:textId="77777777" w:rsidR="00262A96" w:rsidRDefault="004D327D" w:rsidP="00262A96">
      <w:pPr>
        <w:pStyle w:val="R1"/>
      </w:pPr>
      <w:r>
        <w:tab/>
      </w:r>
      <w:r w:rsidR="001D4C98">
        <w:tab/>
        <w:t>The licensee must not operate a television outside broadcast network station if its operation causes harmful interference to a service provided by another station.</w:t>
      </w:r>
      <w:bookmarkStart w:id="48" w:name="_Toc241303092"/>
    </w:p>
    <w:p w14:paraId="47342286" w14:textId="77777777" w:rsidR="00C538CB" w:rsidRDefault="00C538CB" w:rsidP="00C538CB">
      <w:pPr>
        <w:pStyle w:val="Note"/>
      </w:pPr>
      <w:r>
        <w:rPr>
          <w:i/>
          <w:iCs/>
        </w:rPr>
        <w:t>Note   </w:t>
      </w:r>
      <w:r>
        <w:t>The licensee may operate one or more television outside broadcast network stations under the licence.</w:t>
      </w:r>
    </w:p>
    <w:p w14:paraId="330EBD4D" w14:textId="77777777" w:rsidR="00262A96" w:rsidRDefault="00262A96" w:rsidP="00262A96">
      <w:pPr>
        <w:pStyle w:val="R1"/>
      </w:pPr>
    </w:p>
    <w:p w14:paraId="5780FC40" w14:textId="0EA35FA3" w:rsidR="001D4C98" w:rsidRPr="000A566D" w:rsidRDefault="001D4C98" w:rsidP="00C71860">
      <w:pPr>
        <w:pStyle w:val="R1"/>
        <w:tabs>
          <w:tab w:val="clear" w:pos="794"/>
          <w:tab w:val="right" w:pos="2835"/>
        </w:tabs>
        <w:spacing w:line="240" w:lineRule="auto"/>
        <w:ind w:left="1701" w:hanging="1701"/>
        <w:rPr>
          <w:rFonts w:ascii="Arial" w:hAnsi="Arial" w:cs="Arial"/>
          <w:b/>
          <w:sz w:val="32"/>
          <w:szCs w:val="32"/>
        </w:rPr>
      </w:pPr>
      <w:r w:rsidRPr="000A566D">
        <w:rPr>
          <w:rStyle w:val="CharPartNo"/>
          <w:rFonts w:ascii="Arial" w:hAnsi="Arial" w:cs="Arial"/>
          <w:b/>
          <w:sz w:val="32"/>
          <w:szCs w:val="32"/>
        </w:rPr>
        <w:t>P</w:t>
      </w:r>
      <w:r w:rsidR="002E79AC" w:rsidRPr="000A566D">
        <w:rPr>
          <w:rStyle w:val="CharPartNo"/>
          <w:rFonts w:ascii="Arial" w:hAnsi="Arial" w:cs="Arial"/>
          <w:b/>
          <w:sz w:val="32"/>
          <w:szCs w:val="32"/>
        </w:rPr>
        <w:t>art</w:t>
      </w:r>
      <w:r w:rsidRPr="000A566D">
        <w:rPr>
          <w:rStyle w:val="CharPartNo"/>
          <w:rFonts w:ascii="Arial" w:hAnsi="Arial" w:cs="Arial"/>
          <w:b/>
          <w:sz w:val="32"/>
          <w:szCs w:val="32"/>
        </w:rPr>
        <w:t xml:space="preserve"> 7</w:t>
      </w:r>
      <w:r w:rsidR="004D327D" w:rsidRPr="000A566D">
        <w:rPr>
          <w:rFonts w:ascii="Arial" w:hAnsi="Arial" w:cs="Arial"/>
          <w:b/>
          <w:sz w:val="32"/>
          <w:szCs w:val="32"/>
        </w:rPr>
        <w:tab/>
      </w:r>
      <w:r w:rsidRPr="000A566D">
        <w:rPr>
          <w:rStyle w:val="CharPartText"/>
          <w:rFonts w:ascii="Arial" w:hAnsi="Arial" w:cs="Arial"/>
          <w:b/>
          <w:sz w:val="32"/>
          <w:szCs w:val="32"/>
        </w:rPr>
        <w:t>C</w:t>
      </w:r>
      <w:r w:rsidR="004D327D" w:rsidRPr="000A566D">
        <w:rPr>
          <w:rStyle w:val="CharPartText"/>
          <w:rFonts w:ascii="Arial" w:hAnsi="Arial" w:cs="Arial"/>
          <w:b/>
          <w:sz w:val="32"/>
          <w:szCs w:val="32"/>
        </w:rPr>
        <w:t>ondition for fixed licence (television outside broadcast system station)</w:t>
      </w:r>
      <w:bookmarkEnd w:id="48"/>
    </w:p>
    <w:p w14:paraId="0A5A15D2" w14:textId="5551ABDD" w:rsidR="001D4C98" w:rsidRPr="00D57D37" w:rsidRDefault="004D327D" w:rsidP="004D327D">
      <w:pPr>
        <w:pStyle w:val="HR"/>
        <w:rPr>
          <w:rStyle w:val="CharSectno"/>
        </w:rPr>
      </w:pPr>
      <w:bookmarkStart w:id="49" w:name="_Toc241303093"/>
      <w:r w:rsidRPr="0083672E">
        <w:rPr>
          <w:rStyle w:val="CharSectno"/>
        </w:rPr>
        <w:t>21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Condition</w:t>
      </w:r>
      <w:bookmarkEnd w:id="49"/>
    </w:p>
    <w:p w14:paraId="3D03C25A" w14:textId="7D6B2676" w:rsidR="001D4C98" w:rsidRDefault="004D327D" w:rsidP="004D327D">
      <w:pPr>
        <w:pStyle w:val="R1"/>
      </w:pPr>
      <w:r>
        <w:tab/>
      </w:r>
      <w:r w:rsidR="001D4C98">
        <w:tab/>
        <w:t xml:space="preserve">For paragraph </w:t>
      </w:r>
      <w:r w:rsidR="00A149E2">
        <w:t>107(1)(f)</w:t>
      </w:r>
      <w:r w:rsidR="001D4C98">
        <w:t xml:space="preserve"> of the Act, every fixed licence (television outside broadcast system station) is subject to the condition in this Part.</w:t>
      </w:r>
    </w:p>
    <w:p w14:paraId="5443BEDA" w14:textId="77777777" w:rsidR="001D4C98" w:rsidRPr="00D57D37" w:rsidRDefault="004D327D" w:rsidP="004D327D">
      <w:pPr>
        <w:pStyle w:val="HR"/>
        <w:rPr>
          <w:rStyle w:val="CharSectno"/>
        </w:rPr>
      </w:pPr>
      <w:bookmarkStart w:id="50" w:name="_Toc241303094"/>
      <w:r w:rsidRPr="0083672E">
        <w:rPr>
          <w:rStyle w:val="CharSectno"/>
        </w:rPr>
        <w:t>22</w:t>
      </w:r>
      <w:r w:rsidRPr="00D57D37">
        <w:rPr>
          <w:rStyle w:val="CharSectno"/>
        </w:rPr>
        <w:tab/>
      </w:r>
      <w:r w:rsidR="001D4C98" w:rsidRPr="00D57D37">
        <w:rPr>
          <w:rStyle w:val="CharSectno"/>
        </w:rPr>
        <w:t>Harmful interference</w:t>
      </w:r>
      <w:bookmarkEnd w:id="50"/>
    </w:p>
    <w:p w14:paraId="45FD87F6" w14:textId="77777777" w:rsidR="001D4C98" w:rsidRDefault="004D327D" w:rsidP="004D327D">
      <w:pPr>
        <w:pStyle w:val="R1"/>
      </w:pPr>
      <w:r>
        <w:tab/>
      </w:r>
      <w:r w:rsidR="001D4C98">
        <w:tab/>
        <w:t>The licensee must not operate a television outside broadcast system station if its operation causes harmful interference to a service provided by another station.</w:t>
      </w:r>
    </w:p>
    <w:p w14:paraId="2A55CF3F" w14:textId="15B63F2C" w:rsidR="001D4C98" w:rsidRDefault="001D4C98" w:rsidP="004D327D">
      <w:pPr>
        <w:pStyle w:val="Note"/>
      </w:pPr>
      <w:r>
        <w:rPr>
          <w:i/>
          <w:iCs/>
        </w:rPr>
        <w:t>Note</w:t>
      </w:r>
      <w:r w:rsidR="004D327D">
        <w:rPr>
          <w:i/>
          <w:iCs/>
        </w:rPr>
        <w:t>   </w:t>
      </w:r>
      <w:r>
        <w:t xml:space="preserve">The licensee may operate </w:t>
      </w:r>
      <w:r w:rsidR="001A78B1">
        <w:t>one or</w:t>
      </w:r>
      <w:r>
        <w:t xml:space="preserve"> more television outside broadcast system stations under the licence, in the area specified in the licence.</w:t>
      </w:r>
    </w:p>
    <w:p w14:paraId="38FC666C" w14:textId="77777777" w:rsidR="00133764" w:rsidRDefault="00133764">
      <w:pPr>
        <w:pStyle w:val="MainBodySectionBreak"/>
        <w:sectPr w:rsidR="00133764" w:rsidSect="007B4D53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</w:p>
    <w:p w14:paraId="45F22276" w14:textId="77777777" w:rsidR="001D4C98" w:rsidRPr="000A566D" w:rsidRDefault="001D4C98" w:rsidP="004D327D">
      <w:pPr>
        <w:pStyle w:val="Scheduletitle"/>
        <w:rPr>
          <w:szCs w:val="32"/>
        </w:rPr>
      </w:pPr>
      <w:bookmarkStart w:id="51" w:name="_Toc241303095"/>
      <w:r w:rsidRPr="000A566D">
        <w:rPr>
          <w:rStyle w:val="CharAmSchNo"/>
          <w:szCs w:val="32"/>
        </w:rPr>
        <w:t>S</w:t>
      </w:r>
      <w:r w:rsidR="004D327D" w:rsidRPr="000A566D">
        <w:rPr>
          <w:rStyle w:val="CharAmSchNo"/>
          <w:szCs w:val="32"/>
        </w:rPr>
        <w:t>chedule</w:t>
      </w:r>
      <w:r w:rsidRPr="000A566D">
        <w:rPr>
          <w:rStyle w:val="CharAmSchNo"/>
          <w:szCs w:val="32"/>
        </w:rPr>
        <w:t xml:space="preserve"> 1</w:t>
      </w:r>
      <w:r w:rsidR="004D327D" w:rsidRPr="000A566D">
        <w:rPr>
          <w:szCs w:val="32"/>
        </w:rPr>
        <w:tab/>
      </w:r>
      <w:r w:rsidRPr="000A566D">
        <w:rPr>
          <w:rStyle w:val="CharAmSchText"/>
          <w:szCs w:val="32"/>
        </w:rPr>
        <w:t>R</w:t>
      </w:r>
      <w:r w:rsidR="004D327D" w:rsidRPr="000A566D">
        <w:rPr>
          <w:rStyle w:val="CharAmSchText"/>
          <w:szCs w:val="32"/>
        </w:rPr>
        <w:t>equirements for the antenna of a point to point station</w:t>
      </w:r>
      <w:bookmarkEnd w:id="51"/>
    </w:p>
    <w:p w14:paraId="7520F1EA" w14:textId="74692621" w:rsidR="001D4C98" w:rsidRDefault="001D4C98" w:rsidP="004D327D">
      <w:pPr>
        <w:pStyle w:val="Schedulereference"/>
        <w:rPr>
          <w:b/>
          <w:bCs/>
        </w:rPr>
      </w:pPr>
      <w:r>
        <w:t>(section 5)</w:t>
      </w:r>
    </w:p>
    <w:p w14:paraId="0BED912D" w14:textId="77777777" w:rsidR="004D327D" w:rsidRDefault="004D327D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33E725DE" w14:textId="77777777" w:rsidR="001D4C98" w:rsidRDefault="001D4C98" w:rsidP="002133E3"/>
    <w:tbl>
      <w:tblPr>
        <w:tblW w:w="865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560"/>
        <w:gridCol w:w="1440"/>
        <w:gridCol w:w="1344"/>
        <w:gridCol w:w="1443"/>
        <w:gridCol w:w="1443"/>
      </w:tblGrid>
      <w:tr w:rsidR="001D4C98" w14:paraId="35813112" w14:textId="77777777">
        <w:tc>
          <w:tcPr>
            <w:tcW w:w="1428" w:type="dxa"/>
            <w:tcBorders>
              <w:bottom w:val="single" w:sz="6" w:space="0" w:color="auto"/>
            </w:tcBorders>
          </w:tcPr>
          <w:p w14:paraId="45A48A2B" w14:textId="77777777" w:rsidR="001D4C98" w:rsidRDefault="001D4C98" w:rsidP="001E31C6">
            <w:pPr>
              <w:pStyle w:val="TableColHead"/>
            </w:pPr>
            <w:r>
              <w:t>Column 1</w:t>
            </w:r>
          </w:p>
          <w:p w14:paraId="54556943" w14:textId="77777777" w:rsidR="001D4C98" w:rsidRDefault="001D4C98" w:rsidP="002133E3">
            <w:pPr>
              <w:pStyle w:val="TableColHead"/>
              <w:spacing w:before="60"/>
            </w:pPr>
            <w:r>
              <w:t>Item no.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6BB420C7" w14:textId="77777777" w:rsidR="001D4C98" w:rsidRDefault="001D4C98" w:rsidP="001E31C6">
            <w:pPr>
              <w:pStyle w:val="TableColHead"/>
            </w:pPr>
            <w:r>
              <w:t>Column 2</w:t>
            </w:r>
          </w:p>
          <w:p w14:paraId="785A72A4" w14:textId="77777777" w:rsidR="002133E3" w:rsidRDefault="001D4C98" w:rsidP="002133E3">
            <w:pPr>
              <w:pStyle w:val="TableColHead"/>
              <w:spacing w:before="60"/>
            </w:pPr>
            <w:r>
              <w:t>Frequency of point to point station</w:t>
            </w:r>
          </w:p>
          <w:p w14:paraId="40ED03A0" w14:textId="77777777" w:rsidR="001D4C98" w:rsidRDefault="002133E3" w:rsidP="002133E3">
            <w:pPr>
              <w:pStyle w:val="TableColHead"/>
              <w:spacing w:before="60"/>
            </w:pPr>
            <w:r>
              <w:br/>
            </w:r>
            <w:r w:rsidR="001D4C98">
              <w:t>(MHz)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5FB0E950" w14:textId="77777777" w:rsidR="001D4C98" w:rsidRDefault="001D4C98" w:rsidP="001E31C6">
            <w:pPr>
              <w:pStyle w:val="TableColHead"/>
            </w:pPr>
            <w:r>
              <w:t>Column 3</w:t>
            </w:r>
          </w:p>
          <w:p w14:paraId="20F39A40" w14:textId="6B892C3F" w:rsidR="001D4C98" w:rsidRDefault="001D4C98" w:rsidP="002133E3">
            <w:pPr>
              <w:pStyle w:val="TableColHead"/>
              <w:spacing w:before="60"/>
            </w:pPr>
            <w:r>
              <w:t>Maximum beamwidth of antenna in E</w:t>
            </w:r>
            <w:r w:rsidR="0083672E">
              <w:noBreakHyphen/>
            </w:r>
            <w:r>
              <w:t>plane</w:t>
            </w:r>
          </w:p>
          <w:p w14:paraId="3C714A37" w14:textId="77777777" w:rsidR="001D4C98" w:rsidRDefault="001D4C98" w:rsidP="002133E3">
            <w:pPr>
              <w:pStyle w:val="TableColHead"/>
              <w:spacing w:before="60"/>
            </w:pPr>
            <w:r>
              <w:t>(degrees)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6138E5F6" w14:textId="77777777" w:rsidR="001D4C98" w:rsidRDefault="001D4C98" w:rsidP="001E31C6">
            <w:pPr>
              <w:pStyle w:val="TableColHead"/>
            </w:pPr>
            <w:r>
              <w:t>Column 4</w:t>
            </w:r>
          </w:p>
          <w:p w14:paraId="5EDB013B" w14:textId="77777777" w:rsidR="001D4C98" w:rsidRDefault="001D4C98" w:rsidP="002133E3">
            <w:pPr>
              <w:pStyle w:val="TableColHead"/>
              <w:spacing w:before="60"/>
            </w:pPr>
            <w:r>
              <w:t>Minimum front/back ratio of antenna</w:t>
            </w:r>
          </w:p>
          <w:p w14:paraId="12CB1FBC" w14:textId="77777777" w:rsidR="001D4C98" w:rsidRDefault="001D4C98" w:rsidP="002133E3">
            <w:pPr>
              <w:pStyle w:val="TableColHead"/>
              <w:spacing w:before="60"/>
            </w:pPr>
            <w:r>
              <w:t>(dB)</w:t>
            </w: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158D26F9" w14:textId="77777777" w:rsidR="001D4C98" w:rsidRDefault="001D4C98" w:rsidP="001E31C6">
            <w:pPr>
              <w:pStyle w:val="TableColHead"/>
            </w:pPr>
            <w:r>
              <w:t>Column 5</w:t>
            </w:r>
          </w:p>
          <w:p w14:paraId="631CD05C" w14:textId="77777777" w:rsidR="001D4C98" w:rsidRDefault="001D4C98" w:rsidP="002133E3">
            <w:pPr>
              <w:pStyle w:val="TableColHead"/>
              <w:spacing w:before="60"/>
            </w:pPr>
            <w:r>
              <w:t>Mid band gain of antenna</w:t>
            </w:r>
          </w:p>
          <w:p w14:paraId="63723236" w14:textId="77777777" w:rsidR="001D4C98" w:rsidRDefault="002133E3" w:rsidP="002133E3">
            <w:pPr>
              <w:pStyle w:val="TableColHead"/>
              <w:spacing w:before="60"/>
            </w:pPr>
            <w:r>
              <w:br/>
            </w:r>
            <w:r>
              <w:br/>
            </w:r>
            <w:r w:rsidR="001D4C98">
              <w:t>(dBi)</w:t>
            </w: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2EFD24D3" w14:textId="77777777" w:rsidR="001D4C98" w:rsidRDefault="001D4C98" w:rsidP="001E31C6">
            <w:pPr>
              <w:pStyle w:val="TableColHead"/>
            </w:pPr>
            <w:r>
              <w:t>Column 6</w:t>
            </w:r>
          </w:p>
          <w:p w14:paraId="407A7903" w14:textId="77777777" w:rsidR="001D4C98" w:rsidRDefault="001D4C98" w:rsidP="002133E3">
            <w:pPr>
              <w:pStyle w:val="TableColHead"/>
              <w:spacing w:before="60"/>
            </w:pPr>
            <w:r>
              <w:t>Example of suitable antenna</w:t>
            </w:r>
          </w:p>
        </w:tc>
      </w:tr>
      <w:tr w:rsidR="001D4C98" w14:paraId="19A8F718" w14:textId="77777777">
        <w:tc>
          <w:tcPr>
            <w:tcW w:w="1428" w:type="dxa"/>
            <w:tcBorders>
              <w:top w:val="single" w:sz="6" w:space="0" w:color="auto"/>
            </w:tcBorders>
          </w:tcPr>
          <w:p w14:paraId="3844563B" w14:textId="77777777" w:rsidR="001D4C98" w:rsidRDefault="001D4C98" w:rsidP="001E31C6">
            <w:pPr>
              <w:pStyle w:val="TableText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30ACF558" w14:textId="77777777" w:rsidR="001D4C98" w:rsidRDefault="001D4C98" w:rsidP="001E31C6">
            <w:pPr>
              <w:pStyle w:val="TableText"/>
            </w:pPr>
            <w:r>
              <w:t>148</w:t>
            </w:r>
            <w:r w:rsidR="0083672E">
              <w:noBreakHyphen/>
            </w:r>
            <w:r>
              <w:t>174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764CF7A0" w14:textId="77777777" w:rsidR="001D4C98" w:rsidRDefault="001D4C98" w:rsidP="001E31C6">
            <w:pPr>
              <w:pStyle w:val="TableText"/>
            </w:pPr>
            <w:r>
              <w:t>44</w:t>
            </w:r>
          </w:p>
        </w:tc>
        <w:tc>
          <w:tcPr>
            <w:tcW w:w="1344" w:type="dxa"/>
            <w:tcBorders>
              <w:top w:val="single" w:sz="6" w:space="0" w:color="auto"/>
            </w:tcBorders>
          </w:tcPr>
          <w:p w14:paraId="01C499FC" w14:textId="77777777" w:rsidR="001D4C98" w:rsidRDefault="001D4C98" w:rsidP="001E31C6">
            <w:pPr>
              <w:pStyle w:val="TableText"/>
            </w:pPr>
            <w:r>
              <w:t>20</w:t>
            </w:r>
          </w:p>
        </w:tc>
        <w:tc>
          <w:tcPr>
            <w:tcW w:w="1443" w:type="dxa"/>
            <w:tcBorders>
              <w:top w:val="single" w:sz="6" w:space="0" w:color="auto"/>
            </w:tcBorders>
          </w:tcPr>
          <w:p w14:paraId="6E53F88A" w14:textId="77777777" w:rsidR="001D4C98" w:rsidRDefault="001D4C98" w:rsidP="001E31C6">
            <w:pPr>
              <w:pStyle w:val="TableText"/>
            </w:pPr>
            <w:r>
              <w:t>12</w:t>
            </w:r>
          </w:p>
        </w:tc>
        <w:tc>
          <w:tcPr>
            <w:tcW w:w="1443" w:type="dxa"/>
            <w:tcBorders>
              <w:top w:val="single" w:sz="6" w:space="0" w:color="auto"/>
            </w:tcBorders>
          </w:tcPr>
          <w:p w14:paraId="2672B57B" w14:textId="77777777" w:rsidR="001D4C98" w:rsidRDefault="001D4C98" w:rsidP="001E31C6">
            <w:pPr>
              <w:pStyle w:val="TableText"/>
            </w:pPr>
            <w:r>
              <w:t>6 element Yagi antenna</w:t>
            </w:r>
          </w:p>
        </w:tc>
      </w:tr>
      <w:tr w:rsidR="001D4C98" w14:paraId="316E60D5" w14:textId="77777777">
        <w:tc>
          <w:tcPr>
            <w:tcW w:w="1428" w:type="dxa"/>
          </w:tcPr>
          <w:p w14:paraId="021C0B2B" w14:textId="77777777" w:rsidR="001D4C98" w:rsidRDefault="001D4C98" w:rsidP="001E31C6">
            <w:pPr>
              <w:pStyle w:val="TableText"/>
            </w:pPr>
            <w:r>
              <w:t>2</w:t>
            </w:r>
          </w:p>
        </w:tc>
        <w:tc>
          <w:tcPr>
            <w:tcW w:w="1560" w:type="dxa"/>
          </w:tcPr>
          <w:p w14:paraId="08E533FC" w14:textId="77777777" w:rsidR="001D4C98" w:rsidRDefault="001D4C98" w:rsidP="001E31C6">
            <w:pPr>
              <w:pStyle w:val="TableText"/>
            </w:pPr>
            <w:r>
              <w:t>403</w:t>
            </w:r>
            <w:r w:rsidR="0083672E">
              <w:noBreakHyphen/>
            </w:r>
            <w:r>
              <w:t>520</w:t>
            </w:r>
          </w:p>
        </w:tc>
        <w:tc>
          <w:tcPr>
            <w:tcW w:w="1440" w:type="dxa"/>
          </w:tcPr>
          <w:p w14:paraId="5C080956" w14:textId="77777777" w:rsidR="001D4C98" w:rsidRDefault="001D4C98" w:rsidP="001E31C6">
            <w:pPr>
              <w:pStyle w:val="TableText"/>
            </w:pPr>
            <w:r>
              <w:t>36</w:t>
            </w:r>
          </w:p>
        </w:tc>
        <w:tc>
          <w:tcPr>
            <w:tcW w:w="1344" w:type="dxa"/>
          </w:tcPr>
          <w:p w14:paraId="3B5B2151" w14:textId="77777777" w:rsidR="001D4C98" w:rsidRDefault="001D4C98" w:rsidP="001E31C6">
            <w:pPr>
              <w:pStyle w:val="TableText"/>
            </w:pPr>
            <w:r>
              <w:t>17</w:t>
            </w:r>
          </w:p>
        </w:tc>
        <w:tc>
          <w:tcPr>
            <w:tcW w:w="1443" w:type="dxa"/>
          </w:tcPr>
          <w:p w14:paraId="3219FF5C" w14:textId="77777777" w:rsidR="001D4C98" w:rsidRDefault="001D4C98" w:rsidP="001E31C6">
            <w:pPr>
              <w:pStyle w:val="TableText"/>
            </w:pPr>
            <w:r>
              <w:t>13</w:t>
            </w:r>
          </w:p>
        </w:tc>
        <w:tc>
          <w:tcPr>
            <w:tcW w:w="1443" w:type="dxa"/>
          </w:tcPr>
          <w:p w14:paraId="2A664B95" w14:textId="77777777" w:rsidR="001D4C98" w:rsidRDefault="001D4C98" w:rsidP="001E31C6">
            <w:pPr>
              <w:pStyle w:val="TableText"/>
            </w:pPr>
            <w:r>
              <w:t>9 element Yagi antenna</w:t>
            </w:r>
          </w:p>
        </w:tc>
      </w:tr>
      <w:tr w:rsidR="001D4C98" w14:paraId="12E1E35C" w14:textId="77777777">
        <w:tc>
          <w:tcPr>
            <w:tcW w:w="1428" w:type="dxa"/>
          </w:tcPr>
          <w:p w14:paraId="72858CB7" w14:textId="77777777" w:rsidR="001D4C98" w:rsidRDefault="001D4C98" w:rsidP="001E31C6">
            <w:pPr>
              <w:pStyle w:val="TableText"/>
            </w:pPr>
            <w:r>
              <w:t>3</w:t>
            </w:r>
          </w:p>
        </w:tc>
        <w:tc>
          <w:tcPr>
            <w:tcW w:w="1560" w:type="dxa"/>
          </w:tcPr>
          <w:p w14:paraId="0874314F" w14:textId="77777777" w:rsidR="001D4C98" w:rsidRDefault="001D4C98" w:rsidP="001E31C6">
            <w:pPr>
              <w:pStyle w:val="TableText"/>
            </w:pPr>
            <w:r>
              <w:t>820</w:t>
            </w:r>
            <w:r w:rsidR="0083672E">
              <w:noBreakHyphen/>
            </w:r>
            <w:r>
              <w:t>960</w:t>
            </w:r>
          </w:p>
        </w:tc>
        <w:tc>
          <w:tcPr>
            <w:tcW w:w="1440" w:type="dxa"/>
          </w:tcPr>
          <w:p w14:paraId="6C945BAB" w14:textId="77777777" w:rsidR="001D4C98" w:rsidRDefault="001D4C98" w:rsidP="001E31C6">
            <w:pPr>
              <w:pStyle w:val="TableText"/>
            </w:pPr>
            <w:r>
              <w:t>30</w:t>
            </w:r>
          </w:p>
        </w:tc>
        <w:tc>
          <w:tcPr>
            <w:tcW w:w="1344" w:type="dxa"/>
          </w:tcPr>
          <w:p w14:paraId="128DA343" w14:textId="77777777" w:rsidR="001D4C98" w:rsidRDefault="001D4C98" w:rsidP="001E31C6">
            <w:pPr>
              <w:pStyle w:val="TableText"/>
            </w:pPr>
            <w:r>
              <w:t>20</w:t>
            </w:r>
          </w:p>
        </w:tc>
        <w:tc>
          <w:tcPr>
            <w:tcW w:w="1443" w:type="dxa"/>
          </w:tcPr>
          <w:p w14:paraId="5EBD09CB" w14:textId="77777777" w:rsidR="001D4C98" w:rsidRDefault="001D4C98" w:rsidP="001E31C6">
            <w:pPr>
              <w:pStyle w:val="TableText"/>
            </w:pPr>
            <w:r>
              <w:t>16</w:t>
            </w:r>
          </w:p>
        </w:tc>
        <w:tc>
          <w:tcPr>
            <w:tcW w:w="1443" w:type="dxa"/>
          </w:tcPr>
          <w:p w14:paraId="152DA364" w14:textId="77777777" w:rsidR="001D4C98" w:rsidRDefault="001D4C98" w:rsidP="001E31C6">
            <w:pPr>
              <w:pStyle w:val="TableText"/>
            </w:pPr>
            <w:r>
              <w:t>15 element Yagi antenna</w:t>
            </w:r>
          </w:p>
        </w:tc>
      </w:tr>
    </w:tbl>
    <w:p w14:paraId="7EDC0474" w14:textId="087367C6" w:rsidR="001D4C98" w:rsidRDefault="001D4C98" w:rsidP="00256D5A">
      <w:pPr>
        <w:pStyle w:val="Note"/>
        <w:ind w:left="0"/>
      </w:pPr>
      <w:r w:rsidRPr="001E31C6">
        <w:rPr>
          <w:i/>
        </w:rPr>
        <w:t>N</w:t>
      </w:r>
      <w:r w:rsidR="001E31C6" w:rsidRPr="001E31C6">
        <w:rPr>
          <w:i/>
        </w:rPr>
        <w:t>ote</w:t>
      </w:r>
      <w:r w:rsidR="001E31C6">
        <w:rPr>
          <w:i/>
        </w:rPr>
        <w:t> </w:t>
      </w:r>
      <w:r>
        <w:t>  The maximum beamwidth of an antenna is measured between the 3 dB points.</w:t>
      </w:r>
    </w:p>
    <w:p w14:paraId="59A3D3A5" w14:textId="77777777" w:rsidR="001D4C98" w:rsidRPr="000A566D" w:rsidRDefault="001D4C98" w:rsidP="001E31C6">
      <w:pPr>
        <w:pStyle w:val="Scheduletitle"/>
        <w:pageBreakBefore/>
        <w:rPr>
          <w:szCs w:val="32"/>
        </w:rPr>
      </w:pPr>
      <w:bookmarkStart w:id="52" w:name="_Toc241303096"/>
      <w:r w:rsidRPr="000A566D">
        <w:rPr>
          <w:rStyle w:val="CharAmSchNo"/>
          <w:szCs w:val="32"/>
        </w:rPr>
        <w:t>S</w:t>
      </w:r>
      <w:r w:rsidR="001E31C6" w:rsidRPr="000A566D">
        <w:rPr>
          <w:rStyle w:val="CharAmSchNo"/>
          <w:szCs w:val="32"/>
        </w:rPr>
        <w:t>chedule</w:t>
      </w:r>
      <w:r w:rsidRPr="000A566D">
        <w:rPr>
          <w:rStyle w:val="CharAmSchNo"/>
          <w:szCs w:val="32"/>
        </w:rPr>
        <w:t xml:space="preserve"> 2</w:t>
      </w:r>
      <w:r w:rsidR="001E31C6" w:rsidRPr="000A566D">
        <w:rPr>
          <w:szCs w:val="32"/>
        </w:rPr>
        <w:tab/>
      </w:r>
      <w:r w:rsidRPr="000A566D">
        <w:rPr>
          <w:rStyle w:val="CharAmSchText"/>
          <w:szCs w:val="32"/>
        </w:rPr>
        <w:t>T</w:t>
      </w:r>
      <w:r w:rsidR="001E31C6" w:rsidRPr="000A566D">
        <w:rPr>
          <w:rStyle w:val="CharAmSchText"/>
          <w:szCs w:val="32"/>
        </w:rPr>
        <w:t>ransmitter power levels for a remote station</w:t>
      </w:r>
      <w:bookmarkEnd w:id="52"/>
    </w:p>
    <w:p w14:paraId="7CFB445E" w14:textId="77777777" w:rsidR="001D4C98" w:rsidRDefault="001D4C98" w:rsidP="001E31C6">
      <w:pPr>
        <w:pStyle w:val="Schedulereference"/>
        <w:rPr>
          <w:b/>
          <w:bCs/>
        </w:rPr>
      </w:pPr>
      <w:r>
        <w:t>(</w:t>
      </w:r>
      <w:r w:rsidR="002133E3">
        <w:t>s</w:t>
      </w:r>
      <w:r>
        <w:t>ubsection 9 (3))</w:t>
      </w:r>
    </w:p>
    <w:p w14:paraId="4E7ACBC6" w14:textId="77777777" w:rsidR="001E31C6" w:rsidRDefault="001E31C6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57E84E0F" w14:textId="77777777" w:rsidR="001D4C98" w:rsidRDefault="001D4C98" w:rsidP="00BC74AC"/>
    <w:tbl>
      <w:tblPr>
        <w:tblW w:w="11542" w:type="dxa"/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2882"/>
        <w:gridCol w:w="2882"/>
      </w:tblGrid>
      <w:tr w:rsidR="00E3084E" w14:paraId="084E6A89" w14:textId="2DF7A60E" w:rsidTr="005B1CE2">
        <w:tc>
          <w:tcPr>
            <w:tcW w:w="1668" w:type="dxa"/>
            <w:tcBorders>
              <w:bottom w:val="single" w:sz="6" w:space="0" w:color="auto"/>
            </w:tcBorders>
          </w:tcPr>
          <w:p w14:paraId="06077B35" w14:textId="77777777" w:rsidR="00E3084E" w:rsidRDefault="00E3084E" w:rsidP="001E31C6">
            <w:pPr>
              <w:pStyle w:val="TableColHead"/>
            </w:pPr>
            <w:r>
              <w:t>Column 1</w:t>
            </w:r>
          </w:p>
          <w:p w14:paraId="680E46FD" w14:textId="77777777" w:rsidR="00E3084E" w:rsidRDefault="00E3084E" w:rsidP="00256D5A">
            <w:pPr>
              <w:pStyle w:val="TableColHead"/>
              <w:spacing w:before="60"/>
            </w:pPr>
            <w:r>
              <w:t>Item no.</w:t>
            </w: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14:paraId="06C65498" w14:textId="77777777" w:rsidR="00E3084E" w:rsidRDefault="00E3084E" w:rsidP="001E31C6">
            <w:pPr>
              <w:pStyle w:val="TableColHead"/>
            </w:pPr>
            <w:r>
              <w:t>Column 2</w:t>
            </w:r>
          </w:p>
          <w:p w14:paraId="01A8084A" w14:textId="77777777" w:rsidR="00E3084E" w:rsidRDefault="00E3084E" w:rsidP="00256D5A">
            <w:pPr>
              <w:pStyle w:val="TableColHead"/>
              <w:spacing w:before="60"/>
            </w:pPr>
            <w:r>
              <w:t>Operation of station</w:t>
            </w:r>
          </w:p>
        </w:tc>
        <w:tc>
          <w:tcPr>
            <w:tcW w:w="2882" w:type="dxa"/>
            <w:tcBorders>
              <w:bottom w:val="single" w:sz="6" w:space="0" w:color="auto"/>
            </w:tcBorders>
          </w:tcPr>
          <w:p w14:paraId="2652B3C9" w14:textId="77777777" w:rsidR="00E3084E" w:rsidRDefault="00E3084E" w:rsidP="001E31C6">
            <w:pPr>
              <w:pStyle w:val="TableColHead"/>
            </w:pPr>
            <w:r>
              <w:t>Column 3</w:t>
            </w:r>
          </w:p>
          <w:p w14:paraId="4DC7E2A3" w14:textId="77777777" w:rsidR="00E3084E" w:rsidRDefault="00E3084E" w:rsidP="00256D5A">
            <w:pPr>
              <w:pStyle w:val="TableColHead"/>
              <w:spacing w:before="60"/>
            </w:pPr>
            <w:r>
              <w:t>Power levels</w:t>
            </w:r>
          </w:p>
        </w:tc>
        <w:tc>
          <w:tcPr>
            <w:tcW w:w="2882" w:type="dxa"/>
            <w:tcBorders>
              <w:bottom w:val="single" w:sz="6" w:space="0" w:color="auto"/>
            </w:tcBorders>
          </w:tcPr>
          <w:p w14:paraId="10AA3B02" w14:textId="77777777" w:rsidR="00E3084E" w:rsidRDefault="00E3084E" w:rsidP="001E31C6">
            <w:pPr>
              <w:pStyle w:val="TableColHead"/>
            </w:pPr>
          </w:p>
        </w:tc>
      </w:tr>
      <w:tr w:rsidR="00E3084E" w14:paraId="6EF27134" w14:textId="6DA67FFC" w:rsidTr="005B1CE2">
        <w:tc>
          <w:tcPr>
            <w:tcW w:w="1668" w:type="dxa"/>
            <w:tcBorders>
              <w:top w:val="single" w:sz="6" w:space="0" w:color="auto"/>
            </w:tcBorders>
          </w:tcPr>
          <w:p w14:paraId="4359C75C" w14:textId="77777777" w:rsidR="00E3084E" w:rsidRDefault="00E3084E" w:rsidP="001E31C6">
            <w:pPr>
              <w:pStyle w:val="TableText"/>
            </w:pPr>
            <w:r>
              <w:t>1</w:t>
            </w:r>
          </w:p>
        </w:tc>
        <w:tc>
          <w:tcPr>
            <w:tcW w:w="4110" w:type="dxa"/>
            <w:tcBorders>
              <w:top w:val="single" w:sz="6" w:space="0" w:color="auto"/>
            </w:tcBorders>
          </w:tcPr>
          <w:p w14:paraId="6641FA19" w14:textId="77777777" w:rsidR="00E3084E" w:rsidRDefault="00E3084E" w:rsidP="001E31C6">
            <w:pPr>
              <w:pStyle w:val="TableText"/>
            </w:pPr>
            <w:r>
              <w:t>The station is operated to transmit on the frequency band 451.5</w:t>
            </w:r>
            <w:r>
              <w:noBreakHyphen/>
              <w:t>452.5 MHz or 853.5</w:t>
            </w:r>
            <w:r>
              <w:noBreakHyphen/>
              <w:t>854.0 MHz</w:t>
            </w:r>
          </w:p>
        </w:tc>
        <w:tc>
          <w:tcPr>
            <w:tcW w:w="2882" w:type="dxa"/>
            <w:tcBorders>
              <w:top w:val="single" w:sz="6" w:space="0" w:color="auto"/>
            </w:tcBorders>
          </w:tcPr>
          <w:p w14:paraId="0C247D95" w14:textId="77777777" w:rsidR="00E3084E" w:rsidRDefault="00E3084E" w:rsidP="001E31C6">
            <w:pPr>
              <w:pStyle w:val="TableText"/>
            </w:pPr>
            <w:r>
              <w:t xml:space="preserve">Transmitter output power must not exceed 5 watts at the antenna input </w:t>
            </w:r>
          </w:p>
        </w:tc>
        <w:tc>
          <w:tcPr>
            <w:tcW w:w="2882" w:type="dxa"/>
            <w:tcBorders>
              <w:top w:val="single" w:sz="6" w:space="0" w:color="auto"/>
            </w:tcBorders>
          </w:tcPr>
          <w:p w14:paraId="2788D298" w14:textId="77777777" w:rsidR="00E3084E" w:rsidRDefault="00E3084E" w:rsidP="001E31C6">
            <w:pPr>
              <w:pStyle w:val="TableText"/>
            </w:pPr>
          </w:p>
        </w:tc>
      </w:tr>
      <w:tr w:rsidR="00E3084E" w14:paraId="3A042920" w14:textId="4703E85C" w:rsidTr="005B1CE2">
        <w:tc>
          <w:tcPr>
            <w:tcW w:w="1668" w:type="dxa"/>
            <w:tcBorders>
              <w:bottom w:val="single" w:sz="6" w:space="0" w:color="auto"/>
            </w:tcBorders>
          </w:tcPr>
          <w:p w14:paraId="65EDBAF2" w14:textId="77777777" w:rsidR="00E3084E" w:rsidRDefault="00E3084E" w:rsidP="001E31C6">
            <w:pPr>
              <w:pStyle w:val="TableText"/>
            </w:pPr>
            <w:r>
              <w:t>3</w:t>
            </w: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14:paraId="6C29B4D9" w14:textId="77777777" w:rsidR="00E3084E" w:rsidRDefault="00E3084E" w:rsidP="001E31C6">
            <w:pPr>
              <w:pStyle w:val="TableText"/>
            </w:pPr>
            <w:r>
              <w:t>The station is operated to transmit on any other frequency band</w:t>
            </w:r>
          </w:p>
        </w:tc>
        <w:tc>
          <w:tcPr>
            <w:tcW w:w="2882" w:type="dxa"/>
            <w:tcBorders>
              <w:bottom w:val="single" w:sz="6" w:space="0" w:color="auto"/>
            </w:tcBorders>
          </w:tcPr>
          <w:p w14:paraId="170BC7FE" w14:textId="77777777" w:rsidR="00E3084E" w:rsidRDefault="00E3084E" w:rsidP="001E31C6">
            <w:pPr>
              <w:pStyle w:val="TableText"/>
            </w:pPr>
            <w:r>
              <w:t>Transmitter output power must not exceed 1 watt at the antenna input</w:t>
            </w:r>
          </w:p>
        </w:tc>
        <w:tc>
          <w:tcPr>
            <w:tcW w:w="2882" w:type="dxa"/>
            <w:tcBorders>
              <w:bottom w:val="single" w:sz="6" w:space="0" w:color="auto"/>
            </w:tcBorders>
          </w:tcPr>
          <w:p w14:paraId="7BF5F4C6" w14:textId="77777777" w:rsidR="00E3084E" w:rsidRDefault="00E3084E" w:rsidP="001E31C6">
            <w:pPr>
              <w:pStyle w:val="TableText"/>
            </w:pPr>
          </w:p>
        </w:tc>
      </w:tr>
    </w:tbl>
    <w:p w14:paraId="4298454B" w14:textId="77777777" w:rsidR="004D327D" w:rsidRDefault="004D327D">
      <w:pPr>
        <w:pStyle w:val="SchedSectionBreak"/>
        <w:sectPr w:rsidR="004D327D" w:rsidSect="0083672E">
          <w:headerReference w:type="even" r:id="rId18"/>
          <w:headerReference w:type="default" r:id="rId19"/>
          <w:pgSz w:w="11907" w:h="16839"/>
          <w:pgMar w:top="1440" w:right="1797" w:bottom="1440" w:left="1797" w:header="709" w:footer="709" w:gutter="0"/>
          <w:cols w:space="708"/>
          <w:docGrid w:linePitch="360"/>
        </w:sectPr>
      </w:pPr>
    </w:p>
    <w:p w14:paraId="66A72CA7" w14:textId="77777777" w:rsidR="001D4C98" w:rsidRDefault="001D4C98" w:rsidP="00F23220">
      <w:pPr>
        <w:rPr>
          <w:rFonts w:ascii="Arial" w:hAnsi="Arial"/>
          <w:b/>
          <w:sz w:val="32"/>
        </w:rPr>
      </w:pPr>
    </w:p>
    <w:p w14:paraId="3668FDC7" w14:textId="77777777" w:rsidR="006A1A7F" w:rsidRDefault="006A1A7F" w:rsidP="00F23220">
      <w:pPr>
        <w:rPr>
          <w:rFonts w:ascii="Arial" w:hAnsi="Arial"/>
          <w:b/>
          <w:sz w:val="32"/>
        </w:rPr>
      </w:pPr>
    </w:p>
    <w:p w14:paraId="74DC7F7A" w14:textId="77777777" w:rsidR="006A1A7F" w:rsidRDefault="006A1A7F" w:rsidP="00F23220">
      <w:pPr>
        <w:rPr>
          <w:rFonts w:ascii="Arial" w:hAnsi="Arial"/>
          <w:b/>
          <w:sz w:val="32"/>
        </w:rPr>
      </w:pPr>
    </w:p>
    <w:p w14:paraId="4A135066" w14:textId="77777777" w:rsidR="006A1A7F" w:rsidRPr="006A1A7F" w:rsidRDefault="006A1A7F" w:rsidP="0075238C">
      <w:pPr>
        <w:rPr>
          <w:sz w:val="28"/>
        </w:rPr>
      </w:pPr>
    </w:p>
    <w:sectPr w:rsidR="006A1A7F" w:rsidRPr="006A1A7F" w:rsidSect="0083672E">
      <w:headerReference w:type="even" r:id="rId20"/>
      <w:headerReference w:type="default" r:id="rId21"/>
      <w:type w:val="continuous"/>
      <w:pgSz w:w="11907" w:h="16839"/>
      <w:pgMar w:top="1247" w:right="1729" w:bottom="1729" w:left="1729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28F07" w14:textId="77777777" w:rsidR="00411D9D" w:rsidRPr="00941E11" w:rsidRDefault="00411D9D" w:rsidP="00D10CB2">
      <w:pPr>
        <w:pStyle w:val="Body"/>
        <w:spacing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3146E01A" w14:textId="77777777" w:rsidR="00411D9D" w:rsidRPr="00941E11" w:rsidRDefault="00411D9D" w:rsidP="00D10CB2">
      <w:pPr>
        <w:pStyle w:val="Body"/>
        <w:spacing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92060" w14:textId="77777777" w:rsidR="002A1608" w:rsidRPr="00F10D43" w:rsidRDefault="002A1608" w:rsidP="002A1608">
    <w:pPr>
      <w:pStyle w:val="Footer"/>
      <w:rPr>
        <w:rFonts w:ascii="Times New Roman" w:hAnsi="Times New Roman"/>
        <w:sz w:val="24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2A1608" w14:paraId="1D037D98" w14:textId="77777777" w:rsidTr="00C444BD">
      <w:tc>
        <w:tcPr>
          <w:tcW w:w="1701" w:type="dxa"/>
        </w:tcPr>
        <w:p w14:paraId="283BF837" w14:textId="77777777" w:rsidR="002A1608" w:rsidRDefault="002A1608" w:rsidP="002A1608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107DF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</w:tcPr>
        <w:p w14:paraId="1FAE1AB1" w14:textId="77777777" w:rsidR="002A1608" w:rsidRPr="00F001F5" w:rsidRDefault="002A1608" w:rsidP="002A1608">
          <w:pPr>
            <w:pStyle w:val="Footer"/>
            <w:spacing w:before="20" w:line="200" w:lineRule="exact"/>
            <w:jc w:val="center"/>
            <w:rPr>
              <w:i/>
            </w:rPr>
          </w:pPr>
          <w:r w:rsidRPr="007856B3">
            <w:rPr>
              <w:i/>
            </w:rPr>
            <w:t xml:space="preserve">Radiocommunications Licence Conditions (Fixed Licence) Determination </w:t>
          </w:r>
          <w:r>
            <w:rPr>
              <w:i/>
            </w:rPr>
            <w:t>20</w:t>
          </w:r>
          <w:r w:rsidRPr="001B5DBF">
            <w:rPr>
              <w:i/>
            </w:rPr>
            <w:t>1</w:t>
          </w:r>
          <w:r>
            <w:rPr>
              <w:i/>
            </w:rPr>
            <w:t>5</w:t>
          </w:r>
        </w:p>
      </w:tc>
      <w:tc>
        <w:tcPr>
          <w:tcW w:w="1701" w:type="dxa"/>
        </w:tcPr>
        <w:p w14:paraId="7542C16E" w14:textId="77777777" w:rsidR="002A1608" w:rsidRDefault="002A1608" w:rsidP="002A1608">
          <w:pPr>
            <w:pStyle w:val="Footer"/>
            <w:jc w:val="right"/>
          </w:pPr>
        </w:p>
      </w:tc>
    </w:tr>
  </w:tbl>
  <w:p w14:paraId="62069F5F" w14:textId="77777777" w:rsidR="002A1608" w:rsidRDefault="002A1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9B858" w14:textId="77777777" w:rsidR="00FD0042" w:rsidRPr="00F10D43" w:rsidRDefault="00FD0042">
    <w:pPr>
      <w:pStyle w:val="Footer"/>
      <w:rPr>
        <w:rFonts w:ascii="Times New Roman" w:hAnsi="Times New Roman"/>
        <w:sz w:val="24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FD0042" w14:paraId="7FAE88BE" w14:textId="77777777">
      <w:tc>
        <w:tcPr>
          <w:tcW w:w="1701" w:type="dxa"/>
        </w:tcPr>
        <w:p w14:paraId="1621EF39" w14:textId="77777777" w:rsidR="00FD0042" w:rsidRDefault="00FD0042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107DF">
            <w:rPr>
              <w:rStyle w:val="PageNumber"/>
            </w:rPr>
            <w:t>15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</w:tcPr>
        <w:p w14:paraId="59D1B5D4" w14:textId="3558BECA" w:rsidR="00FD0042" w:rsidRPr="00F001F5" w:rsidRDefault="00FD0042" w:rsidP="00FD0042">
          <w:pPr>
            <w:pStyle w:val="Footer"/>
            <w:spacing w:before="20" w:line="200" w:lineRule="exact"/>
            <w:jc w:val="center"/>
            <w:rPr>
              <w:i/>
            </w:rPr>
          </w:pPr>
          <w:r w:rsidRPr="007856B3">
            <w:rPr>
              <w:i/>
            </w:rPr>
            <w:t xml:space="preserve">Radiocommunications Licence Conditions (Fixed Licence) Determination </w:t>
          </w:r>
          <w:r>
            <w:rPr>
              <w:i/>
            </w:rPr>
            <w:t>20</w:t>
          </w:r>
          <w:r w:rsidRPr="001B5DBF">
            <w:rPr>
              <w:i/>
            </w:rPr>
            <w:t>1</w:t>
          </w:r>
          <w:r>
            <w:rPr>
              <w:i/>
            </w:rPr>
            <w:t>5</w:t>
          </w:r>
        </w:p>
      </w:tc>
      <w:tc>
        <w:tcPr>
          <w:tcW w:w="1701" w:type="dxa"/>
        </w:tcPr>
        <w:p w14:paraId="5D3970F0" w14:textId="77777777" w:rsidR="00FD0042" w:rsidRDefault="00FD0042" w:rsidP="00F001F5">
          <w:pPr>
            <w:pStyle w:val="Footer"/>
            <w:jc w:val="right"/>
          </w:pPr>
        </w:p>
      </w:tc>
    </w:tr>
  </w:tbl>
  <w:p w14:paraId="65C0CDE4" w14:textId="77777777" w:rsidR="00FD0042" w:rsidRPr="00F10D43" w:rsidRDefault="00FD0042">
    <w:pPr>
      <w:pStyle w:val="Foo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D1154" w14:textId="77777777" w:rsidR="00411D9D" w:rsidRPr="00941E11" w:rsidRDefault="00411D9D" w:rsidP="00D10CB2">
      <w:pPr>
        <w:pStyle w:val="Body"/>
        <w:spacing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11A99FEC" w14:textId="77777777" w:rsidR="00411D9D" w:rsidRPr="00941E11" w:rsidRDefault="00411D9D" w:rsidP="00D10CB2">
      <w:pPr>
        <w:pStyle w:val="Body"/>
        <w:spacing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515"/>
      <w:gridCol w:w="6798"/>
    </w:tblGrid>
    <w:tr w:rsidR="00FD0042" w14:paraId="54707E01" w14:textId="77777777">
      <w:tc>
        <w:tcPr>
          <w:tcW w:w="1548" w:type="dxa"/>
        </w:tcPr>
        <w:p w14:paraId="601F44BB" w14:textId="12AF840A" w:rsidR="00FD0042" w:rsidRDefault="00FD0042">
          <w:pPr>
            <w:pStyle w:val="HeaderLiteEven"/>
          </w:pPr>
        </w:p>
      </w:tc>
      <w:tc>
        <w:tcPr>
          <w:tcW w:w="6980" w:type="dxa"/>
          <w:vAlign w:val="bottom"/>
        </w:tcPr>
        <w:p w14:paraId="2A9C9798" w14:textId="7269412E" w:rsidR="00FD0042" w:rsidRDefault="00FD0042" w:rsidP="006B5843">
          <w:pPr>
            <w:pStyle w:val="HeaderLiteEven"/>
          </w:pPr>
        </w:p>
      </w:tc>
    </w:tr>
    <w:tr w:rsidR="00FD0042" w14:paraId="2768853E" w14:textId="77777777">
      <w:tc>
        <w:tcPr>
          <w:tcW w:w="1548" w:type="dxa"/>
        </w:tcPr>
        <w:p w14:paraId="7A9ED9C1" w14:textId="77777777" w:rsidR="00FD0042" w:rsidRDefault="00FD0042">
          <w:pPr>
            <w:pStyle w:val="HeaderLiteEven"/>
          </w:pPr>
        </w:p>
      </w:tc>
      <w:tc>
        <w:tcPr>
          <w:tcW w:w="6980" w:type="dxa"/>
        </w:tcPr>
        <w:p w14:paraId="3B14C8CF" w14:textId="77777777" w:rsidR="00FD0042" w:rsidRDefault="00FD0042">
          <w:pPr>
            <w:pStyle w:val="HeaderLiteEven"/>
          </w:pPr>
        </w:p>
      </w:tc>
    </w:tr>
    <w:tr w:rsidR="00FD0042" w14:paraId="0E75085A" w14:textId="77777777">
      <w:tc>
        <w:tcPr>
          <w:tcW w:w="85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FCC5F68" w14:textId="015C5480" w:rsidR="00FD0042" w:rsidRPr="00115F31" w:rsidRDefault="007B4D53">
          <w:pPr>
            <w:pStyle w:val="HeaderBoldEven"/>
            <w:rPr>
              <w:b w:val="0"/>
            </w:rPr>
          </w:pPr>
          <w:r w:rsidRPr="00115F31">
            <w:rPr>
              <w:b w:val="0"/>
            </w:rPr>
            <w:t xml:space="preserve">Section </w:t>
          </w:r>
          <w:r w:rsidRPr="00115F31">
            <w:rPr>
              <w:b w:val="0"/>
            </w:rPr>
            <w:fldChar w:fldCharType="begin"/>
          </w:r>
          <w:r w:rsidRPr="00115F31">
            <w:rPr>
              <w:b w:val="0"/>
            </w:rPr>
            <w:instrText xml:space="preserve"> STYLEREF  CharSectno  \* MERGEFORMAT </w:instrText>
          </w:r>
          <w:r w:rsidRPr="00115F31">
            <w:rPr>
              <w:b w:val="0"/>
            </w:rPr>
            <w:fldChar w:fldCharType="separate"/>
          </w:r>
          <w:r w:rsidR="005107DF">
            <w:rPr>
              <w:b w:val="0"/>
            </w:rPr>
            <w:t>2</w:t>
          </w:r>
          <w:r w:rsidR="005107DF">
            <w:rPr>
              <w:b w:val="0"/>
            </w:rPr>
            <w:tab/>
            <w:t>Scope</w:t>
          </w:r>
          <w:r w:rsidRPr="00115F31">
            <w:rPr>
              <w:b w:val="0"/>
            </w:rPr>
            <w:fldChar w:fldCharType="end"/>
          </w:r>
          <w:r w:rsidR="00C538CB">
            <w:rPr>
              <w:b w:val="0"/>
            </w:rPr>
            <w:t xml:space="preserve"> control</w:t>
          </w:r>
        </w:p>
      </w:tc>
    </w:tr>
  </w:tbl>
  <w:p w14:paraId="3ACE2A01" w14:textId="77777777" w:rsidR="00FD0042" w:rsidRDefault="00FD00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tblInd w:w="108" w:type="dxa"/>
      <w:tblLayout w:type="fixed"/>
      <w:tblLook w:val="01E0" w:firstRow="1" w:lastRow="1" w:firstColumn="1" w:lastColumn="1" w:noHBand="0" w:noVBand="0"/>
    </w:tblPr>
    <w:tblGrid>
      <w:gridCol w:w="8505"/>
    </w:tblGrid>
    <w:tr w:rsidR="00FD0042" w14:paraId="30E080B7" w14:textId="77777777" w:rsidTr="00C71860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8640" w:type="dxa"/>
            <w:tblInd w:w="108" w:type="dxa"/>
            <w:tblBorders>
              <w:bottom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8640"/>
          </w:tblGrid>
          <w:tr w:rsidR="00FD0042" w14:paraId="0C4CA4B9" w14:textId="77777777" w:rsidTr="002061F3">
            <w:trPr>
              <w:trHeight w:val="207"/>
            </w:trPr>
            <w:tc>
              <w:tcPr>
                <w:tcW w:w="8640" w:type="dxa"/>
                <w:tcBorders>
                  <w:bottom w:val="nil"/>
                </w:tcBorders>
              </w:tcPr>
              <w:p w14:paraId="13C87567" w14:textId="56AFE284" w:rsidR="00FD0042" w:rsidRPr="00477625" w:rsidRDefault="00477625" w:rsidP="00477625">
                <w:pPr>
                  <w:pStyle w:val="HeaderLiteOdd"/>
                  <w:ind w:right="634"/>
                </w:pPr>
                <w:r w:rsidRPr="00C444BD">
                  <w:rPr>
                    <w:sz w:val="20"/>
                    <w:szCs w:val="20"/>
                  </w:rPr>
                  <w:t xml:space="preserve">Section </w:t>
                </w: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STYLEREF  "HR,Regulation Heading"  \* MERGEFORMAT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5107DF">
                  <w:rPr>
                    <w:sz w:val="20"/>
                    <w:szCs w:val="20"/>
                  </w:rPr>
                  <w:t>17</w:t>
                </w:r>
                <w:r w:rsidR="005107DF">
                  <w:rPr>
                    <w:sz w:val="20"/>
                    <w:szCs w:val="20"/>
                  </w:rPr>
                  <w:tab/>
                  <w:t>Harmful interference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tr>
          <w:tr w:rsidR="00FD0042" w14:paraId="10E2D97A" w14:textId="77777777" w:rsidTr="002061F3">
            <w:trPr>
              <w:trHeight w:val="342"/>
            </w:trPr>
            <w:tc>
              <w:tcPr>
                <w:tcW w:w="8640" w:type="dxa"/>
                <w:tcBorders>
                  <w:bottom w:val="nil"/>
                </w:tcBorders>
                <w:shd w:val="clear" w:color="auto" w:fill="auto"/>
              </w:tcPr>
              <w:p w14:paraId="7357F870" w14:textId="77777777" w:rsidR="00FD0042" w:rsidRPr="000D4CDA" w:rsidRDefault="00FD0042" w:rsidP="00D57D37">
                <w:pPr>
                  <w:pStyle w:val="HeaderBoldOdd"/>
                  <w:jc w:val="center"/>
                </w:pPr>
              </w:p>
            </w:tc>
          </w:tr>
        </w:tbl>
        <w:p w14:paraId="69BDC94D" w14:textId="77777777" w:rsidR="00FD0042" w:rsidRDefault="00FD0042" w:rsidP="00C71860">
          <w:pPr>
            <w:pStyle w:val="HeaderBoldOdd"/>
            <w:jc w:val="left"/>
          </w:pPr>
        </w:p>
      </w:tc>
    </w:tr>
  </w:tbl>
  <w:p w14:paraId="2FB6BBFB" w14:textId="77777777" w:rsidR="00FD0042" w:rsidRDefault="00FD0042" w:rsidP="002061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43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546"/>
      <w:gridCol w:w="6797"/>
    </w:tblGrid>
    <w:tr w:rsidR="00FD0042" w14:paraId="17536061" w14:textId="77777777">
      <w:tc>
        <w:tcPr>
          <w:tcW w:w="1546" w:type="dxa"/>
        </w:tcPr>
        <w:p w14:paraId="4C952781" w14:textId="77777777" w:rsidR="00FD0042" w:rsidRDefault="00FD0042">
          <w:pPr>
            <w:pStyle w:val="HeaderLiteEven"/>
          </w:pPr>
          <w:r>
            <w:fldChar w:fldCharType="begin"/>
          </w:r>
          <w:r>
            <w:instrText xml:space="preserve"> STYLEREF  CharAmSchNo  \* CHARFORMAT </w:instrText>
          </w:r>
          <w:r>
            <w:fldChar w:fldCharType="separate"/>
          </w:r>
          <w:r w:rsidR="00820CC8">
            <w:t>Schedule 1</w:t>
          </w:r>
          <w:r>
            <w:fldChar w:fldCharType="end"/>
          </w:r>
        </w:p>
      </w:tc>
      <w:tc>
        <w:tcPr>
          <w:tcW w:w="6797" w:type="dxa"/>
          <w:vAlign w:val="bottom"/>
        </w:tcPr>
        <w:p w14:paraId="11196C10" w14:textId="77777777" w:rsidR="00FD0042" w:rsidRDefault="00FD0042" w:rsidP="002159BC">
          <w:pPr>
            <w:pStyle w:val="HeaderLiteEven"/>
          </w:pPr>
          <w:r>
            <w:fldChar w:fldCharType="begin"/>
          </w:r>
          <w:r>
            <w:instrText xml:space="preserve"> STYLEREF  CharAmSchText  \* CHARFORMAT </w:instrText>
          </w:r>
          <w:r>
            <w:fldChar w:fldCharType="separate"/>
          </w:r>
          <w:r w:rsidR="00820CC8">
            <w:t>Requirements for the antenna of a point to point station</w:t>
          </w:r>
          <w:r>
            <w:fldChar w:fldCharType="end"/>
          </w:r>
        </w:p>
      </w:tc>
    </w:tr>
    <w:tr w:rsidR="00FD0042" w14:paraId="118C1422" w14:textId="77777777">
      <w:tc>
        <w:tcPr>
          <w:tcW w:w="1546" w:type="dxa"/>
          <w:tcBorders>
            <w:bottom w:val="nil"/>
          </w:tcBorders>
        </w:tcPr>
        <w:p w14:paraId="74A53669" w14:textId="77777777" w:rsidR="00FD0042" w:rsidRDefault="00FD0042">
          <w:pPr>
            <w:pStyle w:val="HeaderLiteEven"/>
          </w:pPr>
          <w:r>
            <w:fldChar w:fldCharType="begin"/>
          </w:r>
          <w:r>
            <w:instrText xml:space="preserve"> STYLEREF  CharSchPTNo  \* CHARFORMAT </w:instrText>
          </w:r>
          <w:r>
            <w:fldChar w:fldCharType="end"/>
          </w:r>
        </w:p>
      </w:tc>
      <w:tc>
        <w:tcPr>
          <w:tcW w:w="6797" w:type="dxa"/>
          <w:tcBorders>
            <w:bottom w:val="nil"/>
          </w:tcBorders>
        </w:tcPr>
        <w:p w14:paraId="01255DCC" w14:textId="77777777" w:rsidR="00FD0042" w:rsidRDefault="00FD0042">
          <w:pPr>
            <w:pStyle w:val="HeaderLiteEven"/>
          </w:pPr>
          <w:r>
            <w:fldChar w:fldCharType="begin"/>
          </w:r>
          <w:r>
            <w:instrText xml:space="preserve"> STYLEREF  CharSchPTText  \* CHARFORMAT </w:instrText>
          </w:r>
          <w:r>
            <w:fldChar w:fldCharType="end"/>
          </w:r>
        </w:p>
      </w:tc>
    </w:tr>
    <w:tr w:rsidR="00FD0042" w14:paraId="33D5660F" w14:textId="77777777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5ED1898" w14:textId="77777777" w:rsidR="00FD0042" w:rsidRDefault="00FD0042" w:rsidP="00F001F5">
          <w:pPr>
            <w:pStyle w:val="HeaderLiteEven"/>
            <w:spacing w:before="120" w:after="60"/>
            <w:ind w:right="-108"/>
          </w:pPr>
        </w:p>
      </w:tc>
    </w:tr>
  </w:tbl>
  <w:p w14:paraId="1CB91FB9" w14:textId="77777777" w:rsidR="00FD0042" w:rsidRDefault="00FD00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667"/>
    </w:tblGrid>
    <w:tr w:rsidR="00FD0042" w14:paraId="195F2B92" w14:textId="77777777">
      <w:tc>
        <w:tcPr>
          <w:tcW w:w="8414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8343" w:type="dxa"/>
            <w:tblInd w:w="108" w:type="dxa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6797"/>
          </w:tblGrid>
          <w:tr w:rsidR="00E95CBF" w14:paraId="18E1E838" w14:textId="77777777" w:rsidTr="00C444BD">
            <w:tc>
              <w:tcPr>
                <w:tcW w:w="1546" w:type="dxa"/>
              </w:tcPr>
              <w:p w14:paraId="73BD934D" w14:textId="77777777" w:rsidR="00E95CBF" w:rsidRDefault="00E95CBF" w:rsidP="00E95CBF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CharAmSchNo  \* CHARFORMAT </w:instrText>
                </w:r>
                <w:r>
                  <w:fldChar w:fldCharType="separate"/>
                </w:r>
                <w:r w:rsidR="00820CC8">
                  <w:t>Schedule 2</w:t>
                </w:r>
                <w:r>
                  <w:fldChar w:fldCharType="end"/>
                </w:r>
              </w:p>
            </w:tc>
            <w:tc>
              <w:tcPr>
                <w:tcW w:w="6797" w:type="dxa"/>
                <w:vAlign w:val="bottom"/>
              </w:tcPr>
              <w:p w14:paraId="4AC8EABB" w14:textId="77777777" w:rsidR="00E95CBF" w:rsidRDefault="00E95CBF" w:rsidP="00E95CBF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CharAmSchText  \* CHARFORMAT </w:instrText>
                </w:r>
                <w:r>
                  <w:fldChar w:fldCharType="separate"/>
                </w:r>
                <w:r w:rsidR="00820CC8">
                  <w:t>Transmitter power levels for a remote station</w:t>
                </w:r>
                <w:r>
                  <w:fldChar w:fldCharType="end"/>
                </w:r>
              </w:p>
            </w:tc>
          </w:tr>
          <w:tr w:rsidR="00E95CBF" w14:paraId="44CE45E8" w14:textId="77777777" w:rsidTr="00115F31">
            <w:tc>
              <w:tcPr>
                <w:tcW w:w="1546" w:type="dxa"/>
                <w:tcBorders>
                  <w:bottom w:val="nil"/>
                </w:tcBorders>
              </w:tcPr>
              <w:p w14:paraId="2D966F7B" w14:textId="77777777" w:rsidR="00E95CBF" w:rsidRDefault="00E95CBF" w:rsidP="00E95CBF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CharSchPTNo  \* CHARFORMAT </w:instrText>
                </w:r>
                <w:r>
                  <w:fldChar w:fldCharType="end"/>
                </w:r>
              </w:p>
            </w:tc>
            <w:tc>
              <w:tcPr>
                <w:tcW w:w="6797" w:type="dxa"/>
                <w:tcBorders>
                  <w:bottom w:val="nil"/>
                </w:tcBorders>
              </w:tcPr>
              <w:p w14:paraId="7F3F91EE" w14:textId="77777777" w:rsidR="00E95CBF" w:rsidRDefault="00E95CBF" w:rsidP="00E95CBF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CharSchPTText  \* CHARFORMAT </w:instrText>
                </w:r>
                <w:r>
                  <w:fldChar w:fldCharType="end"/>
                </w:r>
              </w:p>
            </w:tc>
          </w:tr>
          <w:tr w:rsidR="00E95CBF" w14:paraId="553B9B01" w14:textId="77777777" w:rsidTr="00115F31">
            <w:tc>
              <w:tcPr>
                <w:tcW w:w="8343" w:type="dxa"/>
                <w:gridSpan w:val="2"/>
                <w:tcBorders>
                  <w:bottom w:val="nil"/>
                </w:tcBorders>
                <w:shd w:val="clear" w:color="auto" w:fill="auto"/>
              </w:tcPr>
              <w:p w14:paraId="385CA53B" w14:textId="77777777" w:rsidR="00E95CBF" w:rsidRDefault="00E95CBF" w:rsidP="00E95CBF">
                <w:pPr>
                  <w:pStyle w:val="HeaderLiteEven"/>
                  <w:spacing w:before="120" w:after="60"/>
                  <w:ind w:right="-108"/>
                </w:pPr>
              </w:p>
            </w:tc>
          </w:tr>
        </w:tbl>
        <w:p w14:paraId="55A44104" w14:textId="289C1530" w:rsidR="00FD0042" w:rsidRDefault="00FD0042">
          <w:pPr>
            <w:pStyle w:val="HeaderBoldOdd"/>
          </w:pPr>
        </w:p>
      </w:tc>
    </w:tr>
  </w:tbl>
  <w:p w14:paraId="73172FD7" w14:textId="77777777" w:rsidR="00FD0042" w:rsidRDefault="00FD004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62EF3" w14:textId="77777777" w:rsidR="00FD0042" w:rsidRDefault="00FD0042">
    <w:pPr>
      <w:widowControl w:val="0"/>
      <w:tabs>
        <w:tab w:val="center" w:pos="3629"/>
        <w:tab w:val="right" w:pos="7258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CAA46" w14:textId="77777777" w:rsidR="00FD0042" w:rsidRDefault="00FD0042">
    <w:pPr>
      <w:widowControl w:val="0"/>
      <w:tabs>
        <w:tab w:val="center" w:pos="3629"/>
        <w:tab w:val="right" w:pos="725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04C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B64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07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32B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A40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388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9799E"/>
    <w:multiLevelType w:val="multilevel"/>
    <w:tmpl w:val="0E46E28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0BD17055"/>
    <w:multiLevelType w:val="hybridMultilevel"/>
    <w:tmpl w:val="8B140880"/>
    <w:lvl w:ilvl="0" w:tplc="34D2E5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1A550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110D5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9629E1"/>
    <w:multiLevelType w:val="hybridMultilevel"/>
    <w:tmpl w:val="892E4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15B0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2F74DF7"/>
    <w:multiLevelType w:val="hybridMultilevel"/>
    <w:tmpl w:val="9D4C1356"/>
    <w:lvl w:ilvl="0" w:tplc="0C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>
    <w:nsid w:val="49CE19D7"/>
    <w:multiLevelType w:val="hybridMultilevel"/>
    <w:tmpl w:val="2384EE78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58712B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61780015"/>
    <w:multiLevelType w:val="hybridMultilevel"/>
    <w:tmpl w:val="59CA2AA4"/>
    <w:lvl w:ilvl="0" w:tplc="1F26457C">
      <w:numFmt w:val="bullet"/>
      <w:lvlText w:val=""/>
      <w:lvlJc w:val="left"/>
      <w:pPr>
        <w:ind w:left="1425" w:hanging="46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6527462E"/>
    <w:multiLevelType w:val="hybridMultilevel"/>
    <w:tmpl w:val="71F677F6"/>
    <w:lvl w:ilvl="0" w:tplc="2822077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544CBE"/>
    <w:multiLevelType w:val="hybridMultilevel"/>
    <w:tmpl w:val="C6BA5A9E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20"/>
  </w:num>
  <w:num w:numId="16">
    <w:abstractNumId w:val="11"/>
  </w:num>
  <w:num w:numId="17">
    <w:abstractNumId w:val="14"/>
  </w:num>
  <w:num w:numId="18">
    <w:abstractNumId w:val="21"/>
  </w:num>
  <w:num w:numId="19">
    <w:abstractNumId w:val="17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embedSystemFont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98"/>
    <w:rsid w:val="0000672D"/>
    <w:rsid w:val="0001013E"/>
    <w:rsid w:val="00010B00"/>
    <w:rsid w:val="0002317C"/>
    <w:rsid w:val="00031CD9"/>
    <w:rsid w:val="00035490"/>
    <w:rsid w:val="00037A91"/>
    <w:rsid w:val="00042372"/>
    <w:rsid w:val="0005048E"/>
    <w:rsid w:val="00053D47"/>
    <w:rsid w:val="0006155B"/>
    <w:rsid w:val="00080555"/>
    <w:rsid w:val="00097A4A"/>
    <w:rsid w:val="000A130F"/>
    <w:rsid w:val="000A566D"/>
    <w:rsid w:val="000A7C05"/>
    <w:rsid w:val="000C1BBF"/>
    <w:rsid w:val="000E0A12"/>
    <w:rsid w:val="000E1607"/>
    <w:rsid w:val="000E200A"/>
    <w:rsid w:val="000E3209"/>
    <w:rsid w:val="000E47F8"/>
    <w:rsid w:val="000E7F7D"/>
    <w:rsid w:val="000F255E"/>
    <w:rsid w:val="000F27BA"/>
    <w:rsid w:val="00100481"/>
    <w:rsid w:val="001078E0"/>
    <w:rsid w:val="00113570"/>
    <w:rsid w:val="001142C9"/>
    <w:rsid w:val="00115F31"/>
    <w:rsid w:val="00131BE9"/>
    <w:rsid w:val="00133764"/>
    <w:rsid w:val="0013557A"/>
    <w:rsid w:val="00151F53"/>
    <w:rsid w:val="0015399C"/>
    <w:rsid w:val="001600AA"/>
    <w:rsid w:val="001677D1"/>
    <w:rsid w:val="001733A7"/>
    <w:rsid w:val="00175C03"/>
    <w:rsid w:val="00176AA2"/>
    <w:rsid w:val="00182B37"/>
    <w:rsid w:val="00184B9D"/>
    <w:rsid w:val="0018699A"/>
    <w:rsid w:val="001960C1"/>
    <w:rsid w:val="00196F63"/>
    <w:rsid w:val="001A0706"/>
    <w:rsid w:val="001A78B1"/>
    <w:rsid w:val="001B02AB"/>
    <w:rsid w:val="001B5DBF"/>
    <w:rsid w:val="001C0F4A"/>
    <w:rsid w:val="001D4B6C"/>
    <w:rsid w:val="001D4C98"/>
    <w:rsid w:val="001D6FA3"/>
    <w:rsid w:val="001D7D21"/>
    <w:rsid w:val="001E31C6"/>
    <w:rsid w:val="002061F3"/>
    <w:rsid w:val="002133E3"/>
    <w:rsid w:val="00213C15"/>
    <w:rsid w:val="00213E1D"/>
    <w:rsid w:val="002159BC"/>
    <w:rsid w:val="00216518"/>
    <w:rsid w:val="00227AE5"/>
    <w:rsid w:val="00234C2D"/>
    <w:rsid w:val="0024176A"/>
    <w:rsid w:val="00256D5A"/>
    <w:rsid w:val="00261B56"/>
    <w:rsid w:val="00262A96"/>
    <w:rsid w:val="002653C4"/>
    <w:rsid w:val="00276B29"/>
    <w:rsid w:val="00281837"/>
    <w:rsid w:val="002904F4"/>
    <w:rsid w:val="002A0592"/>
    <w:rsid w:val="002A1608"/>
    <w:rsid w:val="002A1A94"/>
    <w:rsid w:val="002A2FAF"/>
    <w:rsid w:val="002B0F83"/>
    <w:rsid w:val="002B3A2C"/>
    <w:rsid w:val="002B583A"/>
    <w:rsid w:val="002D3452"/>
    <w:rsid w:val="002E79AC"/>
    <w:rsid w:val="003125C4"/>
    <w:rsid w:val="00320DBE"/>
    <w:rsid w:val="00323FEB"/>
    <w:rsid w:val="00331293"/>
    <w:rsid w:val="00337191"/>
    <w:rsid w:val="003468F8"/>
    <w:rsid w:val="00346BB4"/>
    <w:rsid w:val="0035740B"/>
    <w:rsid w:val="003703DB"/>
    <w:rsid w:val="00372D27"/>
    <w:rsid w:val="00375867"/>
    <w:rsid w:val="00381179"/>
    <w:rsid w:val="003911DC"/>
    <w:rsid w:val="003B7E13"/>
    <w:rsid w:val="003C24BE"/>
    <w:rsid w:val="003C679A"/>
    <w:rsid w:val="003D7884"/>
    <w:rsid w:val="003D7B7D"/>
    <w:rsid w:val="003E4B73"/>
    <w:rsid w:val="003E4E45"/>
    <w:rsid w:val="0040618E"/>
    <w:rsid w:val="00411D9D"/>
    <w:rsid w:val="0041223A"/>
    <w:rsid w:val="00412E29"/>
    <w:rsid w:val="00425C66"/>
    <w:rsid w:val="00431DCB"/>
    <w:rsid w:val="00434F36"/>
    <w:rsid w:val="004409D0"/>
    <w:rsid w:val="00447F98"/>
    <w:rsid w:val="004562F1"/>
    <w:rsid w:val="00456B4D"/>
    <w:rsid w:val="00460BD8"/>
    <w:rsid w:val="00465FF7"/>
    <w:rsid w:val="00477625"/>
    <w:rsid w:val="00485648"/>
    <w:rsid w:val="00485A5B"/>
    <w:rsid w:val="004910C9"/>
    <w:rsid w:val="00494404"/>
    <w:rsid w:val="004A03C6"/>
    <w:rsid w:val="004A3E6A"/>
    <w:rsid w:val="004A4E0C"/>
    <w:rsid w:val="004A6129"/>
    <w:rsid w:val="004A6274"/>
    <w:rsid w:val="004A7CD4"/>
    <w:rsid w:val="004B10F7"/>
    <w:rsid w:val="004B637C"/>
    <w:rsid w:val="004C0652"/>
    <w:rsid w:val="004C3A06"/>
    <w:rsid w:val="004C63A6"/>
    <w:rsid w:val="004D327D"/>
    <w:rsid w:val="004E2E95"/>
    <w:rsid w:val="004E44D5"/>
    <w:rsid w:val="004E730E"/>
    <w:rsid w:val="004F03C8"/>
    <w:rsid w:val="004F1E12"/>
    <w:rsid w:val="004F2916"/>
    <w:rsid w:val="004F3D74"/>
    <w:rsid w:val="004F40EC"/>
    <w:rsid w:val="005008A2"/>
    <w:rsid w:val="005107DF"/>
    <w:rsid w:val="005223BC"/>
    <w:rsid w:val="00531076"/>
    <w:rsid w:val="00534BCA"/>
    <w:rsid w:val="00545401"/>
    <w:rsid w:val="00561D1A"/>
    <w:rsid w:val="00563D02"/>
    <w:rsid w:val="00573E67"/>
    <w:rsid w:val="00574CB2"/>
    <w:rsid w:val="00577277"/>
    <w:rsid w:val="00587A14"/>
    <w:rsid w:val="00591BF7"/>
    <w:rsid w:val="005A5086"/>
    <w:rsid w:val="005B1CE2"/>
    <w:rsid w:val="005C446C"/>
    <w:rsid w:val="005C6E2E"/>
    <w:rsid w:val="005F0E19"/>
    <w:rsid w:val="00600FE9"/>
    <w:rsid w:val="00606089"/>
    <w:rsid w:val="00621C24"/>
    <w:rsid w:val="00625FD2"/>
    <w:rsid w:val="00633B3A"/>
    <w:rsid w:val="00633DF7"/>
    <w:rsid w:val="00636492"/>
    <w:rsid w:val="00641A36"/>
    <w:rsid w:val="00647F5F"/>
    <w:rsid w:val="00651FFF"/>
    <w:rsid w:val="00653D6C"/>
    <w:rsid w:val="0065410F"/>
    <w:rsid w:val="006547E2"/>
    <w:rsid w:val="006658EC"/>
    <w:rsid w:val="0067567F"/>
    <w:rsid w:val="00677EA3"/>
    <w:rsid w:val="00682921"/>
    <w:rsid w:val="006A1A7F"/>
    <w:rsid w:val="006A64FE"/>
    <w:rsid w:val="006B4B19"/>
    <w:rsid w:val="006B5116"/>
    <w:rsid w:val="006B5843"/>
    <w:rsid w:val="006B5BA9"/>
    <w:rsid w:val="006C1779"/>
    <w:rsid w:val="006C276B"/>
    <w:rsid w:val="006C6771"/>
    <w:rsid w:val="006D669E"/>
    <w:rsid w:val="006E6C36"/>
    <w:rsid w:val="006E7B90"/>
    <w:rsid w:val="006F3433"/>
    <w:rsid w:val="00706034"/>
    <w:rsid w:val="00713AC6"/>
    <w:rsid w:val="00730CAB"/>
    <w:rsid w:val="00745F5F"/>
    <w:rsid w:val="007460AF"/>
    <w:rsid w:val="0075238C"/>
    <w:rsid w:val="00755510"/>
    <w:rsid w:val="00755D20"/>
    <w:rsid w:val="00762551"/>
    <w:rsid w:val="00783FEF"/>
    <w:rsid w:val="007856B3"/>
    <w:rsid w:val="00786310"/>
    <w:rsid w:val="00791241"/>
    <w:rsid w:val="00794DEE"/>
    <w:rsid w:val="007A25EC"/>
    <w:rsid w:val="007A65C2"/>
    <w:rsid w:val="007B4D53"/>
    <w:rsid w:val="007B5E05"/>
    <w:rsid w:val="007B780B"/>
    <w:rsid w:val="007C61B6"/>
    <w:rsid w:val="007D1D28"/>
    <w:rsid w:val="007D4648"/>
    <w:rsid w:val="007E4A2E"/>
    <w:rsid w:val="007E54C5"/>
    <w:rsid w:val="007E635E"/>
    <w:rsid w:val="00810F3B"/>
    <w:rsid w:val="00816489"/>
    <w:rsid w:val="00820CC8"/>
    <w:rsid w:val="00822C65"/>
    <w:rsid w:val="008306FD"/>
    <w:rsid w:val="00832A71"/>
    <w:rsid w:val="0083502A"/>
    <w:rsid w:val="008356C0"/>
    <w:rsid w:val="0083672E"/>
    <w:rsid w:val="00847EE0"/>
    <w:rsid w:val="0085068D"/>
    <w:rsid w:val="00855B03"/>
    <w:rsid w:val="00872CEE"/>
    <w:rsid w:val="00882FA9"/>
    <w:rsid w:val="00885737"/>
    <w:rsid w:val="008A1758"/>
    <w:rsid w:val="008B4C76"/>
    <w:rsid w:val="008B63B6"/>
    <w:rsid w:val="008C1C8A"/>
    <w:rsid w:val="008C3390"/>
    <w:rsid w:val="008C6A59"/>
    <w:rsid w:val="00911DD9"/>
    <w:rsid w:val="0091391F"/>
    <w:rsid w:val="00921965"/>
    <w:rsid w:val="00927404"/>
    <w:rsid w:val="009339D5"/>
    <w:rsid w:val="0094167B"/>
    <w:rsid w:val="009465B0"/>
    <w:rsid w:val="009512F4"/>
    <w:rsid w:val="009603C8"/>
    <w:rsid w:val="00964525"/>
    <w:rsid w:val="0096496C"/>
    <w:rsid w:val="00967E7E"/>
    <w:rsid w:val="00970E4F"/>
    <w:rsid w:val="00972500"/>
    <w:rsid w:val="00974CC8"/>
    <w:rsid w:val="00975E11"/>
    <w:rsid w:val="00980E86"/>
    <w:rsid w:val="009838DE"/>
    <w:rsid w:val="00990553"/>
    <w:rsid w:val="009941B6"/>
    <w:rsid w:val="00997DA3"/>
    <w:rsid w:val="009A40DC"/>
    <w:rsid w:val="009B537E"/>
    <w:rsid w:val="009C26C8"/>
    <w:rsid w:val="009C2E26"/>
    <w:rsid w:val="009E1AB8"/>
    <w:rsid w:val="009E2572"/>
    <w:rsid w:val="009E6FAD"/>
    <w:rsid w:val="009F012F"/>
    <w:rsid w:val="00A055BE"/>
    <w:rsid w:val="00A1267F"/>
    <w:rsid w:val="00A12886"/>
    <w:rsid w:val="00A149E2"/>
    <w:rsid w:val="00A16E35"/>
    <w:rsid w:val="00A30298"/>
    <w:rsid w:val="00A3726F"/>
    <w:rsid w:val="00A3773F"/>
    <w:rsid w:val="00A45E56"/>
    <w:rsid w:val="00A463E3"/>
    <w:rsid w:val="00A47E03"/>
    <w:rsid w:val="00A51E4D"/>
    <w:rsid w:val="00A70516"/>
    <w:rsid w:val="00A711F6"/>
    <w:rsid w:val="00A9429E"/>
    <w:rsid w:val="00AA168A"/>
    <w:rsid w:val="00AA20C8"/>
    <w:rsid w:val="00AA3C9E"/>
    <w:rsid w:val="00AA3D0E"/>
    <w:rsid w:val="00AA63C9"/>
    <w:rsid w:val="00AB1299"/>
    <w:rsid w:val="00AB5289"/>
    <w:rsid w:val="00AB7954"/>
    <w:rsid w:val="00AC41B0"/>
    <w:rsid w:val="00AC4748"/>
    <w:rsid w:val="00AC556A"/>
    <w:rsid w:val="00AD0EE1"/>
    <w:rsid w:val="00AD163B"/>
    <w:rsid w:val="00B04C47"/>
    <w:rsid w:val="00B1321D"/>
    <w:rsid w:val="00B25E4D"/>
    <w:rsid w:val="00B2765A"/>
    <w:rsid w:val="00B34C34"/>
    <w:rsid w:val="00B35A30"/>
    <w:rsid w:val="00B41389"/>
    <w:rsid w:val="00B51908"/>
    <w:rsid w:val="00B53012"/>
    <w:rsid w:val="00B72E91"/>
    <w:rsid w:val="00B73319"/>
    <w:rsid w:val="00B74A22"/>
    <w:rsid w:val="00B77384"/>
    <w:rsid w:val="00B840F1"/>
    <w:rsid w:val="00BA4974"/>
    <w:rsid w:val="00BA4CD9"/>
    <w:rsid w:val="00BB0908"/>
    <w:rsid w:val="00BB3D4C"/>
    <w:rsid w:val="00BC2D31"/>
    <w:rsid w:val="00BC405B"/>
    <w:rsid w:val="00BC74AC"/>
    <w:rsid w:val="00BD6574"/>
    <w:rsid w:val="00BD7AD2"/>
    <w:rsid w:val="00BE38AA"/>
    <w:rsid w:val="00C0301D"/>
    <w:rsid w:val="00C104BF"/>
    <w:rsid w:val="00C128AD"/>
    <w:rsid w:val="00C41ECA"/>
    <w:rsid w:val="00C5029D"/>
    <w:rsid w:val="00C50426"/>
    <w:rsid w:val="00C538CB"/>
    <w:rsid w:val="00C550CB"/>
    <w:rsid w:val="00C565F5"/>
    <w:rsid w:val="00C56A58"/>
    <w:rsid w:val="00C641DC"/>
    <w:rsid w:val="00C642D6"/>
    <w:rsid w:val="00C70EDB"/>
    <w:rsid w:val="00C71860"/>
    <w:rsid w:val="00C762DF"/>
    <w:rsid w:val="00C817BC"/>
    <w:rsid w:val="00C822A0"/>
    <w:rsid w:val="00CC53E1"/>
    <w:rsid w:val="00CE2299"/>
    <w:rsid w:val="00CE781D"/>
    <w:rsid w:val="00CF4768"/>
    <w:rsid w:val="00D07CC9"/>
    <w:rsid w:val="00D10CB2"/>
    <w:rsid w:val="00D139FF"/>
    <w:rsid w:val="00D22736"/>
    <w:rsid w:val="00D250F6"/>
    <w:rsid w:val="00D26955"/>
    <w:rsid w:val="00D27629"/>
    <w:rsid w:val="00D368AD"/>
    <w:rsid w:val="00D4276F"/>
    <w:rsid w:val="00D45741"/>
    <w:rsid w:val="00D47240"/>
    <w:rsid w:val="00D51732"/>
    <w:rsid w:val="00D51A61"/>
    <w:rsid w:val="00D57D37"/>
    <w:rsid w:val="00D61BCA"/>
    <w:rsid w:val="00D65B8A"/>
    <w:rsid w:val="00D71F7E"/>
    <w:rsid w:val="00D93435"/>
    <w:rsid w:val="00DA085D"/>
    <w:rsid w:val="00DA6154"/>
    <w:rsid w:val="00DB368A"/>
    <w:rsid w:val="00DB71C7"/>
    <w:rsid w:val="00DC18F9"/>
    <w:rsid w:val="00DC1A13"/>
    <w:rsid w:val="00DD39F6"/>
    <w:rsid w:val="00DD5C69"/>
    <w:rsid w:val="00DE10B5"/>
    <w:rsid w:val="00DE557B"/>
    <w:rsid w:val="00DE6819"/>
    <w:rsid w:val="00DE7137"/>
    <w:rsid w:val="00DF3EAC"/>
    <w:rsid w:val="00DF6691"/>
    <w:rsid w:val="00E03326"/>
    <w:rsid w:val="00E07308"/>
    <w:rsid w:val="00E14684"/>
    <w:rsid w:val="00E213FA"/>
    <w:rsid w:val="00E23AE9"/>
    <w:rsid w:val="00E24AF1"/>
    <w:rsid w:val="00E3084E"/>
    <w:rsid w:val="00E32D72"/>
    <w:rsid w:val="00E44959"/>
    <w:rsid w:val="00E5521E"/>
    <w:rsid w:val="00E751FC"/>
    <w:rsid w:val="00E76AAF"/>
    <w:rsid w:val="00E81C6A"/>
    <w:rsid w:val="00E8643A"/>
    <w:rsid w:val="00E87499"/>
    <w:rsid w:val="00E9029B"/>
    <w:rsid w:val="00E9238C"/>
    <w:rsid w:val="00E95CBF"/>
    <w:rsid w:val="00EA5F17"/>
    <w:rsid w:val="00EB248C"/>
    <w:rsid w:val="00EB3E36"/>
    <w:rsid w:val="00EB682B"/>
    <w:rsid w:val="00EC47BE"/>
    <w:rsid w:val="00EC7FE0"/>
    <w:rsid w:val="00ED0C2B"/>
    <w:rsid w:val="00ED2A57"/>
    <w:rsid w:val="00ED4D80"/>
    <w:rsid w:val="00ED691F"/>
    <w:rsid w:val="00EE585B"/>
    <w:rsid w:val="00EF175C"/>
    <w:rsid w:val="00EF2DEA"/>
    <w:rsid w:val="00EF331C"/>
    <w:rsid w:val="00EF56F8"/>
    <w:rsid w:val="00EF628B"/>
    <w:rsid w:val="00F001F5"/>
    <w:rsid w:val="00F11EB5"/>
    <w:rsid w:val="00F176B2"/>
    <w:rsid w:val="00F23220"/>
    <w:rsid w:val="00F260EB"/>
    <w:rsid w:val="00F35B05"/>
    <w:rsid w:val="00F376FD"/>
    <w:rsid w:val="00F471AA"/>
    <w:rsid w:val="00F65744"/>
    <w:rsid w:val="00F66F2A"/>
    <w:rsid w:val="00F67384"/>
    <w:rsid w:val="00F7235F"/>
    <w:rsid w:val="00F776C4"/>
    <w:rsid w:val="00F862A7"/>
    <w:rsid w:val="00F9002B"/>
    <w:rsid w:val="00F93906"/>
    <w:rsid w:val="00FA1205"/>
    <w:rsid w:val="00FB6EF4"/>
    <w:rsid w:val="00FC2440"/>
    <w:rsid w:val="00FC4D09"/>
    <w:rsid w:val="00FC5451"/>
    <w:rsid w:val="00FD0042"/>
    <w:rsid w:val="00FD4D98"/>
    <w:rsid w:val="00FF1CE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194A4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37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FF7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7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F7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1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71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713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713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F713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F71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7137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FF7137"/>
    <w:pPr>
      <w:tabs>
        <w:tab w:val="center" w:pos="4153"/>
        <w:tab w:val="right" w:pos="8306"/>
      </w:tabs>
    </w:pPr>
    <w:rPr>
      <w:sz w:val="16"/>
    </w:rPr>
  </w:style>
  <w:style w:type="paragraph" w:customStyle="1" w:styleId="Body">
    <w:name w:val="Body"/>
    <w:basedOn w:val="Normal"/>
    <w:rsid w:val="00AC556A"/>
    <w:pPr>
      <w:spacing w:line="260" w:lineRule="atLeast"/>
      <w:jc w:val="both"/>
    </w:pPr>
  </w:style>
  <w:style w:type="paragraph" w:customStyle="1" w:styleId="HR">
    <w:name w:val="HR"/>
    <w:aliases w:val="Regulation Heading"/>
    <w:basedOn w:val="Normal"/>
    <w:next w:val="Normal"/>
    <w:rsid w:val="00FF7137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1">
    <w:name w:val="R1"/>
    <w:aliases w:val="1. or 1.(1)"/>
    <w:basedOn w:val="Normal"/>
    <w:next w:val="Normal"/>
    <w:rsid w:val="00FF713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P1">
    <w:name w:val="P1"/>
    <w:aliases w:val="(a)"/>
    <w:basedOn w:val="Normal"/>
    <w:rsid w:val="00FF7137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FF713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FF7137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FF7137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styleId="Title">
    <w:name w:val="Title"/>
    <w:basedOn w:val="Normal"/>
    <w:next w:val="Normal"/>
    <w:qFormat/>
    <w:rsid w:val="00FF7137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HP">
    <w:name w:val="HP"/>
    <w:aliases w:val="Part Heading"/>
    <w:basedOn w:val="Normal"/>
    <w:next w:val="Normal"/>
    <w:rsid w:val="00FF7137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D">
    <w:name w:val="HD"/>
    <w:aliases w:val="Division Heading"/>
    <w:basedOn w:val="Normal"/>
    <w:next w:val="HR"/>
    <w:rsid w:val="00FF7137"/>
    <w:pPr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SL">
    <w:name w:val="SL"/>
    <w:aliases w:val="Section at left"/>
    <w:basedOn w:val="Body"/>
    <w:rsid w:val="00AC556A"/>
    <w:pPr>
      <w:spacing w:before="240" w:after="240" w:line="240" w:lineRule="atLeast"/>
    </w:pPr>
    <w:rPr>
      <w:b/>
      <w:bCs/>
    </w:rPr>
  </w:style>
  <w:style w:type="paragraph" w:customStyle="1" w:styleId="SR">
    <w:name w:val="SR"/>
    <w:aliases w:val="Section at right"/>
    <w:basedOn w:val="Body"/>
    <w:rsid w:val="00AC556A"/>
    <w:pPr>
      <w:spacing w:before="240" w:after="240" w:line="240" w:lineRule="atLeast"/>
      <w:jc w:val="right"/>
    </w:pPr>
    <w:rPr>
      <w:b/>
      <w:bCs/>
    </w:rPr>
  </w:style>
  <w:style w:type="paragraph" w:customStyle="1" w:styleId="Rc">
    <w:name w:val="Rc"/>
    <w:aliases w:val="Rn continued"/>
    <w:basedOn w:val="Normal"/>
    <w:next w:val="R2"/>
    <w:rsid w:val="00FF7137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NoteEnd">
    <w:name w:val="Note End"/>
    <w:basedOn w:val="Normal"/>
    <w:rsid w:val="00FF7137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P4">
    <w:name w:val="P4"/>
    <w:aliases w:val="(I)"/>
    <w:basedOn w:val="Normal"/>
    <w:rsid w:val="00FF7137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A3">
    <w:name w:val="A3"/>
    <w:aliases w:val="1.2 amendment"/>
    <w:basedOn w:val="Normal"/>
    <w:rsid w:val="00FF713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FF713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1">
    <w:name w:val="A1"/>
    <w:aliases w:val="Heading Amendment,1. Amendment"/>
    <w:basedOn w:val="Normal"/>
    <w:next w:val="Normal"/>
    <w:rsid w:val="00FF7137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NoteBody">
    <w:name w:val="Note Body"/>
    <w:basedOn w:val="NoteEnd"/>
    <w:rsid w:val="00AC556A"/>
    <w:pPr>
      <w:spacing w:before="240" w:line="260" w:lineRule="atLeast"/>
      <w:ind w:left="0" w:firstLine="0"/>
    </w:pPr>
  </w:style>
  <w:style w:type="paragraph" w:customStyle="1" w:styleId="definition">
    <w:name w:val="definition"/>
    <w:basedOn w:val="Normal"/>
    <w:link w:val="definitionChar"/>
    <w:rsid w:val="00FF7137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Comment">
    <w:name w:val="Comment"/>
    <w:basedOn w:val="Normal"/>
    <w:rsid w:val="00AC556A"/>
    <w:pPr>
      <w:spacing w:before="240"/>
    </w:pPr>
    <w:rPr>
      <w:i/>
      <w:iCs/>
    </w:rPr>
  </w:style>
  <w:style w:type="paragraph" w:customStyle="1" w:styleId="Tablea">
    <w:name w:val="Table (a)"/>
    <w:basedOn w:val="Normal"/>
    <w:rsid w:val="00AC556A"/>
    <w:pPr>
      <w:ind w:left="440" w:right="6" w:hanging="440"/>
    </w:pPr>
  </w:style>
  <w:style w:type="paragraph" w:customStyle="1" w:styleId="Tablea0">
    <w:name w:val="Table (a)"/>
    <w:basedOn w:val="Normal"/>
    <w:rsid w:val="00AC556A"/>
    <w:pPr>
      <w:spacing w:before="80"/>
      <w:ind w:left="580" w:hanging="580"/>
    </w:pPr>
  </w:style>
  <w:style w:type="paragraph" w:styleId="TOC1">
    <w:name w:val="toc 1"/>
    <w:basedOn w:val="Normal"/>
    <w:next w:val="Normal"/>
    <w:autoRedefine/>
    <w:rsid w:val="00FF7137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FF713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noProof w:val="0"/>
      <w:lang w:eastAsia="en-US"/>
    </w:rPr>
  </w:style>
  <w:style w:type="character" w:styleId="PageNumber">
    <w:name w:val="page number"/>
    <w:rsid w:val="00FF7137"/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rsid w:val="00FF713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noProof w:val="0"/>
      <w:sz w:val="20"/>
      <w:lang w:eastAsia="en-US"/>
    </w:rPr>
  </w:style>
  <w:style w:type="paragraph" w:styleId="TOC4">
    <w:name w:val="toc 4"/>
    <w:basedOn w:val="Normal"/>
    <w:next w:val="Normal"/>
    <w:autoRedefine/>
    <w:rsid w:val="00FF7137"/>
    <w:pPr>
      <w:keepNext/>
      <w:tabs>
        <w:tab w:val="right" w:pos="8278"/>
      </w:tabs>
      <w:spacing w:before="80"/>
      <w:ind w:left="1701" w:hanging="1701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FF713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FF713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noProof w:val="0"/>
      <w:sz w:val="20"/>
      <w:lang w:eastAsia="en-US"/>
    </w:rPr>
  </w:style>
  <w:style w:type="paragraph" w:styleId="TOC7">
    <w:name w:val="toc 7"/>
    <w:basedOn w:val="Normal"/>
    <w:next w:val="Normal"/>
    <w:autoRedefine/>
    <w:rsid w:val="00FF713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FF7137"/>
    <w:pPr>
      <w:tabs>
        <w:tab w:val="right" w:pos="8278"/>
      </w:tabs>
      <w:spacing w:before="60"/>
      <w:ind w:left="1843" w:right="714" w:hanging="1843"/>
    </w:pPr>
    <w:rPr>
      <w:rFonts w:ascii="Arial" w:hAnsi="Arial"/>
      <w:noProof w:val="0"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137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Note">
    <w:name w:val="Note"/>
    <w:basedOn w:val="Normal"/>
    <w:rsid w:val="00FF7137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Clause">
    <w:name w:val="Clause"/>
    <w:basedOn w:val="Normal"/>
    <w:rsid w:val="00AC556A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lang w:val="en-US"/>
    </w:rPr>
  </w:style>
  <w:style w:type="paragraph" w:customStyle="1" w:styleId="Schedulereference">
    <w:name w:val="Schedule reference"/>
    <w:basedOn w:val="Normal"/>
    <w:next w:val="Schedulepart"/>
    <w:rsid w:val="00FF7137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FF713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TableColHead">
    <w:name w:val="TableColHead"/>
    <w:basedOn w:val="Normal"/>
    <w:rsid w:val="00FF7137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Text">
    <w:name w:val="TableText"/>
    <w:basedOn w:val="Normal"/>
    <w:rsid w:val="00FF7137"/>
    <w:pPr>
      <w:spacing w:before="60" w:after="60" w:line="240" w:lineRule="exact"/>
    </w:pPr>
    <w:rPr>
      <w:sz w:val="22"/>
      <w:lang w:eastAsia="en-US"/>
    </w:rPr>
  </w:style>
  <w:style w:type="paragraph" w:customStyle="1" w:styleId="A3S">
    <w:name w:val="A3S"/>
    <w:aliases w:val="Schedule Amendment"/>
    <w:basedOn w:val="Normal"/>
    <w:next w:val="A1S"/>
    <w:rsid w:val="00FF7137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Schedulepara">
    <w:name w:val="Schedule para"/>
    <w:basedOn w:val="Normal"/>
    <w:rsid w:val="00FF7137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FF7137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igningPageBreak">
    <w:name w:val="SigningPageBreak"/>
    <w:basedOn w:val="Normal"/>
    <w:next w:val="Normal"/>
    <w:rsid w:val="00FF7137"/>
  </w:style>
  <w:style w:type="paragraph" w:customStyle="1" w:styleId="Footerinfo">
    <w:name w:val="Footerinfo"/>
    <w:basedOn w:val="Footer"/>
    <w:rsid w:val="00FF7137"/>
    <w:rPr>
      <w:sz w:val="12"/>
    </w:rPr>
  </w:style>
  <w:style w:type="paragraph" w:customStyle="1" w:styleId="Citation">
    <w:name w:val="Citation"/>
    <w:basedOn w:val="Footer"/>
    <w:rsid w:val="00FF7137"/>
  </w:style>
  <w:style w:type="paragraph" w:customStyle="1" w:styleId="citation0">
    <w:name w:val="citation"/>
    <w:basedOn w:val="Footer"/>
    <w:rsid w:val="00FF7137"/>
  </w:style>
  <w:style w:type="paragraph" w:customStyle="1" w:styleId="HeaderLiteEven">
    <w:name w:val="HeaderLiteEven"/>
    <w:basedOn w:val="Normal"/>
    <w:rsid w:val="00FF7137"/>
    <w:pPr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FF7137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FF7137"/>
    <w:pPr>
      <w:spacing w:before="60"/>
      <w:jc w:val="right"/>
    </w:pPr>
    <w:rPr>
      <w:rFonts w:ascii="Arial" w:hAnsi="Arial"/>
      <w:sz w:val="18"/>
    </w:rPr>
  </w:style>
  <w:style w:type="paragraph" w:customStyle="1" w:styleId="ReadersGuideSectionBreak">
    <w:name w:val="ReadersGuideSectionBreak"/>
    <w:basedOn w:val="Normal"/>
    <w:next w:val="Normal"/>
    <w:rsid w:val="00FF7137"/>
  </w:style>
  <w:style w:type="paragraph" w:customStyle="1" w:styleId="A1S">
    <w:name w:val="A1S"/>
    <w:aliases w:val="1.Schedule Amendment"/>
    <w:basedOn w:val="Normal"/>
    <w:next w:val="Normal"/>
    <w:rsid w:val="00FF7137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FF7137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4">
    <w:name w:val="A4"/>
    <w:aliases w:val="(a) Amendment"/>
    <w:basedOn w:val="Normal"/>
    <w:rsid w:val="00FF7137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FF7137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FF7137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FF7137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FF7137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FF7137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AmSchNo">
    <w:name w:val="CharAmSchNo"/>
    <w:basedOn w:val="DefaultParagraphFont"/>
    <w:rsid w:val="00FF7137"/>
  </w:style>
  <w:style w:type="character" w:customStyle="1" w:styleId="CharAmSchText">
    <w:name w:val="CharAmSchText"/>
    <w:basedOn w:val="DefaultParagraphFont"/>
    <w:rsid w:val="00FF7137"/>
  </w:style>
  <w:style w:type="character" w:customStyle="1" w:styleId="CharChapNo">
    <w:name w:val="CharChapNo"/>
    <w:basedOn w:val="DefaultParagraphFont"/>
    <w:rsid w:val="00FF7137"/>
  </w:style>
  <w:style w:type="character" w:customStyle="1" w:styleId="CharChapText">
    <w:name w:val="CharChapText"/>
    <w:basedOn w:val="DefaultParagraphFont"/>
    <w:rsid w:val="00FF7137"/>
  </w:style>
  <w:style w:type="character" w:customStyle="1" w:styleId="CharDivNo">
    <w:name w:val="CharDivNo"/>
    <w:basedOn w:val="DefaultParagraphFont"/>
    <w:rsid w:val="00FF7137"/>
  </w:style>
  <w:style w:type="character" w:customStyle="1" w:styleId="CharDivText">
    <w:name w:val="CharDivText"/>
    <w:basedOn w:val="DefaultParagraphFont"/>
    <w:rsid w:val="00FF7137"/>
  </w:style>
  <w:style w:type="character" w:customStyle="1" w:styleId="CharPartNo">
    <w:name w:val="CharPartNo"/>
    <w:basedOn w:val="DefaultParagraphFont"/>
    <w:rsid w:val="00FF7137"/>
  </w:style>
  <w:style w:type="character" w:customStyle="1" w:styleId="CharPartText">
    <w:name w:val="CharPartText"/>
    <w:basedOn w:val="DefaultParagraphFont"/>
    <w:rsid w:val="00FF7137"/>
  </w:style>
  <w:style w:type="character" w:customStyle="1" w:styleId="CharSchPTNo">
    <w:name w:val="CharSchPTNo"/>
    <w:basedOn w:val="DefaultParagraphFont"/>
    <w:rsid w:val="00FF7137"/>
  </w:style>
  <w:style w:type="character" w:customStyle="1" w:styleId="CharSchPTText">
    <w:name w:val="CharSchPTText"/>
    <w:basedOn w:val="DefaultParagraphFont"/>
    <w:rsid w:val="00FF7137"/>
  </w:style>
  <w:style w:type="character" w:customStyle="1" w:styleId="CharSectno">
    <w:name w:val="CharSectno"/>
    <w:basedOn w:val="DefaultParagraphFont"/>
    <w:uiPriority w:val="99"/>
    <w:rsid w:val="00FF7137"/>
  </w:style>
  <w:style w:type="paragraph" w:customStyle="1" w:styleId="ContentsHead">
    <w:name w:val="ContentsHead"/>
    <w:basedOn w:val="Normal"/>
    <w:next w:val="Normal"/>
    <w:rsid w:val="00FF7137"/>
    <w:pPr>
      <w:keepNext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ContentsSectionBreak">
    <w:name w:val="ContentsSectionBreak"/>
    <w:basedOn w:val="Normal"/>
    <w:next w:val="Normal"/>
    <w:rsid w:val="00FF7137"/>
    <w:rPr>
      <w:lang w:eastAsia="en-US"/>
    </w:rPr>
  </w:style>
  <w:style w:type="paragraph" w:customStyle="1" w:styleId="DD">
    <w:name w:val="DD"/>
    <w:aliases w:val="Dictionary Definition"/>
    <w:basedOn w:val="Normal"/>
    <w:rsid w:val="00FF7137"/>
    <w:pPr>
      <w:spacing w:before="80" w:line="260" w:lineRule="exact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FF7137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ictionarySectionBreak">
    <w:name w:val="DictionarySectionBreak"/>
    <w:basedOn w:val="Normal"/>
    <w:next w:val="Normal"/>
    <w:rsid w:val="00FF7137"/>
    <w:rPr>
      <w:lang w:eastAsia="en-US"/>
    </w:rPr>
  </w:style>
  <w:style w:type="paragraph" w:customStyle="1" w:styleId="DNote">
    <w:name w:val="DNote"/>
    <w:aliases w:val="DictionaryNote"/>
    <w:basedOn w:val="Normal"/>
    <w:rsid w:val="00FF7137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FF7137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FF713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paragraph" w:customStyle="1" w:styleId="ExampleBody">
    <w:name w:val="Example Body"/>
    <w:basedOn w:val="Normal"/>
    <w:rsid w:val="00FF7137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FF7137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paragraph" w:customStyle="1" w:styleId="FooterDraft">
    <w:name w:val="FooterDraft"/>
    <w:basedOn w:val="Normal"/>
    <w:rsid w:val="00FF7137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0">
    <w:name w:val="FooterInfo"/>
    <w:basedOn w:val="Normal"/>
    <w:rsid w:val="00FF7137"/>
    <w:rPr>
      <w:rFonts w:ascii="Arial" w:hAnsi="Arial"/>
      <w:sz w:val="12"/>
      <w:lang w:eastAsia="en-US"/>
    </w:rPr>
  </w:style>
  <w:style w:type="paragraph" w:customStyle="1" w:styleId="Formula">
    <w:name w:val="Formula"/>
    <w:basedOn w:val="Normal"/>
    <w:next w:val="Normal"/>
    <w:rsid w:val="00FF7137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FF7137"/>
    <w:pPr>
      <w:keepNext/>
      <w:spacing w:before="480"/>
      <w:ind w:left="2410" w:hanging="2410"/>
    </w:pPr>
    <w:rPr>
      <w:rFonts w:ascii="Arial" w:hAnsi="Arial"/>
      <w:b/>
      <w:sz w:val="40"/>
      <w:lang w:eastAsia="en-US"/>
    </w:rPr>
  </w:style>
  <w:style w:type="paragraph" w:customStyle="1" w:styleId="HE">
    <w:name w:val="HE"/>
    <w:aliases w:val="Example heading"/>
    <w:basedOn w:val="Normal"/>
    <w:next w:val="ExampleBody"/>
    <w:rsid w:val="00FF7137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eaderBoldEven">
    <w:name w:val="HeaderBoldEven"/>
    <w:basedOn w:val="Normal"/>
    <w:rsid w:val="00FF7137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FF7137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S">
    <w:name w:val="HS"/>
    <w:aliases w:val="Subdiv Heading"/>
    <w:basedOn w:val="Normal"/>
    <w:next w:val="HR"/>
    <w:rsid w:val="00FF7137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FF7137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FF7137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FF7137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FF7137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FF7137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inBodySectionBreak">
    <w:name w:val="MainBody Section Break"/>
    <w:basedOn w:val="Normal"/>
    <w:next w:val="Normal"/>
    <w:rsid w:val="00FF7137"/>
    <w:rPr>
      <w:lang w:eastAsia="en-US"/>
    </w:rPr>
  </w:style>
  <w:style w:type="paragraph" w:customStyle="1" w:styleId="Maker">
    <w:name w:val="Maker"/>
    <w:basedOn w:val="Normal"/>
    <w:rsid w:val="00FF7137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FF7137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FF7137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FF7137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FF7137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FF7137"/>
    <w:pPr>
      <w:keepNext/>
      <w:spacing w:before="300"/>
      <w:ind w:left="964" w:hanging="964"/>
    </w:pPr>
    <w:rPr>
      <w:i/>
      <w:lang w:eastAsia="en-US"/>
    </w:rPr>
  </w:style>
  <w:style w:type="paragraph" w:customStyle="1" w:styleId="Notepara">
    <w:name w:val="Note para"/>
    <w:basedOn w:val="Normal"/>
    <w:rsid w:val="00FF7137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NotesSectionBreak">
    <w:name w:val="NotesSectionBreak"/>
    <w:basedOn w:val="Normal"/>
    <w:next w:val="Normal"/>
    <w:rsid w:val="00FF7137"/>
    <w:rPr>
      <w:lang w:eastAsia="en-US"/>
    </w:rPr>
  </w:style>
  <w:style w:type="paragraph" w:customStyle="1" w:styleId="Penalty">
    <w:name w:val="Penalty"/>
    <w:basedOn w:val="Normal"/>
    <w:next w:val="Normal"/>
    <w:rsid w:val="00FF7137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semiHidden/>
    <w:rsid w:val="00FF7137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GHead">
    <w:name w:val="RGHead"/>
    <w:basedOn w:val="Normal"/>
    <w:next w:val="Normal"/>
    <w:rsid w:val="00FF7137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FF7137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FF7137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FF7137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AsAmendedBy">
    <w:name w:val="AsAmendedBy"/>
    <w:basedOn w:val="Normal"/>
    <w:rsid w:val="00FF7137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FF7137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ContentsStatRule">
    <w:name w:val="ContentsStatRule"/>
    <w:basedOn w:val="Normal"/>
    <w:rsid w:val="00FF7137"/>
    <w:pPr>
      <w:spacing w:before="480"/>
    </w:pPr>
    <w:rPr>
      <w:rFonts w:ascii="Arial" w:hAnsi="Arial"/>
      <w:b/>
    </w:rPr>
  </w:style>
  <w:style w:type="paragraph" w:customStyle="1" w:styleId="CoverAct">
    <w:name w:val="CoverAct"/>
    <w:basedOn w:val="Normal"/>
    <w:next w:val="Normal"/>
    <w:rsid w:val="00FF7137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ENotesHeading">
    <w:name w:val="TableENotesHeading"/>
    <w:basedOn w:val="Normal"/>
    <w:rsid w:val="00FF7137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CoverStatRule">
    <w:name w:val="CoverStatRule"/>
    <w:basedOn w:val="Normal"/>
    <w:next w:val="Normal"/>
    <w:rsid w:val="00FF7137"/>
    <w:pPr>
      <w:spacing w:before="240"/>
    </w:pPr>
    <w:rPr>
      <w:rFonts w:ascii="Arial" w:hAnsi="Arial"/>
      <w:b/>
    </w:rPr>
  </w:style>
  <w:style w:type="paragraph" w:customStyle="1" w:styleId="CoverUpdate">
    <w:name w:val="CoverUpdate"/>
    <w:basedOn w:val="Normal"/>
    <w:rsid w:val="00FF7137"/>
    <w:pPr>
      <w:spacing w:before="240"/>
    </w:pPr>
  </w:style>
  <w:style w:type="paragraph" w:customStyle="1" w:styleId="EndNotes">
    <w:name w:val="EndNotes"/>
    <w:basedOn w:val="Normal"/>
    <w:rsid w:val="00FF7137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FF7137"/>
    <w:pPr>
      <w:ind w:left="357" w:hanging="357"/>
    </w:pPr>
    <w:rPr>
      <w:rFonts w:ascii="Arial" w:hAnsi="Arial"/>
      <w:b/>
    </w:rPr>
  </w:style>
  <w:style w:type="paragraph" w:customStyle="1" w:styleId="FooterText">
    <w:name w:val="Footer Text"/>
    <w:basedOn w:val="Normal"/>
    <w:rsid w:val="00FF7137"/>
    <w:rPr>
      <w:sz w:val="20"/>
    </w:rPr>
  </w:style>
  <w:style w:type="paragraph" w:customStyle="1" w:styleId="SchedSectionBreak">
    <w:name w:val="SchedSectionBreak"/>
    <w:basedOn w:val="Normal"/>
    <w:next w:val="Normal"/>
    <w:rsid w:val="00FF7137"/>
    <w:rPr>
      <w:lang w:eastAsia="en-US"/>
    </w:rPr>
  </w:style>
  <w:style w:type="paragraph" w:customStyle="1" w:styleId="ScheduleHeading">
    <w:name w:val="Schedule Heading"/>
    <w:basedOn w:val="Normal"/>
    <w:next w:val="Normal"/>
    <w:rsid w:val="00FF7137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FF7137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styleId="Signature">
    <w:name w:val="Signature"/>
    <w:basedOn w:val="Normal"/>
    <w:semiHidden/>
    <w:rsid w:val="00FF7137"/>
    <w:pPr>
      <w:ind w:left="4252"/>
    </w:pPr>
    <w:rPr>
      <w:lang w:eastAsia="en-US"/>
    </w:rPr>
  </w:style>
  <w:style w:type="paragraph" w:customStyle="1" w:styleId="SRNo">
    <w:name w:val="SRNo"/>
    <w:basedOn w:val="Normal"/>
    <w:next w:val="Normal"/>
    <w:rsid w:val="00FF7137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P1a">
    <w:name w:val="TableP1(a)"/>
    <w:basedOn w:val="Normal"/>
    <w:rsid w:val="00FF7137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FF7137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extWOutChapSectionBreak">
    <w:name w:val="TextW/OutChapSectionBreak"/>
    <w:basedOn w:val="Normal"/>
    <w:next w:val="Normal"/>
    <w:rsid w:val="00FF7137"/>
    <w:rPr>
      <w:lang w:eastAsia="en-US"/>
    </w:rPr>
  </w:style>
  <w:style w:type="paragraph" w:customStyle="1" w:styleId="TOC">
    <w:name w:val="TOC"/>
    <w:basedOn w:val="Normal"/>
    <w:next w:val="Normal"/>
    <w:rsid w:val="00FF7137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customStyle="1" w:styleId="ZA2">
    <w:name w:val="ZA2"/>
    <w:basedOn w:val="A2"/>
    <w:rsid w:val="00FF7137"/>
    <w:pPr>
      <w:keepNext/>
    </w:pPr>
  </w:style>
  <w:style w:type="paragraph" w:customStyle="1" w:styleId="ZA3">
    <w:name w:val="ZA3"/>
    <w:basedOn w:val="A3"/>
    <w:rsid w:val="00FF7137"/>
    <w:pPr>
      <w:keepNext/>
    </w:pPr>
  </w:style>
  <w:style w:type="paragraph" w:customStyle="1" w:styleId="ZA4">
    <w:name w:val="ZA4"/>
    <w:basedOn w:val="Normal"/>
    <w:next w:val="A4"/>
    <w:rsid w:val="00FF7137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FF7137"/>
    <w:pPr>
      <w:keepNext/>
    </w:pPr>
  </w:style>
  <w:style w:type="paragraph" w:customStyle="1" w:styleId="Zdefinition">
    <w:name w:val="Zdefinition"/>
    <w:basedOn w:val="definition"/>
    <w:rsid w:val="00FF7137"/>
    <w:pPr>
      <w:keepNext/>
    </w:pPr>
  </w:style>
  <w:style w:type="paragraph" w:customStyle="1" w:styleId="ZDP1">
    <w:name w:val="ZDP1"/>
    <w:basedOn w:val="DP1a"/>
    <w:rsid w:val="00FF7137"/>
    <w:pPr>
      <w:keepNext/>
    </w:pPr>
  </w:style>
  <w:style w:type="paragraph" w:customStyle="1" w:styleId="ZExampleBody">
    <w:name w:val="ZExample Body"/>
    <w:basedOn w:val="ExampleBody"/>
    <w:rsid w:val="00FF7137"/>
    <w:pPr>
      <w:keepNext/>
    </w:pPr>
  </w:style>
  <w:style w:type="paragraph" w:customStyle="1" w:styleId="ZNote">
    <w:name w:val="ZNote"/>
    <w:basedOn w:val="Note"/>
    <w:rsid w:val="00FF7137"/>
    <w:pPr>
      <w:keepNext/>
    </w:pPr>
  </w:style>
  <w:style w:type="paragraph" w:customStyle="1" w:styleId="ZP1">
    <w:name w:val="ZP1"/>
    <w:basedOn w:val="P1"/>
    <w:rsid w:val="00FF7137"/>
    <w:pPr>
      <w:keepNext/>
    </w:pPr>
  </w:style>
  <w:style w:type="paragraph" w:customStyle="1" w:styleId="ZP2">
    <w:name w:val="ZP2"/>
    <w:basedOn w:val="P2"/>
    <w:rsid w:val="00FF7137"/>
    <w:pPr>
      <w:keepNext/>
    </w:pPr>
  </w:style>
  <w:style w:type="paragraph" w:customStyle="1" w:styleId="ZP3">
    <w:name w:val="ZP3"/>
    <w:basedOn w:val="P3"/>
    <w:rsid w:val="00FF7137"/>
    <w:pPr>
      <w:keepNext/>
    </w:pPr>
  </w:style>
  <w:style w:type="paragraph" w:customStyle="1" w:styleId="ZR1">
    <w:name w:val="ZR1"/>
    <w:basedOn w:val="R1"/>
    <w:rsid w:val="00FF7137"/>
    <w:pPr>
      <w:keepNext/>
    </w:pPr>
  </w:style>
  <w:style w:type="paragraph" w:customStyle="1" w:styleId="ZR2">
    <w:name w:val="ZR2"/>
    <w:basedOn w:val="R2"/>
    <w:rsid w:val="00FF7137"/>
    <w:pPr>
      <w:keepNext/>
    </w:pPr>
  </w:style>
  <w:style w:type="paragraph" w:customStyle="1" w:styleId="ZRcN">
    <w:name w:val="ZRcN"/>
    <w:basedOn w:val="Rc"/>
    <w:rsid w:val="00FF7137"/>
    <w:pPr>
      <w:keepNext/>
    </w:pPr>
  </w:style>
  <w:style w:type="paragraph" w:styleId="NoteHeading">
    <w:name w:val="Note Heading"/>
    <w:aliases w:val="HN"/>
    <w:basedOn w:val="Normal"/>
    <w:next w:val="Normal"/>
    <w:rsid w:val="00FF7137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RegNotesa">
    <w:name w:val="RegNotes(a)"/>
    <w:basedOn w:val="Normal"/>
    <w:rsid w:val="00FF7137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FF7137"/>
    <w:pPr>
      <w:ind w:left="850"/>
    </w:pPr>
  </w:style>
  <w:style w:type="paragraph" w:customStyle="1" w:styleId="Schedulereferenceleft">
    <w:name w:val="Schedule reference left"/>
    <w:basedOn w:val="Schedulereference"/>
    <w:rsid w:val="00FF7137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rsid w:val="00FF7137"/>
    <w:rPr>
      <w:sz w:val="4"/>
      <w:szCs w:val="20"/>
    </w:rPr>
  </w:style>
  <w:style w:type="paragraph" w:customStyle="1" w:styleId="TableASR">
    <w:name w:val="TableASR"/>
    <w:basedOn w:val="Normal"/>
    <w:semiHidden/>
    <w:rsid w:val="00FF7137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TableOfAmend">
    <w:name w:val="TableOfAmend"/>
    <w:basedOn w:val="Normal"/>
    <w:rsid w:val="00FF7137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FF7137"/>
    <w:pPr>
      <w:spacing w:before="0"/>
    </w:pPr>
  </w:style>
  <w:style w:type="paragraph" w:customStyle="1" w:styleId="TableOfAmendHead">
    <w:name w:val="TableOfAmendHead"/>
    <w:basedOn w:val="TableOfAmend"/>
    <w:next w:val="Normal"/>
    <w:rsid w:val="00FF7137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F7137"/>
    <w:pPr>
      <w:spacing w:before="60" w:line="200" w:lineRule="exact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FF7137"/>
    <w:rPr>
      <w:rFonts w:ascii="Tahoma" w:hAnsi="Tahoma" w:cs="Tahoma"/>
      <w:sz w:val="16"/>
      <w:szCs w:val="16"/>
    </w:rPr>
  </w:style>
  <w:style w:type="character" w:customStyle="1" w:styleId="CharENotesHeading">
    <w:name w:val="CharENotesHeading"/>
    <w:basedOn w:val="DefaultParagraphFont"/>
    <w:rsid w:val="00FF7137"/>
  </w:style>
  <w:style w:type="paragraph" w:styleId="BlockText">
    <w:name w:val="Block Text"/>
    <w:basedOn w:val="Normal"/>
    <w:semiHidden/>
    <w:rsid w:val="00FF7137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rsid w:val="00FF7137"/>
    <w:pPr>
      <w:tabs>
        <w:tab w:val="right" w:pos="7229"/>
      </w:tabs>
      <w:spacing w:after="120"/>
      <w:jc w:val="right"/>
    </w:pPr>
    <w:rPr>
      <w:rFonts w:ascii="Arial" w:hAnsi="Arial"/>
      <w:sz w:val="20"/>
    </w:rPr>
  </w:style>
  <w:style w:type="paragraph" w:customStyle="1" w:styleId="Explain1">
    <w:name w:val="Explain (1)"/>
    <w:basedOn w:val="Normal"/>
    <w:rsid w:val="00FF7137"/>
    <w:pPr>
      <w:spacing w:before="240"/>
      <w:jc w:val="both"/>
    </w:pPr>
    <w:rPr>
      <w:rFonts w:ascii="Optima" w:hAnsi="Optima"/>
      <w:sz w:val="22"/>
    </w:rPr>
  </w:style>
  <w:style w:type="paragraph" w:customStyle="1" w:styleId="Explaindot">
    <w:name w:val="Explain dot"/>
    <w:basedOn w:val="Normal"/>
    <w:rsid w:val="00FF7137"/>
    <w:pPr>
      <w:spacing w:before="120"/>
      <w:ind w:left="426" w:right="-8" w:hanging="426"/>
      <w:jc w:val="both"/>
    </w:pPr>
    <w:rPr>
      <w:rFonts w:ascii="Optima" w:hAnsi="Optima"/>
      <w:sz w:val="22"/>
    </w:rPr>
  </w:style>
  <w:style w:type="paragraph" w:customStyle="1" w:styleId="Explaintitle">
    <w:name w:val="Explain title"/>
    <w:basedOn w:val="Normal"/>
    <w:rsid w:val="00FF7137"/>
    <w:pPr>
      <w:pageBreakBefore/>
      <w:spacing w:before="240"/>
      <w:jc w:val="center"/>
    </w:pPr>
    <w:rPr>
      <w:rFonts w:ascii="Optima" w:hAnsi="Optima"/>
      <w:b/>
      <w:i/>
      <w:sz w:val="28"/>
    </w:rPr>
  </w:style>
  <w:style w:type="table" w:styleId="TableGrid">
    <w:name w:val="Table Grid"/>
    <w:basedOn w:val="TableNormal"/>
    <w:semiHidden/>
    <w:rsid w:val="00FF7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Made">
    <w:name w:val="CoverMade"/>
    <w:basedOn w:val="Normal"/>
    <w:rsid w:val="00FF7137"/>
    <w:pPr>
      <w:spacing w:before="240" w:after="240"/>
    </w:pPr>
    <w:rPr>
      <w:rFonts w:ascii="Arial" w:hAnsi="Arial"/>
    </w:rPr>
  </w:style>
  <w:style w:type="paragraph" w:customStyle="1" w:styleId="TableENotesHeadingAmdt">
    <w:name w:val="TableENotesHeadingAmdt"/>
    <w:basedOn w:val="Normal"/>
    <w:next w:val="Normal"/>
    <w:rsid w:val="00FF7137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sid w:val="00FF7137"/>
    <w:pPr>
      <w:spacing w:after="120"/>
    </w:pPr>
  </w:style>
  <w:style w:type="paragraph" w:styleId="BodyText2">
    <w:name w:val="Body Text 2"/>
    <w:basedOn w:val="Normal"/>
    <w:semiHidden/>
    <w:rsid w:val="00FF7137"/>
    <w:pPr>
      <w:spacing w:after="120" w:line="480" w:lineRule="auto"/>
    </w:pPr>
  </w:style>
  <w:style w:type="paragraph" w:styleId="BodyText3">
    <w:name w:val="Body Text 3"/>
    <w:basedOn w:val="Normal"/>
    <w:semiHidden/>
    <w:rsid w:val="00FF713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FF7137"/>
    <w:pPr>
      <w:ind w:firstLine="210"/>
    </w:pPr>
  </w:style>
  <w:style w:type="paragraph" w:styleId="BodyTextIndent">
    <w:name w:val="Body Text Indent"/>
    <w:basedOn w:val="Normal"/>
    <w:semiHidden/>
    <w:rsid w:val="00FF7137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FF7137"/>
    <w:pPr>
      <w:ind w:firstLine="210"/>
    </w:pPr>
  </w:style>
  <w:style w:type="paragraph" w:styleId="BodyTextIndent2">
    <w:name w:val="Body Text Indent 2"/>
    <w:basedOn w:val="Normal"/>
    <w:semiHidden/>
    <w:rsid w:val="00FF7137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FF7137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F7137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FF7137"/>
    <w:pPr>
      <w:ind w:left="4252"/>
    </w:pPr>
  </w:style>
  <w:style w:type="character" w:styleId="CommentReference">
    <w:name w:val="annotation reference"/>
    <w:rsid w:val="00FF7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1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7137"/>
    <w:rPr>
      <w:b/>
      <w:bCs/>
    </w:rPr>
  </w:style>
  <w:style w:type="paragraph" w:styleId="Date">
    <w:name w:val="Date"/>
    <w:basedOn w:val="Normal"/>
    <w:next w:val="Normal"/>
    <w:rsid w:val="00FF7137"/>
  </w:style>
  <w:style w:type="paragraph" w:styleId="DocumentMap">
    <w:name w:val="Document Map"/>
    <w:basedOn w:val="Normal"/>
    <w:semiHidden/>
    <w:rsid w:val="00FF713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FF7137"/>
  </w:style>
  <w:style w:type="character" w:styleId="Emphasis">
    <w:name w:val="Emphasis"/>
    <w:qFormat/>
    <w:rsid w:val="00FF7137"/>
    <w:rPr>
      <w:i/>
      <w:iCs/>
    </w:rPr>
  </w:style>
  <w:style w:type="character" w:styleId="EndnoteReference">
    <w:name w:val="endnote reference"/>
    <w:semiHidden/>
    <w:rsid w:val="00FF7137"/>
    <w:rPr>
      <w:vertAlign w:val="superscript"/>
    </w:rPr>
  </w:style>
  <w:style w:type="paragraph" w:styleId="EndnoteText">
    <w:name w:val="endnote text"/>
    <w:basedOn w:val="Normal"/>
    <w:semiHidden/>
    <w:rsid w:val="00FF7137"/>
    <w:rPr>
      <w:sz w:val="20"/>
      <w:szCs w:val="20"/>
    </w:rPr>
  </w:style>
  <w:style w:type="paragraph" w:styleId="EnvelopeAddress">
    <w:name w:val="envelope address"/>
    <w:basedOn w:val="Normal"/>
    <w:rsid w:val="00FF71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F7137"/>
    <w:rPr>
      <w:rFonts w:ascii="Arial" w:hAnsi="Arial" w:cs="Arial"/>
      <w:sz w:val="20"/>
      <w:szCs w:val="20"/>
    </w:rPr>
  </w:style>
  <w:style w:type="character" w:styleId="FollowedHyperlink">
    <w:name w:val="FollowedHyperlink"/>
    <w:rsid w:val="00FF7137"/>
    <w:rPr>
      <w:color w:val="800080"/>
      <w:u w:val="single"/>
    </w:rPr>
  </w:style>
  <w:style w:type="character" w:styleId="FootnoteReference">
    <w:name w:val="footnote reference"/>
    <w:semiHidden/>
    <w:rsid w:val="00FF7137"/>
    <w:rPr>
      <w:vertAlign w:val="superscript"/>
    </w:rPr>
  </w:style>
  <w:style w:type="paragraph" w:styleId="FootnoteText">
    <w:name w:val="footnote text"/>
    <w:basedOn w:val="Normal"/>
    <w:semiHidden/>
    <w:rsid w:val="00FF7137"/>
    <w:rPr>
      <w:sz w:val="20"/>
      <w:szCs w:val="20"/>
    </w:rPr>
  </w:style>
  <w:style w:type="character" w:styleId="HTMLAcronym">
    <w:name w:val="HTML Acronym"/>
    <w:basedOn w:val="DefaultParagraphFont"/>
    <w:semiHidden/>
    <w:rsid w:val="00FF7137"/>
  </w:style>
  <w:style w:type="paragraph" w:styleId="HTMLAddress">
    <w:name w:val="HTML Address"/>
    <w:basedOn w:val="Normal"/>
    <w:semiHidden/>
    <w:rsid w:val="00FF7137"/>
    <w:rPr>
      <w:i/>
      <w:iCs/>
    </w:rPr>
  </w:style>
  <w:style w:type="character" w:styleId="HTMLCite">
    <w:name w:val="HTML Cite"/>
    <w:semiHidden/>
    <w:rsid w:val="00FF7137"/>
    <w:rPr>
      <w:i/>
      <w:iCs/>
    </w:rPr>
  </w:style>
  <w:style w:type="character" w:styleId="HTMLCode">
    <w:name w:val="HTML Code"/>
    <w:semiHidden/>
    <w:rsid w:val="00FF71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F7137"/>
    <w:rPr>
      <w:i/>
      <w:iCs/>
    </w:rPr>
  </w:style>
  <w:style w:type="character" w:styleId="HTMLKeyboard">
    <w:name w:val="HTML Keyboard"/>
    <w:semiHidden/>
    <w:rsid w:val="00FF71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F7137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FF7137"/>
    <w:rPr>
      <w:rFonts w:ascii="Courier New" w:hAnsi="Courier New" w:cs="Courier New"/>
    </w:rPr>
  </w:style>
  <w:style w:type="character" w:styleId="HTMLTypewriter">
    <w:name w:val="HTML Typewriter"/>
    <w:semiHidden/>
    <w:rsid w:val="00FF713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F7137"/>
    <w:rPr>
      <w:i/>
      <w:iCs/>
    </w:rPr>
  </w:style>
  <w:style w:type="character" w:styleId="Hyperlink">
    <w:name w:val="Hyperlink"/>
    <w:semiHidden/>
    <w:rsid w:val="00FF7137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FF713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F713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F713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F713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F713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F713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F713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F713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F713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F7137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FF7137"/>
  </w:style>
  <w:style w:type="paragraph" w:styleId="List">
    <w:name w:val="List"/>
    <w:basedOn w:val="Normal"/>
    <w:semiHidden/>
    <w:rsid w:val="00FF7137"/>
    <w:pPr>
      <w:ind w:left="283" w:hanging="283"/>
    </w:pPr>
  </w:style>
  <w:style w:type="paragraph" w:styleId="List2">
    <w:name w:val="List 2"/>
    <w:basedOn w:val="Normal"/>
    <w:semiHidden/>
    <w:rsid w:val="00FF7137"/>
    <w:pPr>
      <w:ind w:left="566" w:hanging="283"/>
    </w:pPr>
  </w:style>
  <w:style w:type="paragraph" w:styleId="List3">
    <w:name w:val="List 3"/>
    <w:basedOn w:val="Normal"/>
    <w:semiHidden/>
    <w:rsid w:val="00FF7137"/>
    <w:pPr>
      <w:ind w:left="849" w:hanging="283"/>
    </w:pPr>
  </w:style>
  <w:style w:type="paragraph" w:styleId="List4">
    <w:name w:val="List 4"/>
    <w:basedOn w:val="Normal"/>
    <w:semiHidden/>
    <w:rsid w:val="00FF7137"/>
    <w:pPr>
      <w:ind w:left="1132" w:hanging="283"/>
    </w:pPr>
  </w:style>
  <w:style w:type="paragraph" w:styleId="List5">
    <w:name w:val="List 5"/>
    <w:basedOn w:val="Normal"/>
    <w:semiHidden/>
    <w:rsid w:val="00FF7137"/>
    <w:pPr>
      <w:ind w:left="1415" w:hanging="283"/>
    </w:pPr>
  </w:style>
  <w:style w:type="paragraph" w:styleId="ListBullet">
    <w:name w:val="List Bullet"/>
    <w:basedOn w:val="Normal"/>
    <w:autoRedefine/>
    <w:semiHidden/>
    <w:rsid w:val="00FF7137"/>
    <w:pPr>
      <w:numPr>
        <w:numId w:val="20"/>
      </w:numPr>
    </w:pPr>
  </w:style>
  <w:style w:type="paragraph" w:styleId="ListBullet2">
    <w:name w:val="List Bullet 2"/>
    <w:basedOn w:val="Normal"/>
    <w:autoRedefine/>
    <w:semiHidden/>
    <w:rsid w:val="00FF7137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semiHidden/>
    <w:rsid w:val="00FF7137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semiHidden/>
    <w:rsid w:val="00FF7137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semiHidden/>
    <w:rsid w:val="00FF7137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FF7137"/>
    <w:pPr>
      <w:spacing w:after="120"/>
      <w:ind w:left="283"/>
    </w:pPr>
  </w:style>
  <w:style w:type="paragraph" w:styleId="ListContinue2">
    <w:name w:val="List Continue 2"/>
    <w:basedOn w:val="Normal"/>
    <w:semiHidden/>
    <w:rsid w:val="00FF7137"/>
    <w:pPr>
      <w:spacing w:after="120"/>
      <w:ind w:left="566"/>
    </w:pPr>
  </w:style>
  <w:style w:type="paragraph" w:styleId="ListContinue3">
    <w:name w:val="List Continue 3"/>
    <w:basedOn w:val="Normal"/>
    <w:semiHidden/>
    <w:rsid w:val="00FF7137"/>
    <w:pPr>
      <w:spacing w:after="120"/>
      <w:ind w:left="849"/>
    </w:pPr>
  </w:style>
  <w:style w:type="paragraph" w:styleId="ListContinue4">
    <w:name w:val="List Continue 4"/>
    <w:basedOn w:val="Normal"/>
    <w:semiHidden/>
    <w:rsid w:val="00FF7137"/>
    <w:pPr>
      <w:spacing w:after="120"/>
      <w:ind w:left="1132"/>
    </w:pPr>
  </w:style>
  <w:style w:type="paragraph" w:styleId="ListContinue5">
    <w:name w:val="List Continue 5"/>
    <w:basedOn w:val="Normal"/>
    <w:semiHidden/>
    <w:rsid w:val="00FF7137"/>
    <w:pPr>
      <w:spacing w:after="120"/>
      <w:ind w:left="1415"/>
    </w:pPr>
  </w:style>
  <w:style w:type="paragraph" w:styleId="ListNumber">
    <w:name w:val="List Number"/>
    <w:basedOn w:val="Normal"/>
    <w:semiHidden/>
    <w:rsid w:val="00FF7137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semiHidden/>
    <w:rsid w:val="00FF7137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FF7137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FF7137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FF7137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FF7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</w:rPr>
  </w:style>
  <w:style w:type="paragraph" w:styleId="MessageHeader">
    <w:name w:val="Message Header"/>
    <w:basedOn w:val="Normal"/>
    <w:rsid w:val="00FF71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FF7137"/>
  </w:style>
  <w:style w:type="paragraph" w:styleId="NormalIndent">
    <w:name w:val="Normal Indent"/>
    <w:basedOn w:val="Normal"/>
    <w:semiHidden/>
    <w:rsid w:val="00FF7137"/>
    <w:pPr>
      <w:ind w:left="720"/>
    </w:pPr>
  </w:style>
  <w:style w:type="paragraph" w:styleId="PlainText">
    <w:name w:val="Plain Text"/>
    <w:basedOn w:val="Normal"/>
    <w:semiHidden/>
    <w:rsid w:val="00FF713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FF7137"/>
  </w:style>
  <w:style w:type="character" w:styleId="Strong">
    <w:name w:val="Strong"/>
    <w:qFormat/>
    <w:rsid w:val="00FF7137"/>
    <w:rPr>
      <w:b/>
      <w:bCs/>
    </w:rPr>
  </w:style>
  <w:style w:type="paragraph" w:styleId="Subtitle">
    <w:name w:val="Subtitle"/>
    <w:basedOn w:val="Normal"/>
    <w:qFormat/>
    <w:rsid w:val="00FF7137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FF71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F713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F71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F71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F71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F713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F713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F713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F713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F713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F713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F713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F713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F713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F713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F713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F713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F713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F713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F713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F713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F713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F713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F713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F713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F713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F713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F713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F713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F713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F713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F713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F713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F713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F7137"/>
    <w:pPr>
      <w:ind w:left="480" w:hanging="480"/>
    </w:pPr>
  </w:style>
  <w:style w:type="table" w:styleId="TableProfessional">
    <w:name w:val="Table Professional"/>
    <w:basedOn w:val="TableNormal"/>
    <w:semiHidden/>
    <w:rsid w:val="00FF713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F713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F71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F713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F713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F713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F7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FF713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F713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F713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F7137"/>
    <w:pPr>
      <w:spacing w:before="120"/>
    </w:pPr>
    <w:rPr>
      <w:rFonts w:ascii="Arial" w:hAnsi="Arial" w:cs="Arial"/>
      <w:b/>
      <w:bCs/>
    </w:rPr>
  </w:style>
  <w:style w:type="character" w:customStyle="1" w:styleId="CharSchNo">
    <w:name w:val="CharSchNo"/>
    <w:basedOn w:val="DefaultParagraphFont"/>
    <w:rsid w:val="00FF7137"/>
  </w:style>
  <w:style w:type="character" w:customStyle="1" w:styleId="CharSchText">
    <w:name w:val="CharSchText"/>
    <w:basedOn w:val="DefaultParagraphFont"/>
    <w:rsid w:val="00FF7137"/>
  </w:style>
  <w:style w:type="paragraph" w:customStyle="1" w:styleId="ScheduleDivision">
    <w:name w:val="Schedule Division"/>
    <w:basedOn w:val="Normal"/>
    <w:next w:val="ScheduleHeading"/>
    <w:rsid w:val="00FF7137"/>
    <w:pPr>
      <w:keepNext/>
      <w:spacing w:before="360"/>
      <w:ind w:left="1559" w:hanging="1559"/>
    </w:pPr>
    <w:rPr>
      <w:rFonts w:ascii="Arial" w:hAnsi="Arial"/>
      <w:b/>
      <w:noProof w:val="0"/>
      <w:lang w:eastAsia="en-US"/>
    </w:rPr>
  </w:style>
  <w:style w:type="paragraph" w:customStyle="1" w:styleId="TOC10">
    <w:name w:val="TOC 10"/>
    <w:basedOn w:val="TOC5"/>
    <w:rsid w:val="00FF7137"/>
  </w:style>
  <w:style w:type="character" w:customStyle="1" w:styleId="definitionChar">
    <w:name w:val="definition Char"/>
    <w:link w:val="definition"/>
    <w:rsid w:val="0041223A"/>
    <w:rPr>
      <w:noProof/>
      <w:sz w:val="24"/>
      <w:szCs w:val="24"/>
      <w:lang w:val="en-AU" w:eastAsia="en-US" w:bidi="ar-SA"/>
    </w:rPr>
  </w:style>
  <w:style w:type="paragraph" w:customStyle="1" w:styleId="endnotes0">
    <w:name w:val="endnotes"/>
    <w:basedOn w:val="Normal"/>
    <w:rsid w:val="00F11EB5"/>
    <w:pPr>
      <w:spacing w:before="100" w:beforeAutospacing="1" w:after="100" w:afterAutospacing="1"/>
    </w:pPr>
    <w:rPr>
      <w:noProof w:val="0"/>
    </w:rPr>
  </w:style>
  <w:style w:type="paragraph" w:customStyle="1" w:styleId="FooterPageOdd">
    <w:name w:val="FooterPageOdd"/>
    <w:basedOn w:val="Footer"/>
    <w:rsid w:val="00196F63"/>
    <w:pPr>
      <w:tabs>
        <w:tab w:val="center" w:pos="4153"/>
        <w:tab w:val="right" w:pos="8306"/>
      </w:tabs>
      <w:jc w:val="right"/>
    </w:pPr>
    <w:rPr>
      <w:noProof w:val="0"/>
      <w:sz w:val="22"/>
    </w:rPr>
  </w:style>
  <w:style w:type="paragraph" w:customStyle="1" w:styleId="FooterPageEven">
    <w:name w:val="FooterPageEven"/>
    <w:basedOn w:val="FooterPageOdd"/>
    <w:rsid w:val="00196F63"/>
    <w:pPr>
      <w:jc w:val="left"/>
    </w:pPr>
  </w:style>
  <w:style w:type="paragraph" w:customStyle="1" w:styleId="FooterCitation">
    <w:name w:val="FooterCitation"/>
    <w:basedOn w:val="Footer"/>
    <w:rsid w:val="00196F63"/>
    <w:pPr>
      <w:tabs>
        <w:tab w:val="center" w:pos="4153"/>
        <w:tab w:val="right" w:pos="8306"/>
      </w:tabs>
      <w:spacing w:before="20"/>
      <w:jc w:val="center"/>
    </w:pPr>
    <w:rPr>
      <w:i/>
      <w:noProof w:val="0"/>
    </w:rPr>
  </w:style>
  <w:style w:type="character" w:customStyle="1" w:styleId="FooterChar">
    <w:name w:val="Footer Char"/>
    <w:link w:val="Footer"/>
    <w:rsid w:val="001D6FA3"/>
    <w:rPr>
      <w:rFonts w:ascii="Arial" w:hAnsi="Arial"/>
      <w:noProof/>
      <w:sz w:val="18"/>
      <w:szCs w:val="24"/>
    </w:rPr>
  </w:style>
  <w:style w:type="character" w:customStyle="1" w:styleId="HeaderChar">
    <w:name w:val="Header Char"/>
    <w:link w:val="Header"/>
    <w:uiPriority w:val="99"/>
    <w:rsid w:val="0013557A"/>
    <w:rPr>
      <w:noProof/>
      <w:sz w:val="16"/>
      <w:szCs w:val="24"/>
    </w:rPr>
  </w:style>
  <w:style w:type="paragraph" w:styleId="Revision">
    <w:name w:val="Revision"/>
    <w:hidden/>
    <w:uiPriority w:val="99"/>
    <w:semiHidden/>
    <w:rsid w:val="009F012F"/>
    <w:rPr>
      <w:noProof/>
      <w:sz w:val="24"/>
      <w:szCs w:val="24"/>
    </w:rPr>
  </w:style>
  <w:style w:type="paragraph" w:customStyle="1" w:styleId="p10">
    <w:name w:val="p1"/>
    <w:basedOn w:val="Normal"/>
    <w:rsid w:val="008C6A59"/>
    <w:pPr>
      <w:spacing w:before="100" w:beforeAutospacing="1" w:after="100" w:afterAutospacing="1"/>
    </w:pPr>
    <w:rPr>
      <w:noProof w:val="0"/>
    </w:rPr>
  </w:style>
  <w:style w:type="character" w:customStyle="1" w:styleId="CommentTextChar">
    <w:name w:val="Comment Text Char"/>
    <w:link w:val="CommentText"/>
    <w:semiHidden/>
    <w:rsid w:val="00D4276F"/>
    <w:rPr>
      <w:noProof/>
    </w:rPr>
  </w:style>
  <w:style w:type="paragraph" w:customStyle="1" w:styleId="r10">
    <w:name w:val="r1"/>
    <w:basedOn w:val="Normal"/>
    <w:rsid w:val="00F93906"/>
    <w:pPr>
      <w:spacing w:before="100" w:beforeAutospacing="1" w:after="100" w:afterAutospacing="1"/>
    </w:pPr>
    <w:rPr>
      <w:noProof w:val="0"/>
    </w:rPr>
  </w:style>
  <w:style w:type="paragraph" w:customStyle="1" w:styleId="r20">
    <w:name w:val="r2"/>
    <w:basedOn w:val="Normal"/>
    <w:rsid w:val="00F93906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096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2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76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KNAH4PPFC442-3114-901</_dlc_DocId>
    <_dlc_DocIdUrl xmlns="6db8f3c6-01a1-4322-b043-a3b2a190f7a8">
      <Url>http://collaboration/organisation/Auth/Chair/Auth/_layouts/DocIdRedir.aspx?ID=KNAH4PPFC442-3114-901</Url>
      <Description>KNAH4PPFC442-3114-901</Description>
    </_dlc_DocIdUrl>
    <Record_x0020_Number xmlns="83630db1-6fc2-4dfd-b3fe-d61d34e1440c" xsi:nil="true"/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4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18C3E-C0A0-4D00-9179-B4E263161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F1970-E0F5-46A7-A5F1-A4B211563E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7451CB-67E8-477E-ACED-F4CABC2792F6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4.xml><?xml version="1.0" encoding="utf-8"?>
<ds:datastoreItem xmlns:ds="http://schemas.openxmlformats.org/officeDocument/2006/customXml" ds:itemID="{A486C8B0-4F49-4857-9051-F5682B3C51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BE2510-C44E-46B9-B639-4D04CBED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DD321E-C2E3-47AF-A0D7-796D3496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4040</Words>
  <Characters>21084</Characters>
  <Application>Microsoft Office Word</Application>
  <DocSecurity>0</DocSecurity>
  <Lines>175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2015-08-25T05:13:00Z</dcterms:created>
  <dcterms:modified xsi:type="dcterms:W3CDTF">2015-09-08T00:35:00Z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7fae057f-9da3-4348-ab51-13c1f8cab083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/>
  </property>
  <property fmtid="{D5CDD505-2E9C-101B-9397-08002B2CF9AE}" pid="9" name="RecordPoint_ActiveItemUniqueId">
    <vt:lpwstr>{7fae057f-9da3-4348-ab51-13c1f8cab083}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