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851D7" w14:textId="77777777" w:rsidR="00F109D4" w:rsidRPr="00503E44" w:rsidRDefault="00F109D4" w:rsidP="00035294">
      <w:pPr>
        <w:pStyle w:val="Heading1"/>
      </w:pPr>
      <w:r w:rsidRPr="00503E44">
        <w:t>EXPLANATORY STATEMENT</w:t>
      </w:r>
    </w:p>
    <w:p w14:paraId="0BED04E1" w14:textId="613586B6" w:rsidR="00D7125A" w:rsidRPr="00503E44" w:rsidRDefault="00D7125A" w:rsidP="00D7125A">
      <w:pPr>
        <w:pStyle w:val="Heading2"/>
        <w:jc w:val="center"/>
      </w:pPr>
      <w:r>
        <w:t>Select Legislative Instrument No. 157, 2015</w:t>
      </w:r>
    </w:p>
    <w:p w14:paraId="05514D9F" w14:textId="77777777" w:rsidR="00F109D4" w:rsidRPr="00503E44" w:rsidRDefault="00F109D4" w:rsidP="007B353A">
      <w:pPr>
        <w:pStyle w:val="Heading2"/>
        <w:jc w:val="center"/>
      </w:pPr>
      <w:r w:rsidRPr="00503E44">
        <w:t xml:space="preserve">Issued by authority of the </w:t>
      </w:r>
      <w:r w:rsidR="006F1D6C">
        <w:t>Assistant Treasurer</w:t>
      </w:r>
    </w:p>
    <w:p w14:paraId="1B1B8F13" w14:textId="77777777" w:rsidR="00F109D4" w:rsidRPr="00503E44" w:rsidRDefault="006F1D6C">
      <w:pPr>
        <w:jc w:val="center"/>
        <w:rPr>
          <w:i/>
        </w:rPr>
      </w:pPr>
      <w:r>
        <w:rPr>
          <w:i/>
        </w:rPr>
        <w:t>Corporations Act 2001</w:t>
      </w:r>
    </w:p>
    <w:p w14:paraId="0B4C9C3B" w14:textId="77777777" w:rsidR="006F1D6C" w:rsidRDefault="006F1D6C" w:rsidP="006F1D6C">
      <w:pPr>
        <w:tabs>
          <w:tab w:val="left" w:pos="1701"/>
          <w:tab w:val="right" w:pos="9072"/>
        </w:tabs>
        <w:ind w:left="1440" w:right="91"/>
        <w:rPr>
          <w:i/>
        </w:rPr>
      </w:pPr>
      <w:bookmarkStart w:id="0" w:name="_GoBack"/>
      <w:r>
        <w:rPr>
          <w:i/>
        </w:rPr>
        <w:t>Corporations Amendment (Central Clearing and Single-Sided</w:t>
      </w:r>
      <w:bookmarkEnd w:id="0"/>
      <w:r>
        <w:rPr>
          <w:i/>
        </w:rPr>
        <w:t xml:space="preserve"> </w:t>
      </w:r>
    </w:p>
    <w:p w14:paraId="15122C1F" w14:textId="77777777" w:rsidR="00F109D4" w:rsidRPr="00503E44" w:rsidRDefault="006F1D6C" w:rsidP="006F1D6C">
      <w:pPr>
        <w:tabs>
          <w:tab w:val="left" w:pos="1418"/>
        </w:tabs>
        <w:spacing w:after="240"/>
        <w:jc w:val="center"/>
        <w:rPr>
          <w:i/>
        </w:rPr>
      </w:pPr>
      <w:r>
        <w:rPr>
          <w:i/>
        </w:rPr>
        <w:t>Reporting) Regulation 2015</w:t>
      </w:r>
    </w:p>
    <w:p w14:paraId="75336CF0" w14:textId="77777777" w:rsidR="006F1D6C" w:rsidRPr="006F1D6C" w:rsidRDefault="006F1D6C" w:rsidP="006F1D6C">
      <w:r w:rsidRPr="006F1D6C">
        <w:t xml:space="preserve">Subsection 1364(1) of the </w:t>
      </w:r>
      <w:r w:rsidRPr="006F1D6C">
        <w:rPr>
          <w:i/>
        </w:rPr>
        <w:t xml:space="preserve">Corporations Act 2001 </w:t>
      </w:r>
      <w:r w:rsidRPr="006F1D6C">
        <w:t>(the Corporations Act) provides that the Governor</w:t>
      </w:r>
      <w:r w:rsidRPr="006F1D6C">
        <w:noBreakHyphen/>
        <w:t>General may make regulations prescribing matters required or permitted by the Act to be prescribed, or necessary or convenient to be prescribed for carrying out or giving effect to the Act.</w:t>
      </w:r>
    </w:p>
    <w:p w14:paraId="50E71E8F" w14:textId="77777777" w:rsidR="006F1D6C" w:rsidRPr="006F1D6C" w:rsidRDefault="006F1D6C" w:rsidP="006F1D6C">
      <w:r w:rsidRPr="006F1D6C">
        <w:t xml:space="preserve">Paragraph 901D(a) provides that the regulations may prevent the derivative transaction rules (DTRs) made by the Australian Securities and Investments Commission (ASIC) from imposing requirements on certain classes of persons. Paragraph 907E(2)(a) allows the regulations to exempt a person from the provisions in Part 7.5A of the Corporations Act, including regulations made under that part, and DTRs made by ASIC with respect to the regulation of derivatives as authorised under Part 7.5A. </w:t>
      </w:r>
    </w:p>
    <w:p w14:paraId="4D8C3907" w14:textId="77777777" w:rsidR="006F1D6C" w:rsidRPr="006F1D6C" w:rsidRDefault="006F1D6C" w:rsidP="006F1D6C">
      <w:r w:rsidRPr="006F1D6C">
        <w:t xml:space="preserve">The Australian Government is implementing reforms to the regulation of over-the-counter (OTC) derivatives markets. </w:t>
      </w:r>
      <w:r w:rsidR="003C6C3D" w:rsidRPr="003C6C3D">
        <w:t xml:space="preserve">OTC derivatives are traded directly between two parties, without using a formal exchange such as the ASX. </w:t>
      </w:r>
      <w:r w:rsidRPr="006F1D6C">
        <w:t>These reforms form part of a coordinated effort by G20 jurisdictions to improve transparency and risk management in these important markets. As one of these reforms the Australian Government is impos</w:t>
      </w:r>
      <w:r w:rsidR="00862BD7">
        <w:t>ing</w:t>
      </w:r>
      <w:r w:rsidRPr="006F1D6C">
        <w:t xml:space="preserve"> by Ministerial determination a central clearing mandate for prescribed classes of interest rate derivatives denominated in Australian dollars and four global currencies.</w:t>
      </w:r>
    </w:p>
    <w:p w14:paraId="17749CA9" w14:textId="77777777" w:rsidR="006F1D6C" w:rsidRPr="006F1D6C" w:rsidRDefault="006F1D6C" w:rsidP="006F1D6C">
      <w:r w:rsidRPr="006F1D6C">
        <w:t xml:space="preserve">In addition to the Ministerial determination amendments made by the </w:t>
      </w:r>
      <w:r w:rsidRPr="006F1D6C">
        <w:rPr>
          <w:i/>
        </w:rPr>
        <w:t>Corporations Amendment (Central Clearing and Single-Sided Reporting) Regulation 2015</w:t>
      </w:r>
      <w:r w:rsidRPr="006F1D6C">
        <w:t xml:space="preserve"> (the Regulation) set</w:t>
      </w:r>
      <w:r w:rsidR="00862BD7">
        <w:t>s</w:t>
      </w:r>
      <w:r w:rsidRPr="006F1D6C">
        <w:t xml:space="preserve"> key parameters for the proposed clearing mandate.</w:t>
      </w:r>
    </w:p>
    <w:p w14:paraId="6FAAAE13" w14:textId="34E2A74F" w:rsidR="006F1D6C" w:rsidRPr="006F1D6C" w:rsidRDefault="003C6C3D" w:rsidP="006F1D6C">
      <w:r w:rsidRPr="003C6C3D">
        <w:t>Central clearing improves risk management in OTC derivatives markets by interposing specialised central counterparties (CCPs) into each transaction. The CCP thereby guarantees completion of the transaction at maturity and therefore assumes and manages the risk that one of the counterparties to the transaction could default.</w:t>
      </w:r>
    </w:p>
    <w:p w14:paraId="01E4EEF7" w14:textId="77777777" w:rsidR="006F1D6C" w:rsidRPr="006F1D6C" w:rsidRDefault="006F1D6C" w:rsidP="006F1D6C">
      <w:r w:rsidRPr="006F1D6C">
        <w:t xml:space="preserve">The Regulation </w:t>
      </w:r>
      <w:r w:rsidR="003C6C3D">
        <w:t xml:space="preserve">limits the effect </w:t>
      </w:r>
      <w:r w:rsidRPr="006F1D6C">
        <w:t xml:space="preserve">of the central clearing mandate to a small number of major domestic and foreign banks that act as dealers in the Australian OTC derivatives market. Smaller financial institutions and all corporate end users </w:t>
      </w:r>
      <w:r w:rsidR="00862BD7">
        <w:t>are not</w:t>
      </w:r>
      <w:r w:rsidRPr="006F1D6C">
        <w:t xml:space="preserve"> affected.</w:t>
      </w:r>
    </w:p>
    <w:p w14:paraId="46B027F6" w14:textId="77777777" w:rsidR="006F1D6C" w:rsidRPr="006F1D6C" w:rsidRDefault="006F1D6C" w:rsidP="006F1D6C">
      <w:r w:rsidRPr="006F1D6C">
        <w:t xml:space="preserve">Under the </w:t>
      </w:r>
      <w:r w:rsidR="003C6C3D">
        <w:t>Corporations Act</w:t>
      </w:r>
      <w:r w:rsidRPr="006F1D6C">
        <w:t xml:space="preserve"> central clearing could occur through all central counterparties (CCPs) licensed in Australia. To provide some flexibility with respect to overseas CCPs that are not required to be licensed in Australia, but through which Australian dealers may wish to clear, there </w:t>
      </w:r>
      <w:r w:rsidR="00862BD7">
        <w:t>is</w:t>
      </w:r>
      <w:r w:rsidRPr="006F1D6C">
        <w:t xml:space="preserve"> a provision in the </w:t>
      </w:r>
      <w:r w:rsidR="003C6C3D">
        <w:t>proposed Regulation</w:t>
      </w:r>
      <w:r w:rsidRPr="006F1D6C">
        <w:t xml:space="preserve"> prescribing a number of such CCPs by name so that they c</w:t>
      </w:r>
      <w:r w:rsidR="00862BD7">
        <w:t>an</w:t>
      </w:r>
      <w:r w:rsidRPr="006F1D6C">
        <w:t xml:space="preserve"> be used to satisfy mandatory clearing requirements. A general power for ASIC to prescribe additional CCPs </w:t>
      </w:r>
      <w:r w:rsidR="00862BD7">
        <w:t>is</w:t>
      </w:r>
      <w:r w:rsidRPr="006F1D6C">
        <w:t xml:space="preserve"> also provided, subject to a number of conditions.  </w:t>
      </w:r>
    </w:p>
    <w:p w14:paraId="03D24F26" w14:textId="77777777" w:rsidR="006F1D6C" w:rsidRPr="006F1D6C" w:rsidRDefault="006F1D6C" w:rsidP="006F1D6C">
      <w:r w:rsidRPr="006F1D6C">
        <w:lastRenderedPageBreak/>
        <w:t>A further set of amendments in the Regulation amend</w:t>
      </w:r>
      <w:r w:rsidR="00862BD7">
        <w:t>s</w:t>
      </w:r>
      <w:r w:rsidRPr="006F1D6C">
        <w:t xml:space="preserve"> the existing OTC derivatives trade reporting obligations. </w:t>
      </w:r>
    </w:p>
    <w:p w14:paraId="36330FBD" w14:textId="77777777" w:rsidR="006F1D6C" w:rsidRPr="006F1D6C" w:rsidRDefault="006F1D6C" w:rsidP="006F1D6C">
      <w:r w:rsidRPr="006F1D6C">
        <w:t xml:space="preserve">In July 2013 ASIC made trade reporting DTRs under which the trade reporting obligation is being implemented in 3 phases. Phase 1 and 2 entities have started reporting. Phase 3 entities were originally due to begin reporting on 1 October 2014. In June 2014 ASIC made a class order splitting phase 3 into two subphases (3A and 3B) and delaying the start of </w:t>
      </w:r>
      <w:r w:rsidR="00862BD7">
        <w:t>t</w:t>
      </w:r>
      <w:r w:rsidRPr="006F1D6C">
        <w:t>heir reporting requirements by up to 12 months.</w:t>
      </w:r>
    </w:p>
    <w:p w14:paraId="5FEFA292" w14:textId="77777777" w:rsidR="006F1D6C" w:rsidRPr="006F1D6C" w:rsidRDefault="006F1D6C" w:rsidP="006F1D6C">
      <w:r w:rsidRPr="006F1D6C">
        <w:t>The DTRs require both sides of a transaction to report (so-called ‘double-sided reporting’). In December 2014 the Government announced that it would provide relief from the trade reporting requirements by allowing ‘single-sided reporting’ for entities with low levels of OTC derivatives transactions, provided they conclude</w:t>
      </w:r>
      <w:r w:rsidR="00286B3A">
        <w:t>d</w:t>
      </w:r>
      <w:r w:rsidRPr="006F1D6C">
        <w:t xml:space="preserve"> their derivatives transactions with counterparties that </w:t>
      </w:r>
      <w:r w:rsidR="00286B3A">
        <w:t>we</w:t>
      </w:r>
      <w:r w:rsidRPr="006F1D6C">
        <w:t>re already required</w:t>
      </w:r>
      <w:r w:rsidR="00286B3A">
        <w:t xml:space="preserve"> or agreed</w:t>
      </w:r>
      <w:r w:rsidRPr="006F1D6C">
        <w:t xml:space="preserve"> to report.</w:t>
      </w:r>
    </w:p>
    <w:p w14:paraId="073C9DE0" w14:textId="77777777" w:rsidR="006F1D6C" w:rsidRPr="006F1D6C" w:rsidRDefault="002701F1" w:rsidP="006F1D6C">
      <w:r>
        <w:t>Amendments in the Regulation</w:t>
      </w:r>
      <w:r w:rsidR="006F1D6C" w:rsidRPr="006F1D6C">
        <w:t xml:space="preserve"> implement this relief by introducing single-sided reporting for phase 3B entities as defined in the ASIC class order. Phase 3B entities have less than $5 billion gross notional OTC derivatives positions outstanding. The relief </w:t>
      </w:r>
      <w:r>
        <w:t>is</w:t>
      </w:r>
      <w:r w:rsidR="006F1D6C" w:rsidRPr="006F1D6C">
        <w:t xml:space="preserve"> available to these entities subject to the condition that the counterparty to the transaction is required or agrees to report.</w:t>
      </w:r>
    </w:p>
    <w:p w14:paraId="3B813DE4" w14:textId="77777777" w:rsidR="006F1D6C" w:rsidRPr="006F1D6C" w:rsidRDefault="006F1D6C" w:rsidP="006F1D6C">
      <w:r w:rsidRPr="006F1D6C">
        <w:t>The amendments contain provisions determining when and how phase 3B entities transition in and out of the single-sided reporting relief regime if their outstand</w:t>
      </w:r>
      <w:r w:rsidR="002701F1">
        <w:t>ing OTC derivatives positions ri</w:t>
      </w:r>
      <w:r w:rsidRPr="006F1D6C">
        <w:t>se above or below the $5 billion threshold. Transitional arrangements also clarify a range of circumstances that may arise when the reporting regime applying to phase 3B entities and the single-sided reporting relief commence in October 2015.</w:t>
      </w:r>
    </w:p>
    <w:p w14:paraId="68303169" w14:textId="77777777" w:rsidR="006F1D6C" w:rsidRPr="006F1D6C" w:rsidRDefault="006F1D6C" w:rsidP="006F1D6C">
      <w:r w:rsidRPr="006F1D6C">
        <w:t>Finally, an amendment in the Regulation clarif</w:t>
      </w:r>
      <w:r w:rsidR="002701F1">
        <w:t>ies</w:t>
      </w:r>
      <w:r w:rsidRPr="006F1D6C">
        <w:t xml:space="preserve"> that the DTRs can only impose requirements relating to a particular class of derivatives on Australian Financial Service Licence holders who are specifically authorised to provide financial services in relation to that class of derivatives.  </w:t>
      </w:r>
    </w:p>
    <w:p w14:paraId="1BE48454" w14:textId="77777777" w:rsidR="006F1D6C" w:rsidRPr="006F1D6C" w:rsidRDefault="006F1D6C" w:rsidP="006F1D6C">
      <w:r w:rsidRPr="006F1D6C">
        <w:t xml:space="preserve">Details of the amendments are set out in </w:t>
      </w:r>
      <w:r w:rsidRPr="006F1D6C">
        <w:rPr>
          <w:u w:val="single"/>
        </w:rPr>
        <w:t>Attachment</w:t>
      </w:r>
      <w:r w:rsidR="00801A2D">
        <w:rPr>
          <w:u w:val="single"/>
        </w:rPr>
        <w:t xml:space="preserve"> A</w:t>
      </w:r>
      <w:r w:rsidRPr="006F1D6C">
        <w:t>.</w:t>
      </w:r>
    </w:p>
    <w:p w14:paraId="28B555AC" w14:textId="77777777" w:rsidR="00D049A3" w:rsidRPr="00D049A3" w:rsidRDefault="00D049A3" w:rsidP="00D049A3">
      <w:r w:rsidRPr="00D049A3">
        <w:t xml:space="preserve">Extensive public consultation occurred in 2014 through two Australian Government proposals papers for a central clearing mandate for OTC interest rate derivatives denominated in Australian dollars and four global currencies (US dollars, euros, Japanese yen and British pounds), limited to transactions between internationally active dealers. </w:t>
      </w:r>
    </w:p>
    <w:p w14:paraId="4FA46214" w14:textId="77777777" w:rsidR="00D049A3" w:rsidRPr="00D049A3" w:rsidRDefault="00D049A3" w:rsidP="00D049A3">
      <w:r w:rsidRPr="00D049A3">
        <w:t>There was general support for the proposed mandate. There was some disagreement on the appropriate definition of ‘internationally active dealer’. Further targeted consultation was held to develop an improved definition.</w:t>
      </w:r>
    </w:p>
    <w:p w14:paraId="705374C0" w14:textId="77777777" w:rsidR="00D049A3" w:rsidRPr="00D049A3" w:rsidRDefault="00743F53" w:rsidP="00D049A3">
      <w:r>
        <w:t xml:space="preserve">Following the Government’s announcements on its decisions with respect to central clearing and single-sided reporting in December 2014, </w:t>
      </w:r>
      <w:r w:rsidR="00D049A3" w:rsidRPr="00D049A3">
        <w:t>the</w:t>
      </w:r>
      <w:r w:rsidR="00CA07E7">
        <w:t xml:space="preserve"> draft</w:t>
      </w:r>
      <w:r w:rsidR="00857B4A">
        <w:t xml:space="preserve"> Regulation</w:t>
      </w:r>
      <w:r w:rsidR="00D049A3" w:rsidRPr="00D049A3">
        <w:t xml:space="preserve"> w</w:t>
      </w:r>
      <w:r w:rsidR="00857B4A">
        <w:t>as</w:t>
      </w:r>
      <w:r w:rsidR="00D049A3" w:rsidRPr="00D049A3">
        <w:t xml:space="preserve"> provided for final public consultation in May 2015. The</w:t>
      </w:r>
      <w:r w:rsidR="00857B4A">
        <w:t xml:space="preserve"> draft Regulation</w:t>
      </w:r>
      <w:r w:rsidR="00D049A3" w:rsidRPr="00D049A3">
        <w:t xml:space="preserve"> set</w:t>
      </w:r>
      <w:r w:rsidR="00857B4A">
        <w:t>s</w:t>
      </w:r>
      <w:r w:rsidR="00D049A3" w:rsidRPr="00D049A3">
        <w:t xml:space="preserve"> out a number of important elements of the central clearing mandate, including the definition of internationally active dealers that are subject to the mandate.</w:t>
      </w:r>
      <w:r w:rsidR="00CA07E7">
        <w:t xml:space="preserve"> </w:t>
      </w:r>
    </w:p>
    <w:p w14:paraId="4CB2E1A3" w14:textId="77777777" w:rsidR="00D049A3" w:rsidRPr="00D049A3" w:rsidRDefault="00D049A3" w:rsidP="00D049A3">
      <w:r w:rsidRPr="00D049A3">
        <w:t xml:space="preserve">Submissions provided strong support for the proposed mandate, including the proposed product and entity scope. A </w:t>
      </w:r>
      <w:r w:rsidR="00857B4A">
        <w:t xml:space="preserve">small </w:t>
      </w:r>
      <w:r w:rsidRPr="00D049A3">
        <w:t xml:space="preserve">number of </w:t>
      </w:r>
      <w:r w:rsidR="00286B3A">
        <w:t>changes</w:t>
      </w:r>
      <w:r w:rsidRPr="00D049A3">
        <w:t xml:space="preserve"> to the drafting were made as a result of suggestions made in submissions, mainly to avoid unintended consequences.</w:t>
      </w:r>
    </w:p>
    <w:p w14:paraId="0586F5AC" w14:textId="77777777" w:rsidR="00D049A3" w:rsidRDefault="00857B4A" w:rsidP="006F1D6C">
      <w:r>
        <w:lastRenderedPageBreak/>
        <w:t xml:space="preserve">With respect to single-sided reporting, a number of submissions </w:t>
      </w:r>
      <w:r w:rsidR="00F87B6A">
        <w:t>expressed concerns</w:t>
      </w:r>
      <w:r>
        <w:t xml:space="preserve"> that the proposed drafting of the provisions exposed entities benefiting from the exemption to considerable legal risk, if the counterparty for some reason failed to report the required information. The drafting was subsequently amended to provide a safe harbour from this risk, subject to a requirement to undertake a reasonable amount of due diligence to check that the counterparty was </w:t>
      </w:r>
      <w:r w:rsidR="00F87B6A">
        <w:t xml:space="preserve">required to report or </w:t>
      </w:r>
      <w:r>
        <w:t>complying with its obligation to report.</w:t>
      </w:r>
    </w:p>
    <w:p w14:paraId="258B7797" w14:textId="77777777" w:rsidR="00857B4A" w:rsidRDefault="00857B4A" w:rsidP="006F1D6C">
      <w:r>
        <w:t>A number of foreign banks were critical</w:t>
      </w:r>
      <w:r w:rsidR="00394488">
        <w:t xml:space="preserve"> of the fact that the proposed relief provided some advantage to reporting entities regulated in Australia in assisting phase 3B entities in benefiting from single-sided reporting relief. While some changes were made to address this imbalance, it was not possible to completely </w:t>
      </w:r>
      <w:r w:rsidR="00286B3A">
        <w:t>remove it</w:t>
      </w:r>
      <w:r w:rsidR="00096DA6">
        <w:t>, as this could only be done by giving up the requirement for at least one side of each transaction to report the required information.</w:t>
      </w:r>
      <w:r w:rsidR="0007687E">
        <w:t xml:space="preserve"> This would have </w:t>
      </w:r>
      <w:r w:rsidR="006B7BE5">
        <w:t>been counter to</w:t>
      </w:r>
      <w:r w:rsidR="0063478D">
        <w:t xml:space="preserve"> </w:t>
      </w:r>
      <w:r w:rsidR="00F87B6A">
        <w:t>the critical</w:t>
      </w:r>
      <w:r w:rsidR="0063478D">
        <w:t xml:space="preserve"> principle underlying</w:t>
      </w:r>
      <w:r w:rsidR="0007687E">
        <w:t xml:space="preserve"> the Government’s decision </w:t>
      </w:r>
      <w:r w:rsidR="0063478D">
        <w:t>to proceed wit</w:t>
      </w:r>
      <w:r w:rsidR="00F87B6A">
        <w:t>h single-sided reporting relief, i.e. that Australian regulators would continue to have access to the reported information from at least one party to the transaction.</w:t>
      </w:r>
    </w:p>
    <w:p w14:paraId="7277A6DB" w14:textId="77777777" w:rsidR="00801A2D" w:rsidRDefault="00801A2D" w:rsidP="00801A2D">
      <w:r w:rsidRPr="00801A2D">
        <w:t>The Office of Best Practice Regulation (OBPR) has approved a final stage Regulation Impact Statement</w:t>
      </w:r>
      <w:r>
        <w:t xml:space="preserve"> (RIS)</w:t>
      </w:r>
      <w:r w:rsidRPr="00801A2D">
        <w:t xml:space="preserve"> for the central clearing mandate (OBPR reference ID number 17591). </w:t>
      </w:r>
      <w:r>
        <w:t xml:space="preserve">The approved RIS is at </w:t>
      </w:r>
      <w:r w:rsidRPr="00801A2D">
        <w:rPr>
          <w:u w:val="single"/>
        </w:rPr>
        <w:t>Attachment B</w:t>
      </w:r>
      <w:r>
        <w:t>.</w:t>
      </w:r>
    </w:p>
    <w:p w14:paraId="734918F1" w14:textId="77777777" w:rsidR="00801A2D" w:rsidRPr="00801A2D" w:rsidRDefault="00801A2D" w:rsidP="00801A2D">
      <w:r>
        <w:t xml:space="preserve">OBPR has confirmed that the single-sided reporting relief measure does not require a RIS (OBPR reference ID number </w:t>
      </w:r>
      <w:r w:rsidR="00DD009C">
        <w:t>17859).</w:t>
      </w:r>
    </w:p>
    <w:p w14:paraId="5D068FD4" w14:textId="77777777" w:rsidR="0007687E" w:rsidRDefault="0007687E">
      <w:pPr>
        <w:spacing w:before="0" w:after="0"/>
      </w:pPr>
      <w:r>
        <w:br w:type="page"/>
      </w:r>
    </w:p>
    <w:p w14:paraId="5FC88D35" w14:textId="77777777" w:rsidR="00682C4E" w:rsidRPr="001550FB" w:rsidRDefault="00682C4E" w:rsidP="00682C4E">
      <w:pPr>
        <w:tabs>
          <w:tab w:val="right" w:pos="9072"/>
        </w:tabs>
        <w:spacing w:after="240"/>
        <w:ind w:right="91"/>
        <w:jc w:val="right"/>
        <w:rPr>
          <w:b/>
          <w:u w:val="single"/>
        </w:rPr>
      </w:pPr>
      <w:r w:rsidRPr="001550FB">
        <w:rPr>
          <w:b/>
          <w:u w:val="single"/>
        </w:rPr>
        <w:t>ATTACHMENT</w:t>
      </w:r>
      <w:r w:rsidR="00801A2D">
        <w:rPr>
          <w:b/>
          <w:u w:val="single"/>
        </w:rPr>
        <w:t xml:space="preserve"> A</w:t>
      </w:r>
    </w:p>
    <w:p w14:paraId="02551B9B" w14:textId="77777777" w:rsidR="00682C4E" w:rsidRPr="000B4236" w:rsidRDefault="00682C4E" w:rsidP="00682C4E">
      <w:pPr>
        <w:rPr>
          <w:i/>
          <w:iCs/>
        </w:rPr>
      </w:pPr>
      <w:r w:rsidRPr="000B4236">
        <w:rPr>
          <w:b/>
          <w:u w:val="single"/>
        </w:rPr>
        <w:t>Details of the</w:t>
      </w:r>
      <w:r w:rsidRPr="000B4236">
        <w:rPr>
          <w:b/>
          <w:i/>
          <w:u w:val="single"/>
        </w:rPr>
        <w:t xml:space="preserve"> Corporations Amendment (</w:t>
      </w:r>
      <w:r>
        <w:rPr>
          <w:b/>
          <w:i/>
          <w:u w:val="single"/>
        </w:rPr>
        <w:t>Central Clearing and Single-Sided Reporting</w:t>
      </w:r>
      <w:r w:rsidRPr="000B4236">
        <w:rPr>
          <w:b/>
          <w:i/>
          <w:u w:val="single"/>
        </w:rPr>
        <w:t>) Regulation 201</w:t>
      </w:r>
      <w:r>
        <w:rPr>
          <w:b/>
          <w:i/>
          <w:u w:val="single"/>
        </w:rPr>
        <w:t>5</w:t>
      </w:r>
    </w:p>
    <w:p w14:paraId="1610C04F" w14:textId="77777777" w:rsidR="00682C4E" w:rsidRDefault="00682C4E" w:rsidP="00682C4E">
      <w:pPr>
        <w:rPr>
          <w:u w:val="single"/>
        </w:rPr>
      </w:pPr>
    </w:p>
    <w:p w14:paraId="1BAE569E" w14:textId="77777777" w:rsidR="00682C4E" w:rsidRPr="000B4236" w:rsidRDefault="00682C4E" w:rsidP="00682C4E">
      <w:r w:rsidRPr="000B4236">
        <w:rPr>
          <w:u w:val="single"/>
        </w:rPr>
        <w:t>Section 1 – Name</w:t>
      </w:r>
    </w:p>
    <w:p w14:paraId="0A3DB38F" w14:textId="77777777" w:rsidR="00682C4E" w:rsidRDefault="00682C4E" w:rsidP="00682C4E"/>
    <w:p w14:paraId="7C1E2559" w14:textId="77777777" w:rsidR="00682C4E" w:rsidRPr="000B4236" w:rsidRDefault="00682C4E" w:rsidP="00682C4E">
      <w:r w:rsidRPr="000B4236">
        <w:t>This section provide</w:t>
      </w:r>
      <w:r w:rsidR="001550F7">
        <w:t>s</w:t>
      </w:r>
      <w:r w:rsidRPr="000B4236">
        <w:t xml:space="preserve"> that the title of the Regulation is the </w:t>
      </w:r>
      <w:r w:rsidRPr="000B4236">
        <w:rPr>
          <w:i/>
        </w:rPr>
        <w:t>Corporations Amendment (</w:t>
      </w:r>
      <w:r>
        <w:rPr>
          <w:i/>
        </w:rPr>
        <w:t>Central Clearing and Single-Sided Reporting</w:t>
      </w:r>
      <w:r w:rsidRPr="000B4236">
        <w:rPr>
          <w:i/>
        </w:rPr>
        <w:t>) Regulation 201</w:t>
      </w:r>
      <w:r>
        <w:rPr>
          <w:i/>
        </w:rPr>
        <w:t>5</w:t>
      </w:r>
      <w:r w:rsidRPr="000B4236">
        <w:rPr>
          <w:i/>
        </w:rPr>
        <w:t xml:space="preserve"> </w:t>
      </w:r>
      <w:r w:rsidRPr="000B4236">
        <w:t>(</w:t>
      </w:r>
      <w:r>
        <w:t xml:space="preserve">the </w:t>
      </w:r>
      <w:r w:rsidRPr="000B4236">
        <w:t xml:space="preserve">Regulation). </w:t>
      </w:r>
    </w:p>
    <w:p w14:paraId="2B8BD493" w14:textId="77777777" w:rsidR="00682C4E" w:rsidRDefault="00682C4E" w:rsidP="00682C4E">
      <w:pPr>
        <w:rPr>
          <w:u w:val="single"/>
        </w:rPr>
      </w:pPr>
    </w:p>
    <w:p w14:paraId="2E66CE04" w14:textId="77777777" w:rsidR="00682C4E" w:rsidRPr="000B4236" w:rsidRDefault="00682C4E" w:rsidP="00682C4E">
      <w:pPr>
        <w:rPr>
          <w:u w:val="single"/>
        </w:rPr>
      </w:pPr>
      <w:r w:rsidRPr="000B4236">
        <w:rPr>
          <w:u w:val="single"/>
        </w:rPr>
        <w:t>Section 2 – Commencement</w:t>
      </w:r>
    </w:p>
    <w:p w14:paraId="38FA3549" w14:textId="77777777" w:rsidR="00682C4E" w:rsidRDefault="00682C4E" w:rsidP="00682C4E"/>
    <w:p w14:paraId="71DB1672" w14:textId="77777777" w:rsidR="00682C4E" w:rsidRDefault="00682C4E" w:rsidP="00682C4E">
      <w:r w:rsidRPr="000B4236">
        <w:t xml:space="preserve">This section </w:t>
      </w:r>
      <w:r>
        <w:t>set</w:t>
      </w:r>
      <w:r w:rsidR="001550F7">
        <w:t>s</w:t>
      </w:r>
      <w:r>
        <w:t xml:space="preserve"> out the commencement dates for the various parts of</w:t>
      </w:r>
      <w:r w:rsidRPr="000B4236">
        <w:t xml:space="preserve"> the Regulation. </w:t>
      </w:r>
    </w:p>
    <w:p w14:paraId="7CF906F3" w14:textId="77777777" w:rsidR="00682C4E" w:rsidRDefault="00682C4E" w:rsidP="00682C4E"/>
    <w:p w14:paraId="788C9BEC" w14:textId="77777777" w:rsidR="00682C4E" w:rsidRDefault="00682C4E" w:rsidP="00682C4E">
      <w:r>
        <w:t>Schedule 1, Part 1 containing the amendments relating to central clearing commence</w:t>
      </w:r>
      <w:r w:rsidR="001550F7">
        <w:t>s</w:t>
      </w:r>
      <w:r>
        <w:t xml:space="preserve"> the day after the Regulation is registered.</w:t>
      </w:r>
    </w:p>
    <w:p w14:paraId="4546B27B" w14:textId="77777777" w:rsidR="00682C4E" w:rsidRDefault="00682C4E" w:rsidP="00682C4E"/>
    <w:p w14:paraId="4439FB5D" w14:textId="77777777" w:rsidR="00682C4E" w:rsidRDefault="00682C4E" w:rsidP="00682C4E">
      <w:r>
        <w:t>Schedule 1, Parts 2 and 3 containing the amendments relating to single-sided reporting and their application arrangements commence</w:t>
      </w:r>
      <w:r w:rsidR="001550F7">
        <w:t>s</w:t>
      </w:r>
      <w:r>
        <w:t xml:space="preserve"> on 1 October 2015. This aligns with the commencement of the phase 3B trade reporting regime in October 2015 under the trade reporting derivative transaction rules (DTRs).</w:t>
      </w:r>
    </w:p>
    <w:p w14:paraId="7F6D0116" w14:textId="77777777" w:rsidR="00682C4E" w:rsidRDefault="00682C4E" w:rsidP="00682C4E"/>
    <w:p w14:paraId="13CFB530" w14:textId="77777777" w:rsidR="00682C4E" w:rsidRPr="000B4236" w:rsidRDefault="00682C4E" w:rsidP="00682C4E">
      <w:r>
        <w:t xml:space="preserve">Schedule 1, Part 4 contains provisions relating to notifiable instruments which can only commence once the </w:t>
      </w:r>
      <w:r w:rsidRPr="00FC3A00">
        <w:rPr>
          <w:i/>
        </w:rPr>
        <w:t>Acts and Instrument</w:t>
      </w:r>
      <w:r>
        <w:rPr>
          <w:i/>
        </w:rPr>
        <w:t>s</w:t>
      </w:r>
      <w:r w:rsidRPr="00FC3A00">
        <w:rPr>
          <w:i/>
        </w:rPr>
        <w:t xml:space="preserve"> (Framework Reform) Act 2015</w:t>
      </w:r>
      <w:r>
        <w:t xml:space="preserve"> commences, as provided in this section. Please refer to the discussion below for a detailed explanation of this provision.</w:t>
      </w:r>
    </w:p>
    <w:p w14:paraId="2266A039" w14:textId="77777777" w:rsidR="00682C4E" w:rsidRDefault="00682C4E" w:rsidP="00682C4E">
      <w:pPr>
        <w:rPr>
          <w:u w:val="single"/>
        </w:rPr>
      </w:pPr>
    </w:p>
    <w:p w14:paraId="561D5D82" w14:textId="77777777" w:rsidR="00682C4E" w:rsidRPr="000B4236" w:rsidRDefault="00682C4E" w:rsidP="00682C4E">
      <w:r w:rsidRPr="000B4236">
        <w:rPr>
          <w:u w:val="single"/>
        </w:rPr>
        <w:t>Section 3 – Authority</w:t>
      </w:r>
    </w:p>
    <w:p w14:paraId="3F9923E9" w14:textId="77777777" w:rsidR="00682C4E" w:rsidRDefault="00682C4E" w:rsidP="00682C4E"/>
    <w:p w14:paraId="710379C2" w14:textId="77777777" w:rsidR="00682C4E" w:rsidRPr="000B4236" w:rsidRDefault="00682C4E" w:rsidP="00682C4E">
      <w:pPr>
        <w:rPr>
          <w:i/>
        </w:rPr>
      </w:pPr>
      <w:r w:rsidRPr="000B4236">
        <w:t>This section provide</w:t>
      </w:r>
      <w:r w:rsidR="001550F7">
        <w:t>s</w:t>
      </w:r>
      <w:r w:rsidRPr="000B4236">
        <w:t xml:space="preserve"> that the Regulation is made under the</w:t>
      </w:r>
      <w:r>
        <w:t xml:space="preserve"> Corporations Act</w:t>
      </w:r>
      <w:r w:rsidRPr="000B4236">
        <w:t xml:space="preserve">. </w:t>
      </w:r>
    </w:p>
    <w:p w14:paraId="2D62F8B2" w14:textId="77777777" w:rsidR="00682C4E" w:rsidRDefault="00682C4E" w:rsidP="00682C4E">
      <w:pPr>
        <w:rPr>
          <w:u w:val="single"/>
        </w:rPr>
      </w:pPr>
    </w:p>
    <w:p w14:paraId="48EB89D3" w14:textId="77777777" w:rsidR="00682C4E" w:rsidRPr="000B4236" w:rsidRDefault="00682C4E" w:rsidP="00682C4E">
      <w:pPr>
        <w:rPr>
          <w:u w:val="single"/>
        </w:rPr>
      </w:pPr>
      <w:r w:rsidRPr="000B4236">
        <w:rPr>
          <w:u w:val="single"/>
        </w:rPr>
        <w:t>Section 4 – Schedules</w:t>
      </w:r>
    </w:p>
    <w:p w14:paraId="0F13303B" w14:textId="77777777" w:rsidR="00682C4E" w:rsidRDefault="00682C4E" w:rsidP="00682C4E"/>
    <w:p w14:paraId="6E2E1355" w14:textId="77777777" w:rsidR="00682C4E" w:rsidRPr="000B4236" w:rsidRDefault="00682C4E" w:rsidP="00682C4E">
      <w:r w:rsidRPr="000B4236">
        <w:t>This section provide</w:t>
      </w:r>
      <w:r w:rsidR="001550F7">
        <w:t>s</w:t>
      </w:r>
      <w:r w:rsidRPr="000B4236">
        <w:t xml:space="preserve"> that each instrument that is specified in a Schedule to the Regulation is amended or repealed as set out in the applicable items in the Schedule concerned, and any other item in a Schedule to this instrument has effect according to its terms. </w:t>
      </w:r>
    </w:p>
    <w:p w14:paraId="78A8A427" w14:textId="77777777" w:rsidR="00682C4E" w:rsidRDefault="00682C4E" w:rsidP="00682C4E">
      <w:pPr>
        <w:rPr>
          <w:b/>
        </w:rPr>
      </w:pPr>
    </w:p>
    <w:p w14:paraId="78AE6B2B" w14:textId="77777777" w:rsidR="00682C4E" w:rsidRPr="000B4236" w:rsidRDefault="00682C4E" w:rsidP="00101775">
      <w:pPr>
        <w:keepNext/>
        <w:keepLines/>
        <w:rPr>
          <w:b/>
        </w:rPr>
      </w:pPr>
      <w:r w:rsidRPr="000B4236">
        <w:rPr>
          <w:b/>
        </w:rPr>
        <w:t>Amendments</w:t>
      </w:r>
    </w:p>
    <w:p w14:paraId="56524C54" w14:textId="77777777" w:rsidR="00682C4E" w:rsidRDefault="00682C4E" w:rsidP="00101775">
      <w:pPr>
        <w:keepNext/>
        <w:keepLines/>
        <w:rPr>
          <w:u w:val="single"/>
        </w:rPr>
      </w:pPr>
    </w:p>
    <w:p w14:paraId="2E470829" w14:textId="77777777" w:rsidR="00682C4E" w:rsidRPr="000B4236" w:rsidRDefault="00682C4E" w:rsidP="00101775">
      <w:pPr>
        <w:keepNext/>
        <w:keepLines/>
      </w:pPr>
      <w:r w:rsidRPr="000B4236">
        <w:rPr>
          <w:u w:val="single"/>
        </w:rPr>
        <w:t xml:space="preserve">Schedule 1 – </w:t>
      </w:r>
      <w:r>
        <w:rPr>
          <w:u w:val="single"/>
        </w:rPr>
        <w:t>Amendments</w:t>
      </w:r>
    </w:p>
    <w:p w14:paraId="7610D7F8" w14:textId="77777777" w:rsidR="00682C4E" w:rsidRDefault="00682C4E" w:rsidP="00101775">
      <w:pPr>
        <w:keepNext/>
        <w:keepLines/>
      </w:pPr>
    </w:p>
    <w:p w14:paraId="7F3A4571" w14:textId="77777777" w:rsidR="00682C4E" w:rsidRPr="003F3542" w:rsidRDefault="00682C4E" w:rsidP="00682C4E">
      <w:pPr>
        <w:rPr>
          <w:b/>
        </w:rPr>
      </w:pPr>
      <w:r w:rsidRPr="003F3542">
        <w:rPr>
          <w:b/>
        </w:rPr>
        <w:t xml:space="preserve">Part 1 – </w:t>
      </w:r>
      <w:r>
        <w:rPr>
          <w:b/>
        </w:rPr>
        <w:t>A</w:t>
      </w:r>
      <w:r w:rsidRPr="003F3542">
        <w:rPr>
          <w:b/>
        </w:rPr>
        <w:t>mendments</w:t>
      </w:r>
      <w:r>
        <w:rPr>
          <w:b/>
        </w:rPr>
        <w:t xml:space="preserve"> commencing day after registration</w:t>
      </w:r>
    </w:p>
    <w:p w14:paraId="79870618" w14:textId="77777777" w:rsidR="00682C4E" w:rsidRDefault="00682C4E" w:rsidP="00682C4E"/>
    <w:p w14:paraId="4C01C546" w14:textId="77777777" w:rsidR="00682C4E" w:rsidRPr="000B4236" w:rsidRDefault="00682C4E" w:rsidP="00682C4E">
      <w:pPr>
        <w:rPr>
          <w:b/>
        </w:rPr>
      </w:pPr>
      <w:r w:rsidRPr="000B4236">
        <w:rPr>
          <w:b/>
        </w:rPr>
        <w:t>Item [1]</w:t>
      </w:r>
      <w:r>
        <w:rPr>
          <w:b/>
        </w:rPr>
        <w:t xml:space="preserve"> – Regulation 7.5A.30 (heading)</w:t>
      </w:r>
    </w:p>
    <w:p w14:paraId="7AF9E053" w14:textId="77777777" w:rsidR="00682C4E" w:rsidRPr="000B4236" w:rsidRDefault="00682C4E" w:rsidP="00682C4E"/>
    <w:p w14:paraId="5F1FBE72" w14:textId="77777777" w:rsidR="00682C4E" w:rsidRDefault="00682C4E" w:rsidP="00682C4E">
      <w:r w:rsidRPr="000B4236">
        <w:t xml:space="preserve">Item 1 </w:t>
      </w:r>
      <w:r>
        <w:t>amend</w:t>
      </w:r>
      <w:r w:rsidR="001550F7">
        <w:t>s</w:t>
      </w:r>
      <w:r>
        <w:t xml:space="preserve"> the heading of regulation 7.5A.30 to “Reporting requirements – prescribed facilities”, in order to better reflect its contents which relate to prescribed trade repositories.</w:t>
      </w:r>
    </w:p>
    <w:p w14:paraId="5FDA03A3" w14:textId="77777777" w:rsidR="00682C4E" w:rsidRPr="000B4236" w:rsidRDefault="00682C4E" w:rsidP="00682C4E"/>
    <w:p w14:paraId="49CA7774" w14:textId="77777777" w:rsidR="00682C4E" w:rsidRPr="000B4236" w:rsidRDefault="00682C4E" w:rsidP="00682C4E">
      <w:pPr>
        <w:rPr>
          <w:b/>
        </w:rPr>
      </w:pPr>
      <w:r w:rsidRPr="000B4236">
        <w:rPr>
          <w:b/>
        </w:rPr>
        <w:t>Item [</w:t>
      </w:r>
      <w:r>
        <w:rPr>
          <w:b/>
        </w:rPr>
        <w:t>2</w:t>
      </w:r>
      <w:r w:rsidRPr="000B4236">
        <w:rPr>
          <w:b/>
        </w:rPr>
        <w:t>]</w:t>
      </w:r>
      <w:r>
        <w:rPr>
          <w:b/>
        </w:rPr>
        <w:t xml:space="preserve"> – After subregulation 7.5A.50(2)</w:t>
      </w:r>
    </w:p>
    <w:p w14:paraId="775584EA" w14:textId="77777777" w:rsidR="00682C4E" w:rsidRPr="000B4236" w:rsidRDefault="00682C4E" w:rsidP="00682C4E"/>
    <w:p w14:paraId="26D8F4CD" w14:textId="77777777" w:rsidR="00682C4E" w:rsidRDefault="00682C4E" w:rsidP="00682C4E">
      <w:r w:rsidRPr="000B4236">
        <w:t xml:space="preserve">Item </w:t>
      </w:r>
      <w:r>
        <w:t>2</w:t>
      </w:r>
      <w:r w:rsidRPr="000B4236">
        <w:t xml:space="preserve"> </w:t>
      </w:r>
      <w:r>
        <w:t>insert</w:t>
      </w:r>
      <w:r w:rsidR="001550F7">
        <w:t>s</w:t>
      </w:r>
      <w:r w:rsidRPr="000B4236">
        <w:t xml:space="preserve"> </w:t>
      </w:r>
      <w:r>
        <w:t xml:space="preserve">a new </w:t>
      </w:r>
      <w:r w:rsidRPr="000B4236">
        <w:t>subregulation 7.5A.50(</w:t>
      </w:r>
      <w:r>
        <w:t>2A</w:t>
      </w:r>
      <w:r w:rsidRPr="000B4236">
        <w:t>)</w:t>
      </w:r>
      <w:r>
        <w:t xml:space="preserve"> in regulation 7.5A.50. The new subregulation </w:t>
      </w:r>
      <w:r w:rsidRPr="000B4236">
        <w:t>provide</w:t>
      </w:r>
      <w:r w:rsidR="001550F7">
        <w:t>s</w:t>
      </w:r>
      <w:r w:rsidRPr="000B4236">
        <w:t xml:space="preserve"> that </w:t>
      </w:r>
      <w:r>
        <w:t>the DTRs can only impose requirements on financial services licensees for classes of derivatives for which they are explicitly authorised to provide financial services.</w:t>
      </w:r>
    </w:p>
    <w:p w14:paraId="6C34369C" w14:textId="77777777" w:rsidR="00682C4E" w:rsidRDefault="00682C4E" w:rsidP="00682C4E"/>
    <w:p w14:paraId="2A1FEC38" w14:textId="77777777" w:rsidR="00682C4E" w:rsidRDefault="00682C4E" w:rsidP="00682C4E">
      <w:r>
        <w:t>This amendment ensure</w:t>
      </w:r>
      <w:r w:rsidR="001550F7">
        <w:t>s</w:t>
      </w:r>
      <w:r>
        <w:t xml:space="preserve"> that licensees whose Australian Financial Services Licence (AFSL) only covers one or more specific types of derivatives (e.g. electricity derivatives) </w:t>
      </w:r>
      <w:r w:rsidR="001550F7">
        <w:t>do</w:t>
      </w:r>
      <w:r>
        <w:t xml:space="preserve"> not have to comply with DTRs imposing requirements with respect to other types of OTC derivatives, for example interest rate derivatives.</w:t>
      </w:r>
    </w:p>
    <w:p w14:paraId="25B5E940" w14:textId="77777777" w:rsidR="00682C4E" w:rsidRDefault="00682C4E" w:rsidP="00682C4E"/>
    <w:p w14:paraId="4EC20BF9" w14:textId="77777777" w:rsidR="00682C4E" w:rsidRDefault="00682C4E" w:rsidP="00682C4E">
      <w:r>
        <w:t>Paragraph (2A)(a) clarifies that a person who, for example, is both an Australian authorised deposit-taking institution (ADI) and an AFSL holder does not fall within the scope of this provision.</w:t>
      </w:r>
    </w:p>
    <w:p w14:paraId="0552337D" w14:textId="77777777" w:rsidR="00682C4E" w:rsidRDefault="00682C4E" w:rsidP="00682C4E"/>
    <w:p w14:paraId="3D8E08B2" w14:textId="77777777" w:rsidR="00682C4E" w:rsidRPr="00CB3652" w:rsidRDefault="00682C4E" w:rsidP="00682C4E">
      <w:pPr>
        <w:rPr>
          <w:b/>
        </w:rPr>
      </w:pPr>
      <w:r w:rsidRPr="00CB3652">
        <w:rPr>
          <w:b/>
        </w:rPr>
        <w:t xml:space="preserve">Item [2A] </w:t>
      </w:r>
      <w:r>
        <w:rPr>
          <w:b/>
        </w:rPr>
        <w:noBreakHyphen/>
      </w:r>
      <w:r w:rsidRPr="00CB3652">
        <w:rPr>
          <w:b/>
        </w:rPr>
        <w:t xml:space="preserve"> Subparagraph 7.5A.50(3)(d)(</w:t>
      </w:r>
      <w:proofErr w:type="spellStart"/>
      <w:r w:rsidRPr="00CB3652">
        <w:rPr>
          <w:b/>
        </w:rPr>
        <w:t>i</w:t>
      </w:r>
      <w:proofErr w:type="spellEnd"/>
      <w:r w:rsidRPr="00CB3652">
        <w:rPr>
          <w:b/>
        </w:rPr>
        <w:t>)</w:t>
      </w:r>
    </w:p>
    <w:p w14:paraId="0CF056AE" w14:textId="77777777" w:rsidR="00682C4E" w:rsidRDefault="00682C4E" w:rsidP="00682C4E"/>
    <w:p w14:paraId="7B3A05A8" w14:textId="77777777" w:rsidR="00682C4E" w:rsidRDefault="00682C4E" w:rsidP="00682C4E">
      <w:r w:rsidRPr="00DC0816">
        <w:t>Item 2A make</w:t>
      </w:r>
      <w:r w:rsidR="001550F7">
        <w:t>s</w:t>
      </w:r>
      <w:r w:rsidRPr="00DC0816">
        <w:t xml:space="preserve"> a small amendment to existing subparagraph 7.5A.50(3)(d)(</w:t>
      </w:r>
      <w:proofErr w:type="spellStart"/>
      <w:r w:rsidRPr="00DC0816">
        <w:t>i</w:t>
      </w:r>
      <w:proofErr w:type="spellEnd"/>
      <w:r w:rsidRPr="00DC0816">
        <w:t>) in order to clarify that it only refers to entities that provide financial services in this jurisdiction, and not anywhere else. This removes an ambiguity that would otherwise have considerably expanded the scope of the provision. The amendment ensure</w:t>
      </w:r>
      <w:r w:rsidR="001550F7">
        <w:t>s</w:t>
      </w:r>
      <w:r w:rsidRPr="00DC0816">
        <w:t xml:space="preserve"> that this provision </w:t>
      </w:r>
      <w:r w:rsidR="001550F7">
        <w:t>i</w:t>
      </w:r>
      <w:r w:rsidRPr="00DC0816">
        <w:t xml:space="preserve">s drafted in the same manner as new subparagraph 7.5A.62(1)(b)(ii) (definition of </w:t>
      </w:r>
      <w:r w:rsidRPr="00DC0816">
        <w:rPr>
          <w:b/>
          <w:i/>
        </w:rPr>
        <w:t>foreign clearing entity</w:t>
      </w:r>
      <w:r w:rsidRPr="00DC0816">
        <w:t>, see item 4 below).</w:t>
      </w:r>
    </w:p>
    <w:p w14:paraId="7BF803ED" w14:textId="77777777" w:rsidR="00682C4E" w:rsidRDefault="00682C4E" w:rsidP="00682C4E"/>
    <w:p w14:paraId="74BB8BB6" w14:textId="77777777" w:rsidR="00682C4E" w:rsidRPr="000B4236" w:rsidRDefault="00682C4E" w:rsidP="00101775">
      <w:pPr>
        <w:keepNext/>
        <w:keepLines/>
        <w:rPr>
          <w:b/>
        </w:rPr>
      </w:pPr>
      <w:r w:rsidRPr="000B4236">
        <w:rPr>
          <w:b/>
        </w:rPr>
        <w:t>Item [</w:t>
      </w:r>
      <w:r>
        <w:rPr>
          <w:b/>
        </w:rPr>
        <w:t>3</w:t>
      </w:r>
      <w:r w:rsidRPr="000B4236">
        <w:rPr>
          <w:b/>
        </w:rPr>
        <w:t>]</w:t>
      </w:r>
      <w:r>
        <w:rPr>
          <w:b/>
        </w:rPr>
        <w:t xml:space="preserve"> – At the end of subregulation 7.5A.50</w:t>
      </w:r>
    </w:p>
    <w:p w14:paraId="59EBC59E" w14:textId="77777777" w:rsidR="00682C4E" w:rsidRPr="000B4236" w:rsidRDefault="00682C4E" w:rsidP="00101775">
      <w:pPr>
        <w:keepNext/>
        <w:keepLines/>
      </w:pPr>
    </w:p>
    <w:p w14:paraId="45092C05" w14:textId="77777777" w:rsidR="00682C4E" w:rsidRDefault="00682C4E" w:rsidP="00101775">
      <w:pPr>
        <w:keepNext/>
        <w:keepLines/>
      </w:pPr>
      <w:r>
        <w:t>Item 3 insert</w:t>
      </w:r>
      <w:r w:rsidR="00143A4F">
        <w:t>s</w:t>
      </w:r>
      <w:r>
        <w:t xml:space="preserve"> a new subregulation 7.5A.50(4) in regulation 7.5A.50. The new subregulation provide</w:t>
      </w:r>
      <w:r w:rsidR="00143A4F">
        <w:t>s</w:t>
      </w:r>
      <w:r>
        <w:t xml:space="preserve"> that the exemptions provided in regulation 7.5A.50 do not apply to clearing or clearing-related DTRs. The reason for this provision is that these exemptions are incorporated in the regulations which set out which entities are affected by the central clearing mandate.</w:t>
      </w:r>
    </w:p>
    <w:p w14:paraId="0BEA8BB2" w14:textId="77777777" w:rsidR="00682C4E" w:rsidRDefault="00682C4E" w:rsidP="00101775">
      <w:pPr>
        <w:keepNext/>
        <w:keepLines/>
      </w:pPr>
    </w:p>
    <w:p w14:paraId="3FFDD0E7" w14:textId="77777777" w:rsidR="00682C4E" w:rsidRDefault="00682C4E" w:rsidP="00682C4E">
      <w:r>
        <w:t xml:space="preserve">Thus, for example, the definition of </w:t>
      </w:r>
      <w:r w:rsidRPr="00ED726A">
        <w:rPr>
          <w:b/>
          <w:i/>
        </w:rPr>
        <w:t>Australian clearing entity</w:t>
      </w:r>
      <w:r>
        <w:t xml:space="preserve"> in regulation 7.5A.61 ha</w:t>
      </w:r>
      <w:r w:rsidR="00143A4F">
        <w:t>s</w:t>
      </w:r>
      <w:r>
        <w:t xml:space="preserve"> the effect that among domestic Australian entities only authorised deposit-taking institutions (ADIs) and financial services licensees can be affected by the mandate. For foreign entities, the central clearing mandate similarly only appl</w:t>
      </w:r>
      <w:r w:rsidR="00143A4F">
        <w:t>ies</w:t>
      </w:r>
      <w:r>
        <w:t xml:space="preserve"> to either ADIs or AFSL holders, or to entities providing derivatives-related services to wholesale clients in Australia.</w:t>
      </w:r>
    </w:p>
    <w:p w14:paraId="07441253" w14:textId="77777777" w:rsidR="00682C4E" w:rsidRDefault="00682C4E" w:rsidP="00682C4E"/>
    <w:p w14:paraId="597FBCEA" w14:textId="77777777" w:rsidR="00682C4E" w:rsidRDefault="00682C4E" w:rsidP="00682C4E">
      <w:r>
        <w:t xml:space="preserve">Other entities, including all corporates that do not hold AFSLs, </w:t>
      </w:r>
      <w:r w:rsidR="00143A4F">
        <w:t>are not</w:t>
      </w:r>
      <w:r>
        <w:t xml:space="preserve"> subject to the central clearing mandate.</w:t>
      </w:r>
    </w:p>
    <w:p w14:paraId="147F30C8" w14:textId="77777777" w:rsidR="00682C4E" w:rsidRDefault="00682C4E" w:rsidP="00682C4E"/>
    <w:p w14:paraId="6E7F1EFA" w14:textId="77777777" w:rsidR="00682C4E" w:rsidRPr="003E39BF" w:rsidRDefault="00682C4E" w:rsidP="00682C4E">
      <w:pPr>
        <w:rPr>
          <w:b/>
        </w:rPr>
      </w:pPr>
      <w:r w:rsidRPr="003E39BF">
        <w:rPr>
          <w:b/>
        </w:rPr>
        <w:t>Item [</w:t>
      </w:r>
      <w:r>
        <w:rPr>
          <w:b/>
        </w:rPr>
        <w:t>4</w:t>
      </w:r>
      <w:r w:rsidRPr="003E39BF">
        <w:rPr>
          <w:b/>
        </w:rPr>
        <w:t>]</w:t>
      </w:r>
      <w:r>
        <w:rPr>
          <w:b/>
        </w:rPr>
        <w:t xml:space="preserve"> </w:t>
      </w:r>
      <w:r>
        <w:rPr>
          <w:b/>
        </w:rPr>
        <w:noBreakHyphen/>
        <w:t xml:space="preserve"> After Subdivision 2.1 of Division 2 of Part 7.5A</w:t>
      </w:r>
    </w:p>
    <w:p w14:paraId="1DD4511D" w14:textId="77777777" w:rsidR="00682C4E" w:rsidRDefault="00682C4E" w:rsidP="00682C4E"/>
    <w:p w14:paraId="75387569" w14:textId="77777777" w:rsidR="00682C4E" w:rsidRDefault="00682C4E" w:rsidP="00682C4E">
      <w:r>
        <w:t>Item 4 insert</w:t>
      </w:r>
      <w:r w:rsidR="00143A4F">
        <w:t>s</w:t>
      </w:r>
      <w:r>
        <w:t xml:space="preserve"> new subdivision 2.1A into Division 2 of Part 7.5A of the </w:t>
      </w:r>
      <w:r w:rsidRPr="00FF1C7A">
        <w:rPr>
          <w:i/>
        </w:rPr>
        <w:t>Corporations Regulations 2001</w:t>
      </w:r>
      <w:r>
        <w:t xml:space="preserve"> (Corporations Regulations). New subdivision 2.1A follow</w:t>
      </w:r>
      <w:r w:rsidR="00143A4F">
        <w:t>s</w:t>
      </w:r>
      <w:r>
        <w:t xml:space="preserve"> existing subdivision 2.1 and contain</w:t>
      </w:r>
      <w:r w:rsidR="00143A4F">
        <w:t>s</w:t>
      </w:r>
      <w:r>
        <w:t xml:space="preserve"> the amendments relating to central clearing.</w:t>
      </w:r>
    </w:p>
    <w:p w14:paraId="11FD3FF9" w14:textId="77777777" w:rsidR="00682C4E" w:rsidRDefault="00682C4E" w:rsidP="00682C4E"/>
    <w:p w14:paraId="3B8BEC7A" w14:textId="77777777" w:rsidR="00682C4E" w:rsidRPr="00801ED8" w:rsidRDefault="00682C4E" w:rsidP="00682C4E">
      <w:pPr>
        <w:rPr>
          <w:b/>
          <w:i/>
        </w:rPr>
      </w:pPr>
      <w:r w:rsidRPr="00801ED8">
        <w:rPr>
          <w:b/>
          <w:i/>
        </w:rPr>
        <w:t>Subdivision 2.1</w:t>
      </w:r>
      <w:r>
        <w:rPr>
          <w:b/>
          <w:i/>
        </w:rPr>
        <w:t>A – Derivative transaction rules imposing clearing requirements</w:t>
      </w:r>
    </w:p>
    <w:p w14:paraId="01FBE6EE" w14:textId="77777777" w:rsidR="00682C4E" w:rsidRDefault="00682C4E" w:rsidP="00682C4E"/>
    <w:p w14:paraId="37D6ED70" w14:textId="77777777" w:rsidR="00682C4E" w:rsidRPr="00381F8D" w:rsidRDefault="00143A4F" w:rsidP="00682C4E">
      <w:pPr>
        <w:rPr>
          <w:i/>
        </w:rPr>
      </w:pPr>
      <w:r>
        <w:rPr>
          <w:i/>
        </w:rPr>
        <w:t>R</w:t>
      </w:r>
      <w:r w:rsidR="00682C4E" w:rsidRPr="00381F8D">
        <w:rPr>
          <w:i/>
        </w:rPr>
        <w:t>egulation 7.5A.</w:t>
      </w:r>
      <w:r w:rsidR="00682C4E">
        <w:rPr>
          <w:i/>
        </w:rPr>
        <w:t>60 – Definitions for Subdivision 2.1A</w:t>
      </w:r>
    </w:p>
    <w:p w14:paraId="4B5FA546" w14:textId="77777777" w:rsidR="00682C4E" w:rsidRDefault="00682C4E" w:rsidP="00682C4E"/>
    <w:p w14:paraId="2F545921" w14:textId="77777777" w:rsidR="00682C4E" w:rsidRDefault="00682C4E" w:rsidP="00682C4E">
      <w:r>
        <w:t>This regulation contain</w:t>
      </w:r>
      <w:r w:rsidR="00411D22">
        <w:t>s</w:t>
      </w:r>
      <w:r>
        <w:t xml:space="preserve"> a number of definitions used in determining the scope of the proposed central clearing mandate.</w:t>
      </w:r>
    </w:p>
    <w:p w14:paraId="51EC13A4" w14:textId="77777777" w:rsidR="00682C4E" w:rsidRDefault="00682C4E" w:rsidP="00682C4E"/>
    <w:p w14:paraId="68BA4D72" w14:textId="77777777" w:rsidR="00682C4E" w:rsidRDefault="00682C4E" w:rsidP="00682C4E">
      <w:r>
        <w:t xml:space="preserve">Important terms include </w:t>
      </w:r>
      <w:r w:rsidRPr="003B2354">
        <w:rPr>
          <w:b/>
          <w:i/>
        </w:rPr>
        <w:t>representative capacity</w:t>
      </w:r>
      <w:r>
        <w:rPr>
          <w:b/>
          <w:i/>
        </w:rPr>
        <w:t xml:space="preserve">, </w:t>
      </w:r>
      <w:r>
        <w:t>which assist</w:t>
      </w:r>
      <w:r w:rsidR="00411D22">
        <w:t>s</w:t>
      </w:r>
      <w:r>
        <w:t xml:space="preserve"> in clarifying how the central clearing amendments apply with respect to transactions concluded or held on an entity’s own account, as well as transactions concluded or held by an entity acting as responsible entity of a registered scheme or as trustee of a trust.</w:t>
      </w:r>
    </w:p>
    <w:p w14:paraId="4E3A0A92" w14:textId="77777777" w:rsidR="00682C4E" w:rsidRDefault="00682C4E" w:rsidP="00682C4E"/>
    <w:p w14:paraId="23B45C0E" w14:textId="77777777" w:rsidR="00682C4E" w:rsidRDefault="00682C4E" w:rsidP="00101775">
      <w:pPr>
        <w:keepNext/>
        <w:keepLines/>
      </w:pPr>
      <w:r>
        <w:t>Subregulation (2) of the proposed regulation provide</w:t>
      </w:r>
      <w:r w:rsidR="00411D22">
        <w:t>s</w:t>
      </w:r>
      <w:r>
        <w:t xml:space="preserve"> that the DTRs can set out the detailed method of calculating the level of an entity’s total gross notional outstanding OTC derivatives positions held on its own account and on behalf of a registered scheme or a trust. The DTRs </w:t>
      </w:r>
      <w:r w:rsidR="00411D22">
        <w:t>are</w:t>
      </w:r>
      <w:r>
        <w:t xml:space="preserve"> also able to set out transitional measures addressing situations when an entity’s total rises above or falls below the threshold set out in proposed regulations 7.5A.61 and 7.5A.62.</w:t>
      </w:r>
    </w:p>
    <w:p w14:paraId="593C56D5" w14:textId="77777777" w:rsidR="00682C4E" w:rsidRDefault="00682C4E" w:rsidP="00682C4E"/>
    <w:p w14:paraId="7ADC09BC" w14:textId="77777777" w:rsidR="00682C4E" w:rsidRPr="002E572C" w:rsidRDefault="00F80848" w:rsidP="00682C4E">
      <w:pPr>
        <w:rPr>
          <w:i/>
        </w:rPr>
      </w:pPr>
      <w:r>
        <w:rPr>
          <w:i/>
        </w:rPr>
        <w:t>R</w:t>
      </w:r>
      <w:r w:rsidR="00682C4E" w:rsidRPr="002E572C">
        <w:rPr>
          <w:i/>
        </w:rPr>
        <w:t>egulation 7.5A.</w:t>
      </w:r>
      <w:r w:rsidR="00682C4E">
        <w:rPr>
          <w:i/>
        </w:rPr>
        <w:t>61</w:t>
      </w:r>
      <w:r w:rsidR="00682C4E" w:rsidRPr="002E572C">
        <w:rPr>
          <w:i/>
        </w:rPr>
        <w:t xml:space="preserve"> – </w:t>
      </w:r>
      <w:r w:rsidR="00682C4E">
        <w:rPr>
          <w:i/>
        </w:rPr>
        <w:t>Meaning</w:t>
      </w:r>
      <w:r w:rsidR="00682C4E" w:rsidRPr="002E572C">
        <w:rPr>
          <w:i/>
        </w:rPr>
        <w:t xml:space="preserve"> of </w:t>
      </w:r>
      <w:r w:rsidR="00682C4E" w:rsidRPr="002E572C">
        <w:rPr>
          <w:b/>
          <w:i/>
        </w:rPr>
        <w:t>Australian clearing entity</w:t>
      </w:r>
    </w:p>
    <w:p w14:paraId="666E61C3" w14:textId="77777777" w:rsidR="00682C4E" w:rsidRDefault="00682C4E" w:rsidP="00682C4E"/>
    <w:p w14:paraId="33A96868" w14:textId="77777777" w:rsidR="00682C4E" w:rsidRDefault="00682C4E" w:rsidP="00682C4E">
      <w:r>
        <w:t>This regulation define</w:t>
      </w:r>
      <w:r w:rsidR="00034266">
        <w:t>s</w:t>
      </w:r>
      <w:r>
        <w:t xml:space="preserve"> the term </w:t>
      </w:r>
      <w:r w:rsidRPr="00381F8D">
        <w:rPr>
          <w:b/>
          <w:i/>
        </w:rPr>
        <w:t>Australian clearing entity</w:t>
      </w:r>
      <w:r>
        <w:t xml:space="preserve"> as domestic ADIs or AFSL holders with $100 billion or more total gross notional outstanding OTC derivatives positions. The term also includes entities that have opted to be treated as Australian clearing entities in accordance with ASIC’s central clearing DTRs.</w:t>
      </w:r>
    </w:p>
    <w:p w14:paraId="05172D36" w14:textId="77777777" w:rsidR="00682C4E" w:rsidRDefault="00682C4E" w:rsidP="00682C4E"/>
    <w:p w14:paraId="652E1268" w14:textId="77777777" w:rsidR="00682C4E" w:rsidRDefault="00682C4E" w:rsidP="00682C4E">
      <w:r>
        <w:t>Subregulation (2) allow</w:t>
      </w:r>
      <w:r w:rsidR="00034266">
        <w:t>s</w:t>
      </w:r>
      <w:r>
        <w:t xml:space="preserve"> ASIC’s DTRs to determine under what circumstances entities acting as responsible entities for registered schemes and as trustees of a trust are Australian clearing entities.</w:t>
      </w:r>
    </w:p>
    <w:p w14:paraId="33851CEA" w14:textId="77777777" w:rsidR="00682C4E" w:rsidRDefault="00682C4E" w:rsidP="00682C4E"/>
    <w:p w14:paraId="14B2FD86" w14:textId="77777777" w:rsidR="00682C4E" w:rsidRDefault="00682C4E" w:rsidP="00682C4E">
      <w:r>
        <w:t>As mentioned above, this definition, in conjunction with the definition of foreign clearing entity (see below), in effect replicate</w:t>
      </w:r>
      <w:r w:rsidR="00034266">
        <w:t>s</w:t>
      </w:r>
      <w:r>
        <w:t xml:space="preserve"> the scope of the end user exemption in current regulation 7.5A.50 with respect to central clearing. In combination with the level of the threshold it ensure</w:t>
      </w:r>
      <w:r w:rsidR="00034266">
        <w:t>s</w:t>
      </w:r>
      <w:r>
        <w:t xml:space="preserve"> that only major financial institutions </w:t>
      </w:r>
      <w:r w:rsidR="00034266">
        <w:t>are</w:t>
      </w:r>
      <w:r>
        <w:t xml:space="preserve"> included in the scope of the mandate.</w:t>
      </w:r>
    </w:p>
    <w:p w14:paraId="31B4C038" w14:textId="77777777" w:rsidR="00682C4E" w:rsidRDefault="00682C4E" w:rsidP="00682C4E"/>
    <w:p w14:paraId="7E3EE335" w14:textId="77777777" w:rsidR="00682C4E" w:rsidRPr="0014521C" w:rsidRDefault="00F80848" w:rsidP="00682C4E">
      <w:pPr>
        <w:rPr>
          <w:i/>
        </w:rPr>
      </w:pPr>
      <w:r>
        <w:rPr>
          <w:i/>
        </w:rPr>
        <w:t>R</w:t>
      </w:r>
      <w:r w:rsidR="00682C4E" w:rsidRPr="0014521C">
        <w:rPr>
          <w:i/>
        </w:rPr>
        <w:t>egulation 7.5A.</w:t>
      </w:r>
      <w:r w:rsidR="00682C4E">
        <w:rPr>
          <w:i/>
        </w:rPr>
        <w:t>62</w:t>
      </w:r>
      <w:r w:rsidR="00682C4E" w:rsidRPr="0014521C">
        <w:rPr>
          <w:i/>
        </w:rPr>
        <w:t xml:space="preserve"> – </w:t>
      </w:r>
      <w:r w:rsidR="00682C4E">
        <w:rPr>
          <w:i/>
        </w:rPr>
        <w:t>Meaning</w:t>
      </w:r>
      <w:r w:rsidR="00682C4E" w:rsidRPr="0014521C">
        <w:rPr>
          <w:i/>
        </w:rPr>
        <w:t xml:space="preserve"> of </w:t>
      </w:r>
      <w:r w:rsidR="00682C4E" w:rsidRPr="0014521C">
        <w:rPr>
          <w:b/>
          <w:i/>
        </w:rPr>
        <w:t>foreign clearing entity</w:t>
      </w:r>
    </w:p>
    <w:p w14:paraId="4D9F514E" w14:textId="77777777" w:rsidR="00682C4E" w:rsidRDefault="00682C4E" w:rsidP="00682C4E"/>
    <w:p w14:paraId="73FEEA22" w14:textId="77777777" w:rsidR="00682C4E" w:rsidRDefault="00682C4E" w:rsidP="00682C4E">
      <w:r>
        <w:t xml:space="preserve">The definition of </w:t>
      </w:r>
      <w:r w:rsidRPr="00682227">
        <w:rPr>
          <w:b/>
          <w:i/>
        </w:rPr>
        <w:t>foreign clearing entity</w:t>
      </w:r>
      <w:r>
        <w:t xml:space="preserve"> include</w:t>
      </w:r>
      <w:r w:rsidR="00F80848">
        <w:t>s</w:t>
      </w:r>
      <w:r>
        <w:t xml:space="preserve"> foreign ADIs or AFSL holders with $100 billion or more total gross notional outstanding OTC derivatives positions, as well as overseas-regulated foreign entities that exceed the threshold of $100 billion, provide derivatives-related services to wholesale clients in Australia and do not hold an AFSL because they have a specific exemption in the Corporations Act (and related legislation). It also include</w:t>
      </w:r>
      <w:r w:rsidR="00F80848">
        <w:t>s</w:t>
      </w:r>
      <w:r>
        <w:t xml:space="preserve"> entities that opt in to the regime in accordance with the central clearing DTRs.</w:t>
      </w:r>
    </w:p>
    <w:p w14:paraId="15692186" w14:textId="77777777" w:rsidR="00682C4E" w:rsidRDefault="00682C4E" w:rsidP="00682C4E"/>
    <w:p w14:paraId="7D37DF3A" w14:textId="77777777" w:rsidR="00682C4E" w:rsidRDefault="00682C4E" w:rsidP="00682C4E">
      <w:r>
        <w:t xml:space="preserve">The central clearing DTRs </w:t>
      </w:r>
      <w:r w:rsidR="00F80848">
        <w:t>are</w:t>
      </w:r>
      <w:r>
        <w:t xml:space="preserve"> allowed under subregulation (2) to determine under what circumstances this term applies to entities acting as responsible entities for registered schemes and as trustees of a trust.</w:t>
      </w:r>
    </w:p>
    <w:p w14:paraId="637BB432" w14:textId="77777777" w:rsidR="00682C4E" w:rsidRDefault="00682C4E" w:rsidP="00682C4E"/>
    <w:p w14:paraId="1BBCD33C" w14:textId="77777777" w:rsidR="00682C4E" w:rsidRPr="00D55146" w:rsidRDefault="00F80848" w:rsidP="00101775">
      <w:pPr>
        <w:keepNext/>
        <w:keepLines/>
        <w:rPr>
          <w:i/>
        </w:rPr>
      </w:pPr>
      <w:r>
        <w:rPr>
          <w:i/>
        </w:rPr>
        <w:t>R</w:t>
      </w:r>
      <w:r w:rsidR="00682C4E" w:rsidRPr="00D55146">
        <w:rPr>
          <w:i/>
        </w:rPr>
        <w:t>egulation 7.5A.</w:t>
      </w:r>
      <w:r w:rsidR="00682C4E">
        <w:rPr>
          <w:i/>
        </w:rPr>
        <w:t>63 – Clearing requirements-prescribed facilities</w:t>
      </w:r>
    </w:p>
    <w:p w14:paraId="36005BF2" w14:textId="77777777" w:rsidR="00682C4E" w:rsidRDefault="00682C4E" w:rsidP="00101775">
      <w:pPr>
        <w:keepNext/>
        <w:keepLines/>
      </w:pPr>
    </w:p>
    <w:p w14:paraId="46D420C4" w14:textId="77777777" w:rsidR="00682C4E" w:rsidRDefault="00682C4E" w:rsidP="00101775">
      <w:pPr>
        <w:keepNext/>
        <w:keepLines/>
      </w:pPr>
      <w:r>
        <w:t>This proposed regulation prescribe</w:t>
      </w:r>
      <w:r w:rsidR="00F80848">
        <w:t>s</w:t>
      </w:r>
      <w:r>
        <w:t xml:space="preserve"> a number of central counterparties (CCPs) that c</w:t>
      </w:r>
      <w:r w:rsidR="00F80848">
        <w:t>an</w:t>
      </w:r>
      <w:r>
        <w:t xml:space="preserve"> be used to satisfy an entity’s central clearing obligations in addition to CCPs licensed in Australia</w:t>
      </w:r>
      <w:r>
        <w:rPr>
          <w:rStyle w:val="FootnoteReference"/>
        </w:rPr>
        <w:footnoteReference w:id="1"/>
      </w:r>
      <w:r>
        <w:t xml:space="preserve">, as provided for in subsection 901A(7) of the </w:t>
      </w:r>
      <w:r w:rsidRPr="00EC6C8E">
        <w:rPr>
          <w:i/>
        </w:rPr>
        <w:t>Corporations Act 2001</w:t>
      </w:r>
      <w:r>
        <w:t xml:space="preserve"> (Corporations Act).</w:t>
      </w:r>
      <w:r>
        <w:rPr>
          <w:rStyle w:val="FootnoteReference"/>
        </w:rPr>
        <w:footnoteReference w:id="2"/>
      </w:r>
      <w:r>
        <w:t xml:space="preserve"> </w:t>
      </w:r>
    </w:p>
    <w:p w14:paraId="52F9CE7A" w14:textId="77777777" w:rsidR="00682C4E" w:rsidRDefault="00682C4E" w:rsidP="00682C4E"/>
    <w:p w14:paraId="5472FEE7" w14:textId="77777777" w:rsidR="00682C4E" w:rsidRDefault="00682C4E" w:rsidP="00682C4E">
      <w:r>
        <w:t>A</w:t>
      </w:r>
      <w:r w:rsidRPr="000E570C">
        <w:t xml:space="preserve">greement has been reached with </w:t>
      </w:r>
      <w:r>
        <w:t>five</w:t>
      </w:r>
      <w:r w:rsidRPr="000E570C">
        <w:t xml:space="preserve"> overseas CCPs on including them in the list of prescribed CCPs (CME Clearing Europe Limited, Eurex Clearing AG, Japan Securities Clearing Corporation</w:t>
      </w:r>
      <w:r>
        <w:t>, OTC Clearing Hong Kong Limited and NASDAQ OMX Clearing AB</w:t>
      </w:r>
      <w:r w:rsidRPr="000E570C">
        <w:t>).</w:t>
      </w:r>
      <w:r>
        <w:t xml:space="preserve"> In addition, </w:t>
      </w:r>
      <w:proofErr w:type="spellStart"/>
      <w:r>
        <w:t>subregulations</w:t>
      </w:r>
      <w:proofErr w:type="spellEnd"/>
      <w:r>
        <w:t xml:space="preserve"> (3) to (6) of the proposed regulation allow ASIC to determine further CCPs to be added to the list of prescribed CCPs, subject to these CCPs meeting a number of conditions set out in the proposed regulation. These conditions </w:t>
      </w:r>
      <w:r w:rsidR="00F80848">
        <w:t>are</w:t>
      </w:r>
      <w:r>
        <w:t xml:space="preserve"> that the CCP is authorised to provide central clearing services in its home jurisdiction; that the home jurisdiction substantially complies with key international standards applying to the regulation of CCPs; and that ASIC and the Reserve Bank of Australia (RBA) have access to an adequate level of information about the activity of Australian participants in the CCP. ASIC ha</w:t>
      </w:r>
      <w:r w:rsidR="00F80848">
        <w:t>s</w:t>
      </w:r>
      <w:r>
        <w:t xml:space="preserve"> to publish any determinations it makes on its website.</w:t>
      </w:r>
    </w:p>
    <w:p w14:paraId="5AA9C2ED" w14:textId="77777777" w:rsidR="00682C4E" w:rsidRDefault="00682C4E" w:rsidP="00682C4E"/>
    <w:p w14:paraId="3DA7E43A" w14:textId="77777777" w:rsidR="00682C4E" w:rsidRPr="008B11C3" w:rsidRDefault="00F80848" w:rsidP="00682C4E">
      <w:pPr>
        <w:rPr>
          <w:i/>
        </w:rPr>
      </w:pPr>
      <w:r>
        <w:rPr>
          <w:i/>
        </w:rPr>
        <w:t>R</w:t>
      </w:r>
      <w:r w:rsidR="00682C4E" w:rsidRPr="008B11C3">
        <w:rPr>
          <w:i/>
        </w:rPr>
        <w:t>egulation 7.5A.</w:t>
      </w:r>
      <w:r w:rsidR="00682C4E">
        <w:rPr>
          <w:i/>
        </w:rPr>
        <w:t>64 – Persons on whom clearing requirements cannot be imposed</w:t>
      </w:r>
    </w:p>
    <w:p w14:paraId="6CEB4EA6" w14:textId="77777777" w:rsidR="00682C4E" w:rsidRDefault="00682C4E" w:rsidP="00682C4E"/>
    <w:p w14:paraId="1A351E62" w14:textId="77777777" w:rsidR="00682C4E" w:rsidRDefault="00682C4E" w:rsidP="00682C4E">
      <w:r>
        <w:t>This regulation state</w:t>
      </w:r>
      <w:r w:rsidR="00F80848">
        <w:t>s</w:t>
      </w:r>
      <w:r>
        <w:t xml:space="preserve"> that the central clearing requirements can only apply to Australian clearing entities and foreign clearing entities, as defined in regulations 7.5A.61 and 7.5A.62. A note to the proposed regulation clarif</w:t>
      </w:r>
      <w:r w:rsidR="00F80848">
        <w:t>ies</w:t>
      </w:r>
      <w:r>
        <w:t xml:space="preserve"> that this provision in effect carves out, among others, a wide range of international bodies such as central banks, multilateral development banks, the Bank for International Settlements and other similar organisations, as they </w:t>
      </w:r>
      <w:r w:rsidR="00F80848">
        <w:t>are unlikely to</w:t>
      </w:r>
      <w:r>
        <w:t xml:space="preserve"> meet the two definitions of entities that are covered by the central clearing mandate.</w:t>
      </w:r>
    </w:p>
    <w:p w14:paraId="02DB549F" w14:textId="77777777" w:rsidR="00682C4E" w:rsidRDefault="00682C4E" w:rsidP="00682C4E"/>
    <w:p w14:paraId="334A0206" w14:textId="77777777" w:rsidR="00682C4E" w:rsidRPr="008B11C3" w:rsidRDefault="00F80848" w:rsidP="00682C4E">
      <w:pPr>
        <w:rPr>
          <w:i/>
        </w:rPr>
      </w:pPr>
      <w:r>
        <w:rPr>
          <w:i/>
        </w:rPr>
        <w:t>R</w:t>
      </w:r>
      <w:r w:rsidR="00682C4E" w:rsidRPr="008B11C3">
        <w:rPr>
          <w:i/>
        </w:rPr>
        <w:t>egulation 7.5A.</w:t>
      </w:r>
      <w:r w:rsidR="00682C4E">
        <w:rPr>
          <w:i/>
        </w:rPr>
        <w:t>65 – Circumstances in which clearing requirements can be imposed</w:t>
      </w:r>
    </w:p>
    <w:p w14:paraId="393C64BE" w14:textId="77777777" w:rsidR="00682C4E" w:rsidRDefault="00682C4E" w:rsidP="00682C4E"/>
    <w:p w14:paraId="5CF19F38" w14:textId="77777777" w:rsidR="00682C4E" w:rsidRDefault="00682C4E" w:rsidP="00682C4E">
      <w:r>
        <w:t>This regulation clarif</w:t>
      </w:r>
      <w:r w:rsidR="00F80848">
        <w:t>ies</w:t>
      </w:r>
      <w:r>
        <w:t>, in relation to Australian clearing entities and foreign clearing entities, which OTC derivatives transactions are subject to the central clearing mandate. It state</w:t>
      </w:r>
      <w:r w:rsidR="00F80848">
        <w:t>s</w:t>
      </w:r>
      <w:r>
        <w:t xml:space="preserve"> that only transactions with other Australian clearing entities, other foreign clearing entities and an additional category of international financial institutions called </w:t>
      </w:r>
      <w:r w:rsidRPr="000314C6">
        <w:rPr>
          <w:b/>
          <w:i/>
        </w:rPr>
        <w:t>foreign internationally active dealers</w:t>
      </w:r>
      <w:r>
        <w:t xml:space="preserve"> must be centrally cleared.</w:t>
      </w:r>
    </w:p>
    <w:p w14:paraId="3C760B26" w14:textId="77777777" w:rsidR="00682C4E" w:rsidRDefault="00682C4E" w:rsidP="00682C4E"/>
    <w:p w14:paraId="1796888C" w14:textId="77777777" w:rsidR="00682C4E" w:rsidRDefault="00682C4E" w:rsidP="00682C4E">
      <w:r>
        <w:t>Importantly, this provision ensure</w:t>
      </w:r>
      <w:r w:rsidR="007C6128">
        <w:t>s</w:t>
      </w:r>
      <w:r>
        <w:t xml:space="preserve"> that all other transactions do not have to be centrally cleared. Thus, if a major Australian bank (which is likely to be an Australian clearing entity) conclude</w:t>
      </w:r>
      <w:r w:rsidR="007C6128">
        <w:t>s</w:t>
      </w:r>
      <w:r>
        <w:t xml:space="preserve"> an OTC derivatives transaction with a corporate client, or with a small financial institution that d</w:t>
      </w:r>
      <w:r w:rsidR="007C6128">
        <w:t>oes</w:t>
      </w:r>
      <w:r>
        <w:t xml:space="preserve"> not have OTC derivatives positions that meet the $100 billion threshold, that transaction </w:t>
      </w:r>
      <w:r w:rsidR="007C6128">
        <w:t>does</w:t>
      </w:r>
      <w:r>
        <w:t xml:space="preserve"> not have to be centrally cleared.</w:t>
      </w:r>
    </w:p>
    <w:p w14:paraId="0501313D" w14:textId="77777777" w:rsidR="00682C4E" w:rsidRDefault="00682C4E" w:rsidP="00682C4E"/>
    <w:p w14:paraId="19CAA47D" w14:textId="77777777" w:rsidR="00682C4E" w:rsidRDefault="00682C4E" w:rsidP="00682C4E">
      <w:r>
        <w:t>The reason for the inclusion of the additional category of foreign internationally active dealers is to ensure that Australian entities can to the extent possible benefit from substituted compliance arrangements under which they may be allowed to centrally clear OTC derivatives transactions with overseas financial institutions in accordance with Australian rules, rather than with the rules governing the clearing activities of the overseas counterparty to the transaction.</w:t>
      </w:r>
    </w:p>
    <w:p w14:paraId="0E151326" w14:textId="77777777" w:rsidR="00682C4E" w:rsidRDefault="00682C4E" w:rsidP="00682C4E"/>
    <w:p w14:paraId="598C5412" w14:textId="77777777" w:rsidR="00682C4E" w:rsidRDefault="00682C4E" w:rsidP="00682C4E">
      <w:r>
        <w:t xml:space="preserve">Foreign internationally active dealers </w:t>
      </w:r>
      <w:r w:rsidR="00A6155D">
        <w:t>are</w:t>
      </w:r>
      <w:r>
        <w:t xml:space="preserve"> defined in subregulation (4) as entities that are not foreign clearing entities and are listed as swap dealers by the US Commodity Futures Trading Commission (CFTC) or, in future, as security-based swap dealers with the US Securities and Exchange Commission (SEC). This definition is not intended to target US financial institutions; rather it aims to capture the population of all large internationally active financial institutions, because most of these entities are likely to have registered with the CFTC (and, in future, the SEC). These institutions will by virtue of their status as registered swap dealers be subject to the CFTC’s clearing mandate and, in many cases, may also be or become subject to further clearing mandates such as the proposed EU central clearing regime.</w:t>
      </w:r>
    </w:p>
    <w:p w14:paraId="77822A60" w14:textId="77777777" w:rsidR="00682C4E" w:rsidRDefault="00682C4E" w:rsidP="00682C4E"/>
    <w:p w14:paraId="57A09E08" w14:textId="77777777" w:rsidR="00682C4E" w:rsidRDefault="00682C4E" w:rsidP="00682C4E">
      <w:r>
        <w:t>If no Australian clearing mandate applied to transactions between Australian-regulated entities and these foreign internationally active dealers then the transaction would automatically have to be centrally cleared according to the US central clearing rules (or, in future, other international central clearing regimes such as that proposed in the EU). Making the Australian clearing mandate apply to these transactions leave</w:t>
      </w:r>
      <w:r w:rsidR="00A6155D">
        <w:t>s</w:t>
      </w:r>
      <w:r>
        <w:t xml:space="preserve"> open the possibility, where the necessary substituted compliance arrangements </w:t>
      </w:r>
      <w:r w:rsidR="00A6155D">
        <w:t>a</w:t>
      </w:r>
      <w:r>
        <w:t xml:space="preserve">re in place, of the transaction being cleared in accordance with Australian central clearing rules. This </w:t>
      </w:r>
      <w:r w:rsidR="00A6155D">
        <w:t xml:space="preserve">may </w:t>
      </w:r>
      <w:r>
        <w:t>allow the Australian-regulated party to the transaction to avoid the significant compliance costs associated with clearing under a foreign regime.</w:t>
      </w:r>
    </w:p>
    <w:p w14:paraId="47DB8E2B" w14:textId="77777777" w:rsidR="00682C4E" w:rsidRDefault="00682C4E" w:rsidP="00682C4E"/>
    <w:p w14:paraId="4CE9EBBA" w14:textId="77777777" w:rsidR="00682C4E" w:rsidRDefault="00682C4E" w:rsidP="00682C4E">
      <w:r>
        <w:t xml:space="preserve">It is important to note that </w:t>
      </w:r>
      <w:proofErr w:type="spellStart"/>
      <w:r>
        <w:t>subregulations</w:t>
      </w:r>
      <w:proofErr w:type="spellEnd"/>
      <w:r>
        <w:t xml:space="preserve"> (2) and (3) of the regulation </w:t>
      </w:r>
      <w:r w:rsidR="00A6155D">
        <w:t>do</w:t>
      </w:r>
      <w:r>
        <w:t xml:space="preserve"> not impose the Australian central clearing obligation on the foreign party to the transaction, but only on the Australian-regulated party. This prevents the inappropriate application of Australian regulatory requirements to foreign entities that are not active and regulated in Australia.</w:t>
      </w:r>
      <w:r>
        <w:rPr>
          <w:rStyle w:val="FootnoteReference"/>
        </w:rPr>
        <w:footnoteReference w:id="3"/>
      </w:r>
    </w:p>
    <w:p w14:paraId="45050BD2" w14:textId="77777777" w:rsidR="00682C4E" w:rsidRDefault="00682C4E" w:rsidP="00682C4E"/>
    <w:p w14:paraId="6DA35B8A" w14:textId="77777777" w:rsidR="00682C4E" w:rsidRDefault="00682C4E" w:rsidP="00101775">
      <w:pPr>
        <w:keepNext/>
        <w:keepLines/>
      </w:pPr>
      <w:r>
        <w:t>In addition, the use of the public CFTC list of swap dealers (and, in future, of the public SEC list of security-based swap dealers) provide</w:t>
      </w:r>
      <w:r w:rsidR="00A6155D">
        <w:t>s</w:t>
      </w:r>
      <w:r>
        <w:t xml:space="preserve"> clarity and certainty to Australian and foreign clearing entities as to whether a transaction with a foreign international institution is subject to the Australian central clearing mandate or not.</w:t>
      </w:r>
    </w:p>
    <w:p w14:paraId="2EFBBEAF" w14:textId="77777777" w:rsidR="00682C4E" w:rsidRDefault="00682C4E" w:rsidP="00101775">
      <w:pPr>
        <w:keepNext/>
        <w:keepLines/>
      </w:pPr>
    </w:p>
    <w:p w14:paraId="0ACF1BAA" w14:textId="77777777" w:rsidR="00682C4E" w:rsidRPr="003F3542" w:rsidRDefault="00682C4E" w:rsidP="00101775">
      <w:pPr>
        <w:keepNext/>
        <w:keepLines/>
        <w:rPr>
          <w:b/>
        </w:rPr>
      </w:pPr>
      <w:r w:rsidRPr="003F3542">
        <w:rPr>
          <w:b/>
        </w:rPr>
        <w:t xml:space="preserve">Part </w:t>
      </w:r>
      <w:r>
        <w:rPr>
          <w:b/>
        </w:rPr>
        <w:t>2</w:t>
      </w:r>
      <w:r w:rsidRPr="003F3542">
        <w:rPr>
          <w:b/>
        </w:rPr>
        <w:t xml:space="preserve"> – </w:t>
      </w:r>
      <w:r>
        <w:rPr>
          <w:b/>
        </w:rPr>
        <w:t>A</w:t>
      </w:r>
      <w:r w:rsidRPr="003F3542">
        <w:rPr>
          <w:b/>
        </w:rPr>
        <w:t>mendments</w:t>
      </w:r>
      <w:r>
        <w:rPr>
          <w:b/>
        </w:rPr>
        <w:t xml:space="preserve"> commencing 1 October 2015</w:t>
      </w:r>
    </w:p>
    <w:p w14:paraId="4665054D" w14:textId="77777777" w:rsidR="00682C4E" w:rsidRDefault="00682C4E" w:rsidP="00682C4E"/>
    <w:p w14:paraId="2C892BD2" w14:textId="77777777" w:rsidR="00682C4E" w:rsidRPr="003E39BF" w:rsidRDefault="00682C4E" w:rsidP="00682C4E">
      <w:pPr>
        <w:rPr>
          <w:b/>
        </w:rPr>
      </w:pPr>
      <w:r w:rsidRPr="003E39BF">
        <w:rPr>
          <w:b/>
        </w:rPr>
        <w:t>Item [</w:t>
      </w:r>
      <w:r>
        <w:rPr>
          <w:b/>
        </w:rPr>
        <w:t>5</w:t>
      </w:r>
      <w:r w:rsidRPr="003E39BF">
        <w:rPr>
          <w:b/>
        </w:rPr>
        <w:t>]</w:t>
      </w:r>
      <w:r>
        <w:rPr>
          <w:b/>
        </w:rPr>
        <w:t xml:space="preserve"> </w:t>
      </w:r>
      <w:r>
        <w:rPr>
          <w:b/>
        </w:rPr>
        <w:noBreakHyphen/>
        <w:t xml:space="preserve"> After Subdivision 2.1A of Division 2 of Part 7.5A</w:t>
      </w:r>
    </w:p>
    <w:p w14:paraId="2562F0C1" w14:textId="77777777" w:rsidR="00682C4E" w:rsidRDefault="00682C4E" w:rsidP="00682C4E"/>
    <w:p w14:paraId="5FBAF14E" w14:textId="77777777" w:rsidR="00682C4E" w:rsidRDefault="00682C4E" w:rsidP="00682C4E">
      <w:r>
        <w:t>Item 5 insert</w:t>
      </w:r>
      <w:r w:rsidR="00A6155D">
        <w:t>s</w:t>
      </w:r>
      <w:r>
        <w:t xml:space="preserve"> new subdivision 2.1B into Division 2 of Part 7.5A of the Corporations Regulations. New subdivision 2.1B contain</w:t>
      </w:r>
      <w:r w:rsidR="00A6155D">
        <w:t>s</w:t>
      </w:r>
      <w:r>
        <w:t xml:space="preserve"> the amendments relating to single-sided reporting.</w:t>
      </w:r>
    </w:p>
    <w:p w14:paraId="21C82B55" w14:textId="77777777" w:rsidR="00682C4E" w:rsidRDefault="00682C4E" w:rsidP="00682C4E"/>
    <w:p w14:paraId="1733283C" w14:textId="77777777" w:rsidR="00682C4E" w:rsidRPr="00801ED8" w:rsidRDefault="00682C4E" w:rsidP="00682C4E">
      <w:pPr>
        <w:rPr>
          <w:b/>
          <w:i/>
        </w:rPr>
      </w:pPr>
      <w:r w:rsidRPr="00801ED8">
        <w:rPr>
          <w:b/>
          <w:i/>
        </w:rPr>
        <w:t>Subdivision 2.1</w:t>
      </w:r>
      <w:r>
        <w:rPr>
          <w:b/>
          <w:i/>
        </w:rPr>
        <w:t xml:space="preserve">B – Phase 3 reporting entities </w:t>
      </w:r>
      <w:r>
        <w:rPr>
          <w:b/>
          <w:i/>
        </w:rPr>
        <w:noBreakHyphen/>
        <w:t xml:space="preserve"> exemption from OTC derivative reporting requirements</w:t>
      </w:r>
    </w:p>
    <w:p w14:paraId="209B3CCC" w14:textId="77777777" w:rsidR="00682C4E" w:rsidRDefault="00682C4E" w:rsidP="00682C4E"/>
    <w:p w14:paraId="7E781E05" w14:textId="77777777" w:rsidR="00682C4E" w:rsidRPr="00801ED8" w:rsidRDefault="00DE7E06" w:rsidP="00682C4E">
      <w:pPr>
        <w:rPr>
          <w:i/>
        </w:rPr>
      </w:pPr>
      <w:r>
        <w:rPr>
          <w:i/>
        </w:rPr>
        <w:t>R</w:t>
      </w:r>
      <w:r w:rsidR="00682C4E" w:rsidRPr="00801ED8">
        <w:rPr>
          <w:i/>
        </w:rPr>
        <w:t>egulation 7.5A.</w:t>
      </w:r>
      <w:r w:rsidR="00682C4E">
        <w:rPr>
          <w:i/>
        </w:rPr>
        <w:t>70 – Definitions for Subdivision 2.1B</w:t>
      </w:r>
    </w:p>
    <w:p w14:paraId="6124A3B2" w14:textId="77777777" w:rsidR="00682C4E" w:rsidRDefault="00682C4E" w:rsidP="00682C4E"/>
    <w:p w14:paraId="55A8C37F" w14:textId="77777777" w:rsidR="00682C4E" w:rsidRDefault="00DE7E06" w:rsidP="00682C4E">
      <w:r>
        <w:t>R</w:t>
      </w:r>
      <w:r w:rsidR="00682C4E">
        <w:t>egulation 7.5A.70 contain</w:t>
      </w:r>
      <w:r>
        <w:t>s</w:t>
      </w:r>
      <w:r w:rsidR="00682C4E">
        <w:t xml:space="preserve"> a number of definitions of terms used in Subdivision 2.1A. In particular, it contain</w:t>
      </w:r>
      <w:r>
        <w:t>s</w:t>
      </w:r>
      <w:r w:rsidR="00682C4E">
        <w:t xml:space="preserve"> the key definition of a </w:t>
      </w:r>
      <w:r w:rsidR="00682C4E" w:rsidRPr="003952DF">
        <w:rPr>
          <w:b/>
          <w:i/>
        </w:rPr>
        <w:t>phase 3 reporting entity</w:t>
      </w:r>
      <w:r w:rsidR="00682C4E">
        <w:t xml:space="preserve">, stating that this term has the same meaning as in the ASIC Instrument [14/0633] (the ASIC Instrument). Other definitions, for example of </w:t>
      </w:r>
      <w:r w:rsidR="00682C4E" w:rsidRPr="003952DF">
        <w:rPr>
          <w:b/>
          <w:i/>
        </w:rPr>
        <w:t>OTC derivative</w:t>
      </w:r>
      <w:r w:rsidR="00682C4E">
        <w:t xml:space="preserve"> and related terms, reflect the </w:t>
      </w:r>
      <w:r w:rsidR="00682C4E" w:rsidRPr="003952DF">
        <w:rPr>
          <w:i/>
        </w:rPr>
        <w:t>ASIC Derivative Transaction Rules (Reporting) 2013</w:t>
      </w:r>
      <w:r w:rsidR="00682C4E">
        <w:t xml:space="preserve"> (the reporting DTRs). The use of common definitions is intended to ensure consistency between these amendments and the trade reporting requirements imposed by ASIC in the reporting DTRs as amended by the ASIC Instrument.</w:t>
      </w:r>
    </w:p>
    <w:p w14:paraId="4660C530" w14:textId="77777777" w:rsidR="00682C4E" w:rsidRDefault="00682C4E" w:rsidP="00682C4E"/>
    <w:p w14:paraId="0979AB6A" w14:textId="77777777" w:rsidR="00682C4E" w:rsidRDefault="00682C4E" w:rsidP="00682C4E">
      <w:r>
        <w:t>The ASIC Instrument was made on 27 June 2014 and introduced the split between phase 3A and phase 3B reporting entities, as well as amended starting dates for the reporting requirements for these two classes of entities.</w:t>
      </w:r>
    </w:p>
    <w:p w14:paraId="1BB1C758" w14:textId="77777777" w:rsidR="00682C4E" w:rsidRDefault="00682C4E" w:rsidP="00682C4E"/>
    <w:p w14:paraId="0E39398A" w14:textId="77777777" w:rsidR="00682C4E" w:rsidRDefault="00682C4E" w:rsidP="00682C4E">
      <w:r>
        <w:t xml:space="preserve">It is noted that some of the definitions refer to the meanings of those terms on the day these amendments commenced, i.e. they </w:t>
      </w:r>
      <w:r w:rsidR="00DE7E06">
        <w:t>do</w:t>
      </w:r>
      <w:r>
        <w:t xml:space="preserve"> not change even if those provisions </w:t>
      </w:r>
      <w:r w:rsidR="00DE7E06">
        <w:t>a</w:t>
      </w:r>
      <w:r>
        <w:t>re subsequently amended.</w:t>
      </w:r>
    </w:p>
    <w:p w14:paraId="446109F2" w14:textId="77777777" w:rsidR="00682C4E" w:rsidRDefault="00682C4E" w:rsidP="00682C4E"/>
    <w:p w14:paraId="59C76633" w14:textId="77777777" w:rsidR="00682C4E" w:rsidRDefault="00682C4E" w:rsidP="00682C4E">
      <w:r>
        <w:t xml:space="preserve">The definition of </w:t>
      </w:r>
      <w:r w:rsidRPr="00C94C55">
        <w:rPr>
          <w:b/>
          <w:i/>
        </w:rPr>
        <w:t>representative capacity</w:t>
      </w:r>
      <w:r>
        <w:t xml:space="preserve"> assist</w:t>
      </w:r>
      <w:r w:rsidR="00DE7E06">
        <w:t>s</w:t>
      </w:r>
      <w:r>
        <w:t xml:space="preserve"> in clarifying how the proposed amendments apply to responsible entities of registered schemes and trustees of a trust when they enter into or hold OTC derivatives transactions and positions on behalf of the registered schemes or trusts, rather than for their own account. The definition is not intended to apply to other parties acting as agents on behalf of responsible entities or trustees.</w:t>
      </w:r>
    </w:p>
    <w:p w14:paraId="51A891D6" w14:textId="77777777" w:rsidR="00682C4E" w:rsidRDefault="00682C4E" w:rsidP="00682C4E"/>
    <w:p w14:paraId="4AEF9A61" w14:textId="77777777" w:rsidR="00682C4E" w:rsidRPr="008B3E04" w:rsidRDefault="00DE7E06" w:rsidP="00682C4E">
      <w:pPr>
        <w:rPr>
          <w:i/>
        </w:rPr>
      </w:pPr>
      <w:r>
        <w:rPr>
          <w:i/>
        </w:rPr>
        <w:t>R</w:t>
      </w:r>
      <w:r w:rsidR="00682C4E" w:rsidRPr="008B3E04">
        <w:rPr>
          <w:i/>
        </w:rPr>
        <w:t>egulation 7.5A.</w:t>
      </w:r>
      <w:r w:rsidR="00682C4E">
        <w:rPr>
          <w:i/>
        </w:rPr>
        <w:t>71 – Exemption-single-sided transaction reporting</w:t>
      </w:r>
    </w:p>
    <w:p w14:paraId="65025AB2" w14:textId="77777777" w:rsidR="00682C4E" w:rsidRDefault="00682C4E" w:rsidP="00682C4E"/>
    <w:p w14:paraId="265E483D" w14:textId="77777777" w:rsidR="00682C4E" w:rsidRPr="00A438D0" w:rsidRDefault="00682C4E" w:rsidP="00682C4E">
      <w:r w:rsidRPr="00A438D0">
        <w:t>Subregulation (2) of this proposed regulation provide</w:t>
      </w:r>
      <w:r w:rsidR="00DE7E06">
        <w:t>s</w:t>
      </w:r>
      <w:r w:rsidRPr="00A438D0">
        <w:t xml:space="preserve"> an exemption from the trade reporting requirements in the reporting DTRs for a phase 3 reporting entity concluding an OTC derivatives transaction if proposed regulation 7.5.73 applie</w:t>
      </w:r>
      <w:r w:rsidR="00DE7E06">
        <w:t>s</w:t>
      </w:r>
      <w:r w:rsidRPr="00A438D0">
        <w:t xml:space="preserve"> to it, and if the counterparty </w:t>
      </w:r>
      <w:r w:rsidR="00DE7E06">
        <w:t>i</w:t>
      </w:r>
      <w:r w:rsidRPr="00A438D0">
        <w:t xml:space="preserve">s a </w:t>
      </w:r>
      <w:r w:rsidRPr="00A438D0">
        <w:rPr>
          <w:b/>
          <w:i/>
        </w:rPr>
        <w:t>reporting counterparty</w:t>
      </w:r>
      <w:r w:rsidRPr="00A438D0">
        <w:t xml:space="preserve"> as defined in proposed regulation 7.5A.72.</w:t>
      </w:r>
    </w:p>
    <w:p w14:paraId="0A062361" w14:textId="77777777" w:rsidR="00682C4E" w:rsidRPr="00A438D0" w:rsidRDefault="00682C4E" w:rsidP="00682C4E"/>
    <w:p w14:paraId="28880433" w14:textId="77777777" w:rsidR="00682C4E" w:rsidRPr="00A438D0" w:rsidRDefault="00682C4E" w:rsidP="00682C4E">
      <w:r w:rsidRPr="00A438D0">
        <w:t>Proposed regulation 7.5A.73 (see below) would provide further detail on when it is taken to apply to a phase 3 reporting entity with total gross notional outstanding positions of less than 5 billion Australian dollars, which is the threshold used to define phase 3B entities in the ASIC Instrument.</w:t>
      </w:r>
    </w:p>
    <w:p w14:paraId="0515E8B4" w14:textId="77777777" w:rsidR="00682C4E" w:rsidRPr="00A438D0" w:rsidRDefault="00682C4E" w:rsidP="00682C4E"/>
    <w:p w14:paraId="348D0281" w14:textId="77777777" w:rsidR="00682C4E" w:rsidRPr="00A438D0" w:rsidRDefault="00682C4E" w:rsidP="00682C4E">
      <w:r w:rsidRPr="00A438D0">
        <w:t>Subregulation (3) would provide the same exemption with the same conditions with respect to reporting of OTC derivatives positions.</w:t>
      </w:r>
    </w:p>
    <w:p w14:paraId="20A5E2C9" w14:textId="77777777" w:rsidR="00682C4E" w:rsidRPr="00A438D0" w:rsidRDefault="00682C4E" w:rsidP="00682C4E"/>
    <w:p w14:paraId="16F9FD48" w14:textId="77777777" w:rsidR="00682C4E" w:rsidRPr="00A438D0" w:rsidRDefault="00682C4E" w:rsidP="00682C4E">
      <w:proofErr w:type="spellStart"/>
      <w:r w:rsidRPr="00A438D0">
        <w:t>Subregulations</w:t>
      </w:r>
      <w:proofErr w:type="spellEnd"/>
      <w:r w:rsidRPr="00A438D0">
        <w:t xml:space="preserve"> (4) and (5) would ensure that conditions set out in the ASIC Instrument imposing certain reporting requirements did not apply to transactions or positions that were exempt under this regulation. Subsection 907D(3) would otherwise require compliance with those requirements.</w:t>
      </w:r>
    </w:p>
    <w:p w14:paraId="0F7678D8" w14:textId="77777777" w:rsidR="00682C4E" w:rsidRPr="00A438D0" w:rsidRDefault="00682C4E" w:rsidP="00682C4E"/>
    <w:p w14:paraId="4F06A719" w14:textId="77777777" w:rsidR="00682C4E" w:rsidRPr="00A438D0" w:rsidRDefault="00B65C78" w:rsidP="00682C4E">
      <w:pPr>
        <w:rPr>
          <w:i/>
        </w:rPr>
      </w:pPr>
      <w:r>
        <w:rPr>
          <w:i/>
        </w:rPr>
        <w:t>R</w:t>
      </w:r>
      <w:r w:rsidR="00682C4E" w:rsidRPr="00A438D0">
        <w:rPr>
          <w:i/>
        </w:rPr>
        <w:t>egulation 7.5A.72 – Reporting counterparties</w:t>
      </w:r>
    </w:p>
    <w:p w14:paraId="4D453F80" w14:textId="77777777" w:rsidR="00682C4E" w:rsidRPr="00A438D0" w:rsidRDefault="00682C4E" w:rsidP="00682C4E"/>
    <w:p w14:paraId="74A1EE09" w14:textId="77777777" w:rsidR="00682C4E" w:rsidRPr="00A438D0" w:rsidRDefault="00682C4E" w:rsidP="00682C4E">
      <w:r w:rsidRPr="00A438D0">
        <w:t>This regulation set</w:t>
      </w:r>
      <w:r w:rsidR="00B65C78">
        <w:t>s</w:t>
      </w:r>
      <w:r w:rsidRPr="00A438D0">
        <w:t xml:space="preserve"> out when an entity </w:t>
      </w:r>
      <w:r w:rsidR="00B65C78">
        <w:t>i</w:t>
      </w:r>
      <w:r w:rsidRPr="00A438D0">
        <w:t xml:space="preserve">s a </w:t>
      </w:r>
      <w:r w:rsidRPr="00A438D0">
        <w:rPr>
          <w:b/>
          <w:i/>
        </w:rPr>
        <w:t>reporting counterparty</w:t>
      </w:r>
      <w:r w:rsidRPr="00A438D0">
        <w:t xml:space="preserve"> as mentioned in proposed regulation 7.5A.71. As explained above, this </w:t>
      </w:r>
      <w:r w:rsidR="00B65C78">
        <w:t>is</w:t>
      </w:r>
      <w:r w:rsidRPr="00A438D0">
        <w:t xml:space="preserve"> one of the necessary conditions for obtaining single-sided reporting relief as it ensure</w:t>
      </w:r>
      <w:r w:rsidR="00B65C78">
        <w:t>s</w:t>
      </w:r>
      <w:r w:rsidRPr="00A438D0">
        <w:t xml:space="preserve"> that the counterparty to the phase 3B entity </w:t>
      </w:r>
      <w:r w:rsidR="00B65C78">
        <w:t>i</w:t>
      </w:r>
      <w:r w:rsidRPr="00A438D0">
        <w:t>s reporting the transaction or position.</w:t>
      </w:r>
    </w:p>
    <w:p w14:paraId="0335B5A0" w14:textId="77777777" w:rsidR="00682C4E" w:rsidRPr="00A438D0" w:rsidRDefault="00682C4E" w:rsidP="00682C4E"/>
    <w:p w14:paraId="3E85733F" w14:textId="77777777" w:rsidR="00682C4E" w:rsidRPr="00A438D0" w:rsidRDefault="00682C4E" w:rsidP="00682C4E">
      <w:proofErr w:type="spellStart"/>
      <w:r w:rsidRPr="00A438D0">
        <w:t>Subregulations</w:t>
      </w:r>
      <w:proofErr w:type="spellEnd"/>
      <w:r w:rsidRPr="00A438D0">
        <w:t xml:space="preserve"> (2) and (3) set out the relevant circumstances if the entity </w:t>
      </w:r>
      <w:r w:rsidR="00B65C78">
        <w:t>i</w:t>
      </w:r>
      <w:r w:rsidRPr="00A438D0">
        <w:t>s a reporting entity as defined in the reporting DTRs. This include</w:t>
      </w:r>
      <w:r w:rsidR="00B65C78">
        <w:t>s</w:t>
      </w:r>
      <w:r w:rsidRPr="00A438D0">
        <w:t xml:space="preserve"> both domestic and foreign entities.</w:t>
      </w:r>
    </w:p>
    <w:p w14:paraId="20A3139B" w14:textId="77777777" w:rsidR="00682C4E" w:rsidRPr="00A438D0" w:rsidRDefault="00682C4E" w:rsidP="00682C4E"/>
    <w:p w14:paraId="2B33D203" w14:textId="77777777" w:rsidR="00682C4E" w:rsidRPr="00A438D0" w:rsidRDefault="00682C4E" w:rsidP="00682C4E">
      <w:r w:rsidRPr="00A438D0">
        <w:t>Subregulation (2) address</w:t>
      </w:r>
      <w:r w:rsidR="00B65C78">
        <w:t>es</w:t>
      </w:r>
      <w:r w:rsidRPr="00A438D0">
        <w:t xml:space="preserve"> the situation where the counterparty </w:t>
      </w:r>
      <w:r w:rsidR="00B65C78">
        <w:t>i</w:t>
      </w:r>
      <w:r w:rsidRPr="00A438D0">
        <w:t xml:space="preserve">s a reporting entity under the reporting DTRs and </w:t>
      </w:r>
      <w:r w:rsidR="00B65C78">
        <w:t>i</w:t>
      </w:r>
      <w:r w:rsidRPr="00A438D0">
        <w:t xml:space="preserve">s not able itself to enjoy single-sided reporting relief (i.e. it was a phase 1, 2 or 3A entity). In that situation the phase 3B entity </w:t>
      </w:r>
      <w:r w:rsidR="00B65C78">
        <w:t>is</w:t>
      </w:r>
      <w:r w:rsidRPr="00A438D0">
        <w:t xml:space="preserve"> able to rely on a representation by the counterparty that it </w:t>
      </w:r>
      <w:r w:rsidR="00B65C78">
        <w:t>i</w:t>
      </w:r>
      <w:r w:rsidRPr="00A438D0">
        <w:t>s such a reporting entity, provided the phase 3B entity ma</w:t>
      </w:r>
      <w:r w:rsidR="00B65C78">
        <w:t>kes</w:t>
      </w:r>
      <w:r w:rsidRPr="00A438D0">
        <w:t xml:space="preserve"> regular enquiries reasonably designed to determine that the representation </w:t>
      </w:r>
      <w:r w:rsidR="00B65C78">
        <w:t>i</w:t>
      </w:r>
      <w:r w:rsidRPr="00A438D0">
        <w:t>s true, and d</w:t>
      </w:r>
      <w:r w:rsidR="00B65C78">
        <w:t>oes</w:t>
      </w:r>
      <w:r w:rsidRPr="00A438D0">
        <w:t xml:space="preserve"> not have any reason to suspect that it </w:t>
      </w:r>
      <w:r w:rsidR="00B65C78">
        <w:t>i</w:t>
      </w:r>
      <w:r w:rsidRPr="00A438D0">
        <w:t xml:space="preserve">s not true. </w:t>
      </w:r>
    </w:p>
    <w:p w14:paraId="7E0C9979" w14:textId="77777777" w:rsidR="00682C4E" w:rsidRPr="00A438D0" w:rsidRDefault="00682C4E" w:rsidP="00682C4E"/>
    <w:p w14:paraId="4468B5BC" w14:textId="77777777" w:rsidR="00682C4E" w:rsidRPr="00A438D0" w:rsidRDefault="00682C4E" w:rsidP="00101775">
      <w:pPr>
        <w:keepNext/>
        <w:keepLines/>
      </w:pPr>
      <w:r w:rsidRPr="00A438D0">
        <w:t>What is reasonable w</w:t>
      </w:r>
      <w:r w:rsidR="00255AA4">
        <w:t>ill</w:t>
      </w:r>
      <w:r w:rsidRPr="00A438D0">
        <w:t xml:space="preserve"> be determined by the circumstances relating to the phase 3 entity, the level of its OTC derivatives activities and the counterparty. For example, where the counterparty </w:t>
      </w:r>
      <w:r w:rsidR="00255AA4">
        <w:t>i</w:t>
      </w:r>
      <w:r w:rsidRPr="00A438D0">
        <w:t>s a major financial institution that act</w:t>
      </w:r>
      <w:r w:rsidR="00255AA4">
        <w:t>s</w:t>
      </w:r>
      <w:r w:rsidRPr="00A438D0">
        <w:t xml:space="preserve"> as a market-maker in OTC derivatives the enquiries need not be very exhaustive. This w</w:t>
      </w:r>
      <w:r w:rsidR="00255AA4">
        <w:t>ill</w:t>
      </w:r>
      <w:r w:rsidRPr="00A438D0">
        <w:t xml:space="preserve"> likely not be the case if the counterparty </w:t>
      </w:r>
      <w:r w:rsidR="00255AA4">
        <w:t>i</w:t>
      </w:r>
      <w:r w:rsidRPr="00A438D0">
        <w:t xml:space="preserve">s a smaller entity and </w:t>
      </w:r>
      <w:r w:rsidR="00255AA4">
        <w:t>i</w:t>
      </w:r>
      <w:r w:rsidRPr="00A438D0">
        <w:t xml:space="preserve">s not a regular participant in the OTC derivatives market. In such a case some form of reliable evidence demonstrating the counterparty’s status as a reporting entity may have to be obtained. </w:t>
      </w:r>
    </w:p>
    <w:p w14:paraId="0010D407" w14:textId="77777777" w:rsidR="00682C4E" w:rsidRPr="00A438D0" w:rsidRDefault="00682C4E" w:rsidP="00682C4E"/>
    <w:p w14:paraId="20A2C525" w14:textId="77777777" w:rsidR="00682C4E" w:rsidRPr="00A438D0" w:rsidRDefault="00682C4E" w:rsidP="00682C4E">
      <w:r w:rsidRPr="00A438D0">
        <w:t>Similarly, the frequency of the enquiries w</w:t>
      </w:r>
      <w:r w:rsidR="00255AA4">
        <w:t>ill</w:t>
      </w:r>
      <w:r w:rsidRPr="00A438D0">
        <w:t xml:space="preserve"> depend on the circumstances. For a phase 3 entity with few transactions or provisions and few or no changes to them, such enquiries could be undertaken as infrequently as once or twice a year. On the other hand, for a phase 3 entity with a larger number of outstanding transactions or positions and with frequent changes to them, these enquiries w</w:t>
      </w:r>
      <w:r w:rsidR="00255AA4">
        <w:t>ill</w:t>
      </w:r>
      <w:r w:rsidRPr="00A438D0">
        <w:t xml:space="preserve"> be expected to take place more frequently. </w:t>
      </w:r>
    </w:p>
    <w:p w14:paraId="1F71E38D" w14:textId="77777777" w:rsidR="00682C4E" w:rsidRPr="00A438D0" w:rsidRDefault="00682C4E" w:rsidP="00682C4E"/>
    <w:p w14:paraId="6F3367CB" w14:textId="77777777" w:rsidR="00682C4E" w:rsidRPr="00A438D0" w:rsidRDefault="00682C4E" w:rsidP="00682C4E">
      <w:r w:rsidRPr="00A438D0">
        <w:t>Subregulation (3) allow</w:t>
      </w:r>
      <w:r w:rsidR="00635304">
        <w:t>s</w:t>
      </w:r>
      <w:r w:rsidRPr="00A438D0">
        <w:t xml:space="preserve"> a counterparty that </w:t>
      </w:r>
      <w:r w:rsidR="00635304">
        <w:t>i</w:t>
      </w:r>
      <w:r w:rsidRPr="00A438D0">
        <w:t xml:space="preserve">s a reporting entity to be a </w:t>
      </w:r>
      <w:r w:rsidRPr="00A438D0">
        <w:rPr>
          <w:b/>
          <w:i/>
        </w:rPr>
        <w:t>reporting counterparty</w:t>
      </w:r>
      <w:r w:rsidRPr="00A438D0">
        <w:t xml:space="preserve"> by making a representation that it will report the transaction. This include</w:t>
      </w:r>
      <w:r w:rsidR="00635304">
        <w:t>s</w:t>
      </w:r>
      <w:r w:rsidRPr="00A438D0">
        <w:t xml:space="preserve"> all reporting entities, including phase 3 entities that could benefit from the single-sided reporting exemption. </w:t>
      </w:r>
      <w:r>
        <w:t>For other reporting entities, t</w:t>
      </w:r>
      <w:r w:rsidRPr="00A438D0">
        <w:t>his subregulation provide</w:t>
      </w:r>
      <w:r w:rsidR="00635304">
        <w:t>s</w:t>
      </w:r>
      <w:r w:rsidRPr="00A438D0">
        <w:t xml:space="preserve"> an alternative method that could be used where it prove</w:t>
      </w:r>
      <w:r w:rsidR="00635304">
        <w:t>s</w:t>
      </w:r>
      <w:r w:rsidRPr="00A438D0">
        <w:t xml:space="preserve"> difficult to confirm the counterparty’s status as a reporting entity. The non-reporting phase 3 entity w</w:t>
      </w:r>
      <w:r w:rsidR="00635304">
        <w:t>ill</w:t>
      </w:r>
      <w:r w:rsidRPr="00A438D0">
        <w:t xml:space="preserve"> have to make regular enquiries reasonably designed to determine whether the counterparty </w:t>
      </w:r>
      <w:r w:rsidR="00635304">
        <w:t>i</w:t>
      </w:r>
      <w:r w:rsidRPr="00A438D0">
        <w:t xml:space="preserve">s discharging its obligation under the representation. It </w:t>
      </w:r>
      <w:r w:rsidR="00635304">
        <w:t>will</w:t>
      </w:r>
      <w:r w:rsidRPr="00A438D0">
        <w:t xml:space="preserve"> also be required to not have a reason for suspecting that the counterparty </w:t>
      </w:r>
      <w:r w:rsidR="00635304">
        <w:t>i</w:t>
      </w:r>
      <w:r w:rsidRPr="00A438D0">
        <w:t xml:space="preserve">s not complying with the representation. </w:t>
      </w:r>
    </w:p>
    <w:p w14:paraId="2221D334" w14:textId="77777777" w:rsidR="00682C4E" w:rsidRPr="00A438D0" w:rsidRDefault="00682C4E" w:rsidP="00682C4E"/>
    <w:p w14:paraId="06B0407F" w14:textId="77777777" w:rsidR="00682C4E" w:rsidRPr="00A438D0" w:rsidRDefault="00682C4E" w:rsidP="00682C4E">
      <w:r w:rsidRPr="00A438D0">
        <w:t>What is reasonable w</w:t>
      </w:r>
      <w:r w:rsidR="00635304">
        <w:t>ill</w:t>
      </w:r>
      <w:r w:rsidRPr="00A438D0">
        <w:t xml:space="preserve"> again be determined by the circumstances relating to the non-reporting phase 3 entity and its activities in OTC derivatives. With respect to the frequency of the enquiries, for a phase 3 entity with few transactions or positions and few or no changes to them, these regular enquiries could be undertaken as infrequently as once or twice a year. On the other hand, for a phase 3 entity with a larger number of outstanding transactions or positions and with frequent changes to them, these enquiries w</w:t>
      </w:r>
      <w:r w:rsidR="00635304">
        <w:t>ill</w:t>
      </w:r>
      <w:r w:rsidRPr="00A438D0">
        <w:t xml:space="preserve"> be expected to take place more frequently. The nature of the enquiries </w:t>
      </w:r>
      <w:r w:rsidR="00635304">
        <w:t>will</w:t>
      </w:r>
      <w:r w:rsidRPr="00A438D0">
        <w:t xml:space="preserve"> likely consist of obtaining details of reported trades or positions and comparing them with the phase 3 entity’s own records to verify that all the required information </w:t>
      </w:r>
      <w:r w:rsidR="00635304">
        <w:t>i</w:t>
      </w:r>
      <w:r w:rsidRPr="00A438D0">
        <w:t>s being reported.</w:t>
      </w:r>
    </w:p>
    <w:p w14:paraId="32A6EA01" w14:textId="77777777" w:rsidR="00682C4E" w:rsidRPr="00A438D0" w:rsidRDefault="00682C4E" w:rsidP="00682C4E"/>
    <w:p w14:paraId="486C0619" w14:textId="77777777" w:rsidR="00682C4E" w:rsidRPr="00A438D0" w:rsidRDefault="00682C4E" w:rsidP="00682C4E">
      <w:proofErr w:type="spellStart"/>
      <w:r w:rsidRPr="00A438D0">
        <w:t>Subregulations</w:t>
      </w:r>
      <w:proofErr w:type="spellEnd"/>
      <w:r w:rsidRPr="00A438D0">
        <w:t xml:space="preserve"> (4) and (5) set out the circumstances in which foreign entities that </w:t>
      </w:r>
      <w:r w:rsidR="00635304">
        <w:t>a</w:t>
      </w:r>
      <w:r w:rsidRPr="00A438D0">
        <w:t xml:space="preserve">re not reporting entities under the reporting DTRs </w:t>
      </w:r>
      <w:r w:rsidR="00635304">
        <w:t>are</w:t>
      </w:r>
      <w:r w:rsidRPr="00A438D0">
        <w:t xml:space="preserve"> regarded as </w:t>
      </w:r>
      <w:r w:rsidRPr="00A438D0">
        <w:rPr>
          <w:b/>
          <w:i/>
        </w:rPr>
        <w:t>reporting counterparties</w:t>
      </w:r>
      <w:r w:rsidRPr="00A438D0">
        <w:t>.</w:t>
      </w:r>
    </w:p>
    <w:p w14:paraId="7332CFD6" w14:textId="77777777" w:rsidR="00682C4E" w:rsidRPr="00A438D0" w:rsidRDefault="00682C4E" w:rsidP="00682C4E"/>
    <w:p w14:paraId="7F5C2E03" w14:textId="77777777" w:rsidR="00682C4E" w:rsidRPr="00A438D0" w:rsidRDefault="00682C4E" w:rsidP="00101775">
      <w:pPr>
        <w:keepNext/>
        <w:keepLines/>
      </w:pPr>
      <w:proofErr w:type="spellStart"/>
      <w:r w:rsidRPr="00A438D0">
        <w:t>Subregulations</w:t>
      </w:r>
      <w:proofErr w:type="spellEnd"/>
      <w:r w:rsidRPr="00A438D0">
        <w:t xml:space="preserve"> (4) and (5) provide that the exemption </w:t>
      </w:r>
      <w:r w:rsidR="00A45B26">
        <w:t>is</w:t>
      </w:r>
      <w:r w:rsidRPr="00A438D0">
        <w:t xml:space="preserve"> also available to a phase 3 entity to which proposed regulation 7.5.73 applie</w:t>
      </w:r>
      <w:r w:rsidR="00A45B26">
        <w:t>s</w:t>
      </w:r>
      <w:r w:rsidRPr="00A438D0">
        <w:t xml:space="preserve"> and where the counterparty </w:t>
      </w:r>
      <w:r w:rsidR="00A45B26">
        <w:t>i</w:t>
      </w:r>
      <w:r w:rsidRPr="00A438D0">
        <w:t xml:space="preserve">s a foreign entity that </w:t>
      </w:r>
      <w:r w:rsidR="00A45B26">
        <w:t>i</w:t>
      </w:r>
      <w:r w:rsidRPr="00A438D0">
        <w:t>s not a reporting entity under the reporting DTRs. The foreign entity ha</w:t>
      </w:r>
      <w:r w:rsidR="00A45B26">
        <w:t>s</w:t>
      </w:r>
      <w:r w:rsidRPr="00A438D0">
        <w:t xml:space="preserve"> to report the transaction or position, either under substantially equivalent foreign reporting requirements using the substituted compliance provisions in the reporting DTRs, or under the reporting DTRs using the ASIC data fields. </w:t>
      </w:r>
    </w:p>
    <w:p w14:paraId="0E5E313D" w14:textId="77777777" w:rsidR="00682C4E" w:rsidRPr="00A438D0" w:rsidRDefault="00682C4E" w:rsidP="00101775">
      <w:pPr>
        <w:keepNext/>
        <w:keepLines/>
      </w:pPr>
    </w:p>
    <w:p w14:paraId="4E93A649" w14:textId="77777777" w:rsidR="00682C4E" w:rsidRPr="00A438D0" w:rsidRDefault="00682C4E" w:rsidP="00682C4E">
      <w:r w:rsidRPr="00A438D0">
        <w:t xml:space="preserve">In both of these circumstances the phase 3 entity </w:t>
      </w:r>
      <w:r w:rsidR="00A45B26">
        <w:t>is</w:t>
      </w:r>
      <w:r w:rsidRPr="00A438D0">
        <w:t xml:space="preserve"> obliged to obtain representations from the foreign entity that it will report the transaction to a prescribed or, in the latter circumstances, a licensed trade repository and that it will designate or ‘tag’ the information so that the trade repository knows that it can be provided to ASIC. </w:t>
      </w:r>
    </w:p>
    <w:p w14:paraId="115F100B" w14:textId="77777777" w:rsidR="00682C4E" w:rsidRPr="00A438D0" w:rsidRDefault="00682C4E" w:rsidP="00682C4E"/>
    <w:p w14:paraId="06F74174" w14:textId="77777777" w:rsidR="00682C4E" w:rsidRDefault="00682C4E" w:rsidP="00682C4E">
      <w:r w:rsidRPr="00A438D0">
        <w:t>The non-reporting phase 3 entity again ha</w:t>
      </w:r>
      <w:r w:rsidR="00A45B26">
        <w:t>s</w:t>
      </w:r>
      <w:r w:rsidRPr="00A438D0">
        <w:t xml:space="preserve"> to make regular enquiries reasonably designed to determine whether the foreign entity </w:t>
      </w:r>
      <w:r w:rsidR="00A45B26">
        <w:t>i</w:t>
      </w:r>
      <w:r w:rsidRPr="00A438D0">
        <w:t xml:space="preserve">s discharging its obligations under the representations. The discussion above in relation to what </w:t>
      </w:r>
      <w:r w:rsidR="00A45B26">
        <w:t>i</w:t>
      </w:r>
      <w:r w:rsidRPr="00A438D0">
        <w:t>s reasonable under the circumstances also appl</w:t>
      </w:r>
      <w:r w:rsidR="00A45B26">
        <w:t>ies</w:t>
      </w:r>
      <w:r w:rsidRPr="00A438D0">
        <w:t xml:space="preserve"> to this requirement. Similarly, the non-reporting phase 3 entity </w:t>
      </w:r>
      <w:r w:rsidR="00A45B26">
        <w:t>is</w:t>
      </w:r>
      <w:r w:rsidRPr="00A438D0">
        <w:t xml:space="preserve"> required to not have a reason for suspecting that the foreign entity </w:t>
      </w:r>
      <w:r w:rsidR="00A45B26">
        <w:t>i</w:t>
      </w:r>
      <w:r w:rsidRPr="00A438D0">
        <w:t>s not complying with its representations.</w:t>
      </w:r>
    </w:p>
    <w:p w14:paraId="5696AF3E" w14:textId="77777777" w:rsidR="00682C4E" w:rsidRDefault="00682C4E" w:rsidP="00682C4E"/>
    <w:p w14:paraId="6DCDCEE3" w14:textId="77777777" w:rsidR="00682C4E" w:rsidRDefault="00682C4E" w:rsidP="00682C4E">
      <w:r>
        <w:t>Subregulation (6) allow</w:t>
      </w:r>
      <w:r w:rsidR="00A45B26">
        <w:t>s</w:t>
      </w:r>
      <w:r>
        <w:t xml:space="preserve"> entities to choose which method they want to use to become a </w:t>
      </w:r>
      <w:r w:rsidRPr="00D079CD">
        <w:rPr>
          <w:b/>
          <w:i/>
        </w:rPr>
        <w:t>reporting counterparty</w:t>
      </w:r>
      <w:r>
        <w:t>, provided they satisf</w:t>
      </w:r>
      <w:r w:rsidR="00A45B26">
        <w:t>y</w:t>
      </w:r>
      <w:r>
        <w:t xml:space="preserve"> the prescribed conditions. As an example, an entity that could use subregulation (2) </w:t>
      </w:r>
      <w:r w:rsidR="00A45B26">
        <w:t>is</w:t>
      </w:r>
      <w:r>
        <w:t xml:space="preserve"> also able to use subregulation (3) instead if it prefer</w:t>
      </w:r>
      <w:r w:rsidR="00A45B26">
        <w:t>s</w:t>
      </w:r>
      <w:r>
        <w:t xml:space="preserve"> to do so.</w:t>
      </w:r>
    </w:p>
    <w:p w14:paraId="0B86D3DA" w14:textId="77777777" w:rsidR="00682C4E" w:rsidRDefault="00682C4E" w:rsidP="00682C4E"/>
    <w:p w14:paraId="4E7A0F90" w14:textId="77777777" w:rsidR="00682C4E" w:rsidRPr="007E3FBC" w:rsidRDefault="008909CB" w:rsidP="00682C4E">
      <w:pPr>
        <w:rPr>
          <w:i/>
        </w:rPr>
      </w:pPr>
      <w:r>
        <w:rPr>
          <w:i/>
        </w:rPr>
        <w:t>R</w:t>
      </w:r>
      <w:r w:rsidR="00682C4E" w:rsidRPr="007E3FBC">
        <w:rPr>
          <w:i/>
        </w:rPr>
        <w:t>egulation 7.5A.</w:t>
      </w:r>
      <w:r w:rsidR="00682C4E">
        <w:rPr>
          <w:i/>
        </w:rPr>
        <w:t>73</w:t>
      </w:r>
      <w:r w:rsidR="00682C4E" w:rsidRPr="007E3FBC">
        <w:rPr>
          <w:i/>
        </w:rPr>
        <w:t xml:space="preserve"> – Application of exemptions</w:t>
      </w:r>
    </w:p>
    <w:p w14:paraId="3BB3D816" w14:textId="77777777" w:rsidR="00682C4E" w:rsidRDefault="00682C4E" w:rsidP="00682C4E"/>
    <w:p w14:paraId="7D75967C" w14:textId="77777777" w:rsidR="00682C4E" w:rsidRDefault="00682C4E" w:rsidP="00682C4E">
      <w:r>
        <w:t>This regulation set</w:t>
      </w:r>
      <w:r w:rsidR="008909CB">
        <w:t>s</w:t>
      </w:r>
      <w:r>
        <w:t xml:space="preserve"> out when, for purposes of the exemptions provided in proposed regulation 7.5A.71,  regulation 7.5A.73 applie</w:t>
      </w:r>
      <w:r w:rsidR="008909CB">
        <w:t>s</w:t>
      </w:r>
      <w:r>
        <w:t xml:space="preserve"> to a phase 3 reporting entity. It is important to note that, for purposes of obtaining the benefit of the single-sided reporting exemption, it </w:t>
      </w:r>
      <w:r w:rsidR="008909CB">
        <w:t>is</w:t>
      </w:r>
      <w:r>
        <w:t xml:space="preserve"> primarily the rules set out in this Regulation that must be satisfied, rather than the reporting DTRs.</w:t>
      </w:r>
    </w:p>
    <w:p w14:paraId="231B12BA" w14:textId="77777777" w:rsidR="00682C4E" w:rsidRDefault="00682C4E" w:rsidP="00682C4E"/>
    <w:p w14:paraId="60AA30D3" w14:textId="77777777" w:rsidR="00682C4E" w:rsidRDefault="00682C4E" w:rsidP="00682C4E">
      <w:r>
        <w:t xml:space="preserve">Key definitions provided in subregulation (3) include </w:t>
      </w:r>
      <w:r w:rsidRPr="0056267F">
        <w:rPr>
          <w:b/>
          <w:i/>
        </w:rPr>
        <w:t>qualifying quarter day</w:t>
      </w:r>
      <w:r>
        <w:t xml:space="preserve"> and </w:t>
      </w:r>
      <w:r w:rsidRPr="0056267F">
        <w:rPr>
          <w:b/>
          <w:i/>
        </w:rPr>
        <w:t>disqualifying quarter day</w:t>
      </w:r>
      <w:r>
        <w:t>, which respectively denote quarter days on which a phase 3 reporting entity h</w:t>
      </w:r>
      <w:r w:rsidR="009E51C3">
        <w:t>olds</w:t>
      </w:r>
      <w:r>
        <w:t xml:space="preserve"> total gross notional outstanding positions below and above the threshold of $5 billion (which is the threshold used to distinguish phase 3A and phase 3B entities in the ASIC Instrument). </w:t>
      </w:r>
      <w:r>
        <w:rPr>
          <w:b/>
          <w:i/>
        </w:rPr>
        <w:t>Q</w:t>
      </w:r>
      <w:r w:rsidRPr="005D4254">
        <w:rPr>
          <w:b/>
          <w:i/>
        </w:rPr>
        <w:t>uarter day</w:t>
      </w:r>
      <w:r>
        <w:t xml:space="preserve"> is defined as in the Corporations Act, being one of 31 March, 30 June, 30 September and 31 December.</w:t>
      </w:r>
    </w:p>
    <w:p w14:paraId="7C2004E3" w14:textId="77777777" w:rsidR="00682C4E" w:rsidRDefault="00682C4E" w:rsidP="00682C4E"/>
    <w:p w14:paraId="73686A6E" w14:textId="77777777" w:rsidR="00682C4E" w:rsidRDefault="00682C4E" w:rsidP="00682C4E">
      <w:r>
        <w:t xml:space="preserve">In addition, the defined term </w:t>
      </w:r>
      <w:r w:rsidRPr="00622F67">
        <w:rPr>
          <w:b/>
          <w:i/>
        </w:rPr>
        <w:t>relevant capacity</w:t>
      </w:r>
      <w:r>
        <w:t xml:space="preserve"> as employed in the definitions of qualifying and disqualifying quarter day </w:t>
      </w:r>
      <w:r w:rsidR="009E51C3">
        <w:t>is</w:t>
      </w:r>
      <w:r>
        <w:t xml:space="preserve"> intended to ensure that these amendments appl</w:t>
      </w:r>
      <w:r w:rsidR="009E51C3">
        <w:t>y</w:t>
      </w:r>
      <w:r>
        <w:t xml:space="preserve"> either to OTC derivatives transactions concluded or held on an entity’s own account, as well as to transactions concluded or held by an entity on behalf of a registered scheme or trust.</w:t>
      </w:r>
    </w:p>
    <w:p w14:paraId="1A46D2DC" w14:textId="77777777" w:rsidR="00682C4E" w:rsidRDefault="00682C4E" w:rsidP="00682C4E">
      <w:r>
        <w:t>In general, the proposed approach require</w:t>
      </w:r>
      <w:r w:rsidR="009E51C3">
        <w:t>s</w:t>
      </w:r>
      <w:r>
        <w:t xml:space="preserve"> that an entity remain</w:t>
      </w:r>
      <w:r w:rsidR="009E51C3">
        <w:t>s</w:t>
      </w:r>
      <w:r>
        <w:t xml:space="preserve"> below the $5 billion threshold for two consecutive quarters in order to gain the benefit of the exemption, but also ha</w:t>
      </w:r>
      <w:r w:rsidR="009E51C3">
        <w:t>s</w:t>
      </w:r>
      <w:r>
        <w:t xml:space="preserve"> to remain above the threshold for two consecutive quarters in order to lose the exemption. This approach is intended to prevent changes in status from occurring because of a short-term increase or decrease in the level of an entity’s OTC derivatives activities. One further general rule </w:t>
      </w:r>
      <w:r w:rsidR="009E51C3">
        <w:t>is</w:t>
      </w:r>
      <w:r>
        <w:t xml:space="preserve"> that, following two consecutive qualifying or disqualifying quarter days, the benefit of the exemption </w:t>
      </w:r>
      <w:r w:rsidR="009E51C3">
        <w:t>is</w:t>
      </w:r>
      <w:r>
        <w:t xml:space="preserve"> gained or lost at the end of the following quarter.</w:t>
      </w:r>
    </w:p>
    <w:p w14:paraId="2A13F22D" w14:textId="77777777" w:rsidR="00682C4E" w:rsidRDefault="00682C4E" w:rsidP="00682C4E"/>
    <w:p w14:paraId="5A3E8149" w14:textId="77777777" w:rsidR="00682C4E" w:rsidRDefault="00682C4E" w:rsidP="00682C4E">
      <w:r>
        <w:t>Subregulation (1) clarif</w:t>
      </w:r>
      <w:r w:rsidR="009E51C3">
        <w:t>ies</w:t>
      </w:r>
      <w:r>
        <w:t xml:space="preserve"> when regulation 7.5A.73 applie</w:t>
      </w:r>
      <w:r w:rsidR="009E51C3">
        <w:t>s</w:t>
      </w:r>
      <w:r>
        <w:t xml:space="preserve"> to a </w:t>
      </w:r>
      <w:r w:rsidRPr="00160D02">
        <w:rPr>
          <w:b/>
          <w:i/>
        </w:rPr>
        <w:t>new phase 3 reporting entity</w:t>
      </w:r>
      <w:r>
        <w:t xml:space="preserve">, which is defined in subregulation (3) as an entity that becomes a phase 3 reporting entity on or after 1 October 2015. The rule </w:t>
      </w:r>
      <w:r w:rsidR="009E51C3">
        <w:t>is</w:t>
      </w:r>
      <w:r>
        <w:t xml:space="preserve"> that the regulation start</w:t>
      </w:r>
      <w:r w:rsidR="009E51C3">
        <w:t>s</w:t>
      </w:r>
      <w:r>
        <w:t xml:space="preserve"> applying on the day the entity bec</w:t>
      </w:r>
      <w:r w:rsidR="009E51C3">
        <w:t>o</w:t>
      </w:r>
      <w:r>
        <w:t>me</w:t>
      </w:r>
      <w:r w:rsidR="009E51C3">
        <w:t>s</w:t>
      </w:r>
      <w:r>
        <w:t xml:space="preserve"> a phase 3 reporting entity and end</w:t>
      </w:r>
      <w:r w:rsidR="009E51C3">
        <w:t>s</w:t>
      </w:r>
      <w:r>
        <w:t xml:space="preserve"> on the quarter day following two successive disqualifying quarter days. In other words, a newly established phase 3 reporting entity </w:t>
      </w:r>
      <w:r w:rsidR="00DB797C">
        <w:t xml:space="preserve">will </w:t>
      </w:r>
      <w:r>
        <w:t>benefit from the single-sided reporting exemption until it exceed</w:t>
      </w:r>
      <w:r w:rsidR="00DB797C">
        <w:t>s</w:t>
      </w:r>
      <w:r>
        <w:t xml:space="preserve"> the $5 billion threshold for two successive quarters. Once that occur</w:t>
      </w:r>
      <w:r w:rsidR="00DB797C">
        <w:t>s</w:t>
      </w:r>
      <w:r>
        <w:t>, the exemption stop</w:t>
      </w:r>
      <w:r w:rsidR="00DB797C">
        <w:t>s</w:t>
      </w:r>
      <w:r>
        <w:t xml:space="preserve"> applying to the entity after one further quarter ha</w:t>
      </w:r>
      <w:r w:rsidR="00DB797C">
        <w:t>s</w:t>
      </w:r>
      <w:r>
        <w:t xml:space="preserve"> passed. The example provided illustrates how this rule operate</w:t>
      </w:r>
      <w:r w:rsidR="00DB797C">
        <w:t>s</w:t>
      </w:r>
      <w:r>
        <w:t xml:space="preserve"> in practice.</w:t>
      </w:r>
    </w:p>
    <w:p w14:paraId="2AF2BEAA" w14:textId="77777777" w:rsidR="00682C4E" w:rsidRDefault="00682C4E" w:rsidP="00682C4E"/>
    <w:p w14:paraId="3D893DE0" w14:textId="77777777" w:rsidR="00682C4E" w:rsidRDefault="00682C4E" w:rsidP="00682C4E">
      <w:r>
        <w:t>Subregulation (2) provide</w:t>
      </w:r>
      <w:r w:rsidR="000C7C9F">
        <w:t>s</w:t>
      </w:r>
      <w:r>
        <w:t xml:space="preserve"> a corresponding rule for </w:t>
      </w:r>
      <w:r w:rsidRPr="0052203C">
        <w:rPr>
          <w:b/>
          <w:i/>
        </w:rPr>
        <w:t>continuing phase 3 reporting entities</w:t>
      </w:r>
      <w:r>
        <w:t>, which are defined in subregulation (3) as entities that already are phase 3 reporting entities on 1 October 2015. The definition clarifies that the term also include</w:t>
      </w:r>
      <w:r w:rsidR="000C7C9F">
        <w:t>s</w:t>
      </w:r>
      <w:r>
        <w:t xml:space="preserve"> new phase 3 reporting entities once they ha</w:t>
      </w:r>
      <w:r w:rsidR="000C7C9F">
        <w:t>ve</w:t>
      </w:r>
      <w:r>
        <w:t xml:space="preserve"> lost the benefit of the single-sided reporting exemption. The rule </w:t>
      </w:r>
      <w:r w:rsidR="000C7C9F">
        <w:t>is</w:t>
      </w:r>
      <w:r>
        <w:t xml:space="preserve"> that such entities w</w:t>
      </w:r>
      <w:r w:rsidR="000C7C9F">
        <w:t>ill</w:t>
      </w:r>
      <w:r>
        <w:t xml:space="preserve"> start benefiting from the exemption on the quarter day following two successive qualifying quarter days, and w</w:t>
      </w:r>
      <w:r w:rsidR="000C7C9F">
        <w:t>ill</w:t>
      </w:r>
      <w:r>
        <w:t xml:space="preserve"> lose the benefit of the exemption on the quarter day following two successive disqualifying quarter days. </w:t>
      </w:r>
    </w:p>
    <w:p w14:paraId="5517841A" w14:textId="77777777" w:rsidR="00682C4E" w:rsidRDefault="00682C4E" w:rsidP="00682C4E"/>
    <w:p w14:paraId="0233CF76" w14:textId="77777777" w:rsidR="00682C4E" w:rsidRDefault="00682C4E" w:rsidP="00682C4E">
      <w:r>
        <w:t xml:space="preserve">In other words, if an entity </w:t>
      </w:r>
      <w:r w:rsidR="000C7C9F">
        <w:t>is</w:t>
      </w:r>
      <w:r>
        <w:t xml:space="preserve"> a phase 3B reporting entity at the start of the regime in October 2015, it w</w:t>
      </w:r>
      <w:r w:rsidR="000C7C9F">
        <w:t>ill</w:t>
      </w:r>
      <w:r>
        <w:t xml:space="preserve"> only lose the benefit of the exemption if it remain</w:t>
      </w:r>
      <w:r w:rsidR="000C7C9F">
        <w:t>s</w:t>
      </w:r>
      <w:r>
        <w:t xml:space="preserve"> above the $5 billion threshold for two successive quarters. In that situation, the exemption w</w:t>
      </w:r>
      <w:r w:rsidR="000C7C9F">
        <w:t>ill</w:t>
      </w:r>
      <w:r>
        <w:t xml:space="preserve"> stop applying to the entity after a further quarter ha</w:t>
      </w:r>
      <w:r w:rsidR="000C7C9F">
        <w:t>s</w:t>
      </w:r>
      <w:r>
        <w:t xml:space="preserve"> passed. Going forward the entity c</w:t>
      </w:r>
      <w:r w:rsidR="005D623F">
        <w:t>an</w:t>
      </w:r>
      <w:r>
        <w:t xml:space="preserve"> regain the benefit of the exemption if it remain</w:t>
      </w:r>
      <w:r w:rsidR="005D623F">
        <w:t>s</w:t>
      </w:r>
      <w:r>
        <w:t xml:space="preserve"> below the $5 billion threshold for two successive quarters. In such circumstances the exemption w</w:t>
      </w:r>
      <w:r w:rsidR="005D623F">
        <w:t>ill</w:t>
      </w:r>
      <w:r>
        <w:t xml:space="preserve"> start applying again to the entity after a further quarter ha</w:t>
      </w:r>
      <w:r w:rsidR="005D623F">
        <w:t>s</w:t>
      </w:r>
      <w:r>
        <w:t xml:space="preserve"> passed. An example is provided illustrating how this rule operate</w:t>
      </w:r>
      <w:r w:rsidR="005D623F">
        <w:t>s</w:t>
      </w:r>
      <w:r>
        <w:t xml:space="preserve"> in practice.</w:t>
      </w:r>
    </w:p>
    <w:p w14:paraId="18AA9891" w14:textId="77777777" w:rsidR="00682C4E" w:rsidRDefault="00682C4E" w:rsidP="00682C4E"/>
    <w:p w14:paraId="63ABBD14" w14:textId="77777777" w:rsidR="00682C4E" w:rsidRDefault="00682C4E" w:rsidP="00682C4E">
      <w:r>
        <w:t xml:space="preserve">A crucial question for continuing phase 3 reporting entities </w:t>
      </w:r>
      <w:r w:rsidR="005D623F">
        <w:t>is</w:t>
      </w:r>
      <w:r>
        <w:t xml:space="preserve"> under what circumstances they w</w:t>
      </w:r>
      <w:r w:rsidR="005D623F">
        <w:t>ill</w:t>
      </w:r>
      <w:r>
        <w:t xml:space="preserve"> benefit from the exemption at the outset of the regime in October 2015. The note to the definition of </w:t>
      </w:r>
      <w:r w:rsidRPr="005C2280">
        <w:rPr>
          <w:b/>
          <w:i/>
        </w:rPr>
        <w:t>continuing phase 3 reporting entity</w:t>
      </w:r>
      <w:r>
        <w:t xml:space="preserve"> draw</w:t>
      </w:r>
      <w:r w:rsidR="005D623F">
        <w:t>s</w:t>
      </w:r>
      <w:r>
        <w:t xml:space="preserve"> the reader’s attention to the application provisions in Part 3 which clarify this question. Please refer to the relevant paragraphs below for a detailed discussion of these provisions.</w:t>
      </w:r>
    </w:p>
    <w:p w14:paraId="4E81A745" w14:textId="77777777" w:rsidR="00682C4E" w:rsidRDefault="00682C4E" w:rsidP="00682C4E"/>
    <w:p w14:paraId="5EFAD755" w14:textId="77777777" w:rsidR="00682C4E" w:rsidRPr="00345CFD" w:rsidRDefault="005D623F" w:rsidP="00101775">
      <w:pPr>
        <w:keepNext/>
        <w:keepLines/>
        <w:rPr>
          <w:i/>
        </w:rPr>
      </w:pPr>
      <w:r>
        <w:rPr>
          <w:i/>
        </w:rPr>
        <w:t>R</w:t>
      </w:r>
      <w:r w:rsidR="00682C4E" w:rsidRPr="00345CFD">
        <w:rPr>
          <w:i/>
        </w:rPr>
        <w:t>egulation 7.5A.</w:t>
      </w:r>
      <w:r w:rsidR="00682C4E">
        <w:rPr>
          <w:i/>
        </w:rPr>
        <w:t>74 – Reporting requirement-exemption stops applying</w:t>
      </w:r>
    </w:p>
    <w:p w14:paraId="5823CCD7" w14:textId="77777777" w:rsidR="00682C4E" w:rsidRDefault="00682C4E" w:rsidP="00101775">
      <w:pPr>
        <w:keepNext/>
        <w:keepLines/>
      </w:pPr>
    </w:p>
    <w:p w14:paraId="707642B2" w14:textId="77777777" w:rsidR="00682C4E" w:rsidRDefault="00682C4E" w:rsidP="00101775">
      <w:pPr>
        <w:keepNext/>
        <w:keepLines/>
      </w:pPr>
      <w:r>
        <w:t>This regulation set</w:t>
      </w:r>
      <w:r w:rsidR="00E40754">
        <w:t>s</w:t>
      </w:r>
      <w:r>
        <w:t xml:space="preserve"> out when a phase 3 reporting entity to which proposed regulation 7.5A.73 formerly applied (and which consequently benefited from the exemptions in proposed regulation 7.5A.71) ha</w:t>
      </w:r>
      <w:r w:rsidR="00E40754">
        <w:t>s</w:t>
      </w:r>
      <w:r>
        <w:t xml:space="preserve"> to report its OTC derivatives positions. Subregulation (2) of the regulation </w:t>
      </w:r>
      <w:r w:rsidR="00E40754">
        <w:t>p</w:t>
      </w:r>
      <w:r>
        <w:t>rovide</w:t>
      </w:r>
      <w:r w:rsidR="00E40754">
        <w:t>s</w:t>
      </w:r>
      <w:r>
        <w:t xml:space="preserve"> a period of 6 months within which the entity ha</w:t>
      </w:r>
      <w:r w:rsidR="00E40754">
        <w:t>s</w:t>
      </w:r>
      <w:r>
        <w:t xml:space="preserve"> to report the prescribed information relating to its OTC derivatives positions held at the time proposed regulation 7.5A.73 stopped applying to the entity. Under subregulation (3) failure to do so w</w:t>
      </w:r>
      <w:r w:rsidR="00E40754">
        <w:t>ill</w:t>
      </w:r>
      <w:r>
        <w:t xml:space="preserve"> result in the exemptions being taken never to have applied.</w:t>
      </w:r>
    </w:p>
    <w:p w14:paraId="03E9AAC4" w14:textId="77777777" w:rsidR="00682C4E" w:rsidRDefault="00682C4E" w:rsidP="00682C4E"/>
    <w:p w14:paraId="3648DDAC" w14:textId="77777777" w:rsidR="00682C4E" w:rsidRPr="003F3542" w:rsidRDefault="00682C4E" w:rsidP="00682C4E">
      <w:pPr>
        <w:rPr>
          <w:b/>
        </w:rPr>
      </w:pPr>
      <w:r w:rsidRPr="003F3542">
        <w:rPr>
          <w:b/>
        </w:rPr>
        <w:t xml:space="preserve">Part </w:t>
      </w:r>
      <w:r>
        <w:rPr>
          <w:b/>
        </w:rPr>
        <w:t>3</w:t>
      </w:r>
      <w:r w:rsidRPr="003F3542">
        <w:rPr>
          <w:b/>
        </w:rPr>
        <w:t xml:space="preserve"> – Application</w:t>
      </w:r>
    </w:p>
    <w:p w14:paraId="246CD95E" w14:textId="77777777" w:rsidR="00682C4E" w:rsidRDefault="00682C4E" w:rsidP="00682C4E"/>
    <w:p w14:paraId="7EDBA25E" w14:textId="77777777" w:rsidR="00682C4E" w:rsidRPr="00BD4ECB" w:rsidRDefault="00682C4E" w:rsidP="00682C4E">
      <w:pPr>
        <w:rPr>
          <w:b/>
        </w:rPr>
      </w:pPr>
      <w:r w:rsidRPr="00BD4ECB">
        <w:rPr>
          <w:b/>
        </w:rPr>
        <w:t>Item [</w:t>
      </w:r>
      <w:r>
        <w:rPr>
          <w:b/>
        </w:rPr>
        <w:t>6</w:t>
      </w:r>
      <w:r w:rsidRPr="00BD4ECB">
        <w:rPr>
          <w:b/>
        </w:rPr>
        <w:t>]</w:t>
      </w:r>
      <w:r>
        <w:rPr>
          <w:b/>
        </w:rPr>
        <w:t xml:space="preserve"> </w:t>
      </w:r>
      <w:r>
        <w:rPr>
          <w:b/>
        </w:rPr>
        <w:noBreakHyphen/>
        <w:t xml:space="preserve"> After Part 10.20</w:t>
      </w:r>
    </w:p>
    <w:p w14:paraId="4AF0EB55" w14:textId="77777777" w:rsidR="00682C4E" w:rsidRDefault="00682C4E" w:rsidP="00682C4E"/>
    <w:p w14:paraId="1780E709" w14:textId="77777777" w:rsidR="00682C4E" w:rsidRDefault="00682C4E" w:rsidP="00682C4E">
      <w:r>
        <w:t>This item insert</w:t>
      </w:r>
      <w:r w:rsidR="00815A6F">
        <w:t>s</w:t>
      </w:r>
      <w:r>
        <w:t xml:space="preserve"> a new Part 10.21 following existing Part 10.20 in the Corporations Regulations. This new part set</w:t>
      </w:r>
      <w:r w:rsidR="00815A6F">
        <w:t>s</w:t>
      </w:r>
      <w:r>
        <w:t xml:space="preserve"> out the application and transitional provisions relating to the proposed Regulation.</w:t>
      </w:r>
    </w:p>
    <w:p w14:paraId="472BFEDD" w14:textId="77777777" w:rsidR="00682C4E" w:rsidRDefault="00682C4E" w:rsidP="00682C4E"/>
    <w:p w14:paraId="7DDD3FC5" w14:textId="77777777" w:rsidR="00682C4E" w:rsidRPr="005C73FE" w:rsidRDefault="00682C4E" w:rsidP="00682C4E">
      <w:pPr>
        <w:rPr>
          <w:b/>
        </w:rPr>
      </w:pPr>
      <w:r>
        <w:rPr>
          <w:b/>
        </w:rPr>
        <w:t>Part 10.21 Application</w:t>
      </w:r>
      <w:r w:rsidRPr="005C73FE">
        <w:rPr>
          <w:b/>
        </w:rPr>
        <w:t xml:space="preserve"> provisions</w:t>
      </w:r>
      <w:r>
        <w:rPr>
          <w:b/>
        </w:rPr>
        <w:t xml:space="preserve"> relating to the Corporations Amendment (Central Clearing and Single-Sided Reporting) Regulation 2015</w:t>
      </w:r>
    </w:p>
    <w:p w14:paraId="2BE46074" w14:textId="77777777" w:rsidR="00682C4E" w:rsidRDefault="00682C4E" w:rsidP="00682C4E"/>
    <w:p w14:paraId="73550D97" w14:textId="77777777" w:rsidR="00682C4E" w:rsidRPr="009C77EA" w:rsidRDefault="00815A6F" w:rsidP="00682C4E">
      <w:pPr>
        <w:rPr>
          <w:i/>
        </w:rPr>
      </w:pPr>
      <w:r>
        <w:rPr>
          <w:i/>
        </w:rPr>
        <w:t>R</w:t>
      </w:r>
      <w:r w:rsidR="00682C4E" w:rsidRPr="009C77EA">
        <w:rPr>
          <w:i/>
        </w:rPr>
        <w:t xml:space="preserve">egulation 10.21.01 </w:t>
      </w:r>
      <w:r w:rsidR="00682C4E">
        <w:rPr>
          <w:i/>
        </w:rPr>
        <w:t>–</w:t>
      </w:r>
      <w:r w:rsidR="00682C4E" w:rsidRPr="009C77EA">
        <w:rPr>
          <w:i/>
        </w:rPr>
        <w:t xml:space="preserve"> </w:t>
      </w:r>
      <w:r w:rsidR="00682C4E">
        <w:rPr>
          <w:i/>
        </w:rPr>
        <w:t>First application of 7.5A.73-existing phase 3 reporting entities</w:t>
      </w:r>
    </w:p>
    <w:p w14:paraId="20F756B0" w14:textId="77777777" w:rsidR="00682C4E" w:rsidRDefault="00682C4E" w:rsidP="00682C4E"/>
    <w:p w14:paraId="4BC568F1" w14:textId="77777777" w:rsidR="00682C4E" w:rsidRDefault="00682C4E" w:rsidP="00682C4E">
      <w:r>
        <w:t>Subregulation (4) of this regulation clarif</w:t>
      </w:r>
      <w:r w:rsidR="00815A6F">
        <w:t>ies</w:t>
      </w:r>
      <w:r>
        <w:t xml:space="preserve"> that the terms used in this regulation have the same meanings as in proposed regulation 7.5A.73. This include</w:t>
      </w:r>
      <w:r w:rsidR="00815A6F">
        <w:t>s</w:t>
      </w:r>
      <w:r>
        <w:t xml:space="preserve"> the meaning of terms as defined in proposed regulation 7.5A.70.</w:t>
      </w:r>
    </w:p>
    <w:p w14:paraId="6F57B892" w14:textId="77777777" w:rsidR="00682C4E" w:rsidRDefault="00682C4E" w:rsidP="00682C4E"/>
    <w:p w14:paraId="13509CC6" w14:textId="77777777" w:rsidR="00682C4E" w:rsidRDefault="00682C4E" w:rsidP="00682C4E">
      <w:r>
        <w:t>Subregulation (1) set</w:t>
      </w:r>
      <w:r w:rsidR="00815A6F">
        <w:t>s</w:t>
      </w:r>
      <w:r>
        <w:t xml:space="preserve"> out the main rule applying to phase 3 reporting entities that are in existence as of 30 September 2015. The rule </w:t>
      </w:r>
      <w:r w:rsidR="00815A6F">
        <w:t>is</w:t>
      </w:r>
      <w:r>
        <w:t xml:space="preserve"> that these entities w</w:t>
      </w:r>
      <w:r w:rsidR="00815A6F">
        <w:t>ill</w:t>
      </w:r>
      <w:r>
        <w:t xml:space="preserve"> benefit from the single-sided reporting exemption starting on 1 October 2015 and ending on the quarter day following two successive disqualifying quarter days. Importantly, all disqualifying quarter days from (and including) 30 June 2015 onwards </w:t>
      </w:r>
      <w:r w:rsidR="00815A6F">
        <w:t>are</w:t>
      </w:r>
      <w:r>
        <w:t xml:space="preserve"> taken into account when applying this rule.</w:t>
      </w:r>
    </w:p>
    <w:p w14:paraId="169B026B" w14:textId="77777777" w:rsidR="00682C4E" w:rsidRDefault="00682C4E" w:rsidP="00682C4E"/>
    <w:p w14:paraId="53B875F9" w14:textId="77777777" w:rsidR="00682C4E" w:rsidRDefault="00682C4E" w:rsidP="00682C4E">
      <w:r>
        <w:t>This mean</w:t>
      </w:r>
      <w:r w:rsidR="00815A6F">
        <w:t>s</w:t>
      </w:r>
      <w:r>
        <w:t xml:space="preserve"> that such entities w</w:t>
      </w:r>
      <w:r w:rsidR="00815A6F">
        <w:t>ill</w:t>
      </w:r>
      <w:r>
        <w:t xml:space="preserve"> benefit from the exemption until they remain above the $5 billion threshold for two successive quarters. Once that </w:t>
      </w:r>
      <w:r w:rsidR="00815A6F">
        <w:t>is</w:t>
      </w:r>
      <w:r>
        <w:t xml:space="preserve"> the case, they w</w:t>
      </w:r>
      <w:r w:rsidR="00815A6F">
        <w:t>ill</w:t>
      </w:r>
      <w:r>
        <w:t xml:space="preserve"> lose the benefit of the exemption after another quarter ha</w:t>
      </w:r>
      <w:r w:rsidR="00815A6F">
        <w:t>s</w:t>
      </w:r>
      <w:r>
        <w:t xml:space="preserve"> passed. In applying this rule, the 30 June and 30 September quarter days have to be taken into account.</w:t>
      </w:r>
    </w:p>
    <w:p w14:paraId="6692A6A6" w14:textId="77777777" w:rsidR="00682C4E" w:rsidRDefault="00682C4E" w:rsidP="00682C4E"/>
    <w:p w14:paraId="23101C4D" w14:textId="77777777" w:rsidR="00682C4E" w:rsidRDefault="00682C4E" w:rsidP="00682C4E">
      <w:r>
        <w:t>As an example, such an entity w</w:t>
      </w:r>
      <w:r w:rsidR="00815A6F">
        <w:t>ill</w:t>
      </w:r>
      <w:r>
        <w:t xml:space="preserve"> continue to benefit from the exemption if on 30 June it </w:t>
      </w:r>
      <w:r w:rsidR="00815A6F">
        <w:t>is</w:t>
      </w:r>
      <w:r>
        <w:t xml:space="preserve"> above the threshold, but </w:t>
      </w:r>
      <w:r w:rsidR="00815A6F">
        <w:t>is</w:t>
      </w:r>
      <w:r>
        <w:t xml:space="preserve"> below the threshold on 30 September. In that case it would need to remain above the threshold for two consecutive quarters before losing the benefit of the exemption, which would occur after the passing of a further quarter.</w:t>
      </w:r>
    </w:p>
    <w:p w14:paraId="3C1A8253" w14:textId="77777777" w:rsidR="00682C4E" w:rsidRDefault="00682C4E" w:rsidP="00682C4E"/>
    <w:p w14:paraId="60068783" w14:textId="77777777" w:rsidR="00682C4E" w:rsidRDefault="00682C4E" w:rsidP="00682C4E">
      <w:r>
        <w:t xml:space="preserve">If, on the other hand, such an entity </w:t>
      </w:r>
      <w:r w:rsidR="00815A6F">
        <w:t>i</w:t>
      </w:r>
      <w:r>
        <w:t>s below the threshold on 30 June, but above it on 30 September, it w</w:t>
      </w:r>
      <w:r w:rsidR="00815A6F">
        <w:t>ill</w:t>
      </w:r>
      <w:r>
        <w:t xml:space="preserve"> also continue to benefit from the exemption. Should it remain above the threshold on the next quarter day, being 31 December, it would lose the benefit of the exemption at the end of the following quarter. If on 31 December it </w:t>
      </w:r>
      <w:r w:rsidR="00815A6F">
        <w:t>i</w:t>
      </w:r>
      <w:r>
        <w:t>s below the threshold, it would have to remain above the threshold for two successive future quarter days before losing the benefit of the exemption.</w:t>
      </w:r>
    </w:p>
    <w:p w14:paraId="758992DD" w14:textId="77777777" w:rsidR="00682C4E" w:rsidRDefault="00682C4E" w:rsidP="00682C4E"/>
    <w:p w14:paraId="39D4262A" w14:textId="77777777" w:rsidR="00682C4E" w:rsidRDefault="00682C4E" w:rsidP="00682C4E">
      <w:proofErr w:type="spellStart"/>
      <w:r>
        <w:t>Subregulations</w:t>
      </w:r>
      <w:proofErr w:type="spellEnd"/>
      <w:r>
        <w:t xml:space="preserve"> (2) and (3) would address the special case of a phase 3 reporting entity that was in existence on 31 March 2015 and remain</w:t>
      </w:r>
      <w:r w:rsidR="00815A6F">
        <w:t>ed</w:t>
      </w:r>
      <w:r>
        <w:t xml:space="preserve"> above the threshold on that day and on 30 June 2015. This entity w</w:t>
      </w:r>
      <w:r w:rsidR="00815A6F">
        <w:t>ill</w:t>
      </w:r>
      <w:r>
        <w:t xml:space="preserve"> lose the benefit of the exemption from the end of the following quarter, i.e. from 30 September 2015. In order to regain the exemption it would have to remain below the threshold for two successive quarter days (which could include the 30 September quarter day), in which case the exemption w</w:t>
      </w:r>
      <w:r w:rsidR="00815A6F">
        <w:t>ill</w:t>
      </w:r>
      <w:r>
        <w:t xml:space="preserve"> apply again after a further quarter ha</w:t>
      </w:r>
      <w:r w:rsidR="00815A6F">
        <w:t>s</w:t>
      </w:r>
      <w:r>
        <w:t xml:space="preserve"> passed.</w:t>
      </w:r>
    </w:p>
    <w:p w14:paraId="1AC8F918" w14:textId="77777777" w:rsidR="00682C4E" w:rsidRDefault="00682C4E" w:rsidP="00682C4E"/>
    <w:p w14:paraId="2B08CD69" w14:textId="77777777" w:rsidR="00682C4E" w:rsidRDefault="00682C4E" w:rsidP="00682C4E">
      <w:r>
        <w:t xml:space="preserve">All other circumstances that could arise in relation to these entities </w:t>
      </w:r>
      <w:r w:rsidR="00815A6F">
        <w:t>are</w:t>
      </w:r>
      <w:r>
        <w:t xml:space="preserve"> adequately covered by the rule set out in subregulation (1).</w:t>
      </w:r>
    </w:p>
    <w:p w14:paraId="0BBCF7C2" w14:textId="77777777" w:rsidR="00682C4E" w:rsidRDefault="00682C4E" w:rsidP="00682C4E"/>
    <w:p w14:paraId="6B79934F" w14:textId="77777777" w:rsidR="00682C4E" w:rsidRDefault="00682C4E" w:rsidP="00682C4E">
      <w:pPr>
        <w:rPr>
          <w:b/>
        </w:rPr>
      </w:pPr>
      <w:r w:rsidRPr="00F77411">
        <w:rPr>
          <w:b/>
        </w:rPr>
        <w:t>Part 4 - Amendments relating to notifiable instruments</w:t>
      </w:r>
    </w:p>
    <w:p w14:paraId="321522A1" w14:textId="77777777" w:rsidR="00682C4E" w:rsidRDefault="00682C4E" w:rsidP="00682C4E">
      <w:pPr>
        <w:rPr>
          <w:b/>
        </w:rPr>
      </w:pPr>
    </w:p>
    <w:p w14:paraId="6FDE47BD" w14:textId="77777777" w:rsidR="00682C4E" w:rsidRPr="0037380E" w:rsidRDefault="00682C4E" w:rsidP="00682C4E">
      <w:pPr>
        <w:rPr>
          <w:b/>
          <w:i/>
        </w:rPr>
      </w:pPr>
      <w:r w:rsidRPr="0037380E">
        <w:rPr>
          <w:b/>
          <w:i/>
        </w:rPr>
        <w:t>Corporations Regulations 2001</w:t>
      </w:r>
    </w:p>
    <w:p w14:paraId="3D7301EA" w14:textId="77777777" w:rsidR="00682C4E" w:rsidRDefault="00682C4E" w:rsidP="00682C4E"/>
    <w:p w14:paraId="001D4933" w14:textId="77777777" w:rsidR="00682C4E" w:rsidRPr="008D6BE5" w:rsidRDefault="00682C4E" w:rsidP="00682C4E">
      <w:pPr>
        <w:rPr>
          <w:b/>
        </w:rPr>
      </w:pPr>
      <w:r w:rsidRPr="008D6BE5">
        <w:rPr>
          <w:b/>
        </w:rPr>
        <w:t>Item [</w:t>
      </w:r>
      <w:r>
        <w:rPr>
          <w:b/>
        </w:rPr>
        <w:t>7</w:t>
      </w:r>
      <w:r w:rsidRPr="008D6BE5">
        <w:rPr>
          <w:b/>
        </w:rPr>
        <w:t xml:space="preserve">] </w:t>
      </w:r>
      <w:r>
        <w:rPr>
          <w:b/>
        </w:rPr>
        <w:noBreakHyphen/>
        <w:t xml:space="preserve"> </w:t>
      </w:r>
      <w:r w:rsidRPr="008D6BE5">
        <w:rPr>
          <w:b/>
        </w:rPr>
        <w:t>Sub</w:t>
      </w:r>
      <w:r>
        <w:rPr>
          <w:b/>
        </w:rPr>
        <w:t>regulation</w:t>
      </w:r>
      <w:r w:rsidRPr="008D6BE5">
        <w:rPr>
          <w:b/>
        </w:rPr>
        <w:t xml:space="preserve"> 7.5A.63(4)</w:t>
      </w:r>
    </w:p>
    <w:p w14:paraId="7E8DDF2C" w14:textId="77777777" w:rsidR="00682C4E" w:rsidRDefault="00682C4E" w:rsidP="00682C4E"/>
    <w:p w14:paraId="23B79D4A" w14:textId="77777777" w:rsidR="00682C4E" w:rsidRDefault="00815A6F" w:rsidP="00682C4E">
      <w:r>
        <w:t>S</w:t>
      </w:r>
      <w:r w:rsidR="00682C4E">
        <w:t>ubsection 7.5A.63(4) allow</w:t>
      </w:r>
      <w:r>
        <w:t>s</w:t>
      </w:r>
      <w:r w:rsidR="00682C4E">
        <w:t xml:space="preserve"> ASIC to determine in writing whether a facility satisfie</w:t>
      </w:r>
      <w:r>
        <w:t>s</w:t>
      </w:r>
      <w:r w:rsidR="00682C4E">
        <w:t xml:space="preserve"> the criteria set out in that subregulation. If so ASIC </w:t>
      </w:r>
      <w:r>
        <w:t>may</w:t>
      </w:r>
      <w:r w:rsidR="00682C4E">
        <w:t xml:space="preserve"> determine that the facility </w:t>
      </w:r>
      <w:r>
        <w:t>i</w:t>
      </w:r>
      <w:r w:rsidR="00682C4E">
        <w:t>s a prescribed CCP which may be used to satisfy an entity’s central clearing obligations.</w:t>
      </w:r>
    </w:p>
    <w:p w14:paraId="5619DCCC" w14:textId="77777777" w:rsidR="00682C4E" w:rsidRDefault="00682C4E" w:rsidP="00682C4E"/>
    <w:p w14:paraId="393871CD" w14:textId="77777777" w:rsidR="00682C4E" w:rsidRDefault="00682C4E" w:rsidP="00682C4E">
      <w:r>
        <w:t>This item provide</w:t>
      </w:r>
      <w:r w:rsidR="00815A6F">
        <w:t>s</w:t>
      </w:r>
      <w:r>
        <w:t xml:space="preserve"> a </w:t>
      </w:r>
      <w:r w:rsidRPr="00F77411">
        <w:t xml:space="preserve">contingent amendment </w:t>
      </w:r>
      <w:r>
        <w:t>to this subregulation allowing ASIC to make the determination in the form of a</w:t>
      </w:r>
      <w:r w:rsidRPr="00F77411">
        <w:t xml:space="preserve"> notifiable instrument</w:t>
      </w:r>
      <w:r>
        <w:t xml:space="preserve">, subject to </w:t>
      </w:r>
      <w:r w:rsidRPr="00F77411">
        <w:t xml:space="preserve">the </w:t>
      </w:r>
      <w:r w:rsidRPr="008D6BE5">
        <w:rPr>
          <w:i/>
        </w:rPr>
        <w:t>Acts and Instruments (Framework Reform) Act 2015</w:t>
      </w:r>
      <w:r>
        <w:t xml:space="preserve"> coming into effect (as provided for in the commencement provisions for this part in Section 2). Under the provisions of that Act this will occur at some time before 5 March 2016. T</w:t>
      </w:r>
      <w:r w:rsidRPr="00F77411">
        <w:t xml:space="preserve">he </w:t>
      </w:r>
      <w:r w:rsidRPr="008D6BE5">
        <w:rPr>
          <w:i/>
        </w:rPr>
        <w:t>Acts and Instruments (Framework Reform) Act 2015</w:t>
      </w:r>
      <w:r>
        <w:t xml:space="preserve"> </w:t>
      </w:r>
      <w:r w:rsidRPr="00F77411">
        <w:t xml:space="preserve">will </w:t>
      </w:r>
      <w:r>
        <w:t>allow</w:t>
      </w:r>
      <w:r w:rsidRPr="00F77411">
        <w:t xml:space="preserve"> determinations such as these to be </w:t>
      </w:r>
      <w:r>
        <w:t xml:space="preserve">made in the form of </w:t>
      </w:r>
      <w:r w:rsidRPr="00F77411">
        <w:t xml:space="preserve">notifiable instruments, which </w:t>
      </w:r>
      <w:r>
        <w:t>will be</w:t>
      </w:r>
      <w:r w:rsidRPr="00F77411">
        <w:t xml:space="preserve"> non-legislative instruments listed on the Federal Register of Legislative Instruments.</w:t>
      </w:r>
    </w:p>
    <w:p w14:paraId="5631B5F2" w14:textId="77777777" w:rsidR="00682C4E" w:rsidRDefault="00682C4E" w:rsidP="00682C4E">
      <w:r w:rsidRPr="00F77411">
        <w:t xml:space="preserve">ASIC determinations of prescribed CCPs </w:t>
      </w:r>
      <w:r w:rsidR="00815A6F">
        <w:t>are not</w:t>
      </w:r>
      <w:r w:rsidRPr="00F77411">
        <w:t xml:space="preserve"> legislative instruments because they </w:t>
      </w:r>
      <w:r w:rsidR="00815A6F">
        <w:t>do</w:t>
      </w:r>
      <w:r w:rsidRPr="00F77411">
        <w:t xml:space="preserve"> not determine or alter the law. They </w:t>
      </w:r>
      <w:r w:rsidR="00815A6F">
        <w:t>are</w:t>
      </w:r>
      <w:r w:rsidRPr="00F77411">
        <w:t xml:space="preserve"> the outcomes of assessments by ASIC whether the criteria set out in the proposed reg</w:t>
      </w:r>
      <w:r>
        <w:t>ulation appl</w:t>
      </w:r>
      <w:r w:rsidR="00815A6F">
        <w:t>y</w:t>
      </w:r>
      <w:r>
        <w:t xml:space="preserve"> to specific CCPs.</w:t>
      </w:r>
    </w:p>
    <w:p w14:paraId="4C1DE14D" w14:textId="77777777" w:rsidR="00682C4E" w:rsidRDefault="00682C4E" w:rsidP="00682C4E"/>
    <w:p w14:paraId="31591F64" w14:textId="77777777" w:rsidR="00682C4E" w:rsidRPr="008D6BE5" w:rsidRDefault="00682C4E" w:rsidP="00682C4E">
      <w:pPr>
        <w:rPr>
          <w:b/>
        </w:rPr>
      </w:pPr>
      <w:r w:rsidRPr="008D6BE5">
        <w:rPr>
          <w:b/>
        </w:rPr>
        <w:t>Item [</w:t>
      </w:r>
      <w:r>
        <w:rPr>
          <w:b/>
        </w:rPr>
        <w:t>8</w:t>
      </w:r>
      <w:r w:rsidRPr="008D6BE5">
        <w:rPr>
          <w:b/>
        </w:rPr>
        <w:t xml:space="preserve">] </w:t>
      </w:r>
      <w:r>
        <w:rPr>
          <w:b/>
        </w:rPr>
        <w:noBreakHyphen/>
        <w:t xml:space="preserve"> </w:t>
      </w:r>
      <w:r w:rsidRPr="008D6BE5">
        <w:rPr>
          <w:b/>
        </w:rPr>
        <w:t>Sub</w:t>
      </w:r>
      <w:r>
        <w:rPr>
          <w:b/>
        </w:rPr>
        <w:t>regulati</w:t>
      </w:r>
      <w:r w:rsidRPr="008D6BE5">
        <w:rPr>
          <w:b/>
        </w:rPr>
        <w:t>on 7.5A.63(</w:t>
      </w:r>
      <w:r>
        <w:rPr>
          <w:b/>
        </w:rPr>
        <w:t>5</w:t>
      </w:r>
      <w:r w:rsidRPr="008D6BE5">
        <w:rPr>
          <w:b/>
        </w:rPr>
        <w:t>)</w:t>
      </w:r>
    </w:p>
    <w:p w14:paraId="4315FFB1" w14:textId="77777777" w:rsidR="00682C4E" w:rsidRDefault="00682C4E" w:rsidP="00682C4E"/>
    <w:p w14:paraId="3DFF0444" w14:textId="77777777" w:rsidR="00682C4E" w:rsidRDefault="00682C4E" w:rsidP="00682C4E">
      <w:r>
        <w:t>This subregulation require</w:t>
      </w:r>
      <w:r w:rsidR="00815A6F">
        <w:t>s</w:t>
      </w:r>
      <w:r>
        <w:t xml:space="preserve"> ASIC to publish any determinations of prescribed CCPs it ma</w:t>
      </w:r>
      <w:r w:rsidR="00815A6F">
        <w:t>kes</w:t>
      </w:r>
      <w:r>
        <w:t xml:space="preserve"> on its website. This item remove</w:t>
      </w:r>
      <w:r w:rsidR="00815A6F">
        <w:t>s</w:t>
      </w:r>
      <w:r>
        <w:t xml:space="preserve"> this requirement as it w</w:t>
      </w:r>
      <w:r w:rsidR="00815A6F">
        <w:t>ill</w:t>
      </w:r>
      <w:r>
        <w:t xml:space="preserve"> no longer be necessary </w:t>
      </w:r>
      <w:r w:rsidR="00F24F1B">
        <w:t>once</w:t>
      </w:r>
      <w:r>
        <w:t xml:space="preserve"> the amendment in Item [7] c</w:t>
      </w:r>
      <w:r w:rsidR="00815A6F">
        <w:t>omes</w:t>
      </w:r>
      <w:r>
        <w:t xml:space="preserve"> into effect, since all notifiable instruments will be publicly available on the </w:t>
      </w:r>
      <w:r w:rsidRPr="00F77411">
        <w:t>Federal Register of Legislative Instruments</w:t>
      </w:r>
      <w:r>
        <w:t>.</w:t>
      </w:r>
    </w:p>
    <w:p w14:paraId="11B5F9A0" w14:textId="77777777" w:rsidR="00286B3A" w:rsidRDefault="00286B3A">
      <w:pPr>
        <w:spacing w:before="0" w:after="0"/>
      </w:pPr>
      <w:r>
        <w:br w:type="page"/>
      </w:r>
    </w:p>
    <w:p w14:paraId="0D3638EF" w14:textId="77777777" w:rsidR="00DD009C" w:rsidRDefault="00C33628" w:rsidP="00C33628">
      <w:pPr>
        <w:jc w:val="right"/>
        <w:rPr>
          <w:b/>
          <w:u w:val="single"/>
        </w:rPr>
      </w:pPr>
      <w:r w:rsidRPr="00C33628">
        <w:rPr>
          <w:b/>
          <w:u w:val="single"/>
        </w:rPr>
        <w:t>ATTACHMENT B</w:t>
      </w:r>
    </w:p>
    <w:p w14:paraId="7432D913" w14:textId="77777777" w:rsidR="00C33628" w:rsidRPr="00C33628" w:rsidRDefault="00C33628" w:rsidP="00C33628">
      <w:pPr>
        <w:rPr>
          <w:b/>
          <w:u w:val="single"/>
        </w:rPr>
      </w:pPr>
    </w:p>
    <w:p w14:paraId="5DBEAD34" w14:textId="77777777" w:rsidR="00DD009C" w:rsidRPr="00C33628" w:rsidRDefault="00DD009C" w:rsidP="00C33628">
      <w:pPr>
        <w:pStyle w:val="Heading1"/>
        <w:jc w:val="left"/>
        <w:rPr>
          <w:u w:val="none"/>
        </w:rPr>
      </w:pPr>
      <w:r w:rsidRPr="00C33628">
        <w:rPr>
          <w:u w:val="none"/>
        </w:rPr>
        <w:t>Regulation Impact Statement – Implementation of Reforms to Australia’s Over-the-counter Derivatives Markets – Central Clearing Mandate for G4 and AUD Interest Rate Derivatives</w:t>
      </w:r>
    </w:p>
    <w:p w14:paraId="7707951B" w14:textId="77777777" w:rsidR="00DD009C" w:rsidRDefault="00DD009C" w:rsidP="00A22D93">
      <w:pPr>
        <w:pStyle w:val="Heading2"/>
      </w:pPr>
    </w:p>
    <w:p w14:paraId="78F01841" w14:textId="77777777" w:rsidR="00DD009C" w:rsidRPr="00A81F13" w:rsidRDefault="00DD009C" w:rsidP="00A22D93">
      <w:pPr>
        <w:pStyle w:val="Heading2"/>
      </w:pPr>
      <w:r>
        <w:t xml:space="preserve">1. </w:t>
      </w:r>
      <w:r w:rsidRPr="00A81F13">
        <w:t>Problem</w:t>
      </w:r>
      <w:r>
        <w:t xml:space="preserve"> Definition</w:t>
      </w:r>
    </w:p>
    <w:p w14:paraId="2DDF6196" w14:textId="77777777" w:rsidR="00DD009C" w:rsidRPr="00AC3CA4" w:rsidRDefault="00DD009C" w:rsidP="00CC2AC7">
      <w:r w:rsidRPr="00C33628">
        <w:rPr>
          <w:iCs/>
        </w:rPr>
        <w:t xml:space="preserve">This final stage Regulation Impact Statement (RIS) follows an early assessment RIS supporting the Government’s in-principle decision to make a </w:t>
      </w:r>
      <w:r w:rsidRPr="00C33628">
        <w:t>Ministerial</w:t>
      </w:r>
      <w:r w:rsidRPr="00AC3CA4">
        <w:t xml:space="preserve"> determination and accompanying regulations allowing the Australian Securities and Investment Commission (ASIC) to issue derivative transaction rules (DTRs) mandating central clearing of prescribed classes of over-the-counter (OTC) derivatives.  This decision was announced by the Acting Assistant Treasurer in December 2014.</w:t>
      </w:r>
      <w:r w:rsidRPr="00AC3CA4">
        <w:rPr>
          <w:rStyle w:val="FootnoteReference"/>
        </w:rPr>
        <w:footnoteReference w:id="4"/>
      </w:r>
    </w:p>
    <w:p w14:paraId="6DAF8797" w14:textId="77777777" w:rsidR="00DD009C" w:rsidRPr="00AC3CA4" w:rsidRDefault="00DD009C" w:rsidP="00CC2AC7">
      <w:pPr>
        <w:rPr>
          <w:lang w:eastAsia="en-US"/>
        </w:rPr>
      </w:pPr>
      <w:r w:rsidRPr="00AC3CA4">
        <w:rPr>
          <w:lang w:eastAsia="en-US"/>
        </w:rPr>
        <w:t>In May 2015 the Government released for public consultation a draft Ministerial determination and regulations imposing a central clearing mandate for prescribed classes of OTC derivatives. ASIC simultaneously released its draft central clearing DTRs for public consultation. The Government intends to finalise and make the determination and regulations taking into account the outcomes of the public consultation.</w:t>
      </w:r>
    </w:p>
    <w:p w14:paraId="01F18C5E" w14:textId="77777777" w:rsidR="00DD009C" w:rsidRPr="00C33628" w:rsidRDefault="00DD009C" w:rsidP="00CC2AC7">
      <w:pPr>
        <w:rPr>
          <w:lang w:eastAsia="en-US"/>
        </w:rPr>
      </w:pPr>
      <w:r w:rsidRPr="00AC3CA4">
        <w:rPr>
          <w:lang w:eastAsia="en-US"/>
        </w:rPr>
        <w:t xml:space="preserve">Central clearing is one of the reforms being implemented globally in OTC derivatives markets. Clearing mandates in overseas jurisdictions are impacting on Australian banks and businesses active in global financial markets. The implementation of a clearing mandate in Australia is intended, as explained in detail below, to mitigate the negative effects of this impact. This RIS accordingly does not focus on issues associated with Australia’s OTC derivatives central clearing framework, but is </w:t>
      </w:r>
      <w:r w:rsidRPr="00C33628">
        <w:rPr>
          <w:lang w:eastAsia="en-US"/>
        </w:rPr>
        <w:t>primarily concerned with mitigating t</w:t>
      </w:r>
      <w:r w:rsidRPr="00C33628">
        <w:rPr>
          <w:rStyle w:val="Emphasis"/>
          <w:i w:val="0"/>
        </w:rPr>
        <w:t>he impact of foreign OTC derivatives regulations on Australian banks and businesses.</w:t>
      </w:r>
    </w:p>
    <w:p w14:paraId="2AA2A3D4" w14:textId="77777777" w:rsidR="00DD009C" w:rsidRPr="00C33628" w:rsidRDefault="00DD009C" w:rsidP="00CC2AC7">
      <w:r w:rsidRPr="00C33628">
        <w:rPr>
          <w:lang w:eastAsia="en-US"/>
        </w:rPr>
        <w:t xml:space="preserve">This RIS only relates to the making of the Ministerial determination and related regulations. ASIC’s central clearing DTRs are subject to a separate regulatory impact assessment. </w:t>
      </w:r>
    </w:p>
    <w:p w14:paraId="3C73BFE7" w14:textId="77777777" w:rsidR="00DD009C" w:rsidRPr="00C33628" w:rsidRDefault="00DD009C" w:rsidP="00CC2AC7">
      <w:pPr>
        <w:rPr>
          <w:rStyle w:val="Emphasis"/>
        </w:rPr>
      </w:pPr>
      <w:r w:rsidRPr="00C33628">
        <w:rPr>
          <w:rStyle w:val="Emphasis"/>
        </w:rPr>
        <w:t>Background - global OTC derivatives reforms</w:t>
      </w:r>
    </w:p>
    <w:p w14:paraId="3F95E120" w14:textId="77777777" w:rsidR="00DD009C" w:rsidRPr="00C33628" w:rsidRDefault="00DD009C" w:rsidP="00CC2AC7">
      <w:pPr>
        <w:rPr>
          <w:rStyle w:val="Emphasis"/>
          <w:i w:val="0"/>
        </w:rPr>
      </w:pPr>
      <w:r w:rsidRPr="00C33628">
        <w:rPr>
          <w:rStyle w:val="Emphasis"/>
          <w:i w:val="0"/>
        </w:rPr>
        <w:t>The OTC derivatives market is one of the largest global financial markets, with total volume of over US$ 700 trillion</w:t>
      </w:r>
      <w:r w:rsidRPr="00C33628">
        <w:rPr>
          <w:rStyle w:val="FootnoteReference"/>
          <w:iCs/>
        </w:rPr>
        <w:footnoteReference w:id="5"/>
      </w:r>
      <w:r w:rsidRPr="00C33628">
        <w:rPr>
          <w:rStyle w:val="Emphasis"/>
          <w:i w:val="0"/>
        </w:rPr>
        <w:t>.  OTC derivatives are used by a wide range of market participants to hedge numerous types of financial and other risks, as well as for speculative purposes.</w:t>
      </w:r>
    </w:p>
    <w:p w14:paraId="73EA6B27" w14:textId="77777777" w:rsidR="00DD009C" w:rsidRPr="00C33628" w:rsidRDefault="00DD009C" w:rsidP="00CC2AC7">
      <w:pPr>
        <w:rPr>
          <w:rStyle w:val="Emphasis"/>
          <w:i w:val="0"/>
        </w:rPr>
      </w:pPr>
      <w:r w:rsidRPr="00C33628">
        <w:rPr>
          <w:rStyle w:val="Emphasis"/>
          <w:i w:val="0"/>
        </w:rPr>
        <w:t>The global financial crisis (GFC) of 2008 highlighted structural deficiencies in the OTC derivatives market, in particular with respect to transparency and default risk management.</w:t>
      </w:r>
    </w:p>
    <w:p w14:paraId="031DB1E8" w14:textId="77777777" w:rsidR="00DD009C" w:rsidRPr="00C33628" w:rsidRDefault="00DD009C" w:rsidP="00CC2AC7">
      <w:pPr>
        <w:rPr>
          <w:rStyle w:val="Emphasis"/>
          <w:i w:val="0"/>
        </w:rPr>
      </w:pPr>
      <w:r w:rsidRPr="00C33628">
        <w:rPr>
          <w:rStyle w:val="Emphasis"/>
          <w:i w:val="0"/>
        </w:rPr>
        <w:t>G20 leaders at the 2009 Pittsburgh Summit in response agreed to a number of reforms designed to address these deficiencies.</w:t>
      </w:r>
    </w:p>
    <w:p w14:paraId="253EB2A0" w14:textId="77777777" w:rsidR="00DD009C" w:rsidRPr="00C33628" w:rsidRDefault="00DD009C" w:rsidP="00DD009C">
      <w:pPr>
        <w:pStyle w:val="Bullet"/>
        <w:numPr>
          <w:ilvl w:val="0"/>
          <w:numId w:val="3"/>
        </w:numPr>
        <w:spacing w:before="0" w:after="240" w:line="260" w:lineRule="exact"/>
        <w:jc w:val="both"/>
        <w:rPr>
          <w:rStyle w:val="Emphasis"/>
          <w:i w:val="0"/>
        </w:rPr>
      </w:pPr>
      <w:r w:rsidRPr="00C33628">
        <w:rPr>
          <w:rStyle w:val="Emphasis"/>
          <w:i w:val="0"/>
        </w:rPr>
        <w:t>Transparency was to be improved by requiring OTC derivatives contracts to be reported to specialised data warehouses known as trade repositories, which would make this information available to regulators.  Also, standardised OTC derivatives should be traded on public exchanges or electronic trading platforms, with public access to prices and transaction information as appropriate; and</w:t>
      </w:r>
    </w:p>
    <w:p w14:paraId="71577772" w14:textId="77777777" w:rsidR="00DD009C" w:rsidRPr="00C33628" w:rsidRDefault="00DD009C" w:rsidP="00DD009C">
      <w:pPr>
        <w:pStyle w:val="Bullet"/>
        <w:numPr>
          <w:ilvl w:val="0"/>
          <w:numId w:val="3"/>
        </w:numPr>
        <w:spacing w:before="0" w:after="240" w:line="260" w:lineRule="exact"/>
        <w:jc w:val="both"/>
        <w:rPr>
          <w:rStyle w:val="Emphasis"/>
          <w:i w:val="0"/>
        </w:rPr>
      </w:pPr>
      <w:r w:rsidRPr="00C33628">
        <w:rPr>
          <w:rStyle w:val="Emphasis"/>
          <w:i w:val="0"/>
        </w:rPr>
        <w:t>Default risk management was to be improved by requiring standardised OTC derivatives to be centrally cleared through central counterparties (CCPs) which would assume the responsibility of managing and containing the consequences of a default by a market participant.</w:t>
      </w:r>
    </w:p>
    <w:p w14:paraId="438E40A8" w14:textId="77777777" w:rsidR="00DD009C" w:rsidRPr="00C33628" w:rsidRDefault="00DD009C" w:rsidP="00CC2AC7">
      <w:pPr>
        <w:rPr>
          <w:rStyle w:val="Emphasis"/>
          <w:i w:val="0"/>
        </w:rPr>
      </w:pPr>
      <w:r w:rsidRPr="00C33628">
        <w:rPr>
          <w:rStyle w:val="Emphasis"/>
          <w:i w:val="0"/>
        </w:rPr>
        <w:t>G20 jurisdictions have started implementing these agreed reforms.  Australia in late 2012 established a general framework in its legislation for the regulation of its OTC derivatives markets.  In 2013 specific requirements in relation to reporting of OTC derivatives contracts to trade repositories were introduced.  Mandating central clearing is the next step in the implementation of the global OTC derivatives reforms in Australia.</w:t>
      </w:r>
    </w:p>
    <w:p w14:paraId="43534A9E" w14:textId="77777777" w:rsidR="00DD009C" w:rsidRPr="000B5A58" w:rsidRDefault="00DD009C" w:rsidP="00646B70">
      <w:pPr>
        <w:rPr>
          <w:rStyle w:val="Emphasis"/>
        </w:rPr>
      </w:pPr>
      <w:r w:rsidRPr="000B5A58">
        <w:rPr>
          <w:rStyle w:val="Emphasis"/>
        </w:rPr>
        <w:t>Background – central clearing</w:t>
      </w:r>
    </w:p>
    <w:p w14:paraId="6D626437" w14:textId="77777777" w:rsidR="00DD009C" w:rsidRPr="00C33628" w:rsidRDefault="00DD009C" w:rsidP="00646B70">
      <w:pPr>
        <w:rPr>
          <w:rStyle w:val="Emphasis"/>
          <w:i w:val="0"/>
        </w:rPr>
      </w:pPr>
      <w:r w:rsidRPr="00C33628">
        <w:rPr>
          <w:rStyle w:val="Emphasis"/>
          <w:i w:val="0"/>
        </w:rPr>
        <w:t>Central clearing seeks to streamline and simplify the management of default risk in markets, including in OTC derivatives markets.  It does this by interposing a CCP into every transaction concluded on a market through the legal process of novation, resulting in two transactions in which the CCP has become the counterparty to each of the two original parties.</w:t>
      </w:r>
    </w:p>
    <w:p w14:paraId="72AB837E" w14:textId="77777777" w:rsidR="00DD009C" w:rsidRPr="00C33628" w:rsidRDefault="00DD009C" w:rsidP="00991B57">
      <w:pPr>
        <w:rPr>
          <w:rStyle w:val="Emphasis"/>
          <w:i w:val="0"/>
        </w:rPr>
      </w:pPr>
      <w:r w:rsidRPr="00C33628">
        <w:rPr>
          <w:rStyle w:val="Emphasis"/>
          <w:i w:val="0"/>
        </w:rPr>
        <w:t>This has the effect of making CCPs the focal points of all transactions in centrally cleared markets, with the following main benefits:</w:t>
      </w:r>
    </w:p>
    <w:p w14:paraId="38E0802B" w14:textId="77777777" w:rsidR="00DD009C" w:rsidRPr="00C33628" w:rsidRDefault="00DD009C" w:rsidP="00DD009C">
      <w:pPr>
        <w:pStyle w:val="Bullet"/>
        <w:numPr>
          <w:ilvl w:val="0"/>
          <w:numId w:val="3"/>
        </w:numPr>
        <w:spacing w:before="0" w:after="240" w:line="260" w:lineRule="exact"/>
        <w:jc w:val="both"/>
        <w:rPr>
          <w:rStyle w:val="Emphasis"/>
          <w:i w:val="0"/>
        </w:rPr>
      </w:pPr>
      <w:r w:rsidRPr="00C33628">
        <w:rPr>
          <w:rStyle w:val="Emphasis"/>
          <w:i w:val="0"/>
        </w:rPr>
        <w:t>Concentration of default risk management in the hands of the CCP, in order to contain the contagion effect of the default or potential default of a market participant;</w:t>
      </w:r>
    </w:p>
    <w:p w14:paraId="17A1D428" w14:textId="77777777" w:rsidR="00DD009C" w:rsidRPr="00C33628" w:rsidRDefault="00DD009C" w:rsidP="00DD009C">
      <w:pPr>
        <w:pStyle w:val="Bullet"/>
        <w:numPr>
          <w:ilvl w:val="0"/>
          <w:numId w:val="3"/>
        </w:numPr>
        <w:spacing w:before="0" w:after="240" w:line="260" w:lineRule="exact"/>
        <w:jc w:val="both"/>
        <w:rPr>
          <w:rStyle w:val="Emphasis"/>
          <w:i w:val="0"/>
        </w:rPr>
      </w:pPr>
      <w:r w:rsidRPr="00C33628">
        <w:rPr>
          <w:rStyle w:val="Emphasis"/>
          <w:i w:val="0"/>
        </w:rPr>
        <w:t>Minimisation of total bilateral exposures through netting of offsetting positions, creating significant efficiencies in risk management processes such as margining and capital provisioning; and</w:t>
      </w:r>
    </w:p>
    <w:p w14:paraId="3654B08A" w14:textId="77777777" w:rsidR="00DD009C" w:rsidRPr="00C33628" w:rsidRDefault="00DD009C" w:rsidP="00DD009C">
      <w:pPr>
        <w:pStyle w:val="Bullet"/>
        <w:numPr>
          <w:ilvl w:val="0"/>
          <w:numId w:val="3"/>
        </w:numPr>
        <w:spacing w:before="0" w:after="240" w:line="260" w:lineRule="exact"/>
        <w:jc w:val="both"/>
        <w:rPr>
          <w:rStyle w:val="Emphasis"/>
          <w:i w:val="0"/>
        </w:rPr>
      </w:pPr>
      <w:r w:rsidRPr="00C33628">
        <w:rPr>
          <w:rStyle w:val="Emphasis"/>
          <w:i w:val="0"/>
        </w:rPr>
        <w:t>Ability of regulators to focus supervisory efforts on CCPs, rather than having to deal with widely dispersed default risks.</w:t>
      </w:r>
    </w:p>
    <w:p w14:paraId="6A0565D6" w14:textId="77777777" w:rsidR="00DD009C" w:rsidRPr="00C33628" w:rsidRDefault="00DD009C" w:rsidP="00991B57">
      <w:pPr>
        <w:rPr>
          <w:rStyle w:val="Emphasis"/>
          <w:i w:val="0"/>
        </w:rPr>
      </w:pPr>
      <w:r w:rsidRPr="00C33628">
        <w:rPr>
          <w:rStyle w:val="Emphasis"/>
          <w:i w:val="0"/>
        </w:rPr>
        <w:t>Many important financial markets use central clearing to obtain these benefits.  For example, all share trading on the ASX is centrally cleared.</w:t>
      </w:r>
    </w:p>
    <w:p w14:paraId="6C20BC6C" w14:textId="77777777" w:rsidR="00DD009C" w:rsidRPr="00D14435" w:rsidRDefault="00DD009C" w:rsidP="00D14435">
      <w:pPr>
        <w:rPr>
          <w:i/>
          <w:iCs/>
        </w:rPr>
      </w:pPr>
      <w:r w:rsidRPr="00D14435">
        <w:rPr>
          <w:i/>
          <w:iCs/>
        </w:rPr>
        <w:t>Context – financial system stability</w:t>
      </w:r>
    </w:p>
    <w:p w14:paraId="3EE97AD6" w14:textId="77777777" w:rsidR="00DD009C" w:rsidRPr="00D14435" w:rsidRDefault="00DD009C" w:rsidP="00D14435">
      <w:pPr>
        <w:rPr>
          <w:iCs/>
        </w:rPr>
      </w:pPr>
      <w:r w:rsidRPr="00D14435">
        <w:rPr>
          <w:iCs/>
        </w:rPr>
        <w:t>Ensuring adequate default risk management in OTC derivatives markets is a major challenge in maintaining financial system stability in crisis situations.</w:t>
      </w:r>
      <w:r>
        <w:rPr>
          <w:iCs/>
        </w:rPr>
        <w:t xml:space="preserve">  </w:t>
      </w:r>
      <w:r w:rsidRPr="00D14435">
        <w:rPr>
          <w:iCs/>
        </w:rPr>
        <w:t>Central clearing is one of the key measures intended to address this issue, by concentrating default risk management in the hands of CCPs.  CCPs employ a variety of means to manage default risk, including through careful selection of members, initial margin and collateral requirements, and the establishment of default funds that can be drawn upon to mitigate the consequences of a member default.</w:t>
      </w:r>
    </w:p>
    <w:p w14:paraId="1E1A4A79" w14:textId="77777777" w:rsidR="00DD009C" w:rsidRPr="00C33628" w:rsidRDefault="00DD009C" w:rsidP="00646B70">
      <w:pPr>
        <w:rPr>
          <w:rStyle w:val="Emphasis"/>
          <w:i w:val="0"/>
        </w:rPr>
      </w:pPr>
      <w:r w:rsidRPr="00C33628">
        <w:rPr>
          <w:rStyle w:val="Emphasis"/>
          <w:i w:val="0"/>
        </w:rPr>
        <w:t>Central clearing is a key tool for safeguarding financial system stability.  Because they are focal points of risk in the financial system, CCPs are subject to extensive regulatory requirements.  In Australia, the Reserve Bank of Australia (the RBA) is the main supervisory agency for CCPs.</w:t>
      </w:r>
    </w:p>
    <w:p w14:paraId="71A7B88E" w14:textId="77777777" w:rsidR="00DD009C" w:rsidRPr="00D14435" w:rsidRDefault="00DD009C" w:rsidP="009B5E81">
      <w:pPr>
        <w:rPr>
          <w:iCs/>
        </w:rPr>
      </w:pPr>
      <w:r w:rsidRPr="00D14435">
        <w:rPr>
          <w:iCs/>
        </w:rPr>
        <w:t xml:space="preserve">Nevertheless, the uptake of central clearing as such is not the key problem addressed in this RIS.  This is because, as </w:t>
      </w:r>
      <w:r>
        <w:rPr>
          <w:iCs/>
        </w:rPr>
        <w:t xml:space="preserve">will be </w:t>
      </w:r>
      <w:r w:rsidRPr="00D14435">
        <w:rPr>
          <w:iCs/>
        </w:rPr>
        <w:t xml:space="preserve">explained </w:t>
      </w:r>
      <w:r>
        <w:rPr>
          <w:iCs/>
        </w:rPr>
        <w:t>in detail below</w:t>
      </w:r>
      <w:r w:rsidRPr="00D14435">
        <w:rPr>
          <w:iCs/>
        </w:rPr>
        <w:t>, a range of regulatory and commercial factors have already led to the widespread uptake by dealers of central clearing in Australian OTC derivatives markets.</w:t>
      </w:r>
    </w:p>
    <w:p w14:paraId="4A600D0E" w14:textId="77777777" w:rsidR="00DD009C" w:rsidRPr="00A35EDA" w:rsidRDefault="00DD009C" w:rsidP="00A60253">
      <w:pPr>
        <w:rPr>
          <w:i/>
        </w:rPr>
      </w:pPr>
      <w:r w:rsidRPr="00A35EDA">
        <w:rPr>
          <w:i/>
        </w:rPr>
        <w:t>Background – the Australian OTC derivatives market</w:t>
      </w:r>
    </w:p>
    <w:p w14:paraId="61E1BA76" w14:textId="77777777" w:rsidR="00DD009C" w:rsidRDefault="00DD009C" w:rsidP="00A60253">
      <w:r>
        <w:t xml:space="preserve">Information compiled by ASIC, the RBA and the Australian Prudential Regulation Authority ((APRA) – collectively the Regulators) in a series of reports on the Australian OTC derivatives </w:t>
      </w:r>
      <w:r w:rsidR="00F24F1B">
        <w:t>markets indicates</w:t>
      </w:r>
      <w:r>
        <w:t xml:space="preserve"> a number of key factors about these markets, including the following:</w:t>
      </w:r>
    </w:p>
    <w:p w14:paraId="2BBB1BAF" w14:textId="77777777" w:rsidR="00DD009C" w:rsidRDefault="00DD009C" w:rsidP="00DD009C">
      <w:pPr>
        <w:pStyle w:val="Bullet"/>
        <w:numPr>
          <w:ilvl w:val="0"/>
          <w:numId w:val="3"/>
        </w:numPr>
        <w:spacing w:before="0" w:after="240" w:line="260" w:lineRule="exact"/>
        <w:jc w:val="both"/>
      </w:pPr>
      <w:r>
        <w:t>the market is dominated by two product classes, single-currency IRD and foreign exchange derivatives;</w:t>
      </w:r>
    </w:p>
    <w:p w14:paraId="4421C1BF" w14:textId="77777777" w:rsidR="00DD009C" w:rsidRDefault="00DD009C" w:rsidP="00DD009C">
      <w:pPr>
        <w:pStyle w:val="Bullet"/>
        <w:numPr>
          <w:ilvl w:val="0"/>
          <w:numId w:val="3"/>
        </w:numPr>
        <w:spacing w:before="0" w:after="240" w:line="260" w:lineRule="exact"/>
        <w:jc w:val="both"/>
      </w:pPr>
      <w:r>
        <w:t>AUD-denominated IRD (AUD-IRD) are the biggest product category among single-currency IRD; and</w:t>
      </w:r>
    </w:p>
    <w:p w14:paraId="5E128690" w14:textId="77777777" w:rsidR="00DD009C" w:rsidRDefault="00DD009C" w:rsidP="00DD009C">
      <w:pPr>
        <w:pStyle w:val="Bullet"/>
        <w:numPr>
          <w:ilvl w:val="0"/>
          <w:numId w:val="3"/>
        </w:numPr>
        <w:spacing w:before="0" w:after="240" w:line="260" w:lineRule="exact"/>
        <w:jc w:val="both"/>
      </w:pPr>
      <w:r>
        <w:t>the market is dominated by dealers, which consist of the major domestic and foreign banks.  Smaller banks and corporate entities do not play a systemically significant role.</w:t>
      </w:r>
    </w:p>
    <w:p w14:paraId="07C13BC6" w14:textId="77777777" w:rsidR="00DD009C" w:rsidRPr="001A706D" w:rsidRDefault="00DD009C" w:rsidP="00A60253">
      <w:r w:rsidRPr="004E3400">
        <w:t>The two latest reports by the Regulators were issued in July 2013</w:t>
      </w:r>
      <w:r w:rsidRPr="004E3400">
        <w:rPr>
          <w:rStyle w:val="FootnoteReference"/>
        </w:rPr>
        <w:footnoteReference w:id="6"/>
      </w:r>
      <w:r w:rsidRPr="004E3400">
        <w:t xml:space="preserve"> (the 2013 Report) and April 2014</w:t>
      </w:r>
      <w:r w:rsidRPr="004E3400">
        <w:rPr>
          <w:rStyle w:val="FootnoteReference"/>
        </w:rPr>
        <w:footnoteReference w:id="7"/>
      </w:r>
      <w:r>
        <w:t xml:space="preserve"> </w:t>
      </w:r>
      <w:r w:rsidRPr="004E3400">
        <w:t>(the 2014 Report), in both of which recommendations were made with respect to central clearing.  The</w:t>
      </w:r>
      <w:r>
        <w:t xml:space="preserve"> Reports were compiled following surveys of market participants’ OTC derivatives market activities and practices, covering institutions</w:t>
      </w:r>
      <w:r w:rsidRPr="001A706D">
        <w:t xml:space="preserve"> </w:t>
      </w:r>
      <w:r>
        <w:t xml:space="preserve">such as </w:t>
      </w:r>
      <w:r w:rsidRPr="001A706D">
        <w:t>large domestic and international banking groups, smaller authorised deposit-taking institutions, fund managers, government borrowing authorities</w:t>
      </w:r>
      <w:r>
        <w:t xml:space="preserve"> and corporate treasuries.</w:t>
      </w:r>
    </w:p>
    <w:p w14:paraId="1B1EDF44" w14:textId="77777777" w:rsidR="00DD009C" w:rsidRPr="00DF0053" w:rsidRDefault="00DD009C" w:rsidP="00CC2AC7">
      <w:pPr>
        <w:rPr>
          <w:rStyle w:val="Emphasis"/>
        </w:rPr>
      </w:pPr>
      <w:r>
        <w:rPr>
          <w:rStyle w:val="Emphasis"/>
        </w:rPr>
        <w:t>Central clearing in Australian OTC derivatives markets</w:t>
      </w:r>
    </w:p>
    <w:p w14:paraId="0A68005C" w14:textId="77777777" w:rsidR="00DD009C" w:rsidRPr="00C33628" w:rsidRDefault="00DD009C" w:rsidP="00CC2AC7">
      <w:pPr>
        <w:rPr>
          <w:rStyle w:val="Emphasis"/>
          <w:i w:val="0"/>
        </w:rPr>
      </w:pPr>
      <w:r w:rsidRPr="00C33628">
        <w:rPr>
          <w:rStyle w:val="Emphasis"/>
          <w:i w:val="0"/>
        </w:rPr>
        <w:t xml:space="preserve"> As set out above, G20 jurisdictions have committed to mandatory central clearing as an important method to address inadequate default risk management in OTC derivatives markets.  The first jurisdiction to mandate central clearing was the US, where central clearing of IRD denominated in G4 currencies (G4-IRD) and certain classes of credit derivatives has been mandatory since March 2013.  Since then a small number of further jurisdictions, for example Japan, have introduced clearing mandates.  In the near future central clearing mandates will come into force in more G20 jurisdictions, including in globally important markets such as the European Union (EU).</w:t>
      </w:r>
    </w:p>
    <w:p w14:paraId="52E275EE" w14:textId="77777777" w:rsidR="00DD009C" w:rsidRPr="00C33628" w:rsidRDefault="00DD009C" w:rsidP="00CC2AC7">
      <w:pPr>
        <w:rPr>
          <w:i/>
          <w:iCs/>
        </w:rPr>
      </w:pPr>
      <w:r w:rsidRPr="00C33628">
        <w:rPr>
          <w:rStyle w:val="Emphasis"/>
          <w:i w:val="0"/>
        </w:rPr>
        <w:t>Central clearing obligations in foreign jurisdictions may impact on Australian businesses that want to enter into OTC derivatives transactions in those jurisdictions or with counterparties that are subject to those obligations, even if they are not subject to a central clearing mandate in Australia.  An Australian bank concluding an OTC derivative transaction with a US bank will have to centrally clear the transaction if the US bank is subject to a clearing mandate in the US.  It will have to do so under US rules which will require, for example, that the CCP must be licensed by the US regulator, the Commodity Futures Trading Commission (CFTC).  This may be the case even if the transaction is concluded in Australia with</w:t>
      </w:r>
      <w:r w:rsidRPr="00C33628">
        <w:rPr>
          <w:i/>
          <w:iCs/>
        </w:rPr>
        <w:t xml:space="preserve"> the local branch of the US bank, because bank branches are generally subject to the regulatory framework applying to their parent entities</w:t>
      </w:r>
      <w:r w:rsidRPr="00C33628">
        <w:rPr>
          <w:rStyle w:val="FootnoteReference"/>
          <w:i/>
          <w:iCs/>
        </w:rPr>
        <w:footnoteReference w:id="8"/>
      </w:r>
      <w:r w:rsidRPr="00C33628">
        <w:rPr>
          <w:i/>
          <w:iCs/>
        </w:rPr>
        <w:t xml:space="preserve">. </w:t>
      </w:r>
    </w:p>
    <w:p w14:paraId="54D30141" w14:textId="77777777" w:rsidR="00DD009C" w:rsidRPr="00C33628" w:rsidRDefault="00DD009C" w:rsidP="00CC2AC7">
      <w:pPr>
        <w:rPr>
          <w:rStyle w:val="Emphasis"/>
          <w:i w:val="0"/>
        </w:rPr>
      </w:pPr>
      <w:r w:rsidRPr="00C33628">
        <w:rPr>
          <w:rStyle w:val="Emphasis"/>
          <w:i w:val="0"/>
        </w:rPr>
        <w:t>Australian banks are particularly exposed to this type of extraterritorial regulation, because they raise large amounts of wholesale funding in overseas financial markets and use OTC derivatives transactions in those markets to hedge various types of risks.  In such circumstances, the banks may have little choice other than to comply with local regulations if they wish or need to continue doing business in that jurisdiction or with entities subject to its regulatory regime.</w:t>
      </w:r>
    </w:p>
    <w:p w14:paraId="3DE3F3A1" w14:textId="77777777" w:rsidR="00DD009C" w:rsidRPr="00C33628" w:rsidRDefault="00DD009C" w:rsidP="00CC2AC7">
      <w:pPr>
        <w:rPr>
          <w:rStyle w:val="Emphasis"/>
          <w:i w:val="0"/>
        </w:rPr>
      </w:pPr>
      <w:r w:rsidRPr="00C33628">
        <w:rPr>
          <w:rStyle w:val="Emphasis"/>
          <w:i w:val="0"/>
        </w:rPr>
        <w:t>The impact of foreign clearing requirements, especially coming out of the US, is one of the main forces driving the uptake of central clearing in Australia.  However, there are also other factors that are reinforcing this trend.  For example, new international prudential standards known as the Basel III rules have provided further incentives for central clearing due to reduced capital charges imposed on centrally cleared transactions.</w:t>
      </w:r>
      <w:r w:rsidRPr="00C33628">
        <w:rPr>
          <w:rStyle w:val="Emphasis"/>
          <w:i w:val="0"/>
        </w:rPr>
        <w:footnoteReference w:id="9"/>
      </w:r>
      <w:r w:rsidRPr="00C33628">
        <w:rPr>
          <w:rStyle w:val="Emphasis"/>
          <w:i w:val="0"/>
        </w:rPr>
        <w:t xml:space="preserve">  Commercial factors, such as better liquidity in cleared markets, and more efficient management of margin and collateral requirements by CCPs, have also played an important role.</w:t>
      </w:r>
    </w:p>
    <w:p w14:paraId="6D06393C" w14:textId="77777777" w:rsidR="00DD009C" w:rsidRPr="00C33628" w:rsidRDefault="00DD009C" w:rsidP="00CC2AC7">
      <w:pPr>
        <w:rPr>
          <w:rStyle w:val="Emphasis"/>
          <w:i w:val="0"/>
        </w:rPr>
      </w:pPr>
      <w:r w:rsidRPr="00C33628">
        <w:rPr>
          <w:rStyle w:val="Emphasis"/>
          <w:i w:val="0"/>
        </w:rPr>
        <w:t>The 2013 Report accordingly concluded that a substantial proportion of new transactions in G4-IRD between dealers was already being cleared (p.33).  The 2014 Report found that the trend towards central clearing had accelerated further, and that even in AUD-IRD dealers were centrally clearing almost all new transactions (p.34).  It therefore appears safe to conclude that, as far as AUD and G4-IRD transactions between dealers is concerned, almost all new transactions that can be cleared are now being centrally cleared.</w:t>
      </w:r>
    </w:p>
    <w:p w14:paraId="22CE9328" w14:textId="77777777" w:rsidR="00DD009C" w:rsidRPr="00C33628" w:rsidRDefault="00DD009C" w:rsidP="00CC2AC7">
      <w:pPr>
        <w:rPr>
          <w:rStyle w:val="Emphasis"/>
          <w:i w:val="0"/>
        </w:rPr>
      </w:pPr>
      <w:r w:rsidRPr="00C33628">
        <w:rPr>
          <w:rStyle w:val="Emphasis"/>
          <w:i w:val="0"/>
        </w:rPr>
        <w:t>Problem definition – mitigation of impact of foreign regulation through substituted compliance</w:t>
      </w:r>
    </w:p>
    <w:p w14:paraId="69F02FA2" w14:textId="77777777" w:rsidR="00DD009C" w:rsidRPr="00C33628" w:rsidRDefault="00DD009C" w:rsidP="00CC2AC7">
      <w:pPr>
        <w:rPr>
          <w:rStyle w:val="Emphasis"/>
          <w:i w:val="0"/>
        </w:rPr>
      </w:pPr>
      <w:r w:rsidRPr="00C33628">
        <w:rPr>
          <w:rStyle w:val="Emphasis"/>
          <w:i w:val="0"/>
        </w:rPr>
        <w:t xml:space="preserve">The extraterritorial impact of local regulations on businesses from other jurisdictions has become a key problem in the implementation of the OTC derivatives reforms.  Complying with the regulatory framework of another jurisdiction imposes significant legal and compliance costs.  For businesses with wide-ranging international activities such as the major Australian banks there may be a need to comply with more than one country’s regulatory framework simultaneously – for example, this may be the case for Australian banks operating in the US and the EU.  Costs may be multiplied if these regulatory frameworks are inconsistent, imposing duplicative or even conflicting requirements.  </w:t>
      </w:r>
    </w:p>
    <w:p w14:paraId="3E604C58" w14:textId="77777777" w:rsidR="00DD009C" w:rsidRPr="00C33628" w:rsidRDefault="00DD009C" w:rsidP="00CC2AC7">
      <w:pPr>
        <w:rPr>
          <w:rStyle w:val="Emphasis"/>
          <w:i w:val="0"/>
        </w:rPr>
      </w:pPr>
      <w:r w:rsidRPr="00C33628">
        <w:rPr>
          <w:rStyle w:val="Emphasis"/>
          <w:i w:val="0"/>
        </w:rPr>
        <w:t>Globally regulators are addressing this problem through an approach known as substituted compliance, under which regulators grant relief from their own regulatory requirements if a foreign entity is subject to equivalent requirements in their home jurisdiction.</w:t>
      </w:r>
      <w:r w:rsidRPr="00C33628">
        <w:rPr>
          <w:rStyle w:val="FootnoteReference"/>
          <w:i/>
          <w:iCs/>
        </w:rPr>
        <w:footnoteReference w:id="10"/>
      </w:r>
      <w:r w:rsidRPr="00C33628">
        <w:rPr>
          <w:rStyle w:val="Emphasis"/>
          <w:i w:val="0"/>
        </w:rPr>
        <w:t xml:space="preserve">  An Australian bank concluding an OTC derivative transaction in the US would under this approach be exempt from complying with the relevant US regulations if the CFTC had made a formal determination granting substituted compliance to Australian-regulated entities, following an equivalence assessment by the CFTC of the Australian regulatory framework.</w:t>
      </w:r>
    </w:p>
    <w:p w14:paraId="0F5D946D" w14:textId="77777777" w:rsidR="00DD009C" w:rsidRPr="00C33628" w:rsidRDefault="00DD009C" w:rsidP="00CC2AC7">
      <w:pPr>
        <w:rPr>
          <w:rStyle w:val="Emphasis"/>
          <w:i w:val="0"/>
        </w:rPr>
      </w:pPr>
      <w:r w:rsidRPr="00C33628">
        <w:rPr>
          <w:rStyle w:val="Emphasis"/>
          <w:i w:val="0"/>
        </w:rPr>
        <w:t>The impact of foreign OTC derivatives regulations on Australian banks and businesses is the key problem addressed in this RIS.  Market assessments by Australian regulators show that the Australian OTC derivatives market is dominated by the big banks, including the major Australian banks as well as the local operations of global financial institutions.  According to the 2013 Report, the majority of G4-IRD transactions are concluded between Australian banks and global financial institutions (2013 Report, p.30).  A similar conclusion holds for AUD-IRD (2014 Report, p.24).  These global banks are or will soon become subject to clearing mandates imposed by their home regulators, especially in the US and the EU.  In turn, Australian banks entering transactions with these global banks will be captured by US and EU regulations, and will have to bear the associated compliance costs, unless relief can be obtained through substituted compliance determinations in these jurisdictions.</w:t>
      </w:r>
    </w:p>
    <w:p w14:paraId="1413E5E1" w14:textId="77777777" w:rsidR="00DD009C" w:rsidRPr="00C33628" w:rsidRDefault="00DD009C" w:rsidP="00CC2AC7">
      <w:pPr>
        <w:rPr>
          <w:rStyle w:val="Emphasis"/>
          <w:i w:val="0"/>
        </w:rPr>
      </w:pPr>
      <w:r w:rsidRPr="00C33628">
        <w:rPr>
          <w:rStyle w:val="Emphasis"/>
          <w:i w:val="0"/>
        </w:rPr>
        <w:t>Failure to assist Australian banks and businesses in obtaining substituted compliance relief in important jurisdictions would impose significant costs on these entities in doing business in global financial markets.  The main costs in this respect include direct compliance costs arising from specific foreign regulatory requirements as well as indirect costs attributable to problems in the implementation of the global OTC derivatives reforms.  An example of the former would be the CFTC requirement to establish a comprehensive risk management program and a compliance monitoring system, which would impose significant legal, IT and personnel costs</w:t>
      </w:r>
      <w:r w:rsidRPr="00C33628">
        <w:rPr>
          <w:rStyle w:val="FootnoteReference"/>
          <w:i/>
          <w:iCs/>
        </w:rPr>
        <w:footnoteReference w:id="11"/>
      </w:r>
      <w:r w:rsidRPr="00C33628">
        <w:rPr>
          <w:rStyle w:val="Emphasis"/>
          <w:i w:val="0"/>
        </w:rPr>
        <w:t>.  An example of the latter would be the obligation to use different CCPs in different regional markets due to a lack of coordination and agreement among important global regulators</w:t>
      </w:r>
      <w:r w:rsidRPr="00C33628">
        <w:rPr>
          <w:rStyle w:val="FootnoteReference"/>
          <w:i/>
          <w:iCs/>
        </w:rPr>
        <w:footnoteReference w:id="12"/>
      </w:r>
      <w:r w:rsidRPr="00C33628">
        <w:rPr>
          <w:rStyle w:val="Emphasis"/>
          <w:i w:val="0"/>
        </w:rPr>
        <w:t>.  This would impose additional membership fees and related costs on Australian banks and businesses, but also lead to significant indirect costs such as reduced netting efficiencies in margin and collateral management.</w:t>
      </w:r>
    </w:p>
    <w:p w14:paraId="5A6698C4" w14:textId="77777777" w:rsidR="00DD009C" w:rsidRPr="00C33628" w:rsidRDefault="00DD009C" w:rsidP="00CC2AC7">
      <w:pPr>
        <w:rPr>
          <w:rStyle w:val="Emphasis"/>
          <w:i w:val="0"/>
        </w:rPr>
      </w:pPr>
      <w:r w:rsidRPr="00C33628">
        <w:rPr>
          <w:rStyle w:val="Emphasis"/>
          <w:i w:val="0"/>
        </w:rPr>
        <w:t xml:space="preserve">Increased costs and reduced efficiencies in accessing global financial markets, especially for the major Australian banks, would have significant implications for the Australian economy and consumers, given the importance of global financial markets as funding sources for the banks.  The impact would occur through increased costs passed on to business and individual customers of the banks, but also through increased risks borne by the banks due to difficulties in implementing appropriate hedging strategies. </w:t>
      </w:r>
    </w:p>
    <w:p w14:paraId="2CFF819A" w14:textId="77777777" w:rsidR="00DD009C" w:rsidRPr="00C33628" w:rsidRDefault="00DD009C" w:rsidP="00FA2ED7">
      <w:pPr>
        <w:rPr>
          <w:rStyle w:val="Emphasis"/>
          <w:i w:val="0"/>
        </w:rPr>
      </w:pPr>
      <w:r w:rsidRPr="00C33628">
        <w:rPr>
          <w:rStyle w:val="Emphasis"/>
          <w:i w:val="0"/>
        </w:rPr>
        <w:t>In practical terms, addressing this problem means minimising the impact of US and EU regulation on the major Australian banks by maximising the scope of substituted compliance determinations granted by the CFTC and the EU authorities</w:t>
      </w:r>
      <w:r w:rsidRPr="00C33628">
        <w:rPr>
          <w:rStyle w:val="FootnoteReference"/>
          <w:i/>
          <w:iCs/>
        </w:rPr>
        <w:footnoteReference w:id="13"/>
      </w:r>
      <w:r w:rsidRPr="00C33628">
        <w:rPr>
          <w:rStyle w:val="Emphasis"/>
          <w:i w:val="0"/>
        </w:rPr>
        <w:t xml:space="preserve"> to Australian banks and businesses.  Protecting the access of the major Australian banks to global financial markets is a priority for the Australian Government, given their importance as sources of funding to the banks and the potential impact (as explained above) of any funding and hedging problems on the wider Australian economy.  Finding a solution to this problem is therefore a key consideration in deciding how to implement the global OTC derivatives reforms in Australia.</w:t>
      </w:r>
    </w:p>
    <w:p w14:paraId="611BC816" w14:textId="77777777" w:rsidR="00DD009C" w:rsidRPr="00AC3CA4" w:rsidRDefault="00DD009C" w:rsidP="007761E6">
      <w:pPr>
        <w:pBdr>
          <w:top w:val="single" w:sz="4" w:space="1" w:color="auto"/>
          <w:left w:val="single" w:sz="4" w:space="4" w:color="auto"/>
          <w:bottom w:val="single" w:sz="4" w:space="1" w:color="auto"/>
          <w:right w:val="single" w:sz="4" w:space="4" w:color="auto"/>
        </w:pBdr>
        <w:rPr>
          <w:rStyle w:val="Emphasis"/>
          <w:b/>
          <w:i w:val="0"/>
        </w:rPr>
      </w:pPr>
      <w:r w:rsidRPr="00AC3CA4">
        <w:rPr>
          <w:rStyle w:val="Emphasis"/>
          <w:b/>
        </w:rPr>
        <w:t>Australia’s CCP framework</w:t>
      </w:r>
    </w:p>
    <w:p w14:paraId="01D7D75A" w14:textId="77777777" w:rsidR="00DD009C" w:rsidRPr="00C33628" w:rsidRDefault="00DD009C" w:rsidP="007761E6">
      <w:pPr>
        <w:pBdr>
          <w:top w:val="single" w:sz="4" w:space="1" w:color="auto"/>
          <w:left w:val="single" w:sz="4" w:space="4" w:color="auto"/>
          <w:bottom w:val="single" w:sz="4" w:space="1" w:color="auto"/>
          <w:right w:val="single" w:sz="4" w:space="4" w:color="auto"/>
        </w:pBdr>
        <w:rPr>
          <w:rStyle w:val="Emphasis"/>
          <w:i w:val="0"/>
        </w:rPr>
      </w:pPr>
      <w:r w:rsidRPr="00C33628">
        <w:rPr>
          <w:rStyle w:val="Emphasis"/>
          <w:i w:val="0"/>
        </w:rPr>
        <w:t>There are currently three CCPs clearing OTC derivatives licensed in Australia: ASX Clear (Futures) Pty Ltd (ASX Clear), owned and operated by the ASX; LCH.Clearnet Limited (LCH), based in the UK; and Chicago Mercantile Exchange Inc. (CME), based in the US. ASX Clear started operating in July 2013. Previously all OTC derivatives in Australia were cleared offshore. For interest rate derivatives denominated in Australian dollars LCH has in the past been the largest CCP. LCH and CME offer clearing for a wide range of OTC derivatives, whereas ASX Clear is focusing on Australian dollar interest rate derivatives at this stage.</w:t>
      </w:r>
    </w:p>
    <w:p w14:paraId="506D45A0" w14:textId="77777777" w:rsidR="00DD009C" w:rsidRPr="00C33628" w:rsidRDefault="00DD009C" w:rsidP="007761E6">
      <w:pPr>
        <w:pBdr>
          <w:top w:val="single" w:sz="4" w:space="1" w:color="auto"/>
          <w:left w:val="single" w:sz="4" w:space="4" w:color="auto"/>
          <w:bottom w:val="single" w:sz="4" w:space="1" w:color="auto"/>
          <w:right w:val="single" w:sz="4" w:space="4" w:color="auto"/>
        </w:pBdr>
        <w:rPr>
          <w:rStyle w:val="Emphasis"/>
          <w:i w:val="0"/>
        </w:rPr>
      </w:pPr>
      <w:r w:rsidRPr="00C33628">
        <w:rPr>
          <w:rStyle w:val="Emphasis"/>
          <w:i w:val="0"/>
        </w:rPr>
        <w:t>Becoming a participant in a CCP is expensive, due to costs such as membership fees, default fund contributions, clearing fees and margin payments. Businesses therefore minimise the number of CCPs they deal with. Choice of CCP may be determined by a number of factors, including:</w:t>
      </w:r>
    </w:p>
    <w:p w14:paraId="0B14F23B" w14:textId="77777777" w:rsidR="00DD009C" w:rsidRPr="00C33628" w:rsidRDefault="00DD009C" w:rsidP="00DD009C">
      <w:pPr>
        <w:pStyle w:val="Bullet"/>
        <w:numPr>
          <w:ilvl w:val="0"/>
          <w:numId w:val="3"/>
        </w:numPr>
        <w:pBdr>
          <w:top w:val="single" w:sz="4" w:space="1" w:color="auto"/>
          <w:left w:val="single" w:sz="4" w:space="4" w:color="auto"/>
          <w:bottom w:val="single" w:sz="4" w:space="1" w:color="auto"/>
          <w:right w:val="single" w:sz="4" w:space="4" w:color="auto"/>
        </w:pBdr>
        <w:spacing w:before="0" w:after="240" w:line="260" w:lineRule="exact"/>
        <w:jc w:val="both"/>
        <w:rPr>
          <w:rStyle w:val="Emphasis"/>
          <w:i w:val="0"/>
        </w:rPr>
      </w:pPr>
      <w:r w:rsidRPr="00C33628">
        <w:rPr>
          <w:rStyle w:val="Emphasis"/>
          <w:i w:val="0"/>
        </w:rPr>
        <w:t>Cost – this includes direct costs such as fees and default fund contributions, but also indirect costs. Netting efficiencies, which are largely driven by the scale and scope of a CCP’s operations, are critical in this context, because they can significantly reduce capital costs and margin payments;</w:t>
      </w:r>
    </w:p>
    <w:p w14:paraId="3D9D8984" w14:textId="77777777" w:rsidR="00DD009C" w:rsidRPr="00C33628" w:rsidRDefault="00DD009C" w:rsidP="00DD009C">
      <w:pPr>
        <w:pStyle w:val="Bullet"/>
        <w:numPr>
          <w:ilvl w:val="0"/>
          <w:numId w:val="3"/>
        </w:numPr>
        <w:pBdr>
          <w:top w:val="single" w:sz="4" w:space="1" w:color="auto"/>
          <w:left w:val="single" w:sz="4" w:space="4" w:color="auto"/>
          <w:bottom w:val="single" w:sz="4" w:space="1" w:color="auto"/>
          <w:right w:val="single" w:sz="4" w:space="4" w:color="auto"/>
        </w:pBdr>
        <w:spacing w:before="0" w:after="240" w:line="260" w:lineRule="exact"/>
        <w:jc w:val="both"/>
        <w:rPr>
          <w:rStyle w:val="Emphasis"/>
          <w:i w:val="0"/>
        </w:rPr>
      </w:pPr>
      <w:r w:rsidRPr="00C33628">
        <w:rPr>
          <w:rStyle w:val="Emphasis"/>
          <w:i w:val="0"/>
        </w:rPr>
        <w:t>Product range – it may be more attractive for a business to join a CCP which can cover all of its product needs; and</w:t>
      </w:r>
    </w:p>
    <w:p w14:paraId="5FB15CC0" w14:textId="77777777" w:rsidR="00DD009C" w:rsidRPr="00C33628" w:rsidRDefault="00DD009C" w:rsidP="00DD009C">
      <w:pPr>
        <w:pStyle w:val="Bullet"/>
        <w:numPr>
          <w:ilvl w:val="0"/>
          <w:numId w:val="3"/>
        </w:numPr>
        <w:pBdr>
          <w:top w:val="single" w:sz="4" w:space="1" w:color="auto"/>
          <w:left w:val="single" w:sz="4" w:space="4" w:color="auto"/>
          <w:bottom w:val="single" w:sz="4" w:space="1" w:color="auto"/>
          <w:right w:val="single" w:sz="4" w:space="4" w:color="auto"/>
        </w:pBdr>
        <w:spacing w:before="0" w:after="240" w:line="260" w:lineRule="exact"/>
        <w:jc w:val="both"/>
        <w:rPr>
          <w:rStyle w:val="Emphasis"/>
          <w:i w:val="0"/>
        </w:rPr>
      </w:pPr>
      <w:r w:rsidRPr="00C33628">
        <w:rPr>
          <w:rStyle w:val="Emphasis"/>
          <w:i w:val="0"/>
        </w:rPr>
        <w:t>Other factors – for example, a domestic CCP may offer operating times consistent with local business practice, whereas an overseas CCP may face some difficulties in this regard.</w:t>
      </w:r>
    </w:p>
    <w:p w14:paraId="32401CC0" w14:textId="77777777" w:rsidR="00DD009C" w:rsidRPr="00C33628" w:rsidRDefault="00DD009C" w:rsidP="007761E6">
      <w:pPr>
        <w:pBdr>
          <w:top w:val="single" w:sz="4" w:space="1" w:color="auto"/>
          <w:left w:val="single" w:sz="4" w:space="4" w:color="auto"/>
          <w:bottom w:val="single" w:sz="4" w:space="1" w:color="auto"/>
          <w:right w:val="single" w:sz="4" w:space="4" w:color="auto"/>
        </w:pBdr>
        <w:rPr>
          <w:rStyle w:val="Emphasis"/>
          <w:i w:val="0"/>
        </w:rPr>
      </w:pPr>
      <w:r w:rsidRPr="00C33628">
        <w:rPr>
          <w:rStyle w:val="Emphasis"/>
          <w:i w:val="0"/>
        </w:rPr>
        <w:t>No single factor is decisive in all situations. The final choice will depend on the circumstances of each possible CCP and how they match the specific needs of the business.</w:t>
      </w:r>
    </w:p>
    <w:p w14:paraId="609BB3E9" w14:textId="77777777" w:rsidR="00DD009C" w:rsidRPr="00C33628" w:rsidRDefault="00DD009C" w:rsidP="007761E6">
      <w:pPr>
        <w:pBdr>
          <w:top w:val="single" w:sz="4" w:space="1" w:color="auto"/>
          <w:left w:val="single" w:sz="4" w:space="4" w:color="auto"/>
          <w:bottom w:val="single" w:sz="4" w:space="1" w:color="auto"/>
          <w:right w:val="single" w:sz="4" w:space="4" w:color="auto"/>
        </w:pBdr>
        <w:rPr>
          <w:rStyle w:val="Emphasis"/>
          <w:i w:val="0"/>
        </w:rPr>
      </w:pPr>
      <w:r w:rsidRPr="00C33628">
        <w:rPr>
          <w:rStyle w:val="Emphasis"/>
          <w:i w:val="0"/>
        </w:rPr>
        <w:t>Because OTC derivatives transactions are frequently concluded across borders, it is critical for CCPs to be formally recognised in foreign jurisdictions. CCPs are critical elements of each jurisdiction’s financial infrastructure, and all jurisdictions only allow clearing to occur through authorised CCPs. Recognition and authorisation of foreign CCPs occurs through the formal equivalence assessment process described above. For an Australian CCP such as ASX Clear it is critical to obtain overseas authorisation based on the Australian regulatory framework being accepted as equivalent by foreign jurisdictions. ASX Clear has been authorised in the US and the</w:t>
      </w:r>
      <w:r w:rsidRPr="00AC3CA4">
        <w:rPr>
          <w:rStyle w:val="Emphasis"/>
        </w:rPr>
        <w:t xml:space="preserve"> </w:t>
      </w:r>
      <w:r w:rsidRPr="00C33628">
        <w:rPr>
          <w:rStyle w:val="Emphasis"/>
          <w:i w:val="0"/>
        </w:rPr>
        <w:t>EU, allowing it in principle to clear transactions involving businesses subject to clearing mandates in those jurisdictions.</w:t>
      </w:r>
    </w:p>
    <w:p w14:paraId="5051DA65" w14:textId="77777777" w:rsidR="00DD009C" w:rsidRDefault="00DD009C" w:rsidP="00FA2ED7">
      <w:pPr>
        <w:rPr>
          <w:rStyle w:val="Emphasis"/>
          <w:i w:val="0"/>
        </w:rPr>
      </w:pPr>
    </w:p>
    <w:p w14:paraId="6F342BFB" w14:textId="77777777" w:rsidR="00DD009C" w:rsidRDefault="00DD009C" w:rsidP="00A22D93">
      <w:pPr>
        <w:pStyle w:val="Heading2"/>
      </w:pPr>
      <w:r>
        <w:t>2. Why Is Government Action Required?</w:t>
      </w:r>
    </w:p>
    <w:p w14:paraId="3F882D7A" w14:textId="77777777" w:rsidR="00DD009C" w:rsidRPr="00C33628" w:rsidRDefault="00DD009C" w:rsidP="00056603">
      <w:pPr>
        <w:pStyle w:val="Heading4"/>
        <w:tabs>
          <w:tab w:val="left" w:pos="2475"/>
        </w:tabs>
        <w:rPr>
          <w:b w:val="0"/>
          <w:i/>
          <w:lang w:val="en"/>
        </w:rPr>
      </w:pPr>
      <w:r w:rsidRPr="00C33628">
        <w:rPr>
          <w:b w:val="0"/>
          <w:i/>
          <w:lang w:val="en"/>
        </w:rPr>
        <w:t>Current legislative framework</w:t>
      </w:r>
    </w:p>
    <w:p w14:paraId="66456D5F" w14:textId="77777777" w:rsidR="00DD009C" w:rsidRDefault="00DD009C" w:rsidP="00056603">
      <w:r>
        <w:t>As noted above, t</w:t>
      </w:r>
      <w:r w:rsidRPr="00AD0B07">
        <w:t xml:space="preserve">he </w:t>
      </w:r>
      <w:r>
        <w:t>Australian legislative framework for OTC derivatives was</w:t>
      </w:r>
      <w:r w:rsidRPr="00AD0B07">
        <w:t xml:space="preserve"> passed in </w:t>
      </w:r>
      <w:r>
        <w:t>December 2012.</w:t>
      </w:r>
    </w:p>
    <w:p w14:paraId="1081BD5E" w14:textId="77777777" w:rsidR="00DD009C" w:rsidRPr="00257311" w:rsidRDefault="00DD009C" w:rsidP="00056603">
      <w:r w:rsidRPr="00257311">
        <w:t>Under th</w:t>
      </w:r>
      <w:r>
        <w:t>is</w:t>
      </w:r>
      <w:r w:rsidRPr="00257311">
        <w:t xml:space="preserve"> legislation, the</w:t>
      </w:r>
      <w:r>
        <w:t xml:space="preserve"> relevant Minister</w:t>
      </w:r>
      <w:r w:rsidRPr="00257311">
        <w:t xml:space="preserve"> has the power to prescribe certain classes of derivatives as </w:t>
      </w:r>
      <w:r>
        <w:t xml:space="preserve">being </w:t>
      </w:r>
      <w:r w:rsidRPr="00257311">
        <w:t xml:space="preserve">subject to </w:t>
      </w:r>
      <w:r>
        <w:t xml:space="preserve">an ASIC rule making power in relation to </w:t>
      </w:r>
      <w:r w:rsidRPr="00257311">
        <w:t>mandatory</w:t>
      </w:r>
      <w:r>
        <w:t xml:space="preserve"> clearing by a central counterparty</w:t>
      </w:r>
      <w:r w:rsidRPr="00257311">
        <w:t xml:space="preserve">, mandatory </w:t>
      </w:r>
      <w:r>
        <w:t>reporting</w:t>
      </w:r>
      <w:r w:rsidRPr="00257311">
        <w:t xml:space="preserve"> </w:t>
      </w:r>
      <w:r>
        <w:t>to</w:t>
      </w:r>
      <w:r w:rsidRPr="00257311">
        <w:t xml:space="preserve"> a </w:t>
      </w:r>
      <w:r>
        <w:t>trade repository</w:t>
      </w:r>
      <w:r w:rsidRPr="00257311">
        <w:t xml:space="preserve">, or mandatory execution on a trading platform. </w:t>
      </w:r>
      <w:r>
        <w:t xml:space="preserve"> The legislation also provides a power to set boundaries for ASIC’s DTRs by regulation with regard (among others) to the types of derivatives and the classes of persons they may cover.</w:t>
      </w:r>
    </w:p>
    <w:p w14:paraId="5C4A692F" w14:textId="77777777" w:rsidR="00DD009C" w:rsidRPr="00257311" w:rsidRDefault="00DD009C" w:rsidP="00056603">
      <w:r w:rsidRPr="00257311">
        <w:t xml:space="preserve">To give effect to </w:t>
      </w:r>
      <w:r>
        <w:t>a particular</w:t>
      </w:r>
      <w:r w:rsidRPr="00257311">
        <w:t xml:space="preserve"> mandate, </w:t>
      </w:r>
      <w:r>
        <w:t xml:space="preserve">a Ministerial determination is required giving </w:t>
      </w:r>
      <w:r w:rsidRPr="00257311">
        <w:t xml:space="preserve">ASIC </w:t>
      </w:r>
      <w:r>
        <w:t xml:space="preserve">powers to </w:t>
      </w:r>
      <w:r w:rsidRPr="00257311">
        <w:t xml:space="preserve">develop </w:t>
      </w:r>
      <w:r>
        <w:t>DTRs</w:t>
      </w:r>
      <w:r w:rsidRPr="00257311">
        <w:t xml:space="preserve"> clarify</w:t>
      </w:r>
      <w:r>
        <w:t>ing</w:t>
      </w:r>
      <w:r w:rsidRPr="00257311">
        <w:t xml:space="preserve"> matters such as </w:t>
      </w:r>
      <w:r>
        <w:t>who is subject to the rules, which specific products are covered and when the mandate comes into force.</w:t>
      </w:r>
    </w:p>
    <w:p w14:paraId="2DB20618" w14:textId="77777777" w:rsidR="00DD009C" w:rsidRPr="00C33628" w:rsidRDefault="00DD009C" w:rsidP="00056603">
      <w:pPr>
        <w:pStyle w:val="Heading4"/>
        <w:tabs>
          <w:tab w:val="left" w:pos="2475"/>
        </w:tabs>
        <w:rPr>
          <w:b w:val="0"/>
          <w:i/>
          <w:lang w:val="en"/>
        </w:rPr>
      </w:pPr>
      <w:r w:rsidRPr="00C33628">
        <w:rPr>
          <w:b w:val="0"/>
          <w:i/>
          <w:lang w:val="en"/>
        </w:rPr>
        <w:t>Why is Government action required?</w:t>
      </w:r>
    </w:p>
    <w:p w14:paraId="21A08E47" w14:textId="77777777" w:rsidR="00DD009C" w:rsidRDefault="00DD009C" w:rsidP="004607FB">
      <w:r>
        <w:t>The market assessment reports undertaken by the Regulators have shown, as mentioned, that the OTC derivatives markets in Australia are largely dominated by the banks, especially the major Australian banks as well as a small number of global financial institutions active in Australia.  Ensuring that these entities centrally clear their OTC derivatives transactions would therefore substantially achieve the financial system stability benefits inherent in central clearing (2013 Report, p.23).  For this reason, the 2013 and 2014 Reports recommend that central clearing mandates for AUD and G4-IRD should be restricted to these major financial institutions (called ‘dealers’ in the reports).</w:t>
      </w:r>
      <w:r>
        <w:rPr>
          <w:rStyle w:val="FootnoteReference"/>
        </w:rPr>
        <w:footnoteReference w:id="14"/>
      </w:r>
    </w:p>
    <w:p w14:paraId="277EFF2E" w14:textId="77777777" w:rsidR="00DD009C" w:rsidRDefault="00DD009C" w:rsidP="00B5579B">
      <w:r>
        <w:t>However, the 2013 and 2014 Reports also conclude that the majority of new AUD and G4-IRD transactions entered into by dealers are already being centrally cleared.</w:t>
      </w:r>
      <w:r>
        <w:rPr>
          <w:rStyle w:val="FootnoteReference"/>
        </w:rPr>
        <w:footnoteReference w:id="15"/>
      </w:r>
      <w:r>
        <w:t xml:space="preserve">  The main reasons for this development are:</w:t>
      </w:r>
    </w:p>
    <w:p w14:paraId="4E1042D4" w14:textId="77777777" w:rsidR="00DD009C" w:rsidRDefault="00DD009C" w:rsidP="00DD009C">
      <w:pPr>
        <w:pStyle w:val="Bullet"/>
        <w:numPr>
          <w:ilvl w:val="0"/>
          <w:numId w:val="3"/>
        </w:numPr>
        <w:spacing w:before="0" w:after="240" w:line="260" w:lineRule="exact"/>
        <w:jc w:val="both"/>
      </w:pPr>
      <w:r>
        <w:t xml:space="preserve">Many of the foreign financial institutions active in the Australian OTC derivatives market are already subject to an overseas obligation to centrally clear (2013 Report p.30).  This would notably apply to the Australian branches of US banks; and </w:t>
      </w:r>
    </w:p>
    <w:p w14:paraId="60E0A4EB" w14:textId="77777777" w:rsidR="00DD009C" w:rsidRDefault="00DD009C" w:rsidP="00DD009C">
      <w:pPr>
        <w:pStyle w:val="Bullet"/>
        <w:numPr>
          <w:ilvl w:val="0"/>
          <w:numId w:val="3"/>
        </w:numPr>
        <w:spacing w:before="0" w:after="240" w:line="260" w:lineRule="exact"/>
        <w:jc w:val="both"/>
      </w:pPr>
      <w:r>
        <w:t>Prudential standards under the Basel III reforms are imposing higher capital charges on non-centrally cleared OTC derivatives transactions, thereby providing a strong incentive to centrally clear (2013 Report p.10).</w:t>
      </w:r>
    </w:p>
    <w:p w14:paraId="2523A669" w14:textId="77777777" w:rsidR="00DD009C" w:rsidRDefault="00DD009C" w:rsidP="00DD009C">
      <w:pPr>
        <w:pStyle w:val="Bullet"/>
        <w:numPr>
          <w:ilvl w:val="0"/>
          <w:numId w:val="3"/>
        </w:numPr>
        <w:spacing w:before="0" w:after="240" w:line="260" w:lineRule="exact"/>
        <w:jc w:val="both"/>
      </w:pPr>
      <w:r>
        <w:t>As more and more transactions are centrally cleared, market forces such as the search for better liquidity and netting efficiencies are reinforcing the uptake of central clearing.</w:t>
      </w:r>
    </w:p>
    <w:p w14:paraId="63B3D838" w14:textId="77777777" w:rsidR="00DD009C" w:rsidRDefault="00DD009C" w:rsidP="00F46F5C">
      <w:r>
        <w:t>This means that international developments, other regulatory requirements and market forces are already driving market participants towards central clearing. A central clearing mandate imposed by the Government is not required to achieve this outcome and the associated financial stability benefits.</w:t>
      </w:r>
    </w:p>
    <w:p w14:paraId="057AC087" w14:textId="77777777" w:rsidR="00DD009C" w:rsidRDefault="00DD009C" w:rsidP="00F46F5C">
      <w:r>
        <w:t xml:space="preserve">The main reason why Government intervention is being proposed is to minimise the impact of extraterritorial regulation on Australian businesses through substituted compliance determinations by overseas regulators.  </w:t>
      </w:r>
    </w:p>
    <w:p w14:paraId="5138A8E6" w14:textId="77777777" w:rsidR="00DD009C" w:rsidRDefault="00DD009C" w:rsidP="00F46F5C">
      <w:r>
        <w:t xml:space="preserve">Equivalence assessments by overseas regulators of the Australian regulatory framework for OTC derivatives will only consider legally binding requirements.  The fact that most OTC derivatives transactions in the Australian market are already being centrally cleared will not be considered as a material factor in an equivalence assessment of Australia’s regulatory framework for OTC derivatives.  </w:t>
      </w:r>
    </w:p>
    <w:p w14:paraId="05B45FB1" w14:textId="77777777" w:rsidR="00DD009C" w:rsidRDefault="00DD009C" w:rsidP="00F46F5C">
      <w:r>
        <w:t>A clear demonstration of this can be seen in the advice provided by the EU regulator, the European Securities and Markets Authority (ESMA), to the European Commission with respect to its assessment of the Australian regulatory framework.</w:t>
      </w:r>
      <w:r>
        <w:rPr>
          <w:rStyle w:val="FootnoteReference"/>
        </w:rPr>
        <w:footnoteReference w:id="16"/>
      </w:r>
      <w:r>
        <w:t xml:space="preserve">  With respect to central clearing, ESMA found that while the Australian legal framework made provision for the imposition of a clearing mandate, actual equivalence with the European framework would only be achieved once a Ministerial determination was made mandating central clearing.  Eq</w:t>
      </w:r>
      <w:r w:rsidRPr="00466804">
        <w:t xml:space="preserve">uivalence would also be limited to the </w:t>
      </w:r>
      <w:r>
        <w:t xml:space="preserve">specific </w:t>
      </w:r>
      <w:r w:rsidRPr="00466804">
        <w:t xml:space="preserve">types of OTC derivatives covered by the determination, and </w:t>
      </w:r>
      <w:r>
        <w:t>to transactions involving counterparties covered by the clearing obligation as specified in regulations and/or DTRs made by ASIC</w:t>
      </w:r>
      <w:r w:rsidRPr="00466804">
        <w:t>.</w:t>
      </w:r>
      <w:r>
        <w:t xml:space="preserve">  </w:t>
      </w:r>
    </w:p>
    <w:p w14:paraId="73C7BE7F" w14:textId="77777777" w:rsidR="00DD009C" w:rsidRDefault="00DD009C" w:rsidP="00F46F5C">
      <w:r>
        <w:t>This example shows clearly that substituted compliance will only be granted by overseas regulators on the basis of legally binding obligations.  Government action through a Ministerial determination, regulations and ASIC DTRs is consequently essential to achieve the desired outcome.</w:t>
      </w:r>
    </w:p>
    <w:p w14:paraId="50E40CFD" w14:textId="77777777" w:rsidR="00DD009C" w:rsidRDefault="00DD009C" w:rsidP="001E6DE6">
      <w:pPr>
        <w:pStyle w:val="Heading2"/>
      </w:pPr>
      <w:r>
        <w:t>3. Options</w:t>
      </w:r>
    </w:p>
    <w:p w14:paraId="57D333AE" w14:textId="77777777" w:rsidR="00DD009C" w:rsidRDefault="00DD009C" w:rsidP="00634A02">
      <w:r>
        <w:t>The focus of governments and regulators in implementing the global central clearing reforms for OTC derivatives is at this stage limited to central clearing for OTC IRD. One reason is that IRD constitute the largest class of OTC derivatives, both globally and in Australia. The central clearing mandate in the US is limited to certain types of IRD denominated in a range of global currencies.  Recommendations by the Regulators in the 2013 and 2014 Reports in Australia have focused on central clearing requirements with respect to G4 and AUD-IRD.</w:t>
      </w:r>
    </w:p>
    <w:p w14:paraId="5C727805" w14:textId="77777777" w:rsidR="00DD009C" w:rsidRDefault="00DD009C" w:rsidP="00634A02">
      <w:r>
        <w:t>As noted above, foreign exchange derivatives are a second important OTC derivatives product class in Australia and globally.  However, there are structural problems that have to date prevented CCPs from offering central clearing for foreign exchange OTC derivatives.  The lack of practical clearing opportunities will have to be overcome before central clearing requirements can be applied to this product class.</w:t>
      </w:r>
    </w:p>
    <w:p w14:paraId="2E73418B" w14:textId="77777777" w:rsidR="00DD009C" w:rsidRPr="00634A02" w:rsidRDefault="00DD009C" w:rsidP="00634A02">
      <w:r>
        <w:t>The options set out below are therefore limited to central clearing requirements for OTC IRD denominated in G4 currencies and Australian dollars.</w:t>
      </w:r>
    </w:p>
    <w:p w14:paraId="16A6304A" w14:textId="77777777" w:rsidR="00DD009C" w:rsidRPr="00A22D93" w:rsidRDefault="00DD009C" w:rsidP="00A16121">
      <w:pPr>
        <w:pStyle w:val="Heading4"/>
        <w:tabs>
          <w:tab w:val="left" w:pos="2475"/>
        </w:tabs>
      </w:pPr>
      <w:r>
        <w:rPr>
          <w:lang w:val="en"/>
        </w:rPr>
        <w:t>Option 1: Status quo option</w:t>
      </w:r>
    </w:p>
    <w:p w14:paraId="0097429B" w14:textId="77777777" w:rsidR="00DD009C" w:rsidRDefault="00DD009C" w:rsidP="00A16121">
      <w:pPr>
        <w:pStyle w:val="BoxText"/>
      </w:pPr>
      <w:r>
        <w:t>Under this option the Government would not use its legislative powers to impose a central clearing requirement for OTC IRD in Australia.  This does not mean that there would not be any central clearing of OTC IRD transactions.  Because of the combined impact of market forces, other regulatory requirements such as prudential standards, and through the extraterritorial reach of foreign central clearing requirements, central clearing of OTC IRD would continue to expand in Australia.   This would however occur without the backing of a formal Government mandate.</w:t>
      </w:r>
    </w:p>
    <w:p w14:paraId="45E2DEDE" w14:textId="77777777" w:rsidR="00DD009C" w:rsidRDefault="00DD009C" w:rsidP="00A22D93">
      <w:pPr>
        <w:pStyle w:val="Heading4"/>
        <w:rPr>
          <w:lang w:val="en"/>
        </w:rPr>
      </w:pPr>
      <w:r>
        <w:rPr>
          <w:lang w:val="en"/>
        </w:rPr>
        <w:t>Option 2: Light touch option</w:t>
      </w:r>
    </w:p>
    <w:p w14:paraId="2B8CCB15" w14:textId="77777777" w:rsidR="00DD009C" w:rsidRDefault="00DD009C" w:rsidP="007D6E38">
      <w:pPr>
        <w:rPr>
          <w:lang w:val="en"/>
        </w:rPr>
      </w:pPr>
      <w:r>
        <w:rPr>
          <w:lang w:val="en"/>
        </w:rPr>
        <w:t xml:space="preserve">Under this option the Minister would make a determination providing ASIC with rule making power to prescribe G4 and AUD-IRD to be centrally cleared by a limited number of internationally active financial institutions.  It is envisaged that this would mainly be achieved through an activity threshold calculated on the basis of the total notional volume of OTC derivatives entered into by an entity.  </w:t>
      </w:r>
    </w:p>
    <w:p w14:paraId="5357C12A" w14:textId="77777777" w:rsidR="00DD009C" w:rsidRDefault="00DD009C" w:rsidP="007D6E38">
      <w:pPr>
        <w:rPr>
          <w:lang w:val="en"/>
        </w:rPr>
      </w:pPr>
      <w:r>
        <w:rPr>
          <w:lang w:val="en"/>
        </w:rPr>
        <w:t>It is envisaged that the threshold would be set at $100 billion, calculated on the basis of an entity’s total gross notional outstanding positions across all OTC derivatives.</w:t>
      </w:r>
      <w:r>
        <w:rPr>
          <w:rStyle w:val="FootnoteReference"/>
          <w:lang w:val="en"/>
        </w:rPr>
        <w:footnoteReference w:id="17"/>
      </w:r>
      <w:r>
        <w:rPr>
          <w:lang w:val="en"/>
        </w:rPr>
        <w:t xml:space="preserve">  Currently available information suggests that at this level approximately 20 entities would be subject to ASIC’s rules.  They would include the 5 largest Australian banks and a number of major foreign financial institutions, especially the global investment banks.</w:t>
      </w:r>
    </w:p>
    <w:p w14:paraId="689A4E9C" w14:textId="77777777" w:rsidR="00DD009C" w:rsidRDefault="00DD009C" w:rsidP="007D6E38">
      <w:pPr>
        <w:rPr>
          <w:lang w:val="en"/>
        </w:rPr>
      </w:pPr>
      <w:r>
        <w:rPr>
          <w:lang w:val="en"/>
        </w:rPr>
        <w:t>The available information also suggests that the entities captured under this threshold would account in aggregate for the majority of transactions and would include the systemically significant entities active in the market.</w:t>
      </w:r>
    </w:p>
    <w:p w14:paraId="02C69529" w14:textId="77777777" w:rsidR="00DD009C" w:rsidRDefault="00DD009C" w:rsidP="007D6E38">
      <w:pPr>
        <w:rPr>
          <w:lang w:val="en"/>
        </w:rPr>
      </w:pPr>
      <w:r>
        <w:rPr>
          <w:lang w:val="en"/>
        </w:rPr>
        <w:t>The Ministerial determination would be accompanied by regulations setting high-level parameters for ASIC’s central clearing DTRs and addressing a small number of other issues related to central clearing as well as the wider OTC derivatives markets reforms.  The regulations would mainly address the following matters:</w:t>
      </w:r>
    </w:p>
    <w:p w14:paraId="1754FB3F" w14:textId="77777777" w:rsidR="00DD009C" w:rsidRDefault="00DD009C" w:rsidP="00DD009C">
      <w:pPr>
        <w:pStyle w:val="Bullet"/>
        <w:numPr>
          <w:ilvl w:val="0"/>
          <w:numId w:val="3"/>
        </w:numPr>
        <w:spacing w:before="0" w:after="240" w:line="260" w:lineRule="exact"/>
        <w:jc w:val="both"/>
        <w:rPr>
          <w:lang w:val="en"/>
        </w:rPr>
      </w:pPr>
      <w:r>
        <w:rPr>
          <w:lang w:val="en"/>
        </w:rPr>
        <w:t>The key elements of the activity threshold defining the entities that are subject to the clearing mandate: This would include for example the level of the threshold (anticipated to be $100 billion) and how offshore dealers are to be treated for purposes of the mandate;</w:t>
      </w:r>
    </w:p>
    <w:p w14:paraId="32375FF4" w14:textId="77777777" w:rsidR="00DD009C" w:rsidRDefault="00DD009C" w:rsidP="00DD009C">
      <w:pPr>
        <w:pStyle w:val="Bullet"/>
        <w:numPr>
          <w:ilvl w:val="0"/>
          <w:numId w:val="3"/>
        </w:numPr>
        <w:spacing w:before="0" w:after="240" w:line="260" w:lineRule="exact"/>
        <w:jc w:val="both"/>
        <w:rPr>
          <w:lang w:val="en"/>
        </w:rPr>
      </w:pPr>
      <w:r>
        <w:rPr>
          <w:lang w:val="en"/>
        </w:rPr>
        <w:t>An exemption for public entities such as central banks from the central clearing requirement: Such a provision is standard internationally and is necessary to obtain reciprocal treatment for our public institutions; and</w:t>
      </w:r>
    </w:p>
    <w:p w14:paraId="1168E9BD" w14:textId="77777777" w:rsidR="00DD009C" w:rsidRDefault="00DD009C" w:rsidP="00DD009C">
      <w:pPr>
        <w:pStyle w:val="Bullet"/>
        <w:numPr>
          <w:ilvl w:val="0"/>
          <w:numId w:val="3"/>
        </w:numPr>
        <w:spacing w:before="0" w:after="240" w:line="260" w:lineRule="exact"/>
        <w:jc w:val="both"/>
        <w:rPr>
          <w:lang w:val="en"/>
        </w:rPr>
      </w:pPr>
      <w:r>
        <w:rPr>
          <w:lang w:val="en"/>
        </w:rPr>
        <w:t xml:space="preserve">A provision allowing the use of prescribed in addition to domestically licensed CCPs, subject to a number of conditions.  This ensures that market participants can continue to access a small number of widely used global and regional CCPs that do not wish to apply for a </w:t>
      </w:r>
      <w:proofErr w:type="spellStart"/>
      <w:r>
        <w:rPr>
          <w:lang w:val="en"/>
        </w:rPr>
        <w:t>licence</w:t>
      </w:r>
      <w:proofErr w:type="spellEnd"/>
      <w:r>
        <w:rPr>
          <w:lang w:val="en"/>
        </w:rPr>
        <w:t xml:space="preserve"> in Australia, to avoid restricting the scope of clearing opportunities currently available.</w:t>
      </w:r>
    </w:p>
    <w:p w14:paraId="00DB9FD3" w14:textId="77777777" w:rsidR="00DD009C" w:rsidRDefault="00DD009C" w:rsidP="00FA1196">
      <w:pPr>
        <w:rPr>
          <w:lang w:val="en"/>
        </w:rPr>
      </w:pPr>
      <w:r>
        <w:rPr>
          <w:lang w:val="en"/>
        </w:rPr>
        <w:t xml:space="preserve">In addition, it is proposed to make a minor amendment to the regulations </w:t>
      </w:r>
      <w:r w:rsidRPr="00F15D03">
        <w:t>clarifying that for AFSL holders that only have authorisation for specific types of derivatives rather than having a general derivatives authorisation, the DTRs can only impose requirements with respect to those types of derivatives covered by their licence authorisation.</w:t>
      </w:r>
    </w:p>
    <w:p w14:paraId="048F22EB" w14:textId="77777777" w:rsidR="00DD009C" w:rsidRDefault="00DD009C" w:rsidP="00A16121">
      <w:pPr>
        <w:pStyle w:val="Heading4"/>
        <w:rPr>
          <w:lang w:val="en"/>
        </w:rPr>
      </w:pPr>
      <w:r>
        <w:rPr>
          <w:lang w:val="en"/>
        </w:rPr>
        <w:t>Option 3: Wider scope option</w:t>
      </w:r>
    </w:p>
    <w:p w14:paraId="023B4CDF" w14:textId="77777777" w:rsidR="00DD009C" w:rsidRDefault="00DD009C" w:rsidP="00A16121">
      <w:pPr>
        <w:rPr>
          <w:lang w:val="en"/>
        </w:rPr>
      </w:pPr>
      <w:r>
        <w:t>Under this option the Minister would make a determination providing ASIC with rule making powers to mandate central clearing of G4 and AUD-IRD</w:t>
      </w:r>
      <w:r w:rsidRPr="0010350B">
        <w:rPr>
          <w:lang w:val="en"/>
        </w:rPr>
        <w:t xml:space="preserve"> </w:t>
      </w:r>
      <w:r>
        <w:rPr>
          <w:lang w:val="en"/>
        </w:rPr>
        <w:t>for a wider class of financial entities.  This would mainly be achieved by lowering the threshold to a level that would capture a number of smaller Australian and overseas banks, as well as a number of large fund managers.</w:t>
      </w:r>
    </w:p>
    <w:p w14:paraId="3800A82B" w14:textId="77777777" w:rsidR="00DD009C" w:rsidRDefault="00DD009C" w:rsidP="00A16121">
      <w:pPr>
        <w:rPr>
          <w:lang w:val="en"/>
        </w:rPr>
      </w:pPr>
      <w:r>
        <w:rPr>
          <w:lang w:val="en"/>
        </w:rPr>
        <w:t>It is anticipated that under this option the threshold would be lowered to about $10 billion.  According to currently available information this would mean that about 40 entities would become subject to the clearing mandate.  This group of entities is estimated to account for almost all of the activity in this segment of the market.</w:t>
      </w:r>
    </w:p>
    <w:p w14:paraId="0C404EB5" w14:textId="77777777" w:rsidR="00DD009C" w:rsidRDefault="00DD009C" w:rsidP="00A16121">
      <w:r>
        <w:t>The same regulations as outlined under Option 2 would be made under this option.</w:t>
      </w:r>
    </w:p>
    <w:p w14:paraId="1A1836B8" w14:textId="77777777" w:rsidR="00DD009C" w:rsidRDefault="00DD009C" w:rsidP="003B50D9">
      <w:pPr>
        <w:pStyle w:val="Heading2"/>
      </w:pPr>
      <w:r>
        <w:t>4. Net Benefit Analysis</w:t>
      </w:r>
    </w:p>
    <w:p w14:paraId="2DF7F6D4" w14:textId="77777777" w:rsidR="00DD009C" w:rsidRDefault="00DD009C" w:rsidP="003B50D9">
      <w:pPr>
        <w:pStyle w:val="Heading3"/>
      </w:pPr>
      <w:r>
        <w:t>Option 1: Status quo</w:t>
      </w:r>
    </w:p>
    <w:p w14:paraId="1CC4EF85" w14:textId="77777777" w:rsidR="00DD009C" w:rsidRDefault="00DD009C" w:rsidP="00C33628">
      <w:r>
        <w:t>Under this option the Government would not impose any direct regulatory costs on stakeholders.</w:t>
      </w:r>
    </w:p>
    <w:p w14:paraId="4A258640" w14:textId="77777777" w:rsidR="00DD009C" w:rsidRDefault="00DD009C" w:rsidP="00C33628">
      <w:r>
        <w:t>However, the absence of an Australian central clearing mandate would not relieve Australian participants in OTC IRD markets from the need to centrally clear.  As mentioned above, forces such as prudential requirements and overseas regulations would still ensure that most OTC IRD transactions in Australia would be centrally cleared.  For example, the majority of G4-IRD transactions entered into by Australian banks have an international bank as the counterparty, many of which are subject to the US clearing requirement.</w:t>
      </w:r>
      <w:r w:rsidRPr="00C33628">
        <w:footnoteReference w:id="18"/>
      </w:r>
      <w:r>
        <w:t>.  Australian banks would therefore still have to incur the costs to put in place and maintain the necessary arrangements for central clearing if they wished to participate in OTC IRD markets.</w:t>
      </w:r>
    </w:p>
    <w:p w14:paraId="1C9C234A" w14:textId="77777777" w:rsidR="00DD009C" w:rsidRDefault="00DD009C" w:rsidP="00C33628">
      <w:r>
        <w:t>Failure by Australia to put in place a central clearing mandate would mean that Australian participants in OTC IRD markets would not be able to benefit from substituted compliance rulings and would have to clear in accordance with overseas regulatory frameworks.  Relief provided in the past would be likely not to be extended or revoked if Australia reneged on its commitment to implement a central clearing mandate.</w:t>
      </w:r>
    </w:p>
    <w:p w14:paraId="2D027FC9" w14:textId="77777777" w:rsidR="00DD009C" w:rsidRDefault="00DD009C" w:rsidP="00C33628">
      <w:r>
        <w:t>Australian market participants already benefit from relief granted by the CFTC from a number of its so-called ‘entity-level’ requirements.</w:t>
      </w:r>
      <w:r w:rsidRPr="00C33628">
        <w:footnoteReference w:id="19"/>
      </w:r>
      <w:r>
        <w:t xml:space="preserve">  This relief is time limited and subject to renewal.  Failure on the part of Australia to implement central clearing as one of the key agreed reforms to OTC derivatives markets is likely to put the renewal of existing relief at risk.  It will also make it very unlikely that the US will agree to extend other kinds of substituted compliance relief to Australian entities.</w:t>
      </w:r>
    </w:p>
    <w:p w14:paraId="53ED1ACF" w14:textId="77777777" w:rsidR="00DD009C" w:rsidRDefault="00DD009C" w:rsidP="009C2766">
      <w:r>
        <w:t>The European Commission is currently conducting an equivalence assessment of the Australian regulatory framework for OTC derivatives, with a view to determining what substituted compliance relief it will provide.  Failure to put in place a central clearing mandate would significantly reduce the scope of the relief that would be provided by the Commission.</w:t>
      </w:r>
    </w:p>
    <w:p w14:paraId="4A2A5A67" w14:textId="77777777" w:rsidR="00DD009C" w:rsidRDefault="00DD009C" w:rsidP="009C2766">
      <w:r>
        <w:t>Similar outcomes would result as mandatory central clearing is adopted by further jurisdictions.  Australian participants in global OTC derivatives markets would as a consequence face an increasing compliance burden in continuing their activities in these markets.</w:t>
      </w:r>
    </w:p>
    <w:p w14:paraId="55DB0E23" w14:textId="77777777" w:rsidR="00DD009C" w:rsidRDefault="00DD009C" w:rsidP="009C2766">
      <w:r>
        <w:t>This option would in sum not address the key problem of providing relief to Australian OTC derivatives market participants from the impact of overseas regulation, resulting in increased costs for Australian banks and other institutions accessing global capital markets.  This would include the direct costs of complying with foreign regulations, but also indirect costs such as those caused by having to withdraw from certain markets and as a result not being able to hedge certain products or currencies.  Markets most likely to be impacted in this manner are in the US and EU, and products that are likely to be affected include in particular interest rate derivatives denominated in Australian dollars and global currencies such as the US dollar and the euro.  These markets and derivatives play a critical role in the funding activities of the Australian banks, and any increased costs incurred would ultimately be borne by Australian businesses, consumers and investors.</w:t>
      </w:r>
    </w:p>
    <w:p w14:paraId="4FBA440F" w14:textId="77777777" w:rsidR="00DD009C" w:rsidRDefault="00DD009C" w:rsidP="009C2766">
      <w:r>
        <w:t>While it does not address the main problem, this option also would not provide any compensating benefits to Australian participants in OTC derivatives markets since it would not reduce the pressure driving the uptake of central clearing in Australia and globally.  Australian banks and businesses would therefore have to maintain the necessary arrangements for central clearing in order to continue participating in OTC derivatives markets.</w:t>
      </w:r>
    </w:p>
    <w:p w14:paraId="37D1CA24" w14:textId="77777777" w:rsidR="00DD009C" w:rsidRDefault="00DD009C" w:rsidP="003B50D9">
      <w:pPr>
        <w:pStyle w:val="Heading3"/>
      </w:pPr>
      <w:r>
        <w:t>Option 2: Light touch regulation</w:t>
      </w:r>
    </w:p>
    <w:p w14:paraId="0644A6FD" w14:textId="77777777" w:rsidR="00DD009C" w:rsidRDefault="00DD009C" w:rsidP="00BB1052">
      <w:r>
        <w:t>The light touch option would, as noted above, bring about 20 Australian financial institutions (including the local operations of major overseas banks) within the scope of ASIC’s central clearing DTRs.  As these institutions have established the infrastructure required for central clearing and are already clearing most of their new OTC IRD transactions, the additional compliance costs associated with the mandate would be minimal.</w:t>
      </w:r>
    </w:p>
    <w:p w14:paraId="12C6FE92" w14:textId="77777777" w:rsidR="00DD009C" w:rsidRDefault="00DD009C" w:rsidP="00BB1052">
      <w:r>
        <w:t xml:space="preserve">The imposition of this mandate may provide some marginal financial stability benefits by reinforcing the existing strong trend towards central clearing in OTC IRD markets.  While the scope of the mandate may appear relatively narrow, it would nevertheless capture the systemically significant participants in the market as shown by the fact that these institutions in aggregate hold the majority of total gross notional OTC derivatives outstanding in Australia.  </w:t>
      </w:r>
    </w:p>
    <w:p w14:paraId="7720E587" w14:textId="77777777" w:rsidR="00DD009C" w:rsidRDefault="00DD009C" w:rsidP="00BB1052">
      <w:r>
        <w:t xml:space="preserve">This option would protect the existing substituted compliance benefits provided by the CFTC to Australian entities and may in time lead to further relief being provided by the CFTC and the EU.  Once the Ministerial determination, associated regulations and ASIC’s DTRs have been made, it will be possible for Australian financial institutions active in the US markets to apply to the CFTC for further, clearing-related relief.  As it is expected that the EU will have a central clearing regime in place starting in 2016, it may also be possible to apply for substituted compliance relief under that regime. </w:t>
      </w:r>
    </w:p>
    <w:p w14:paraId="4412589D" w14:textId="77777777" w:rsidR="00DD009C" w:rsidRDefault="00DD009C" w:rsidP="00BB1052">
      <w:r>
        <w:t>The light touch option is the preferred option put forward in this RIS, as it imposes minimal costs on market participants while preserving the substituted compliance benefits granted to Australian entities and possibly leading to further relief.</w:t>
      </w:r>
    </w:p>
    <w:p w14:paraId="0EDE6085" w14:textId="77777777" w:rsidR="00DD009C" w:rsidRDefault="00DD009C" w:rsidP="00BB1052">
      <w:r>
        <w:t>For purposes of quantifying the expected benefits of the proposed mandate, the approach taken has been to focus on those benefits that are confirmed and are actually available to Australian market participants.  These are the existing entity-level relief measures granted by the CFTC in December 2013.  The assumption applied is that this relief will be extended by the CFTC, as compared to the do-nothing option, where it may be expected that the CFTC would revoke the measures.  The additional potential benefits accruing from additional substituted compliance grants provided by the CFTC and the EU have not been quantified, as it is impossible to forecast the type and extent of relief that may be provided.</w:t>
      </w:r>
    </w:p>
    <w:p w14:paraId="04298DDC" w14:textId="77777777" w:rsidR="00DD009C" w:rsidRPr="00D519FB" w:rsidRDefault="00DD009C" w:rsidP="00735608">
      <w:r w:rsidRPr="00D519FB">
        <w:t>The detailed calculation is based on a number of specific types of relief provided by the CFTC, in particular requirements relating to risk management and swap data recordkeeping.  The cost of complying with these requirements is calculated for the 20 Australian entities subject to the proposed mandate.  This cost is assumed to be the savings achieved under this option because it would have to be incurred under the do-nothing option which assumes that the relief will be withdrawn.  The following relief provided by the CFTC is quantified:</w:t>
      </w:r>
    </w:p>
    <w:p w14:paraId="4933E599" w14:textId="77777777" w:rsidR="00DD009C" w:rsidRPr="00D519FB" w:rsidRDefault="00DD009C" w:rsidP="00DD009C">
      <w:pPr>
        <w:pStyle w:val="Bullet"/>
        <w:numPr>
          <w:ilvl w:val="0"/>
          <w:numId w:val="3"/>
        </w:numPr>
        <w:spacing w:before="0" w:after="240" w:line="260" w:lineRule="exact"/>
        <w:jc w:val="both"/>
      </w:pPr>
      <w:r w:rsidRPr="00D519FB">
        <w:t>1 support staff for chief compliance officer (salary costs)</w:t>
      </w:r>
      <w:r w:rsidRPr="00D519FB">
        <w:rPr>
          <w:vertAlign w:val="superscript"/>
        </w:rPr>
        <w:footnoteReference w:id="20"/>
      </w:r>
      <w:r w:rsidRPr="00D519FB">
        <w:t>;</w:t>
      </w:r>
    </w:p>
    <w:p w14:paraId="66FBECA8" w14:textId="77777777" w:rsidR="00DD009C" w:rsidRPr="00D519FB" w:rsidRDefault="00DD009C" w:rsidP="00DD009C">
      <w:pPr>
        <w:pStyle w:val="Bullet"/>
        <w:numPr>
          <w:ilvl w:val="0"/>
          <w:numId w:val="3"/>
        </w:numPr>
        <w:spacing w:before="0" w:after="240" w:line="260" w:lineRule="exact"/>
        <w:jc w:val="both"/>
      </w:pPr>
      <w:r w:rsidRPr="00D519FB">
        <w:t>Risk management requirements, including establishment of a comprehensive risk management program and a compliance monitoring system in line with Dodd-Frank and CFTC requirements (legal, IT and personnel costs); and</w:t>
      </w:r>
    </w:p>
    <w:p w14:paraId="69B2CD35" w14:textId="77777777" w:rsidR="00DD009C" w:rsidRPr="00D519FB" w:rsidRDefault="00DD009C" w:rsidP="00DD009C">
      <w:pPr>
        <w:pStyle w:val="Bullet"/>
        <w:numPr>
          <w:ilvl w:val="0"/>
          <w:numId w:val="3"/>
        </w:numPr>
        <w:spacing w:before="0" w:after="240" w:line="260" w:lineRule="exact"/>
        <w:jc w:val="both"/>
      </w:pPr>
      <w:r w:rsidRPr="00D519FB">
        <w:t>Swap data record-keeping and reporting requirements (mainly personnel costs).</w:t>
      </w:r>
    </w:p>
    <w:p w14:paraId="0B7764D7" w14:textId="77777777" w:rsidR="00DD009C" w:rsidRDefault="00DD009C" w:rsidP="00BB1052">
      <w:r w:rsidRPr="00D519FB">
        <w:t>The calculation per dealer is set out in the table below</w:t>
      </w:r>
      <w:r w:rsidRPr="00D519FB">
        <w:rPr>
          <w:rStyle w:val="FootnoteReference"/>
        </w:rPr>
        <w:footnoteReference w:id="21"/>
      </w:r>
      <w:r w:rsidRPr="00D519FB">
        <w:t>:</w:t>
      </w:r>
    </w:p>
    <w:p w14:paraId="7E6445DF" w14:textId="77777777" w:rsidR="00DD009C" w:rsidRDefault="00DD009C" w:rsidP="00BB1052"/>
    <w:p w14:paraId="67D97DEF" w14:textId="77777777" w:rsidR="00DD009C" w:rsidRPr="00D519FB" w:rsidRDefault="00DD009C" w:rsidP="00BB1052"/>
    <w:tbl>
      <w:tblPr>
        <w:tblStyle w:val="TableGrid"/>
        <w:tblW w:w="0" w:type="auto"/>
        <w:tblInd w:w="817" w:type="dxa"/>
        <w:tblLook w:val="04A0" w:firstRow="1" w:lastRow="0" w:firstColumn="1" w:lastColumn="0" w:noHBand="0" w:noVBand="1"/>
      </w:tblPr>
      <w:tblGrid>
        <w:gridCol w:w="2519"/>
        <w:gridCol w:w="2622"/>
        <w:gridCol w:w="2564"/>
      </w:tblGrid>
      <w:tr w:rsidR="00DD009C" w:rsidRPr="00D519FB" w14:paraId="4CB03216" w14:textId="77777777" w:rsidTr="00B20BEB">
        <w:tc>
          <w:tcPr>
            <w:tcW w:w="2729" w:type="dxa"/>
          </w:tcPr>
          <w:p w14:paraId="1DC138AE" w14:textId="77777777" w:rsidR="00DD009C" w:rsidRPr="00D519FB" w:rsidRDefault="00DD009C" w:rsidP="00B20BEB">
            <w:pPr>
              <w:pStyle w:val="Bullet"/>
              <w:numPr>
                <w:ilvl w:val="0"/>
                <w:numId w:val="0"/>
              </w:numPr>
              <w:rPr>
                <w:i/>
              </w:rPr>
            </w:pPr>
            <w:r w:rsidRPr="00D519FB">
              <w:rPr>
                <w:i/>
              </w:rPr>
              <w:t>Item</w:t>
            </w:r>
          </w:p>
        </w:tc>
        <w:tc>
          <w:tcPr>
            <w:tcW w:w="2848" w:type="dxa"/>
          </w:tcPr>
          <w:p w14:paraId="18A8328C" w14:textId="77777777" w:rsidR="00DD009C" w:rsidRPr="00D519FB" w:rsidRDefault="00DD009C" w:rsidP="00B20BEB">
            <w:pPr>
              <w:pStyle w:val="Bullet"/>
              <w:numPr>
                <w:ilvl w:val="0"/>
                <w:numId w:val="0"/>
              </w:numPr>
              <w:rPr>
                <w:i/>
              </w:rPr>
            </w:pPr>
            <w:r w:rsidRPr="00D519FB">
              <w:rPr>
                <w:i/>
              </w:rPr>
              <w:t>One-off costs</w:t>
            </w:r>
          </w:p>
        </w:tc>
        <w:tc>
          <w:tcPr>
            <w:tcW w:w="2848" w:type="dxa"/>
          </w:tcPr>
          <w:p w14:paraId="07A7D557" w14:textId="77777777" w:rsidR="00DD009C" w:rsidRPr="00D519FB" w:rsidRDefault="00DD009C" w:rsidP="00B20BEB">
            <w:pPr>
              <w:pStyle w:val="Bullet"/>
              <w:numPr>
                <w:ilvl w:val="0"/>
                <w:numId w:val="0"/>
              </w:numPr>
              <w:rPr>
                <w:i/>
              </w:rPr>
            </w:pPr>
            <w:r w:rsidRPr="00D519FB">
              <w:rPr>
                <w:i/>
              </w:rPr>
              <w:t>Annual costs</w:t>
            </w:r>
          </w:p>
        </w:tc>
      </w:tr>
      <w:tr w:rsidR="00DD009C" w:rsidRPr="00D519FB" w14:paraId="4717F070" w14:textId="77777777" w:rsidTr="00B20BEB">
        <w:tc>
          <w:tcPr>
            <w:tcW w:w="2729" w:type="dxa"/>
          </w:tcPr>
          <w:p w14:paraId="1E7E5AC6" w14:textId="77777777" w:rsidR="00DD009C" w:rsidRPr="00D519FB" w:rsidRDefault="00DD009C" w:rsidP="00B20BEB">
            <w:pPr>
              <w:pStyle w:val="Bullet"/>
              <w:numPr>
                <w:ilvl w:val="0"/>
                <w:numId w:val="0"/>
              </w:numPr>
            </w:pPr>
            <w:r w:rsidRPr="00D519FB">
              <w:t>Support compliance staff</w:t>
            </w:r>
          </w:p>
        </w:tc>
        <w:tc>
          <w:tcPr>
            <w:tcW w:w="2848" w:type="dxa"/>
          </w:tcPr>
          <w:p w14:paraId="706D1D2B" w14:textId="77777777" w:rsidR="00DD009C" w:rsidRPr="00D519FB" w:rsidRDefault="00DD009C" w:rsidP="00B20BEB">
            <w:pPr>
              <w:pStyle w:val="Bullet"/>
              <w:numPr>
                <w:ilvl w:val="0"/>
                <w:numId w:val="0"/>
              </w:numPr>
            </w:pPr>
          </w:p>
        </w:tc>
        <w:tc>
          <w:tcPr>
            <w:tcW w:w="2848" w:type="dxa"/>
          </w:tcPr>
          <w:p w14:paraId="2504E027" w14:textId="77777777" w:rsidR="00DD009C" w:rsidRPr="00D519FB" w:rsidRDefault="00DD009C" w:rsidP="00B20BEB">
            <w:pPr>
              <w:pStyle w:val="Bullet"/>
              <w:numPr>
                <w:ilvl w:val="0"/>
                <w:numId w:val="0"/>
              </w:numPr>
            </w:pPr>
            <w:r w:rsidRPr="00D519FB">
              <w:t>$100,000</w:t>
            </w:r>
          </w:p>
        </w:tc>
      </w:tr>
      <w:tr w:rsidR="00DD009C" w:rsidRPr="00D519FB" w14:paraId="2086BC88" w14:textId="77777777" w:rsidTr="00B20BEB">
        <w:tc>
          <w:tcPr>
            <w:tcW w:w="2729" w:type="dxa"/>
          </w:tcPr>
          <w:p w14:paraId="7C6FE255" w14:textId="77777777" w:rsidR="00DD009C" w:rsidRPr="00D519FB" w:rsidRDefault="00DD009C" w:rsidP="00B20BEB">
            <w:pPr>
              <w:pStyle w:val="Bullet"/>
              <w:numPr>
                <w:ilvl w:val="0"/>
                <w:numId w:val="0"/>
              </w:numPr>
            </w:pPr>
            <w:r w:rsidRPr="00D519FB">
              <w:t>Risk management set-up:</w:t>
            </w:r>
          </w:p>
          <w:p w14:paraId="6B4ADB6D" w14:textId="77777777" w:rsidR="00DD009C" w:rsidRPr="00D519FB" w:rsidRDefault="00DD009C" w:rsidP="00DD009C">
            <w:pPr>
              <w:pStyle w:val="Bullet"/>
              <w:numPr>
                <w:ilvl w:val="0"/>
                <w:numId w:val="28"/>
              </w:numPr>
              <w:spacing w:before="0" w:after="0" w:line="240" w:lineRule="auto"/>
              <w:ind w:left="663" w:hanging="663"/>
              <w:jc w:val="left"/>
            </w:pPr>
            <w:r w:rsidRPr="00D519FB">
              <w:t>Legal</w:t>
            </w:r>
          </w:p>
          <w:p w14:paraId="31D0CAE0" w14:textId="77777777" w:rsidR="00DD009C" w:rsidRPr="00D519FB" w:rsidRDefault="00DD009C" w:rsidP="00DD009C">
            <w:pPr>
              <w:pStyle w:val="Bullet"/>
              <w:numPr>
                <w:ilvl w:val="0"/>
                <w:numId w:val="28"/>
              </w:numPr>
              <w:spacing w:before="0" w:after="0" w:line="240" w:lineRule="auto"/>
              <w:jc w:val="left"/>
            </w:pPr>
            <w:r w:rsidRPr="00D519FB">
              <w:t>IT</w:t>
            </w:r>
          </w:p>
        </w:tc>
        <w:tc>
          <w:tcPr>
            <w:tcW w:w="2848" w:type="dxa"/>
          </w:tcPr>
          <w:p w14:paraId="3203CAF8" w14:textId="77777777" w:rsidR="00DD009C" w:rsidRPr="00D519FB" w:rsidRDefault="00DD009C" w:rsidP="00B20BEB">
            <w:pPr>
              <w:pStyle w:val="Bullet"/>
              <w:numPr>
                <w:ilvl w:val="0"/>
                <w:numId w:val="0"/>
              </w:numPr>
            </w:pPr>
          </w:p>
          <w:p w14:paraId="568E4C88" w14:textId="77777777" w:rsidR="00DD009C" w:rsidRDefault="00DD009C" w:rsidP="00DD009C">
            <w:pPr>
              <w:pStyle w:val="Bullet"/>
              <w:numPr>
                <w:ilvl w:val="0"/>
                <w:numId w:val="3"/>
              </w:numPr>
              <w:spacing w:before="0" w:after="0"/>
              <w:ind w:left="471" w:hanging="471"/>
            </w:pPr>
            <w:r w:rsidRPr="00D519FB">
              <w:t>$50,000</w:t>
            </w:r>
          </w:p>
          <w:p w14:paraId="2C1ADF57" w14:textId="77777777" w:rsidR="00DD009C" w:rsidRPr="00D519FB" w:rsidRDefault="00DD009C" w:rsidP="00DD009C">
            <w:pPr>
              <w:pStyle w:val="Bullet"/>
              <w:numPr>
                <w:ilvl w:val="0"/>
                <w:numId w:val="3"/>
              </w:numPr>
              <w:spacing w:before="0" w:after="240"/>
            </w:pPr>
            <w:r w:rsidRPr="00D519FB">
              <w:t>$50,000</w:t>
            </w:r>
          </w:p>
        </w:tc>
        <w:tc>
          <w:tcPr>
            <w:tcW w:w="2848" w:type="dxa"/>
          </w:tcPr>
          <w:p w14:paraId="1DF6CF98" w14:textId="77777777" w:rsidR="00DD009C" w:rsidRPr="00D519FB" w:rsidRDefault="00DD009C" w:rsidP="00B20BEB">
            <w:pPr>
              <w:pStyle w:val="Bullet"/>
              <w:numPr>
                <w:ilvl w:val="0"/>
                <w:numId w:val="0"/>
              </w:numPr>
            </w:pPr>
          </w:p>
        </w:tc>
      </w:tr>
      <w:tr w:rsidR="00DD009C" w:rsidRPr="00D519FB" w14:paraId="3DD42DF3" w14:textId="77777777" w:rsidTr="00B20BEB">
        <w:tc>
          <w:tcPr>
            <w:tcW w:w="2729" w:type="dxa"/>
          </w:tcPr>
          <w:p w14:paraId="6BFB7DBA" w14:textId="77777777" w:rsidR="00DD009C" w:rsidRPr="00D519FB" w:rsidRDefault="00DD009C" w:rsidP="00B20BEB">
            <w:pPr>
              <w:pStyle w:val="Bullet"/>
              <w:numPr>
                <w:ilvl w:val="0"/>
                <w:numId w:val="0"/>
              </w:numPr>
            </w:pPr>
            <w:r w:rsidRPr="00D519FB">
              <w:t>Compliance monitoring system: set-up and ongoing monitoring</w:t>
            </w:r>
          </w:p>
        </w:tc>
        <w:tc>
          <w:tcPr>
            <w:tcW w:w="2848" w:type="dxa"/>
          </w:tcPr>
          <w:p w14:paraId="2A133DFC" w14:textId="77777777" w:rsidR="00DD009C" w:rsidRPr="00D519FB" w:rsidRDefault="00DD009C" w:rsidP="00B20BEB">
            <w:pPr>
              <w:pStyle w:val="Bullet"/>
              <w:numPr>
                <w:ilvl w:val="0"/>
                <w:numId w:val="0"/>
              </w:numPr>
            </w:pPr>
            <w:r w:rsidRPr="00D519FB">
              <w:t>$15,000</w:t>
            </w:r>
          </w:p>
        </w:tc>
        <w:tc>
          <w:tcPr>
            <w:tcW w:w="2848" w:type="dxa"/>
          </w:tcPr>
          <w:p w14:paraId="3F3DB84D" w14:textId="77777777" w:rsidR="00DD009C" w:rsidRPr="00D519FB" w:rsidRDefault="00DD009C" w:rsidP="00B20BEB">
            <w:pPr>
              <w:pStyle w:val="Bullet"/>
              <w:numPr>
                <w:ilvl w:val="0"/>
                <w:numId w:val="0"/>
              </w:numPr>
            </w:pPr>
            <w:r w:rsidRPr="00D519FB">
              <w:t>$200,000</w:t>
            </w:r>
          </w:p>
        </w:tc>
      </w:tr>
      <w:tr w:rsidR="00DD009C" w:rsidRPr="00D519FB" w14:paraId="166E3040" w14:textId="77777777" w:rsidTr="00B20BEB">
        <w:tc>
          <w:tcPr>
            <w:tcW w:w="2729" w:type="dxa"/>
          </w:tcPr>
          <w:p w14:paraId="0FF3A42A" w14:textId="77777777" w:rsidR="00DD009C" w:rsidRPr="00D519FB" w:rsidRDefault="00DD009C" w:rsidP="00B20BEB">
            <w:pPr>
              <w:pStyle w:val="Bullet"/>
              <w:numPr>
                <w:ilvl w:val="0"/>
                <w:numId w:val="0"/>
              </w:numPr>
            </w:pPr>
            <w:r w:rsidRPr="00D519FB">
              <w:t>Record-keeping</w:t>
            </w:r>
          </w:p>
        </w:tc>
        <w:tc>
          <w:tcPr>
            <w:tcW w:w="2848" w:type="dxa"/>
          </w:tcPr>
          <w:p w14:paraId="10ED8D6B" w14:textId="77777777" w:rsidR="00DD009C" w:rsidRPr="00D519FB" w:rsidRDefault="00DD009C" w:rsidP="00B20BEB">
            <w:pPr>
              <w:pStyle w:val="Bullet"/>
              <w:numPr>
                <w:ilvl w:val="0"/>
                <w:numId w:val="0"/>
              </w:numPr>
            </w:pPr>
            <w:r w:rsidRPr="00D519FB">
              <w:t>$50,000</w:t>
            </w:r>
          </w:p>
        </w:tc>
        <w:tc>
          <w:tcPr>
            <w:tcW w:w="2848" w:type="dxa"/>
          </w:tcPr>
          <w:p w14:paraId="0456F128" w14:textId="77777777" w:rsidR="00DD009C" w:rsidRPr="00D519FB" w:rsidRDefault="00DD009C" w:rsidP="00B20BEB">
            <w:pPr>
              <w:pStyle w:val="Bullet"/>
              <w:numPr>
                <w:ilvl w:val="0"/>
                <w:numId w:val="0"/>
              </w:numPr>
            </w:pPr>
            <w:r w:rsidRPr="00D519FB">
              <w:t>$20,000</w:t>
            </w:r>
          </w:p>
        </w:tc>
      </w:tr>
      <w:tr w:rsidR="00DD009C" w:rsidRPr="00D519FB" w14:paraId="4329D1A3" w14:textId="77777777" w:rsidTr="00B20BEB">
        <w:tc>
          <w:tcPr>
            <w:tcW w:w="2729" w:type="dxa"/>
          </w:tcPr>
          <w:p w14:paraId="1C3DBAE1" w14:textId="77777777" w:rsidR="00DD009C" w:rsidRPr="00D519FB" w:rsidRDefault="00DD009C" w:rsidP="00B20BEB">
            <w:pPr>
              <w:pStyle w:val="Bullet"/>
              <w:numPr>
                <w:ilvl w:val="0"/>
                <w:numId w:val="0"/>
              </w:numPr>
            </w:pPr>
          </w:p>
        </w:tc>
        <w:tc>
          <w:tcPr>
            <w:tcW w:w="2848" w:type="dxa"/>
          </w:tcPr>
          <w:p w14:paraId="073702FD" w14:textId="77777777" w:rsidR="00DD009C" w:rsidRPr="00D519FB" w:rsidRDefault="00DD009C" w:rsidP="00B20BEB">
            <w:pPr>
              <w:pStyle w:val="Bullet"/>
              <w:numPr>
                <w:ilvl w:val="0"/>
                <w:numId w:val="0"/>
              </w:numPr>
            </w:pPr>
          </w:p>
        </w:tc>
        <w:tc>
          <w:tcPr>
            <w:tcW w:w="2848" w:type="dxa"/>
          </w:tcPr>
          <w:p w14:paraId="647A4EB1" w14:textId="77777777" w:rsidR="00DD009C" w:rsidRPr="00D519FB" w:rsidRDefault="00DD009C" w:rsidP="00B20BEB">
            <w:pPr>
              <w:pStyle w:val="Bullet"/>
              <w:numPr>
                <w:ilvl w:val="0"/>
                <w:numId w:val="0"/>
              </w:numPr>
            </w:pPr>
          </w:p>
        </w:tc>
      </w:tr>
      <w:tr w:rsidR="00DD009C" w:rsidRPr="000A6008" w14:paraId="74BF3E82" w14:textId="77777777" w:rsidTr="00B20BEB">
        <w:tc>
          <w:tcPr>
            <w:tcW w:w="2729" w:type="dxa"/>
          </w:tcPr>
          <w:p w14:paraId="365C454A" w14:textId="77777777" w:rsidR="00DD009C" w:rsidRPr="00D519FB" w:rsidRDefault="00DD009C" w:rsidP="00B20BEB">
            <w:pPr>
              <w:pStyle w:val="Bullet"/>
              <w:numPr>
                <w:ilvl w:val="0"/>
                <w:numId w:val="0"/>
              </w:numPr>
              <w:rPr>
                <w:b/>
              </w:rPr>
            </w:pPr>
            <w:r w:rsidRPr="00D519FB">
              <w:rPr>
                <w:b/>
              </w:rPr>
              <w:t>Total costs per dealer</w:t>
            </w:r>
          </w:p>
        </w:tc>
        <w:tc>
          <w:tcPr>
            <w:tcW w:w="2848" w:type="dxa"/>
          </w:tcPr>
          <w:p w14:paraId="0CDAF104" w14:textId="77777777" w:rsidR="00DD009C" w:rsidRPr="00D519FB" w:rsidRDefault="00DD009C" w:rsidP="00B20BEB">
            <w:pPr>
              <w:pStyle w:val="Bullet"/>
              <w:numPr>
                <w:ilvl w:val="0"/>
                <w:numId w:val="0"/>
              </w:numPr>
              <w:rPr>
                <w:b/>
              </w:rPr>
            </w:pPr>
            <w:r w:rsidRPr="00D519FB">
              <w:rPr>
                <w:b/>
              </w:rPr>
              <w:t>$165,000</w:t>
            </w:r>
          </w:p>
        </w:tc>
        <w:tc>
          <w:tcPr>
            <w:tcW w:w="2848" w:type="dxa"/>
          </w:tcPr>
          <w:p w14:paraId="465CE4B8" w14:textId="77777777" w:rsidR="00DD009C" w:rsidRPr="000A6008" w:rsidRDefault="00DD009C" w:rsidP="00B20BEB">
            <w:pPr>
              <w:pStyle w:val="Bullet"/>
              <w:numPr>
                <w:ilvl w:val="0"/>
                <w:numId w:val="0"/>
              </w:numPr>
              <w:rPr>
                <w:b/>
              </w:rPr>
            </w:pPr>
            <w:r w:rsidRPr="00D519FB">
              <w:rPr>
                <w:b/>
              </w:rPr>
              <w:t>$320,000</w:t>
            </w:r>
          </w:p>
        </w:tc>
      </w:tr>
    </w:tbl>
    <w:p w14:paraId="67CDEEFF" w14:textId="77777777" w:rsidR="00DD009C" w:rsidRDefault="00DD009C" w:rsidP="00BB1052"/>
    <w:p w14:paraId="62568A85" w14:textId="77777777" w:rsidR="00DD009C" w:rsidRDefault="00DD009C" w:rsidP="00BB1052">
      <w:r>
        <w:t xml:space="preserve">The estimated total annual benefit of this option calculated based on 20 dealers is </w:t>
      </w:r>
      <w:r w:rsidRPr="00480D7A">
        <w:t>$6.73 million,</w:t>
      </w:r>
      <w:r>
        <w:t xml:space="preserve"> as set out in the below table.</w:t>
      </w:r>
    </w:p>
    <w:tbl>
      <w:tblPr>
        <w:tblStyle w:val="LightGrid-Accent21"/>
        <w:tblW w:w="9356" w:type="dxa"/>
        <w:tblInd w:w="108" w:type="dxa"/>
        <w:tblLayout w:type="fixed"/>
        <w:tblLook w:val="04A0" w:firstRow="1" w:lastRow="0" w:firstColumn="1" w:lastColumn="0" w:noHBand="0" w:noVBand="1"/>
        <w:tblCaption w:val="Regulatory burden and cost offset estimate table"/>
        <w:tblDescription w:val="Template for the Regulatory burden and cost offset estimate table"/>
      </w:tblPr>
      <w:tblGrid>
        <w:gridCol w:w="1871"/>
        <w:gridCol w:w="1871"/>
        <w:gridCol w:w="1871"/>
        <w:gridCol w:w="1871"/>
        <w:gridCol w:w="1872"/>
      </w:tblGrid>
      <w:tr w:rsidR="00DD009C" w:rsidRPr="00480D7A" w14:paraId="66EC8AC2" w14:textId="77777777" w:rsidTr="00B20BE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356" w:type="dxa"/>
            <w:gridSpan w:val="5"/>
            <w:noWrap/>
          </w:tcPr>
          <w:p w14:paraId="2D0D0103" w14:textId="77777777" w:rsidR="00DD009C" w:rsidRPr="00480D7A" w:rsidRDefault="00DD009C" w:rsidP="00480D7A">
            <w:pPr>
              <w:rPr>
                <w:rFonts w:ascii="Arial" w:hAnsi="Arial" w:cs="Arial"/>
              </w:rPr>
            </w:pPr>
            <w:r w:rsidRPr="00480D7A">
              <w:rPr>
                <w:rFonts w:ascii="Arial" w:hAnsi="Arial" w:cs="Arial"/>
              </w:rPr>
              <w:t>Average annual regulatory costs (from business as usual)</w:t>
            </w:r>
          </w:p>
        </w:tc>
      </w:tr>
      <w:tr w:rsidR="00DD009C" w:rsidRPr="00480D7A" w14:paraId="71EEC03B" w14:textId="77777777" w:rsidTr="00B20BEB">
        <w:trPr>
          <w:trHeight w:val="300"/>
        </w:trPr>
        <w:tc>
          <w:tcPr>
            <w:cnfStyle w:val="001000000000" w:firstRow="0" w:lastRow="0" w:firstColumn="1" w:lastColumn="0" w:oddVBand="0" w:evenVBand="0" w:oddHBand="0" w:evenHBand="0" w:firstRowFirstColumn="0" w:firstRowLastColumn="0" w:lastRowFirstColumn="0" w:lastRowLastColumn="0"/>
            <w:tcW w:w="1871" w:type="dxa"/>
            <w:noWrap/>
          </w:tcPr>
          <w:p w14:paraId="1B9416EF" w14:textId="77777777" w:rsidR="00DD009C" w:rsidRPr="00480D7A" w:rsidRDefault="00DD009C" w:rsidP="00480D7A">
            <w:pPr>
              <w:rPr>
                <w:rFonts w:ascii="Arial" w:hAnsi="Arial" w:cs="Arial"/>
              </w:rPr>
            </w:pPr>
            <w:r w:rsidRPr="00480D7A">
              <w:rPr>
                <w:rFonts w:ascii="Arial" w:hAnsi="Arial" w:cs="Arial"/>
              </w:rPr>
              <w:t>Change in costs ($ million)</w:t>
            </w:r>
          </w:p>
        </w:tc>
        <w:tc>
          <w:tcPr>
            <w:tcW w:w="1871" w:type="dxa"/>
            <w:noWrap/>
          </w:tcPr>
          <w:p w14:paraId="1B409C3A" w14:textId="77777777" w:rsidR="00DD009C" w:rsidRPr="00480D7A" w:rsidRDefault="00DD009C" w:rsidP="00480D7A">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80D7A">
              <w:rPr>
                <w:rFonts w:ascii="Arial" w:hAnsi="Arial" w:cs="Arial"/>
                <w:bCs/>
              </w:rPr>
              <w:t>Business</w:t>
            </w:r>
          </w:p>
        </w:tc>
        <w:tc>
          <w:tcPr>
            <w:tcW w:w="1871" w:type="dxa"/>
            <w:noWrap/>
          </w:tcPr>
          <w:p w14:paraId="18B628E7" w14:textId="77777777" w:rsidR="00DD009C" w:rsidRPr="00480D7A" w:rsidRDefault="00DD009C" w:rsidP="00480D7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80D7A">
              <w:rPr>
                <w:rFonts w:ascii="Arial" w:hAnsi="Arial" w:cs="Arial"/>
              </w:rPr>
              <w:t>Community organisations</w:t>
            </w:r>
          </w:p>
        </w:tc>
        <w:tc>
          <w:tcPr>
            <w:tcW w:w="1871" w:type="dxa"/>
            <w:noWrap/>
          </w:tcPr>
          <w:p w14:paraId="1F4BD281" w14:textId="77777777" w:rsidR="00DD009C" w:rsidRPr="00480D7A" w:rsidRDefault="00DD009C" w:rsidP="00480D7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80D7A">
              <w:rPr>
                <w:rFonts w:ascii="Arial" w:hAnsi="Arial" w:cs="Arial"/>
              </w:rPr>
              <w:t>Individuals</w:t>
            </w:r>
          </w:p>
        </w:tc>
        <w:tc>
          <w:tcPr>
            <w:tcW w:w="1872" w:type="dxa"/>
            <w:noWrap/>
          </w:tcPr>
          <w:p w14:paraId="3AD75543" w14:textId="77777777" w:rsidR="00DD009C" w:rsidRPr="00480D7A" w:rsidRDefault="00DD009C" w:rsidP="00480D7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80D7A">
              <w:rPr>
                <w:rFonts w:ascii="Arial" w:hAnsi="Arial" w:cs="Arial"/>
              </w:rPr>
              <w:t>Total change in costs</w:t>
            </w:r>
          </w:p>
        </w:tc>
      </w:tr>
      <w:tr w:rsidR="00DD009C" w:rsidRPr="00480D7A" w14:paraId="2D326FBF" w14:textId="77777777" w:rsidTr="00B20BE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tcPr>
          <w:p w14:paraId="6F518FEA" w14:textId="77777777" w:rsidR="00DD009C" w:rsidRPr="00480D7A" w:rsidRDefault="00DD009C" w:rsidP="00480D7A">
            <w:pPr>
              <w:rPr>
                <w:rFonts w:ascii="Arial" w:hAnsi="Arial" w:cs="Arial"/>
              </w:rPr>
            </w:pPr>
            <w:r w:rsidRPr="00480D7A">
              <w:rPr>
                <w:rFonts w:ascii="Arial" w:hAnsi="Arial" w:cs="Arial"/>
              </w:rPr>
              <w:t>Total, by sector</w:t>
            </w:r>
          </w:p>
        </w:tc>
        <w:tc>
          <w:tcPr>
            <w:tcW w:w="1871" w:type="dxa"/>
            <w:noWrap/>
          </w:tcPr>
          <w:p w14:paraId="270B0736" w14:textId="77777777" w:rsidR="00DD009C" w:rsidRPr="00480D7A" w:rsidRDefault="00DD009C" w:rsidP="00480D7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480D7A">
              <w:rPr>
                <w:rFonts w:ascii="Arial" w:hAnsi="Arial" w:cs="Arial"/>
              </w:rPr>
              <w:t>($6,730,000)</w:t>
            </w:r>
          </w:p>
        </w:tc>
        <w:tc>
          <w:tcPr>
            <w:tcW w:w="1871" w:type="dxa"/>
            <w:noWrap/>
          </w:tcPr>
          <w:p w14:paraId="6D205830" w14:textId="77777777" w:rsidR="00DD009C" w:rsidRPr="00480D7A" w:rsidRDefault="00DD009C" w:rsidP="00480D7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480D7A">
              <w:rPr>
                <w:rFonts w:ascii="Arial" w:hAnsi="Arial" w:cs="Arial"/>
              </w:rPr>
              <w:t>$ -</w:t>
            </w:r>
          </w:p>
        </w:tc>
        <w:tc>
          <w:tcPr>
            <w:tcW w:w="1871" w:type="dxa"/>
            <w:noWrap/>
          </w:tcPr>
          <w:p w14:paraId="0CE424C6" w14:textId="77777777" w:rsidR="00DD009C" w:rsidRPr="00480D7A" w:rsidRDefault="00DD009C" w:rsidP="00480D7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480D7A">
              <w:rPr>
                <w:rFonts w:ascii="Arial" w:hAnsi="Arial" w:cs="Arial"/>
              </w:rPr>
              <w:t>$ -</w:t>
            </w:r>
          </w:p>
        </w:tc>
        <w:tc>
          <w:tcPr>
            <w:tcW w:w="1872" w:type="dxa"/>
            <w:noWrap/>
          </w:tcPr>
          <w:p w14:paraId="276372A8" w14:textId="77777777" w:rsidR="00DD009C" w:rsidRPr="00480D7A" w:rsidRDefault="00DD009C" w:rsidP="00801849">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480D7A">
              <w:rPr>
                <w:rFonts w:ascii="Arial" w:hAnsi="Arial" w:cs="Arial"/>
              </w:rPr>
              <w:t>($6</w:t>
            </w:r>
            <w:r>
              <w:rPr>
                <w:rFonts w:ascii="Arial" w:hAnsi="Arial" w:cs="Arial"/>
              </w:rPr>
              <w:t>.</w:t>
            </w:r>
            <w:r w:rsidRPr="00480D7A">
              <w:rPr>
                <w:rFonts w:ascii="Arial" w:hAnsi="Arial" w:cs="Arial"/>
              </w:rPr>
              <w:t>73)</w:t>
            </w:r>
          </w:p>
        </w:tc>
      </w:tr>
      <w:tr w:rsidR="00DD009C" w:rsidRPr="00480D7A" w14:paraId="2B049A9B" w14:textId="77777777" w:rsidTr="00B20BEB">
        <w:trPr>
          <w:trHeight w:val="300"/>
        </w:trPr>
        <w:tc>
          <w:tcPr>
            <w:cnfStyle w:val="001000000000" w:firstRow="0" w:lastRow="0" w:firstColumn="1" w:lastColumn="0" w:oddVBand="0" w:evenVBand="0" w:oddHBand="0" w:evenHBand="0" w:firstRowFirstColumn="0" w:firstRowLastColumn="0" w:lastRowFirstColumn="0" w:lastRowLastColumn="0"/>
            <w:tcW w:w="9356" w:type="dxa"/>
            <w:gridSpan w:val="5"/>
            <w:noWrap/>
          </w:tcPr>
          <w:p w14:paraId="02F5CEA1" w14:textId="77777777" w:rsidR="00DD009C" w:rsidRPr="00480D7A" w:rsidRDefault="00DD009C" w:rsidP="00480D7A">
            <w:pPr>
              <w:rPr>
                <w:rFonts w:ascii="Arial" w:hAnsi="Arial" w:cs="Arial"/>
              </w:rPr>
            </w:pPr>
          </w:p>
        </w:tc>
      </w:tr>
      <w:tr w:rsidR="00DD009C" w:rsidRPr="00480D7A" w14:paraId="2DF7B7FC" w14:textId="77777777" w:rsidTr="00B20BE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tcPr>
          <w:p w14:paraId="6AABF4EA" w14:textId="77777777" w:rsidR="00DD009C" w:rsidRPr="00480D7A" w:rsidRDefault="00DD009C" w:rsidP="00480D7A">
            <w:pPr>
              <w:rPr>
                <w:rFonts w:ascii="Arial" w:hAnsi="Arial" w:cs="Arial"/>
              </w:rPr>
            </w:pPr>
            <w:r w:rsidRPr="00480D7A">
              <w:rPr>
                <w:rFonts w:ascii="Arial" w:hAnsi="Arial" w:cs="Arial"/>
              </w:rPr>
              <w:t>Cost offset ($ million)</w:t>
            </w:r>
          </w:p>
        </w:tc>
        <w:tc>
          <w:tcPr>
            <w:tcW w:w="1871" w:type="dxa"/>
            <w:noWrap/>
          </w:tcPr>
          <w:p w14:paraId="61DFA639" w14:textId="77777777" w:rsidR="00DD009C" w:rsidRPr="00480D7A" w:rsidRDefault="00DD009C" w:rsidP="00480D7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480D7A">
              <w:rPr>
                <w:rFonts w:ascii="Arial" w:hAnsi="Arial" w:cs="Arial"/>
              </w:rPr>
              <w:t>Business</w:t>
            </w:r>
          </w:p>
        </w:tc>
        <w:tc>
          <w:tcPr>
            <w:tcW w:w="1871" w:type="dxa"/>
            <w:noWrap/>
          </w:tcPr>
          <w:p w14:paraId="5BF8C427" w14:textId="77777777" w:rsidR="00DD009C" w:rsidRPr="00480D7A" w:rsidRDefault="00DD009C" w:rsidP="00480D7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480D7A">
              <w:rPr>
                <w:rFonts w:ascii="Arial" w:hAnsi="Arial" w:cs="Arial"/>
              </w:rPr>
              <w:t>Community organisations</w:t>
            </w:r>
          </w:p>
        </w:tc>
        <w:tc>
          <w:tcPr>
            <w:tcW w:w="1871" w:type="dxa"/>
            <w:noWrap/>
          </w:tcPr>
          <w:p w14:paraId="7189F823" w14:textId="77777777" w:rsidR="00DD009C" w:rsidRPr="00480D7A" w:rsidRDefault="00DD009C" w:rsidP="00480D7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480D7A">
              <w:rPr>
                <w:rFonts w:ascii="Arial" w:hAnsi="Arial" w:cs="Arial"/>
              </w:rPr>
              <w:t>Individuals</w:t>
            </w:r>
          </w:p>
        </w:tc>
        <w:tc>
          <w:tcPr>
            <w:tcW w:w="1872" w:type="dxa"/>
            <w:noWrap/>
          </w:tcPr>
          <w:p w14:paraId="55014D1A" w14:textId="77777777" w:rsidR="00DD009C" w:rsidRPr="00480D7A" w:rsidRDefault="00DD009C" w:rsidP="00480D7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480D7A">
              <w:rPr>
                <w:rFonts w:ascii="Arial" w:hAnsi="Arial" w:cs="Arial"/>
              </w:rPr>
              <w:t xml:space="preserve">Total, by source </w:t>
            </w:r>
          </w:p>
        </w:tc>
      </w:tr>
      <w:tr w:rsidR="00DD009C" w:rsidRPr="00480D7A" w14:paraId="6FCB730A" w14:textId="77777777" w:rsidTr="00B20BEB">
        <w:trPr>
          <w:trHeight w:val="300"/>
        </w:trPr>
        <w:tc>
          <w:tcPr>
            <w:cnfStyle w:val="001000000000" w:firstRow="0" w:lastRow="0" w:firstColumn="1" w:lastColumn="0" w:oddVBand="0" w:evenVBand="0" w:oddHBand="0" w:evenHBand="0" w:firstRowFirstColumn="0" w:firstRowLastColumn="0" w:lastRowFirstColumn="0" w:lastRowLastColumn="0"/>
            <w:tcW w:w="1871" w:type="dxa"/>
            <w:noWrap/>
            <w:vAlign w:val="center"/>
          </w:tcPr>
          <w:p w14:paraId="135A1AB6" w14:textId="77777777" w:rsidR="00DD009C" w:rsidRPr="00480D7A" w:rsidRDefault="00DD009C" w:rsidP="00480D7A">
            <w:pPr>
              <w:rPr>
                <w:rFonts w:ascii="Arial" w:hAnsi="Arial" w:cs="Arial"/>
              </w:rPr>
            </w:pPr>
            <w:r w:rsidRPr="00480D7A">
              <w:rPr>
                <w:rFonts w:ascii="Arial" w:hAnsi="Arial" w:cs="Arial"/>
              </w:rPr>
              <w:t xml:space="preserve">Agency </w:t>
            </w:r>
          </w:p>
        </w:tc>
        <w:tc>
          <w:tcPr>
            <w:tcW w:w="1871" w:type="dxa"/>
            <w:noWrap/>
            <w:vAlign w:val="center"/>
          </w:tcPr>
          <w:p w14:paraId="02BF7BA2" w14:textId="77777777" w:rsidR="00DD009C" w:rsidRPr="00480D7A" w:rsidRDefault="00DD009C" w:rsidP="00480D7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80D7A">
              <w:rPr>
                <w:rFonts w:ascii="Arial" w:hAnsi="Arial" w:cs="Arial"/>
              </w:rPr>
              <w:t>$</w:t>
            </w:r>
          </w:p>
        </w:tc>
        <w:tc>
          <w:tcPr>
            <w:tcW w:w="1871" w:type="dxa"/>
            <w:noWrap/>
            <w:vAlign w:val="center"/>
          </w:tcPr>
          <w:p w14:paraId="06F69C38" w14:textId="77777777" w:rsidR="00DD009C" w:rsidRPr="00480D7A" w:rsidRDefault="00DD009C" w:rsidP="00480D7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80D7A">
              <w:rPr>
                <w:rFonts w:ascii="Arial" w:hAnsi="Arial" w:cs="Arial"/>
              </w:rPr>
              <w:t>$</w:t>
            </w:r>
          </w:p>
        </w:tc>
        <w:tc>
          <w:tcPr>
            <w:tcW w:w="1871" w:type="dxa"/>
            <w:noWrap/>
            <w:vAlign w:val="center"/>
          </w:tcPr>
          <w:p w14:paraId="3DD3C3D3" w14:textId="77777777" w:rsidR="00DD009C" w:rsidRPr="00480D7A" w:rsidRDefault="00DD009C" w:rsidP="00480D7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80D7A">
              <w:rPr>
                <w:rFonts w:ascii="Arial" w:hAnsi="Arial" w:cs="Arial"/>
              </w:rPr>
              <w:t>$</w:t>
            </w:r>
          </w:p>
        </w:tc>
        <w:tc>
          <w:tcPr>
            <w:tcW w:w="1872" w:type="dxa"/>
            <w:noWrap/>
            <w:vAlign w:val="center"/>
          </w:tcPr>
          <w:p w14:paraId="000C37F5" w14:textId="77777777" w:rsidR="00DD009C" w:rsidRPr="00480D7A" w:rsidRDefault="00DD009C" w:rsidP="00480D7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80D7A">
              <w:rPr>
                <w:rFonts w:ascii="Arial" w:hAnsi="Arial" w:cs="Arial"/>
              </w:rPr>
              <w:t>$</w:t>
            </w:r>
          </w:p>
        </w:tc>
      </w:tr>
      <w:tr w:rsidR="00DD009C" w:rsidRPr="00480D7A" w14:paraId="2BD20C1D" w14:textId="77777777" w:rsidTr="00B20BE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gridSpan w:val="5"/>
            <w:noWrap/>
          </w:tcPr>
          <w:p w14:paraId="6B0939F2" w14:textId="77777777" w:rsidR="00DD009C" w:rsidRPr="00480D7A" w:rsidRDefault="00DD009C" w:rsidP="00480D7A">
            <w:pPr>
              <w:rPr>
                <w:rFonts w:ascii="Arial" w:hAnsi="Arial" w:cs="Arial"/>
              </w:rPr>
            </w:pPr>
            <w:r w:rsidRPr="00480D7A">
              <w:rPr>
                <w:rFonts w:ascii="Arial" w:hAnsi="Arial" w:cs="Arial"/>
              </w:rPr>
              <w:t xml:space="preserve">Are all new costs offset? </w:t>
            </w:r>
          </w:p>
          <w:p w14:paraId="5C00F55E" w14:textId="77777777" w:rsidR="00DD009C" w:rsidRPr="00480D7A" w:rsidRDefault="00DD009C" w:rsidP="00480D7A">
            <w:pPr>
              <w:rPr>
                <w:rFonts w:ascii="Arial" w:hAnsi="Arial" w:cs="Arial"/>
              </w:rPr>
            </w:pPr>
            <w:r w:rsidRPr="00480D7A">
              <w:rPr>
                <w:rFonts w:ascii="Arial" w:hAnsi="Arial" w:cs="Arial"/>
              </w:rPr>
              <w:sym w:font="Wingdings 2" w:char="F02A"/>
            </w:r>
            <w:r w:rsidRPr="00480D7A">
              <w:rPr>
                <w:rFonts w:ascii="Arial" w:hAnsi="Arial" w:cs="Arial"/>
              </w:rPr>
              <w:t xml:space="preserve"> Yes, costs are offset  </w:t>
            </w:r>
            <w:r w:rsidRPr="00480D7A">
              <w:rPr>
                <w:rFonts w:ascii="Arial" w:hAnsi="Arial" w:cs="Arial"/>
              </w:rPr>
              <w:sym w:font="Wingdings 2" w:char="F02A"/>
            </w:r>
            <w:r w:rsidRPr="00480D7A">
              <w:rPr>
                <w:rFonts w:ascii="Arial" w:hAnsi="Arial" w:cs="Arial"/>
              </w:rPr>
              <w:t xml:space="preserve"> No, costs are not offset  </w:t>
            </w:r>
            <w:r w:rsidRPr="00480D7A">
              <w:rPr>
                <w:rFonts w:ascii="Arial" w:hAnsi="Arial" w:cs="Arial"/>
                <w:bdr w:val="single" w:sz="4" w:space="0" w:color="auto"/>
              </w:rPr>
              <w:t>x</w:t>
            </w:r>
            <w:r w:rsidRPr="00480D7A">
              <w:rPr>
                <w:rFonts w:ascii="Arial" w:hAnsi="Arial" w:cs="Arial"/>
              </w:rPr>
              <w:t xml:space="preserve"> Deregulatory—no offsets required</w:t>
            </w:r>
          </w:p>
        </w:tc>
      </w:tr>
      <w:tr w:rsidR="00DD009C" w:rsidRPr="00480D7A" w14:paraId="69EA48F0" w14:textId="77777777" w:rsidTr="00B20BEB">
        <w:tc>
          <w:tcPr>
            <w:cnfStyle w:val="001000000000" w:firstRow="0" w:lastRow="0" w:firstColumn="1" w:lastColumn="0" w:oddVBand="0" w:evenVBand="0" w:oddHBand="0" w:evenHBand="0" w:firstRowFirstColumn="0" w:firstRowLastColumn="0" w:lastRowFirstColumn="0" w:lastRowLastColumn="0"/>
            <w:tcW w:w="9356" w:type="dxa"/>
            <w:gridSpan w:val="5"/>
            <w:tcBorders>
              <w:bottom w:val="single" w:sz="8" w:space="0" w:color="C0504D" w:themeColor="accent2"/>
            </w:tcBorders>
          </w:tcPr>
          <w:p w14:paraId="34277CC4" w14:textId="77777777" w:rsidR="00DD009C" w:rsidRPr="00480D7A" w:rsidRDefault="00DD009C" w:rsidP="00801849">
            <w:pPr>
              <w:rPr>
                <w:rFonts w:ascii="Arial" w:hAnsi="Arial" w:cs="Arial"/>
              </w:rPr>
            </w:pPr>
            <w:r w:rsidRPr="00480D7A">
              <w:rPr>
                <w:rFonts w:ascii="Arial" w:hAnsi="Arial" w:cs="Arial"/>
              </w:rPr>
              <w:t>Total (Change in costs – Cost offset) ($ million) = ($6</w:t>
            </w:r>
            <w:r>
              <w:rPr>
                <w:rFonts w:ascii="Arial" w:hAnsi="Arial" w:cs="Arial"/>
              </w:rPr>
              <w:t>.</w:t>
            </w:r>
            <w:r w:rsidRPr="00480D7A">
              <w:rPr>
                <w:rFonts w:ascii="Arial" w:hAnsi="Arial" w:cs="Arial"/>
              </w:rPr>
              <w:t>73)</w:t>
            </w:r>
          </w:p>
        </w:tc>
      </w:tr>
    </w:tbl>
    <w:p w14:paraId="5BFD01F1" w14:textId="77777777" w:rsidR="00DD009C" w:rsidRDefault="00DD009C" w:rsidP="00BB1052"/>
    <w:p w14:paraId="144063D4" w14:textId="77777777" w:rsidR="00DD009C" w:rsidRPr="009C2766" w:rsidRDefault="00DD009C" w:rsidP="003B50D9">
      <w:pPr>
        <w:pStyle w:val="Heading3"/>
      </w:pPr>
      <w:r>
        <w:t>Option 3: Wider scope of regulation</w:t>
      </w:r>
    </w:p>
    <w:p w14:paraId="0542775D" w14:textId="77777777" w:rsidR="00DD009C" w:rsidRDefault="00DD009C" w:rsidP="009C2766">
      <w:r>
        <w:t>This option would impose a central clearing mandate on a wider class of financial entities.  It is estimated that 20 additional entities would be captured under this option.  This would be likely to include entities such as smaller banks and fund managers that are currently not centrally clearing their OTC derivatives transactions.  These entities would therefore have to incur the costs of establishing the infrastructure and arrangements necessary for central clearing.</w:t>
      </w:r>
    </w:p>
    <w:p w14:paraId="61E9D8DD" w14:textId="77777777" w:rsidR="00DD009C" w:rsidRDefault="00DD009C" w:rsidP="009C2766">
      <w:r>
        <w:t>The benefits of this option are in general similar to those of the light touch option.  The financial stability benefits are considered to be similar because the additional entities captured are not systemically significant market participants.  This option would also be highly likely to ensure that the relief currently granted by the CFTC would be extended.</w:t>
      </w:r>
    </w:p>
    <w:p w14:paraId="63318B52" w14:textId="77777777" w:rsidR="00DD009C" w:rsidRDefault="00DD009C" w:rsidP="009C2766">
      <w:r>
        <w:t xml:space="preserve">For purposes of quantifying the estimated benefit of this option the underlying approach is the same as for the previous option, i.e. it is based on estimating the cost savings resulting from the CFTC substituted compliance relief granted in December 2013.  As with the previous option no further savings have been estimated due to the impossibility of forecasting what further relief may be provided.  There are however significant costs associated with this option, as the additional 20 entities captured would have to incur the expenses of establishing central clearing infrastructure and arrangements. </w:t>
      </w:r>
    </w:p>
    <w:p w14:paraId="7EBABE59" w14:textId="77777777" w:rsidR="00DD009C" w:rsidRPr="00D519FB" w:rsidRDefault="00DD009C" w:rsidP="00735608">
      <w:r w:rsidRPr="00D519FB">
        <w:t>These costs relate mainly to legal, IT and training expenses required to establish such arrangements and instruct staff in how to operate them.  As the 20 major dealers have already established clearing arrangements and are clearing the majority of their new transactions, no further costs are created in this respect for them. The additional costs therefore affect the 20 non-dealers captured under this option on top of the 20 dealers.</w:t>
      </w:r>
    </w:p>
    <w:p w14:paraId="5D255C4F" w14:textId="77777777" w:rsidR="00DD009C" w:rsidRPr="00D519FB" w:rsidRDefault="00DD009C" w:rsidP="00735608">
      <w:pPr>
        <w:tabs>
          <w:tab w:val="num" w:pos="1322"/>
        </w:tabs>
      </w:pPr>
      <w:r w:rsidRPr="00D519FB">
        <w:t>These set-up costs include internal and external costs, the latter arising mainly in relation to legal advice, tax advice and IT systems changes.  Internal costs relate to these matters and to putting in place changes in operational processes.  These are all personnel costs.  It is expected that the new central clearing arrangements will replace the current uncleared derivatives operations of the 20 non-dealers and can be handled by existing staff working on the latter, i.e. no additional ongoing costs will arise under this option.</w:t>
      </w:r>
    </w:p>
    <w:p w14:paraId="7D5325D3" w14:textId="77777777" w:rsidR="00DD009C" w:rsidRPr="00D519FB" w:rsidRDefault="00DD009C" w:rsidP="000A6008">
      <w:r w:rsidRPr="00D519FB">
        <w:t>The calculation per non-dealer is set out in the table below</w:t>
      </w:r>
      <w:r w:rsidRPr="00D519FB">
        <w:rPr>
          <w:rStyle w:val="FootnoteReference"/>
        </w:rPr>
        <w:footnoteReference w:id="22"/>
      </w:r>
      <w:r w:rsidRPr="00D519FB">
        <w:t>:</w:t>
      </w:r>
    </w:p>
    <w:tbl>
      <w:tblPr>
        <w:tblStyle w:val="TableGrid"/>
        <w:tblW w:w="0" w:type="auto"/>
        <w:tblInd w:w="817" w:type="dxa"/>
        <w:tblLook w:val="04A0" w:firstRow="1" w:lastRow="0" w:firstColumn="1" w:lastColumn="0" w:noHBand="0" w:noVBand="1"/>
      </w:tblPr>
      <w:tblGrid>
        <w:gridCol w:w="2499"/>
        <w:gridCol w:w="2655"/>
        <w:gridCol w:w="2551"/>
      </w:tblGrid>
      <w:tr w:rsidR="00DD009C" w:rsidRPr="00D519FB" w14:paraId="5DD55310" w14:textId="77777777" w:rsidTr="00B20BEB">
        <w:tc>
          <w:tcPr>
            <w:tcW w:w="2729" w:type="dxa"/>
          </w:tcPr>
          <w:p w14:paraId="79DF1BC4" w14:textId="77777777" w:rsidR="00DD009C" w:rsidRPr="00D519FB" w:rsidRDefault="00DD009C" w:rsidP="000A6008">
            <w:pPr>
              <w:rPr>
                <w:i/>
              </w:rPr>
            </w:pPr>
            <w:r w:rsidRPr="00D519FB">
              <w:rPr>
                <w:i/>
              </w:rPr>
              <w:t>Item</w:t>
            </w:r>
          </w:p>
        </w:tc>
        <w:tc>
          <w:tcPr>
            <w:tcW w:w="2848" w:type="dxa"/>
          </w:tcPr>
          <w:p w14:paraId="7F3921AA" w14:textId="77777777" w:rsidR="00DD009C" w:rsidRPr="00D519FB" w:rsidRDefault="00DD009C" w:rsidP="000A6008">
            <w:pPr>
              <w:rPr>
                <w:i/>
              </w:rPr>
            </w:pPr>
            <w:r w:rsidRPr="00D519FB">
              <w:rPr>
                <w:i/>
              </w:rPr>
              <w:t>One-off costs</w:t>
            </w:r>
          </w:p>
        </w:tc>
        <w:tc>
          <w:tcPr>
            <w:tcW w:w="2848" w:type="dxa"/>
          </w:tcPr>
          <w:p w14:paraId="4DCD7383" w14:textId="77777777" w:rsidR="00DD009C" w:rsidRPr="00D519FB" w:rsidRDefault="00DD009C" w:rsidP="000A6008">
            <w:pPr>
              <w:rPr>
                <w:i/>
              </w:rPr>
            </w:pPr>
            <w:r w:rsidRPr="00D519FB">
              <w:rPr>
                <w:i/>
              </w:rPr>
              <w:t>Annual costs</w:t>
            </w:r>
          </w:p>
        </w:tc>
      </w:tr>
      <w:tr w:rsidR="00DD009C" w:rsidRPr="00D519FB" w14:paraId="1D64906C" w14:textId="77777777" w:rsidTr="00B20BEB">
        <w:tc>
          <w:tcPr>
            <w:tcW w:w="2729" w:type="dxa"/>
          </w:tcPr>
          <w:p w14:paraId="5BE06AEC" w14:textId="77777777" w:rsidR="00DD009C" w:rsidRPr="00D519FB" w:rsidRDefault="00DD009C" w:rsidP="000A6008">
            <w:pPr>
              <w:rPr>
                <w:i/>
              </w:rPr>
            </w:pPr>
            <w:r w:rsidRPr="00D519FB">
              <w:rPr>
                <w:i/>
              </w:rPr>
              <w:t>External costs</w:t>
            </w:r>
          </w:p>
        </w:tc>
        <w:tc>
          <w:tcPr>
            <w:tcW w:w="2848" w:type="dxa"/>
          </w:tcPr>
          <w:p w14:paraId="4B72BEF8" w14:textId="77777777" w:rsidR="00DD009C" w:rsidRPr="00D519FB" w:rsidRDefault="00DD009C" w:rsidP="000A6008"/>
        </w:tc>
        <w:tc>
          <w:tcPr>
            <w:tcW w:w="2848" w:type="dxa"/>
          </w:tcPr>
          <w:p w14:paraId="0C1504C4" w14:textId="77777777" w:rsidR="00DD009C" w:rsidRPr="00D519FB" w:rsidRDefault="00DD009C" w:rsidP="000A6008"/>
        </w:tc>
      </w:tr>
      <w:tr w:rsidR="00DD009C" w:rsidRPr="00D519FB" w14:paraId="625B91B6" w14:textId="77777777" w:rsidTr="00B20BEB">
        <w:tc>
          <w:tcPr>
            <w:tcW w:w="2729" w:type="dxa"/>
          </w:tcPr>
          <w:p w14:paraId="36054212" w14:textId="77777777" w:rsidR="00DD009C" w:rsidRPr="00D519FB" w:rsidRDefault="00DD009C" w:rsidP="00112881">
            <w:r w:rsidRPr="00D519FB">
              <w:t>Set-up costs:</w:t>
            </w:r>
          </w:p>
          <w:p w14:paraId="02C48748" w14:textId="77777777" w:rsidR="00DD009C" w:rsidRPr="00D519FB" w:rsidRDefault="00DD009C" w:rsidP="00DD009C">
            <w:pPr>
              <w:pStyle w:val="Bullet"/>
              <w:numPr>
                <w:ilvl w:val="0"/>
                <w:numId w:val="3"/>
              </w:numPr>
              <w:spacing w:before="0" w:after="0"/>
              <w:ind w:left="471" w:hanging="471"/>
            </w:pPr>
            <w:r w:rsidRPr="00D519FB">
              <w:t>Legal</w:t>
            </w:r>
          </w:p>
          <w:p w14:paraId="4886875C" w14:textId="77777777" w:rsidR="00DD009C" w:rsidRPr="00D519FB" w:rsidRDefault="00DD009C" w:rsidP="00DD009C">
            <w:pPr>
              <w:pStyle w:val="Bullet"/>
              <w:numPr>
                <w:ilvl w:val="0"/>
                <w:numId w:val="3"/>
              </w:numPr>
              <w:spacing w:before="0" w:after="240"/>
              <w:ind w:left="471" w:hanging="471"/>
            </w:pPr>
            <w:r w:rsidRPr="00D519FB">
              <w:t>IT</w:t>
            </w:r>
          </w:p>
        </w:tc>
        <w:tc>
          <w:tcPr>
            <w:tcW w:w="2848" w:type="dxa"/>
          </w:tcPr>
          <w:p w14:paraId="6C03A2B9" w14:textId="77777777" w:rsidR="00DD009C" w:rsidRPr="00D519FB" w:rsidRDefault="00DD009C" w:rsidP="000A6008"/>
          <w:p w14:paraId="62867CEE" w14:textId="77777777" w:rsidR="00DD009C" w:rsidRPr="00D519FB" w:rsidRDefault="00DD009C" w:rsidP="00DD009C">
            <w:pPr>
              <w:pStyle w:val="Bullet"/>
              <w:numPr>
                <w:ilvl w:val="0"/>
                <w:numId w:val="3"/>
              </w:numPr>
              <w:spacing w:before="0" w:after="0"/>
              <w:ind w:left="471" w:hanging="471"/>
            </w:pPr>
            <w:r w:rsidRPr="00D519FB">
              <w:t>$200,000</w:t>
            </w:r>
          </w:p>
          <w:p w14:paraId="5C739BB0" w14:textId="77777777" w:rsidR="00DD009C" w:rsidRPr="00D519FB" w:rsidRDefault="00DD009C" w:rsidP="00DD009C">
            <w:pPr>
              <w:pStyle w:val="Bullet"/>
              <w:numPr>
                <w:ilvl w:val="0"/>
                <w:numId w:val="3"/>
              </w:numPr>
              <w:spacing w:before="0" w:after="240"/>
              <w:ind w:left="471" w:hanging="471"/>
            </w:pPr>
            <w:r w:rsidRPr="00D519FB">
              <w:t>$500,000</w:t>
            </w:r>
          </w:p>
        </w:tc>
        <w:tc>
          <w:tcPr>
            <w:tcW w:w="2848" w:type="dxa"/>
          </w:tcPr>
          <w:p w14:paraId="5A2897FC" w14:textId="77777777" w:rsidR="00DD009C" w:rsidRPr="00D519FB" w:rsidRDefault="00DD009C" w:rsidP="000A6008"/>
        </w:tc>
      </w:tr>
      <w:tr w:rsidR="00DD009C" w:rsidRPr="00D519FB" w14:paraId="00B0A731" w14:textId="77777777" w:rsidTr="00B20BEB">
        <w:tc>
          <w:tcPr>
            <w:tcW w:w="2729" w:type="dxa"/>
          </w:tcPr>
          <w:p w14:paraId="6DF1D3EC" w14:textId="77777777" w:rsidR="00DD009C" w:rsidRPr="00D519FB" w:rsidRDefault="00DD009C" w:rsidP="000A6008">
            <w:pPr>
              <w:rPr>
                <w:i/>
              </w:rPr>
            </w:pPr>
            <w:r w:rsidRPr="00D519FB">
              <w:rPr>
                <w:i/>
              </w:rPr>
              <w:t>Internal costs</w:t>
            </w:r>
          </w:p>
        </w:tc>
        <w:tc>
          <w:tcPr>
            <w:tcW w:w="2848" w:type="dxa"/>
          </w:tcPr>
          <w:p w14:paraId="715BF8A5" w14:textId="77777777" w:rsidR="00DD009C" w:rsidRPr="00D519FB" w:rsidRDefault="00DD009C" w:rsidP="000A6008"/>
        </w:tc>
        <w:tc>
          <w:tcPr>
            <w:tcW w:w="2848" w:type="dxa"/>
          </w:tcPr>
          <w:p w14:paraId="705ED224" w14:textId="77777777" w:rsidR="00DD009C" w:rsidRPr="00D519FB" w:rsidRDefault="00DD009C" w:rsidP="000A6008"/>
        </w:tc>
      </w:tr>
      <w:tr w:rsidR="00DD009C" w:rsidRPr="00D519FB" w14:paraId="4D4410F1" w14:textId="77777777" w:rsidTr="00B20BEB">
        <w:tc>
          <w:tcPr>
            <w:tcW w:w="2729" w:type="dxa"/>
          </w:tcPr>
          <w:p w14:paraId="140ABCE0" w14:textId="77777777" w:rsidR="00DD009C" w:rsidRPr="00D519FB" w:rsidRDefault="00DD009C" w:rsidP="000A6008">
            <w:r w:rsidRPr="00D519FB">
              <w:t>Staff costs</w:t>
            </w:r>
          </w:p>
        </w:tc>
        <w:tc>
          <w:tcPr>
            <w:tcW w:w="2848" w:type="dxa"/>
          </w:tcPr>
          <w:p w14:paraId="7AFC8815" w14:textId="77777777" w:rsidR="00DD009C" w:rsidRPr="00D519FB" w:rsidRDefault="00DD009C" w:rsidP="000A6008">
            <w:r w:rsidRPr="00D519FB">
              <w:t>$435,000</w:t>
            </w:r>
          </w:p>
        </w:tc>
        <w:tc>
          <w:tcPr>
            <w:tcW w:w="2848" w:type="dxa"/>
          </w:tcPr>
          <w:p w14:paraId="44FD8780" w14:textId="77777777" w:rsidR="00DD009C" w:rsidRPr="00D519FB" w:rsidRDefault="00DD009C" w:rsidP="000A6008"/>
        </w:tc>
      </w:tr>
      <w:tr w:rsidR="00DD009C" w:rsidRPr="00D519FB" w14:paraId="02F52DEC" w14:textId="77777777" w:rsidTr="00B20BEB">
        <w:tc>
          <w:tcPr>
            <w:tcW w:w="2729" w:type="dxa"/>
          </w:tcPr>
          <w:p w14:paraId="474AC66A" w14:textId="77777777" w:rsidR="00DD009C" w:rsidRPr="00D519FB" w:rsidRDefault="00DD009C" w:rsidP="000A6008"/>
        </w:tc>
        <w:tc>
          <w:tcPr>
            <w:tcW w:w="2848" w:type="dxa"/>
          </w:tcPr>
          <w:p w14:paraId="1AAABAAF" w14:textId="77777777" w:rsidR="00DD009C" w:rsidRPr="00D519FB" w:rsidRDefault="00DD009C" w:rsidP="000A6008"/>
        </w:tc>
        <w:tc>
          <w:tcPr>
            <w:tcW w:w="2848" w:type="dxa"/>
          </w:tcPr>
          <w:p w14:paraId="22C88DD0" w14:textId="77777777" w:rsidR="00DD009C" w:rsidRPr="00D519FB" w:rsidRDefault="00DD009C" w:rsidP="000A6008"/>
        </w:tc>
      </w:tr>
      <w:tr w:rsidR="00DD009C" w:rsidRPr="000A6008" w14:paraId="304114E8" w14:textId="77777777" w:rsidTr="00B20BEB">
        <w:tc>
          <w:tcPr>
            <w:tcW w:w="2729" w:type="dxa"/>
          </w:tcPr>
          <w:p w14:paraId="12EF638B" w14:textId="77777777" w:rsidR="00DD009C" w:rsidRPr="00D519FB" w:rsidRDefault="00DD009C" w:rsidP="000A6008">
            <w:pPr>
              <w:rPr>
                <w:b/>
              </w:rPr>
            </w:pPr>
            <w:r w:rsidRPr="00D519FB">
              <w:rPr>
                <w:b/>
              </w:rPr>
              <w:t>Total costs per dealer</w:t>
            </w:r>
          </w:p>
        </w:tc>
        <w:tc>
          <w:tcPr>
            <w:tcW w:w="2848" w:type="dxa"/>
          </w:tcPr>
          <w:p w14:paraId="04CA96CE" w14:textId="77777777" w:rsidR="00DD009C" w:rsidRPr="00D519FB" w:rsidRDefault="00DD009C" w:rsidP="000A6008">
            <w:pPr>
              <w:rPr>
                <w:b/>
              </w:rPr>
            </w:pPr>
            <w:r w:rsidRPr="00D519FB">
              <w:rPr>
                <w:b/>
              </w:rPr>
              <w:t>$1,135,000</w:t>
            </w:r>
          </w:p>
        </w:tc>
        <w:tc>
          <w:tcPr>
            <w:tcW w:w="2848" w:type="dxa"/>
          </w:tcPr>
          <w:p w14:paraId="6B081601" w14:textId="77777777" w:rsidR="00DD009C" w:rsidRPr="000A6008" w:rsidRDefault="00DD009C" w:rsidP="000A6008">
            <w:pPr>
              <w:rPr>
                <w:b/>
              </w:rPr>
            </w:pPr>
            <w:r w:rsidRPr="00D519FB">
              <w:rPr>
                <w:b/>
              </w:rPr>
              <w:t>NA</w:t>
            </w:r>
          </w:p>
        </w:tc>
      </w:tr>
    </w:tbl>
    <w:p w14:paraId="4BCBDB60" w14:textId="77777777" w:rsidR="00DD009C" w:rsidRDefault="00DD009C" w:rsidP="009C2766"/>
    <w:p w14:paraId="66ABDC92" w14:textId="77777777" w:rsidR="00DD009C" w:rsidRDefault="00DD009C" w:rsidP="009C2766">
      <w:r>
        <w:t>The estimated annual benefit for this option is $4.46 million, as set out in the table below.  It is noted that for this option the costs are entirely borne by the 20 non-dealers, whereas the benefits mainly accrue to the 20 dealers (because the non-dealers are not active in overseas markets and therefore do not profit from substituted compliance relief).</w:t>
      </w:r>
    </w:p>
    <w:p w14:paraId="6A39C00D" w14:textId="77777777" w:rsidR="00C33628" w:rsidRDefault="00C33628" w:rsidP="009C2766"/>
    <w:tbl>
      <w:tblPr>
        <w:tblStyle w:val="LightGrid-Accent22"/>
        <w:tblW w:w="9356" w:type="dxa"/>
        <w:tblInd w:w="108" w:type="dxa"/>
        <w:tblLayout w:type="fixed"/>
        <w:tblLook w:val="04A0" w:firstRow="1" w:lastRow="0" w:firstColumn="1" w:lastColumn="0" w:noHBand="0" w:noVBand="1"/>
        <w:tblCaption w:val="Regulatory burden and cost offset estimate table"/>
        <w:tblDescription w:val="Template for the Regulatory burden and cost offset estimate table"/>
      </w:tblPr>
      <w:tblGrid>
        <w:gridCol w:w="1871"/>
        <w:gridCol w:w="1871"/>
        <w:gridCol w:w="1871"/>
        <w:gridCol w:w="1871"/>
        <w:gridCol w:w="1872"/>
      </w:tblGrid>
      <w:tr w:rsidR="00DD009C" w:rsidRPr="00482363" w14:paraId="7096ABCB" w14:textId="77777777" w:rsidTr="00B20BE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356" w:type="dxa"/>
            <w:gridSpan w:val="5"/>
            <w:noWrap/>
          </w:tcPr>
          <w:p w14:paraId="4489ABF5" w14:textId="77777777" w:rsidR="00DD009C" w:rsidRPr="00482363" w:rsidRDefault="00DD009C" w:rsidP="00482363">
            <w:pPr>
              <w:rPr>
                <w:rFonts w:ascii="Arial" w:hAnsi="Arial" w:cs="Arial"/>
              </w:rPr>
            </w:pPr>
            <w:r w:rsidRPr="00482363">
              <w:rPr>
                <w:rFonts w:ascii="Arial" w:hAnsi="Arial" w:cs="Arial"/>
              </w:rPr>
              <w:t>Average annual regulatory costs (from business as usual)</w:t>
            </w:r>
          </w:p>
        </w:tc>
      </w:tr>
      <w:tr w:rsidR="00DD009C" w:rsidRPr="00482363" w14:paraId="1E412C00" w14:textId="77777777" w:rsidTr="00B20BEB">
        <w:trPr>
          <w:trHeight w:val="300"/>
        </w:trPr>
        <w:tc>
          <w:tcPr>
            <w:cnfStyle w:val="001000000000" w:firstRow="0" w:lastRow="0" w:firstColumn="1" w:lastColumn="0" w:oddVBand="0" w:evenVBand="0" w:oddHBand="0" w:evenHBand="0" w:firstRowFirstColumn="0" w:firstRowLastColumn="0" w:lastRowFirstColumn="0" w:lastRowLastColumn="0"/>
            <w:tcW w:w="1871" w:type="dxa"/>
            <w:noWrap/>
          </w:tcPr>
          <w:p w14:paraId="5F498A1F" w14:textId="77777777" w:rsidR="00DD009C" w:rsidRPr="00482363" w:rsidRDefault="00DD009C" w:rsidP="00482363">
            <w:pPr>
              <w:rPr>
                <w:rFonts w:ascii="Arial" w:hAnsi="Arial" w:cs="Arial"/>
              </w:rPr>
            </w:pPr>
            <w:r w:rsidRPr="00482363">
              <w:rPr>
                <w:rFonts w:ascii="Arial" w:hAnsi="Arial" w:cs="Arial"/>
              </w:rPr>
              <w:t>Change in costs ($ million)</w:t>
            </w:r>
          </w:p>
        </w:tc>
        <w:tc>
          <w:tcPr>
            <w:tcW w:w="1871" w:type="dxa"/>
            <w:noWrap/>
          </w:tcPr>
          <w:p w14:paraId="2344BF60" w14:textId="77777777" w:rsidR="00DD009C" w:rsidRPr="00482363" w:rsidRDefault="00DD009C" w:rsidP="00482363">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82363">
              <w:rPr>
                <w:rFonts w:ascii="Arial" w:hAnsi="Arial" w:cs="Arial"/>
                <w:bCs/>
              </w:rPr>
              <w:t>Business</w:t>
            </w:r>
          </w:p>
        </w:tc>
        <w:tc>
          <w:tcPr>
            <w:tcW w:w="1871" w:type="dxa"/>
            <w:noWrap/>
          </w:tcPr>
          <w:p w14:paraId="1F6E7FDF" w14:textId="77777777" w:rsidR="00DD009C" w:rsidRPr="00482363" w:rsidRDefault="00DD009C" w:rsidP="0048236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82363">
              <w:rPr>
                <w:rFonts w:ascii="Arial" w:hAnsi="Arial" w:cs="Arial"/>
              </w:rPr>
              <w:t>Community organisations</w:t>
            </w:r>
          </w:p>
        </w:tc>
        <w:tc>
          <w:tcPr>
            <w:tcW w:w="1871" w:type="dxa"/>
            <w:noWrap/>
          </w:tcPr>
          <w:p w14:paraId="6D2C581D" w14:textId="77777777" w:rsidR="00DD009C" w:rsidRPr="00482363" w:rsidRDefault="00DD009C" w:rsidP="0048236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82363">
              <w:rPr>
                <w:rFonts w:ascii="Arial" w:hAnsi="Arial" w:cs="Arial"/>
              </w:rPr>
              <w:t>Individuals</w:t>
            </w:r>
          </w:p>
        </w:tc>
        <w:tc>
          <w:tcPr>
            <w:tcW w:w="1872" w:type="dxa"/>
            <w:noWrap/>
          </w:tcPr>
          <w:p w14:paraId="593D4306" w14:textId="77777777" w:rsidR="00DD009C" w:rsidRPr="00482363" w:rsidRDefault="00DD009C" w:rsidP="0048236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82363">
              <w:rPr>
                <w:rFonts w:ascii="Arial" w:hAnsi="Arial" w:cs="Arial"/>
              </w:rPr>
              <w:t>Total change in costs</w:t>
            </w:r>
          </w:p>
        </w:tc>
      </w:tr>
      <w:tr w:rsidR="00DD009C" w:rsidRPr="00482363" w14:paraId="132D82FC" w14:textId="77777777" w:rsidTr="00B20BE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tcPr>
          <w:p w14:paraId="4541C847" w14:textId="77777777" w:rsidR="00DD009C" w:rsidRPr="00482363" w:rsidRDefault="00DD009C" w:rsidP="00482363">
            <w:pPr>
              <w:rPr>
                <w:rFonts w:ascii="Arial" w:hAnsi="Arial" w:cs="Arial"/>
              </w:rPr>
            </w:pPr>
            <w:r w:rsidRPr="00482363">
              <w:rPr>
                <w:rFonts w:ascii="Arial" w:hAnsi="Arial" w:cs="Arial"/>
              </w:rPr>
              <w:t>Total, by sector</w:t>
            </w:r>
          </w:p>
        </w:tc>
        <w:tc>
          <w:tcPr>
            <w:tcW w:w="1871" w:type="dxa"/>
            <w:noWrap/>
          </w:tcPr>
          <w:p w14:paraId="07AD2230" w14:textId="77777777" w:rsidR="00DD009C" w:rsidRPr="00482363" w:rsidRDefault="00DD009C" w:rsidP="00482363">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482363">
              <w:rPr>
                <w:rFonts w:ascii="Arial" w:hAnsi="Arial" w:cs="Arial"/>
              </w:rPr>
              <w:t>($4,460,000)</w:t>
            </w:r>
          </w:p>
        </w:tc>
        <w:tc>
          <w:tcPr>
            <w:tcW w:w="1871" w:type="dxa"/>
            <w:noWrap/>
          </w:tcPr>
          <w:p w14:paraId="18054F7A" w14:textId="77777777" w:rsidR="00DD009C" w:rsidRPr="00482363" w:rsidRDefault="00DD009C" w:rsidP="00482363">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482363">
              <w:rPr>
                <w:rFonts w:ascii="Arial" w:hAnsi="Arial" w:cs="Arial"/>
              </w:rPr>
              <w:t xml:space="preserve">$ - </w:t>
            </w:r>
          </w:p>
        </w:tc>
        <w:tc>
          <w:tcPr>
            <w:tcW w:w="1871" w:type="dxa"/>
            <w:noWrap/>
          </w:tcPr>
          <w:p w14:paraId="1EC6AC1A" w14:textId="77777777" w:rsidR="00DD009C" w:rsidRPr="00482363" w:rsidRDefault="00DD009C" w:rsidP="00482363">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482363">
              <w:rPr>
                <w:rFonts w:ascii="Arial" w:hAnsi="Arial" w:cs="Arial"/>
              </w:rPr>
              <w:t xml:space="preserve">$ - </w:t>
            </w:r>
          </w:p>
        </w:tc>
        <w:tc>
          <w:tcPr>
            <w:tcW w:w="1872" w:type="dxa"/>
            <w:noWrap/>
          </w:tcPr>
          <w:p w14:paraId="46C51E70" w14:textId="77777777" w:rsidR="00DD009C" w:rsidRPr="00482363" w:rsidRDefault="00DD009C" w:rsidP="00801849">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482363">
              <w:rPr>
                <w:rFonts w:ascii="Arial" w:hAnsi="Arial" w:cs="Arial"/>
              </w:rPr>
              <w:t>($4</w:t>
            </w:r>
            <w:r>
              <w:rPr>
                <w:rFonts w:ascii="Arial" w:hAnsi="Arial" w:cs="Arial"/>
              </w:rPr>
              <w:t>.</w:t>
            </w:r>
            <w:r w:rsidRPr="00482363">
              <w:rPr>
                <w:rFonts w:ascii="Arial" w:hAnsi="Arial" w:cs="Arial"/>
              </w:rPr>
              <w:t>46)</w:t>
            </w:r>
          </w:p>
        </w:tc>
      </w:tr>
      <w:tr w:rsidR="00DD009C" w:rsidRPr="00482363" w14:paraId="21BECDF7" w14:textId="77777777" w:rsidTr="00B20BEB">
        <w:trPr>
          <w:trHeight w:val="300"/>
        </w:trPr>
        <w:tc>
          <w:tcPr>
            <w:cnfStyle w:val="001000000000" w:firstRow="0" w:lastRow="0" w:firstColumn="1" w:lastColumn="0" w:oddVBand="0" w:evenVBand="0" w:oddHBand="0" w:evenHBand="0" w:firstRowFirstColumn="0" w:firstRowLastColumn="0" w:lastRowFirstColumn="0" w:lastRowLastColumn="0"/>
            <w:tcW w:w="9356" w:type="dxa"/>
            <w:gridSpan w:val="5"/>
            <w:noWrap/>
          </w:tcPr>
          <w:p w14:paraId="5406BE49" w14:textId="77777777" w:rsidR="00DD009C" w:rsidRPr="00482363" w:rsidRDefault="00DD009C" w:rsidP="00482363">
            <w:pPr>
              <w:rPr>
                <w:rFonts w:ascii="Arial" w:hAnsi="Arial" w:cs="Arial"/>
              </w:rPr>
            </w:pPr>
          </w:p>
        </w:tc>
      </w:tr>
      <w:tr w:rsidR="00DD009C" w:rsidRPr="00482363" w14:paraId="2DF41C4A" w14:textId="77777777" w:rsidTr="00B20BE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tcPr>
          <w:p w14:paraId="2FF02F3C" w14:textId="77777777" w:rsidR="00DD009C" w:rsidRPr="00482363" w:rsidRDefault="00DD009C" w:rsidP="00482363">
            <w:pPr>
              <w:rPr>
                <w:rFonts w:ascii="Arial" w:hAnsi="Arial" w:cs="Arial"/>
              </w:rPr>
            </w:pPr>
            <w:r w:rsidRPr="00482363">
              <w:rPr>
                <w:rFonts w:ascii="Arial" w:hAnsi="Arial" w:cs="Arial"/>
              </w:rPr>
              <w:t>Cost offset ($ million)</w:t>
            </w:r>
          </w:p>
        </w:tc>
        <w:tc>
          <w:tcPr>
            <w:tcW w:w="1871" w:type="dxa"/>
            <w:noWrap/>
          </w:tcPr>
          <w:p w14:paraId="2C50D49C" w14:textId="77777777" w:rsidR="00DD009C" w:rsidRPr="00482363" w:rsidRDefault="00DD009C" w:rsidP="00482363">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482363">
              <w:rPr>
                <w:rFonts w:ascii="Arial" w:hAnsi="Arial" w:cs="Arial"/>
              </w:rPr>
              <w:t>Business</w:t>
            </w:r>
          </w:p>
        </w:tc>
        <w:tc>
          <w:tcPr>
            <w:tcW w:w="1871" w:type="dxa"/>
            <w:noWrap/>
          </w:tcPr>
          <w:p w14:paraId="33F926E9" w14:textId="77777777" w:rsidR="00DD009C" w:rsidRPr="00482363" w:rsidRDefault="00DD009C" w:rsidP="00482363">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482363">
              <w:rPr>
                <w:rFonts w:ascii="Arial" w:hAnsi="Arial" w:cs="Arial"/>
              </w:rPr>
              <w:t>Community organisations</w:t>
            </w:r>
          </w:p>
        </w:tc>
        <w:tc>
          <w:tcPr>
            <w:tcW w:w="1871" w:type="dxa"/>
            <w:noWrap/>
          </w:tcPr>
          <w:p w14:paraId="785681FF" w14:textId="77777777" w:rsidR="00DD009C" w:rsidRPr="00482363" w:rsidRDefault="00DD009C" w:rsidP="00482363">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482363">
              <w:rPr>
                <w:rFonts w:ascii="Arial" w:hAnsi="Arial" w:cs="Arial"/>
              </w:rPr>
              <w:t>Individuals</w:t>
            </w:r>
          </w:p>
        </w:tc>
        <w:tc>
          <w:tcPr>
            <w:tcW w:w="1872" w:type="dxa"/>
            <w:noWrap/>
          </w:tcPr>
          <w:p w14:paraId="29C60D2C" w14:textId="77777777" w:rsidR="00DD009C" w:rsidRPr="00482363" w:rsidRDefault="00DD009C" w:rsidP="00482363">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482363">
              <w:rPr>
                <w:rFonts w:ascii="Arial" w:hAnsi="Arial" w:cs="Arial"/>
              </w:rPr>
              <w:t xml:space="preserve">Total, by source </w:t>
            </w:r>
          </w:p>
        </w:tc>
      </w:tr>
      <w:tr w:rsidR="00DD009C" w:rsidRPr="00482363" w14:paraId="295C08E3" w14:textId="77777777" w:rsidTr="00B20BEB">
        <w:trPr>
          <w:trHeight w:val="300"/>
        </w:trPr>
        <w:tc>
          <w:tcPr>
            <w:cnfStyle w:val="001000000000" w:firstRow="0" w:lastRow="0" w:firstColumn="1" w:lastColumn="0" w:oddVBand="0" w:evenVBand="0" w:oddHBand="0" w:evenHBand="0" w:firstRowFirstColumn="0" w:firstRowLastColumn="0" w:lastRowFirstColumn="0" w:lastRowLastColumn="0"/>
            <w:tcW w:w="1871" w:type="dxa"/>
            <w:noWrap/>
            <w:vAlign w:val="center"/>
          </w:tcPr>
          <w:p w14:paraId="08EE0B6B" w14:textId="77777777" w:rsidR="00DD009C" w:rsidRPr="00482363" w:rsidRDefault="00DD009C" w:rsidP="00482363">
            <w:pPr>
              <w:rPr>
                <w:rFonts w:ascii="Arial" w:hAnsi="Arial" w:cs="Arial"/>
              </w:rPr>
            </w:pPr>
            <w:r w:rsidRPr="00482363">
              <w:rPr>
                <w:rFonts w:ascii="Arial" w:hAnsi="Arial" w:cs="Arial"/>
              </w:rPr>
              <w:t xml:space="preserve">Agency </w:t>
            </w:r>
          </w:p>
        </w:tc>
        <w:tc>
          <w:tcPr>
            <w:tcW w:w="1871" w:type="dxa"/>
            <w:noWrap/>
            <w:vAlign w:val="center"/>
          </w:tcPr>
          <w:p w14:paraId="2F38B4C1" w14:textId="77777777" w:rsidR="00DD009C" w:rsidRPr="00482363" w:rsidRDefault="00DD009C" w:rsidP="0048236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82363">
              <w:rPr>
                <w:rFonts w:ascii="Arial" w:hAnsi="Arial" w:cs="Arial"/>
              </w:rPr>
              <w:t>$</w:t>
            </w:r>
          </w:p>
        </w:tc>
        <w:tc>
          <w:tcPr>
            <w:tcW w:w="1871" w:type="dxa"/>
            <w:noWrap/>
            <w:vAlign w:val="center"/>
          </w:tcPr>
          <w:p w14:paraId="2D7B2263" w14:textId="77777777" w:rsidR="00DD009C" w:rsidRPr="00482363" w:rsidRDefault="00DD009C" w:rsidP="0048236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82363">
              <w:rPr>
                <w:rFonts w:ascii="Arial" w:hAnsi="Arial" w:cs="Arial"/>
              </w:rPr>
              <w:t>$</w:t>
            </w:r>
          </w:p>
        </w:tc>
        <w:tc>
          <w:tcPr>
            <w:tcW w:w="1871" w:type="dxa"/>
            <w:noWrap/>
            <w:vAlign w:val="center"/>
          </w:tcPr>
          <w:p w14:paraId="67E2F45F" w14:textId="77777777" w:rsidR="00DD009C" w:rsidRPr="00482363" w:rsidRDefault="00DD009C" w:rsidP="0048236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82363">
              <w:rPr>
                <w:rFonts w:ascii="Arial" w:hAnsi="Arial" w:cs="Arial"/>
              </w:rPr>
              <w:t>$</w:t>
            </w:r>
          </w:p>
        </w:tc>
        <w:tc>
          <w:tcPr>
            <w:tcW w:w="1872" w:type="dxa"/>
            <w:noWrap/>
            <w:vAlign w:val="center"/>
          </w:tcPr>
          <w:p w14:paraId="08C5DA80" w14:textId="77777777" w:rsidR="00DD009C" w:rsidRPr="00482363" w:rsidRDefault="00DD009C" w:rsidP="0048236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82363">
              <w:rPr>
                <w:rFonts w:ascii="Arial" w:hAnsi="Arial" w:cs="Arial"/>
              </w:rPr>
              <w:t>$</w:t>
            </w:r>
          </w:p>
        </w:tc>
      </w:tr>
      <w:tr w:rsidR="00DD009C" w:rsidRPr="00482363" w14:paraId="5B849179" w14:textId="77777777" w:rsidTr="00B20BE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gridSpan w:val="5"/>
            <w:noWrap/>
          </w:tcPr>
          <w:p w14:paraId="4ACDC2A2" w14:textId="77777777" w:rsidR="00DD009C" w:rsidRPr="00482363" w:rsidRDefault="00DD009C" w:rsidP="00482363">
            <w:pPr>
              <w:rPr>
                <w:rFonts w:ascii="Arial" w:hAnsi="Arial" w:cs="Arial"/>
              </w:rPr>
            </w:pPr>
            <w:r w:rsidRPr="00482363">
              <w:rPr>
                <w:rFonts w:ascii="Arial" w:hAnsi="Arial" w:cs="Arial"/>
              </w:rPr>
              <w:t xml:space="preserve">Are all new costs offset? </w:t>
            </w:r>
          </w:p>
          <w:p w14:paraId="52B09658" w14:textId="77777777" w:rsidR="00DD009C" w:rsidRPr="00482363" w:rsidRDefault="00DD009C" w:rsidP="00482363">
            <w:pPr>
              <w:rPr>
                <w:rFonts w:ascii="Arial" w:hAnsi="Arial" w:cs="Arial"/>
              </w:rPr>
            </w:pPr>
            <w:r w:rsidRPr="00482363">
              <w:rPr>
                <w:rFonts w:ascii="Arial" w:hAnsi="Arial" w:cs="Arial"/>
              </w:rPr>
              <w:sym w:font="Wingdings 2" w:char="F02A"/>
            </w:r>
            <w:r w:rsidRPr="00482363">
              <w:rPr>
                <w:rFonts w:ascii="Arial" w:hAnsi="Arial" w:cs="Arial"/>
              </w:rPr>
              <w:t xml:space="preserve"> Yes, costs are offset  </w:t>
            </w:r>
            <w:r w:rsidRPr="00482363">
              <w:rPr>
                <w:rFonts w:ascii="Arial" w:hAnsi="Arial" w:cs="Arial"/>
              </w:rPr>
              <w:sym w:font="Wingdings 2" w:char="F02A"/>
            </w:r>
            <w:r w:rsidRPr="00482363">
              <w:rPr>
                <w:rFonts w:ascii="Arial" w:hAnsi="Arial" w:cs="Arial"/>
              </w:rPr>
              <w:t xml:space="preserve"> No, costs are not offset  </w:t>
            </w:r>
            <w:r w:rsidRPr="00482363">
              <w:rPr>
                <w:rFonts w:ascii="Arial" w:hAnsi="Arial" w:cs="Arial"/>
                <w:bdr w:val="single" w:sz="4" w:space="0" w:color="auto"/>
              </w:rPr>
              <w:t>x</w:t>
            </w:r>
            <w:r w:rsidRPr="00482363">
              <w:rPr>
                <w:rFonts w:ascii="Arial" w:hAnsi="Arial" w:cs="Arial"/>
              </w:rPr>
              <w:t xml:space="preserve"> Deregulatory—no offsets required</w:t>
            </w:r>
          </w:p>
        </w:tc>
      </w:tr>
      <w:tr w:rsidR="00DD009C" w:rsidRPr="00482363" w14:paraId="79135D4B" w14:textId="77777777" w:rsidTr="00B20BEB">
        <w:tc>
          <w:tcPr>
            <w:cnfStyle w:val="001000000000" w:firstRow="0" w:lastRow="0" w:firstColumn="1" w:lastColumn="0" w:oddVBand="0" w:evenVBand="0" w:oddHBand="0" w:evenHBand="0" w:firstRowFirstColumn="0" w:firstRowLastColumn="0" w:lastRowFirstColumn="0" w:lastRowLastColumn="0"/>
            <w:tcW w:w="9356" w:type="dxa"/>
            <w:gridSpan w:val="5"/>
            <w:tcBorders>
              <w:bottom w:val="single" w:sz="8" w:space="0" w:color="C0504D" w:themeColor="accent2"/>
            </w:tcBorders>
          </w:tcPr>
          <w:p w14:paraId="07CDB131" w14:textId="77777777" w:rsidR="00DD009C" w:rsidRPr="00482363" w:rsidRDefault="00DD009C" w:rsidP="00801849">
            <w:pPr>
              <w:rPr>
                <w:rFonts w:ascii="Arial" w:hAnsi="Arial" w:cs="Arial"/>
              </w:rPr>
            </w:pPr>
            <w:r w:rsidRPr="00482363">
              <w:rPr>
                <w:rFonts w:ascii="Arial" w:hAnsi="Arial" w:cs="Arial"/>
              </w:rPr>
              <w:t>Total (Change in costs –</w:t>
            </w:r>
            <w:r>
              <w:rPr>
                <w:rFonts w:ascii="Arial" w:hAnsi="Arial" w:cs="Arial"/>
              </w:rPr>
              <w:t xml:space="preserve"> Cost offset) ($ million) = ($4.4</w:t>
            </w:r>
            <w:r w:rsidRPr="00482363">
              <w:rPr>
                <w:rFonts w:ascii="Arial" w:hAnsi="Arial" w:cs="Arial"/>
              </w:rPr>
              <w:t>6)</w:t>
            </w:r>
          </w:p>
        </w:tc>
      </w:tr>
    </w:tbl>
    <w:p w14:paraId="76EF04CC" w14:textId="77777777" w:rsidR="00DD009C" w:rsidRDefault="00DD009C" w:rsidP="009C2766"/>
    <w:p w14:paraId="4A97FE5E" w14:textId="77777777" w:rsidR="00DD009C" w:rsidRDefault="00DD009C" w:rsidP="003B50D9">
      <w:pPr>
        <w:pStyle w:val="Heading2"/>
      </w:pPr>
      <w:r>
        <w:t>5. Consultation</w:t>
      </w:r>
    </w:p>
    <w:p w14:paraId="44064A85" w14:textId="77777777" w:rsidR="00DD009C" w:rsidRPr="00914B4B" w:rsidRDefault="00DD009C" w:rsidP="00327248">
      <w:pPr>
        <w:tabs>
          <w:tab w:val="num" w:pos="1134"/>
        </w:tabs>
      </w:pPr>
      <w:r>
        <w:t xml:space="preserve">The Australian Government released a consultation paper on a proposed </w:t>
      </w:r>
      <w:r w:rsidRPr="00914B4B">
        <w:t xml:space="preserve">central clearing mandate </w:t>
      </w:r>
      <w:r>
        <w:t xml:space="preserve">in February 2014.  </w:t>
      </w:r>
      <w:r w:rsidRPr="00914B4B">
        <w:t xml:space="preserve">The </w:t>
      </w:r>
      <w:r>
        <w:t>p</w:t>
      </w:r>
      <w:r w:rsidRPr="00914B4B">
        <w:t xml:space="preserve">aper asked for stakeholder views on a number of matters, including </w:t>
      </w:r>
      <w:r>
        <w:t>a</w:t>
      </w:r>
      <w:r w:rsidRPr="00914B4B">
        <w:t xml:space="preserve"> central clearing mandate </w:t>
      </w:r>
      <w:r>
        <w:t>for</w:t>
      </w:r>
      <w:r w:rsidRPr="00914B4B">
        <w:t xml:space="preserve"> G4-IRD </w:t>
      </w:r>
      <w:r>
        <w:t xml:space="preserve">restricted to internationally active </w:t>
      </w:r>
      <w:r w:rsidRPr="00914B4B">
        <w:t>dealers, and the best methodo</w:t>
      </w:r>
      <w:r>
        <w:t>logy for defining these dealers.  Initial views were also requested for a</w:t>
      </w:r>
      <w:r w:rsidRPr="00914B4B">
        <w:t xml:space="preserve"> possible future central clearing mandate for AUD-IRD, and the timing of such a mandate</w:t>
      </w:r>
      <w:r>
        <w:t>.</w:t>
      </w:r>
    </w:p>
    <w:p w14:paraId="40659926" w14:textId="77777777" w:rsidR="00DD009C" w:rsidRPr="00914B4B" w:rsidRDefault="00DD009C" w:rsidP="00327248">
      <w:pPr>
        <w:tabs>
          <w:tab w:val="num" w:pos="1134"/>
        </w:tabs>
      </w:pPr>
      <w:r w:rsidRPr="00914B4B">
        <w:t>23 submissions</w:t>
      </w:r>
      <w:r>
        <w:t xml:space="preserve"> were</w:t>
      </w:r>
      <w:r w:rsidRPr="00914B4B">
        <w:t xml:space="preserve"> received, mainly from financial peak bodies and the major banks.  Other submissions were received from one smaller financial institution, corporate entities, energy and commodity companies, and financial consultants.</w:t>
      </w:r>
    </w:p>
    <w:p w14:paraId="14B10F90" w14:textId="77777777" w:rsidR="00DD009C" w:rsidRPr="00914B4B" w:rsidRDefault="00DD009C" w:rsidP="00684BD4">
      <w:pPr>
        <w:tabs>
          <w:tab w:val="num" w:pos="1134"/>
        </w:tabs>
      </w:pPr>
      <w:r w:rsidRPr="00914B4B">
        <w:t xml:space="preserve">There </w:t>
      </w:r>
      <w:r>
        <w:t>was almost universal support for</w:t>
      </w:r>
      <w:r w:rsidRPr="00914B4B">
        <w:t xml:space="preserve"> a G4-IRD mandate limited to transactions between internationally active dealers.  There </w:t>
      </w:r>
      <w:r>
        <w:t>wa</w:t>
      </w:r>
      <w:r w:rsidRPr="00914B4B">
        <w:t>s wide in principle support for a similar AUD-IRD mandate, but somewhat less of a consensus on timing.</w:t>
      </w:r>
      <w:r>
        <w:t xml:space="preserve">  </w:t>
      </w:r>
      <w:r w:rsidRPr="00914B4B">
        <w:t>A number of submissions support</w:t>
      </w:r>
      <w:r>
        <w:t>ed</w:t>
      </w:r>
      <w:r w:rsidRPr="00914B4B">
        <w:t xml:space="preserve"> a simultaneous move to impose G4 and AUD-IRD mandates</w:t>
      </w:r>
      <w:r>
        <w:t>, while others</w:t>
      </w:r>
      <w:r w:rsidRPr="00914B4B">
        <w:t xml:space="preserve"> note</w:t>
      </w:r>
      <w:r>
        <w:t>d</w:t>
      </w:r>
      <w:r w:rsidRPr="00914B4B">
        <w:t xml:space="preserve"> that international consistency is a key consideration, and that an AUD-IRD mandate in Australia should be timed to coincide with a similar move in key overseas jurisdictions. </w:t>
      </w:r>
    </w:p>
    <w:p w14:paraId="67AEC919" w14:textId="77777777" w:rsidR="00DD009C" w:rsidRPr="00914B4B" w:rsidRDefault="00DD009C" w:rsidP="00316CFC">
      <w:pPr>
        <w:tabs>
          <w:tab w:val="num" w:pos="1134"/>
        </w:tabs>
      </w:pPr>
      <w:r w:rsidRPr="00914B4B">
        <w:t xml:space="preserve">There </w:t>
      </w:r>
      <w:r>
        <w:t>wa</w:t>
      </w:r>
      <w:r w:rsidRPr="00914B4B">
        <w:t xml:space="preserve">s </w:t>
      </w:r>
      <w:r>
        <w:t>very firm support</w:t>
      </w:r>
      <w:r w:rsidRPr="00914B4B">
        <w:t xml:space="preserve"> to restrict any clearing mandate to internationally active dealers</w:t>
      </w:r>
      <w:r>
        <w:t>, but</w:t>
      </w:r>
      <w:r w:rsidRPr="00914B4B">
        <w:t xml:space="preserve"> no consensus on how to define </w:t>
      </w:r>
      <w:r>
        <w:t>these entities</w:t>
      </w:r>
      <w:r w:rsidRPr="00914B4B">
        <w:t>.  Many submissions, especially from the major domestic banks, call</w:t>
      </w:r>
      <w:r>
        <w:t>ed</w:t>
      </w:r>
      <w:r w:rsidRPr="00914B4B">
        <w:t xml:space="preserve"> for further detailed consultation on this </w:t>
      </w:r>
      <w:r>
        <w:t>question</w:t>
      </w:r>
      <w:r w:rsidRPr="00914B4B">
        <w:t>.</w:t>
      </w:r>
    </w:p>
    <w:p w14:paraId="3765B05B" w14:textId="77777777" w:rsidR="00DD009C" w:rsidRDefault="00DD009C" w:rsidP="003B50D9">
      <w:r>
        <w:t>Following the release of the 2014 Report (which recommended the imposition of a central clearing mandate for AUD-IRD) the Government decided to release a further consultation paper requesting stakeholder views on:</w:t>
      </w:r>
    </w:p>
    <w:p w14:paraId="532B5897" w14:textId="77777777" w:rsidR="00DD009C" w:rsidRDefault="00DD009C" w:rsidP="00DD009C">
      <w:pPr>
        <w:pStyle w:val="Bullet"/>
        <w:numPr>
          <w:ilvl w:val="0"/>
          <w:numId w:val="3"/>
        </w:numPr>
        <w:spacing w:before="0" w:after="240" w:line="260" w:lineRule="exact"/>
        <w:jc w:val="both"/>
      </w:pPr>
      <w:r>
        <w:t xml:space="preserve"> a proposal to proceed with an AUD-IRD central clearing mandate (in combination with the G4-IRD mandate) limited to internationally active dealers;</w:t>
      </w:r>
    </w:p>
    <w:p w14:paraId="40F28846" w14:textId="77777777" w:rsidR="00DD009C" w:rsidRDefault="00DD009C" w:rsidP="00DD009C">
      <w:pPr>
        <w:pStyle w:val="Bullet"/>
        <w:numPr>
          <w:ilvl w:val="0"/>
          <w:numId w:val="3"/>
        </w:numPr>
        <w:spacing w:before="0" w:after="240" w:line="260" w:lineRule="exact"/>
        <w:jc w:val="both"/>
      </w:pPr>
      <w:r>
        <w:t>the timing of the commencement of such a mandate; and</w:t>
      </w:r>
    </w:p>
    <w:p w14:paraId="3362C317" w14:textId="77777777" w:rsidR="00DD009C" w:rsidRDefault="00DD009C" w:rsidP="00DD009C">
      <w:pPr>
        <w:pStyle w:val="Bullet"/>
        <w:numPr>
          <w:ilvl w:val="0"/>
          <w:numId w:val="3"/>
        </w:numPr>
        <w:spacing w:before="0" w:after="240" w:line="260" w:lineRule="exact"/>
        <w:jc w:val="both"/>
      </w:pPr>
      <w:r>
        <w:t xml:space="preserve">an amended definition of internationally active dealers.  </w:t>
      </w:r>
    </w:p>
    <w:p w14:paraId="6EE32524" w14:textId="77777777" w:rsidR="00DD009C" w:rsidRDefault="00DD009C" w:rsidP="00801849">
      <w:r>
        <w:t>This paper was released in July 2014, with consultation closing in early August.</w:t>
      </w:r>
    </w:p>
    <w:p w14:paraId="1B14C37A" w14:textId="77777777" w:rsidR="00DD009C" w:rsidRDefault="00DD009C" w:rsidP="003B50D9">
      <w:r>
        <w:t xml:space="preserve">Stakeholders on the whole supported combining the AUD-IRD and G4-IRD mandates, and limiting the scope of the mandate to internationally active dealers. Views on the detailed definition of internationally active dealers continued to diverge. </w:t>
      </w:r>
    </w:p>
    <w:p w14:paraId="069BDA4B" w14:textId="77777777" w:rsidR="00DD009C" w:rsidRDefault="00DD009C" w:rsidP="003B50D9">
      <w:r>
        <w:t>Following this consultation Treasury and the regulators continued to engage with key stakeholders on this definition. A reworked definition of internationally active dealers was subsequently developed and incorporated in the draft legislation.</w:t>
      </w:r>
    </w:p>
    <w:p w14:paraId="241220DA" w14:textId="77777777" w:rsidR="00DD009C" w:rsidRPr="00AC3CA4" w:rsidRDefault="00DD009C" w:rsidP="003B50D9">
      <w:r w:rsidRPr="00AC3CA4">
        <w:t>On 28 May 2015 the Government released a draft Ministerial determination and draft regulations imposing a central clearing mandate for certain classes of OTC derivatives. The main features of the proposed mandate are:</w:t>
      </w:r>
    </w:p>
    <w:p w14:paraId="6683081C" w14:textId="77777777" w:rsidR="00DD009C" w:rsidRPr="00AC3CA4" w:rsidRDefault="00DD009C" w:rsidP="00DD009C">
      <w:pPr>
        <w:pStyle w:val="Bullet"/>
        <w:numPr>
          <w:ilvl w:val="0"/>
          <w:numId w:val="3"/>
        </w:numPr>
        <w:spacing w:before="0" w:after="240" w:line="260" w:lineRule="exact"/>
        <w:jc w:val="both"/>
      </w:pPr>
      <w:r w:rsidRPr="00AC3CA4">
        <w:t>Limited to interest rate derivatives denominated in Australian dollars and four global currencies, with the detailed scope of products to be set out in ASIC DTRs;</w:t>
      </w:r>
    </w:p>
    <w:p w14:paraId="4BDB0DDC" w14:textId="77777777" w:rsidR="00DD009C" w:rsidRPr="00AC3CA4" w:rsidRDefault="00DD009C" w:rsidP="00DD009C">
      <w:pPr>
        <w:pStyle w:val="Bullet"/>
        <w:numPr>
          <w:ilvl w:val="0"/>
          <w:numId w:val="3"/>
        </w:numPr>
        <w:spacing w:before="0" w:after="240" w:line="260" w:lineRule="exact"/>
        <w:jc w:val="both"/>
      </w:pPr>
      <w:r w:rsidRPr="00AC3CA4">
        <w:t>Limited to a small number of internationally active dealers, by means of a definition that captures the major domestic banks as well as large foreign financial institutions active in Australia and subject to Australian regulation; and</w:t>
      </w:r>
    </w:p>
    <w:p w14:paraId="2DAF9C25" w14:textId="77777777" w:rsidR="00DD009C" w:rsidRPr="00AC3CA4" w:rsidRDefault="00DD009C" w:rsidP="00DD009C">
      <w:pPr>
        <w:pStyle w:val="Bullet"/>
        <w:numPr>
          <w:ilvl w:val="0"/>
          <w:numId w:val="3"/>
        </w:numPr>
        <w:spacing w:before="0" w:after="240" w:line="260" w:lineRule="exact"/>
        <w:jc w:val="both"/>
      </w:pPr>
      <w:r w:rsidRPr="00AC3CA4">
        <w:t>Clearing allowed through all CCPs licensed in Australia as well as at least four prescribed overseas CCPs, with a power provided to ASIC to prescribe additional CCPs, subject to a number of conditions.</w:t>
      </w:r>
    </w:p>
    <w:p w14:paraId="45060E82" w14:textId="77777777" w:rsidR="00DD009C" w:rsidRPr="00AC3CA4" w:rsidRDefault="00DD009C" w:rsidP="003B50D9">
      <w:r w:rsidRPr="00AC3CA4">
        <w:t>17 submissions were received in response. There was strong support for the proposed mandate, including for the proposed product and entity scope. The $100 billion threshold was supported as appropriate for Australian market conditions by almost all submissions.</w:t>
      </w:r>
    </w:p>
    <w:p w14:paraId="14676D9E" w14:textId="77777777" w:rsidR="00DD009C" w:rsidRPr="00AC3CA4" w:rsidRDefault="00DD009C" w:rsidP="003B50D9">
      <w:r w:rsidRPr="00AC3CA4">
        <w:t>A comment was received relating to the drafting of the definition of a ‘foreign clearing entity’ in the regulations which could result in a wider scope of entities being captured than intended. A recommendation will be made to the Government to amend the definition as proposed in the final regulations.</w:t>
      </w:r>
    </w:p>
    <w:p w14:paraId="5EE4F873" w14:textId="77777777" w:rsidR="00DD009C" w:rsidRPr="003B50D9" w:rsidRDefault="00DD009C" w:rsidP="003B50D9">
      <w:r w:rsidRPr="00AC3CA4">
        <w:t>A number of specific concerns and comments were made in relation to matters addressed in the ASIC DTRs. As noted elsewhere ASIC is consulting separately on its central clearing DTRs. The issues raised in the submissions have been brought to ASIC’s attention.</w:t>
      </w:r>
    </w:p>
    <w:p w14:paraId="111C3A82" w14:textId="77777777" w:rsidR="00DD009C" w:rsidRDefault="00DD009C" w:rsidP="003B50D9">
      <w:pPr>
        <w:pStyle w:val="Heading2"/>
      </w:pPr>
      <w:r>
        <w:t>6. Conclusion and Recommendation</w:t>
      </w:r>
    </w:p>
    <w:p w14:paraId="02FD41D5" w14:textId="77777777" w:rsidR="00DD009C" w:rsidRDefault="00DD009C" w:rsidP="003B50D9">
      <w:r>
        <w:t>OTC derivatives are an important segment in global financial markets.  For Australian businesses they provide an essential service for hedging their foreign exchange, interest rate and other risks.  This is particularly important for the major Australian banks, because they depend on global capital markets for raising a substantial proportion of their funding needs.  Given the central importance of the major banks in providing financing to Australian consumers and businesses, preserving their unhindered access to global financial markets, including OTC derivatives markets, at the lowest possible cost is a key concern for the Government.</w:t>
      </w:r>
    </w:p>
    <w:p w14:paraId="48D3291F" w14:textId="77777777" w:rsidR="00DD009C" w:rsidRDefault="00DD009C" w:rsidP="003B50D9">
      <w:r>
        <w:t>The reforms to OTC derivatives markets are an important global initiative to improve the stability of financial markets and minimise the risk of future financial crises.  The Government is prepared to play its part in implementing the reforms, including with respect to central clearing of OTC derivatives.</w:t>
      </w:r>
    </w:p>
    <w:p w14:paraId="67DD7290" w14:textId="77777777" w:rsidR="00DD009C" w:rsidRDefault="00DD009C" w:rsidP="003B50D9">
      <w:r>
        <w:t>However, in implementing any reforms the Government is determined to minimise the regulatory impact on Australian banks and businesses operating in OTC derivatives markets.  With respect to the OTC derivatives reforms, it is of particular importance to limit the potential impact of extraterritorial regulation.  Failure to do so could significantly increase the costs of Australian banks and businesses raising funds and hedging risks in global financial markets.</w:t>
      </w:r>
    </w:p>
    <w:p w14:paraId="3580E929" w14:textId="77777777" w:rsidR="00DD009C" w:rsidRDefault="00DD009C" w:rsidP="003B50D9">
      <w:r>
        <w:t>In considering the options examined in this RIS the central issue is whether the main problem set out in Section 1 (i.e. maximising substituted compliance relief) is successfully addressed.  Option 1 fails this test because it would likely cause the US to withdraw the substituted compliance benefits already provided to Australian businesses active in the US OTC derivatives market.  It would also not be helpful in obtaining substituted compliance benefits in other important overseas markets such as the EU as they implement their own OTC derivatives reforms.  Option 2 addresses this problem, which is also the case for Option 3.  Option 3 however imposes higher compliance costs on industry stakeholders.</w:t>
      </w:r>
    </w:p>
    <w:p w14:paraId="2D7DA47C" w14:textId="77777777" w:rsidR="00DD009C" w:rsidRPr="003B50D9" w:rsidRDefault="00DD009C" w:rsidP="003B50D9">
      <w:r>
        <w:t>Following consideration of these options and their relative impact on Australian banks and businesses it is recommended that the Government proceed with Option 2, i.e. the light touch regulatory option.</w:t>
      </w:r>
    </w:p>
    <w:p w14:paraId="481BF3AD" w14:textId="77777777" w:rsidR="00DD009C" w:rsidRDefault="00DD009C" w:rsidP="003B50D9">
      <w:pPr>
        <w:pStyle w:val="Heading2"/>
      </w:pPr>
      <w:r>
        <w:t>7. Implementation and Evaluation</w:t>
      </w:r>
    </w:p>
    <w:p w14:paraId="73600A63" w14:textId="77777777" w:rsidR="00DD009C" w:rsidRDefault="00DD009C" w:rsidP="00BB722A">
      <w:r>
        <w:t xml:space="preserve">The central clearing mandate will be implemented in detail through ASIC’s central clearing DTRs.  These are being drafted and developed in a separate process by ASIC, including through consultation with industry stakeholders.  ASIC will produce a separate RIS for its DTRs. </w:t>
      </w:r>
    </w:p>
    <w:p w14:paraId="467B704D" w14:textId="77777777" w:rsidR="00DD009C" w:rsidRDefault="00DD009C" w:rsidP="00BB722A">
      <w:r>
        <w:t>ASIC released its draft DTRs for consultation in May 2015. Under the DTRs, actual implementation of the central clearing mandate will occur in April 2016. Responsibility for overseeing the smooth implementation of the mandate rests with ASIC.</w:t>
      </w:r>
    </w:p>
    <w:p w14:paraId="089008E0" w14:textId="77777777" w:rsidR="00DD009C" w:rsidRDefault="00DD009C" w:rsidP="00BB722A">
      <w:r>
        <w:t xml:space="preserve">Evaluation of the impact of the central clearing mandate will occur on several levels.  </w:t>
      </w:r>
    </w:p>
    <w:p w14:paraId="18B1371E" w14:textId="77777777" w:rsidR="00DD009C" w:rsidRDefault="00DD009C" w:rsidP="00BB722A">
      <w:r>
        <w:t>As mentioned above, the Regulators regularly survey the Australian OTC derivatives markets and report on key developments and issues.  Based on the results of their work the Regulators have in the past provided recommendations to the Government for regulatory action in implementing the global reforms to OTC derivatives markets.  It is anticipated that the regulators will continue this series of reports, including with respect to any issues or new developments they may identify in relation to central clearing.</w:t>
      </w:r>
    </w:p>
    <w:p w14:paraId="619C4726" w14:textId="77777777" w:rsidR="00DD009C" w:rsidRDefault="00DD009C" w:rsidP="00994C13">
      <w:r>
        <w:t>Regular global surveys of the state of OTC derivatives markets regulation are conducted by the Financial Stability Board (FSB).  Seven such reports have been produced to date, with the next one due in late 2014.  These reports provide a comparative view of the progress of the reforms to OTC derivatives markets across jurisdictions, including with respect to central clearing.  The FSB reports provide a good overview of the state and progress of the global reforms to OTC derivatives markets, and a way for individual jurisdictions including Australia to benchmark their own progress against that achieved by their peers.</w:t>
      </w:r>
      <w:r>
        <w:br w:type="page"/>
      </w:r>
    </w:p>
    <w:p w14:paraId="4362610F" w14:textId="77777777" w:rsidR="00DD009C" w:rsidRDefault="00DD009C" w:rsidP="00994C13">
      <w:pPr>
        <w:pStyle w:val="Heading1NotNumbered0"/>
        <w:spacing w:before="0"/>
        <w:rPr>
          <w:lang w:val="en-GB"/>
        </w:rPr>
      </w:pPr>
      <w:bookmarkStart w:id="1" w:name="_Toc301874937"/>
      <w:bookmarkStart w:id="2" w:name="_Toc388448196"/>
      <w:r>
        <w:rPr>
          <w:lang w:val="en-GB"/>
        </w:rPr>
        <w:t>Glossary</w:t>
      </w:r>
      <w:bookmarkEnd w:id="1"/>
      <w:bookmarkEnd w:id="2"/>
    </w:p>
    <w:tbl>
      <w:tblPr>
        <w:tblW w:w="5000" w:type="pct"/>
        <w:tblLook w:val="01E0" w:firstRow="1" w:lastRow="1" w:firstColumn="1" w:lastColumn="1" w:noHBand="0" w:noVBand="0"/>
      </w:tblPr>
      <w:tblGrid>
        <w:gridCol w:w="2177"/>
        <w:gridCol w:w="6345"/>
      </w:tblGrid>
      <w:tr w:rsidR="00DD009C" w:rsidRPr="00043A1F" w14:paraId="6B386101" w14:textId="77777777" w:rsidTr="00B552E1">
        <w:tc>
          <w:tcPr>
            <w:tcW w:w="1277" w:type="pct"/>
          </w:tcPr>
          <w:p w14:paraId="303257A3" w14:textId="77777777" w:rsidR="00DD009C" w:rsidRDefault="00DD009C" w:rsidP="00B552E1">
            <w:pPr>
              <w:widowControl w:val="0"/>
              <w:tabs>
                <w:tab w:val="left" w:pos="851"/>
                <w:tab w:val="right" w:leader="dot" w:pos="9072"/>
              </w:tabs>
              <w:spacing w:before="160" w:after="0"/>
              <w:rPr>
                <w:b/>
                <w:lang w:val="en-GB"/>
              </w:rPr>
            </w:pPr>
            <w:r>
              <w:rPr>
                <w:b/>
                <w:lang w:val="en-GB"/>
              </w:rPr>
              <w:t>2013 Report</w:t>
            </w:r>
          </w:p>
        </w:tc>
        <w:tc>
          <w:tcPr>
            <w:tcW w:w="3723" w:type="pct"/>
          </w:tcPr>
          <w:p w14:paraId="1658E43B" w14:textId="77777777" w:rsidR="00DD009C" w:rsidRDefault="00DD009C" w:rsidP="00B552E1">
            <w:pPr>
              <w:widowControl w:val="0"/>
              <w:tabs>
                <w:tab w:val="left" w:pos="851"/>
                <w:tab w:val="right" w:leader="dot" w:pos="9072"/>
              </w:tabs>
              <w:spacing w:before="160" w:after="0"/>
              <w:rPr>
                <w:lang w:val="en-GB"/>
              </w:rPr>
            </w:pPr>
            <w:r>
              <w:rPr>
                <w:lang w:val="en-GB"/>
              </w:rPr>
              <w:t>Report on the Australian OTC Derivatives Market, July 2013</w:t>
            </w:r>
          </w:p>
        </w:tc>
      </w:tr>
      <w:tr w:rsidR="00DD009C" w:rsidRPr="00043A1F" w14:paraId="7AD0E3E6" w14:textId="77777777" w:rsidTr="00B552E1">
        <w:tc>
          <w:tcPr>
            <w:tcW w:w="1277" w:type="pct"/>
          </w:tcPr>
          <w:p w14:paraId="6CEE5EB1" w14:textId="77777777" w:rsidR="00DD009C" w:rsidRDefault="00DD009C" w:rsidP="00B552E1">
            <w:pPr>
              <w:widowControl w:val="0"/>
              <w:tabs>
                <w:tab w:val="left" w:pos="851"/>
                <w:tab w:val="right" w:leader="dot" w:pos="9072"/>
              </w:tabs>
              <w:spacing w:before="160" w:after="0"/>
              <w:rPr>
                <w:b/>
                <w:lang w:val="en-GB"/>
              </w:rPr>
            </w:pPr>
            <w:r>
              <w:rPr>
                <w:b/>
                <w:lang w:val="en-GB"/>
              </w:rPr>
              <w:t>2014 Report</w:t>
            </w:r>
          </w:p>
        </w:tc>
        <w:tc>
          <w:tcPr>
            <w:tcW w:w="3723" w:type="pct"/>
          </w:tcPr>
          <w:p w14:paraId="0FB3ABC2" w14:textId="77777777" w:rsidR="00DD009C" w:rsidRDefault="00DD009C" w:rsidP="00D8142C">
            <w:pPr>
              <w:widowControl w:val="0"/>
              <w:tabs>
                <w:tab w:val="left" w:pos="851"/>
                <w:tab w:val="right" w:leader="dot" w:pos="9072"/>
              </w:tabs>
              <w:spacing w:before="160" w:after="0"/>
              <w:rPr>
                <w:lang w:val="en-GB"/>
              </w:rPr>
            </w:pPr>
            <w:r>
              <w:rPr>
                <w:lang w:val="en-GB"/>
              </w:rPr>
              <w:t>Report on the Australian OTC Derivatives Market, April 2014</w:t>
            </w:r>
          </w:p>
        </w:tc>
      </w:tr>
      <w:tr w:rsidR="00DD009C" w:rsidRPr="00043A1F" w14:paraId="660FF186" w14:textId="77777777" w:rsidTr="00B552E1">
        <w:tc>
          <w:tcPr>
            <w:tcW w:w="1277" w:type="pct"/>
          </w:tcPr>
          <w:p w14:paraId="3AC3F820" w14:textId="77777777" w:rsidR="00DD009C" w:rsidRDefault="00DD009C" w:rsidP="00B552E1">
            <w:pPr>
              <w:widowControl w:val="0"/>
              <w:tabs>
                <w:tab w:val="left" w:pos="851"/>
                <w:tab w:val="right" w:leader="dot" w:pos="9072"/>
              </w:tabs>
              <w:spacing w:before="160" w:after="0"/>
              <w:rPr>
                <w:b/>
                <w:lang w:val="en-GB"/>
              </w:rPr>
            </w:pPr>
            <w:r>
              <w:rPr>
                <w:b/>
                <w:lang w:val="en-GB"/>
              </w:rPr>
              <w:t>AFSL</w:t>
            </w:r>
          </w:p>
        </w:tc>
        <w:tc>
          <w:tcPr>
            <w:tcW w:w="3723" w:type="pct"/>
          </w:tcPr>
          <w:p w14:paraId="0B12A9FC" w14:textId="77777777" w:rsidR="00DD009C" w:rsidRDefault="00DD009C" w:rsidP="00B552E1">
            <w:pPr>
              <w:widowControl w:val="0"/>
              <w:tabs>
                <w:tab w:val="left" w:pos="851"/>
                <w:tab w:val="right" w:leader="dot" w:pos="9072"/>
              </w:tabs>
              <w:spacing w:before="160" w:after="0"/>
              <w:rPr>
                <w:lang w:val="en-GB"/>
              </w:rPr>
            </w:pPr>
            <w:r>
              <w:rPr>
                <w:lang w:val="en-GB"/>
              </w:rPr>
              <w:t>Australian Financial Services Licence</w:t>
            </w:r>
          </w:p>
        </w:tc>
      </w:tr>
      <w:tr w:rsidR="00DD009C" w:rsidRPr="00043A1F" w14:paraId="0BE121EA" w14:textId="77777777" w:rsidTr="00B552E1">
        <w:tc>
          <w:tcPr>
            <w:tcW w:w="1277" w:type="pct"/>
            <w:hideMark/>
          </w:tcPr>
          <w:p w14:paraId="0CB19EBD" w14:textId="77777777" w:rsidR="00DD009C" w:rsidRDefault="00DD009C" w:rsidP="00B552E1">
            <w:pPr>
              <w:widowControl w:val="0"/>
              <w:tabs>
                <w:tab w:val="left" w:pos="851"/>
                <w:tab w:val="right" w:leader="dot" w:pos="9072"/>
              </w:tabs>
              <w:spacing w:before="160" w:after="0"/>
              <w:rPr>
                <w:b/>
                <w:lang w:val="en-GB"/>
              </w:rPr>
            </w:pPr>
            <w:r>
              <w:rPr>
                <w:b/>
                <w:lang w:val="en-GB"/>
              </w:rPr>
              <w:t>APRA</w:t>
            </w:r>
          </w:p>
        </w:tc>
        <w:tc>
          <w:tcPr>
            <w:tcW w:w="3723" w:type="pct"/>
            <w:hideMark/>
          </w:tcPr>
          <w:p w14:paraId="15237235" w14:textId="77777777" w:rsidR="00DD009C" w:rsidRDefault="00DD009C" w:rsidP="00B552E1">
            <w:pPr>
              <w:widowControl w:val="0"/>
              <w:tabs>
                <w:tab w:val="left" w:pos="851"/>
                <w:tab w:val="right" w:leader="dot" w:pos="9072"/>
              </w:tabs>
              <w:spacing w:before="160" w:after="0"/>
              <w:rPr>
                <w:lang w:val="en-GB"/>
              </w:rPr>
            </w:pPr>
            <w:r>
              <w:rPr>
                <w:lang w:val="en-GB"/>
              </w:rPr>
              <w:t>Australian Prudential Regulation Authority</w:t>
            </w:r>
          </w:p>
        </w:tc>
      </w:tr>
      <w:tr w:rsidR="00DD009C" w:rsidRPr="00043A1F" w14:paraId="1985D12A" w14:textId="77777777" w:rsidTr="00B552E1">
        <w:tc>
          <w:tcPr>
            <w:tcW w:w="1277" w:type="pct"/>
            <w:hideMark/>
          </w:tcPr>
          <w:p w14:paraId="56DECC7F" w14:textId="77777777" w:rsidR="00DD009C" w:rsidRDefault="00DD009C" w:rsidP="00B552E1">
            <w:pPr>
              <w:widowControl w:val="0"/>
              <w:tabs>
                <w:tab w:val="left" w:pos="851"/>
                <w:tab w:val="right" w:leader="dot" w:pos="9072"/>
              </w:tabs>
              <w:spacing w:before="160" w:after="0"/>
              <w:rPr>
                <w:b/>
                <w:lang w:val="en-GB"/>
              </w:rPr>
            </w:pPr>
            <w:r>
              <w:rPr>
                <w:b/>
                <w:lang w:val="en-GB"/>
              </w:rPr>
              <w:t>ASIC</w:t>
            </w:r>
          </w:p>
        </w:tc>
        <w:tc>
          <w:tcPr>
            <w:tcW w:w="3723" w:type="pct"/>
            <w:hideMark/>
          </w:tcPr>
          <w:p w14:paraId="3C5810B5" w14:textId="77777777" w:rsidR="00DD009C" w:rsidRDefault="00DD009C" w:rsidP="00B552E1">
            <w:pPr>
              <w:widowControl w:val="0"/>
              <w:tabs>
                <w:tab w:val="left" w:pos="851"/>
                <w:tab w:val="right" w:leader="dot" w:pos="9072"/>
              </w:tabs>
              <w:spacing w:before="160" w:after="0"/>
              <w:rPr>
                <w:lang w:val="en-GB"/>
              </w:rPr>
            </w:pPr>
            <w:r>
              <w:rPr>
                <w:lang w:val="en-GB"/>
              </w:rPr>
              <w:t>Australian Securities and Investments Commission</w:t>
            </w:r>
          </w:p>
        </w:tc>
      </w:tr>
      <w:tr w:rsidR="00DD009C" w:rsidRPr="00043A1F" w14:paraId="70AC900C" w14:textId="77777777" w:rsidTr="00B552E1">
        <w:tc>
          <w:tcPr>
            <w:tcW w:w="1277" w:type="pct"/>
          </w:tcPr>
          <w:p w14:paraId="3DB5F0D4" w14:textId="77777777" w:rsidR="00DD009C" w:rsidRDefault="00DD009C" w:rsidP="00B552E1">
            <w:pPr>
              <w:widowControl w:val="0"/>
              <w:tabs>
                <w:tab w:val="left" w:pos="851"/>
                <w:tab w:val="right" w:leader="dot" w:pos="9072"/>
              </w:tabs>
              <w:spacing w:before="160" w:after="0"/>
              <w:rPr>
                <w:b/>
                <w:lang w:val="en-GB"/>
              </w:rPr>
            </w:pPr>
            <w:r>
              <w:rPr>
                <w:b/>
                <w:lang w:val="en-GB"/>
              </w:rPr>
              <w:t>AUD</w:t>
            </w:r>
          </w:p>
        </w:tc>
        <w:tc>
          <w:tcPr>
            <w:tcW w:w="3723" w:type="pct"/>
          </w:tcPr>
          <w:p w14:paraId="07E4D42E" w14:textId="77777777" w:rsidR="00DD009C" w:rsidRDefault="00DD009C" w:rsidP="00B552E1">
            <w:pPr>
              <w:widowControl w:val="0"/>
              <w:tabs>
                <w:tab w:val="left" w:pos="851"/>
                <w:tab w:val="right" w:leader="dot" w:pos="9072"/>
              </w:tabs>
              <w:spacing w:before="160" w:after="0"/>
              <w:rPr>
                <w:lang w:val="en-GB"/>
              </w:rPr>
            </w:pPr>
            <w:r>
              <w:rPr>
                <w:lang w:val="en-GB"/>
              </w:rPr>
              <w:t>Australian dollar(s)</w:t>
            </w:r>
          </w:p>
        </w:tc>
      </w:tr>
      <w:tr w:rsidR="00DD009C" w:rsidRPr="00043A1F" w14:paraId="48D707B0" w14:textId="77777777" w:rsidTr="00B552E1">
        <w:tc>
          <w:tcPr>
            <w:tcW w:w="1277" w:type="pct"/>
          </w:tcPr>
          <w:p w14:paraId="271F0410" w14:textId="77777777" w:rsidR="00DD009C" w:rsidRDefault="00DD009C" w:rsidP="00B552E1">
            <w:pPr>
              <w:widowControl w:val="0"/>
              <w:tabs>
                <w:tab w:val="left" w:pos="851"/>
                <w:tab w:val="right" w:leader="dot" w:pos="9072"/>
              </w:tabs>
              <w:spacing w:before="160" w:after="0"/>
              <w:rPr>
                <w:b/>
                <w:lang w:val="en-GB"/>
              </w:rPr>
            </w:pPr>
            <w:r>
              <w:rPr>
                <w:b/>
                <w:lang w:val="en-GB"/>
              </w:rPr>
              <w:t>AUD-IRD</w:t>
            </w:r>
          </w:p>
        </w:tc>
        <w:tc>
          <w:tcPr>
            <w:tcW w:w="3723" w:type="pct"/>
          </w:tcPr>
          <w:p w14:paraId="6BEB9C46" w14:textId="77777777" w:rsidR="00DD009C" w:rsidRDefault="00DD009C" w:rsidP="00B552E1">
            <w:pPr>
              <w:widowControl w:val="0"/>
              <w:tabs>
                <w:tab w:val="left" w:pos="851"/>
                <w:tab w:val="right" w:leader="dot" w:pos="9072"/>
              </w:tabs>
              <w:spacing w:before="160" w:after="0"/>
              <w:rPr>
                <w:lang w:val="en-GB"/>
              </w:rPr>
            </w:pPr>
            <w:r>
              <w:rPr>
                <w:lang w:val="en-GB"/>
              </w:rPr>
              <w:t>Australian dollar-denominated interest rate derivatives</w:t>
            </w:r>
          </w:p>
        </w:tc>
      </w:tr>
      <w:tr w:rsidR="00DD009C" w:rsidRPr="00043A1F" w14:paraId="6D63AFE9" w14:textId="77777777" w:rsidTr="00B552E1">
        <w:tc>
          <w:tcPr>
            <w:tcW w:w="1277" w:type="pct"/>
            <w:hideMark/>
          </w:tcPr>
          <w:p w14:paraId="7C4ED81B" w14:textId="77777777" w:rsidR="00DD009C" w:rsidRDefault="00DD009C" w:rsidP="00B552E1">
            <w:pPr>
              <w:widowControl w:val="0"/>
              <w:tabs>
                <w:tab w:val="left" w:pos="851"/>
                <w:tab w:val="right" w:leader="dot" w:pos="9072"/>
              </w:tabs>
              <w:spacing w:before="160" w:after="0"/>
              <w:rPr>
                <w:b/>
                <w:lang w:val="en-GB"/>
              </w:rPr>
            </w:pPr>
            <w:r>
              <w:rPr>
                <w:b/>
                <w:lang w:val="en-GB"/>
              </w:rPr>
              <w:t>CCP</w:t>
            </w:r>
          </w:p>
        </w:tc>
        <w:tc>
          <w:tcPr>
            <w:tcW w:w="3723" w:type="pct"/>
            <w:hideMark/>
          </w:tcPr>
          <w:p w14:paraId="77C57698" w14:textId="77777777" w:rsidR="00DD009C" w:rsidRDefault="00DD009C" w:rsidP="00B552E1">
            <w:pPr>
              <w:widowControl w:val="0"/>
              <w:tabs>
                <w:tab w:val="left" w:pos="851"/>
                <w:tab w:val="right" w:leader="dot" w:pos="9072"/>
              </w:tabs>
              <w:spacing w:before="160" w:after="0"/>
              <w:rPr>
                <w:lang w:val="en-GB"/>
              </w:rPr>
            </w:pPr>
            <w:r>
              <w:rPr>
                <w:lang w:val="en-GB"/>
              </w:rPr>
              <w:t>Central counterparty</w:t>
            </w:r>
          </w:p>
        </w:tc>
      </w:tr>
      <w:tr w:rsidR="00DD009C" w:rsidRPr="00043A1F" w14:paraId="7664FCDB" w14:textId="77777777" w:rsidTr="00B552E1">
        <w:tc>
          <w:tcPr>
            <w:tcW w:w="1277" w:type="pct"/>
          </w:tcPr>
          <w:p w14:paraId="24605FE1" w14:textId="77777777" w:rsidR="00DD009C" w:rsidRDefault="00DD009C" w:rsidP="00B552E1">
            <w:pPr>
              <w:widowControl w:val="0"/>
              <w:tabs>
                <w:tab w:val="left" w:pos="851"/>
                <w:tab w:val="right" w:leader="dot" w:pos="9072"/>
              </w:tabs>
              <w:spacing w:before="160" w:after="0"/>
              <w:rPr>
                <w:b/>
                <w:lang w:val="en-GB"/>
              </w:rPr>
            </w:pPr>
            <w:r>
              <w:rPr>
                <w:b/>
                <w:lang w:val="en-GB"/>
              </w:rPr>
              <w:t>CFTC</w:t>
            </w:r>
          </w:p>
        </w:tc>
        <w:tc>
          <w:tcPr>
            <w:tcW w:w="3723" w:type="pct"/>
          </w:tcPr>
          <w:p w14:paraId="204AF350" w14:textId="77777777" w:rsidR="00DD009C" w:rsidRDefault="00DD009C" w:rsidP="00B552E1">
            <w:pPr>
              <w:widowControl w:val="0"/>
              <w:tabs>
                <w:tab w:val="left" w:pos="851"/>
                <w:tab w:val="right" w:leader="dot" w:pos="9072"/>
              </w:tabs>
              <w:spacing w:before="160" w:after="0"/>
              <w:rPr>
                <w:lang w:val="en-GB"/>
              </w:rPr>
            </w:pPr>
            <w:r>
              <w:rPr>
                <w:lang w:val="en-GB"/>
              </w:rPr>
              <w:t>U.S. Commodity Futures Trading Commission</w:t>
            </w:r>
          </w:p>
        </w:tc>
      </w:tr>
      <w:tr w:rsidR="00DD009C" w:rsidRPr="00043A1F" w14:paraId="7074FF8F" w14:textId="77777777" w:rsidTr="00B552E1">
        <w:tc>
          <w:tcPr>
            <w:tcW w:w="1277" w:type="pct"/>
          </w:tcPr>
          <w:p w14:paraId="1B4551A0" w14:textId="77777777" w:rsidR="00DD009C" w:rsidRDefault="00DD009C" w:rsidP="00B552E1">
            <w:pPr>
              <w:widowControl w:val="0"/>
              <w:tabs>
                <w:tab w:val="left" w:pos="851"/>
                <w:tab w:val="right" w:leader="dot" w:pos="9072"/>
              </w:tabs>
              <w:spacing w:before="160" w:after="0"/>
              <w:rPr>
                <w:b/>
                <w:lang w:val="en-GB"/>
              </w:rPr>
            </w:pPr>
            <w:r>
              <w:rPr>
                <w:b/>
                <w:lang w:val="en-GB"/>
              </w:rPr>
              <w:t>DTRs</w:t>
            </w:r>
          </w:p>
        </w:tc>
        <w:tc>
          <w:tcPr>
            <w:tcW w:w="3723" w:type="pct"/>
          </w:tcPr>
          <w:p w14:paraId="4D592889" w14:textId="77777777" w:rsidR="00DD009C" w:rsidRDefault="00DD009C" w:rsidP="00B552E1">
            <w:pPr>
              <w:widowControl w:val="0"/>
              <w:tabs>
                <w:tab w:val="left" w:pos="851"/>
                <w:tab w:val="right" w:leader="dot" w:pos="9072"/>
              </w:tabs>
              <w:spacing w:before="160" w:after="0"/>
              <w:rPr>
                <w:lang w:val="en-GB"/>
              </w:rPr>
            </w:pPr>
            <w:r>
              <w:rPr>
                <w:lang w:val="en-GB"/>
              </w:rPr>
              <w:t>Derivative transaction rules</w:t>
            </w:r>
          </w:p>
        </w:tc>
      </w:tr>
      <w:tr w:rsidR="00DD009C" w:rsidRPr="00043A1F" w14:paraId="00E656EF" w14:textId="77777777" w:rsidTr="00B552E1">
        <w:tc>
          <w:tcPr>
            <w:tcW w:w="1277" w:type="pct"/>
          </w:tcPr>
          <w:p w14:paraId="537D1173" w14:textId="77777777" w:rsidR="00DD009C" w:rsidRDefault="00DD009C" w:rsidP="00B552E1">
            <w:pPr>
              <w:widowControl w:val="0"/>
              <w:tabs>
                <w:tab w:val="left" w:pos="851"/>
                <w:tab w:val="right" w:leader="dot" w:pos="9072"/>
              </w:tabs>
              <w:spacing w:before="160" w:after="0"/>
              <w:rPr>
                <w:b/>
                <w:lang w:val="en-GB"/>
              </w:rPr>
            </w:pPr>
            <w:r>
              <w:rPr>
                <w:b/>
                <w:lang w:val="en-GB"/>
              </w:rPr>
              <w:t>ESMA</w:t>
            </w:r>
          </w:p>
        </w:tc>
        <w:tc>
          <w:tcPr>
            <w:tcW w:w="3723" w:type="pct"/>
          </w:tcPr>
          <w:p w14:paraId="00135667" w14:textId="77777777" w:rsidR="00DD009C" w:rsidRDefault="00DD009C" w:rsidP="00B552E1">
            <w:pPr>
              <w:widowControl w:val="0"/>
              <w:tabs>
                <w:tab w:val="left" w:pos="851"/>
                <w:tab w:val="right" w:leader="dot" w:pos="9072"/>
              </w:tabs>
              <w:spacing w:before="160" w:after="0"/>
              <w:rPr>
                <w:lang w:val="en-GB"/>
              </w:rPr>
            </w:pPr>
            <w:r>
              <w:rPr>
                <w:lang w:val="en-GB"/>
              </w:rPr>
              <w:t>European Securities and Markets Authority</w:t>
            </w:r>
          </w:p>
        </w:tc>
      </w:tr>
      <w:tr w:rsidR="00DD009C" w:rsidRPr="00043A1F" w14:paraId="3A853D8E" w14:textId="77777777" w:rsidTr="00B552E1">
        <w:tc>
          <w:tcPr>
            <w:tcW w:w="1277" w:type="pct"/>
          </w:tcPr>
          <w:p w14:paraId="1FA1B411" w14:textId="77777777" w:rsidR="00DD009C" w:rsidRDefault="00DD009C" w:rsidP="00B552E1">
            <w:pPr>
              <w:widowControl w:val="0"/>
              <w:tabs>
                <w:tab w:val="left" w:pos="851"/>
                <w:tab w:val="right" w:leader="dot" w:pos="9072"/>
              </w:tabs>
              <w:spacing w:before="160" w:after="0"/>
              <w:rPr>
                <w:b/>
                <w:lang w:val="en-GB"/>
              </w:rPr>
            </w:pPr>
            <w:r>
              <w:rPr>
                <w:b/>
                <w:lang w:val="en-GB"/>
              </w:rPr>
              <w:t>EU</w:t>
            </w:r>
          </w:p>
        </w:tc>
        <w:tc>
          <w:tcPr>
            <w:tcW w:w="3723" w:type="pct"/>
          </w:tcPr>
          <w:p w14:paraId="1985BBE0" w14:textId="77777777" w:rsidR="00DD009C" w:rsidRDefault="00DD009C" w:rsidP="00B552E1">
            <w:pPr>
              <w:widowControl w:val="0"/>
              <w:tabs>
                <w:tab w:val="left" w:pos="851"/>
                <w:tab w:val="right" w:leader="dot" w:pos="9072"/>
              </w:tabs>
              <w:spacing w:before="160" w:after="0"/>
              <w:rPr>
                <w:lang w:val="en-GB"/>
              </w:rPr>
            </w:pPr>
            <w:r>
              <w:rPr>
                <w:lang w:val="en-GB"/>
              </w:rPr>
              <w:t>European Union</w:t>
            </w:r>
          </w:p>
        </w:tc>
      </w:tr>
      <w:tr w:rsidR="00DD009C" w:rsidRPr="00043A1F" w14:paraId="6B13910D" w14:textId="77777777" w:rsidTr="00B552E1">
        <w:tc>
          <w:tcPr>
            <w:tcW w:w="1277" w:type="pct"/>
          </w:tcPr>
          <w:p w14:paraId="2497431F" w14:textId="77777777" w:rsidR="00DD009C" w:rsidRDefault="00DD009C" w:rsidP="00B552E1">
            <w:pPr>
              <w:widowControl w:val="0"/>
              <w:tabs>
                <w:tab w:val="left" w:pos="851"/>
                <w:tab w:val="right" w:leader="dot" w:pos="9072"/>
              </w:tabs>
              <w:spacing w:before="160" w:after="0"/>
              <w:rPr>
                <w:b/>
                <w:lang w:val="en-GB"/>
              </w:rPr>
            </w:pPr>
            <w:r>
              <w:rPr>
                <w:b/>
                <w:lang w:val="en-GB"/>
              </w:rPr>
              <w:t>FSB</w:t>
            </w:r>
          </w:p>
        </w:tc>
        <w:tc>
          <w:tcPr>
            <w:tcW w:w="3723" w:type="pct"/>
          </w:tcPr>
          <w:p w14:paraId="59F6C5EA" w14:textId="77777777" w:rsidR="00DD009C" w:rsidRDefault="00DD009C" w:rsidP="00B552E1">
            <w:pPr>
              <w:widowControl w:val="0"/>
              <w:tabs>
                <w:tab w:val="left" w:pos="851"/>
                <w:tab w:val="right" w:leader="dot" w:pos="9072"/>
              </w:tabs>
              <w:spacing w:before="160" w:after="0"/>
              <w:rPr>
                <w:lang w:val="en-GB"/>
              </w:rPr>
            </w:pPr>
            <w:r>
              <w:rPr>
                <w:lang w:val="en-GB"/>
              </w:rPr>
              <w:t>Financial Stability Board</w:t>
            </w:r>
          </w:p>
        </w:tc>
      </w:tr>
      <w:tr w:rsidR="00DD009C" w:rsidRPr="00043A1F" w14:paraId="0B8AB818" w14:textId="77777777" w:rsidTr="00B20BEB">
        <w:tc>
          <w:tcPr>
            <w:tcW w:w="1277" w:type="pct"/>
          </w:tcPr>
          <w:p w14:paraId="68B080E7" w14:textId="77777777" w:rsidR="00DD009C" w:rsidRDefault="00DD009C" w:rsidP="00B20BEB">
            <w:pPr>
              <w:widowControl w:val="0"/>
              <w:tabs>
                <w:tab w:val="left" w:pos="851"/>
                <w:tab w:val="right" w:leader="dot" w:pos="9072"/>
              </w:tabs>
              <w:spacing w:before="160" w:after="0"/>
              <w:rPr>
                <w:b/>
                <w:lang w:val="en-GB"/>
              </w:rPr>
            </w:pPr>
            <w:r>
              <w:rPr>
                <w:b/>
                <w:lang w:val="en-GB"/>
              </w:rPr>
              <w:t>G20</w:t>
            </w:r>
          </w:p>
        </w:tc>
        <w:tc>
          <w:tcPr>
            <w:tcW w:w="3723" w:type="pct"/>
          </w:tcPr>
          <w:p w14:paraId="564E0E62" w14:textId="77777777" w:rsidR="00DD009C" w:rsidRDefault="00DD009C" w:rsidP="00B20BEB">
            <w:pPr>
              <w:widowControl w:val="0"/>
              <w:tabs>
                <w:tab w:val="left" w:pos="851"/>
                <w:tab w:val="right" w:leader="dot" w:pos="9072"/>
              </w:tabs>
              <w:spacing w:before="160" w:after="0"/>
              <w:rPr>
                <w:lang w:val="en-GB"/>
              </w:rPr>
            </w:pPr>
            <w:r>
              <w:rPr>
                <w:lang w:val="en-GB"/>
              </w:rPr>
              <w:t>Group of Twenty</w:t>
            </w:r>
          </w:p>
        </w:tc>
      </w:tr>
      <w:tr w:rsidR="00DD009C" w:rsidRPr="00043A1F" w14:paraId="4FA8B384" w14:textId="77777777" w:rsidTr="00B552E1">
        <w:tc>
          <w:tcPr>
            <w:tcW w:w="1277" w:type="pct"/>
          </w:tcPr>
          <w:p w14:paraId="63C5392C" w14:textId="77777777" w:rsidR="00DD009C" w:rsidRDefault="00DD009C" w:rsidP="00B552E1">
            <w:pPr>
              <w:widowControl w:val="0"/>
              <w:tabs>
                <w:tab w:val="left" w:pos="851"/>
                <w:tab w:val="right" w:leader="dot" w:pos="9072"/>
              </w:tabs>
              <w:spacing w:before="160" w:after="0"/>
              <w:rPr>
                <w:b/>
                <w:lang w:val="en-GB"/>
              </w:rPr>
            </w:pPr>
            <w:r>
              <w:rPr>
                <w:b/>
                <w:lang w:val="en-GB"/>
              </w:rPr>
              <w:t>G4</w:t>
            </w:r>
            <w:r>
              <w:rPr>
                <w:b/>
                <w:lang w:val="en-GB"/>
              </w:rPr>
              <w:noBreakHyphen/>
              <w:t>IRD</w:t>
            </w:r>
          </w:p>
        </w:tc>
        <w:tc>
          <w:tcPr>
            <w:tcW w:w="3723" w:type="pct"/>
          </w:tcPr>
          <w:p w14:paraId="202F3FA0" w14:textId="77777777" w:rsidR="00DD009C" w:rsidRDefault="00DD009C" w:rsidP="00B552E1">
            <w:pPr>
              <w:widowControl w:val="0"/>
              <w:tabs>
                <w:tab w:val="left" w:pos="851"/>
                <w:tab w:val="right" w:leader="dot" w:pos="9072"/>
              </w:tabs>
              <w:spacing w:before="160" w:after="0"/>
              <w:rPr>
                <w:lang w:val="en-GB"/>
              </w:rPr>
            </w:pPr>
            <w:r>
              <w:rPr>
                <w:lang w:val="en-GB"/>
              </w:rPr>
              <w:t>US dollar</w:t>
            </w:r>
            <w:r>
              <w:rPr>
                <w:lang w:val="en-GB"/>
              </w:rPr>
              <w:noBreakHyphen/>
              <w:t>, euro</w:t>
            </w:r>
            <w:r>
              <w:rPr>
                <w:lang w:val="en-GB"/>
              </w:rPr>
              <w:noBreakHyphen/>
              <w:t>, British pound</w:t>
            </w:r>
            <w:r>
              <w:rPr>
                <w:lang w:val="en-GB"/>
              </w:rPr>
              <w:noBreakHyphen/>
              <w:t xml:space="preserve"> and yen</w:t>
            </w:r>
            <w:r>
              <w:rPr>
                <w:lang w:val="en-GB"/>
              </w:rPr>
              <w:noBreakHyphen/>
              <w:t>denominated interest rate derivatives</w:t>
            </w:r>
          </w:p>
        </w:tc>
      </w:tr>
      <w:tr w:rsidR="00DD009C" w:rsidRPr="00043A1F" w14:paraId="7D485D18" w14:textId="77777777" w:rsidTr="00B552E1">
        <w:tc>
          <w:tcPr>
            <w:tcW w:w="1277" w:type="pct"/>
          </w:tcPr>
          <w:p w14:paraId="15FBB95B" w14:textId="77777777" w:rsidR="00DD009C" w:rsidRDefault="00DD009C" w:rsidP="00B552E1">
            <w:pPr>
              <w:widowControl w:val="0"/>
              <w:tabs>
                <w:tab w:val="left" w:pos="851"/>
                <w:tab w:val="right" w:leader="dot" w:pos="9072"/>
              </w:tabs>
              <w:spacing w:before="160" w:after="0"/>
              <w:rPr>
                <w:b/>
                <w:lang w:val="en-GB"/>
              </w:rPr>
            </w:pPr>
            <w:r>
              <w:rPr>
                <w:b/>
                <w:lang w:val="en-GB"/>
              </w:rPr>
              <w:t>GFC</w:t>
            </w:r>
          </w:p>
        </w:tc>
        <w:tc>
          <w:tcPr>
            <w:tcW w:w="3723" w:type="pct"/>
          </w:tcPr>
          <w:p w14:paraId="750288D6" w14:textId="77777777" w:rsidR="00DD009C" w:rsidRDefault="00DD009C" w:rsidP="00B552E1">
            <w:pPr>
              <w:widowControl w:val="0"/>
              <w:tabs>
                <w:tab w:val="left" w:pos="851"/>
                <w:tab w:val="right" w:leader="dot" w:pos="9072"/>
              </w:tabs>
              <w:spacing w:before="160" w:after="0"/>
              <w:rPr>
                <w:lang w:val="en-GB"/>
              </w:rPr>
            </w:pPr>
            <w:r>
              <w:rPr>
                <w:lang w:val="en-GB"/>
              </w:rPr>
              <w:t>Global financial crisis</w:t>
            </w:r>
          </w:p>
        </w:tc>
      </w:tr>
      <w:tr w:rsidR="00DD009C" w:rsidRPr="00043A1F" w14:paraId="4C90EF22" w14:textId="77777777" w:rsidTr="00B552E1">
        <w:tc>
          <w:tcPr>
            <w:tcW w:w="1277" w:type="pct"/>
          </w:tcPr>
          <w:p w14:paraId="5C285C60" w14:textId="77777777" w:rsidR="00DD009C" w:rsidRDefault="00DD009C" w:rsidP="00B552E1">
            <w:pPr>
              <w:widowControl w:val="0"/>
              <w:tabs>
                <w:tab w:val="left" w:pos="851"/>
                <w:tab w:val="right" w:leader="dot" w:pos="9072"/>
              </w:tabs>
              <w:spacing w:before="160" w:after="0"/>
              <w:rPr>
                <w:b/>
                <w:lang w:val="en-GB"/>
              </w:rPr>
            </w:pPr>
            <w:r>
              <w:rPr>
                <w:b/>
                <w:lang w:val="en-GB"/>
              </w:rPr>
              <w:t>IRD</w:t>
            </w:r>
          </w:p>
        </w:tc>
        <w:tc>
          <w:tcPr>
            <w:tcW w:w="3723" w:type="pct"/>
          </w:tcPr>
          <w:p w14:paraId="136CB60E" w14:textId="77777777" w:rsidR="00DD009C" w:rsidRDefault="00DD009C" w:rsidP="00B552E1">
            <w:pPr>
              <w:widowControl w:val="0"/>
              <w:tabs>
                <w:tab w:val="left" w:pos="851"/>
                <w:tab w:val="right" w:leader="dot" w:pos="9072"/>
              </w:tabs>
              <w:spacing w:before="160" w:after="0"/>
              <w:rPr>
                <w:lang w:val="en-GB"/>
              </w:rPr>
            </w:pPr>
            <w:r>
              <w:rPr>
                <w:lang w:val="en-GB"/>
              </w:rPr>
              <w:t>Interest rate derivative(s)</w:t>
            </w:r>
          </w:p>
        </w:tc>
      </w:tr>
      <w:tr w:rsidR="00DD009C" w:rsidRPr="00043A1F" w14:paraId="6A216CC7" w14:textId="77777777" w:rsidTr="00B552E1">
        <w:tc>
          <w:tcPr>
            <w:tcW w:w="1277" w:type="pct"/>
            <w:hideMark/>
          </w:tcPr>
          <w:p w14:paraId="6F32C018" w14:textId="77777777" w:rsidR="00DD009C" w:rsidRDefault="00DD009C" w:rsidP="00B552E1">
            <w:pPr>
              <w:widowControl w:val="0"/>
              <w:tabs>
                <w:tab w:val="left" w:pos="851"/>
                <w:tab w:val="right" w:leader="dot" w:pos="9072"/>
              </w:tabs>
              <w:spacing w:before="160" w:after="0"/>
              <w:rPr>
                <w:b/>
                <w:lang w:val="en-GB"/>
              </w:rPr>
            </w:pPr>
            <w:r>
              <w:rPr>
                <w:b/>
                <w:lang w:val="en-GB"/>
              </w:rPr>
              <w:t>OTC</w:t>
            </w:r>
          </w:p>
        </w:tc>
        <w:tc>
          <w:tcPr>
            <w:tcW w:w="3723" w:type="pct"/>
            <w:hideMark/>
          </w:tcPr>
          <w:p w14:paraId="09004345" w14:textId="77777777" w:rsidR="00DD009C" w:rsidRDefault="00DD009C" w:rsidP="00B552E1">
            <w:pPr>
              <w:widowControl w:val="0"/>
              <w:tabs>
                <w:tab w:val="left" w:pos="851"/>
                <w:tab w:val="right" w:leader="dot" w:pos="9072"/>
              </w:tabs>
              <w:spacing w:before="160" w:after="0"/>
              <w:rPr>
                <w:lang w:val="en-GB"/>
              </w:rPr>
            </w:pPr>
            <w:r>
              <w:rPr>
                <w:lang w:val="en-GB"/>
              </w:rPr>
              <w:t>Over</w:t>
            </w:r>
            <w:r>
              <w:rPr>
                <w:lang w:val="en-GB"/>
              </w:rPr>
              <w:noBreakHyphen/>
              <w:t>the</w:t>
            </w:r>
            <w:r>
              <w:rPr>
                <w:lang w:val="en-GB"/>
              </w:rPr>
              <w:noBreakHyphen/>
              <w:t>counter</w:t>
            </w:r>
          </w:p>
        </w:tc>
      </w:tr>
      <w:tr w:rsidR="00DD009C" w:rsidRPr="00043A1F" w14:paraId="5550B9BB" w14:textId="77777777" w:rsidTr="00B20BEB">
        <w:tc>
          <w:tcPr>
            <w:tcW w:w="1277" w:type="pct"/>
          </w:tcPr>
          <w:p w14:paraId="1F570FC5" w14:textId="77777777" w:rsidR="00DD009C" w:rsidRDefault="00DD009C" w:rsidP="00B20BEB">
            <w:pPr>
              <w:widowControl w:val="0"/>
              <w:tabs>
                <w:tab w:val="left" w:pos="851"/>
                <w:tab w:val="right" w:leader="dot" w:pos="9072"/>
              </w:tabs>
              <w:spacing w:before="160" w:after="0"/>
              <w:rPr>
                <w:b/>
                <w:lang w:val="en-GB"/>
              </w:rPr>
            </w:pPr>
            <w:r>
              <w:rPr>
                <w:b/>
                <w:lang w:val="en-GB"/>
              </w:rPr>
              <w:t>Proposals Paper</w:t>
            </w:r>
          </w:p>
        </w:tc>
        <w:tc>
          <w:tcPr>
            <w:tcW w:w="3723" w:type="pct"/>
          </w:tcPr>
          <w:p w14:paraId="6A04CD9C" w14:textId="77777777" w:rsidR="00DD009C" w:rsidRDefault="00DD009C" w:rsidP="00B20BEB">
            <w:pPr>
              <w:widowControl w:val="0"/>
              <w:tabs>
                <w:tab w:val="left" w:pos="851"/>
                <w:tab w:val="right" w:leader="dot" w:pos="9072"/>
              </w:tabs>
              <w:spacing w:before="160" w:after="0"/>
              <w:rPr>
                <w:lang w:val="en-GB"/>
              </w:rPr>
            </w:pPr>
            <w:r>
              <w:rPr>
                <w:lang w:val="en-GB"/>
              </w:rPr>
              <w:t>Implementation of Australia’s G20 over</w:t>
            </w:r>
            <w:r>
              <w:rPr>
                <w:lang w:val="en-GB"/>
              </w:rPr>
              <w:noBreakHyphen/>
              <w:t>the</w:t>
            </w:r>
            <w:r>
              <w:rPr>
                <w:lang w:val="en-GB"/>
              </w:rPr>
              <w:noBreakHyphen/>
              <w:t>counter derivatives commitments, G4-IRD central clearing mandate, February 2014</w:t>
            </w:r>
          </w:p>
        </w:tc>
      </w:tr>
      <w:tr w:rsidR="00DD009C" w:rsidRPr="00043A1F" w14:paraId="37B615FD" w14:textId="77777777" w:rsidTr="00B552E1">
        <w:tc>
          <w:tcPr>
            <w:tcW w:w="1277" w:type="pct"/>
          </w:tcPr>
          <w:p w14:paraId="14F20F88" w14:textId="77777777" w:rsidR="00DD009C" w:rsidRDefault="00DD009C" w:rsidP="00B552E1">
            <w:pPr>
              <w:widowControl w:val="0"/>
              <w:tabs>
                <w:tab w:val="left" w:pos="851"/>
                <w:tab w:val="right" w:leader="dot" w:pos="9072"/>
              </w:tabs>
              <w:spacing w:before="160" w:after="0"/>
              <w:rPr>
                <w:b/>
                <w:lang w:val="en-GB"/>
              </w:rPr>
            </w:pPr>
            <w:r>
              <w:rPr>
                <w:b/>
                <w:lang w:val="en-GB"/>
              </w:rPr>
              <w:t>Regulators</w:t>
            </w:r>
          </w:p>
        </w:tc>
        <w:tc>
          <w:tcPr>
            <w:tcW w:w="3723" w:type="pct"/>
          </w:tcPr>
          <w:p w14:paraId="254A8AA8" w14:textId="77777777" w:rsidR="00DD009C" w:rsidRDefault="00DD009C" w:rsidP="00514596">
            <w:pPr>
              <w:widowControl w:val="0"/>
              <w:tabs>
                <w:tab w:val="left" w:pos="851"/>
                <w:tab w:val="right" w:leader="dot" w:pos="9072"/>
              </w:tabs>
              <w:spacing w:before="160" w:after="0"/>
              <w:rPr>
                <w:lang w:val="en-GB"/>
              </w:rPr>
            </w:pPr>
            <w:r>
              <w:rPr>
                <w:lang w:val="en-GB"/>
              </w:rPr>
              <w:t xml:space="preserve">APRA, ASIC and the RBA </w:t>
            </w:r>
          </w:p>
        </w:tc>
      </w:tr>
      <w:tr w:rsidR="00DD009C" w:rsidRPr="00043A1F" w14:paraId="21584CDC" w14:textId="77777777" w:rsidTr="00B552E1">
        <w:tc>
          <w:tcPr>
            <w:tcW w:w="1277" w:type="pct"/>
          </w:tcPr>
          <w:p w14:paraId="5F766546" w14:textId="77777777" w:rsidR="00DD009C" w:rsidRDefault="00DD009C" w:rsidP="00B552E1">
            <w:pPr>
              <w:widowControl w:val="0"/>
              <w:tabs>
                <w:tab w:val="left" w:pos="851"/>
                <w:tab w:val="right" w:leader="dot" w:pos="9072"/>
              </w:tabs>
              <w:spacing w:before="160" w:after="0"/>
              <w:rPr>
                <w:b/>
                <w:lang w:val="en-GB"/>
              </w:rPr>
            </w:pPr>
            <w:r>
              <w:rPr>
                <w:b/>
                <w:lang w:val="en-GB"/>
              </w:rPr>
              <w:t>Report</w:t>
            </w:r>
          </w:p>
        </w:tc>
        <w:tc>
          <w:tcPr>
            <w:tcW w:w="3723" w:type="pct"/>
          </w:tcPr>
          <w:p w14:paraId="5C180A84" w14:textId="77777777" w:rsidR="00DD009C" w:rsidRDefault="00DD009C" w:rsidP="00B552E1">
            <w:pPr>
              <w:widowControl w:val="0"/>
              <w:tabs>
                <w:tab w:val="left" w:pos="851"/>
                <w:tab w:val="right" w:leader="dot" w:pos="9072"/>
              </w:tabs>
              <w:spacing w:before="160" w:after="0"/>
              <w:rPr>
                <w:lang w:val="en-GB"/>
              </w:rPr>
            </w:pPr>
            <w:r>
              <w:rPr>
                <w:lang w:val="en-GB"/>
              </w:rPr>
              <w:t>Report on the Australian OTC Derivatives Market, April 2014</w:t>
            </w:r>
          </w:p>
        </w:tc>
      </w:tr>
      <w:tr w:rsidR="00DD009C" w:rsidRPr="00043A1F" w14:paraId="65400F19" w14:textId="77777777" w:rsidTr="00B552E1">
        <w:tc>
          <w:tcPr>
            <w:tcW w:w="1277" w:type="pct"/>
            <w:hideMark/>
          </w:tcPr>
          <w:p w14:paraId="538964C5" w14:textId="77777777" w:rsidR="00DD009C" w:rsidRDefault="00DD009C" w:rsidP="00D8142C">
            <w:pPr>
              <w:widowControl w:val="0"/>
              <w:tabs>
                <w:tab w:val="left" w:pos="851"/>
                <w:tab w:val="right" w:leader="dot" w:pos="9072"/>
              </w:tabs>
              <w:spacing w:before="160" w:after="0"/>
              <w:rPr>
                <w:b/>
                <w:lang w:val="en-GB"/>
              </w:rPr>
            </w:pPr>
            <w:r>
              <w:rPr>
                <w:b/>
                <w:lang w:val="en-GB"/>
              </w:rPr>
              <w:t>RBA</w:t>
            </w:r>
          </w:p>
        </w:tc>
        <w:tc>
          <w:tcPr>
            <w:tcW w:w="3723" w:type="pct"/>
            <w:hideMark/>
          </w:tcPr>
          <w:p w14:paraId="58EBB308" w14:textId="77777777" w:rsidR="00DD009C" w:rsidRDefault="00DD009C" w:rsidP="00B552E1">
            <w:pPr>
              <w:widowControl w:val="0"/>
              <w:tabs>
                <w:tab w:val="left" w:pos="851"/>
                <w:tab w:val="right" w:leader="dot" w:pos="9072"/>
              </w:tabs>
              <w:spacing w:before="160" w:after="0"/>
              <w:rPr>
                <w:lang w:val="en-GB"/>
              </w:rPr>
            </w:pPr>
            <w:r>
              <w:rPr>
                <w:lang w:val="en-GB"/>
              </w:rPr>
              <w:t>Reserve Bank of Australia</w:t>
            </w:r>
          </w:p>
        </w:tc>
      </w:tr>
      <w:tr w:rsidR="00DD009C" w:rsidRPr="00043A1F" w14:paraId="4DCC69C2" w14:textId="77777777" w:rsidTr="00B20BEB">
        <w:tc>
          <w:tcPr>
            <w:tcW w:w="1277" w:type="pct"/>
          </w:tcPr>
          <w:p w14:paraId="65902013" w14:textId="77777777" w:rsidR="00DD009C" w:rsidRDefault="00DD009C" w:rsidP="00B20BEB">
            <w:pPr>
              <w:widowControl w:val="0"/>
              <w:tabs>
                <w:tab w:val="left" w:pos="851"/>
                <w:tab w:val="right" w:leader="dot" w:pos="9072"/>
              </w:tabs>
              <w:spacing w:before="160" w:after="0"/>
              <w:rPr>
                <w:b/>
                <w:lang w:val="en-GB"/>
              </w:rPr>
            </w:pPr>
            <w:r>
              <w:rPr>
                <w:b/>
                <w:lang w:val="en-GB"/>
              </w:rPr>
              <w:t>Supplementary Paper</w:t>
            </w:r>
          </w:p>
        </w:tc>
        <w:tc>
          <w:tcPr>
            <w:tcW w:w="3723" w:type="pct"/>
          </w:tcPr>
          <w:p w14:paraId="652B6B9E" w14:textId="77777777" w:rsidR="00DD009C" w:rsidRDefault="00DD009C" w:rsidP="007F3E68">
            <w:pPr>
              <w:widowControl w:val="0"/>
              <w:tabs>
                <w:tab w:val="left" w:pos="851"/>
                <w:tab w:val="right" w:leader="dot" w:pos="9072"/>
              </w:tabs>
              <w:spacing w:before="160" w:after="0"/>
              <w:rPr>
                <w:lang w:val="en-GB"/>
              </w:rPr>
            </w:pPr>
            <w:r>
              <w:rPr>
                <w:lang w:val="en-GB"/>
              </w:rPr>
              <w:t>Implementation of Australia’s G20 over</w:t>
            </w:r>
            <w:r>
              <w:rPr>
                <w:lang w:val="en-GB"/>
              </w:rPr>
              <w:noBreakHyphen/>
              <w:t>the</w:t>
            </w:r>
            <w:r>
              <w:rPr>
                <w:lang w:val="en-GB"/>
              </w:rPr>
              <w:noBreakHyphen/>
              <w:t>counter derivatives commitments, AUD-IRD central clearing mandate, July 2014</w:t>
            </w:r>
          </w:p>
        </w:tc>
      </w:tr>
      <w:tr w:rsidR="00DD009C" w:rsidRPr="00043A1F" w14:paraId="46549C52" w14:textId="77777777" w:rsidTr="00B552E1">
        <w:tc>
          <w:tcPr>
            <w:tcW w:w="1277" w:type="pct"/>
          </w:tcPr>
          <w:p w14:paraId="36021DC1" w14:textId="77777777" w:rsidR="00DD009C" w:rsidRDefault="00DD009C" w:rsidP="00B552E1">
            <w:pPr>
              <w:widowControl w:val="0"/>
              <w:tabs>
                <w:tab w:val="left" w:pos="851"/>
                <w:tab w:val="right" w:leader="dot" w:pos="9072"/>
              </w:tabs>
              <w:spacing w:before="160" w:after="0"/>
              <w:rPr>
                <w:b/>
                <w:lang w:val="en-GB"/>
              </w:rPr>
            </w:pPr>
            <w:r>
              <w:rPr>
                <w:b/>
                <w:lang w:val="en-GB"/>
              </w:rPr>
              <w:t>US</w:t>
            </w:r>
          </w:p>
        </w:tc>
        <w:tc>
          <w:tcPr>
            <w:tcW w:w="3723" w:type="pct"/>
          </w:tcPr>
          <w:p w14:paraId="0A3C4CA2" w14:textId="77777777" w:rsidR="00DD009C" w:rsidRDefault="00DD009C" w:rsidP="00B552E1">
            <w:pPr>
              <w:widowControl w:val="0"/>
              <w:tabs>
                <w:tab w:val="left" w:pos="851"/>
                <w:tab w:val="right" w:leader="dot" w:pos="9072"/>
              </w:tabs>
              <w:spacing w:before="160" w:after="0"/>
              <w:rPr>
                <w:lang w:val="en-GB"/>
              </w:rPr>
            </w:pPr>
            <w:r>
              <w:rPr>
                <w:lang w:val="en-GB"/>
              </w:rPr>
              <w:t>United States of America</w:t>
            </w:r>
          </w:p>
        </w:tc>
      </w:tr>
    </w:tbl>
    <w:p w14:paraId="2A5ADB77" w14:textId="77777777" w:rsidR="00DD009C" w:rsidRDefault="00DD009C">
      <w:pPr>
        <w:spacing w:before="0" w:after="0"/>
      </w:pPr>
      <w:r>
        <w:br w:type="page"/>
      </w:r>
    </w:p>
    <w:p w14:paraId="7AA222CB" w14:textId="77777777" w:rsidR="00E4438C" w:rsidRDefault="00E4438C" w:rsidP="00E4438C">
      <w:pPr>
        <w:pStyle w:val="Heading3"/>
        <w:jc w:val="center"/>
      </w:pPr>
      <w:r>
        <w:t>Statement of Compatibility with Human Rights</w:t>
      </w:r>
    </w:p>
    <w:p w14:paraId="391DB949" w14:textId="77777777" w:rsidR="00E4438C" w:rsidRPr="00E4438C" w:rsidRDefault="00E4438C" w:rsidP="00E4438C">
      <w:pPr>
        <w:jc w:val="center"/>
        <w:rPr>
          <w:i/>
        </w:rPr>
      </w:pPr>
      <w:r w:rsidRPr="00E4438C">
        <w:rPr>
          <w:i/>
        </w:rPr>
        <w:t>Prepared in accordance with Part 3 of the Human Rights (Parliamentary Scrutiny) Act 2011</w:t>
      </w:r>
    </w:p>
    <w:p w14:paraId="445A02CE" w14:textId="77777777" w:rsidR="00E4438C" w:rsidRPr="00E4438C" w:rsidRDefault="00E4438C" w:rsidP="00E4438C">
      <w:pPr>
        <w:jc w:val="center"/>
        <w:rPr>
          <w:b/>
        </w:rPr>
      </w:pPr>
      <w:r>
        <w:rPr>
          <w:b/>
        </w:rPr>
        <w:fldChar w:fldCharType="begin"/>
      </w:r>
      <w:r>
        <w:rPr>
          <w:b/>
        </w:rPr>
        <w:instrText xml:space="preserve"> macrobutton nomacro </w:instrText>
      </w:r>
      <w:r w:rsidRPr="00E4438C">
        <w:rPr>
          <w:b/>
        </w:rPr>
        <w:instrText>(Insert)</w:instrText>
      </w:r>
      <w:r>
        <w:rPr>
          <w:b/>
        </w:rPr>
        <w:instrText xml:space="preserve"> </w:instrText>
      </w:r>
      <w:r>
        <w:rPr>
          <w:b/>
        </w:rPr>
        <w:fldChar w:fldCharType="end"/>
      </w:r>
    </w:p>
    <w:p w14:paraId="4C2A7825" w14:textId="77777777" w:rsidR="00E4438C" w:rsidRDefault="00E4438C" w:rsidP="00E4438C">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p>
    <w:p w14:paraId="144FFF15" w14:textId="77777777" w:rsidR="00E4438C" w:rsidRDefault="00E4438C" w:rsidP="00E4438C">
      <w:pPr>
        <w:pStyle w:val="Heading4"/>
      </w:pPr>
      <w:r>
        <w:t xml:space="preserve">Overview of the </w:t>
      </w:r>
      <w:r w:rsidRPr="00E4438C">
        <w:t>Legislative</w:t>
      </w:r>
      <w:r>
        <w:t xml:space="preserve"> Instrument</w:t>
      </w:r>
    </w:p>
    <w:p w14:paraId="5BF981B9" w14:textId="77777777" w:rsidR="00E4438C" w:rsidRDefault="00286B3A" w:rsidP="00E4438C">
      <w:r>
        <w:t xml:space="preserve">The </w:t>
      </w:r>
      <w:r w:rsidRPr="006F1D6C">
        <w:rPr>
          <w:i/>
        </w:rPr>
        <w:t>Corporations Amendment (Central Clearing and Single-Sided Reporting) Regulation 2015</w:t>
      </w:r>
      <w:r w:rsidRPr="006F1D6C">
        <w:t xml:space="preserve"> (the Regulation)</w:t>
      </w:r>
      <w:r>
        <w:t xml:space="preserve"> </w:t>
      </w:r>
      <w:r w:rsidR="0007687E">
        <w:t>sets a number of important parameters</w:t>
      </w:r>
      <w:r>
        <w:t xml:space="preserve"> with respect to the Government’s decision to mandate central clearing of prescribed classes of over-the-counter (OTC) in</w:t>
      </w:r>
      <w:r w:rsidR="0007687E">
        <w:t xml:space="preserve">terest rate derivatives. The Regulation also provides ‘single-sided’ reporting relief </w:t>
      </w:r>
      <w:r w:rsidR="0007687E" w:rsidRPr="006F1D6C">
        <w:t>for entities with low levels of OTC derivatives transactions, provided they conclude</w:t>
      </w:r>
      <w:r w:rsidR="0007687E">
        <w:t>d</w:t>
      </w:r>
      <w:r w:rsidR="0007687E" w:rsidRPr="006F1D6C">
        <w:t xml:space="preserve"> their derivatives transactions with counterparties that </w:t>
      </w:r>
      <w:r w:rsidR="0007687E">
        <w:t>we</w:t>
      </w:r>
      <w:r w:rsidR="0007687E" w:rsidRPr="006F1D6C">
        <w:t>re already required</w:t>
      </w:r>
      <w:r w:rsidR="0007687E">
        <w:t xml:space="preserve"> or agreed</w:t>
      </w:r>
      <w:r w:rsidR="0007687E" w:rsidRPr="006F1D6C">
        <w:t xml:space="preserve"> to report.</w:t>
      </w:r>
    </w:p>
    <w:p w14:paraId="0DF27FC9" w14:textId="77777777" w:rsidR="00E4438C" w:rsidRDefault="00E4438C" w:rsidP="00E4438C">
      <w:pPr>
        <w:pStyle w:val="Heading4"/>
      </w:pPr>
      <w:r>
        <w:t>Human rights implications</w:t>
      </w:r>
    </w:p>
    <w:p w14:paraId="2B1CF2E0" w14:textId="77777777" w:rsidR="00E4438C" w:rsidRDefault="00E4438C" w:rsidP="00E4438C">
      <w:r>
        <w:t>This Legislative Instrument does not engage any of the applicable rights or freedoms.</w:t>
      </w:r>
    </w:p>
    <w:p w14:paraId="109E3F57" w14:textId="77777777" w:rsidR="00E4438C" w:rsidRDefault="00E4438C" w:rsidP="00E4438C">
      <w:pPr>
        <w:pStyle w:val="Heading4"/>
      </w:pPr>
      <w:r>
        <w:t>Conclusion</w:t>
      </w:r>
    </w:p>
    <w:p w14:paraId="21F0966B" w14:textId="77777777" w:rsidR="00E4438C" w:rsidRDefault="00E4438C" w:rsidP="00E4438C">
      <w:r>
        <w:t>This Legislative Instrument is compatible with human rights as it does not raise any human rights issues.</w:t>
      </w:r>
    </w:p>
    <w:sectPr w:rsidR="00E4438C" w:rsidSect="00392BBA">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DDD84" w14:textId="77777777" w:rsidR="005A6089" w:rsidRDefault="005A6089" w:rsidP="00682C4E">
      <w:pPr>
        <w:spacing w:before="0" w:after="0"/>
      </w:pPr>
      <w:r>
        <w:separator/>
      </w:r>
    </w:p>
  </w:endnote>
  <w:endnote w:type="continuationSeparator" w:id="0">
    <w:p w14:paraId="78ADA70C" w14:textId="77777777" w:rsidR="005A6089" w:rsidRDefault="005A6089" w:rsidP="00682C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747FC" w14:textId="77777777" w:rsidR="005A6089" w:rsidRDefault="005A6089" w:rsidP="00682C4E">
      <w:pPr>
        <w:spacing w:before="0" w:after="0"/>
      </w:pPr>
      <w:r>
        <w:separator/>
      </w:r>
    </w:p>
  </w:footnote>
  <w:footnote w:type="continuationSeparator" w:id="0">
    <w:p w14:paraId="40CB59DB" w14:textId="77777777" w:rsidR="005A6089" w:rsidRDefault="005A6089" w:rsidP="00682C4E">
      <w:pPr>
        <w:spacing w:before="0" w:after="0"/>
      </w:pPr>
      <w:r>
        <w:continuationSeparator/>
      </w:r>
    </w:p>
  </w:footnote>
  <w:footnote w:id="1">
    <w:p w14:paraId="7EE108A7" w14:textId="77777777" w:rsidR="00682C4E" w:rsidRDefault="00682C4E" w:rsidP="00682C4E">
      <w:pPr>
        <w:pStyle w:val="FootnoteText"/>
      </w:pPr>
      <w:r>
        <w:rPr>
          <w:rStyle w:val="FootnoteReference"/>
        </w:rPr>
        <w:footnoteRef/>
      </w:r>
      <w:r>
        <w:t xml:space="preserve"> </w:t>
      </w:r>
      <w:r w:rsidRPr="00B23CD8">
        <w:t>There are currently three licensed CCPs in Australia clearing OTC derivatives, including a subsidiary of the ASX</w:t>
      </w:r>
      <w:r>
        <w:t>.</w:t>
      </w:r>
    </w:p>
  </w:footnote>
  <w:footnote w:id="2">
    <w:p w14:paraId="1A15FB76" w14:textId="77777777" w:rsidR="00682C4E" w:rsidRDefault="00682C4E" w:rsidP="00682C4E">
      <w:pPr>
        <w:pStyle w:val="FootnoteText"/>
      </w:pPr>
      <w:r>
        <w:rPr>
          <w:rStyle w:val="FootnoteReference"/>
        </w:rPr>
        <w:footnoteRef/>
      </w:r>
      <w:r>
        <w:t xml:space="preserve"> T</w:t>
      </w:r>
      <w:r w:rsidRPr="00102AD9">
        <w:t>here</w:t>
      </w:r>
      <w:r>
        <w:t xml:space="preserve"> are a number of</w:t>
      </w:r>
      <w:r w:rsidRPr="00102AD9">
        <w:t xml:space="preserve"> reasons </w:t>
      </w:r>
      <w:r>
        <w:t>why</w:t>
      </w:r>
      <w:r w:rsidRPr="00102AD9">
        <w:t xml:space="preserve"> Australian dealers </w:t>
      </w:r>
      <w:r>
        <w:t xml:space="preserve">may </w:t>
      </w:r>
      <w:r w:rsidRPr="00102AD9">
        <w:t>wish</w:t>
      </w:r>
      <w:r>
        <w:t xml:space="preserve"> or have</w:t>
      </w:r>
      <w:r w:rsidRPr="00102AD9">
        <w:t xml:space="preserve"> to use overseas CCPs.  For example, some countries</w:t>
      </w:r>
      <w:r>
        <w:t xml:space="preserve"> </w:t>
      </w:r>
      <w:r w:rsidRPr="00102AD9">
        <w:t>make it mandatory</w:t>
      </w:r>
      <w:r>
        <w:t xml:space="preserve"> for their regulated entities</w:t>
      </w:r>
      <w:r w:rsidRPr="00102AD9">
        <w:t xml:space="preserve"> to use a domestic CCP for clearing transactions denominated in their currencies.</w:t>
      </w:r>
    </w:p>
  </w:footnote>
  <w:footnote w:id="3">
    <w:p w14:paraId="585C9D08" w14:textId="77777777" w:rsidR="00682C4E" w:rsidRDefault="00682C4E" w:rsidP="00682C4E">
      <w:pPr>
        <w:pStyle w:val="FootnoteText"/>
      </w:pPr>
      <w:r>
        <w:rPr>
          <w:rStyle w:val="FootnoteReference"/>
        </w:rPr>
        <w:footnoteRef/>
      </w:r>
      <w:r>
        <w:t xml:space="preserve"> If such an entity was active and regulated in Australia it would likely be captured by the definition of a foreign clearing entity.</w:t>
      </w:r>
    </w:p>
  </w:footnote>
  <w:footnote w:id="4">
    <w:p w14:paraId="74011A77" w14:textId="77777777" w:rsidR="00DD009C" w:rsidRDefault="00DD009C" w:rsidP="00F82C54">
      <w:pPr>
        <w:pStyle w:val="FootnoteText"/>
      </w:pPr>
      <w:r>
        <w:rPr>
          <w:rStyle w:val="FootnoteReference"/>
        </w:rPr>
        <w:footnoteRef/>
      </w:r>
      <w:r>
        <w:t xml:space="preserve"> </w:t>
      </w:r>
      <w:r w:rsidRPr="00F82C54">
        <w:t>http://mhc.ministers.treasury.gov.au/media-release/058-2014/</w:t>
      </w:r>
    </w:p>
  </w:footnote>
  <w:footnote w:id="5">
    <w:p w14:paraId="696129E9" w14:textId="77777777" w:rsidR="00DD009C" w:rsidRDefault="00DD009C" w:rsidP="00957582">
      <w:pPr>
        <w:pStyle w:val="FootnoteText"/>
      </w:pPr>
      <w:r>
        <w:rPr>
          <w:rStyle w:val="FootnoteReference"/>
        </w:rPr>
        <w:footnoteRef/>
      </w:r>
      <w:r>
        <w:t xml:space="preserve"> Bank for International Settlements, as of end 2013. This figure is however acknowledged to exaggerate the size of the market because it double-counts a large number of cleared transactions.</w:t>
      </w:r>
    </w:p>
  </w:footnote>
  <w:footnote w:id="6">
    <w:p w14:paraId="4F91B206" w14:textId="77777777" w:rsidR="00DD009C" w:rsidRDefault="00DD009C" w:rsidP="005C7C03">
      <w:pPr>
        <w:pStyle w:val="FootnoteText"/>
        <w:ind w:left="57" w:hanging="57"/>
      </w:pPr>
      <w:r>
        <w:rPr>
          <w:rStyle w:val="FootnoteReference"/>
        </w:rPr>
        <w:footnoteRef/>
      </w:r>
      <w:r w:rsidRPr="00E04CE9">
        <w:t>Report on the Australian OTC Derivatives Market, July 2013</w:t>
      </w:r>
      <w:r>
        <w:t xml:space="preserve">, available at </w:t>
      </w:r>
      <w:hyperlink r:id="rId1" w:history="1">
        <w:r>
          <w:rPr>
            <w:rStyle w:val="Hyperlink"/>
          </w:rPr>
          <w:t>http://www.cfr.gov.au/publications/cfr-publications/2013/report-on-the-australian-otc-derivatives-market-july/index.html</w:t>
        </w:r>
      </w:hyperlink>
      <w:r>
        <w:rPr>
          <w:rStyle w:val="Hyperlink"/>
        </w:rPr>
        <w:t>.</w:t>
      </w:r>
    </w:p>
  </w:footnote>
  <w:footnote w:id="7">
    <w:p w14:paraId="23677CFA" w14:textId="77777777" w:rsidR="00DD009C" w:rsidRDefault="00DD009C" w:rsidP="005C7C03">
      <w:pPr>
        <w:pStyle w:val="FootnoteText"/>
        <w:ind w:left="57" w:hanging="57"/>
      </w:pPr>
      <w:r w:rsidRPr="004E3400">
        <w:rPr>
          <w:rStyle w:val="FootnoteReference"/>
        </w:rPr>
        <w:footnoteRef/>
      </w:r>
      <w:r w:rsidRPr="004E3400">
        <w:t xml:space="preserve"> </w:t>
      </w:r>
      <w:r w:rsidRPr="004E3400">
        <w:rPr>
          <w:rStyle w:val="Hyperlink"/>
        </w:rPr>
        <w:t>Report on the Australian OTC Derivatives Market, April 2014, available on the same website of the Council of</w:t>
      </w:r>
      <w:r>
        <w:rPr>
          <w:rStyle w:val="Hyperlink"/>
        </w:rPr>
        <w:t xml:space="preserve"> </w:t>
      </w:r>
      <w:r w:rsidRPr="004E3400">
        <w:rPr>
          <w:rStyle w:val="Hyperlink"/>
        </w:rPr>
        <w:t>Financial Regulators (CFR).</w:t>
      </w:r>
    </w:p>
  </w:footnote>
  <w:footnote w:id="8">
    <w:p w14:paraId="543252C5" w14:textId="77777777" w:rsidR="00DD009C" w:rsidRDefault="00DD009C">
      <w:pPr>
        <w:pStyle w:val="FootnoteText"/>
      </w:pPr>
      <w:r>
        <w:rPr>
          <w:rStyle w:val="FootnoteReference"/>
        </w:rPr>
        <w:footnoteRef/>
      </w:r>
      <w:r>
        <w:t xml:space="preserve"> </w:t>
      </w:r>
      <w:r w:rsidRPr="00237970">
        <w:rPr>
          <w:iCs/>
        </w:rPr>
        <w:t xml:space="preserve">An </w:t>
      </w:r>
      <w:r>
        <w:rPr>
          <w:iCs/>
        </w:rPr>
        <w:t xml:space="preserve">unguaranteed </w:t>
      </w:r>
      <w:r w:rsidRPr="00237970">
        <w:rPr>
          <w:iCs/>
        </w:rPr>
        <w:t xml:space="preserve">Australian subsidiary of a US bank would not, but global banks </w:t>
      </w:r>
      <w:r>
        <w:rPr>
          <w:iCs/>
        </w:rPr>
        <w:t xml:space="preserve">have in the past </w:t>
      </w:r>
      <w:r w:rsidRPr="00237970">
        <w:rPr>
          <w:iCs/>
        </w:rPr>
        <w:t xml:space="preserve">generally </w:t>
      </w:r>
      <w:r>
        <w:rPr>
          <w:iCs/>
        </w:rPr>
        <w:t xml:space="preserve">structured their overseas </w:t>
      </w:r>
      <w:r w:rsidRPr="00237970">
        <w:rPr>
          <w:iCs/>
        </w:rPr>
        <w:t>operat</w:t>
      </w:r>
      <w:r>
        <w:rPr>
          <w:iCs/>
        </w:rPr>
        <w:t>ions as</w:t>
      </w:r>
      <w:r w:rsidRPr="00237970">
        <w:rPr>
          <w:iCs/>
        </w:rPr>
        <w:t xml:space="preserve"> branches and not subsidiaries where</w:t>
      </w:r>
      <w:r>
        <w:rPr>
          <w:iCs/>
        </w:rPr>
        <w:t>ver</w:t>
      </w:r>
      <w:r w:rsidRPr="00237970">
        <w:rPr>
          <w:iCs/>
        </w:rPr>
        <w:t xml:space="preserve"> possible.</w:t>
      </w:r>
    </w:p>
  </w:footnote>
  <w:footnote w:id="9">
    <w:p w14:paraId="299E2224" w14:textId="77777777" w:rsidR="00DD009C" w:rsidRDefault="00DD009C">
      <w:pPr>
        <w:pStyle w:val="FootnoteText"/>
      </w:pPr>
      <w:r>
        <w:rPr>
          <w:rStyle w:val="FootnoteReference"/>
        </w:rPr>
        <w:footnoteRef/>
      </w:r>
      <w:r>
        <w:t xml:space="preserve"> See discussion in Council of Financial Regulators, OTC Derivatives Market Reform Considerations, March 2012, p.18 for a discussion of the effect of prudential standards. Available at : </w:t>
      </w:r>
      <w:hyperlink r:id="rId2" w:history="1">
        <w:r w:rsidRPr="001D6BFE">
          <w:rPr>
            <w:rStyle w:val="Hyperlink"/>
          </w:rPr>
          <w:t>http://www.rba.gov.au/payments-system/clearing-settlement/otc-derivatives/201203-otc-der-mkt-ref-con/pdf/201203-otc-der-mkt-ref-con.pdf</w:t>
        </w:r>
      </w:hyperlink>
    </w:p>
  </w:footnote>
  <w:footnote w:id="10">
    <w:p w14:paraId="32907900" w14:textId="77777777" w:rsidR="00DD009C" w:rsidRDefault="00DD009C">
      <w:pPr>
        <w:pStyle w:val="FootnoteText"/>
      </w:pPr>
      <w:r>
        <w:rPr>
          <w:rStyle w:val="FootnoteReference"/>
        </w:rPr>
        <w:footnoteRef/>
      </w:r>
      <w:r>
        <w:t xml:space="preserve"> The equivalence or not of regulatory requirements in foreign jurisdictions is determined by the local regulator through a formal assessment.  </w:t>
      </w:r>
      <w:r w:rsidRPr="00775951">
        <w:rPr>
          <w:iCs/>
        </w:rPr>
        <w:t xml:space="preserve">Where </w:t>
      </w:r>
      <w:r>
        <w:rPr>
          <w:iCs/>
        </w:rPr>
        <w:t>e</w:t>
      </w:r>
      <w:r w:rsidRPr="00775951">
        <w:rPr>
          <w:iCs/>
        </w:rPr>
        <w:t xml:space="preserve">quivalent obligations </w:t>
      </w:r>
      <w:r>
        <w:rPr>
          <w:iCs/>
        </w:rPr>
        <w:t xml:space="preserve">are identified </w:t>
      </w:r>
      <w:r w:rsidRPr="00775951">
        <w:rPr>
          <w:iCs/>
        </w:rPr>
        <w:t xml:space="preserve">relief from </w:t>
      </w:r>
      <w:r>
        <w:rPr>
          <w:iCs/>
        </w:rPr>
        <w:t>local r</w:t>
      </w:r>
      <w:r w:rsidRPr="00775951">
        <w:rPr>
          <w:iCs/>
        </w:rPr>
        <w:t>equirements</w:t>
      </w:r>
      <w:r>
        <w:rPr>
          <w:iCs/>
        </w:rPr>
        <w:t xml:space="preserve"> is then granted</w:t>
      </w:r>
      <w:r w:rsidRPr="00775951">
        <w:rPr>
          <w:iCs/>
        </w:rPr>
        <w:t xml:space="preserve"> to</w:t>
      </w:r>
      <w:r>
        <w:rPr>
          <w:iCs/>
        </w:rPr>
        <w:t xml:space="preserve"> foreign</w:t>
      </w:r>
      <w:r w:rsidRPr="00775951">
        <w:rPr>
          <w:iCs/>
        </w:rPr>
        <w:t xml:space="preserve"> </w:t>
      </w:r>
      <w:r>
        <w:rPr>
          <w:iCs/>
        </w:rPr>
        <w:t>entities subject to those requirements in</w:t>
      </w:r>
      <w:r w:rsidRPr="00775951">
        <w:rPr>
          <w:iCs/>
        </w:rPr>
        <w:t xml:space="preserve"> the </w:t>
      </w:r>
      <w:r>
        <w:rPr>
          <w:iCs/>
        </w:rPr>
        <w:t>overseas</w:t>
      </w:r>
      <w:r w:rsidRPr="00775951">
        <w:rPr>
          <w:iCs/>
        </w:rPr>
        <w:t xml:space="preserve"> jurisdiction.</w:t>
      </w:r>
    </w:p>
  </w:footnote>
  <w:footnote w:id="11">
    <w:p w14:paraId="6B7EB822" w14:textId="77777777" w:rsidR="00DD009C" w:rsidRDefault="00DD009C">
      <w:pPr>
        <w:pStyle w:val="FootnoteText"/>
      </w:pPr>
      <w:r>
        <w:rPr>
          <w:rStyle w:val="FootnoteReference"/>
        </w:rPr>
        <w:footnoteRef/>
      </w:r>
      <w:r>
        <w:t xml:space="preserve"> </w:t>
      </w:r>
      <w:r w:rsidRPr="00D56379">
        <w:t>An assessment of the cost impact of this item is provided in Section 4 below.</w:t>
      </w:r>
    </w:p>
  </w:footnote>
  <w:footnote w:id="12">
    <w:p w14:paraId="776AE6F6" w14:textId="77777777" w:rsidR="00DD009C" w:rsidRDefault="00DD009C">
      <w:pPr>
        <w:pStyle w:val="FootnoteText"/>
      </w:pPr>
      <w:r>
        <w:rPr>
          <w:rStyle w:val="FootnoteReference"/>
        </w:rPr>
        <w:footnoteRef/>
      </w:r>
      <w:r>
        <w:t xml:space="preserve"> </w:t>
      </w:r>
      <w:r w:rsidRPr="00D56379">
        <w:t>This is an outcome that may arise out of a current dispute between European and US regulators with respect to the mutual recognition of CCPs.</w:t>
      </w:r>
    </w:p>
  </w:footnote>
  <w:footnote w:id="13">
    <w:p w14:paraId="5B2B59E3" w14:textId="77777777" w:rsidR="00DD009C" w:rsidRDefault="00DD009C">
      <w:pPr>
        <w:pStyle w:val="FootnoteText"/>
      </w:pPr>
      <w:r w:rsidRPr="004E3400">
        <w:rPr>
          <w:rStyle w:val="FootnoteReference"/>
        </w:rPr>
        <w:footnoteRef/>
      </w:r>
      <w:r w:rsidRPr="004E3400">
        <w:t xml:space="preserve"> The main regulator in the EU is the European Securities and Markets Authority (ESMA). Substituted compliance</w:t>
      </w:r>
      <w:r>
        <w:t xml:space="preserve"> determinations are formally made by the European Commission, after technical advice is provided by ESMA.</w:t>
      </w:r>
    </w:p>
  </w:footnote>
  <w:footnote w:id="14">
    <w:p w14:paraId="2924304F" w14:textId="77777777" w:rsidR="00DD009C" w:rsidRDefault="00DD009C">
      <w:pPr>
        <w:pStyle w:val="FootnoteText"/>
      </w:pPr>
      <w:r>
        <w:rPr>
          <w:rStyle w:val="FootnoteReference"/>
        </w:rPr>
        <w:footnoteRef/>
      </w:r>
      <w:r>
        <w:t xml:space="preserve"> 2013 Report p.33, and </w:t>
      </w:r>
      <w:r w:rsidRPr="002D6256">
        <w:t>2014 Report p.36</w:t>
      </w:r>
      <w:r>
        <w:t>.</w:t>
      </w:r>
    </w:p>
  </w:footnote>
  <w:footnote w:id="15">
    <w:p w14:paraId="6C5E0E2E" w14:textId="77777777" w:rsidR="00DD009C" w:rsidRDefault="00DD009C">
      <w:pPr>
        <w:pStyle w:val="FootnoteText"/>
      </w:pPr>
      <w:r w:rsidRPr="001D7DB9">
        <w:rPr>
          <w:vertAlign w:val="superscript"/>
        </w:rPr>
        <w:footnoteRef/>
      </w:r>
      <w:r>
        <w:t xml:space="preserve"> 2013 Report p.30, and </w:t>
      </w:r>
      <w:r w:rsidRPr="002D6256">
        <w:t>2014 Report p. 34</w:t>
      </w:r>
      <w:r>
        <w:t>.</w:t>
      </w:r>
    </w:p>
  </w:footnote>
  <w:footnote w:id="16">
    <w:p w14:paraId="6F52DF7D" w14:textId="77777777" w:rsidR="00DD009C" w:rsidRDefault="00DD009C">
      <w:pPr>
        <w:pStyle w:val="FootnoteText"/>
      </w:pPr>
      <w:r>
        <w:rPr>
          <w:rStyle w:val="FootnoteReference"/>
        </w:rPr>
        <w:footnoteRef/>
      </w:r>
      <w:r>
        <w:t xml:space="preserve"> As noted above ESMA provides relevant technical advice to the European Commission following a detailed equivalence assessment. The formal granting of substituted compliance relief is done by the Commission through implementing acts.</w:t>
      </w:r>
    </w:p>
  </w:footnote>
  <w:footnote w:id="17">
    <w:p w14:paraId="5954A416" w14:textId="77777777" w:rsidR="00DD009C" w:rsidRDefault="00DD009C">
      <w:pPr>
        <w:pStyle w:val="FootnoteText"/>
      </w:pPr>
      <w:r>
        <w:rPr>
          <w:rStyle w:val="FootnoteReference"/>
        </w:rPr>
        <w:footnoteRef/>
      </w:r>
      <w:r>
        <w:t xml:space="preserve"> It is likely that this calculation would have to be done at the end of each quarter, and an entity would be deemed to have exceeded the threshold if it remained above it for two consecutive quarters. The details of the proposed calculation method are set out in ASIC’s central clearing DTRs.</w:t>
      </w:r>
    </w:p>
  </w:footnote>
  <w:footnote w:id="18">
    <w:p w14:paraId="1F27CC91" w14:textId="77777777" w:rsidR="00DD009C" w:rsidRDefault="00DD009C">
      <w:pPr>
        <w:pStyle w:val="FootnoteText"/>
      </w:pPr>
      <w:r>
        <w:rPr>
          <w:rStyle w:val="FootnoteReference"/>
        </w:rPr>
        <w:footnoteRef/>
      </w:r>
      <w:r>
        <w:t xml:space="preserve"> See the 2013 Report, p.30.</w:t>
      </w:r>
    </w:p>
  </w:footnote>
  <w:footnote w:id="19">
    <w:p w14:paraId="54DF91B8" w14:textId="77777777" w:rsidR="00DD009C" w:rsidRDefault="00DD009C" w:rsidP="00C07D88">
      <w:pPr>
        <w:pStyle w:val="FootnoteText"/>
      </w:pPr>
      <w:r>
        <w:rPr>
          <w:rStyle w:val="FootnoteReference"/>
        </w:rPr>
        <w:footnoteRef/>
      </w:r>
      <w:r>
        <w:t xml:space="preserve"> See CFTC press release of 20 December 2013, available at: </w:t>
      </w:r>
      <w:r w:rsidRPr="00C07D88">
        <w:t>http://www.cftc.gov/PressRoom/PressReleases/pr6803-13</w:t>
      </w:r>
    </w:p>
  </w:footnote>
  <w:footnote w:id="20">
    <w:p w14:paraId="1FE61EC8" w14:textId="77777777" w:rsidR="00DD009C" w:rsidRDefault="00DD009C" w:rsidP="00735608">
      <w:pPr>
        <w:pStyle w:val="FootnoteText"/>
      </w:pPr>
      <w:r>
        <w:rPr>
          <w:rStyle w:val="FootnoteReference"/>
        </w:rPr>
        <w:footnoteRef/>
      </w:r>
      <w:r>
        <w:t xml:space="preserve"> Many dealers already have a chief compliance officer. Some may not, but this potential saving is ignored.</w:t>
      </w:r>
    </w:p>
  </w:footnote>
  <w:footnote w:id="21">
    <w:p w14:paraId="5A379773" w14:textId="77777777" w:rsidR="00DD009C" w:rsidRDefault="00DD009C">
      <w:pPr>
        <w:pStyle w:val="FootnoteText"/>
      </w:pPr>
      <w:r>
        <w:rPr>
          <w:rStyle w:val="FootnoteReference"/>
        </w:rPr>
        <w:footnoteRef/>
      </w:r>
      <w:r>
        <w:t xml:space="preserve"> Estimates based on industry input and publicly available information, for example with respect to average salaries in the US.</w:t>
      </w:r>
    </w:p>
  </w:footnote>
  <w:footnote w:id="22">
    <w:p w14:paraId="21BA0AD8" w14:textId="77777777" w:rsidR="00DD009C" w:rsidRDefault="00DD009C" w:rsidP="000A6008">
      <w:pPr>
        <w:pStyle w:val="FootnoteText"/>
      </w:pPr>
      <w:r>
        <w:rPr>
          <w:rStyle w:val="FootnoteReference"/>
        </w:rPr>
        <w:footnoteRef/>
      </w:r>
      <w:r>
        <w:t xml:space="preserve"> Estimates based on  industry input.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C2020"/>
    <w:lvl w:ilvl="0">
      <w:start w:val="1"/>
      <w:numFmt w:val="decimal"/>
      <w:lvlText w:val="%1."/>
      <w:lvlJc w:val="left"/>
      <w:pPr>
        <w:tabs>
          <w:tab w:val="num" w:pos="1492"/>
        </w:tabs>
        <w:ind w:left="1492" w:hanging="360"/>
      </w:pPr>
    </w:lvl>
  </w:abstractNum>
  <w:abstractNum w:abstractNumId="1">
    <w:nsid w:val="FFFFFF7D"/>
    <w:multiLevelType w:val="singleLevel"/>
    <w:tmpl w:val="07940722"/>
    <w:lvl w:ilvl="0">
      <w:start w:val="1"/>
      <w:numFmt w:val="decimal"/>
      <w:lvlText w:val="%1."/>
      <w:lvlJc w:val="left"/>
      <w:pPr>
        <w:tabs>
          <w:tab w:val="num" w:pos="1209"/>
        </w:tabs>
        <w:ind w:left="1209" w:hanging="360"/>
      </w:pPr>
    </w:lvl>
  </w:abstractNum>
  <w:abstractNum w:abstractNumId="2">
    <w:nsid w:val="FFFFFF7E"/>
    <w:multiLevelType w:val="singleLevel"/>
    <w:tmpl w:val="9E6289AC"/>
    <w:lvl w:ilvl="0">
      <w:start w:val="1"/>
      <w:numFmt w:val="decimal"/>
      <w:lvlText w:val="%1."/>
      <w:lvlJc w:val="left"/>
      <w:pPr>
        <w:tabs>
          <w:tab w:val="num" w:pos="926"/>
        </w:tabs>
        <w:ind w:left="926" w:hanging="360"/>
      </w:pPr>
    </w:lvl>
  </w:abstractNum>
  <w:abstractNum w:abstractNumId="3">
    <w:nsid w:val="FFFFFF7F"/>
    <w:multiLevelType w:val="singleLevel"/>
    <w:tmpl w:val="52FE35A2"/>
    <w:lvl w:ilvl="0">
      <w:start w:val="1"/>
      <w:numFmt w:val="decimal"/>
      <w:lvlText w:val="%1."/>
      <w:lvlJc w:val="left"/>
      <w:pPr>
        <w:tabs>
          <w:tab w:val="num" w:pos="643"/>
        </w:tabs>
        <w:ind w:left="643" w:hanging="360"/>
      </w:pPr>
    </w:lvl>
  </w:abstractNum>
  <w:abstractNum w:abstractNumId="4">
    <w:nsid w:val="FFFFFF80"/>
    <w:multiLevelType w:val="singleLevel"/>
    <w:tmpl w:val="DA268D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0CBD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BC81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E8B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349D7A"/>
    <w:lvl w:ilvl="0">
      <w:start w:val="1"/>
      <w:numFmt w:val="decimal"/>
      <w:lvlText w:val="%1."/>
      <w:lvlJc w:val="left"/>
      <w:pPr>
        <w:tabs>
          <w:tab w:val="num" w:pos="360"/>
        </w:tabs>
        <w:ind w:left="360" w:hanging="360"/>
      </w:pPr>
    </w:lvl>
  </w:abstractNum>
  <w:abstractNum w:abstractNumId="9">
    <w:nsid w:val="FFFFFF89"/>
    <w:multiLevelType w:val="singleLevel"/>
    <w:tmpl w:val="09AA184A"/>
    <w:lvl w:ilvl="0">
      <w:start w:val="1"/>
      <w:numFmt w:val="bullet"/>
      <w:lvlText w:val=""/>
      <w:lvlJc w:val="left"/>
      <w:pPr>
        <w:tabs>
          <w:tab w:val="num" w:pos="360"/>
        </w:tabs>
        <w:ind w:left="360" w:hanging="360"/>
      </w:pPr>
      <w:rPr>
        <w:rFonts w:ascii="Symbol" w:hAnsi="Symbol" w:hint="default"/>
      </w:rPr>
    </w:lvl>
  </w:abstractNum>
  <w:abstractNum w:abstractNumId="1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1">
    <w:nsid w:val="1D8074F5"/>
    <w:multiLevelType w:val="multilevel"/>
    <w:tmpl w:val="3B2434C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33261BE"/>
    <w:multiLevelType w:val="multilevel"/>
    <w:tmpl w:val="2476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nsid w:val="244237C5"/>
    <w:multiLevelType w:val="multilevel"/>
    <w:tmpl w:val="F36C271E"/>
    <w:name w:val="StandardNumberedList"/>
    <w:lvl w:ilvl="0">
      <w:start w:val="1"/>
      <w:numFmt w:val="decimal"/>
      <w:pStyle w:val="OutlineNumbered1"/>
      <w:lvlText w:val="%1."/>
      <w:lvlJc w:val="left"/>
      <w:pPr>
        <w:tabs>
          <w:tab w:val="num" w:pos="472"/>
        </w:tabs>
        <w:ind w:left="472" w:hanging="472"/>
      </w:pPr>
      <w:rPr>
        <w:b w:val="0"/>
        <w:i w:val="0"/>
      </w:rPr>
    </w:lvl>
    <w:lvl w:ilvl="1">
      <w:start w:val="1"/>
      <w:numFmt w:val="decimal"/>
      <w:pStyle w:val="OutlineNumbered2"/>
      <w:lvlText w:val="%1.%2."/>
      <w:lvlJc w:val="left"/>
      <w:pPr>
        <w:tabs>
          <w:tab w:val="num" w:pos="944"/>
        </w:tabs>
        <w:ind w:left="944" w:hanging="472"/>
      </w:pPr>
      <w:rPr>
        <w:b w:val="0"/>
        <w:i w:val="0"/>
      </w:rPr>
    </w:lvl>
    <w:lvl w:ilvl="2">
      <w:start w:val="1"/>
      <w:numFmt w:val="decimal"/>
      <w:pStyle w:val="OutlineNumbered3"/>
      <w:lvlText w:val="%1.%2.%3."/>
      <w:lvlJc w:val="left"/>
      <w:pPr>
        <w:tabs>
          <w:tab w:val="num" w:pos="1416"/>
        </w:tabs>
        <w:ind w:left="1416" w:hanging="472"/>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nsid w:val="27440C8B"/>
    <w:multiLevelType w:val="multilevel"/>
    <w:tmpl w:val="914A6D34"/>
    <w:lvl w:ilvl="0">
      <w:start w:val="1"/>
      <w:numFmt w:val="bullet"/>
      <w:lvlText w:val="•"/>
      <w:lvlJc w:val="left"/>
      <w:pPr>
        <w:tabs>
          <w:tab w:val="num" w:pos="472"/>
        </w:tabs>
        <w:ind w:left="472" w:hanging="472"/>
      </w:pPr>
      <w:rPr>
        <w:rFonts w:ascii="Times New Roman" w:hAnsi="Times New Roman" w:cs="Times New Roman"/>
        <w:b w:val="0"/>
        <w:i w:val="0"/>
      </w:rPr>
    </w:lvl>
    <w:lvl w:ilvl="1">
      <w:start w:val="1"/>
      <w:numFmt w:val="bullet"/>
      <w:lvlText w:val="–"/>
      <w:lvlJc w:val="left"/>
      <w:pPr>
        <w:tabs>
          <w:tab w:val="num" w:pos="944"/>
        </w:tabs>
        <w:ind w:left="944" w:hanging="472"/>
      </w:pPr>
      <w:rPr>
        <w:rFonts w:ascii="Times New Roman" w:hAnsi="Times New Roman" w:cs="Times New Roman"/>
        <w:b w:val="0"/>
        <w:i w:val="0"/>
      </w:rPr>
    </w:lvl>
    <w:lvl w:ilvl="2">
      <w:start w:val="1"/>
      <w:numFmt w:val="bullet"/>
      <w:lvlText w:val=":"/>
      <w:lvlJc w:val="left"/>
      <w:pPr>
        <w:tabs>
          <w:tab w:val="num" w:pos="1416"/>
        </w:tabs>
        <w:ind w:left="1416" w:hanging="472"/>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7">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18">
    <w:nsid w:val="4B400F83"/>
    <w:multiLevelType w:val="multilevel"/>
    <w:tmpl w:val="F0EE9C22"/>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C550C1E"/>
    <w:multiLevelType w:val="multilevel"/>
    <w:tmpl w:val="23DC3A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1">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2">
    <w:nsid w:val="5E0A6F8D"/>
    <w:multiLevelType w:val="multilevel"/>
    <w:tmpl w:val="51941ED6"/>
    <w:name w:val="RecommendationBulletedList"/>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nsid w:val="63B31EC1"/>
    <w:multiLevelType w:val="multilevel"/>
    <w:tmpl w:val="FFD4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2FD3601"/>
    <w:multiLevelType w:val="multilevel"/>
    <w:tmpl w:val="24CAA41A"/>
    <w:lvl w:ilvl="0">
      <w:start w:val="1"/>
      <w:numFmt w:val="decimal"/>
      <w:lvlText w:val="%1."/>
      <w:lvlJc w:val="left"/>
      <w:pPr>
        <w:tabs>
          <w:tab w:val="num" w:pos="661"/>
        </w:tabs>
        <w:ind w:left="661" w:hanging="661"/>
      </w:pPr>
      <w:rPr>
        <w:rFonts w:hint="default"/>
      </w:rPr>
    </w:lvl>
    <w:lvl w:ilvl="1">
      <w:start w:val="1"/>
      <w:numFmt w:val="decimal"/>
      <w:lvlText w:val="%1.%2."/>
      <w:lvlJc w:val="left"/>
      <w:pPr>
        <w:tabs>
          <w:tab w:val="num" w:pos="1322"/>
        </w:tabs>
        <w:ind w:left="1322" w:hanging="661"/>
      </w:pPr>
      <w:rPr>
        <w:rFonts w:hint="default"/>
      </w:rPr>
    </w:lvl>
    <w:lvl w:ilvl="2">
      <w:start w:val="1"/>
      <w:numFmt w:val="decimal"/>
      <w:lvlText w:val="%1.%2.%3."/>
      <w:lvlJc w:val="left"/>
      <w:pPr>
        <w:tabs>
          <w:tab w:val="num" w:pos="1983"/>
        </w:tabs>
        <w:ind w:left="1983" w:hanging="66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BDE4630"/>
    <w:multiLevelType w:val="multilevel"/>
    <w:tmpl w:val="84DAFD3C"/>
    <w:lvl w:ilvl="0">
      <w:start w:val="1"/>
      <w:numFmt w:val="bullet"/>
      <w:lvlText w:val="•"/>
      <w:lvlJc w:val="left"/>
      <w:pPr>
        <w:tabs>
          <w:tab w:val="num" w:pos="661"/>
        </w:tabs>
        <w:ind w:left="661" w:hanging="661"/>
      </w:pPr>
      <w:rPr>
        <w:rFonts w:ascii="Times New Roman" w:hAnsi="Times New Roman" w:cs="Times New Roman"/>
      </w:rPr>
    </w:lvl>
    <w:lvl w:ilvl="1">
      <w:start w:val="1"/>
      <w:numFmt w:val="bullet"/>
      <w:lvlText w:val="–"/>
      <w:lvlJc w:val="left"/>
      <w:pPr>
        <w:tabs>
          <w:tab w:val="num" w:pos="1322"/>
        </w:tabs>
        <w:ind w:left="1322" w:hanging="661"/>
      </w:pPr>
      <w:rPr>
        <w:rFonts w:ascii="Times New Roman" w:hAnsi="Times New Roman" w:cs="Times New Roman"/>
      </w:rPr>
    </w:lvl>
    <w:lvl w:ilvl="2">
      <w:start w:val="1"/>
      <w:numFmt w:val="bullet"/>
      <w:lvlText w:val=":"/>
      <w:lvlJc w:val="left"/>
      <w:pPr>
        <w:tabs>
          <w:tab w:val="num" w:pos="1983"/>
        </w:tabs>
        <w:ind w:left="1983" w:hanging="66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24"/>
  </w:num>
  <w:num w:numId="3">
    <w:abstractNumId w:val="15"/>
  </w:num>
  <w:num w:numId="4">
    <w:abstractNumId w:val="14"/>
  </w:num>
  <w:num w:numId="5">
    <w:abstractNumId w:val="17"/>
  </w:num>
  <w:num w:numId="6">
    <w:abstractNumId w:val="20"/>
  </w:num>
  <w:num w:numId="7">
    <w:abstractNumId w:val="13"/>
  </w:num>
  <w:num w:numId="8">
    <w:abstractNumId w:val="26"/>
  </w:num>
  <w:num w:numId="9">
    <w:abstractNumId w:val="21"/>
  </w:num>
  <w:num w:numId="10">
    <w:abstractNumId w:val="10"/>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9"/>
  </w:num>
  <w:num w:numId="23">
    <w:abstractNumId w:val="11"/>
  </w:num>
  <w:num w:numId="24">
    <w:abstractNumId w:val="23"/>
  </w:num>
  <w:num w:numId="25">
    <w:abstractNumId w:val="12"/>
  </w:num>
  <w:num w:numId="26">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6C"/>
    <w:rsid w:val="00016EA2"/>
    <w:rsid w:val="00034266"/>
    <w:rsid w:val="00035294"/>
    <w:rsid w:val="0007687E"/>
    <w:rsid w:val="000850BC"/>
    <w:rsid w:val="00095211"/>
    <w:rsid w:val="00096DA6"/>
    <w:rsid w:val="000C10DF"/>
    <w:rsid w:val="000C7C9F"/>
    <w:rsid w:val="00101775"/>
    <w:rsid w:val="00113B45"/>
    <w:rsid w:val="001361CD"/>
    <w:rsid w:val="00143A4F"/>
    <w:rsid w:val="001550F7"/>
    <w:rsid w:val="001E6A74"/>
    <w:rsid w:val="001F41D0"/>
    <w:rsid w:val="00220F16"/>
    <w:rsid w:val="002366B9"/>
    <w:rsid w:val="00254C5B"/>
    <w:rsid w:val="00255AA4"/>
    <w:rsid w:val="002701F1"/>
    <w:rsid w:val="00286B3A"/>
    <w:rsid w:val="0030138F"/>
    <w:rsid w:val="003342CD"/>
    <w:rsid w:val="00335042"/>
    <w:rsid w:val="00392BBA"/>
    <w:rsid w:val="00394488"/>
    <w:rsid w:val="003C6C3D"/>
    <w:rsid w:val="00411D22"/>
    <w:rsid w:val="004E39E1"/>
    <w:rsid w:val="00503E44"/>
    <w:rsid w:val="00515283"/>
    <w:rsid w:val="00532408"/>
    <w:rsid w:val="0055675D"/>
    <w:rsid w:val="005833BE"/>
    <w:rsid w:val="005A6089"/>
    <w:rsid w:val="005D623F"/>
    <w:rsid w:val="005D7D5A"/>
    <w:rsid w:val="0060130D"/>
    <w:rsid w:val="0063478D"/>
    <w:rsid w:val="00635304"/>
    <w:rsid w:val="0064129F"/>
    <w:rsid w:val="00682C4E"/>
    <w:rsid w:val="006B7BE5"/>
    <w:rsid w:val="006F1D6C"/>
    <w:rsid w:val="00743F53"/>
    <w:rsid w:val="007B353A"/>
    <w:rsid w:val="007C6128"/>
    <w:rsid w:val="007D5E8B"/>
    <w:rsid w:val="007E018D"/>
    <w:rsid w:val="00801A2D"/>
    <w:rsid w:val="00807E7D"/>
    <w:rsid w:val="00815A6F"/>
    <w:rsid w:val="00831675"/>
    <w:rsid w:val="00857B4A"/>
    <w:rsid w:val="00862BD7"/>
    <w:rsid w:val="0088467C"/>
    <w:rsid w:val="008909CB"/>
    <w:rsid w:val="008D16F7"/>
    <w:rsid w:val="00942010"/>
    <w:rsid w:val="009E2F86"/>
    <w:rsid w:val="009E51C3"/>
    <w:rsid w:val="00A12209"/>
    <w:rsid w:val="00A36DF3"/>
    <w:rsid w:val="00A45B26"/>
    <w:rsid w:val="00A532DD"/>
    <w:rsid w:val="00A6155D"/>
    <w:rsid w:val="00A80BCF"/>
    <w:rsid w:val="00B07B0C"/>
    <w:rsid w:val="00B65C78"/>
    <w:rsid w:val="00BD61A2"/>
    <w:rsid w:val="00BE484D"/>
    <w:rsid w:val="00C33628"/>
    <w:rsid w:val="00C37E05"/>
    <w:rsid w:val="00C55D29"/>
    <w:rsid w:val="00CA07E7"/>
    <w:rsid w:val="00CD713B"/>
    <w:rsid w:val="00D049A3"/>
    <w:rsid w:val="00D143D7"/>
    <w:rsid w:val="00D34626"/>
    <w:rsid w:val="00D4257A"/>
    <w:rsid w:val="00D7125A"/>
    <w:rsid w:val="00D90D73"/>
    <w:rsid w:val="00DB797C"/>
    <w:rsid w:val="00DC0CDE"/>
    <w:rsid w:val="00DD009C"/>
    <w:rsid w:val="00DE7E06"/>
    <w:rsid w:val="00E0624D"/>
    <w:rsid w:val="00E40754"/>
    <w:rsid w:val="00E4438C"/>
    <w:rsid w:val="00E457F3"/>
    <w:rsid w:val="00EB7E71"/>
    <w:rsid w:val="00F109D4"/>
    <w:rsid w:val="00F24F1B"/>
    <w:rsid w:val="00F80848"/>
    <w:rsid w:val="00F87B6A"/>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A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paragraph" w:styleId="Heading5">
    <w:name w:val="heading 5"/>
    <w:basedOn w:val="HeadingBase"/>
    <w:next w:val="Normal"/>
    <w:link w:val="Heading5Char"/>
    <w:qFormat/>
    <w:rsid w:val="00DD009C"/>
    <w:pPr>
      <w:spacing w:after="120"/>
      <w:outlineLvl w:val="4"/>
    </w:pPr>
    <w:rPr>
      <w:b/>
      <w:bCs/>
      <w:iCs/>
    </w:rPr>
  </w:style>
  <w:style w:type="paragraph" w:styleId="Heading6">
    <w:name w:val="heading 6"/>
    <w:basedOn w:val="HeadingBase"/>
    <w:next w:val="Normal"/>
    <w:link w:val="Heading6Char"/>
    <w:qFormat/>
    <w:rsid w:val="00DD009C"/>
    <w:pPr>
      <w:spacing w:after="120"/>
      <w:outlineLvl w:val="5"/>
    </w:pPr>
    <w:rPr>
      <w:bCs/>
      <w:szCs w:val="22"/>
    </w:rPr>
  </w:style>
  <w:style w:type="paragraph" w:styleId="Heading7">
    <w:name w:val="heading 7"/>
    <w:basedOn w:val="HeadingBase"/>
    <w:next w:val="Normal"/>
    <w:link w:val="Heading7Char"/>
    <w:qFormat/>
    <w:rsid w:val="00DD009C"/>
    <w:pPr>
      <w:spacing w:after="120"/>
      <w:outlineLvl w:val="6"/>
    </w:pPr>
    <w:rPr>
      <w:szCs w:val="24"/>
    </w:rPr>
  </w:style>
  <w:style w:type="paragraph" w:styleId="Heading8">
    <w:name w:val="heading 8"/>
    <w:basedOn w:val="HeadingBase"/>
    <w:next w:val="Normal"/>
    <w:link w:val="Heading8Char"/>
    <w:qFormat/>
    <w:rsid w:val="00DD009C"/>
    <w:pPr>
      <w:spacing w:after="120"/>
      <w:outlineLvl w:val="7"/>
    </w:pPr>
    <w:rPr>
      <w:iCs/>
      <w:szCs w:val="24"/>
    </w:rPr>
  </w:style>
  <w:style w:type="paragraph" w:styleId="Heading9">
    <w:name w:val="heading 9"/>
    <w:basedOn w:val="HeadingBase"/>
    <w:next w:val="Normal"/>
    <w:link w:val="Heading9Char"/>
    <w:qFormat/>
    <w:rsid w:val="00DD009C"/>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b Char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FootnoteText">
    <w:name w:val="footnote text"/>
    <w:basedOn w:val="Normal"/>
    <w:link w:val="FootnoteTextChar"/>
    <w:uiPriority w:val="99"/>
    <w:unhideWhenUsed/>
    <w:rsid w:val="00682C4E"/>
    <w:pPr>
      <w:spacing w:before="0" w:after="0"/>
    </w:pPr>
    <w:rPr>
      <w:sz w:val="20"/>
    </w:rPr>
  </w:style>
  <w:style w:type="character" w:customStyle="1" w:styleId="FootnoteTextChar">
    <w:name w:val="Footnote Text Char"/>
    <w:basedOn w:val="DefaultParagraphFont"/>
    <w:link w:val="FootnoteText"/>
    <w:uiPriority w:val="99"/>
    <w:rsid w:val="00682C4E"/>
  </w:style>
  <w:style w:type="character" w:styleId="FootnoteReference">
    <w:name w:val="footnote reference"/>
    <w:basedOn w:val="DefaultParagraphFont"/>
    <w:uiPriority w:val="99"/>
    <w:unhideWhenUsed/>
    <w:rsid w:val="00682C4E"/>
    <w:rPr>
      <w:vertAlign w:val="superscript"/>
    </w:rPr>
  </w:style>
  <w:style w:type="character" w:customStyle="1" w:styleId="Heading5Char">
    <w:name w:val="Heading 5 Char"/>
    <w:basedOn w:val="DefaultParagraphFont"/>
    <w:link w:val="Heading5"/>
    <w:rsid w:val="00DD009C"/>
    <w:rPr>
      <w:rFonts w:ascii="Arial" w:hAnsi="Arial"/>
      <w:b/>
      <w:bCs/>
      <w:iCs/>
      <w:color w:val="000000"/>
    </w:rPr>
  </w:style>
  <w:style w:type="character" w:customStyle="1" w:styleId="Heading6Char">
    <w:name w:val="Heading 6 Char"/>
    <w:basedOn w:val="DefaultParagraphFont"/>
    <w:link w:val="Heading6"/>
    <w:rsid w:val="00DD009C"/>
    <w:rPr>
      <w:rFonts w:ascii="Arial" w:hAnsi="Arial"/>
      <w:bCs/>
      <w:color w:val="000000"/>
      <w:szCs w:val="22"/>
    </w:rPr>
  </w:style>
  <w:style w:type="character" w:customStyle="1" w:styleId="Heading7Char">
    <w:name w:val="Heading 7 Char"/>
    <w:basedOn w:val="DefaultParagraphFont"/>
    <w:link w:val="Heading7"/>
    <w:rsid w:val="00DD009C"/>
    <w:rPr>
      <w:rFonts w:ascii="Arial" w:hAnsi="Arial"/>
      <w:color w:val="000000"/>
      <w:szCs w:val="24"/>
    </w:rPr>
  </w:style>
  <w:style w:type="character" w:customStyle="1" w:styleId="Heading8Char">
    <w:name w:val="Heading 8 Char"/>
    <w:basedOn w:val="DefaultParagraphFont"/>
    <w:link w:val="Heading8"/>
    <w:rsid w:val="00DD009C"/>
    <w:rPr>
      <w:rFonts w:ascii="Arial" w:hAnsi="Arial"/>
      <w:iCs/>
      <w:color w:val="000000"/>
      <w:szCs w:val="24"/>
    </w:rPr>
  </w:style>
  <w:style w:type="character" w:customStyle="1" w:styleId="Heading9Char">
    <w:name w:val="Heading 9 Char"/>
    <w:basedOn w:val="DefaultParagraphFont"/>
    <w:link w:val="Heading9"/>
    <w:rsid w:val="00DD009C"/>
    <w:rPr>
      <w:rFonts w:ascii="Arial" w:hAnsi="Arial" w:cs="Arial"/>
      <w:color w:val="000000"/>
      <w:szCs w:val="22"/>
    </w:rPr>
  </w:style>
  <w:style w:type="paragraph" w:customStyle="1" w:styleId="SingleParagraph">
    <w:name w:val="Single Paragraph"/>
    <w:basedOn w:val="Normal"/>
    <w:rsid w:val="00DD009C"/>
    <w:pPr>
      <w:spacing w:before="0" w:after="0" w:line="260" w:lineRule="exact"/>
      <w:jc w:val="both"/>
    </w:pPr>
    <w:rPr>
      <w:rFonts w:ascii="Book Antiqua" w:hAnsi="Book Antiqua"/>
      <w:color w:val="000000"/>
      <w:sz w:val="20"/>
    </w:rPr>
  </w:style>
  <w:style w:type="character" w:customStyle="1" w:styleId="BoldandItalic">
    <w:name w:val="Bold and Italic"/>
    <w:basedOn w:val="DefaultParagraphFont"/>
    <w:rsid w:val="00DD009C"/>
    <w:rPr>
      <w:rFonts w:ascii="Arial" w:hAnsi="Arial"/>
      <w:b/>
      <w:i/>
    </w:rPr>
  </w:style>
  <w:style w:type="table" w:styleId="TableGrid">
    <w:name w:val="Table Grid"/>
    <w:basedOn w:val="TableNormal"/>
    <w:uiPriority w:val="59"/>
    <w:rsid w:val="00DD009C"/>
    <w:pPr>
      <w:spacing w:after="240" w:line="260" w:lineRule="exact"/>
      <w:jc w:val="both"/>
    </w:pPr>
    <w:tblPr>
      <w:tblInd w:w="0" w:type="dxa"/>
      <w:tblCellMar>
        <w:top w:w="0" w:type="dxa"/>
        <w:left w:w="108" w:type="dxa"/>
        <w:bottom w:w="0" w:type="dxa"/>
        <w:right w:w="108" w:type="dxa"/>
      </w:tblCellMar>
    </w:tblPr>
    <w:tcPr>
      <w:shd w:val="clear" w:color="auto" w:fill="E6E6E6"/>
    </w:tcPr>
  </w:style>
  <w:style w:type="character" w:styleId="PageNumber">
    <w:name w:val="page number"/>
    <w:basedOn w:val="DefaultParagraphFont"/>
    <w:rsid w:val="00DD009C"/>
    <w:rPr>
      <w:rFonts w:ascii="Arial" w:hAnsi="Arial"/>
      <w:sz w:val="18"/>
    </w:rPr>
  </w:style>
  <w:style w:type="paragraph" w:customStyle="1" w:styleId="OutlineNumbered1">
    <w:name w:val="Outline Numbered 1"/>
    <w:basedOn w:val="Normal"/>
    <w:rsid w:val="00DD009C"/>
    <w:pPr>
      <w:numPr>
        <w:numId w:val="4"/>
      </w:numPr>
      <w:spacing w:before="0" w:after="240" w:line="260" w:lineRule="exact"/>
      <w:jc w:val="both"/>
    </w:pPr>
    <w:rPr>
      <w:rFonts w:ascii="Book Antiqua" w:hAnsi="Book Antiqua"/>
      <w:color w:val="000000"/>
      <w:sz w:val="20"/>
    </w:rPr>
  </w:style>
  <w:style w:type="paragraph" w:customStyle="1" w:styleId="OutlineNumbered2">
    <w:name w:val="Outline Numbered 2"/>
    <w:basedOn w:val="Normal"/>
    <w:rsid w:val="00DD009C"/>
    <w:pPr>
      <w:numPr>
        <w:ilvl w:val="1"/>
        <w:numId w:val="4"/>
      </w:numPr>
      <w:spacing w:before="0" w:after="240" w:line="260" w:lineRule="exact"/>
      <w:jc w:val="both"/>
    </w:pPr>
    <w:rPr>
      <w:rFonts w:ascii="Book Antiqua" w:hAnsi="Book Antiqua"/>
      <w:color w:val="000000"/>
      <w:sz w:val="20"/>
    </w:rPr>
  </w:style>
  <w:style w:type="paragraph" w:customStyle="1" w:styleId="OutlineNumbered3">
    <w:name w:val="Outline Numbered 3"/>
    <w:basedOn w:val="Normal"/>
    <w:rsid w:val="00DD009C"/>
    <w:pPr>
      <w:numPr>
        <w:ilvl w:val="2"/>
        <w:numId w:val="4"/>
      </w:numPr>
      <w:spacing w:before="0" w:after="240" w:line="260" w:lineRule="exact"/>
      <w:jc w:val="both"/>
    </w:pPr>
    <w:rPr>
      <w:rFonts w:ascii="Book Antiqua" w:hAnsi="Book Antiqua"/>
      <w:color w:val="000000"/>
      <w:sz w:val="20"/>
    </w:rPr>
  </w:style>
  <w:style w:type="paragraph" w:customStyle="1" w:styleId="AlphaParagraph">
    <w:name w:val="Alpha Paragraph"/>
    <w:basedOn w:val="Normal"/>
    <w:rsid w:val="00DD009C"/>
    <w:pPr>
      <w:numPr>
        <w:numId w:val="5"/>
      </w:numPr>
      <w:tabs>
        <w:tab w:val="clear" w:pos="567"/>
        <w:tab w:val="num" w:pos="283"/>
      </w:tabs>
      <w:spacing w:before="0" w:after="240" w:line="260" w:lineRule="exact"/>
      <w:ind w:left="283" w:hanging="283"/>
      <w:jc w:val="both"/>
    </w:pPr>
    <w:rPr>
      <w:rFonts w:ascii="Book Antiqua" w:hAnsi="Book Antiqua"/>
      <w:color w:val="000000"/>
      <w:sz w:val="20"/>
    </w:rPr>
  </w:style>
  <w:style w:type="paragraph" w:customStyle="1" w:styleId="HeadingBase">
    <w:name w:val="Heading Base"/>
    <w:next w:val="Normal"/>
    <w:link w:val="HeadingBaseChar"/>
    <w:rsid w:val="00DD009C"/>
    <w:pPr>
      <w:keepNext/>
    </w:pPr>
    <w:rPr>
      <w:rFonts w:ascii="Arial" w:hAnsi="Arial"/>
      <w:color w:val="000000"/>
    </w:rPr>
  </w:style>
  <w:style w:type="paragraph" w:customStyle="1" w:styleId="AppendixHeading">
    <w:name w:val="Appendix Heading"/>
    <w:basedOn w:val="HeadingBase"/>
    <w:next w:val="Normal"/>
    <w:rsid w:val="00DD009C"/>
    <w:pPr>
      <w:spacing w:before="720" w:after="360"/>
    </w:pPr>
    <w:rPr>
      <w:rFonts w:ascii="Arial Bold" w:hAnsi="Arial Bold"/>
      <w:b/>
      <w:smallCaps/>
      <w:sz w:val="36"/>
      <w:szCs w:val="36"/>
    </w:rPr>
  </w:style>
  <w:style w:type="character" w:customStyle="1" w:styleId="Bold">
    <w:name w:val="Bold"/>
    <w:basedOn w:val="DefaultParagraphFont"/>
    <w:rsid w:val="00DD009C"/>
    <w:rPr>
      <w:b/>
    </w:rPr>
  </w:style>
  <w:style w:type="paragraph" w:customStyle="1" w:styleId="BoxHeading">
    <w:name w:val="Box Heading"/>
    <w:basedOn w:val="HeadingBase"/>
    <w:next w:val="BoxText"/>
    <w:rsid w:val="00DD009C"/>
    <w:pPr>
      <w:spacing w:before="240" w:after="120"/>
    </w:pPr>
    <w:rPr>
      <w:b/>
      <w:sz w:val="22"/>
    </w:rPr>
  </w:style>
  <w:style w:type="paragraph" w:customStyle="1" w:styleId="BoxTextBase">
    <w:name w:val="Box Text Base"/>
    <w:basedOn w:val="Normal"/>
    <w:rsid w:val="00DD009C"/>
    <w:pPr>
      <w:spacing w:before="0" w:after="240"/>
      <w:jc w:val="both"/>
    </w:pPr>
    <w:rPr>
      <w:rFonts w:ascii="Book Antiqua" w:hAnsi="Book Antiqua"/>
      <w:color w:val="000000"/>
      <w:sz w:val="20"/>
    </w:rPr>
  </w:style>
  <w:style w:type="paragraph" w:customStyle="1" w:styleId="ChartandTableFootnoteAlpha">
    <w:name w:val="Chart and Table Footnote Alpha"/>
    <w:rsid w:val="00DD009C"/>
    <w:pPr>
      <w:numPr>
        <w:numId w:val="6"/>
      </w:numPr>
      <w:jc w:val="both"/>
    </w:pPr>
    <w:rPr>
      <w:rFonts w:ascii="Arial" w:hAnsi="Arial"/>
      <w:color w:val="000000"/>
      <w:sz w:val="16"/>
      <w:szCs w:val="16"/>
    </w:rPr>
  </w:style>
  <w:style w:type="paragraph" w:customStyle="1" w:styleId="ChartGraphic">
    <w:name w:val="Chart Graphic"/>
    <w:basedOn w:val="HeadingBase"/>
    <w:next w:val="Normal"/>
    <w:rsid w:val="00DD009C"/>
    <w:pPr>
      <w:jc w:val="center"/>
    </w:pPr>
  </w:style>
  <w:style w:type="paragraph" w:customStyle="1" w:styleId="ChartMainHeading">
    <w:name w:val="Chart Main Heading"/>
    <w:basedOn w:val="HeadingBase"/>
    <w:next w:val="ChartGraphic"/>
    <w:rsid w:val="00DD009C"/>
    <w:pPr>
      <w:spacing w:after="20"/>
      <w:jc w:val="center"/>
    </w:pPr>
    <w:rPr>
      <w:b/>
      <w:sz w:val="22"/>
    </w:rPr>
  </w:style>
  <w:style w:type="paragraph" w:customStyle="1" w:styleId="ChartorTableNote">
    <w:name w:val="Chart or Table Note"/>
    <w:next w:val="Normal"/>
    <w:rsid w:val="00DD009C"/>
    <w:pPr>
      <w:jc w:val="both"/>
    </w:pPr>
    <w:rPr>
      <w:rFonts w:ascii="Arial" w:hAnsi="Arial"/>
      <w:color w:val="000000"/>
      <w:sz w:val="16"/>
    </w:rPr>
  </w:style>
  <w:style w:type="paragraph" w:customStyle="1" w:styleId="ChartSecondHeading">
    <w:name w:val="Chart Second Heading"/>
    <w:basedOn w:val="HeadingBase"/>
    <w:next w:val="ChartGraphic"/>
    <w:rsid w:val="00DD009C"/>
    <w:pPr>
      <w:spacing w:after="20"/>
      <w:jc w:val="center"/>
    </w:pPr>
  </w:style>
  <w:style w:type="paragraph" w:customStyle="1" w:styleId="Classification">
    <w:name w:val="Classification"/>
    <w:basedOn w:val="HeadingBase"/>
    <w:next w:val="Footer"/>
    <w:rsid w:val="00DD009C"/>
    <w:pPr>
      <w:spacing w:after="120"/>
      <w:jc w:val="center"/>
    </w:pPr>
    <w:rPr>
      <w:b/>
      <w:smallCaps/>
    </w:rPr>
  </w:style>
  <w:style w:type="paragraph" w:styleId="Footer">
    <w:name w:val="footer"/>
    <w:basedOn w:val="HeadingBase"/>
    <w:link w:val="FooterChar"/>
    <w:rsid w:val="00DD009C"/>
    <w:rPr>
      <w:sz w:val="18"/>
    </w:rPr>
  </w:style>
  <w:style w:type="character" w:customStyle="1" w:styleId="FooterChar">
    <w:name w:val="Footer Char"/>
    <w:basedOn w:val="DefaultParagraphFont"/>
    <w:link w:val="Footer"/>
    <w:rsid w:val="00DD009C"/>
    <w:rPr>
      <w:rFonts w:ascii="Arial" w:hAnsi="Arial"/>
      <w:color w:val="000000"/>
      <w:sz w:val="18"/>
    </w:rPr>
  </w:style>
  <w:style w:type="paragraph" w:customStyle="1" w:styleId="ContentsHeading">
    <w:name w:val="Contents Heading"/>
    <w:basedOn w:val="HeadingBase"/>
    <w:next w:val="Normal"/>
    <w:rsid w:val="00DD009C"/>
    <w:pPr>
      <w:spacing w:after="360"/>
    </w:pPr>
    <w:rPr>
      <w:smallCaps/>
      <w:sz w:val="36"/>
      <w:szCs w:val="36"/>
    </w:rPr>
  </w:style>
  <w:style w:type="paragraph" w:customStyle="1" w:styleId="CoverTitleMain">
    <w:name w:val="Cover Title Main"/>
    <w:basedOn w:val="HeadingBase"/>
    <w:next w:val="Normal"/>
    <w:rsid w:val="00DD009C"/>
    <w:pPr>
      <w:spacing w:after="480"/>
      <w:jc w:val="center"/>
    </w:pPr>
    <w:rPr>
      <w:b/>
      <w:sz w:val="48"/>
    </w:rPr>
  </w:style>
  <w:style w:type="paragraph" w:customStyle="1" w:styleId="CoverTitleSub">
    <w:name w:val="Cover Title Sub"/>
    <w:basedOn w:val="HeadingBase"/>
    <w:rsid w:val="00DD009C"/>
    <w:pPr>
      <w:spacing w:after="360"/>
      <w:jc w:val="center"/>
    </w:pPr>
    <w:rPr>
      <w:sz w:val="36"/>
    </w:rPr>
  </w:style>
  <w:style w:type="paragraph" w:customStyle="1" w:styleId="FooterCentered">
    <w:name w:val="Footer Centered"/>
    <w:basedOn w:val="Footer"/>
    <w:rsid w:val="00DD009C"/>
    <w:pPr>
      <w:jc w:val="center"/>
    </w:pPr>
  </w:style>
  <w:style w:type="paragraph" w:customStyle="1" w:styleId="FooterEven">
    <w:name w:val="Footer Even"/>
    <w:basedOn w:val="Footer"/>
    <w:rsid w:val="00DD009C"/>
  </w:style>
  <w:style w:type="paragraph" w:customStyle="1" w:styleId="FooterOdd">
    <w:name w:val="Footer Odd"/>
    <w:basedOn w:val="Footer"/>
    <w:rsid w:val="00DD009C"/>
    <w:pPr>
      <w:jc w:val="right"/>
    </w:pPr>
  </w:style>
  <w:style w:type="character" w:customStyle="1" w:styleId="FramedFooter">
    <w:name w:val="Framed Footer"/>
    <w:rsid w:val="00DD009C"/>
    <w:rPr>
      <w:rFonts w:ascii="Arial" w:hAnsi="Arial"/>
      <w:sz w:val="18"/>
    </w:rPr>
  </w:style>
  <w:style w:type="character" w:customStyle="1" w:styleId="FramedHeader">
    <w:name w:val="Framed Header"/>
    <w:basedOn w:val="DefaultParagraphFont"/>
    <w:rsid w:val="00DD009C"/>
    <w:rPr>
      <w:rFonts w:ascii="Arial" w:hAnsi="Arial"/>
      <w:dstrike w:val="0"/>
      <w:color w:val="auto"/>
      <w:sz w:val="18"/>
      <w:vertAlign w:val="baseline"/>
    </w:rPr>
  </w:style>
  <w:style w:type="paragraph" w:styleId="Header">
    <w:name w:val="header"/>
    <w:basedOn w:val="HeadingBase"/>
    <w:link w:val="HeaderChar"/>
    <w:rsid w:val="00DD009C"/>
    <w:rPr>
      <w:sz w:val="18"/>
    </w:rPr>
  </w:style>
  <w:style w:type="character" w:customStyle="1" w:styleId="HeaderChar">
    <w:name w:val="Header Char"/>
    <w:basedOn w:val="DefaultParagraphFont"/>
    <w:link w:val="Header"/>
    <w:rsid w:val="00DD009C"/>
    <w:rPr>
      <w:rFonts w:ascii="Arial" w:hAnsi="Arial"/>
      <w:color w:val="000000"/>
      <w:sz w:val="18"/>
    </w:rPr>
  </w:style>
  <w:style w:type="paragraph" w:customStyle="1" w:styleId="HeaderEven">
    <w:name w:val="Header Even"/>
    <w:basedOn w:val="Header"/>
    <w:rsid w:val="00DD009C"/>
  </w:style>
  <w:style w:type="paragraph" w:customStyle="1" w:styleId="HeaderOdd">
    <w:name w:val="Header Odd"/>
    <w:basedOn w:val="Header"/>
    <w:rsid w:val="00DD009C"/>
    <w:pPr>
      <w:jc w:val="right"/>
    </w:pPr>
  </w:style>
  <w:style w:type="paragraph" w:styleId="NormalIndent">
    <w:name w:val="Normal Indent"/>
    <w:basedOn w:val="Normal"/>
    <w:rsid w:val="00DD009C"/>
    <w:pPr>
      <w:spacing w:before="0" w:after="240" w:line="260" w:lineRule="exact"/>
      <w:ind w:left="567"/>
      <w:jc w:val="both"/>
    </w:pPr>
    <w:rPr>
      <w:rFonts w:ascii="Book Antiqua" w:hAnsi="Book Antiqua"/>
      <w:color w:val="000000"/>
      <w:sz w:val="20"/>
    </w:rPr>
  </w:style>
  <w:style w:type="paragraph" w:customStyle="1" w:styleId="RecommendationHeading">
    <w:name w:val="Recommendation Heading"/>
    <w:basedOn w:val="HeadingBase"/>
    <w:next w:val="RecommendationText"/>
    <w:rsid w:val="00DD009C"/>
    <w:pPr>
      <w:spacing w:before="120" w:after="240"/>
    </w:pPr>
    <w:rPr>
      <w:b/>
      <w:sz w:val="22"/>
    </w:rPr>
  </w:style>
  <w:style w:type="paragraph" w:customStyle="1" w:styleId="RecommendationTextBase">
    <w:name w:val="Recommendation Text Base"/>
    <w:basedOn w:val="Normal"/>
    <w:rsid w:val="00DD009C"/>
    <w:pPr>
      <w:spacing w:before="0" w:after="240" w:line="260" w:lineRule="exact"/>
      <w:jc w:val="both"/>
    </w:pPr>
    <w:rPr>
      <w:rFonts w:ascii="Book Antiqua" w:hAnsi="Book Antiqua"/>
      <w:color w:val="000000"/>
      <w:sz w:val="20"/>
    </w:rPr>
  </w:style>
  <w:style w:type="paragraph" w:customStyle="1" w:styleId="RecommendationText">
    <w:name w:val="Recommendation Text"/>
    <w:basedOn w:val="RecommendationTextBase"/>
    <w:rsid w:val="00DD009C"/>
  </w:style>
  <w:style w:type="paragraph" w:customStyle="1" w:styleId="TableTextBase">
    <w:name w:val="Table Text Base"/>
    <w:rsid w:val="00DD009C"/>
    <w:pPr>
      <w:spacing w:before="40" w:after="40"/>
    </w:pPr>
    <w:rPr>
      <w:rFonts w:ascii="Arial" w:hAnsi="Arial"/>
      <w:color w:val="000000"/>
      <w:sz w:val="16"/>
    </w:rPr>
  </w:style>
  <w:style w:type="paragraph" w:customStyle="1" w:styleId="TableColumnHeadingCentred">
    <w:name w:val="Table Column Heading Centred"/>
    <w:basedOn w:val="TableTextBase"/>
    <w:rsid w:val="00DD009C"/>
    <w:pPr>
      <w:spacing w:before="60" w:after="60"/>
      <w:jc w:val="center"/>
    </w:pPr>
    <w:rPr>
      <w:b/>
      <w:sz w:val="18"/>
    </w:rPr>
  </w:style>
  <w:style w:type="paragraph" w:customStyle="1" w:styleId="TableColumnHeadingLeft">
    <w:name w:val="Table Column Heading Left"/>
    <w:basedOn w:val="TableTextBase"/>
    <w:rsid w:val="00DD009C"/>
    <w:rPr>
      <w:b/>
    </w:rPr>
  </w:style>
  <w:style w:type="paragraph" w:customStyle="1" w:styleId="TableColumnHeadingRight">
    <w:name w:val="Table Column Heading Right"/>
    <w:basedOn w:val="TableTextBase"/>
    <w:rsid w:val="00DD009C"/>
    <w:pPr>
      <w:jc w:val="right"/>
    </w:pPr>
    <w:rPr>
      <w:b/>
    </w:rPr>
  </w:style>
  <w:style w:type="paragraph" w:customStyle="1" w:styleId="TableGraphic">
    <w:name w:val="Table Graphic"/>
    <w:basedOn w:val="HeadingBase"/>
    <w:next w:val="Normal"/>
    <w:rsid w:val="00DD009C"/>
  </w:style>
  <w:style w:type="paragraph" w:customStyle="1" w:styleId="TableMainHeading">
    <w:name w:val="Table Main Heading"/>
    <w:basedOn w:val="HeadingBase"/>
    <w:next w:val="TableGraphic"/>
    <w:rsid w:val="00DD009C"/>
    <w:pPr>
      <w:spacing w:after="20"/>
    </w:pPr>
    <w:rPr>
      <w:b/>
      <w:sz w:val="22"/>
    </w:rPr>
  </w:style>
  <w:style w:type="paragraph" w:customStyle="1" w:styleId="TableMainHeadingContd">
    <w:name w:val="Table Main Heading Contd"/>
    <w:basedOn w:val="HeadingBase"/>
    <w:next w:val="TableGraphic"/>
    <w:rsid w:val="00DD009C"/>
    <w:pPr>
      <w:pageBreakBefore/>
      <w:spacing w:after="20"/>
    </w:pPr>
    <w:rPr>
      <w:b/>
      <w:sz w:val="22"/>
    </w:rPr>
  </w:style>
  <w:style w:type="paragraph" w:customStyle="1" w:styleId="TableSecondHeading">
    <w:name w:val="Table Second Heading"/>
    <w:basedOn w:val="HeadingBase"/>
    <w:next w:val="TableGraphic"/>
    <w:rsid w:val="00DD009C"/>
    <w:pPr>
      <w:spacing w:after="20"/>
    </w:pPr>
  </w:style>
  <w:style w:type="paragraph" w:customStyle="1" w:styleId="TableTextCentered">
    <w:name w:val="Table Text Centered"/>
    <w:basedOn w:val="TableTextBase"/>
    <w:rsid w:val="00DD009C"/>
    <w:pPr>
      <w:jc w:val="center"/>
    </w:pPr>
  </w:style>
  <w:style w:type="paragraph" w:customStyle="1" w:styleId="TableTextIndented">
    <w:name w:val="Table Text Indented"/>
    <w:basedOn w:val="TableTextBase"/>
    <w:rsid w:val="00DD009C"/>
    <w:pPr>
      <w:ind w:left="284"/>
    </w:pPr>
  </w:style>
  <w:style w:type="paragraph" w:customStyle="1" w:styleId="TableTextLeft">
    <w:name w:val="Table Text Left"/>
    <w:basedOn w:val="TableTextBase"/>
    <w:rsid w:val="00DD009C"/>
    <w:pPr>
      <w:spacing w:before="60" w:after="60"/>
      <w:jc w:val="both"/>
    </w:pPr>
  </w:style>
  <w:style w:type="paragraph" w:customStyle="1" w:styleId="TableTextRight">
    <w:name w:val="Table Text Right"/>
    <w:basedOn w:val="TableTextBase"/>
    <w:rsid w:val="00DD009C"/>
    <w:pPr>
      <w:jc w:val="right"/>
    </w:pPr>
  </w:style>
  <w:style w:type="paragraph" w:styleId="TOC1">
    <w:name w:val="toc 1"/>
    <w:basedOn w:val="HeadingBase"/>
    <w:next w:val="Normal"/>
    <w:rsid w:val="00DD009C"/>
    <w:pPr>
      <w:tabs>
        <w:tab w:val="right" w:leader="dot" w:pos="9072"/>
      </w:tabs>
      <w:spacing w:before="180"/>
      <w:ind w:right="851"/>
    </w:pPr>
    <w:rPr>
      <w:b/>
      <w:smallCaps/>
      <w:sz w:val="22"/>
      <w:szCs w:val="22"/>
    </w:rPr>
  </w:style>
  <w:style w:type="paragraph" w:styleId="TOC2">
    <w:name w:val="toc 2"/>
    <w:basedOn w:val="HeadingBase"/>
    <w:next w:val="Normal"/>
    <w:rsid w:val="00DD009C"/>
    <w:pPr>
      <w:tabs>
        <w:tab w:val="right" w:leader="dot" w:pos="9072"/>
      </w:tabs>
      <w:spacing w:before="40" w:after="20"/>
      <w:ind w:right="851"/>
    </w:pPr>
  </w:style>
  <w:style w:type="paragraph" w:styleId="TOC3">
    <w:name w:val="toc 3"/>
    <w:basedOn w:val="Normal"/>
    <w:next w:val="Normal"/>
    <w:rsid w:val="00DD009C"/>
    <w:pPr>
      <w:tabs>
        <w:tab w:val="right" w:leader="dot" w:pos="9072"/>
      </w:tabs>
      <w:spacing w:before="20" w:after="0"/>
      <w:ind w:left="284" w:right="851"/>
      <w:jc w:val="both"/>
    </w:pPr>
    <w:rPr>
      <w:rFonts w:ascii="Book Antiqua" w:hAnsi="Book Antiqua"/>
      <w:color w:val="000000"/>
      <w:sz w:val="20"/>
    </w:rPr>
  </w:style>
  <w:style w:type="paragraph" w:styleId="TOC4">
    <w:name w:val="toc 4"/>
    <w:basedOn w:val="Normal"/>
    <w:next w:val="Normal"/>
    <w:rsid w:val="00DD009C"/>
    <w:pPr>
      <w:tabs>
        <w:tab w:val="right" w:leader="dot" w:pos="9072"/>
      </w:tabs>
      <w:spacing w:before="0" w:after="0"/>
      <w:ind w:left="284" w:right="851"/>
      <w:jc w:val="both"/>
    </w:pPr>
    <w:rPr>
      <w:rFonts w:ascii="Book Antiqua" w:hAnsi="Book Antiqua"/>
      <w:color w:val="000000"/>
      <w:sz w:val="20"/>
    </w:rPr>
  </w:style>
  <w:style w:type="character" w:customStyle="1" w:styleId="italic">
    <w:name w:val="italic"/>
    <w:basedOn w:val="DefaultParagraphFont"/>
    <w:rsid w:val="00DD009C"/>
    <w:rPr>
      <w:i/>
    </w:rPr>
  </w:style>
  <w:style w:type="paragraph" w:customStyle="1" w:styleId="OneLevelNumberedParagraph">
    <w:name w:val="One Level Numbered Paragraph"/>
    <w:basedOn w:val="Normal"/>
    <w:rsid w:val="00DD009C"/>
    <w:pPr>
      <w:numPr>
        <w:numId w:val="10"/>
      </w:numPr>
      <w:spacing w:before="0" w:after="240" w:line="260" w:lineRule="exact"/>
      <w:jc w:val="both"/>
    </w:pPr>
    <w:rPr>
      <w:rFonts w:ascii="Book Antiqua" w:hAnsi="Book Antiqua"/>
      <w:color w:val="000000"/>
      <w:sz w:val="20"/>
    </w:rPr>
  </w:style>
  <w:style w:type="paragraph" w:customStyle="1" w:styleId="BoxText">
    <w:name w:val="Box Text"/>
    <w:basedOn w:val="BoxTextBase"/>
    <w:rsid w:val="00DD009C"/>
  </w:style>
  <w:style w:type="paragraph" w:customStyle="1" w:styleId="BoxBullet">
    <w:name w:val="Box Bullet"/>
    <w:basedOn w:val="BoxTextBase"/>
    <w:rsid w:val="00DD009C"/>
    <w:pPr>
      <w:numPr>
        <w:numId w:val="9"/>
      </w:numPr>
      <w:spacing w:line="260" w:lineRule="exact"/>
    </w:pPr>
    <w:rPr>
      <w:sz w:val="22"/>
    </w:rPr>
  </w:style>
  <w:style w:type="paragraph" w:customStyle="1" w:styleId="BoxDash">
    <w:name w:val="Box Dash"/>
    <w:basedOn w:val="Normal"/>
    <w:rsid w:val="00DD009C"/>
    <w:pPr>
      <w:numPr>
        <w:ilvl w:val="1"/>
        <w:numId w:val="9"/>
      </w:numPr>
      <w:spacing w:before="0" w:after="240" w:line="260" w:lineRule="exact"/>
      <w:jc w:val="both"/>
    </w:pPr>
    <w:rPr>
      <w:rFonts w:ascii="Book Antiqua" w:hAnsi="Book Antiqua"/>
      <w:color w:val="000000"/>
      <w:sz w:val="20"/>
    </w:rPr>
  </w:style>
  <w:style w:type="paragraph" w:customStyle="1" w:styleId="BoxDoubleDot">
    <w:name w:val="Box Double Dot"/>
    <w:basedOn w:val="BoxTextBase"/>
    <w:rsid w:val="00DD009C"/>
    <w:pPr>
      <w:numPr>
        <w:ilvl w:val="2"/>
        <w:numId w:val="9"/>
      </w:numPr>
    </w:pPr>
  </w:style>
  <w:style w:type="paragraph" w:customStyle="1" w:styleId="RecommendationBullet">
    <w:name w:val="Recommendation Bullet"/>
    <w:basedOn w:val="RecommendationTextBase"/>
    <w:rsid w:val="00DD009C"/>
    <w:pPr>
      <w:numPr>
        <w:numId w:val="11"/>
      </w:numPr>
    </w:pPr>
  </w:style>
  <w:style w:type="paragraph" w:customStyle="1" w:styleId="RecommendationDash">
    <w:name w:val="Recommendation Dash"/>
    <w:basedOn w:val="RecommendationTextBase"/>
    <w:rsid w:val="00DD009C"/>
    <w:pPr>
      <w:numPr>
        <w:ilvl w:val="1"/>
        <w:numId w:val="11"/>
      </w:numPr>
    </w:pPr>
  </w:style>
  <w:style w:type="paragraph" w:customStyle="1" w:styleId="RecommendationDoubleDot">
    <w:name w:val="Recommendation Double Dot"/>
    <w:basedOn w:val="RecommendationTextBase"/>
    <w:rsid w:val="00DD009C"/>
    <w:pPr>
      <w:numPr>
        <w:ilvl w:val="2"/>
        <w:numId w:val="11"/>
      </w:numPr>
    </w:pPr>
  </w:style>
  <w:style w:type="character" w:styleId="FollowedHyperlink">
    <w:name w:val="FollowedHyperlink"/>
    <w:basedOn w:val="DefaultParagraphFont"/>
    <w:rsid w:val="00DD009C"/>
    <w:rPr>
      <w:color w:val="auto"/>
      <w:u w:val="none"/>
    </w:rPr>
  </w:style>
  <w:style w:type="paragraph" w:customStyle="1" w:styleId="Heading1notnumbered">
    <w:name w:val="Heading 1 not numbered"/>
    <w:basedOn w:val="HeadingBase"/>
    <w:next w:val="Normal"/>
    <w:rsid w:val="00DD009C"/>
    <w:pPr>
      <w:spacing w:before="720" w:after="360"/>
    </w:pPr>
    <w:rPr>
      <w:rFonts w:ascii="Arial Bold" w:hAnsi="Arial Bold"/>
      <w:b/>
      <w:smallCaps/>
      <w:sz w:val="36"/>
      <w:szCs w:val="36"/>
    </w:rPr>
  </w:style>
  <w:style w:type="paragraph" w:customStyle="1" w:styleId="Heading2notnumbered">
    <w:name w:val="Heading 2 not numbered"/>
    <w:basedOn w:val="HeadingBase"/>
    <w:next w:val="Normal"/>
    <w:rsid w:val="00DD009C"/>
    <w:pPr>
      <w:spacing w:before="360" w:after="240"/>
    </w:pPr>
    <w:rPr>
      <w:rFonts w:ascii="Arial Bold" w:hAnsi="Arial Bold"/>
      <w:b/>
      <w:smallCaps/>
      <w:sz w:val="28"/>
      <w:szCs w:val="28"/>
    </w:rPr>
  </w:style>
  <w:style w:type="paragraph" w:customStyle="1" w:styleId="Heading3notnumbered">
    <w:name w:val="Heading 3 not numbered"/>
    <w:basedOn w:val="HeadingBase"/>
    <w:next w:val="Normal"/>
    <w:rsid w:val="00DD009C"/>
    <w:pPr>
      <w:spacing w:before="240" w:after="240"/>
    </w:pPr>
    <w:rPr>
      <w:rFonts w:ascii="Arial Bold" w:hAnsi="Arial Bold"/>
      <w:b/>
      <w:sz w:val="26"/>
      <w:szCs w:val="26"/>
    </w:rPr>
  </w:style>
  <w:style w:type="character" w:customStyle="1" w:styleId="EmailStyle84">
    <w:name w:val="EmailStyle84"/>
    <w:basedOn w:val="DefaultParagraphFont"/>
    <w:semiHidden/>
    <w:rsid w:val="00DD009C"/>
    <w:rPr>
      <w:rFonts w:ascii="Arial" w:hAnsi="Arial" w:cs="Arial"/>
      <w:color w:val="auto"/>
      <w:sz w:val="20"/>
      <w:szCs w:val="20"/>
    </w:rPr>
  </w:style>
  <w:style w:type="paragraph" w:customStyle="1" w:styleId="Option">
    <w:name w:val="Option"/>
    <w:basedOn w:val="Heading4"/>
    <w:rsid w:val="00DD009C"/>
    <w:pPr>
      <w:tabs>
        <w:tab w:val="clear" w:pos="1987"/>
      </w:tabs>
      <w:spacing w:before="0"/>
      <w:ind w:left="1134" w:hanging="1134"/>
    </w:pPr>
    <w:rPr>
      <w:rFonts w:ascii="Arial" w:hAnsi="Arial"/>
      <w:bCs/>
      <w:color w:val="000000"/>
      <w:kern w:val="0"/>
      <w:sz w:val="22"/>
      <w:szCs w:val="22"/>
    </w:rPr>
  </w:style>
  <w:style w:type="paragraph" w:customStyle="1" w:styleId="OptionsTable">
    <w:name w:val="Options Table"/>
    <w:basedOn w:val="Option"/>
    <w:rsid w:val="00DD009C"/>
    <w:pPr>
      <w:tabs>
        <w:tab w:val="left" w:pos="1134"/>
      </w:tabs>
      <w:ind w:left="0" w:firstLine="0"/>
    </w:pPr>
  </w:style>
  <w:style w:type="paragraph" w:customStyle="1" w:styleId="MainHeading">
    <w:name w:val="Main Heading"/>
    <w:basedOn w:val="Heading1"/>
    <w:rsid w:val="00DD009C"/>
    <w:pPr>
      <w:spacing w:before="720" w:after="360"/>
    </w:pPr>
    <w:rPr>
      <w:rFonts w:ascii="Arial" w:hAnsi="Arial" w:cs="Arial"/>
      <w:bCs/>
      <w:smallCaps/>
      <w:color w:val="000000"/>
      <w:kern w:val="32"/>
      <w:sz w:val="36"/>
      <w:szCs w:val="36"/>
      <w:u w:val="none"/>
    </w:rPr>
  </w:style>
  <w:style w:type="character" w:customStyle="1" w:styleId="A5">
    <w:name w:val="A5"/>
    <w:uiPriority w:val="99"/>
    <w:rsid w:val="00DD009C"/>
    <w:rPr>
      <w:rFonts w:cs="Swiss 721 BT"/>
      <w:color w:val="000000"/>
      <w:sz w:val="20"/>
      <w:szCs w:val="20"/>
    </w:rPr>
  </w:style>
  <w:style w:type="paragraph" w:customStyle="1" w:styleId="SecurityClassificationHeader">
    <w:name w:val="Security Classification Header"/>
    <w:link w:val="SecurityClassificationHeaderChar"/>
    <w:rsid w:val="00DD009C"/>
    <w:pPr>
      <w:spacing w:before="240" w:after="60"/>
      <w:jc w:val="center"/>
    </w:pPr>
    <w:rPr>
      <w:rFonts w:ascii="Arial" w:hAnsi="Arial"/>
      <w:b/>
      <w:caps/>
      <w:color w:val="000000"/>
      <w:sz w:val="24"/>
    </w:rPr>
  </w:style>
  <w:style w:type="character" w:customStyle="1" w:styleId="HeadingBaseChar">
    <w:name w:val="Heading Base Char"/>
    <w:basedOn w:val="DefaultParagraphFont"/>
    <w:link w:val="HeadingBase"/>
    <w:rsid w:val="00DD009C"/>
    <w:rPr>
      <w:rFonts w:ascii="Arial" w:hAnsi="Arial"/>
      <w:color w:val="000000"/>
    </w:rPr>
  </w:style>
  <w:style w:type="character" w:customStyle="1" w:styleId="SecurityClassificationHeaderChar">
    <w:name w:val="Security Classification Header Char"/>
    <w:basedOn w:val="HeaderChar"/>
    <w:link w:val="SecurityClassificationHeader"/>
    <w:rsid w:val="00DD009C"/>
    <w:rPr>
      <w:rFonts w:ascii="Arial" w:hAnsi="Arial"/>
      <w:b/>
      <w:caps/>
      <w:color w:val="000000"/>
      <w:sz w:val="24"/>
    </w:rPr>
  </w:style>
  <w:style w:type="paragraph" w:customStyle="1" w:styleId="SecurityClassificationFooter">
    <w:name w:val="Security Classification Footer"/>
    <w:link w:val="SecurityClassificationFooterChar"/>
    <w:rsid w:val="00DD009C"/>
    <w:pPr>
      <w:spacing w:before="60" w:after="240"/>
      <w:jc w:val="center"/>
    </w:pPr>
    <w:rPr>
      <w:rFonts w:ascii="Arial" w:hAnsi="Arial"/>
      <w:b/>
      <w:caps/>
      <w:color w:val="000000"/>
      <w:sz w:val="24"/>
    </w:rPr>
  </w:style>
  <w:style w:type="character" w:customStyle="1" w:styleId="SecurityClassificationFooterChar">
    <w:name w:val="Security Classification Footer Char"/>
    <w:basedOn w:val="HeaderChar"/>
    <w:link w:val="SecurityClassificationFooter"/>
    <w:rsid w:val="00DD009C"/>
    <w:rPr>
      <w:rFonts w:ascii="Arial" w:hAnsi="Arial"/>
      <w:b/>
      <w:caps/>
      <w:color w:val="000000"/>
      <w:sz w:val="24"/>
    </w:rPr>
  </w:style>
  <w:style w:type="paragraph" w:customStyle="1" w:styleId="DLMSecurityHeader">
    <w:name w:val="DLM Security Header"/>
    <w:link w:val="DLMSecurityHeaderChar"/>
    <w:rsid w:val="00DD009C"/>
    <w:pPr>
      <w:spacing w:before="60" w:after="240"/>
      <w:jc w:val="center"/>
    </w:pPr>
    <w:rPr>
      <w:rFonts w:ascii="Arial" w:hAnsi="Arial"/>
      <w:b/>
      <w:caps/>
      <w:color w:val="000000"/>
      <w:sz w:val="24"/>
    </w:rPr>
  </w:style>
  <w:style w:type="character" w:customStyle="1" w:styleId="DLMSecurityHeaderChar">
    <w:name w:val="DLM Security Header Char"/>
    <w:basedOn w:val="HeaderChar"/>
    <w:link w:val="DLMSecurityHeader"/>
    <w:rsid w:val="00DD009C"/>
    <w:rPr>
      <w:rFonts w:ascii="Arial" w:hAnsi="Arial"/>
      <w:b/>
      <w:caps/>
      <w:color w:val="000000"/>
      <w:sz w:val="24"/>
    </w:rPr>
  </w:style>
  <w:style w:type="paragraph" w:customStyle="1" w:styleId="DLMSecurityFooter">
    <w:name w:val="DLM Security Footer"/>
    <w:link w:val="DLMSecurityFooterChar"/>
    <w:rsid w:val="00DD009C"/>
    <w:pPr>
      <w:spacing w:before="240" w:after="60"/>
      <w:jc w:val="center"/>
    </w:pPr>
    <w:rPr>
      <w:rFonts w:ascii="Arial" w:hAnsi="Arial"/>
      <w:b/>
      <w:caps/>
      <w:color w:val="000000"/>
      <w:sz w:val="24"/>
    </w:rPr>
  </w:style>
  <w:style w:type="character" w:customStyle="1" w:styleId="DLMSecurityFooterChar">
    <w:name w:val="DLM Security Footer Char"/>
    <w:basedOn w:val="HeaderChar"/>
    <w:link w:val="DLMSecurityFooter"/>
    <w:rsid w:val="00DD009C"/>
    <w:rPr>
      <w:rFonts w:ascii="Arial" w:hAnsi="Arial"/>
      <w:b/>
      <w:caps/>
      <w:color w:val="000000"/>
      <w:sz w:val="24"/>
    </w:rPr>
  </w:style>
  <w:style w:type="character" w:styleId="Emphasis">
    <w:name w:val="Emphasis"/>
    <w:basedOn w:val="DefaultParagraphFont"/>
    <w:qFormat/>
    <w:rsid w:val="00DD009C"/>
    <w:rPr>
      <w:i/>
      <w:iCs/>
    </w:rPr>
  </w:style>
  <w:style w:type="paragraph" w:styleId="NormalWeb">
    <w:name w:val="Normal (Web)"/>
    <w:basedOn w:val="Normal"/>
    <w:uiPriority w:val="99"/>
    <w:unhideWhenUsed/>
    <w:rsid w:val="00DD009C"/>
    <w:pPr>
      <w:spacing w:before="100" w:beforeAutospacing="1" w:after="100" w:afterAutospacing="1"/>
    </w:pPr>
    <w:rPr>
      <w:szCs w:val="24"/>
    </w:rPr>
  </w:style>
  <w:style w:type="paragraph" w:customStyle="1" w:styleId="Heading1NotNumbered0">
    <w:name w:val="Heading 1 Not Numbered"/>
    <w:basedOn w:val="HeadingBase"/>
    <w:next w:val="Normal"/>
    <w:rsid w:val="00DD009C"/>
    <w:pPr>
      <w:spacing w:before="720" w:after="360"/>
    </w:pPr>
    <w:rPr>
      <w:rFonts w:ascii="Calibri" w:hAnsi="Calibri"/>
      <w:smallCaps/>
      <w:color w:val="342E82"/>
      <w:sz w:val="36"/>
      <w:szCs w:val="36"/>
    </w:rPr>
  </w:style>
  <w:style w:type="table" w:customStyle="1" w:styleId="LightGrid-Accent21">
    <w:name w:val="Light Grid - Accent 21"/>
    <w:basedOn w:val="TableNormal"/>
    <w:next w:val="LightGrid-Accent2"/>
    <w:uiPriority w:val="62"/>
    <w:rsid w:val="00DD009C"/>
    <w:rPr>
      <w:rFonts w:ascii="Calibri" w:hAnsi="Calibri"/>
      <w:sz w:val="24"/>
      <w:szCs w:val="24"/>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auto"/>
    </w:tcPr>
    <w:tblStylePr w:type="firstRow">
      <w:pPr>
        <w:spacing w:before="0" w:after="0" w:line="240" w:lineRule="auto"/>
      </w:pPr>
      <w:rPr>
        <w:rFonts w:ascii="Cambria" w:eastAsia="Times New Roman" w:hAnsi="Cambria" w:cs="Times New Roman"/>
        <w:b/>
        <w:bCs/>
      </w:rPr>
      <w:tblPr/>
      <w:tcPr>
        <w:shd w:val="clear" w:color="auto" w:fill="CD0920"/>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DD009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2">
    <w:name w:val="Light Grid - Accent 22"/>
    <w:basedOn w:val="TableNormal"/>
    <w:next w:val="LightGrid-Accent2"/>
    <w:uiPriority w:val="62"/>
    <w:rsid w:val="00DD009C"/>
    <w:rPr>
      <w:rFonts w:ascii="Calibri" w:hAnsi="Calibri"/>
      <w:sz w:val="24"/>
      <w:szCs w:val="24"/>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auto"/>
    </w:tcPr>
    <w:tblStylePr w:type="firstRow">
      <w:pPr>
        <w:spacing w:before="0" w:after="0" w:line="240" w:lineRule="auto"/>
      </w:pPr>
      <w:rPr>
        <w:rFonts w:ascii="Cambria" w:eastAsia="Times New Roman" w:hAnsi="Cambria" w:cs="Times New Roman"/>
        <w:b/>
        <w:bCs/>
      </w:rPr>
      <w:tblPr/>
      <w:tcPr>
        <w:shd w:val="clear" w:color="auto" w:fill="CD0920"/>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paragraph" w:styleId="Heading5">
    <w:name w:val="heading 5"/>
    <w:basedOn w:val="HeadingBase"/>
    <w:next w:val="Normal"/>
    <w:link w:val="Heading5Char"/>
    <w:qFormat/>
    <w:rsid w:val="00DD009C"/>
    <w:pPr>
      <w:spacing w:after="120"/>
      <w:outlineLvl w:val="4"/>
    </w:pPr>
    <w:rPr>
      <w:b/>
      <w:bCs/>
      <w:iCs/>
    </w:rPr>
  </w:style>
  <w:style w:type="paragraph" w:styleId="Heading6">
    <w:name w:val="heading 6"/>
    <w:basedOn w:val="HeadingBase"/>
    <w:next w:val="Normal"/>
    <w:link w:val="Heading6Char"/>
    <w:qFormat/>
    <w:rsid w:val="00DD009C"/>
    <w:pPr>
      <w:spacing w:after="120"/>
      <w:outlineLvl w:val="5"/>
    </w:pPr>
    <w:rPr>
      <w:bCs/>
      <w:szCs w:val="22"/>
    </w:rPr>
  </w:style>
  <w:style w:type="paragraph" w:styleId="Heading7">
    <w:name w:val="heading 7"/>
    <w:basedOn w:val="HeadingBase"/>
    <w:next w:val="Normal"/>
    <w:link w:val="Heading7Char"/>
    <w:qFormat/>
    <w:rsid w:val="00DD009C"/>
    <w:pPr>
      <w:spacing w:after="120"/>
      <w:outlineLvl w:val="6"/>
    </w:pPr>
    <w:rPr>
      <w:szCs w:val="24"/>
    </w:rPr>
  </w:style>
  <w:style w:type="paragraph" w:styleId="Heading8">
    <w:name w:val="heading 8"/>
    <w:basedOn w:val="HeadingBase"/>
    <w:next w:val="Normal"/>
    <w:link w:val="Heading8Char"/>
    <w:qFormat/>
    <w:rsid w:val="00DD009C"/>
    <w:pPr>
      <w:spacing w:after="120"/>
      <w:outlineLvl w:val="7"/>
    </w:pPr>
    <w:rPr>
      <w:iCs/>
      <w:szCs w:val="24"/>
    </w:rPr>
  </w:style>
  <w:style w:type="paragraph" w:styleId="Heading9">
    <w:name w:val="heading 9"/>
    <w:basedOn w:val="HeadingBase"/>
    <w:next w:val="Normal"/>
    <w:link w:val="Heading9Char"/>
    <w:qFormat/>
    <w:rsid w:val="00DD009C"/>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b Char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FootnoteText">
    <w:name w:val="footnote text"/>
    <w:basedOn w:val="Normal"/>
    <w:link w:val="FootnoteTextChar"/>
    <w:uiPriority w:val="99"/>
    <w:unhideWhenUsed/>
    <w:rsid w:val="00682C4E"/>
    <w:pPr>
      <w:spacing w:before="0" w:after="0"/>
    </w:pPr>
    <w:rPr>
      <w:sz w:val="20"/>
    </w:rPr>
  </w:style>
  <w:style w:type="character" w:customStyle="1" w:styleId="FootnoteTextChar">
    <w:name w:val="Footnote Text Char"/>
    <w:basedOn w:val="DefaultParagraphFont"/>
    <w:link w:val="FootnoteText"/>
    <w:uiPriority w:val="99"/>
    <w:rsid w:val="00682C4E"/>
  </w:style>
  <w:style w:type="character" w:styleId="FootnoteReference">
    <w:name w:val="footnote reference"/>
    <w:basedOn w:val="DefaultParagraphFont"/>
    <w:uiPriority w:val="99"/>
    <w:unhideWhenUsed/>
    <w:rsid w:val="00682C4E"/>
    <w:rPr>
      <w:vertAlign w:val="superscript"/>
    </w:rPr>
  </w:style>
  <w:style w:type="character" w:customStyle="1" w:styleId="Heading5Char">
    <w:name w:val="Heading 5 Char"/>
    <w:basedOn w:val="DefaultParagraphFont"/>
    <w:link w:val="Heading5"/>
    <w:rsid w:val="00DD009C"/>
    <w:rPr>
      <w:rFonts w:ascii="Arial" w:hAnsi="Arial"/>
      <w:b/>
      <w:bCs/>
      <w:iCs/>
      <w:color w:val="000000"/>
    </w:rPr>
  </w:style>
  <w:style w:type="character" w:customStyle="1" w:styleId="Heading6Char">
    <w:name w:val="Heading 6 Char"/>
    <w:basedOn w:val="DefaultParagraphFont"/>
    <w:link w:val="Heading6"/>
    <w:rsid w:val="00DD009C"/>
    <w:rPr>
      <w:rFonts w:ascii="Arial" w:hAnsi="Arial"/>
      <w:bCs/>
      <w:color w:val="000000"/>
      <w:szCs w:val="22"/>
    </w:rPr>
  </w:style>
  <w:style w:type="character" w:customStyle="1" w:styleId="Heading7Char">
    <w:name w:val="Heading 7 Char"/>
    <w:basedOn w:val="DefaultParagraphFont"/>
    <w:link w:val="Heading7"/>
    <w:rsid w:val="00DD009C"/>
    <w:rPr>
      <w:rFonts w:ascii="Arial" w:hAnsi="Arial"/>
      <w:color w:val="000000"/>
      <w:szCs w:val="24"/>
    </w:rPr>
  </w:style>
  <w:style w:type="character" w:customStyle="1" w:styleId="Heading8Char">
    <w:name w:val="Heading 8 Char"/>
    <w:basedOn w:val="DefaultParagraphFont"/>
    <w:link w:val="Heading8"/>
    <w:rsid w:val="00DD009C"/>
    <w:rPr>
      <w:rFonts w:ascii="Arial" w:hAnsi="Arial"/>
      <w:iCs/>
      <w:color w:val="000000"/>
      <w:szCs w:val="24"/>
    </w:rPr>
  </w:style>
  <w:style w:type="character" w:customStyle="1" w:styleId="Heading9Char">
    <w:name w:val="Heading 9 Char"/>
    <w:basedOn w:val="DefaultParagraphFont"/>
    <w:link w:val="Heading9"/>
    <w:rsid w:val="00DD009C"/>
    <w:rPr>
      <w:rFonts w:ascii="Arial" w:hAnsi="Arial" w:cs="Arial"/>
      <w:color w:val="000000"/>
      <w:szCs w:val="22"/>
    </w:rPr>
  </w:style>
  <w:style w:type="paragraph" w:customStyle="1" w:styleId="SingleParagraph">
    <w:name w:val="Single Paragraph"/>
    <w:basedOn w:val="Normal"/>
    <w:rsid w:val="00DD009C"/>
    <w:pPr>
      <w:spacing w:before="0" w:after="0" w:line="260" w:lineRule="exact"/>
      <w:jc w:val="both"/>
    </w:pPr>
    <w:rPr>
      <w:rFonts w:ascii="Book Antiqua" w:hAnsi="Book Antiqua"/>
      <w:color w:val="000000"/>
      <w:sz w:val="20"/>
    </w:rPr>
  </w:style>
  <w:style w:type="character" w:customStyle="1" w:styleId="BoldandItalic">
    <w:name w:val="Bold and Italic"/>
    <w:basedOn w:val="DefaultParagraphFont"/>
    <w:rsid w:val="00DD009C"/>
    <w:rPr>
      <w:rFonts w:ascii="Arial" w:hAnsi="Arial"/>
      <w:b/>
      <w:i/>
    </w:rPr>
  </w:style>
  <w:style w:type="table" w:styleId="TableGrid">
    <w:name w:val="Table Grid"/>
    <w:basedOn w:val="TableNormal"/>
    <w:uiPriority w:val="59"/>
    <w:rsid w:val="00DD009C"/>
    <w:pPr>
      <w:spacing w:after="240" w:line="260" w:lineRule="exact"/>
      <w:jc w:val="both"/>
    </w:pPr>
    <w:tblPr>
      <w:tblInd w:w="0" w:type="dxa"/>
      <w:tblCellMar>
        <w:top w:w="0" w:type="dxa"/>
        <w:left w:w="108" w:type="dxa"/>
        <w:bottom w:w="0" w:type="dxa"/>
        <w:right w:w="108" w:type="dxa"/>
      </w:tblCellMar>
    </w:tblPr>
    <w:tcPr>
      <w:shd w:val="clear" w:color="auto" w:fill="E6E6E6"/>
    </w:tcPr>
  </w:style>
  <w:style w:type="character" w:styleId="PageNumber">
    <w:name w:val="page number"/>
    <w:basedOn w:val="DefaultParagraphFont"/>
    <w:rsid w:val="00DD009C"/>
    <w:rPr>
      <w:rFonts w:ascii="Arial" w:hAnsi="Arial"/>
      <w:sz w:val="18"/>
    </w:rPr>
  </w:style>
  <w:style w:type="paragraph" w:customStyle="1" w:styleId="OutlineNumbered1">
    <w:name w:val="Outline Numbered 1"/>
    <w:basedOn w:val="Normal"/>
    <w:rsid w:val="00DD009C"/>
    <w:pPr>
      <w:numPr>
        <w:numId w:val="4"/>
      </w:numPr>
      <w:spacing w:before="0" w:after="240" w:line="260" w:lineRule="exact"/>
      <w:jc w:val="both"/>
    </w:pPr>
    <w:rPr>
      <w:rFonts w:ascii="Book Antiqua" w:hAnsi="Book Antiqua"/>
      <w:color w:val="000000"/>
      <w:sz w:val="20"/>
    </w:rPr>
  </w:style>
  <w:style w:type="paragraph" w:customStyle="1" w:styleId="OutlineNumbered2">
    <w:name w:val="Outline Numbered 2"/>
    <w:basedOn w:val="Normal"/>
    <w:rsid w:val="00DD009C"/>
    <w:pPr>
      <w:numPr>
        <w:ilvl w:val="1"/>
        <w:numId w:val="4"/>
      </w:numPr>
      <w:spacing w:before="0" w:after="240" w:line="260" w:lineRule="exact"/>
      <w:jc w:val="both"/>
    </w:pPr>
    <w:rPr>
      <w:rFonts w:ascii="Book Antiqua" w:hAnsi="Book Antiqua"/>
      <w:color w:val="000000"/>
      <w:sz w:val="20"/>
    </w:rPr>
  </w:style>
  <w:style w:type="paragraph" w:customStyle="1" w:styleId="OutlineNumbered3">
    <w:name w:val="Outline Numbered 3"/>
    <w:basedOn w:val="Normal"/>
    <w:rsid w:val="00DD009C"/>
    <w:pPr>
      <w:numPr>
        <w:ilvl w:val="2"/>
        <w:numId w:val="4"/>
      </w:numPr>
      <w:spacing w:before="0" w:after="240" w:line="260" w:lineRule="exact"/>
      <w:jc w:val="both"/>
    </w:pPr>
    <w:rPr>
      <w:rFonts w:ascii="Book Antiqua" w:hAnsi="Book Antiqua"/>
      <w:color w:val="000000"/>
      <w:sz w:val="20"/>
    </w:rPr>
  </w:style>
  <w:style w:type="paragraph" w:customStyle="1" w:styleId="AlphaParagraph">
    <w:name w:val="Alpha Paragraph"/>
    <w:basedOn w:val="Normal"/>
    <w:rsid w:val="00DD009C"/>
    <w:pPr>
      <w:numPr>
        <w:numId w:val="5"/>
      </w:numPr>
      <w:tabs>
        <w:tab w:val="clear" w:pos="567"/>
        <w:tab w:val="num" w:pos="283"/>
      </w:tabs>
      <w:spacing w:before="0" w:after="240" w:line="260" w:lineRule="exact"/>
      <w:ind w:left="283" w:hanging="283"/>
      <w:jc w:val="both"/>
    </w:pPr>
    <w:rPr>
      <w:rFonts w:ascii="Book Antiqua" w:hAnsi="Book Antiqua"/>
      <w:color w:val="000000"/>
      <w:sz w:val="20"/>
    </w:rPr>
  </w:style>
  <w:style w:type="paragraph" w:customStyle="1" w:styleId="HeadingBase">
    <w:name w:val="Heading Base"/>
    <w:next w:val="Normal"/>
    <w:link w:val="HeadingBaseChar"/>
    <w:rsid w:val="00DD009C"/>
    <w:pPr>
      <w:keepNext/>
    </w:pPr>
    <w:rPr>
      <w:rFonts w:ascii="Arial" w:hAnsi="Arial"/>
      <w:color w:val="000000"/>
    </w:rPr>
  </w:style>
  <w:style w:type="paragraph" w:customStyle="1" w:styleId="AppendixHeading">
    <w:name w:val="Appendix Heading"/>
    <w:basedOn w:val="HeadingBase"/>
    <w:next w:val="Normal"/>
    <w:rsid w:val="00DD009C"/>
    <w:pPr>
      <w:spacing w:before="720" w:after="360"/>
    </w:pPr>
    <w:rPr>
      <w:rFonts w:ascii="Arial Bold" w:hAnsi="Arial Bold"/>
      <w:b/>
      <w:smallCaps/>
      <w:sz w:val="36"/>
      <w:szCs w:val="36"/>
    </w:rPr>
  </w:style>
  <w:style w:type="character" w:customStyle="1" w:styleId="Bold">
    <w:name w:val="Bold"/>
    <w:basedOn w:val="DefaultParagraphFont"/>
    <w:rsid w:val="00DD009C"/>
    <w:rPr>
      <w:b/>
    </w:rPr>
  </w:style>
  <w:style w:type="paragraph" w:customStyle="1" w:styleId="BoxHeading">
    <w:name w:val="Box Heading"/>
    <w:basedOn w:val="HeadingBase"/>
    <w:next w:val="BoxText"/>
    <w:rsid w:val="00DD009C"/>
    <w:pPr>
      <w:spacing w:before="240" w:after="120"/>
    </w:pPr>
    <w:rPr>
      <w:b/>
      <w:sz w:val="22"/>
    </w:rPr>
  </w:style>
  <w:style w:type="paragraph" w:customStyle="1" w:styleId="BoxTextBase">
    <w:name w:val="Box Text Base"/>
    <w:basedOn w:val="Normal"/>
    <w:rsid w:val="00DD009C"/>
    <w:pPr>
      <w:spacing w:before="0" w:after="240"/>
      <w:jc w:val="both"/>
    </w:pPr>
    <w:rPr>
      <w:rFonts w:ascii="Book Antiqua" w:hAnsi="Book Antiqua"/>
      <w:color w:val="000000"/>
      <w:sz w:val="20"/>
    </w:rPr>
  </w:style>
  <w:style w:type="paragraph" w:customStyle="1" w:styleId="ChartandTableFootnoteAlpha">
    <w:name w:val="Chart and Table Footnote Alpha"/>
    <w:rsid w:val="00DD009C"/>
    <w:pPr>
      <w:numPr>
        <w:numId w:val="6"/>
      </w:numPr>
      <w:jc w:val="both"/>
    </w:pPr>
    <w:rPr>
      <w:rFonts w:ascii="Arial" w:hAnsi="Arial"/>
      <w:color w:val="000000"/>
      <w:sz w:val="16"/>
      <w:szCs w:val="16"/>
    </w:rPr>
  </w:style>
  <w:style w:type="paragraph" w:customStyle="1" w:styleId="ChartGraphic">
    <w:name w:val="Chart Graphic"/>
    <w:basedOn w:val="HeadingBase"/>
    <w:next w:val="Normal"/>
    <w:rsid w:val="00DD009C"/>
    <w:pPr>
      <w:jc w:val="center"/>
    </w:pPr>
  </w:style>
  <w:style w:type="paragraph" w:customStyle="1" w:styleId="ChartMainHeading">
    <w:name w:val="Chart Main Heading"/>
    <w:basedOn w:val="HeadingBase"/>
    <w:next w:val="ChartGraphic"/>
    <w:rsid w:val="00DD009C"/>
    <w:pPr>
      <w:spacing w:after="20"/>
      <w:jc w:val="center"/>
    </w:pPr>
    <w:rPr>
      <w:b/>
      <w:sz w:val="22"/>
    </w:rPr>
  </w:style>
  <w:style w:type="paragraph" w:customStyle="1" w:styleId="ChartorTableNote">
    <w:name w:val="Chart or Table Note"/>
    <w:next w:val="Normal"/>
    <w:rsid w:val="00DD009C"/>
    <w:pPr>
      <w:jc w:val="both"/>
    </w:pPr>
    <w:rPr>
      <w:rFonts w:ascii="Arial" w:hAnsi="Arial"/>
      <w:color w:val="000000"/>
      <w:sz w:val="16"/>
    </w:rPr>
  </w:style>
  <w:style w:type="paragraph" w:customStyle="1" w:styleId="ChartSecondHeading">
    <w:name w:val="Chart Second Heading"/>
    <w:basedOn w:val="HeadingBase"/>
    <w:next w:val="ChartGraphic"/>
    <w:rsid w:val="00DD009C"/>
    <w:pPr>
      <w:spacing w:after="20"/>
      <w:jc w:val="center"/>
    </w:pPr>
  </w:style>
  <w:style w:type="paragraph" w:customStyle="1" w:styleId="Classification">
    <w:name w:val="Classification"/>
    <w:basedOn w:val="HeadingBase"/>
    <w:next w:val="Footer"/>
    <w:rsid w:val="00DD009C"/>
    <w:pPr>
      <w:spacing w:after="120"/>
      <w:jc w:val="center"/>
    </w:pPr>
    <w:rPr>
      <w:b/>
      <w:smallCaps/>
    </w:rPr>
  </w:style>
  <w:style w:type="paragraph" w:styleId="Footer">
    <w:name w:val="footer"/>
    <w:basedOn w:val="HeadingBase"/>
    <w:link w:val="FooterChar"/>
    <w:rsid w:val="00DD009C"/>
    <w:rPr>
      <w:sz w:val="18"/>
    </w:rPr>
  </w:style>
  <w:style w:type="character" w:customStyle="1" w:styleId="FooterChar">
    <w:name w:val="Footer Char"/>
    <w:basedOn w:val="DefaultParagraphFont"/>
    <w:link w:val="Footer"/>
    <w:rsid w:val="00DD009C"/>
    <w:rPr>
      <w:rFonts w:ascii="Arial" w:hAnsi="Arial"/>
      <w:color w:val="000000"/>
      <w:sz w:val="18"/>
    </w:rPr>
  </w:style>
  <w:style w:type="paragraph" w:customStyle="1" w:styleId="ContentsHeading">
    <w:name w:val="Contents Heading"/>
    <w:basedOn w:val="HeadingBase"/>
    <w:next w:val="Normal"/>
    <w:rsid w:val="00DD009C"/>
    <w:pPr>
      <w:spacing w:after="360"/>
    </w:pPr>
    <w:rPr>
      <w:smallCaps/>
      <w:sz w:val="36"/>
      <w:szCs w:val="36"/>
    </w:rPr>
  </w:style>
  <w:style w:type="paragraph" w:customStyle="1" w:styleId="CoverTitleMain">
    <w:name w:val="Cover Title Main"/>
    <w:basedOn w:val="HeadingBase"/>
    <w:next w:val="Normal"/>
    <w:rsid w:val="00DD009C"/>
    <w:pPr>
      <w:spacing w:after="480"/>
      <w:jc w:val="center"/>
    </w:pPr>
    <w:rPr>
      <w:b/>
      <w:sz w:val="48"/>
    </w:rPr>
  </w:style>
  <w:style w:type="paragraph" w:customStyle="1" w:styleId="CoverTitleSub">
    <w:name w:val="Cover Title Sub"/>
    <w:basedOn w:val="HeadingBase"/>
    <w:rsid w:val="00DD009C"/>
    <w:pPr>
      <w:spacing w:after="360"/>
      <w:jc w:val="center"/>
    </w:pPr>
    <w:rPr>
      <w:sz w:val="36"/>
    </w:rPr>
  </w:style>
  <w:style w:type="paragraph" w:customStyle="1" w:styleId="FooterCentered">
    <w:name w:val="Footer Centered"/>
    <w:basedOn w:val="Footer"/>
    <w:rsid w:val="00DD009C"/>
    <w:pPr>
      <w:jc w:val="center"/>
    </w:pPr>
  </w:style>
  <w:style w:type="paragraph" w:customStyle="1" w:styleId="FooterEven">
    <w:name w:val="Footer Even"/>
    <w:basedOn w:val="Footer"/>
    <w:rsid w:val="00DD009C"/>
  </w:style>
  <w:style w:type="paragraph" w:customStyle="1" w:styleId="FooterOdd">
    <w:name w:val="Footer Odd"/>
    <w:basedOn w:val="Footer"/>
    <w:rsid w:val="00DD009C"/>
    <w:pPr>
      <w:jc w:val="right"/>
    </w:pPr>
  </w:style>
  <w:style w:type="character" w:customStyle="1" w:styleId="FramedFooter">
    <w:name w:val="Framed Footer"/>
    <w:rsid w:val="00DD009C"/>
    <w:rPr>
      <w:rFonts w:ascii="Arial" w:hAnsi="Arial"/>
      <w:sz w:val="18"/>
    </w:rPr>
  </w:style>
  <w:style w:type="character" w:customStyle="1" w:styleId="FramedHeader">
    <w:name w:val="Framed Header"/>
    <w:basedOn w:val="DefaultParagraphFont"/>
    <w:rsid w:val="00DD009C"/>
    <w:rPr>
      <w:rFonts w:ascii="Arial" w:hAnsi="Arial"/>
      <w:dstrike w:val="0"/>
      <w:color w:val="auto"/>
      <w:sz w:val="18"/>
      <w:vertAlign w:val="baseline"/>
    </w:rPr>
  </w:style>
  <w:style w:type="paragraph" w:styleId="Header">
    <w:name w:val="header"/>
    <w:basedOn w:val="HeadingBase"/>
    <w:link w:val="HeaderChar"/>
    <w:rsid w:val="00DD009C"/>
    <w:rPr>
      <w:sz w:val="18"/>
    </w:rPr>
  </w:style>
  <w:style w:type="character" w:customStyle="1" w:styleId="HeaderChar">
    <w:name w:val="Header Char"/>
    <w:basedOn w:val="DefaultParagraphFont"/>
    <w:link w:val="Header"/>
    <w:rsid w:val="00DD009C"/>
    <w:rPr>
      <w:rFonts w:ascii="Arial" w:hAnsi="Arial"/>
      <w:color w:val="000000"/>
      <w:sz w:val="18"/>
    </w:rPr>
  </w:style>
  <w:style w:type="paragraph" w:customStyle="1" w:styleId="HeaderEven">
    <w:name w:val="Header Even"/>
    <w:basedOn w:val="Header"/>
    <w:rsid w:val="00DD009C"/>
  </w:style>
  <w:style w:type="paragraph" w:customStyle="1" w:styleId="HeaderOdd">
    <w:name w:val="Header Odd"/>
    <w:basedOn w:val="Header"/>
    <w:rsid w:val="00DD009C"/>
    <w:pPr>
      <w:jc w:val="right"/>
    </w:pPr>
  </w:style>
  <w:style w:type="paragraph" w:styleId="NormalIndent">
    <w:name w:val="Normal Indent"/>
    <w:basedOn w:val="Normal"/>
    <w:rsid w:val="00DD009C"/>
    <w:pPr>
      <w:spacing w:before="0" w:after="240" w:line="260" w:lineRule="exact"/>
      <w:ind w:left="567"/>
      <w:jc w:val="both"/>
    </w:pPr>
    <w:rPr>
      <w:rFonts w:ascii="Book Antiqua" w:hAnsi="Book Antiqua"/>
      <w:color w:val="000000"/>
      <w:sz w:val="20"/>
    </w:rPr>
  </w:style>
  <w:style w:type="paragraph" w:customStyle="1" w:styleId="RecommendationHeading">
    <w:name w:val="Recommendation Heading"/>
    <w:basedOn w:val="HeadingBase"/>
    <w:next w:val="RecommendationText"/>
    <w:rsid w:val="00DD009C"/>
    <w:pPr>
      <w:spacing w:before="120" w:after="240"/>
    </w:pPr>
    <w:rPr>
      <w:b/>
      <w:sz w:val="22"/>
    </w:rPr>
  </w:style>
  <w:style w:type="paragraph" w:customStyle="1" w:styleId="RecommendationTextBase">
    <w:name w:val="Recommendation Text Base"/>
    <w:basedOn w:val="Normal"/>
    <w:rsid w:val="00DD009C"/>
    <w:pPr>
      <w:spacing w:before="0" w:after="240" w:line="260" w:lineRule="exact"/>
      <w:jc w:val="both"/>
    </w:pPr>
    <w:rPr>
      <w:rFonts w:ascii="Book Antiqua" w:hAnsi="Book Antiqua"/>
      <w:color w:val="000000"/>
      <w:sz w:val="20"/>
    </w:rPr>
  </w:style>
  <w:style w:type="paragraph" w:customStyle="1" w:styleId="RecommendationText">
    <w:name w:val="Recommendation Text"/>
    <w:basedOn w:val="RecommendationTextBase"/>
    <w:rsid w:val="00DD009C"/>
  </w:style>
  <w:style w:type="paragraph" w:customStyle="1" w:styleId="TableTextBase">
    <w:name w:val="Table Text Base"/>
    <w:rsid w:val="00DD009C"/>
    <w:pPr>
      <w:spacing w:before="40" w:after="40"/>
    </w:pPr>
    <w:rPr>
      <w:rFonts w:ascii="Arial" w:hAnsi="Arial"/>
      <w:color w:val="000000"/>
      <w:sz w:val="16"/>
    </w:rPr>
  </w:style>
  <w:style w:type="paragraph" w:customStyle="1" w:styleId="TableColumnHeadingCentred">
    <w:name w:val="Table Column Heading Centred"/>
    <w:basedOn w:val="TableTextBase"/>
    <w:rsid w:val="00DD009C"/>
    <w:pPr>
      <w:spacing w:before="60" w:after="60"/>
      <w:jc w:val="center"/>
    </w:pPr>
    <w:rPr>
      <w:b/>
      <w:sz w:val="18"/>
    </w:rPr>
  </w:style>
  <w:style w:type="paragraph" w:customStyle="1" w:styleId="TableColumnHeadingLeft">
    <w:name w:val="Table Column Heading Left"/>
    <w:basedOn w:val="TableTextBase"/>
    <w:rsid w:val="00DD009C"/>
    <w:rPr>
      <w:b/>
    </w:rPr>
  </w:style>
  <w:style w:type="paragraph" w:customStyle="1" w:styleId="TableColumnHeadingRight">
    <w:name w:val="Table Column Heading Right"/>
    <w:basedOn w:val="TableTextBase"/>
    <w:rsid w:val="00DD009C"/>
    <w:pPr>
      <w:jc w:val="right"/>
    </w:pPr>
    <w:rPr>
      <w:b/>
    </w:rPr>
  </w:style>
  <w:style w:type="paragraph" w:customStyle="1" w:styleId="TableGraphic">
    <w:name w:val="Table Graphic"/>
    <w:basedOn w:val="HeadingBase"/>
    <w:next w:val="Normal"/>
    <w:rsid w:val="00DD009C"/>
  </w:style>
  <w:style w:type="paragraph" w:customStyle="1" w:styleId="TableMainHeading">
    <w:name w:val="Table Main Heading"/>
    <w:basedOn w:val="HeadingBase"/>
    <w:next w:val="TableGraphic"/>
    <w:rsid w:val="00DD009C"/>
    <w:pPr>
      <w:spacing w:after="20"/>
    </w:pPr>
    <w:rPr>
      <w:b/>
      <w:sz w:val="22"/>
    </w:rPr>
  </w:style>
  <w:style w:type="paragraph" w:customStyle="1" w:styleId="TableMainHeadingContd">
    <w:name w:val="Table Main Heading Contd"/>
    <w:basedOn w:val="HeadingBase"/>
    <w:next w:val="TableGraphic"/>
    <w:rsid w:val="00DD009C"/>
    <w:pPr>
      <w:pageBreakBefore/>
      <w:spacing w:after="20"/>
    </w:pPr>
    <w:rPr>
      <w:b/>
      <w:sz w:val="22"/>
    </w:rPr>
  </w:style>
  <w:style w:type="paragraph" w:customStyle="1" w:styleId="TableSecondHeading">
    <w:name w:val="Table Second Heading"/>
    <w:basedOn w:val="HeadingBase"/>
    <w:next w:val="TableGraphic"/>
    <w:rsid w:val="00DD009C"/>
    <w:pPr>
      <w:spacing w:after="20"/>
    </w:pPr>
  </w:style>
  <w:style w:type="paragraph" w:customStyle="1" w:styleId="TableTextCentered">
    <w:name w:val="Table Text Centered"/>
    <w:basedOn w:val="TableTextBase"/>
    <w:rsid w:val="00DD009C"/>
    <w:pPr>
      <w:jc w:val="center"/>
    </w:pPr>
  </w:style>
  <w:style w:type="paragraph" w:customStyle="1" w:styleId="TableTextIndented">
    <w:name w:val="Table Text Indented"/>
    <w:basedOn w:val="TableTextBase"/>
    <w:rsid w:val="00DD009C"/>
    <w:pPr>
      <w:ind w:left="284"/>
    </w:pPr>
  </w:style>
  <w:style w:type="paragraph" w:customStyle="1" w:styleId="TableTextLeft">
    <w:name w:val="Table Text Left"/>
    <w:basedOn w:val="TableTextBase"/>
    <w:rsid w:val="00DD009C"/>
    <w:pPr>
      <w:spacing w:before="60" w:after="60"/>
      <w:jc w:val="both"/>
    </w:pPr>
  </w:style>
  <w:style w:type="paragraph" w:customStyle="1" w:styleId="TableTextRight">
    <w:name w:val="Table Text Right"/>
    <w:basedOn w:val="TableTextBase"/>
    <w:rsid w:val="00DD009C"/>
    <w:pPr>
      <w:jc w:val="right"/>
    </w:pPr>
  </w:style>
  <w:style w:type="paragraph" w:styleId="TOC1">
    <w:name w:val="toc 1"/>
    <w:basedOn w:val="HeadingBase"/>
    <w:next w:val="Normal"/>
    <w:rsid w:val="00DD009C"/>
    <w:pPr>
      <w:tabs>
        <w:tab w:val="right" w:leader="dot" w:pos="9072"/>
      </w:tabs>
      <w:spacing w:before="180"/>
      <w:ind w:right="851"/>
    </w:pPr>
    <w:rPr>
      <w:b/>
      <w:smallCaps/>
      <w:sz w:val="22"/>
      <w:szCs w:val="22"/>
    </w:rPr>
  </w:style>
  <w:style w:type="paragraph" w:styleId="TOC2">
    <w:name w:val="toc 2"/>
    <w:basedOn w:val="HeadingBase"/>
    <w:next w:val="Normal"/>
    <w:rsid w:val="00DD009C"/>
    <w:pPr>
      <w:tabs>
        <w:tab w:val="right" w:leader="dot" w:pos="9072"/>
      </w:tabs>
      <w:spacing w:before="40" w:after="20"/>
      <w:ind w:right="851"/>
    </w:pPr>
  </w:style>
  <w:style w:type="paragraph" w:styleId="TOC3">
    <w:name w:val="toc 3"/>
    <w:basedOn w:val="Normal"/>
    <w:next w:val="Normal"/>
    <w:rsid w:val="00DD009C"/>
    <w:pPr>
      <w:tabs>
        <w:tab w:val="right" w:leader="dot" w:pos="9072"/>
      </w:tabs>
      <w:spacing w:before="20" w:after="0"/>
      <w:ind w:left="284" w:right="851"/>
      <w:jc w:val="both"/>
    </w:pPr>
    <w:rPr>
      <w:rFonts w:ascii="Book Antiqua" w:hAnsi="Book Antiqua"/>
      <w:color w:val="000000"/>
      <w:sz w:val="20"/>
    </w:rPr>
  </w:style>
  <w:style w:type="paragraph" w:styleId="TOC4">
    <w:name w:val="toc 4"/>
    <w:basedOn w:val="Normal"/>
    <w:next w:val="Normal"/>
    <w:rsid w:val="00DD009C"/>
    <w:pPr>
      <w:tabs>
        <w:tab w:val="right" w:leader="dot" w:pos="9072"/>
      </w:tabs>
      <w:spacing w:before="0" w:after="0"/>
      <w:ind w:left="284" w:right="851"/>
      <w:jc w:val="both"/>
    </w:pPr>
    <w:rPr>
      <w:rFonts w:ascii="Book Antiqua" w:hAnsi="Book Antiqua"/>
      <w:color w:val="000000"/>
      <w:sz w:val="20"/>
    </w:rPr>
  </w:style>
  <w:style w:type="character" w:customStyle="1" w:styleId="italic">
    <w:name w:val="italic"/>
    <w:basedOn w:val="DefaultParagraphFont"/>
    <w:rsid w:val="00DD009C"/>
    <w:rPr>
      <w:i/>
    </w:rPr>
  </w:style>
  <w:style w:type="paragraph" w:customStyle="1" w:styleId="OneLevelNumberedParagraph">
    <w:name w:val="One Level Numbered Paragraph"/>
    <w:basedOn w:val="Normal"/>
    <w:rsid w:val="00DD009C"/>
    <w:pPr>
      <w:numPr>
        <w:numId w:val="10"/>
      </w:numPr>
      <w:spacing w:before="0" w:after="240" w:line="260" w:lineRule="exact"/>
      <w:jc w:val="both"/>
    </w:pPr>
    <w:rPr>
      <w:rFonts w:ascii="Book Antiqua" w:hAnsi="Book Antiqua"/>
      <w:color w:val="000000"/>
      <w:sz w:val="20"/>
    </w:rPr>
  </w:style>
  <w:style w:type="paragraph" w:customStyle="1" w:styleId="BoxText">
    <w:name w:val="Box Text"/>
    <w:basedOn w:val="BoxTextBase"/>
    <w:rsid w:val="00DD009C"/>
  </w:style>
  <w:style w:type="paragraph" w:customStyle="1" w:styleId="BoxBullet">
    <w:name w:val="Box Bullet"/>
    <w:basedOn w:val="BoxTextBase"/>
    <w:rsid w:val="00DD009C"/>
    <w:pPr>
      <w:numPr>
        <w:numId w:val="9"/>
      </w:numPr>
      <w:spacing w:line="260" w:lineRule="exact"/>
    </w:pPr>
    <w:rPr>
      <w:sz w:val="22"/>
    </w:rPr>
  </w:style>
  <w:style w:type="paragraph" w:customStyle="1" w:styleId="BoxDash">
    <w:name w:val="Box Dash"/>
    <w:basedOn w:val="Normal"/>
    <w:rsid w:val="00DD009C"/>
    <w:pPr>
      <w:numPr>
        <w:ilvl w:val="1"/>
        <w:numId w:val="9"/>
      </w:numPr>
      <w:spacing w:before="0" w:after="240" w:line="260" w:lineRule="exact"/>
      <w:jc w:val="both"/>
    </w:pPr>
    <w:rPr>
      <w:rFonts w:ascii="Book Antiqua" w:hAnsi="Book Antiqua"/>
      <w:color w:val="000000"/>
      <w:sz w:val="20"/>
    </w:rPr>
  </w:style>
  <w:style w:type="paragraph" w:customStyle="1" w:styleId="BoxDoubleDot">
    <w:name w:val="Box Double Dot"/>
    <w:basedOn w:val="BoxTextBase"/>
    <w:rsid w:val="00DD009C"/>
    <w:pPr>
      <w:numPr>
        <w:ilvl w:val="2"/>
        <w:numId w:val="9"/>
      </w:numPr>
    </w:pPr>
  </w:style>
  <w:style w:type="paragraph" w:customStyle="1" w:styleId="RecommendationBullet">
    <w:name w:val="Recommendation Bullet"/>
    <w:basedOn w:val="RecommendationTextBase"/>
    <w:rsid w:val="00DD009C"/>
    <w:pPr>
      <w:numPr>
        <w:numId w:val="11"/>
      </w:numPr>
    </w:pPr>
  </w:style>
  <w:style w:type="paragraph" w:customStyle="1" w:styleId="RecommendationDash">
    <w:name w:val="Recommendation Dash"/>
    <w:basedOn w:val="RecommendationTextBase"/>
    <w:rsid w:val="00DD009C"/>
    <w:pPr>
      <w:numPr>
        <w:ilvl w:val="1"/>
        <w:numId w:val="11"/>
      </w:numPr>
    </w:pPr>
  </w:style>
  <w:style w:type="paragraph" w:customStyle="1" w:styleId="RecommendationDoubleDot">
    <w:name w:val="Recommendation Double Dot"/>
    <w:basedOn w:val="RecommendationTextBase"/>
    <w:rsid w:val="00DD009C"/>
    <w:pPr>
      <w:numPr>
        <w:ilvl w:val="2"/>
        <w:numId w:val="11"/>
      </w:numPr>
    </w:pPr>
  </w:style>
  <w:style w:type="character" w:styleId="FollowedHyperlink">
    <w:name w:val="FollowedHyperlink"/>
    <w:basedOn w:val="DefaultParagraphFont"/>
    <w:rsid w:val="00DD009C"/>
    <w:rPr>
      <w:color w:val="auto"/>
      <w:u w:val="none"/>
    </w:rPr>
  </w:style>
  <w:style w:type="paragraph" w:customStyle="1" w:styleId="Heading1notnumbered">
    <w:name w:val="Heading 1 not numbered"/>
    <w:basedOn w:val="HeadingBase"/>
    <w:next w:val="Normal"/>
    <w:rsid w:val="00DD009C"/>
    <w:pPr>
      <w:spacing w:before="720" w:after="360"/>
    </w:pPr>
    <w:rPr>
      <w:rFonts w:ascii="Arial Bold" w:hAnsi="Arial Bold"/>
      <w:b/>
      <w:smallCaps/>
      <w:sz w:val="36"/>
      <w:szCs w:val="36"/>
    </w:rPr>
  </w:style>
  <w:style w:type="paragraph" w:customStyle="1" w:styleId="Heading2notnumbered">
    <w:name w:val="Heading 2 not numbered"/>
    <w:basedOn w:val="HeadingBase"/>
    <w:next w:val="Normal"/>
    <w:rsid w:val="00DD009C"/>
    <w:pPr>
      <w:spacing w:before="360" w:after="240"/>
    </w:pPr>
    <w:rPr>
      <w:rFonts w:ascii="Arial Bold" w:hAnsi="Arial Bold"/>
      <w:b/>
      <w:smallCaps/>
      <w:sz w:val="28"/>
      <w:szCs w:val="28"/>
    </w:rPr>
  </w:style>
  <w:style w:type="paragraph" w:customStyle="1" w:styleId="Heading3notnumbered">
    <w:name w:val="Heading 3 not numbered"/>
    <w:basedOn w:val="HeadingBase"/>
    <w:next w:val="Normal"/>
    <w:rsid w:val="00DD009C"/>
    <w:pPr>
      <w:spacing w:before="240" w:after="240"/>
    </w:pPr>
    <w:rPr>
      <w:rFonts w:ascii="Arial Bold" w:hAnsi="Arial Bold"/>
      <w:b/>
      <w:sz w:val="26"/>
      <w:szCs w:val="26"/>
    </w:rPr>
  </w:style>
  <w:style w:type="character" w:customStyle="1" w:styleId="EmailStyle84">
    <w:name w:val="EmailStyle84"/>
    <w:basedOn w:val="DefaultParagraphFont"/>
    <w:semiHidden/>
    <w:rsid w:val="00DD009C"/>
    <w:rPr>
      <w:rFonts w:ascii="Arial" w:hAnsi="Arial" w:cs="Arial"/>
      <w:color w:val="auto"/>
      <w:sz w:val="20"/>
      <w:szCs w:val="20"/>
    </w:rPr>
  </w:style>
  <w:style w:type="paragraph" w:customStyle="1" w:styleId="Option">
    <w:name w:val="Option"/>
    <w:basedOn w:val="Heading4"/>
    <w:rsid w:val="00DD009C"/>
    <w:pPr>
      <w:tabs>
        <w:tab w:val="clear" w:pos="1987"/>
      </w:tabs>
      <w:spacing w:before="0"/>
      <w:ind w:left="1134" w:hanging="1134"/>
    </w:pPr>
    <w:rPr>
      <w:rFonts w:ascii="Arial" w:hAnsi="Arial"/>
      <w:bCs/>
      <w:color w:val="000000"/>
      <w:kern w:val="0"/>
      <w:sz w:val="22"/>
      <w:szCs w:val="22"/>
    </w:rPr>
  </w:style>
  <w:style w:type="paragraph" w:customStyle="1" w:styleId="OptionsTable">
    <w:name w:val="Options Table"/>
    <w:basedOn w:val="Option"/>
    <w:rsid w:val="00DD009C"/>
    <w:pPr>
      <w:tabs>
        <w:tab w:val="left" w:pos="1134"/>
      </w:tabs>
      <w:ind w:left="0" w:firstLine="0"/>
    </w:pPr>
  </w:style>
  <w:style w:type="paragraph" w:customStyle="1" w:styleId="MainHeading">
    <w:name w:val="Main Heading"/>
    <w:basedOn w:val="Heading1"/>
    <w:rsid w:val="00DD009C"/>
    <w:pPr>
      <w:spacing w:before="720" w:after="360"/>
    </w:pPr>
    <w:rPr>
      <w:rFonts w:ascii="Arial" w:hAnsi="Arial" w:cs="Arial"/>
      <w:bCs/>
      <w:smallCaps/>
      <w:color w:val="000000"/>
      <w:kern w:val="32"/>
      <w:sz w:val="36"/>
      <w:szCs w:val="36"/>
      <w:u w:val="none"/>
    </w:rPr>
  </w:style>
  <w:style w:type="character" w:customStyle="1" w:styleId="A5">
    <w:name w:val="A5"/>
    <w:uiPriority w:val="99"/>
    <w:rsid w:val="00DD009C"/>
    <w:rPr>
      <w:rFonts w:cs="Swiss 721 BT"/>
      <w:color w:val="000000"/>
      <w:sz w:val="20"/>
      <w:szCs w:val="20"/>
    </w:rPr>
  </w:style>
  <w:style w:type="paragraph" w:customStyle="1" w:styleId="SecurityClassificationHeader">
    <w:name w:val="Security Classification Header"/>
    <w:link w:val="SecurityClassificationHeaderChar"/>
    <w:rsid w:val="00DD009C"/>
    <w:pPr>
      <w:spacing w:before="240" w:after="60"/>
      <w:jc w:val="center"/>
    </w:pPr>
    <w:rPr>
      <w:rFonts w:ascii="Arial" w:hAnsi="Arial"/>
      <w:b/>
      <w:caps/>
      <w:color w:val="000000"/>
      <w:sz w:val="24"/>
    </w:rPr>
  </w:style>
  <w:style w:type="character" w:customStyle="1" w:styleId="HeadingBaseChar">
    <w:name w:val="Heading Base Char"/>
    <w:basedOn w:val="DefaultParagraphFont"/>
    <w:link w:val="HeadingBase"/>
    <w:rsid w:val="00DD009C"/>
    <w:rPr>
      <w:rFonts w:ascii="Arial" w:hAnsi="Arial"/>
      <w:color w:val="000000"/>
    </w:rPr>
  </w:style>
  <w:style w:type="character" w:customStyle="1" w:styleId="SecurityClassificationHeaderChar">
    <w:name w:val="Security Classification Header Char"/>
    <w:basedOn w:val="HeaderChar"/>
    <w:link w:val="SecurityClassificationHeader"/>
    <w:rsid w:val="00DD009C"/>
    <w:rPr>
      <w:rFonts w:ascii="Arial" w:hAnsi="Arial"/>
      <w:b/>
      <w:caps/>
      <w:color w:val="000000"/>
      <w:sz w:val="24"/>
    </w:rPr>
  </w:style>
  <w:style w:type="paragraph" w:customStyle="1" w:styleId="SecurityClassificationFooter">
    <w:name w:val="Security Classification Footer"/>
    <w:link w:val="SecurityClassificationFooterChar"/>
    <w:rsid w:val="00DD009C"/>
    <w:pPr>
      <w:spacing w:before="60" w:after="240"/>
      <w:jc w:val="center"/>
    </w:pPr>
    <w:rPr>
      <w:rFonts w:ascii="Arial" w:hAnsi="Arial"/>
      <w:b/>
      <w:caps/>
      <w:color w:val="000000"/>
      <w:sz w:val="24"/>
    </w:rPr>
  </w:style>
  <w:style w:type="character" w:customStyle="1" w:styleId="SecurityClassificationFooterChar">
    <w:name w:val="Security Classification Footer Char"/>
    <w:basedOn w:val="HeaderChar"/>
    <w:link w:val="SecurityClassificationFooter"/>
    <w:rsid w:val="00DD009C"/>
    <w:rPr>
      <w:rFonts w:ascii="Arial" w:hAnsi="Arial"/>
      <w:b/>
      <w:caps/>
      <w:color w:val="000000"/>
      <w:sz w:val="24"/>
    </w:rPr>
  </w:style>
  <w:style w:type="paragraph" w:customStyle="1" w:styleId="DLMSecurityHeader">
    <w:name w:val="DLM Security Header"/>
    <w:link w:val="DLMSecurityHeaderChar"/>
    <w:rsid w:val="00DD009C"/>
    <w:pPr>
      <w:spacing w:before="60" w:after="240"/>
      <w:jc w:val="center"/>
    </w:pPr>
    <w:rPr>
      <w:rFonts w:ascii="Arial" w:hAnsi="Arial"/>
      <w:b/>
      <w:caps/>
      <w:color w:val="000000"/>
      <w:sz w:val="24"/>
    </w:rPr>
  </w:style>
  <w:style w:type="character" w:customStyle="1" w:styleId="DLMSecurityHeaderChar">
    <w:name w:val="DLM Security Header Char"/>
    <w:basedOn w:val="HeaderChar"/>
    <w:link w:val="DLMSecurityHeader"/>
    <w:rsid w:val="00DD009C"/>
    <w:rPr>
      <w:rFonts w:ascii="Arial" w:hAnsi="Arial"/>
      <w:b/>
      <w:caps/>
      <w:color w:val="000000"/>
      <w:sz w:val="24"/>
    </w:rPr>
  </w:style>
  <w:style w:type="paragraph" w:customStyle="1" w:styleId="DLMSecurityFooter">
    <w:name w:val="DLM Security Footer"/>
    <w:link w:val="DLMSecurityFooterChar"/>
    <w:rsid w:val="00DD009C"/>
    <w:pPr>
      <w:spacing w:before="240" w:after="60"/>
      <w:jc w:val="center"/>
    </w:pPr>
    <w:rPr>
      <w:rFonts w:ascii="Arial" w:hAnsi="Arial"/>
      <w:b/>
      <w:caps/>
      <w:color w:val="000000"/>
      <w:sz w:val="24"/>
    </w:rPr>
  </w:style>
  <w:style w:type="character" w:customStyle="1" w:styleId="DLMSecurityFooterChar">
    <w:name w:val="DLM Security Footer Char"/>
    <w:basedOn w:val="HeaderChar"/>
    <w:link w:val="DLMSecurityFooter"/>
    <w:rsid w:val="00DD009C"/>
    <w:rPr>
      <w:rFonts w:ascii="Arial" w:hAnsi="Arial"/>
      <w:b/>
      <w:caps/>
      <w:color w:val="000000"/>
      <w:sz w:val="24"/>
    </w:rPr>
  </w:style>
  <w:style w:type="character" w:styleId="Emphasis">
    <w:name w:val="Emphasis"/>
    <w:basedOn w:val="DefaultParagraphFont"/>
    <w:qFormat/>
    <w:rsid w:val="00DD009C"/>
    <w:rPr>
      <w:i/>
      <w:iCs/>
    </w:rPr>
  </w:style>
  <w:style w:type="paragraph" w:styleId="NormalWeb">
    <w:name w:val="Normal (Web)"/>
    <w:basedOn w:val="Normal"/>
    <w:uiPriority w:val="99"/>
    <w:unhideWhenUsed/>
    <w:rsid w:val="00DD009C"/>
    <w:pPr>
      <w:spacing w:before="100" w:beforeAutospacing="1" w:after="100" w:afterAutospacing="1"/>
    </w:pPr>
    <w:rPr>
      <w:szCs w:val="24"/>
    </w:rPr>
  </w:style>
  <w:style w:type="paragraph" w:customStyle="1" w:styleId="Heading1NotNumbered0">
    <w:name w:val="Heading 1 Not Numbered"/>
    <w:basedOn w:val="HeadingBase"/>
    <w:next w:val="Normal"/>
    <w:rsid w:val="00DD009C"/>
    <w:pPr>
      <w:spacing w:before="720" w:after="360"/>
    </w:pPr>
    <w:rPr>
      <w:rFonts w:ascii="Calibri" w:hAnsi="Calibri"/>
      <w:smallCaps/>
      <w:color w:val="342E82"/>
      <w:sz w:val="36"/>
      <w:szCs w:val="36"/>
    </w:rPr>
  </w:style>
  <w:style w:type="table" w:customStyle="1" w:styleId="LightGrid-Accent21">
    <w:name w:val="Light Grid - Accent 21"/>
    <w:basedOn w:val="TableNormal"/>
    <w:next w:val="LightGrid-Accent2"/>
    <w:uiPriority w:val="62"/>
    <w:rsid w:val="00DD009C"/>
    <w:rPr>
      <w:rFonts w:ascii="Calibri" w:hAnsi="Calibri"/>
      <w:sz w:val="24"/>
      <w:szCs w:val="24"/>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auto"/>
    </w:tcPr>
    <w:tblStylePr w:type="firstRow">
      <w:pPr>
        <w:spacing w:before="0" w:after="0" w:line="240" w:lineRule="auto"/>
      </w:pPr>
      <w:rPr>
        <w:rFonts w:ascii="Cambria" w:eastAsia="Times New Roman" w:hAnsi="Cambria" w:cs="Times New Roman"/>
        <w:b/>
        <w:bCs/>
      </w:rPr>
      <w:tblPr/>
      <w:tcPr>
        <w:shd w:val="clear" w:color="auto" w:fill="CD0920"/>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DD009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2">
    <w:name w:val="Light Grid - Accent 22"/>
    <w:basedOn w:val="TableNormal"/>
    <w:next w:val="LightGrid-Accent2"/>
    <w:uiPriority w:val="62"/>
    <w:rsid w:val="00DD009C"/>
    <w:rPr>
      <w:rFonts w:ascii="Calibri" w:hAnsi="Calibri"/>
      <w:sz w:val="24"/>
      <w:szCs w:val="24"/>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auto"/>
    </w:tcPr>
    <w:tblStylePr w:type="firstRow">
      <w:pPr>
        <w:spacing w:before="0" w:after="0" w:line="240" w:lineRule="auto"/>
      </w:pPr>
      <w:rPr>
        <w:rFonts w:ascii="Cambria" w:eastAsia="Times New Roman" w:hAnsi="Cambria" w:cs="Times New Roman"/>
        <w:b/>
        <w:bCs/>
      </w:rPr>
      <w:tblPr/>
      <w:tcPr>
        <w:shd w:val="clear" w:color="auto" w:fill="CD0920"/>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rba.gov.au/payments-system/clearing-settlement/otc-derivatives/201203-otc-der-mkt-ref-con/pdf/201203-otc-der-mkt-ref-con.pdf" TargetMode="External"/><Relationship Id="rId1" Type="http://schemas.openxmlformats.org/officeDocument/2006/relationships/hyperlink" Target="http://www.cfr.gov.au/publications/cfr-publications/2013/report-on-the-australian-otc-derivatives-market-july/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9f7bc583-7cbe-45b9-a2bd-8bbb6543b37e">
      <Value>11</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 xmlns="9f7bc583-7cbe-45b9-a2bd-8bbb6543b37e">2014RG-86-16321</_dlc_DocId>
    <_dlc_DocIdUrl xmlns="9f7bc583-7cbe-45b9-a2bd-8bbb6543b37e">
      <Url>http://tweb/sites/rg/ldp/lmu/_layouts/15/DocIdRedir.aspx?ID=2014RG-86-16321</Url>
      <Description>2014RG-86-16321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0A840AFAB52624689FA9AA81E9EF0D1" ma:contentTypeVersion="19" ma:contentTypeDescription=" " ma:contentTypeScope="" ma:versionID="a682023c0372fd80f246bc2ddd41ab65">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ba0810852fcff98aaa9c19b15de1cedb"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9C99B-35E0-47DF-86FA-F40F06F399BC}">
  <ds:schemaRefs>
    <ds:schemaRef ds:uri="http://schemas.microsoft.com/sharepoint/v3/contenttype/forms"/>
  </ds:schemaRefs>
</ds:datastoreItem>
</file>

<file path=customXml/itemProps2.xml><?xml version="1.0" encoding="utf-8"?>
<ds:datastoreItem xmlns:ds="http://schemas.openxmlformats.org/officeDocument/2006/customXml" ds:itemID="{7DED3150-A058-4084-AD4E-87276852F58B}">
  <ds:schemaRefs>
    <ds:schemaRef ds:uri="http://schemas.microsoft.com/sharepoint/events"/>
  </ds:schemaRefs>
</ds:datastoreItem>
</file>

<file path=customXml/itemProps3.xml><?xml version="1.0" encoding="utf-8"?>
<ds:datastoreItem xmlns:ds="http://schemas.openxmlformats.org/officeDocument/2006/customXml" ds:itemID="{A3976B60-7C5F-4C49-80FE-13CEAEECC9B2}">
  <ds:schemaRefs>
    <ds:schemaRef ds:uri="http://schemas.microsoft.com/office/infopath/2007/PartnerControls"/>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schemas.microsoft.com/sharepoint/v3"/>
    <ds:schemaRef ds:uri="http://schemas.microsoft.com/sharepoint/v4"/>
    <ds:schemaRef ds:uri="9f7bc583-7cbe-45b9-a2bd-8bbb6543b37e"/>
    <ds:schemaRef ds:uri="http://schemas.microsoft.com/office/2006/metadata/properties"/>
  </ds:schemaRefs>
</ds:datastoreItem>
</file>

<file path=customXml/itemProps4.xml><?xml version="1.0" encoding="utf-8"?>
<ds:datastoreItem xmlns:ds="http://schemas.openxmlformats.org/officeDocument/2006/customXml" ds:itemID="{82FE79C8-12F4-4517-B0EC-7A197FCB5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58271B-1D33-4410-AC46-EDDA330E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ExCo-Explanatory Statement.dotm</Template>
  <TotalTime>0</TotalTime>
  <Pages>37</Pages>
  <Words>13359</Words>
  <Characters>75284</Characters>
  <Application>Microsoft Office Word</Application>
  <DocSecurity>4</DocSecurity>
  <Lines>627</Lines>
  <Paragraphs>176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88467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Lim, Michael</dc:creator>
  <cp:lastModifiedBy>Alabaster, John</cp:lastModifiedBy>
  <cp:revision>2</cp:revision>
  <cp:lastPrinted>2011-09-27T02:53:00Z</cp:lastPrinted>
  <dcterms:created xsi:type="dcterms:W3CDTF">2015-09-01T04:06:00Z</dcterms:created>
  <dcterms:modified xsi:type="dcterms:W3CDTF">2015-09-01T04:06:00Z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-2119910230</vt:i4>
  </property>
  <property fmtid="{D5CDD505-2E9C-101B-9397-08002B2CF9AE}" pid="3" name="_NewReviewCycle">
    <vt:lpwstr/>
  </property>
  <property fmtid="{D5CDD505-2E9C-101B-9397-08002B2CF9AE}" pid="4" name="_EmailSubject">
    <vt:lpwstr>ExCo Explanatory Statement Template</vt:lpwstr>
  </property>
  <property fmtid="{D5CDD505-2E9C-101B-9397-08002B2CF9AE}" pid="5" name="_AuthorEmail">
    <vt:lpwstr>Paul.Atkinson@TREASURY.GOV.AU</vt:lpwstr>
  </property>
  <property fmtid="{D5CDD505-2E9C-101B-9397-08002B2CF9AE}" pid="6" name="_AuthorEmailDisplayName">
    <vt:lpwstr>Atkinson, Paul</vt:lpwstr>
  </property>
  <property fmtid="{D5CDD505-2E9C-101B-9397-08002B2CF9AE}" pid="7" name="_ReviewingToolsShownOnce">
    <vt:lpwstr/>
  </property>
  <property fmtid="{D5CDD505-2E9C-101B-9397-08002B2CF9AE}" pid="8" name="ContentTypeId">
    <vt:lpwstr>0x01010036BB8DE7EC542E42A8B2E98CC20CB69700A0A840AFAB52624689FA9AA81E9EF0D1</vt:lpwstr>
  </property>
  <property fmtid="{D5CDD505-2E9C-101B-9397-08002B2CF9AE}" pid="9" name="RecordPoint_ActiveItemUniqueId">
    <vt:lpwstr>{9534dd20-d4fd-4d87-90d2-bd83d359589a}</vt:lpwstr>
  </property>
  <property fmtid="{D5CDD505-2E9C-101B-9397-08002B2CF9AE}" pid="10" name="RecordPoint_SubmissionCompleted">
    <vt:lpwstr>2015-08-11T13:45:49.2203117+10:00</vt:lpwstr>
  </property>
  <property fmtid="{D5CDD505-2E9C-101B-9397-08002B2CF9AE}" pid="11" name="TSYRecordClass">
    <vt:lpwstr>11;#TSY RA-9237 - Destroy 5 years after action completed|9f1a030e-81bf-44c5-98eb-4d5d869a40d5</vt:lpwstr>
  </property>
  <property fmtid="{D5CDD505-2E9C-101B-9397-08002B2CF9AE}" pid="12" name="RecordPoint_WorkflowType">
    <vt:lpwstr>ActiveSubmitStub</vt:lpwstr>
  </property>
  <property fmtid="{D5CDD505-2E9C-101B-9397-08002B2CF9AE}" pid="13" name="_dlc_DocIdItemGuid">
    <vt:lpwstr>f8710974-60ac-491b-9fe0-5d7c22910742</vt:lpwstr>
  </property>
</Properties>
</file>