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13" w:rsidRPr="000A24BF" w:rsidRDefault="00632413" w:rsidP="00632413">
      <w:pPr>
        <w:pStyle w:val="LeftHeading"/>
        <w:jc w:val="center"/>
        <w:rPr>
          <w:rFonts w:ascii="Times New Roman" w:hAnsi="Times New Roman"/>
        </w:rPr>
      </w:pPr>
      <w:bookmarkStart w:id="0" w:name="_GoBack"/>
      <w:bookmarkEnd w:id="0"/>
      <w:r w:rsidRPr="000A24BF">
        <w:rPr>
          <w:rFonts w:ascii="Times New Roman" w:hAnsi="Times New Roman"/>
        </w:rPr>
        <w:t>explanatory statement</w:t>
      </w:r>
    </w:p>
    <w:p w:rsidR="00632413" w:rsidRPr="00787145" w:rsidRDefault="00632413" w:rsidP="00632413">
      <w:pPr>
        <w:jc w:val="center"/>
      </w:pPr>
      <w:r w:rsidRPr="00787145">
        <w:t xml:space="preserve">Issued by the </w:t>
      </w:r>
      <w:r w:rsidR="00CF0383" w:rsidRPr="00787145">
        <w:t xml:space="preserve">Minister for Finance </w:t>
      </w:r>
    </w:p>
    <w:p w:rsidR="00632413" w:rsidRPr="00EB4F8D" w:rsidRDefault="00632413" w:rsidP="00632413">
      <w:pPr>
        <w:pStyle w:val="Heading3"/>
      </w:pPr>
      <w:r w:rsidRPr="00EB4F8D">
        <w:t>Superannuation Act 2005</w:t>
      </w:r>
    </w:p>
    <w:p w:rsidR="005D3A9B" w:rsidRDefault="005D3A9B" w:rsidP="005D3A9B">
      <w:pPr>
        <w:ind w:right="-341"/>
        <w:jc w:val="center"/>
      </w:pPr>
      <w:r>
        <w:t xml:space="preserve">Declaration under paragraph </w:t>
      </w:r>
      <w:r w:rsidR="005041C7">
        <w:t>13(1)</w:t>
      </w:r>
      <w:r w:rsidR="000A24BF">
        <w:t>(a</w:t>
      </w:r>
      <w:r w:rsidR="000A24BF" w:rsidRPr="00191122">
        <w:t>)</w:t>
      </w:r>
      <w:r w:rsidR="000A24BF">
        <w:t>(ii)</w:t>
      </w:r>
      <w:r w:rsidR="000A24BF" w:rsidRPr="00191122">
        <w:t xml:space="preserve"> </w:t>
      </w:r>
    </w:p>
    <w:p w:rsidR="000A24BF" w:rsidRPr="004711C1" w:rsidRDefault="000A24BF" w:rsidP="006E7724">
      <w:pPr>
        <w:spacing w:after="240"/>
        <w:ind w:right="-340"/>
        <w:jc w:val="center"/>
      </w:pPr>
      <w:r w:rsidRPr="000D6DD6">
        <w:rPr>
          <w:i/>
        </w:rPr>
        <w:t xml:space="preserve">Superannuation (PSSAP) </w:t>
      </w:r>
      <w:r w:rsidRPr="004711C1">
        <w:rPr>
          <w:i/>
        </w:rPr>
        <w:t xml:space="preserve">Membership Eligibility (Inclusion) Amendment Declaration 2015 (No. </w:t>
      </w:r>
      <w:r w:rsidR="00AE102F" w:rsidRPr="004711C1">
        <w:rPr>
          <w:i/>
        </w:rPr>
        <w:t>3</w:t>
      </w:r>
      <w:r w:rsidRPr="004711C1">
        <w:rPr>
          <w:i/>
        </w:rPr>
        <w:t>)</w:t>
      </w:r>
    </w:p>
    <w:p w:rsidR="005579B4" w:rsidRPr="004711C1" w:rsidRDefault="005D3A9B" w:rsidP="006E7724">
      <w:pPr>
        <w:spacing w:after="240"/>
        <w:rPr>
          <w:iCs/>
        </w:rPr>
      </w:pPr>
      <w:r w:rsidRPr="004711C1">
        <w:rPr>
          <w:iCs/>
        </w:rPr>
        <w:t xml:space="preserve">The </w:t>
      </w:r>
      <w:r w:rsidRPr="004711C1">
        <w:rPr>
          <w:i/>
          <w:iCs/>
        </w:rPr>
        <w:t>Superannuation Act 2005</w:t>
      </w:r>
      <w:r w:rsidRPr="004711C1">
        <w:rPr>
          <w:iCs/>
        </w:rPr>
        <w:t xml:space="preserve"> (the Act) </w:t>
      </w:r>
      <w:r w:rsidR="00220D41" w:rsidRPr="004711C1">
        <w:rPr>
          <w:iCs/>
        </w:rPr>
        <w:t xml:space="preserve">establishes and </w:t>
      </w:r>
      <w:r w:rsidRPr="004711C1">
        <w:rPr>
          <w:iCs/>
        </w:rPr>
        <w:t>makes provision for the Public Sector Superannuation Accumulation Plan (PSSAP)</w:t>
      </w:r>
      <w:r w:rsidR="00220D41" w:rsidRPr="004711C1">
        <w:rPr>
          <w:iCs/>
        </w:rPr>
        <w:t xml:space="preserve">, a superannuation scheme </w:t>
      </w:r>
      <w:r w:rsidRPr="004711C1">
        <w:rPr>
          <w:iCs/>
        </w:rPr>
        <w:t>for public sector employees</w:t>
      </w:r>
      <w:r w:rsidR="00AE102F" w:rsidRPr="004711C1">
        <w:rPr>
          <w:iCs/>
        </w:rPr>
        <w:t>,</w:t>
      </w:r>
      <w:r w:rsidRPr="004711C1">
        <w:rPr>
          <w:iCs/>
        </w:rPr>
        <w:t xml:space="preserve"> and certain other persons</w:t>
      </w:r>
      <w:r w:rsidR="007C1B5F" w:rsidRPr="004711C1">
        <w:rPr>
          <w:iCs/>
        </w:rPr>
        <w:t>,</w:t>
      </w:r>
      <w:r w:rsidRPr="004711C1">
        <w:rPr>
          <w:iCs/>
        </w:rPr>
        <w:t xml:space="preserve"> </w:t>
      </w:r>
      <w:r w:rsidR="007C1B5F" w:rsidRPr="004711C1">
        <w:t>who commence employment on or after 1 July 2005.</w:t>
      </w:r>
    </w:p>
    <w:p w:rsidR="000A24BF" w:rsidRPr="004711C1" w:rsidRDefault="004D132B" w:rsidP="006E7724">
      <w:pPr>
        <w:spacing w:after="240"/>
      </w:pPr>
      <w:r w:rsidRPr="004711C1">
        <w:t xml:space="preserve">Section 13 of the </w:t>
      </w:r>
      <w:r w:rsidR="00220D41" w:rsidRPr="004711C1">
        <w:t xml:space="preserve">Act </w:t>
      </w:r>
      <w:r w:rsidR="00E65ED0" w:rsidRPr="004711C1">
        <w:rPr>
          <w:szCs w:val="24"/>
          <w:lang w:eastAsia="en-AU"/>
        </w:rPr>
        <w:t xml:space="preserve">specifies the various persons </w:t>
      </w:r>
      <w:r w:rsidR="00E65ED0" w:rsidRPr="004711C1">
        <w:t>who are</w:t>
      </w:r>
      <w:r w:rsidR="00220D41" w:rsidRPr="004711C1">
        <w:t xml:space="preserve"> eligible for </w:t>
      </w:r>
      <w:r w:rsidRPr="004711C1">
        <w:t>PSSAP member</w:t>
      </w:r>
      <w:r w:rsidR="00220D41" w:rsidRPr="004711C1">
        <w:t>ship</w:t>
      </w:r>
      <w:r w:rsidRPr="004711C1">
        <w:t xml:space="preserve">.  </w:t>
      </w:r>
      <w:r w:rsidR="0076099F" w:rsidRPr="004711C1">
        <w:t xml:space="preserve">Pursuant to </w:t>
      </w:r>
      <w:r w:rsidR="005041C7" w:rsidRPr="004711C1">
        <w:t>paragraph 13</w:t>
      </w:r>
      <w:r w:rsidR="00232AE7" w:rsidRPr="004711C1">
        <w:t>(1)</w:t>
      </w:r>
      <w:r w:rsidR="005041C7" w:rsidRPr="004711C1">
        <w:t>(a), a</w:t>
      </w:r>
      <w:r w:rsidR="00780A83" w:rsidRPr="004711C1">
        <w:t xml:space="preserve"> person i</w:t>
      </w:r>
      <w:r w:rsidR="00E65ED0" w:rsidRPr="004711C1">
        <w:t xml:space="preserve">s eligible to become a </w:t>
      </w:r>
      <w:r w:rsidR="00780A83" w:rsidRPr="004711C1">
        <w:t>PSSAP</w:t>
      </w:r>
      <w:r w:rsidR="00E65ED0" w:rsidRPr="004711C1">
        <w:t xml:space="preserve"> member</w:t>
      </w:r>
      <w:r w:rsidR="00780A83" w:rsidRPr="004711C1">
        <w:t xml:space="preserve"> if they are a </w:t>
      </w:r>
      <w:r w:rsidR="006A3E0F" w:rsidRPr="004711C1">
        <w:t>‘</w:t>
      </w:r>
      <w:r w:rsidR="00780A83" w:rsidRPr="004711C1">
        <w:t>public sector employee</w:t>
      </w:r>
      <w:r w:rsidR="006A3E0F" w:rsidRPr="004711C1">
        <w:t>’ under subparagraph</w:t>
      </w:r>
      <w:r w:rsidR="003C38B9">
        <w:t> </w:t>
      </w:r>
      <w:r w:rsidR="006A3E0F" w:rsidRPr="004711C1">
        <w:t>13</w:t>
      </w:r>
      <w:r w:rsidR="00232AE7" w:rsidRPr="004711C1">
        <w:t>(1)</w:t>
      </w:r>
      <w:r w:rsidR="006A3E0F" w:rsidRPr="004711C1">
        <w:t>(a)(i)</w:t>
      </w:r>
      <w:r w:rsidR="00780A83" w:rsidRPr="004711C1">
        <w:t>, or</w:t>
      </w:r>
      <w:r w:rsidR="003C38B9">
        <w:t> if </w:t>
      </w:r>
      <w:r w:rsidR="00780A83" w:rsidRPr="004711C1">
        <w:t xml:space="preserve">they are </w:t>
      </w:r>
      <w:r w:rsidR="00E65ED0" w:rsidRPr="004711C1">
        <w:t xml:space="preserve">declared eligible </w:t>
      </w:r>
      <w:r w:rsidR="00780A83" w:rsidRPr="004711C1">
        <w:t xml:space="preserve">by the Minister </w:t>
      </w:r>
      <w:r w:rsidR="00344CBF" w:rsidRPr="004711C1">
        <w:t xml:space="preserve">in an instrument </w:t>
      </w:r>
      <w:r w:rsidR="00780A83" w:rsidRPr="004711C1">
        <w:t>under subparagraph</w:t>
      </w:r>
      <w:r w:rsidR="003C38B9">
        <w:t> </w:t>
      </w:r>
      <w:r w:rsidR="00220D41" w:rsidRPr="004711C1">
        <w:t>13</w:t>
      </w:r>
      <w:r w:rsidR="00232AE7" w:rsidRPr="004711C1">
        <w:t>(1)</w:t>
      </w:r>
      <w:r w:rsidR="00220D41" w:rsidRPr="004711C1">
        <w:t>(a)(ii)</w:t>
      </w:r>
      <w:r w:rsidR="00E65ED0" w:rsidRPr="004711C1">
        <w:t xml:space="preserve">.  </w:t>
      </w:r>
      <w:r w:rsidR="00EF71FB" w:rsidRPr="004711C1">
        <w:t>The meaning of ‘p</w:t>
      </w:r>
      <w:r w:rsidR="00E65ED0" w:rsidRPr="004711C1">
        <w:t>ublic sector employee</w:t>
      </w:r>
      <w:r w:rsidR="006A3E0F" w:rsidRPr="004711C1">
        <w:t>’</w:t>
      </w:r>
      <w:r w:rsidR="00E65ED0" w:rsidRPr="004711C1">
        <w:t xml:space="preserve"> </w:t>
      </w:r>
      <w:r w:rsidR="0082638D" w:rsidRPr="004711C1">
        <w:t xml:space="preserve">is </w:t>
      </w:r>
      <w:r w:rsidR="00EF71FB" w:rsidRPr="004711C1">
        <w:t>set out</w:t>
      </w:r>
      <w:r w:rsidR="0082638D" w:rsidRPr="004711C1">
        <w:t xml:space="preserve"> in section</w:t>
      </w:r>
      <w:r w:rsidR="003C38B9">
        <w:t> </w:t>
      </w:r>
      <w:r w:rsidR="0082638D" w:rsidRPr="004711C1">
        <w:t xml:space="preserve">5 </w:t>
      </w:r>
      <w:r w:rsidR="006F4A77" w:rsidRPr="004711C1">
        <w:t xml:space="preserve">of the </w:t>
      </w:r>
      <w:r w:rsidR="00E65ED0" w:rsidRPr="004711C1">
        <w:t>Act.</w:t>
      </w:r>
    </w:p>
    <w:p w:rsidR="00C85BC8" w:rsidRPr="004711C1" w:rsidRDefault="00FE77B9" w:rsidP="006E7724">
      <w:pPr>
        <w:spacing w:after="240"/>
      </w:pPr>
      <w:r w:rsidRPr="004711C1">
        <w:rPr>
          <w:iCs/>
        </w:rPr>
        <w:t xml:space="preserve">The </w:t>
      </w:r>
      <w:r w:rsidRPr="004711C1">
        <w:rPr>
          <w:i/>
          <w:iCs/>
        </w:rPr>
        <w:t>Superannuation (PSSAP) Membership Eligibility (Inclusion) Declaration 2005</w:t>
      </w:r>
      <w:r w:rsidRPr="004711C1">
        <w:rPr>
          <w:iCs/>
        </w:rPr>
        <w:t xml:space="preserve"> (the Principal Declaration)</w:t>
      </w:r>
      <w:r w:rsidR="00AE102F" w:rsidRPr="004711C1">
        <w:rPr>
          <w:iCs/>
        </w:rPr>
        <w:t>,</w:t>
      </w:r>
      <w:r w:rsidRPr="004711C1">
        <w:rPr>
          <w:iCs/>
        </w:rPr>
        <w:t xml:space="preserve"> made under </w:t>
      </w:r>
      <w:r w:rsidR="00232AE7" w:rsidRPr="004711C1">
        <w:rPr>
          <w:iCs/>
        </w:rPr>
        <w:t xml:space="preserve">the equivalent power in former </w:t>
      </w:r>
      <w:r w:rsidR="006F4A77" w:rsidRPr="004711C1">
        <w:rPr>
          <w:iCs/>
        </w:rPr>
        <w:t>paragraph </w:t>
      </w:r>
      <w:r w:rsidRPr="004711C1">
        <w:rPr>
          <w:iCs/>
        </w:rPr>
        <w:t>13(1)(b) of the Act</w:t>
      </w:r>
      <w:r w:rsidR="00AE102F" w:rsidRPr="004711C1">
        <w:rPr>
          <w:iCs/>
        </w:rPr>
        <w:t>,</w:t>
      </w:r>
      <w:r w:rsidRPr="004711C1">
        <w:rPr>
          <w:iCs/>
        </w:rPr>
        <w:t xml:space="preserve"> </w:t>
      </w:r>
      <w:r w:rsidRPr="004711C1">
        <w:t>identifies</w:t>
      </w:r>
      <w:r w:rsidR="00E62819" w:rsidRPr="004711C1">
        <w:t xml:space="preserve"> those persons who are declared</w:t>
      </w:r>
      <w:r w:rsidRPr="004711C1">
        <w:t xml:space="preserve"> </w:t>
      </w:r>
      <w:r w:rsidR="00EF71FB" w:rsidRPr="004711C1">
        <w:t xml:space="preserve">by the Minister </w:t>
      </w:r>
      <w:r w:rsidR="00232AE7" w:rsidRPr="004711C1">
        <w:t xml:space="preserve">as eligible </w:t>
      </w:r>
      <w:r w:rsidRPr="004711C1">
        <w:t>to become PSSAP members.</w:t>
      </w:r>
      <w:r w:rsidR="00C85BC8" w:rsidRPr="004711C1">
        <w:t xml:space="preserve">  </w:t>
      </w:r>
      <w:r w:rsidR="001C2522" w:rsidRPr="004711C1">
        <w:t xml:space="preserve">Under section 23 of Schedule 2 to the </w:t>
      </w:r>
      <w:r w:rsidR="001C2522" w:rsidRPr="004711C1">
        <w:rPr>
          <w:i/>
        </w:rPr>
        <w:t>Superannuation Legislation (Consequential Amendments and Transitional Provisions) Act 2011</w:t>
      </w:r>
      <w:r w:rsidR="001C2522" w:rsidRPr="004711C1">
        <w:t xml:space="preserve">, the Principal Declaration is to be treated as if it were made under subparagraph 13(1)(a)(ii) of the Act.  </w:t>
      </w:r>
      <w:r w:rsidR="00E62819" w:rsidRPr="004711C1">
        <w:t>Subsection </w:t>
      </w:r>
      <w:r w:rsidR="00232AE7" w:rsidRPr="004711C1">
        <w:t>4</w:t>
      </w:r>
      <w:r w:rsidR="00E62819" w:rsidRPr="004711C1">
        <w:t>(2)</w:t>
      </w:r>
      <w:r w:rsidR="00232AE7" w:rsidRPr="004711C1">
        <w:t xml:space="preserve"> of the Principal Declaration sets out the circumstances </w:t>
      </w:r>
      <w:r w:rsidR="00AE102F" w:rsidRPr="004711C1">
        <w:t xml:space="preserve">in which </w:t>
      </w:r>
      <w:r w:rsidR="00232AE7" w:rsidRPr="004711C1">
        <w:t>persons declared eligible for PSSAP</w:t>
      </w:r>
      <w:r w:rsidR="00E62819" w:rsidRPr="004711C1">
        <w:t> </w:t>
      </w:r>
      <w:r w:rsidR="00232AE7" w:rsidRPr="004711C1">
        <w:t xml:space="preserve">membership cease to be eligible for membership. </w:t>
      </w:r>
      <w:r w:rsidR="001C2522" w:rsidRPr="004711C1">
        <w:t xml:space="preserve"> </w:t>
      </w:r>
      <w:r w:rsidR="00401EE8" w:rsidRPr="004711C1">
        <w:t>Under the</w:t>
      </w:r>
      <w:r w:rsidR="00960DEE" w:rsidRPr="004711C1">
        <w:t xml:space="preserve"> Principal Declaration, certain categories of Commonwealth Superannuation Corporation (CSC) employees are eligible for PSSAP membership</w:t>
      </w:r>
      <w:r w:rsidR="00401EE8" w:rsidRPr="004711C1">
        <w:t>.</w:t>
      </w:r>
      <w:r w:rsidR="00960DEE" w:rsidRPr="004711C1">
        <w:t xml:space="preserve"> </w:t>
      </w:r>
    </w:p>
    <w:p w:rsidR="00D24C7D" w:rsidRDefault="00EF71FB" w:rsidP="006E7724">
      <w:pPr>
        <w:spacing w:after="240"/>
      </w:pPr>
      <w:r w:rsidRPr="004711C1">
        <w:rPr>
          <w:iCs/>
        </w:rPr>
        <w:t xml:space="preserve">The purpose of the </w:t>
      </w:r>
      <w:r w:rsidRPr="004711C1">
        <w:rPr>
          <w:b/>
          <w:i/>
          <w:iCs/>
        </w:rPr>
        <w:t xml:space="preserve">Superannuation (PSSAP) Membership Eligibility (Inclusion) Amendment Declaration </w:t>
      </w:r>
      <w:r w:rsidR="00AC7A74" w:rsidRPr="004711C1">
        <w:rPr>
          <w:b/>
          <w:i/>
          <w:iCs/>
        </w:rPr>
        <w:t>20</w:t>
      </w:r>
      <w:r w:rsidRPr="004711C1">
        <w:rPr>
          <w:b/>
          <w:i/>
          <w:iCs/>
        </w:rPr>
        <w:t>1</w:t>
      </w:r>
      <w:r w:rsidR="00AC7A74" w:rsidRPr="004711C1">
        <w:rPr>
          <w:b/>
          <w:i/>
          <w:iCs/>
        </w:rPr>
        <w:t>5</w:t>
      </w:r>
      <w:r w:rsidRPr="004711C1">
        <w:rPr>
          <w:b/>
          <w:i/>
          <w:iCs/>
        </w:rPr>
        <w:t xml:space="preserve"> (No. </w:t>
      </w:r>
      <w:r w:rsidR="00AE102F" w:rsidRPr="004711C1">
        <w:rPr>
          <w:b/>
          <w:i/>
          <w:iCs/>
        </w:rPr>
        <w:t>3</w:t>
      </w:r>
      <w:r w:rsidRPr="004711C1">
        <w:rPr>
          <w:b/>
          <w:i/>
          <w:iCs/>
        </w:rPr>
        <w:t>)</w:t>
      </w:r>
      <w:r w:rsidRPr="004711C1">
        <w:rPr>
          <w:iCs/>
        </w:rPr>
        <w:t xml:space="preserve"> (the</w:t>
      </w:r>
      <w:r w:rsidRPr="00A32C4C">
        <w:rPr>
          <w:iCs/>
        </w:rPr>
        <w:t xml:space="preserve"> Declaration) is to amend the Principal Declaration </w:t>
      </w:r>
      <w:r w:rsidR="00AC7A74">
        <w:rPr>
          <w:iCs/>
        </w:rPr>
        <w:t xml:space="preserve">to extend eligibility for </w:t>
      </w:r>
      <w:r w:rsidR="00401EE8">
        <w:rPr>
          <w:iCs/>
        </w:rPr>
        <w:t xml:space="preserve">PSSAP </w:t>
      </w:r>
      <w:r w:rsidR="00AC7A74">
        <w:rPr>
          <w:iCs/>
        </w:rPr>
        <w:t xml:space="preserve">membership to all </w:t>
      </w:r>
      <w:r w:rsidRPr="00AC7A74">
        <w:rPr>
          <w:bCs/>
        </w:rPr>
        <w:t>CSC</w:t>
      </w:r>
      <w:r>
        <w:t xml:space="preserve"> employees</w:t>
      </w:r>
      <w:r w:rsidR="00AC7A74">
        <w:t xml:space="preserve">.  </w:t>
      </w:r>
    </w:p>
    <w:p w:rsidR="00137C09" w:rsidRDefault="00137C09" w:rsidP="00137C09">
      <w:pPr>
        <w:spacing w:after="240"/>
      </w:pPr>
      <w:r w:rsidRPr="00700006">
        <w:t xml:space="preserve">The </w:t>
      </w:r>
      <w:r w:rsidRPr="00700006">
        <w:rPr>
          <w:i/>
          <w:iCs/>
        </w:rPr>
        <w:t>Governance of Australian Government Superannuation Schemes Act</w:t>
      </w:r>
      <w:r>
        <w:rPr>
          <w:i/>
          <w:iCs/>
        </w:rPr>
        <w:t> </w:t>
      </w:r>
      <w:r w:rsidRPr="00700006">
        <w:rPr>
          <w:i/>
          <w:iCs/>
        </w:rPr>
        <w:t>2011</w:t>
      </w:r>
      <w:r>
        <w:t xml:space="preserve"> (the </w:t>
      </w:r>
      <w:r w:rsidRPr="00700006">
        <w:t>Governance</w:t>
      </w:r>
      <w:r>
        <w:t> </w:t>
      </w:r>
      <w:r w:rsidRPr="00700006">
        <w:t>Act) established CSC as the consolidated trustee of the main Commonwealth civilian and military superannuation schemes.</w:t>
      </w:r>
      <w:r>
        <w:t xml:space="preserve"> </w:t>
      </w:r>
      <w:r w:rsidRPr="00700006">
        <w:t xml:space="preserve"> CSC was created by continuing in existence the body corporate formerly called </w:t>
      </w:r>
      <w:r>
        <w:t xml:space="preserve">the </w:t>
      </w:r>
      <w:r w:rsidRPr="00700006">
        <w:t>Australian R</w:t>
      </w:r>
      <w:r>
        <w:t>eward Investment Alliance</w:t>
      </w:r>
      <w:r w:rsidRPr="00700006">
        <w:t xml:space="preserve"> (</w:t>
      </w:r>
      <w:r>
        <w:t xml:space="preserve">a merged body which replaced the </w:t>
      </w:r>
      <w:r w:rsidRPr="00700006">
        <w:t xml:space="preserve">former </w:t>
      </w:r>
      <w:r>
        <w:t xml:space="preserve">PSS Board under the </w:t>
      </w:r>
      <w:r>
        <w:rPr>
          <w:i/>
        </w:rPr>
        <w:t xml:space="preserve">Superannuation Act 1990 </w:t>
      </w:r>
      <w:r>
        <w:t xml:space="preserve">and the former CSS </w:t>
      </w:r>
      <w:r w:rsidRPr="00700006">
        <w:t>Board</w:t>
      </w:r>
      <w:r>
        <w:t xml:space="preserve"> under the </w:t>
      </w:r>
      <w:r>
        <w:rPr>
          <w:i/>
        </w:rPr>
        <w:t>Superannuation</w:t>
      </w:r>
      <w:r w:rsidR="00D70397">
        <w:rPr>
          <w:i/>
        </w:rPr>
        <w:t> </w:t>
      </w:r>
      <w:r>
        <w:rPr>
          <w:i/>
        </w:rPr>
        <w:t>Act</w:t>
      </w:r>
      <w:r w:rsidR="00D70397">
        <w:rPr>
          <w:i/>
        </w:rPr>
        <w:t> </w:t>
      </w:r>
      <w:r>
        <w:rPr>
          <w:i/>
        </w:rPr>
        <w:t>1976</w:t>
      </w:r>
      <w:r w:rsidRPr="00700006">
        <w:t>).</w:t>
      </w:r>
      <w:r>
        <w:t xml:space="preserve">  </w:t>
      </w:r>
      <w:r w:rsidRPr="00700006">
        <w:t xml:space="preserve">CSC is a corporate Commonwealth entity for the purposes of the </w:t>
      </w:r>
      <w:r w:rsidRPr="00700006">
        <w:rPr>
          <w:i/>
        </w:rPr>
        <w:t xml:space="preserve">Public </w:t>
      </w:r>
      <w:r>
        <w:rPr>
          <w:i/>
        </w:rPr>
        <w:t>Governance</w:t>
      </w:r>
      <w:r w:rsidRPr="00700006">
        <w:rPr>
          <w:i/>
        </w:rPr>
        <w:t>, Performance and Accountability Act 2013</w:t>
      </w:r>
      <w:r w:rsidRPr="00700006">
        <w:t xml:space="preserve">.  </w:t>
      </w:r>
    </w:p>
    <w:p w:rsidR="00137C09" w:rsidRDefault="00137C09" w:rsidP="00137C09">
      <w:pPr>
        <w:spacing w:after="240"/>
      </w:pPr>
    </w:p>
    <w:p w:rsidR="00C85BC8" w:rsidRPr="00C85BC8" w:rsidRDefault="00C85BC8" w:rsidP="006E7724">
      <w:pPr>
        <w:rPr>
          <w:szCs w:val="24"/>
        </w:rPr>
      </w:pPr>
      <w:r w:rsidRPr="00C85BC8">
        <w:rPr>
          <w:szCs w:val="24"/>
        </w:rPr>
        <w:lastRenderedPageBreak/>
        <w:t xml:space="preserve">Currently, not all CSC employees are eligible for PSSAP membership.  </w:t>
      </w:r>
      <w:r w:rsidR="00282718">
        <w:rPr>
          <w:szCs w:val="24"/>
        </w:rPr>
        <w:t>E</w:t>
      </w:r>
      <w:r>
        <w:rPr>
          <w:szCs w:val="24"/>
        </w:rPr>
        <w:t>ligibility for PSSAP members</w:t>
      </w:r>
      <w:r w:rsidR="00C20523">
        <w:rPr>
          <w:szCs w:val="24"/>
        </w:rPr>
        <w:t xml:space="preserve">hip </w:t>
      </w:r>
      <w:r w:rsidR="00282718">
        <w:rPr>
          <w:szCs w:val="24"/>
        </w:rPr>
        <w:t xml:space="preserve">is limited </w:t>
      </w:r>
      <w:r w:rsidR="00C20523">
        <w:rPr>
          <w:szCs w:val="24"/>
        </w:rPr>
        <w:t>to the</w:t>
      </w:r>
      <w:r w:rsidRPr="00C85BC8">
        <w:rPr>
          <w:szCs w:val="24"/>
        </w:rPr>
        <w:t xml:space="preserve"> following categories of CSC employees</w:t>
      </w:r>
      <w:r w:rsidR="00C20523">
        <w:rPr>
          <w:szCs w:val="24"/>
        </w:rPr>
        <w:t>, employed at CSC on or after 1 July 2005:</w:t>
      </w:r>
    </w:p>
    <w:p w:rsidR="00C85BC8" w:rsidRPr="00C85BC8" w:rsidRDefault="00C85BC8" w:rsidP="006E7724">
      <w:pPr>
        <w:pStyle w:val="ListParagraph"/>
        <w:numPr>
          <w:ilvl w:val="0"/>
          <w:numId w:val="5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C85BC8">
        <w:rPr>
          <w:rFonts w:ascii="Times New Roman" w:hAnsi="Times New Roman"/>
          <w:sz w:val="24"/>
          <w:szCs w:val="24"/>
        </w:rPr>
        <w:t>employees of CSC with pre-existing PSSAP membership</w:t>
      </w:r>
      <w:r w:rsidR="00C20523">
        <w:rPr>
          <w:rFonts w:ascii="Times New Roman" w:hAnsi="Times New Roman"/>
          <w:sz w:val="24"/>
          <w:szCs w:val="24"/>
        </w:rPr>
        <w:t xml:space="preserve">, that is, </w:t>
      </w:r>
      <w:r w:rsidRPr="00C85BC8">
        <w:rPr>
          <w:rFonts w:ascii="Times New Roman" w:hAnsi="Times New Roman"/>
          <w:sz w:val="24"/>
          <w:szCs w:val="24"/>
        </w:rPr>
        <w:t>those who have an accrued benefit in PSSAP; and</w:t>
      </w:r>
    </w:p>
    <w:p w:rsidR="00C85BC8" w:rsidRPr="00C85BC8" w:rsidRDefault="00C85BC8" w:rsidP="006E7724">
      <w:pPr>
        <w:pStyle w:val="ListParagraph"/>
        <w:numPr>
          <w:ilvl w:val="0"/>
          <w:numId w:val="5"/>
        </w:numPr>
        <w:spacing w:after="240"/>
        <w:ind w:left="714" w:hanging="357"/>
        <w:rPr>
          <w:rFonts w:ascii="Times New Roman" w:hAnsi="Times New Roman"/>
          <w:sz w:val="24"/>
          <w:szCs w:val="24"/>
        </w:rPr>
      </w:pPr>
      <w:r w:rsidRPr="00C85BC8">
        <w:rPr>
          <w:rFonts w:ascii="Times New Roman" w:hAnsi="Times New Roman"/>
          <w:sz w:val="24"/>
          <w:szCs w:val="24"/>
        </w:rPr>
        <w:t>non-permanent CSC employees (whether pre-existing PSSAP members or not).</w:t>
      </w:r>
    </w:p>
    <w:p w:rsidR="00C4757B" w:rsidRDefault="00C4757B" w:rsidP="00131FC3">
      <w:pPr>
        <w:spacing w:after="240"/>
      </w:pPr>
      <w:r>
        <w:t xml:space="preserve">The result is that </w:t>
      </w:r>
      <w:r w:rsidR="00093536" w:rsidRPr="00C85BC8">
        <w:rPr>
          <w:szCs w:val="24"/>
        </w:rPr>
        <w:t xml:space="preserve">all CSC employees are </w:t>
      </w:r>
      <w:r w:rsidR="00AE102F">
        <w:rPr>
          <w:szCs w:val="24"/>
        </w:rPr>
        <w:t xml:space="preserve">currently </w:t>
      </w:r>
      <w:r w:rsidR="00093536" w:rsidRPr="00C85BC8">
        <w:rPr>
          <w:szCs w:val="24"/>
        </w:rPr>
        <w:t>eligible for PSSAP membership</w:t>
      </w:r>
      <w:r w:rsidR="00005D0B">
        <w:rPr>
          <w:szCs w:val="24"/>
        </w:rPr>
        <w:t>,</w:t>
      </w:r>
      <w:r w:rsidR="00093536">
        <w:t xml:space="preserve"> except permanent CSC employees who have</w:t>
      </w:r>
      <w:r>
        <w:t xml:space="preserve"> no </w:t>
      </w:r>
      <w:r w:rsidR="0027575D">
        <w:rPr>
          <w:szCs w:val="24"/>
        </w:rPr>
        <w:t xml:space="preserve">accrued </w:t>
      </w:r>
      <w:r w:rsidR="00131FC3">
        <w:rPr>
          <w:szCs w:val="24"/>
        </w:rPr>
        <w:t>benefit in</w:t>
      </w:r>
      <w:r w:rsidRPr="00C85BC8">
        <w:rPr>
          <w:szCs w:val="24"/>
        </w:rPr>
        <w:t xml:space="preserve"> PSSAP</w:t>
      </w:r>
      <w:r>
        <w:t>.</w:t>
      </w:r>
    </w:p>
    <w:p w:rsidR="00262F7E" w:rsidRPr="00093536" w:rsidRDefault="000B4C8E" w:rsidP="00093536">
      <w:pPr>
        <w:spacing w:after="240"/>
        <w:rPr>
          <w:szCs w:val="24"/>
        </w:rPr>
      </w:pPr>
      <w:r>
        <w:t>These membership arrangements were put</w:t>
      </w:r>
      <w:r w:rsidRPr="00093536">
        <w:t xml:space="preserve"> in place in 2005</w:t>
      </w:r>
      <w:r>
        <w:t xml:space="preserve"> and</w:t>
      </w:r>
      <w:r w:rsidRPr="00093536">
        <w:t xml:space="preserve"> </w:t>
      </w:r>
      <w:r>
        <w:t>replicated CSC’s membership arrangements for the Public Sector Superannuation Scheme</w:t>
      </w:r>
      <w:r w:rsidR="001B2E1F">
        <w:t xml:space="preserve"> at that time</w:t>
      </w:r>
      <w:r>
        <w:t xml:space="preserve">.  However, these membership criteria </w:t>
      </w:r>
      <w:r w:rsidRPr="00093536">
        <w:t>no longer reflect CSC’s employment arrangements and result in fragmented eligibility to PSSAP membership for CSC employees</w:t>
      </w:r>
      <w:r>
        <w:t>.</w:t>
      </w:r>
      <w:r w:rsidR="00262F7E" w:rsidRPr="00093536">
        <w:rPr>
          <w:szCs w:val="24"/>
        </w:rPr>
        <w:t xml:space="preserve">  </w:t>
      </w:r>
      <w:r w:rsidR="006A4CC2" w:rsidRPr="00093536">
        <w:rPr>
          <w:szCs w:val="24"/>
        </w:rPr>
        <w:t xml:space="preserve">The </w:t>
      </w:r>
      <w:r w:rsidR="006A4CC2" w:rsidRPr="00F477F4">
        <w:rPr>
          <w:szCs w:val="24"/>
        </w:rPr>
        <w:t>Declaration addresses this by making any employee of CSC eligible for PSSAP membership</w:t>
      </w:r>
      <w:r w:rsidR="007657BD" w:rsidRPr="00F477F4">
        <w:rPr>
          <w:szCs w:val="24"/>
        </w:rPr>
        <w:t xml:space="preserve">, subject to </w:t>
      </w:r>
      <w:r w:rsidR="00F477F4" w:rsidRPr="00F477F4">
        <w:rPr>
          <w:szCs w:val="24"/>
        </w:rPr>
        <w:t>some</w:t>
      </w:r>
      <w:r w:rsidR="007657BD" w:rsidRPr="00F477F4">
        <w:rPr>
          <w:szCs w:val="24"/>
        </w:rPr>
        <w:t xml:space="preserve"> limitations</w:t>
      </w:r>
      <w:r w:rsidR="006A4CC2" w:rsidRPr="00F477F4">
        <w:rPr>
          <w:szCs w:val="24"/>
        </w:rPr>
        <w:t>.</w:t>
      </w:r>
      <w:r w:rsidR="006A4CC2" w:rsidRPr="00093536">
        <w:rPr>
          <w:szCs w:val="24"/>
        </w:rPr>
        <w:t xml:space="preserve">  </w:t>
      </w:r>
    </w:p>
    <w:p w:rsidR="00C156A2" w:rsidRDefault="00C156A2" w:rsidP="00C156A2">
      <w:pPr>
        <w:spacing w:after="240"/>
        <w:rPr>
          <w:szCs w:val="24"/>
        </w:rPr>
      </w:pPr>
      <w:r w:rsidRPr="00C156A2">
        <w:rPr>
          <w:szCs w:val="24"/>
        </w:rPr>
        <w:t xml:space="preserve">Under subsection 33(3) of the </w:t>
      </w:r>
      <w:r w:rsidRPr="00C156A2">
        <w:rPr>
          <w:i/>
          <w:iCs/>
          <w:szCs w:val="24"/>
        </w:rPr>
        <w:t>Acts Interpretation Act 1901</w:t>
      </w:r>
      <w:r w:rsidRPr="00C156A2">
        <w:rPr>
          <w:szCs w:val="24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:rsidR="00A65890" w:rsidRPr="00A65890" w:rsidRDefault="00A65890" w:rsidP="00C156A2">
      <w:pPr>
        <w:spacing w:after="240"/>
        <w:rPr>
          <w:szCs w:val="24"/>
        </w:rPr>
      </w:pPr>
      <w:r>
        <w:t>CSC was consulted on the amendments contained in this Declaration.</w:t>
      </w:r>
    </w:p>
    <w:p w:rsidR="00C156A2" w:rsidRDefault="00C156A2" w:rsidP="00C156A2">
      <w:pPr>
        <w:spacing w:after="240"/>
      </w:pPr>
      <w:r>
        <w:t xml:space="preserve">The Office of Best Practice Regulation (OBPR) assessed that the </w:t>
      </w:r>
      <w:r w:rsidR="00ED2C6A">
        <w:t xml:space="preserve">impact of the </w:t>
      </w:r>
      <w:r>
        <w:t>changes</w:t>
      </w:r>
      <w:r w:rsidR="00ED2C6A">
        <w:t xml:space="preserve"> made by the Declaration are minor</w:t>
      </w:r>
      <w:r w:rsidR="00E87758">
        <w:t xml:space="preserve"> and</w:t>
      </w:r>
      <w:r w:rsidR="00ED2C6A">
        <w:t xml:space="preserve"> </w:t>
      </w:r>
      <w:r>
        <w:t xml:space="preserve">do not require a Regulation Impact Statement (OBPR ID: </w:t>
      </w:r>
      <w:r w:rsidR="00A65890" w:rsidRPr="00A65890">
        <w:t>19140</w:t>
      </w:r>
      <w:r>
        <w:t>).</w:t>
      </w:r>
    </w:p>
    <w:p w:rsidR="00C156A2" w:rsidRPr="006E2BB6" w:rsidRDefault="00C156A2" w:rsidP="00C156A2">
      <w:pPr>
        <w:spacing w:after="240"/>
      </w:pPr>
      <w:r w:rsidRPr="007E0937">
        <w:t xml:space="preserve">The Declaration is a legislative instrument for the purposes of the </w:t>
      </w:r>
      <w:r w:rsidRPr="007E0937">
        <w:rPr>
          <w:i/>
        </w:rPr>
        <w:t>Legislative Instruments Act 2003.</w:t>
      </w:r>
      <w:r>
        <w:t xml:space="preserve"> </w:t>
      </w:r>
      <w:r w:rsidR="00ED2C6A">
        <w:t xml:space="preserve"> </w:t>
      </w:r>
      <w:r w:rsidR="006E2BB6">
        <w:t>Despite</w:t>
      </w:r>
      <w:r>
        <w:t xml:space="preserve"> section 44 of the </w:t>
      </w:r>
      <w:r w:rsidR="00E87758">
        <w:rPr>
          <w:i/>
        </w:rPr>
        <w:t>Legislative Instruments </w:t>
      </w:r>
      <w:r w:rsidRPr="00B22298">
        <w:rPr>
          <w:i/>
        </w:rPr>
        <w:t>Act</w:t>
      </w:r>
      <w:r w:rsidR="00E87758">
        <w:rPr>
          <w:i/>
        </w:rPr>
        <w:t> </w:t>
      </w:r>
      <w:r w:rsidRPr="00B22298">
        <w:rPr>
          <w:i/>
        </w:rPr>
        <w:t>2003</w:t>
      </w:r>
      <w:r w:rsidR="006E2BB6">
        <w:t>,</w:t>
      </w:r>
      <w:r>
        <w:t xml:space="preserve"> </w:t>
      </w:r>
      <w:r w:rsidR="006E2BB6">
        <w:t xml:space="preserve">which </w:t>
      </w:r>
      <w:r>
        <w:t xml:space="preserve">exempts superannuation instruments from disallowance, </w:t>
      </w:r>
      <w:r w:rsidR="00E87758">
        <w:t>paragraph </w:t>
      </w:r>
      <w:r w:rsidR="006E2BB6">
        <w:t xml:space="preserve">13(5) of the Act provides that </w:t>
      </w:r>
      <w:r>
        <w:t xml:space="preserve">the Declaration is subject to disallowance in accordance </w:t>
      </w:r>
      <w:r w:rsidR="007657BD">
        <w:t xml:space="preserve">with </w:t>
      </w:r>
      <w:r w:rsidR="00E87758">
        <w:t>section </w:t>
      </w:r>
      <w:r w:rsidR="006E2BB6">
        <w:t xml:space="preserve">42 of the </w:t>
      </w:r>
      <w:r w:rsidR="006E2BB6" w:rsidRPr="00B22298">
        <w:rPr>
          <w:i/>
        </w:rPr>
        <w:t>Legislative Instruments Act 2003</w:t>
      </w:r>
      <w:r w:rsidR="006E2BB6">
        <w:t>.</w:t>
      </w:r>
    </w:p>
    <w:p w:rsidR="00ED2C6A" w:rsidRPr="00D807B5" w:rsidRDefault="00ED2C6A" w:rsidP="00ED2C6A">
      <w:pPr>
        <w:spacing w:before="240"/>
      </w:pPr>
      <w:r w:rsidRPr="00D807B5">
        <w:t>The De</w:t>
      </w:r>
      <w:r>
        <w:t>clara</w:t>
      </w:r>
      <w:r w:rsidRPr="00D807B5">
        <w:t>tion commences on</w:t>
      </w:r>
      <w:r w:rsidRPr="00E022B4">
        <w:t xml:space="preserve"> </w:t>
      </w:r>
      <w:r>
        <w:t>the day after it is registered on the Federal Register of Legislative Instruments</w:t>
      </w:r>
      <w:r w:rsidRPr="00D807B5">
        <w:t>.</w:t>
      </w:r>
    </w:p>
    <w:p w:rsidR="00A95228" w:rsidRDefault="00C156A2" w:rsidP="00E87758">
      <w:pPr>
        <w:spacing w:after="240"/>
      </w:pPr>
      <w:r w:rsidRPr="006C2A14">
        <w:t xml:space="preserve">The details of the </w:t>
      </w:r>
      <w:r>
        <w:t>Declaration are explained in</w:t>
      </w:r>
      <w:r w:rsidRPr="006C2A14">
        <w:t xml:space="preserve"> </w:t>
      </w:r>
      <w:r w:rsidRPr="000636AD">
        <w:rPr>
          <w:u w:val="single"/>
        </w:rPr>
        <w:t>Attachment A</w:t>
      </w:r>
      <w:r w:rsidRPr="006C2A14">
        <w:t>.</w:t>
      </w:r>
      <w:r>
        <w:t xml:space="preserve"> </w:t>
      </w:r>
      <w:r w:rsidR="006E2BB6">
        <w:t xml:space="preserve"> </w:t>
      </w:r>
      <w:r>
        <w:t xml:space="preserve">A Statement of Compatibility with Human Rights is at </w:t>
      </w:r>
      <w:r w:rsidRPr="009A117B">
        <w:rPr>
          <w:u w:val="single"/>
        </w:rPr>
        <w:t>Attachment B</w:t>
      </w:r>
      <w:r>
        <w:t>.</w:t>
      </w:r>
      <w:r w:rsidR="00E87758">
        <w:t xml:space="preserve"> </w:t>
      </w:r>
    </w:p>
    <w:p w:rsidR="00A95228" w:rsidRPr="00A95228" w:rsidRDefault="00A95228" w:rsidP="00A95228"/>
    <w:p w:rsidR="00A95228" w:rsidRPr="00A95228" w:rsidRDefault="00A95228" w:rsidP="00A95228"/>
    <w:p w:rsidR="00A95228" w:rsidRPr="00A95228" w:rsidRDefault="00A95228" w:rsidP="00A95228"/>
    <w:p w:rsidR="00A95228" w:rsidRPr="00A95228" w:rsidRDefault="00A95228" w:rsidP="00A95228"/>
    <w:p w:rsidR="00A95228" w:rsidRDefault="00A95228" w:rsidP="00A95228">
      <w:pPr>
        <w:tabs>
          <w:tab w:val="left" w:pos="3550"/>
        </w:tabs>
      </w:pPr>
      <w:r>
        <w:tab/>
      </w:r>
    </w:p>
    <w:p w:rsidR="00A95228" w:rsidRDefault="00A95228" w:rsidP="00A95228"/>
    <w:p w:rsidR="00E87758" w:rsidRPr="00A95228" w:rsidRDefault="00E87758" w:rsidP="00A95228">
      <w:pPr>
        <w:sectPr w:rsidR="00E87758" w:rsidRPr="00A95228" w:rsidSect="00A95228">
          <w:headerReference w:type="even" r:id="rId8"/>
          <w:headerReference w:type="first" r:id="rId9"/>
          <w:pgSz w:w="11906" w:h="16838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632413" w:rsidRPr="00E87758" w:rsidRDefault="00632413" w:rsidP="00E87758">
      <w:pPr>
        <w:spacing w:after="240"/>
        <w:jc w:val="right"/>
        <w:rPr>
          <w:b/>
        </w:rPr>
      </w:pPr>
      <w:r w:rsidRPr="00E87758">
        <w:rPr>
          <w:b/>
        </w:rPr>
        <w:lastRenderedPageBreak/>
        <w:t>ATTACHMENT</w:t>
      </w:r>
      <w:r w:rsidR="00BC6350" w:rsidRPr="00E87758">
        <w:rPr>
          <w:b/>
        </w:rPr>
        <w:t xml:space="preserve"> A </w:t>
      </w:r>
    </w:p>
    <w:p w:rsidR="00632413" w:rsidRPr="004711C1" w:rsidRDefault="00632413" w:rsidP="00632413">
      <w:pPr>
        <w:pStyle w:val="Heading1"/>
      </w:pPr>
      <w:r w:rsidRPr="004711C1">
        <w:t xml:space="preserve">SUPERANNUATION </w:t>
      </w:r>
      <w:r w:rsidR="00650620" w:rsidRPr="004711C1">
        <w:t xml:space="preserve">(PSSAP) Membership Eligibility (Inclusion) Amendment Declaration </w:t>
      </w:r>
      <w:r w:rsidR="000909B8" w:rsidRPr="004711C1">
        <w:t>201</w:t>
      </w:r>
      <w:r w:rsidR="006E2BB6" w:rsidRPr="004711C1">
        <w:t>5</w:t>
      </w:r>
      <w:r w:rsidR="00650620" w:rsidRPr="004711C1">
        <w:t xml:space="preserve"> (</w:t>
      </w:r>
      <w:r w:rsidR="000909B8" w:rsidRPr="004711C1">
        <w:t xml:space="preserve">No. </w:t>
      </w:r>
      <w:r w:rsidR="007657BD" w:rsidRPr="004711C1">
        <w:t>3</w:t>
      </w:r>
      <w:r w:rsidR="00650620" w:rsidRPr="004711C1">
        <w:t>)</w:t>
      </w:r>
    </w:p>
    <w:p w:rsidR="00632413" w:rsidRPr="004711C1" w:rsidRDefault="00FE50F3" w:rsidP="00BC6350">
      <w:pPr>
        <w:pStyle w:val="SubHeading"/>
        <w:spacing w:after="120"/>
      </w:pPr>
      <w:r w:rsidRPr="004711C1">
        <w:t>Section</w:t>
      </w:r>
      <w:r w:rsidR="00632413" w:rsidRPr="004711C1">
        <w:t xml:space="preserve"> 1</w:t>
      </w:r>
      <w:r w:rsidR="00C17986" w:rsidRPr="004711C1">
        <w:t xml:space="preserve"> -</w:t>
      </w:r>
      <w:r w:rsidR="009315B1" w:rsidRPr="004711C1">
        <w:t xml:space="preserve"> Name of Declaration</w:t>
      </w:r>
    </w:p>
    <w:p w:rsidR="00632413" w:rsidRPr="004711C1" w:rsidRDefault="00632413" w:rsidP="00BC6350">
      <w:pPr>
        <w:spacing w:after="240"/>
      </w:pPr>
      <w:r w:rsidRPr="004711C1">
        <w:t xml:space="preserve">This </w:t>
      </w:r>
      <w:r w:rsidR="00FE50F3" w:rsidRPr="004711C1">
        <w:t>section</w:t>
      </w:r>
      <w:r w:rsidRPr="004711C1">
        <w:t xml:space="preserve"> provides that the name of the Declaration is the </w:t>
      </w:r>
      <w:r w:rsidRPr="004711C1">
        <w:rPr>
          <w:i/>
          <w:iCs/>
        </w:rPr>
        <w:t xml:space="preserve">Superannuation (PSSAP) </w:t>
      </w:r>
      <w:r w:rsidR="00650620" w:rsidRPr="004711C1">
        <w:rPr>
          <w:i/>
          <w:iCs/>
        </w:rPr>
        <w:t xml:space="preserve">Membership Eligibility (Inclusion) Amendment Declaration </w:t>
      </w:r>
      <w:r w:rsidR="000909B8" w:rsidRPr="004711C1">
        <w:rPr>
          <w:i/>
          <w:iCs/>
        </w:rPr>
        <w:t>201</w:t>
      </w:r>
      <w:r w:rsidR="00761772" w:rsidRPr="004711C1">
        <w:rPr>
          <w:i/>
          <w:iCs/>
        </w:rPr>
        <w:t>5</w:t>
      </w:r>
      <w:r w:rsidR="00650620" w:rsidRPr="004711C1">
        <w:rPr>
          <w:i/>
          <w:iCs/>
        </w:rPr>
        <w:t xml:space="preserve"> (</w:t>
      </w:r>
      <w:r w:rsidR="000909B8" w:rsidRPr="004711C1">
        <w:rPr>
          <w:i/>
          <w:iCs/>
        </w:rPr>
        <w:t xml:space="preserve">No. </w:t>
      </w:r>
      <w:r w:rsidR="007657BD" w:rsidRPr="004711C1">
        <w:rPr>
          <w:i/>
          <w:iCs/>
        </w:rPr>
        <w:t>3</w:t>
      </w:r>
      <w:r w:rsidR="00650620" w:rsidRPr="004711C1">
        <w:rPr>
          <w:i/>
          <w:iCs/>
        </w:rPr>
        <w:t>)</w:t>
      </w:r>
      <w:r w:rsidR="00761772" w:rsidRPr="004711C1">
        <w:rPr>
          <w:iCs/>
        </w:rPr>
        <w:t xml:space="preserve"> (the Declaration)</w:t>
      </w:r>
      <w:r w:rsidRPr="004711C1">
        <w:t>.</w:t>
      </w:r>
    </w:p>
    <w:p w:rsidR="00632413" w:rsidRPr="008C17C7" w:rsidRDefault="00FE50F3" w:rsidP="00BC6350">
      <w:pPr>
        <w:pStyle w:val="SubHeading"/>
        <w:spacing w:after="120"/>
      </w:pPr>
      <w:r w:rsidRPr="004711C1">
        <w:t>Section</w:t>
      </w:r>
      <w:r w:rsidR="00632413" w:rsidRPr="004711C1">
        <w:t xml:space="preserve"> 2</w:t>
      </w:r>
      <w:r w:rsidR="009315B1" w:rsidRPr="004711C1">
        <w:t xml:space="preserve"> </w:t>
      </w:r>
      <w:r w:rsidR="00C17986" w:rsidRPr="004711C1">
        <w:t>-</w:t>
      </w:r>
      <w:r w:rsidR="009315B1" w:rsidRPr="004711C1">
        <w:t xml:space="preserve"> Commencement</w:t>
      </w:r>
    </w:p>
    <w:p w:rsidR="00A75BE6" w:rsidRPr="00BD1235" w:rsidRDefault="00A75BE6" w:rsidP="00BC6350">
      <w:pPr>
        <w:spacing w:after="240"/>
      </w:pPr>
      <w:r w:rsidRPr="00BD1235">
        <w:t xml:space="preserve">This </w:t>
      </w:r>
      <w:r w:rsidR="00FE50F3">
        <w:t>section</w:t>
      </w:r>
      <w:r w:rsidRPr="00BD1235">
        <w:t xml:space="preserve"> provides for the Declaration to commence </w:t>
      </w:r>
      <w:r w:rsidR="00761772">
        <w:t>on the day after it is registered on the Federal Register of Legislative Instruments</w:t>
      </w:r>
      <w:r w:rsidRPr="00BD1235">
        <w:rPr>
          <w:i/>
        </w:rPr>
        <w:t>.</w:t>
      </w:r>
    </w:p>
    <w:p w:rsidR="00632413" w:rsidRDefault="00FE50F3" w:rsidP="00632413">
      <w:pPr>
        <w:pStyle w:val="SubHeading"/>
        <w:rPr>
          <w:i/>
        </w:rPr>
      </w:pPr>
      <w:r>
        <w:t>Section</w:t>
      </w:r>
      <w:r w:rsidR="00632413" w:rsidRPr="00A75BE6">
        <w:t xml:space="preserve"> 3</w:t>
      </w:r>
      <w:r w:rsidR="009315B1" w:rsidRPr="00A75BE6">
        <w:t xml:space="preserve"> </w:t>
      </w:r>
      <w:r w:rsidR="00C17986">
        <w:t>-</w:t>
      </w:r>
      <w:r w:rsidR="009315B1" w:rsidRPr="00A75BE6">
        <w:t xml:space="preserve"> Amendments to the </w:t>
      </w:r>
      <w:r w:rsidR="009315B1" w:rsidRPr="00A75BE6">
        <w:rPr>
          <w:i/>
        </w:rPr>
        <w:t xml:space="preserve">Superannuation (PSSAP) </w:t>
      </w:r>
      <w:r w:rsidR="00667344" w:rsidRPr="00A75BE6">
        <w:rPr>
          <w:i/>
        </w:rPr>
        <w:t>Membership</w:t>
      </w:r>
      <w:r w:rsidR="004A50D4" w:rsidRPr="00A75BE6">
        <w:rPr>
          <w:i/>
        </w:rPr>
        <w:t xml:space="preserve"> Eligibility (Inclusion) </w:t>
      </w:r>
      <w:r w:rsidR="009315B1" w:rsidRPr="00A75BE6">
        <w:rPr>
          <w:i/>
        </w:rPr>
        <w:t>Declaration 2005</w:t>
      </w:r>
    </w:p>
    <w:p w:rsidR="00A75BE6" w:rsidRPr="003E1827" w:rsidRDefault="00A75BE6" w:rsidP="00BC6350">
      <w:pPr>
        <w:spacing w:after="240"/>
        <w:rPr>
          <w:i/>
        </w:rPr>
      </w:pPr>
      <w:r w:rsidRPr="00A75BE6">
        <w:t xml:space="preserve">This </w:t>
      </w:r>
      <w:r w:rsidR="00FE50F3">
        <w:t>section</w:t>
      </w:r>
      <w:r w:rsidRPr="00A75BE6">
        <w:t xml:space="preserve"> provides that Schedule 1 of the Declaration amends the </w:t>
      </w:r>
      <w:r w:rsidRPr="00A75BE6">
        <w:rPr>
          <w:i/>
        </w:rPr>
        <w:t xml:space="preserve">Superannuation (PSSAP) </w:t>
      </w:r>
      <w:r w:rsidR="00C17986">
        <w:rPr>
          <w:i/>
        </w:rPr>
        <w:t xml:space="preserve">Membership Eligibility (Inclusion) </w:t>
      </w:r>
      <w:r w:rsidRPr="00A75BE6">
        <w:rPr>
          <w:i/>
        </w:rPr>
        <w:t xml:space="preserve">Declaration 2005 </w:t>
      </w:r>
      <w:r w:rsidRPr="00A75BE6">
        <w:t>(the Principal Declaration).</w:t>
      </w:r>
    </w:p>
    <w:p w:rsidR="00E23DD2" w:rsidRPr="003E1827" w:rsidRDefault="00E23DD2" w:rsidP="00E23DD2">
      <w:pPr>
        <w:rPr>
          <w:b/>
          <w:u w:val="single"/>
        </w:rPr>
      </w:pPr>
      <w:r w:rsidRPr="003E1827">
        <w:rPr>
          <w:b/>
          <w:u w:val="single"/>
        </w:rPr>
        <w:t xml:space="preserve">Schedule 1 </w:t>
      </w:r>
      <w:r w:rsidR="00B14F1C">
        <w:rPr>
          <w:b/>
          <w:u w:val="single"/>
        </w:rPr>
        <w:t>–</w:t>
      </w:r>
      <w:r w:rsidRPr="003E1827">
        <w:rPr>
          <w:b/>
          <w:u w:val="single"/>
        </w:rPr>
        <w:t xml:space="preserve"> Amendments</w:t>
      </w:r>
    </w:p>
    <w:p w:rsidR="00A06217" w:rsidRDefault="00A06217" w:rsidP="00A06217">
      <w:pPr>
        <w:spacing w:after="240"/>
        <w:rPr>
          <w:bCs/>
        </w:rPr>
      </w:pPr>
      <w:r>
        <w:rPr>
          <w:b/>
          <w:bCs/>
        </w:rPr>
        <w:t>Item 1</w:t>
      </w:r>
      <w:r>
        <w:rPr>
          <w:bCs/>
        </w:rPr>
        <w:t xml:space="preserve"> </w:t>
      </w:r>
      <w:r w:rsidRPr="00761772">
        <w:rPr>
          <w:bCs/>
        </w:rPr>
        <w:t xml:space="preserve">deletes </w:t>
      </w:r>
      <w:r>
        <w:rPr>
          <w:bCs/>
        </w:rPr>
        <w:t xml:space="preserve">paragraph 4(2)(g) and replaces it with a new paragraph 4(2)(g).  </w:t>
      </w:r>
      <w:r w:rsidR="00E8656A" w:rsidRPr="001603B6">
        <w:rPr>
          <w:bCs/>
        </w:rPr>
        <w:t xml:space="preserve">The new paragraph 4(2)(g) provides </w:t>
      </w:r>
      <w:r w:rsidR="00CC5BB6">
        <w:rPr>
          <w:bCs/>
        </w:rPr>
        <w:t>that</w:t>
      </w:r>
      <w:r w:rsidR="00E8656A" w:rsidRPr="001603B6">
        <w:rPr>
          <w:bCs/>
        </w:rPr>
        <w:t xml:space="preserve"> eligibility </w:t>
      </w:r>
      <w:r w:rsidR="00CC5BB6">
        <w:rPr>
          <w:bCs/>
        </w:rPr>
        <w:t>for</w:t>
      </w:r>
      <w:r w:rsidR="00CC5BB6" w:rsidRPr="001603B6">
        <w:rPr>
          <w:bCs/>
        </w:rPr>
        <w:t xml:space="preserve"> </w:t>
      </w:r>
      <w:r w:rsidR="00E8656A" w:rsidRPr="001603B6">
        <w:rPr>
          <w:bCs/>
        </w:rPr>
        <w:t xml:space="preserve">membership for CSC employees, as conferred by new item 9 of the </w:t>
      </w:r>
      <w:r w:rsidR="00E8656A" w:rsidRPr="00AB3887">
        <w:rPr>
          <w:bCs/>
        </w:rPr>
        <w:t xml:space="preserve">Schedule, </w:t>
      </w:r>
      <w:r w:rsidR="00CC5BB6">
        <w:rPr>
          <w:bCs/>
        </w:rPr>
        <w:t>will</w:t>
      </w:r>
      <w:r w:rsidR="00E8656A" w:rsidRPr="00AB3887">
        <w:rPr>
          <w:bCs/>
        </w:rPr>
        <w:t xml:space="preserve"> cease on the same conditions as generally appl</w:t>
      </w:r>
      <w:r w:rsidR="00CC5BB6">
        <w:rPr>
          <w:bCs/>
        </w:rPr>
        <w:t>y</w:t>
      </w:r>
      <w:r w:rsidR="00E8656A" w:rsidRPr="00AB3887">
        <w:rPr>
          <w:bCs/>
        </w:rPr>
        <w:t xml:space="preserve"> in relation to other employees of Commonwealth entities who are given eligibility in </w:t>
      </w:r>
      <w:r w:rsidR="00137C09" w:rsidRPr="00AB3887">
        <w:rPr>
          <w:bCs/>
        </w:rPr>
        <w:t>the Schedule</w:t>
      </w:r>
      <w:r w:rsidR="000B4C8E">
        <w:rPr>
          <w:bCs/>
        </w:rPr>
        <w:t xml:space="preserve">.  Those conditions are that </w:t>
      </w:r>
      <w:r w:rsidR="00AE1C17" w:rsidRPr="00AB3887">
        <w:rPr>
          <w:bCs/>
        </w:rPr>
        <w:t xml:space="preserve">eligibility for membership ceases </w:t>
      </w:r>
      <w:r w:rsidR="00137C09" w:rsidRPr="00AB3887">
        <w:rPr>
          <w:bCs/>
        </w:rPr>
        <w:t>when</w:t>
      </w:r>
      <w:r w:rsidR="00137C09" w:rsidRPr="001603B6">
        <w:rPr>
          <w:bCs/>
        </w:rPr>
        <w:t xml:space="preserve"> the person ceases to be employed by CSC</w:t>
      </w:r>
      <w:r w:rsidR="000B4C8E">
        <w:rPr>
          <w:bCs/>
        </w:rPr>
        <w:t>,</w:t>
      </w:r>
      <w:r w:rsidR="00137C09" w:rsidRPr="001603B6">
        <w:rPr>
          <w:bCs/>
        </w:rPr>
        <w:t xml:space="preserve"> or becomes a member of an alternative superannuation scheme in respect of that employment, or CSC ceases to be a Commonwealth entity under the </w:t>
      </w:r>
      <w:r w:rsidR="00E8656A" w:rsidRPr="001603B6">
        <w:rPr>
          <w:bCs/>
          <w:i/>
        </w:rPr>
        <w:t>Public Governance, Performance and Accountability Act 2013</w:t>
      </w:r>
      <w:r w:rsidR="00773F45" w:rsidRPr="001603B6">
        <w:rPr>
          <w:bCs/>
          <w:i/>
        </w:rPr>
        <w:t>.</w:t>
      </w:r>
      <w:r w:rsidR="006D48E6">
        <w:rPr>
          <w:bCs/>
        </w:rPr>
        <w:t xml:space="preserve"> </w:t>
      </w:r>
    </w:p>
    <w:p w:rsidR="00A06217" w:rsidRDefault="00A06217" w:rsidP="00A06217">
      <w:pPr>
        <w:spacing w:after="240"/>
        <w:rPr>
          <w:bCs/>
        </w:rPr>
      </w:pPr>
      <w:r w:rsidRPr="00A06217">
        <w:rPr>
          <w:b/>
          <w:bCs/>
        </w:rPr>
        <w:t xml:space="preserve">Item 2 </w:t>
      </w:r>
      <w:r>
        <w:rPr>
          <w:bCs/>
        </w:rPr>
        <w:t>corrects a typographical error.</w:t>
      </w:r>
    </w:p>
    <w:p w:rsidR="00BC6350" w:rsidRDefault="00697E09" w:rsidP="00BC6350">
      <w:pPr>
        <w:spacing w:after="240"/>
        <w:rPr>
          <w:bCs/>
        </w:rPr>
      </w:pPr>
      <w:r w:rsidRPr="001E3E4D">
        <w:rPr>
          <w:b/>
          <w:bCs/>
        </w:rPr>
        <w:t xml:space="preserve">Item </w:t>
      </w:r>
      <w:r w:rsidR="00F97B9E">
        <w:rPr>
          <w:b/>
          <w:bCs/>
        </w:rPr>
        <w:t>3</w:t>
      </w:r>
      <w:r w:rsidRPr="001E3E4D">
        <w:rPr>
          <w:b/>
          <w:bCs/>
        </w:rPr>
        <w:t xml:space="preserve"> </w:t>
      </w:r>
      <w:r w:rsidR="00761772" w:rsidRPr="00761772">
        <w:rPr>
          <w:bCs/>
        </w:rPr>
        <w:t xml:space="preserve">deletes </w:t>
      </w:r>
      <w:r w:rsidR="00761772">
        <w:rPr>
          <w:bCs/>
        </w:rPr>
        <w:t xml:space="preserve">item 9 of </w:t>
      </w:r>
      <w:r w:rsidR="00F97B9E">
        <w:rPr>
          <w:bCs/>
        </w:rPr>
        <w:t>S</w:t>
      </w:r>
      <w:r w:rsidR="00761772">
        <w:rPr>
          <w:bCs/>
        </w:rPr>
        <w:t>chedule 1 and replaces it with a new item 9.</w:t>
      </w:r>
      <w:r w:rsidR="00F76D11">
        <w:rPr>
          <w:bCs/>
        </w:rPr>
        <w:t xml:space="preserve">  The deleted item </w:t>
      </w:r>
      <w:r w:rsidR="00B55316">
        <w:rPr>
          <w:bCs/>
        </w:rPr>
        <w:t>9 restrict</w:t>
      </w:r>
      <w:r w:rsidR="00AB3887">
        <w:rPr>
          <w:bCs/>
        </w:rPr>
        <w:t>ed</w:t>
      </w:r>
      <w:r w:rsidR="007E37A3">
        <w:rPr>
          <w:bCs/>
        </w:rPr>
        <w:t xml:space="preserve"> eligibility for PSSAP membership to </w:t>
      </w:r>
      <w:r w:rsidR="00F76D11">
        <w:rPr>
          <w:bCs/>
        </w:rPr>
        <w:t>limited categories</w:t>
      </w:r>
      <w:r w:rsidR="00B55316">
        <w:rPr>
          <w:bCs/>
        </w:rPr>
        <w:t xml:space="preserve"> of CSC employees.  The new item 9 allows all employees of CSC to be eligible for PSSAP membership</w:t>
      </w:r>
      <w:r w:rsidR="007E37A3">
        <w:rPr>
          <w:bCs/>
        </w:rPr>
        <w:t>, regardless of whether or not they have previously been members of PSSAP</w:t>
      </w:r>
      <w:r w:rsidR="00E8656A" w:rsidRPr="008369B2">
        <w:rPr>
          <w:bCs/>
        </w:rPr>
        <w:t>, provided that they are not a member of an alternative superannuation scheme in respect of their CSC employment</w:t>
      </w:r>
      <w:r w:rsidR="00B55316">
        <w:rPr>
          <w:bCs/>
        </w:rPr>
        <w:t>.</w:t>
      </w:r>
      <w:r w:rsidR="00F76D11">
        <w:rPr>
          <w:bCs/>
        </w:rPr>
        <w:t xml:space="preserve">  </w:t>
      </w:r>
    </w:p>
    <w:p w:rsidR="00A06217" w:rsidRDefault="00F76D11" w:rsidP="00A06217">
      <w:r>
        <w:rPr>
          <w:bCs/>
        </w:rPr>
        <w:t>Item 9 merely makes CSC em</w:t>
      </w:r>
      <w:r w:rsidR="00AD4AAC">
        <w:rPr>
          <w:bCs/>
        </w:rPr>
        <w:t xml:space="preserve">ployees eligible for membership.  Section 14 of the </w:t>
      </w:r>
      <w:r w:rsidR="00AD4AAC" w:rsidRPr="00700006">
        <w:rPr>
          <w:i/>
          <w:iCs/>
        </w:rPr>
        <w:t>Superannuation Act 20</w:t>
      </w:r>
      <w:r w:rsidR="00AD4AAC">
        <w:rPr>
          <w:i/>
          <w:iCs/>
        </w:rPr>
        <w:t>05</w:t>
      </w:r>
      <w:r w:rsidR="00AD4AAC" w:rsidRPr="00700006">
        <w:t xml:space="preserve"> </w:t>
      </w:r>
      <w:r w:rsidR="00AD4AAC">
        <w:t xml:space="preserve">sets out how eligible employees </w:t>
      </w:r>
      <w:r w:rsidR="00AB3887">
        <w:t xml:space="preserve">can </w:t>
      </w:r>
      <w:r w:rsidR="00AD4AAC">
        <w:t>actually become members of PSSAP</w:t>
      </w:r>
      <w:r w:rsidR="00131FC3">
        <w:t xml:space="preserve">.   </w:t>
      </w:r>
    </w:p>
    <w:p w:rsidR="00A95228" w:rsidRDefault="00A95228" w:rsidP="00A06217">
      <w:pPr>
        <w:jc w:val="right"/>
        <w:rPr>
          <w:bCs/>
        </w:rPr>
      </w:pPr>
    </w:p>
    <w:p w:rsidR="00A95228" w:rsidRDefault="00A95228" w:rsidP="00A95228">
      <w:pPr>
        <w:jc w:val="center"/>
        <w:rPr>
          <w:bCs/>
        </w:rPr>
      </w:pPr>
    </w:p>
    <w:p w:rsidR="00BC6350" w:rsidRPr="00E4135E" w:rsidRDefault="00FA18A6" w:rsidP="00A06217">
      <w:pPr>
        <w:jc w:val="right"/>
      </w:pPr>
      <w:r>
        <w:rPr>
          <w:bCs/>
        </w:rPr>
        <w:br w:type="page"/>
      </w:r>
      <w:r w:rsidR="00BC6350" w:rsidRPr="00807F8D">
        <w:rPr>
          <w:b/>
          <w:bCs/>
        </w:rPr>
        <w:lastRenderedPageBreak/>
        <w:t>ATTACHMENT</w:t>
      </w:r>
      <w:r w:rsidR="00BC6350">
        <w:rPr>
          <w:b/>
          <w:bCs/>
        </w:rPr>
        <w:t xml:space="preserve"> B</w:t>
      </w:r>
    </w:p>
    <w:p w:rsidR="00BC6350" w:rsidRDefault="00E93C72" w:rsidP="00BC6350">
      <w:pPr>
        <w:rPr>
          <w:bCs/>
        </w:rPr>
      </w:pPr>
      <w:r>
        <w:rPr>
          <w:bCs/>
          <w:noProof/>
          <w:lang w:eastAsia="en-AU"/>
        </w:rPr>
        <w:pict>
          <v:rect id="_x0000_s1026" style="position:absolute;margin-left:-35.3pt;margin-top:3.45pt;width:481.8pt;height:571.8pt;z-index:251660288" strokeweight="6pt">
            <v:stroke linestyle="thickBetweenThin"/>
            <v:textbox style="mso-next-textbox:#_x0000_s1026" inset="5mm,,5mm">
              <w:txbxContent>
                <w:p w:rsidR="007C5AF4" w:rsidRPr="00E4135E" w:rsidRDefault="007C5AF4" w:rsidP="00BC6350">
                  <w:pPr>
                    <w:spacing w:befor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135E">
                    <w:rPr>
                      <w:b/>
                      <w:sz w:val="28"/>
                      <w:szCs w:val="28"/>
                    </w:rPr>
                    <w:t>Statement of Compatibility with Human Rights</w:t>
                  </w:r>
                </w:p>
                <w:p w:rsidR="007C5AF4" w:rsidRPr="00E4135E" w:rsidRDefault="007C5AF4" w:rsidP="00BC6350">
                  <w:pPr>
                    <w:spacing w:before="120"/>
                    <w:jc w:val="center"/>
                    <w:rPr>
                      <w:szCs w:val="24"/>
                    </w:rPr>
                  </w:pPr>
                  <w:r w:rsidRPr="00E4135E">
                    <w:rPr>
                      <w:i/>
                      <w:szCs w:val="24"/>
                    </w:rPr>
                    <w:t>Prepared in accordance with Part 3 of the Human Rights (Parliamentary Scrutiny) Act 2011</w:t>
                  </w:r>
                </w:p>
                <w:p w:rsidR="007C5AF4" w:rsidRPr="00E4135E" w:rsidRDefault="007C5AF4" w:rsidP="00BC6350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7C5AF4" w:rsidRPr="004711C1" w:rsidRDefault="007C5AF4" w:rsidP="00BC6350">
                  <w:pPr>
                    <w:spacing w:before="120"/>
                    <w:jc w:val="center"/>
                    <w:rPr>
                      <w:b/>
                      <w:szCs w:val="24"/>
                    </w:rPr>
                  </w:pPr>
                  <w:r w:rsidRPr="004711C1">
                    <w:rPr>
                      <w:b/>
                      <w:szCs w:val="24"/>
                    </w:rPr>
                    <w:t>Superannuation (PSSAP) Membership Eligibility (Inclusion) Amendment Declaration 2015 (No. 3)</w:t>
                  </w:r>
                </w:p>
                <w:p w:rsidR="007C5AF4" w:rsidRPr="004711C1" w:rsidRDefault="007C5AF4" w:rsidP="00BC6350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7C5AF4" w:rsidRPr="004711C1" w:rsidRDefault="007C5AF4" w:rsidP="00BC6350">
                  <w:pPr>
                    <w:spacing w:before="120"/>
                    <w:jc w:val="center"/>
                    <w:rPr>
                      <w:szCs w:val="24"/>
                    </w:rPr>
                  </w:pPr>
                  <w:r w:rsidRPr="004711C1">
                    <w:rPr>
                      <w:szCs w:val="24"/>
                    </w:rPr>
                    <w:t xml:space="preserve">This Legislative Instrument is compatible with the human rights and freedoms recognised or declared in the international instruments listed in section 3 of the </w:t>
                  </w:r>
                  <w:r w:rsidRPr="004711C1">
                    <w:rPr>
                      <w:i/>
                      <w:szCs w:val="24"/>
                    </w:rPr>
                    <w:t>Human Rights (Parliamentary Scrutiny) Act 2011</w:t>
                  </w:r>
                  <w:r w:rsidRPr="004711C1">
                    <w:rPr>
                      <w:szCs w:val="24"/>
                    </w:rPr>
                    <w:t>.</w:t>
                  </w:r>
                </w:p>
                <w:p w:rsidR="007C5AF4" w:rsidRPr="004711C1" w:rsidRDefault="007C5AF4" w:rsidP="00BC6350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7C5AF4" w:rsidRPr="004711C1" w:rsidRDefault="007C5AF4" w:rsidP="00EE3C65">
                  <w:pPr>
                    <w:spacing w:before="120"/>
                    <w:jc w:val="center"/>
                    <w:rPr>
                      <w:b/>
                      <w:szCs w:val="24"/>
                    </w:rPr>
                  </w:pPr>
                  <w:r w:rsidRPr="004711C1">
                    <w:rPr>
                      <w:b/>
                      <w:szCs w:val="24"/>
                    </w:rPr>
                    <w:t>Overview of the Legislative Instrument</w:t>
                  </w:r>
                </w:p>
                <w:p w:rsidR="007C5AF4" w:rsidRDefault="007C5AF4" w:rsidP="00BC6350">
                  <w:pPr>
                    <w:rPr>
                      <w:szCs w:val="24"/>
                    </w:rPr>
                  </w:pPr>
                  <w:r w:rsidRPr="004711C1">
                    <w:rPr>
                      <w:iCs/>
                    </w:rPr>
                    <w:t xml:space="preserve">The purpose of the </w:t>
                  </w:r>
                  <w:r w:rsidRPr="004711C1">
                    <w:rPr>
                      <w:i/>
                      <w:iCs/>
                    </w:rPr>
                    <w:t>Superannuation (PSSAP) Membership Eligibility (Inclusion) Amendment Declaration 2015 (No. 3)</w:t>
                  </w:r>
                  <w:r w:rsidRPr="004711C1">
                    <w:rPr>
                      <w:iCs/>
                    </w:rPr>
                    <w:t xml:space="preserve"> is to amend the </w:t>
                  </w:r>
                  <w:r w:rsidRPr="004711C1">
                    <w:rPr>
                      <w:i/>
                    </w:rPr>
                    <w:t xml:space="preserve">Superannuation (PSSAP) Membership Eligibility (Inclusion) Declaration 2005 </w:t>
                  </w:r>
                  <w:r w:rsidRPr="004711C1">
                    <w:rPr>
                      <w:iCs/>
                    </w:rPr>
                    <w:t xml:space="preserve">to extend eligibility for Public Sector Superannuation Accumulation Plan scheme membership to all </w:t>
                  </w:r>
                  <w:r w:rsidRPr="004711C1">
                    <w:rPr>
                      <w:bCs/>
                    </w:rPr>
                    <w:t>Commonwealth Superannuation Corporation</w:t>
                  </w:r>
                  <w:r w:rsidRPr="004711C1">
                    <w:t xml:space="preserve"> employees</w:t>
                  </w:r>
                  <w:r w:rsidRPr="004711C1"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t xml:space="preserve">  </w:t>
                  </w:r>
                </w:p>
                <w:p w:rsidR="007C5AF4" w:rsidRPr="00487EEB" w:rsidRDefault="007C5AF4" w:rsidP="00BC6350">
                  <w:pPr>
                    <w:rPr>
                      <w:szCs w:val="24"/>
                    </w:rPr>
                  </w:pPr>
                </w:p>
                <w:p w:rsidR="007C5AF4" w:rsidRPr="00E4135E" w:rsidRDefault="007C5AF4" w:rsidP="00EE3C65">
                  <w:pPr>
                    <w:spacing w:before="120"/>
                    <w:jc w:val="center"/>
                    <w:rPr>
                      <w:b/>
                      <w:szCs w:val="24"/>
                    </w:rPr>
                  </w:pPr>
                  <w:r w:rsidRPr="00E4135E">
                    <w:rPr>
                      <w:b/>
                      <w:szCs w:val="24"/>
                    </w:rPr>
                    <w:t>Human rights implications</w:t>
                  </w:r>
                </w:p>
                <w:p w:rsidR="007C5AF4" w:rsidRPr="00E4135E" w:rsidRDefault="007C5AF4" w:rsidP="00BC6350">
                  <w:pPr>
                    <w:spacing w:before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This </w:t>
                  </w:r>
                  <w:r w:rsidRPr="00E4135E">
                    <w:rPr>
                      <w:szCs w:val="24"/>
                    </w:rPr>
                    <w:t>Legislative Instrument does not engage any of the applicable rights or freedoms.</w:t>
                  </w:r>
                </w:p>
                <w:p w:rsidR="007C5AF4" w:rsidRPr="00E4135E" w:rsidRDefault="007C5AF4" w:rsidP="00BC6350">
                  <w:pPr>
                    <w:spacing w:before="120"/>
                    <w:rPr>
                      <w:szCs w:val="24"/>
                    </w:rPr>
                  </w:pPr>
                </w:p>
                <w:p w:rsidR="007C5AF4" w:rsidRPr="00E4135E" w:rsidRDefault="007C5AF4" w:rsidP="00EE3C65">
                  <w:pPr>
                    <w:spacing w:before="120"/>
                    <w:jc w:val="center"/>
                    <w:rPr>
                      <w:b/>
                      <w:szCs w:val="24"/>
                    </w:rPr>
                  </w:pPr>
                  <w:r w:rsidRPr="00E4135E">
                    <w:rPr>
                      <w:b/>
                      <w:szCs w:val="24"/>
                    </w:rPr>
                    <w:t>Conclusion</w:t>
                  </w:r>
                </w:p>
                <w:p w:rsidR="007C5AF4" w:rsidRDefault="007C5AF4" w:rsidP="00BC635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This </w:t>
                  </w:r>
                  <w:r w:rsidRPr="00E4135E">
                    <w:rPr>
                      <w:szCs w:val="24"/>
                    </w:rPr>
                    <w:t>Legislative Instrument is compatible with human rights as it does not raise any human</w:t>
                  </w:r>
                  <w:r>
                    <w:rPr>
                      <w:szCs w:val="24"/>
                    </w:rPr>
                    <w:t xml:space="preserve"> rights issues.</w:t>
                  </w:r>
                </w:p>
                <w:p w:rsidR="007C5AF4" w:rsidRPr="00E4135E" w:rsidRDefault="007C5AF4" w:rsidP="00BC6350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7C5AF4" w:rsidRDefault="007C5AF4" w:rsidP="00BC6350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7C5AF4" w:rsidRPr="00E4135E" w:rsidRDefault="007C5AF4" w:rsidP="00BC6350">
                  <w:pPr>
                    <w:spacing w:before="120"/>
                    <w:jc w:val="center"/>
                    <w:rPr>
                      <w:szCs w:val="24"/>
                    </w:rPr>
                  </w:pPr>
                </w:p>
                <w:p w:rsidR="007C5AF4" w:rsidRPr="000636AD" w:rsidRDefault="007C5AF4" w:rsidP="00BC6350">
                  <w:pPr>
                    <w:spacing w:before="120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Mathias Hubert Paul </w:t>
                  </w:r>
                  <w:proofErr w:type="spellStart"/>
                  <w:r>
                    <w:rPr>
                      <w:b/>
                      <w:szCs w:val="24"/>
                    </w:rPr>
                    <w:t>Cormann</w:t>
                  </w:r>
                  <w:proofErr w:type="spellEnd"/>
                </w:p>
                <w:p w:rsidR="007C5AF4" w:rsidRPr="00E4135E" w:rsidRDefault="007C5AF4" w:rsidP="00BC6350">
                  <w:pPr>
                    <w:spacing w:before="120"/>
                    <w:jc w:val="center"/>
                    <w:rPr>
                      <w:szCs w:val="24"/>
                    </w:rPr>
                  </w:pPr>
                  <w:r w:rsidRPr="000636AD">
                    <w:rPr>
                      <w:b/>
                      <w:szCs w:val="24"/>
                    </w:rPr>
                    <w:t xml:space="preserve">Minister for Finance </w:t>
                  </w:r>
                </w:p>
                <w:p w:rsidR="007C5AF4" w:rsidRPr="00E4135E" w:rsidRDefault="007C5AF4" w:rsidP="00BC6350">
                  <w:pPr>
                    <w:spacing w:before="120"/>
                    <w:jc w:val="center"/>
                  </w:pPr>
                </w:p>
              </w:txbxContent>
            </v:textbox>
          </v:rect>
        </w:pict>
      </w:r>
    </w:p>
    <w:p w:rsidR="00142A15" w:rsidRPr="00C75E27" w:rsidRDefault="00142A15" w:rsidP="00BC6350"/>
    <w:sectPr w:rsidR="00142A15" w:rsidRPr="00C75E27" w:rsidSect="00A95228"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D1619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F4" w:rsidRDefault="007C5AF4">
      <w:r>
        <w:separator/>
      </w:r>
    </w:p>
  </w:endnote>
  <w:endnote w:type="continuationSeparator" w:id="0">
    <w:p w:rsidR="007C5AF4" w:rsidRDefault="007C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F4" w:rsidRDefault="007C5AF4">
      <w:r>
        <w:separator/>
      </w:r>
    </w:p>
  </w:footnote>
  <w:footnote w:type="continuationSeparator" w:id="0">
    <w:p w:rsidR="007C5AF4" w:rsidRDefault="007C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F4" w:rsidRDefault="007C5A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C5AF4" w:rsidRDefault="007C5A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F4" w:rsidRDefault="007C5AF4">
    <w:pPr>
      <w:pStyle w:val="Header"/>
      <w:jc w:val="center"/>
    </w:pPr>
  </w:p>
  <w:p w:rsidR="007C5AF4" w:rsidRDefault="007C5A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B62FD"/>
    <w:multiLevelType w:val="hybridMultilevel"/>
    <w:tmpl w:val="79960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2">
    <w:nsid w:val="6AF87225"/>
    <w:multiLevelType w:val="hybridMultilevel"/>
    <w:tmpl w:val="683086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777E2"/>
    <w:multiLevelType w:val="hybridMultilevel"/>
    <w:tmpl w:val="E7206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177B91"/>
    <w:multiLevelType w:val="hybridMultilevel"/>
    <w:tmpl w:val="1498609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413"/>
    <w:rsid w:val="00004474"/>
    <w:rsid w:val="00004512"/>
    <w:rsid w:val="00005994"/>
    <w:rsid w:val="00005D0B"/>
    <w:rsid w:val="00006DF7"/>
    <w:rsid w:val="00007C13"/>
    <w:rsid w:val="00011B1E"/>
    <w:rsid w:val="0001400C"/>
    <w:rsid w:val="00014D54"/>
    <w:rsid w:val="00016318"/>
    <w:rsid w:val="00020AF9"/>
    <w:rsid w:val="00027EBF"/>
    <w:rsid w:val="000315D0"/>
    <w:rsid w:val="00035000"/>
    <w:rsid w:val="00037219"/>
    <w:rsid w:val="00037855"/>
    <w:rsid w:val="000435CC"/>
    <w:rsid w:val="00045538"/>
    <w:rsid w:val="000458CE"/>
    <w:rsid w:val="00051753"/>
    <w:rsid w:val="00051C0C"/>
    <w:rsid w:val="0005222E"/>
    <w:rsid w:val="00053441"/>
    <w:rsid w:val="0005374F"/>
    <w:rsid w:val="0005399A"/>
    <w:rsid w:val="00061503"/>
    <w:rsid w:val="00065BD6"/>
    <w:rsid w:val="00067BDC"/>
    <w:rsid w:val="00073DBF"/>
    <w:rsid w:val="000752BA"/>
    <w:rsid w:val="00075C2D"/>
    <w:rsid w:val="00080719"/>
    <w:rsid w:val="00080BE8"/>
    <w:rsid w:val="00081111"/>
    <w:rsid w:val="000836B9"/>
    <w:rsid w:val="0008376F"/>
    <w:rsid w:val="000859AF"/>
    <w:rsid w:val="00087596"/>
    <w:rsid w:val="00087D79"/>
    <w:rsid w:val="000909B8"/>
    <w:rsid w:val="00093536"/>
    <w:rsid w:val="00096B8D"/>
    <w:rsid w:val="0009714D"/>
    <w:rsid w:val="000A2174"/>
    <w:rsid w:val="000A24BF"/>
    <w:rsid w:val="000A2AD4"/>
    <w:rsid w:val="000A5619"/>
    <w:rsid w:val="000A6668"/>
    <w:rsid w:val="000B2DE1"/>
    <w:rsid w:val="000B4C8E"/>
    <w:rsid w:val="000C0B23"/>
    <w:rsid w:val="000C0E12"/>
    <w:rsid w:val="000C114D"/>
    <w:rsid w:val="000C14AB"/>
    <w:rsid w:val="000C3032"/>
    <w:rsid w:val="000C375B"/>
    <w:rsid w:val="000C59C6"/>
    <w:rsid w:val="000D1F21"/>
    <w:rsid w:val="000D35C2"/>
    <w:rsid w:val="000D390F"/>
    <w:rsid w:val="000E12FF"/>
    <w:rsid w:val="000E4D20"/>
    <w:rsid w:val="000E5CDC"/>
    <w:rsid w:val="000E7F8E"/>
    <w:rsid w:val="000F141C"/>
    <w:rsid w:val="000F29C4"/>
    <w:rsid w:val="000F75F9"/>
    <w:rsid w:val="00100C10"/>
    <w:rsid w:val="00103BA8"/>
    <w:rsid w:val="0011281F"/>
    <w:rsid w:val="00117E47"/>
    <w:rsid w:val="0012194F"/>
    <w:rsid w:val="00123DD0"/>
    <w:rsid w:val="0012505C"/>
    <w:rsid w:val="001267B9"/>
    <w:rsid w:val="00126B20"/>
    <w:rsid w:val="001274C9"/>
    <w:rsid w:val="00127B74"/>
    <w:rsid w:val="001301BF"/>
    <w:rsid w:val="00130B77"/>
    <w:rsid w:val="00131228"/>
    <w:rsid w:val="00131756"/>
    <w:rsid w:val="00131CC8"/>
    <w:rsid w:val="00131FC3"/>
    <w:rsid w:val="00136A10"/>
    <w:rsid w:val="001374D8"/>
    <w:rsid w:val="00137C09"/>
    <w:rsid w:val="00142A15"/>
    <w:rsid w:val="00143D52"/>
    <w:rsid w:val="00144C50"/>
    <w:rsid w:val="00146485"/>
    <w:rsid w:val="001478BC"/>
    <w:rsid w:val="00150E00"/>
    <w:rsid w:val="00150F10"/>
    <w:rsid w:val="00151F79"/>
    <w:rsid w:val="00152A1E"/>
    <w:rsid w:val="00153922"/>
    <w:rsid w:val="001578CF"/>
    <w:rsid w:val="001603B6"/>
    <w:rsid w:val="00165E08"/>
    <w:rsid w:val="00167160"/>
    <w:rsid w:val="001719A9"/>
    <w:rsid w:val="001721EA"/>
    <w:rsid w:val="00177275"/>
    <w:rsid w:val="00182CD3"/>
    <w:rsid w:val="00184FEB"/>
    <w:rsid w:val="00185121"/>
    <w:rsid w:val="0018589A"/>
    <w:rsid w:val="00185DC1"/>
    <w:rsid w:val="00186E46"/>
    <w:rsid w:val="00187F08"/>
    <w:rsid w:val="0019186C"/>
    <w:rsid w:val="00194C0B"/>
    <w:rsid w:val="00195E74"/>
    <w:rsid w:val="00196AEC"/>
    <w:rsid w:val="001A068F"/>
    <w:rsid w:val="001A083F"/>
    <w:rsid w:val="001A556A"/>
    <w:rsid w:val="001B2E1F"/>
    <w:rsid w:val="001B69C1"/>
    <w:rsid w:val="001B76DF"/>
    <w:rsid w:val="001C2522"/>
    <w:rsid w:val="001C7833"/>
    <w:rsid w:val="001D749F"/>
    <w:rsid w:val="001E38E1"/>
    <w:rsid w:val="001E3E4D"/>
    <w:rsid w:val="001F242B"/>
    <w:rsid w:val="001F2B1D"/>
    <w:rsid w:val="001F5438"/>
    <w:rsid w:val="001F6411"/>
    <w:rsid w:val="0020337E"/>
    <w:rsid w:val="002037FC"/>
    <w:rsid w:val="0020572F"/>
    <w:rsid w:val="00206617"/>
    <w:rsid w:val="00206BD4"/>
    <w:rsid w:val="00212A0A"/>
    <w:rsid w:val="0021763A"/>
    <w:rsid w:val="00220D41"/>
    <w:rsid w:val="00221355"/>
    <w:rsid w:val="00227590"/>
    <w:rsid w:val="002277E1"/>
    <w:rsid w:val="002300D9"/>
    <w:rsid w:val="00231682"/>
    <w:rsid w:val="00232510"/>
    <w:rsid w:val="00232AE7"/>
    <w:rsid w:val="0023305A"/>
    <w:rsid w:val="002331CE"/>
    <w:rsid w:val="00240842"/>
    <w:rsid w:val="00243C37"/>
    <w:rsid w:val="00244CA6"/>
    <w:rsid w:val="002474B1"/>
    <w:rsid w:val="002476EF"/>
    <w:rsid w:val="00252A8E"/>
    <w:rsid w:val="002542CC"/>
    <w:rsid w:val="00256D9C"/>
    <w:rsid w:val="002622C6"/>
    <w:rsid w:val="00262F7E"/>
    <w:rsid w:val="002633B1"/>
    <w:rsid w:val="002638AD"/>
    <w:rsid w:val="0026427E"/>
    <w:rsid w:val="002648B1"/>
    <w:rsid w:val="002660D4"/>
    <w:rsid w:val="00266E3A"/>
    <w:rsid w:val="00270036"/>
    <w:rsid w:val="00270D74"/>
    <w:rsid w:val="00272F2D"/>
    <w:rsid w:val="002745D0"/>
    <w:rsid w:val="00274B44"/>
    <w:rsid w:val="0027575D"/>
    <w:rsid w:val="00281DB0"/>
    <w:rsid w:val="00282718"/>
    <w:rsid w:val="0028392C"/>
    <w:rsid w:val="00285184"/>
    <w:rsid w:val="00287D28"/>
    <w:rsid w:val="00290D83"/>
    <w:rsid w:val="00291C6F"/>
    <w:rsid w:val="00293110"/>
    <w:rsid w:val="00294895"/>
    <w:rsid w:val="00296B62"/>
    <w:rsid w:val="002970B5"/>
    <w:rsid w:val="002A0600"/>
    <w:rsid w:val="002A0852"/>
    <w:rsid w:val="002A650D"/>
    <w:rsid w:val="002A6CC9"/>
    <w:rsid w:val="002B06E9"/>
    <w:rsid w:val="002B1532"/>
    <w:rsid w:val="002B261A"/>
    <w:rsid w:val="002B346B"/>
    <w:rsid w:val="002B4B51"/>
    <w:rsid w:val="002B73B4"/>
    <w:rsid w:val="002B7C56"/>
    <w:rsid w:val="002C0502"/>
    <w:rsid w:val="002C0FE5"/>
    <w:rsid w:val="002C1F23"/>
    <w:rsid w:val="002C2B7E"/>
    <w:rsid w:val="002C2DDA"/>
    <w:rsid w:val="002C4F82"/>
    <w:rsid w:val="002D00C3"/>
    <w:rsid w:val="002D2F63"/>
    <w:rsid w:val="002D45E5"/>
    <w:rsid w:val="002D6A31"/>
    <w:rsid w:val="002D716D"/>
    <w:rsid w:val="002E0630"/>
    <w:rsid w:val="002E1153"/>
    <w:rsid w:val="002E2B17"/>
    <w:rsid w:val="002E2B1C"/>
    <w:rsid w:val="002F02BF"/>
    <w:rsid w:val="002F23CC"/>
    <w:rsid w:val="002F3B2E"/>
    <w:rsid w:val="002F3EC7"/>
    <w:rsid w:val="002F624B"/>
    <w:rsid w:val="002F6F42"/>
    <w:rsid w:val="003010BE"/>
    <w:rsid w:val="00301578"/>
    <w:rsid w:val="0030457F"/>
    <w:rsid w:val="0031313B"/>
    <w:rsid w:val="00316F7D"/>
    <w:rsid w:val="0032012C"/>
    <w:rsid w:val="00320500"/>
    <w:rsid w:val="00322F34"/>
    <w:rsid w:val="0032377E"/>
    <w:rsid w:val="00324AAD"/>
    <w:rsid w:val="00326F25"/>
    <w:rsid w:val="00332E51"/>
    <w:rsid w:val="00336469"/>
    <w:rsid w:val="00336B84"/>
    <w:rsid w:val="0033762B"/>
    <w:rsid w:val="003401EA"/>
    <w:rsid w:val="003414D9"/>
    <w:rsid w:val="003418F5"/>
    <w:rsid w:val="00344CBF"/>
    <w:rsid w:val="003467AF"/>
    <w:rsid w:val="00347A51"/>
    <w:rsid w:val="003504A5"/>
    <w:rsid w:val="00350E4A"/>
    <w:rsid w:val="0035154A"/>
    <w:rsid w:val="00352740"/>
    <w:rsid w:val="003540A0"/>
    <w:rsid w:val="00373BB6"/>
    <w:rsid w:val="00376DC9"/>
    <w:rsid w:val="00377505"/>
    <w:rsid w:val="00383136"/>
    <w:rsid w:val="00383DC5"/>
    <w:rsid w:val="00384DE9"/>
    <w:rsid w:val="00384F57"/>
    <w:rsid w:val="00386961"/>
    <w:rsid w:val="00386B2B"/>
    <w:rsid w:val="003871EB"/>
    <w:rsid w:val="00387AE5"/>
    <w:rsid w:val="003926B0"/>
    <w:rsid w:val="00393C6D"/>
    <w:rsid w:val="00396206"/>
    <w:rsid w:val="00396BB0"/>
    <w:rsid w:val="003A1947"/>
    <w:rsid w:val="003A4EFF"/>
    <w:rsid w:val="003A55CA"/>
    <w:rsid w:val="003A76CA"/>
    <w:rsid w:val="003B2700"/>
    <w:rsid w:val="003B3800"/>
    <w:rsid w:val="003B6C3C"/>
    <w:rsid w:val="003C092D"/>
    <w:rsid w:val="003C2E89"/>
    <w:rsid w:val="003C38B9"/>
    <w:rsid w:val="003C4D45"/>
    <w:rsid w:val="003D27DC"/>
    <w:rsid w:val="003E16D5"/>
    <w:rsid w:val="003E7D68"/>
    <w:rsid w:val="003F38DC"/>
    <w:rsid w:val="003F505A"/>
    <w:rsid w:val="003F5394"/>
    <w:rsid w:val="0040001E"/>
    <w:rsid w:val="0040089D"/>
    <w:rsid w:val="00401AB1"/>
    <w:rsid w:val="00401EE8"/>
    <w:rsid w:val="00402C66"/>
    <w:rsid w:val="0040447B"/>
    <w:rsid w:val="0041235B"/>
    <w:rsid w:val="004144FA"/>
    <w:rsid w:val="004179F4"/>
    <w:rsid w:val="0042333F"/>
    <w:rsid w:val="0043167C"/>
    <w:rsid w:val="0043197B"/>
    <w:rsid w:val="00434E6E"/>
    <w:rsid w:val="00437B0A"/>
    <w:rsid w:val="00440DA4"/>
    <w:rsid w:val="004423EE"/>
    <w:rsid w:val="00442C70"/>
    <w:rsid w:val="0044601E"/>
    <w:rsid w:val="00447B30"/>
    <w:rsid w:val="00450524"/>
    <w:rsid w:val="00450F45"/>
    <w:rsid w:val="00450F57"/>
    <w:rsid w:val="00451CC2"/>
    <w:rsid w:val="004523E8"/>
    <w:rsid w:val="004530B7"/>
    <w:rsid w:val="00453AB6"/>
    <w:rsid w:val="00454C50"/>
    <w:rsid w:val="00455F46"/>
    <w:rsid w:val="0046073E"/>
    <w:rsid w:val="0046147A"/>
    <w:rsid w:val="0046284D"/>
    <w:rsid w:val="004639F1"/>
    <w:rsid w:val="0046722B"/>
    <w:rsid w:val="004711C1"/>
    <w:rsid w:val="00474250"/>
    <w:rsid w:val="00475BF7"/>
    <w:rsid w:val="00477595"/>
    <w:rsid w:val="00481B13"/>
    <w:rsid w:val="004831E4"/>
    <w:rsid w:val="0048412C"/>
    <w:rsid w:val="004846B0"/>
    <w:rsid w:val="00485027"/>
    <w:rsid w:val="004923B4"/>
    <w:rsid w:val="004A0856"/>
    <w:rsid w:val="004A10FB"/>
    <w:rsid w:val="004A2EC0"/>
    <w:rsid w:val="004A50D4"/>
    <w:rsid w:val="004A5476"/>
    <w:rsid w:val="004A593E"/>
    <w:rsid w:val="004B59E1"/>
    <w:rsid w:val="004C003A"/>
    <w:rsid w:val="004C09E3"/>
    <w:rsid w:val="004C165E"/>
    <w:rsid w:val="004C2CF6"/>
    <w:rsid w:val="004C4599"/>
    <w:rsid w:val="004C71DB"/>
    <w:rsid w:val="004C7575"/>
    <w:rsid w:val="004D132B"/>
    <w:rsid w:val="004D1916"/>
    <w:rsid w:val="004D25E0"/>
    <w:rsid w:val="004D3016"/>
    <w:rsid w:val="004D30D3"/>
    <w:rsid w:val="004E08E2"/>
    <w:rsid w:val="004E1632"/>
    <w:rsid w:val="004E268C"/>
    <w:rsid w:val="004E484D"/>
    <w:rsid w:val="004E73BF"/>
    <w:rsid w:val="004F1EED"/>
    <w:rsid w:val="004F3709"/>
    <w:rsid w:val="004F560E"/>
    <w:rsid w:val="004F6B17"/>
    <w:rsid w:val="004F7805"/>
    <w:rsid w:val="0050079C"/>
    <w:rsid w:val="00501F86"/>
    <w:rsid w:val="00503740"/>
    <w:rsid w:val="005041C7"/>
    <w:rsid w:val="00505C12"/>
    <w:rsid w:val="005061CF"/>
    <w:rsid w:val="0051251C"/>
    <w:rsid w:val="005132A5"/>
    <w:rsid w:val="0051678E"/>
    <w:rsid w:val="00524AA3"/>
    <w:rsid w:val="00526E1D"/>
    <w:rsid w:val="00526E2C"/>
    <w:rsid w:val="00530E6F"/>
    <w:rsid w:val="00531FB5"/>
    <w:rsid w:val="005328BE"/>
    <w:rsid w:val="00535247"/>
    <w:rsid w:val="0053616D"/>
    <w:rsid w:val="00537061"/>
    <w:rsid w:val="00543C16"/>
    <w:rsid w:val="00544E68"/>
    <w:rsid w:val="00555190"/>
    <w:rsid w:val="00556750"/>
    <w:rsid w:val="00557258"/>
    <w:rsid w:val="005579B4"/>
    <w:rsid w:val="005610C9"/>
    <w:rsid w:val="005644AF"/>
    <w:rsid w:val="0056770E"/>
    <w:rsid w:val="00574875"/>
    <w:rsid w:val="0057587A"/>
    <w:rsid w:val="00576DB7"/>
    <w:rsid w:val="005779AA"/>
    <w:rsid w:val="00583756"/>
    <w:rsid w:val="00586B93"/>
    <w:rsid w:val="00593CA3"/>
    <w:rsid w:val="00596FEF"/>
    <w:rsid w:val="005A1F9D"/>
    <w:rsid w:val="005A6917"/>
    <w:rsid w:val="005B5815"/>
    <w:rsid w:val="005B5953"/>
    <w:rsid w:val="005B602C"/>
    <w:rsid w:val="005C64A5"/>
    <w:rsid w:val="005D086D"/>
    <w:rsid w:val="005D1100"/>
    <w:rsid w:val="005D17A7"/>
    <w:rsid w:val="005D3A9B"/>
    <w:rsid w:val="005D3AA5"/>
    <w:rsid w:val="005D4BE3"/>
    <w:rsid w:val="005D5C34"/>
    <w:rsid w:val="005E3287"/>
    <w:rsid w:val="005E36FF"/>
    <w:rsid w:val="005E4262"/>
    <w:rsid w:val="005E7216"/>
    <w:rsid w:val="005F2049"/>
    <w:rsid w:val="005F7593"/>
    <w:rsid w:val="00600561"/>
    <w:rsid w:val="00601C99"/>
    <w:rsid w:val="00603514"/>
    <w:rsid w:val="00605F7E"/>
    <w:rsid w:val="00607F4D"/>
    <w:rsid w:val="0062147D"/>
    <w:rsid w:val="006220CD"/>
    <w:rsid w:val="006241FD"/>
    <w:rsid w:val="00626437"/>
    <w:rsid w:val="00626761"/>
    <w:rsid w:val="00626A5E"/>
    <w:rsid w:val="0062798F"/>
    <w:rsid w:val="006314AE"/>
    <w:rsid w:val="00631643"/>
    <w:rsid w:val="0063174B"/>
    <w:rsid w:val="00632413"/>
    <w:rsid w:val="0063349A"/>
    <w:rsid w:val="006348F8"/>
    <w:rsid w:val="00634DAD"/>
    <w:rsid w:val="006367A4"/>
    <w:rsid w:val="00637E5C"/>
    <w:rsid w:val="00644975"/>
    <w:rsid w:val="006464DC"/>
    <w:rsid w:val="00650620"/>
    <w:rsid w:val="006520A0"/>
    <w:rsid w:val="00652670"/>
    <w:rsid w:val="00652CC8"/>
    <w:rsid w:val="00653127"/>
    <w:rsid w:val="006536F7"/>
    <w:rsid w:val="00655D48"/>
    <w:rsid w:val="00656716"/>
    <w:rsid w:val="0065746C"/>
    <w:rsid w:val="006636B9"/>
    <w:rsid w:val="00663FE5"/>
    <w:rsid w:val="00664C07"/>
    <w:rsid w:val="006671F0"/>
    <w:rsid w:val="00667344"/>
    <w:rsid w:val="006702E4"/>
    <w:rsid w:val="00670473"/>
    <w:rsid w:val="00670F50"/>
    <w:rsid w:val="006710D6"/>
    <w:rsid w:val="00675FF1"/>
    <w:rsid w:val="00683886"/>
    <w:rsid w:val="00684D4B"/>
    <w:rsid w:val="00686569"/>
    <w:rsid w:val="00692D10"/>
    <w:rsid w:val="00697E09"/>
    <w:rsid w:val="006A3E0F"/>
    <w:rsid w:val="006A4CC2"/>
    <w:rsid w:val="006A7F38"/>
    <w:rsid w:val="006B2663"/>
    <w:rsid w:val="006B372F"/>
    <w:rsid w:val="006C3B89"/>
    <w:rsid w:val="006C602B"/>
    <w:rsid w:val="006D0394"/>
    <w:rsid w:val="006D045A"/>
    <w:rsid w:val="006D0DEB"/>
    <w:rsid w:val="006D1C7C"/>
    <w:rsid w:val="006D3F73"/>
    <w:rsid w:val="006D48E6"/>
    <w:rsid w:val="006D5660"/>
    <w:rsid w:val="006D779A"/>
    <w:rsid w:val="006E202A"/>
    <w:rsid w:val="006E29AC"/>
    <w:rsid w:val="006E2B01"/>
    <w:rsid w:val="006E2BB6"/>
    <w:rsid w:val="006E63F7"/>
    <w:rsid w:val="006E7724"/>
    <w:rsid w:val="006E7ADB"/>
    <w:rsid w:val="006F1D0B"/>
    <w:rsid w:val="006F44B0"/>
    <w:rsid w:val="006F4A77"/>
    <w:rsid w:val="00700006"/>
    <w:rsid w:val="00702656"/>
    <w:rsid w:val="00702F8A"/>
    <w:rsid w:val="00703481"/>
    <w:rsid w:val="00704948"/>
    <w:rsid w:val="00705406"/>
    <w:rsid w:val="00705E00"/>
    <w:rsid w:val="00707A8F"/>
    <w:rsid w:val="007129E3"/>
    <w:rsid w:val="0071424E"/>
    <w:rsid w:val="0071562A"/>
    <w:rsid w:val="00715CEB"/>
    <w:rsid w:val="00715E2B"/>
    <w:rsid w:val="00720348"/>
    <w:rsid w:val="00721482"/>
    <w:rsid w:val="00724375"/>
    <w:rsid w:val="00724589"/>
    <w:rsid w:val="0072725A"/>
    <w:rsid w:val="00730FBB"/>
    <w:rsid w:val="00733029"/>
    <w:rsid w:val="007349A5"/>
    <w:rsid w:val="0074214E"/>
    <w:rsid w:val="0074219D"/>
    <w:rsid w:val="007422E8"/>
    <w:rsid w:val="007423AE"/>
    <w:rsid w:val="00742FF4"/>
    <w:rsid w:val="007434B6"/>
    <w:rsid w:val="00743566"/>
    <w:rsid w:val="00744ADC"/>
    <w:rsid w:val="00746245"/>
    <w:rsid w:val="007465EA"/>
    <w:rsid w:val="00746C35"/>
    <w:rsid w:val="00750388"/>
    <w:rsid w:val="00750E09"/>
    <w:rsid w:val="00752BBA"/>
    <w:rsid w:val="007538A2"/>
    <w:rsid w:val="0076099F"/>
    <w:rsid w:val="00761772"/>
    <w:rsid w:val="0076220E"/>
    <w:rsid w:val="00764899"/>
    <w:rsid w:val="007657BD"/>
    <w:rsid w:val="00766DE2"/>
    <w:rsid w:val="00770F25"/>
    <w:rsid w:val="00773B8C"/>
    <w:rsid w:val="00773F45"/>
    <w:rsid w:val="00780A83"/>
    <w:rsid w:val="00780B1E"/>
    <w:rsid w:val="00781877"/>
    <w:rsid w:val="0078288C"/>
    <w:rsid w:val="00782B30"/>
    <w:rsid w:val="00784452"/>
    <w:rsid w:val="0078616A"/>
    <w:rsid w:val="00787145"/>
    <w:rsid w:val="00791152"/>
    <w:rsid w:val="0079177C"/>
    <w:rsid w:val="00796A64"/>
    <w:rsid w:val="007B5FEB"/>
    <w:rsid w:val="007C1B5F"/>
    <w:rsid w:val="007C2D84"/>
    <w:rsid w:val="007C46E5"/>
    <w:rsid w:val="007C5AF4"/>
    <w:rsid w:val="007C64C2"/>
    <w:rsid w:val="007D347A"/>
    <w:rsid w:val="007D3B7C"/>
    <w:rsid w:val="007E2C73"/>
    <w:rsid w:val="007E37A3"/>
    <w:rsid w:val="007E3D6B"/>
    <w:rsid w:val="007E3F7A"/>
    <w:rsid w:val="007E4A9A"/>
    <w:rsid w:val="007F0ACE"/>
    <w:rsid w:val="007F21D5"/>
    <w:rsid w:val="007F2D24"/>
    <w:rsid w:val="007F340D"/>
    <w:rsid w:val="007F5E1A"/>
    <w:rsid w:val="0080126D"/>
    <w:rsid w:val="00804499"/>
    <w:rsid w:val="0080693B"/>
    <w:rsid w:val="00807BFF"/>
    <w:rsid w:val="00811FE5"/>
    <w:rsid w:val="00814070"/>
    <w:rsid w:val="00814506"/>
    <w:rsid w:val="008205D3"/>
    <w:rsid w:val="0082638D"/>
    <w:rsid w:val="00827C8D"/>
    <w:rsid w:val="00827E4F"/>
    <w:rsid w:val="00830458"/>
    <w:rsid w:val="0083445D"/>
    <w:rsid w:val="00834FD7"/>
    <w:rsid w:val="008353DD"/>
    <w:rsid w:val="008369B2"/>
    <w:rsid w:val="00836F8A"/>
    <w:rsid w:val="00837E3A"/>
    <w:rsid w:val="008410CC"/>
    <w:rsid w:val="0085027A"/>
    <w:rsid w:val="00850578"/>
    <w:rsid w:val="00851102"/>
    <w:rsid w:val="00852166"/>
    <w:rsid w:val="00852D64"/>
    <w:rsid w:val="00861137"/>
    <w:rsid w:val="00861230"/>
    <w:rsid w:val="0086291F"/>
    <w:rsid w:val="00865269"/>
    <w:rsid w:val="0087092F"/>
    <w:rsid w:val="00873385"/>
    <w:rsid w:val="0087383C"/>
    <w:rsid w:val="00874510"/>
    <w:rsid w:val="00875C37"/>
    <w:rsid w:val="00875CBD"/>
    <w:rsid w:val="008811A1"/>
    <w:rsid w:val="00881BB3"/>
    <w:rsid w:val="0088299A"/>
    <w:rsid w:val="00885B11"/>
    <w:rsid w:val="00885C07"/>
    <w:rsid w:val="00886FE6"/>
    <w:rsid w:val="00892193"/>
    <w:rsid w:val="00893768"/>
    <w:rsid w:val="00895AF8"/>
    <w:rsid w:val="008967A9"/>
    <w:rsid w:val="008A0CC4"/>
    <w:rsid w:val="008A4A19"/>
    <w:rsid w:val="008A5731"/>
    <w:rsid w:val="008A73CC"/>
    <w:rsid w:val="008A7F4A"/>
    <w:rsid w:val="008B4DA8"/>
    <w:rsid w:val="008B7173"/>
    <w:rsid w:val="008C17C7"/>
    <w:rsid w:val="008C1BA8"/>
    <w:rsid w:val="008C297F"/>
    <w:rsid w:val="008C4ABF"/>
    <w:rsid w:val="008C5F33"/>
    <w:rsid w:val="008C7791"/>
    <w:rsid w:val="008C7BAF"/>
    <w:rsid w:val="008D1BEF"/>
    <w:rsid w:val="008D355B"/>
    <w:rsid w:val="008D3FDB"/>
    <w:rsid w:val="008E2138"/>
    <w:rsid w:val="008E4DC5"/>
    <w:rsid w:val="008E53E4"/>
    <w:rsid w:val="008E562F"/>
    <w:rsid w:val="008F2FBA"/>
    <w:rsid w:val="008F6F6D"/>
    <w:rsid w:val="008F7759"/>
    <w:rsid w:val="0090600E"/>
    <w:rsid w:val="00907AE3"/>
    <w:rsid w:val="00907EFC"/>
    <w:rsid w:val="00921416"/>
    <w:rsid w:val="009264D0"/>
    <w:rsid w:val="00930B6D"/>
    <w:rsid w:val="00930CE2"/>
    <w:rsid w:val="00931054"/>
    <w:rsid w:val="009315B1"/>
    <w:rsid w:val="0093251C"/>
    <w:rsid w:val="0093502A"/>
    <w:rsid w:val="00937A9E"/>
    <w:rsid w:val="009405CB"/>
    <w:rsid w:val="009469EA"/>
    <w:rsid w:val="00946A8B"/>
    <w:rsid w:val="009503FE"/>
    <w:rsid w:val="00950CE4"/>
    <w:rsid w:val="0095134E"/>
    <w:rsid w:val="00956D73"/>
    <w:rsid w:val="00956EF2"/>
    <w:rsid w:val="009576A8"/>
    <w:rsid w:val="00957F4E"/>
    <w:rsid w:val="00960778"/>
    <w:rsid w:val="00960DEE"/>
    <w:rsid w:val="00963234"/>
    <w:rsid w:val="00964AA7"/>
    <w:rsid w:val="009650A3"/>
    <w:rsid w:val="0096563A"/>
    <w:rsid w:val="00967501"/>
    <w:rsid w:val="0097109A"/>
    <w:rsid w:val="00971D78"/>
    <w:rsid w:val="00973CC0"/>
    <w:rsid w:val="009760C8"/>
    <w:rsid w:val="00983E0F"/>
    <w:rsid w:val="00987C95"/>
    <w:rsid w:val="00991EBA"/>
    <w:rsid w:val="00993ADC"/>
    <w:rsid w:val="009A0AA6"/>
    <w:rsid w:val="009A0AF9"/>
    <w:rsid w:val="009A48F1"/>
    <w:rsid w:val="009A5B80"/>
    <w:rsid w:val="009A6043"/>
    <w:rsid w:val="009A6EB2"/>
    <w:rsid w:val="009B0258"/>
    <w:rsid w:val="009B4EA0"/>
    <w:rsid w:val="009B6FEA"/>
    <w:rsid w:val="009C3EA4"/>
    <w:rsid w:val="009C4F24"/>
    <w:rsid w:val="009C5392"/>
    <w:rsid w:val="009C742A"/>
    <w:rsid w:val="009D138C"/>
    <w:rsid w:val="009D2119"/>
    <w:rsid w:val="009D4833"/>
    <w:rsid w:val="009D6E4A"/>
    <w:rsid w:val="009E1D9E"/>
    <w:rsid w:val="009E1E76"/>
    <w:rsid w:val="009E4AAF"/>
    <w:rsid w:val="009E4B85"/>
    <w:rsid w:val="009E73B8"/>
    <w:rsid w:val="009F0C25"/>
    <w:rsid w:val="009F11C1"/>
    <w:rsid w:val="009F1AA8"/>
    <w:rsid w:val="009F4C10"/>
    <w:rsid w:val="00A02156"/>
    <w:rsid w:val="00A028CD"/>
    <w:rsid w:val="00A02EF4"/>
    <w:rsid w:val="00A04915"/>
    <w:rsid w:val="00A06217"/>
    <w:rsid w:val="00A104D7"/>
    <w:rsid w:val="00A10895"/>
    <w:rsid w:val="00A10930"/>
    <w:rsid w:val="00A10D18"/>
    <w:rsid w:val="00A13B57"/>
    <w:rsid w:val="00A14D97"/>
    <w:rsid w:val="00A2262A"/>
    <w:rsid w:val="00A242F6"/>
    <w:rsid w:val="00A2657B"/>
    <w:rsid w:val="00A32C4C"/>
    <w:rsid w:val="00A348A9"/>
    <w:rsid w:val="00A34DC2"/>
    <w:rsid w:val="00A35B87"/>
    <w:rsid w:val="00A36D85"/>
    <w:rsid w:val="00A4198B"/>
    <w:rsid w:val="00A4253B"/>
    <w:rsid w:val="00A43A64"/>
    <w:rsid w:val="00A5091B"/>
    <w:rsid w:val="00A50A2D"/>
    <w:rsid w:val="00A531FC"/>
    <w:rsid w:val="00A55E80"/>
    <w:rsid w:val="00A57B93"/>
    <w:rsid w:val="00A61967"/>
    <w:rsid w:val="00A61B39"/>
    <w:rsid w:val="00A63526"/>
    <w:rsid w:val="00A641D8"/>
    <w:rsid w:val="00A65890"/>
    <w:rsid w:val="00A6625F"/>
    <w:rsid w:val="00A66912"/>
    <w:rsid w:val="00A7282C"/>
    <w:rsid w:val="00A73408"/>
    <w:rsid w:val="00A75BE6"/>
    <w:rsid w:val="00A8666B"/>
    <w:rsid w:val="00A91054"/>
    <w:rsid w:val="00A920FC"/>
    <w:rsid w:val="00A92C8C"/>
    <w:rsid w:val="00A94F45"/>
    <w:rsid w:val="00A95120"/>
    <w:rsid w:val="00A95228"/>
    <w:rsid w:val="00A953D6"/>
    <w:rsid w:val="00A96046"/>
    <w:rsid w:val="00A96704"/>
    <w:rsid w:val="00AA470C"/>
    <w:rsid w:val="00AA4738"/>
    <w:rsid w:val="00AA6BBA"/>
    <w:rsid w:val="00AB025D"/>
    <w:rsid w:val="00AB07B7"/>
    <w:rsid w:val="00AB099C"/>
    <w:rsid w:val="00AB107C"/>
    <w:rsid w:val="00AB1444"/>
    <w:rsid w:val="00AB329C"/>
    <w:rsid w:val="00AB3887"/>
    <w:rsid w:val="00AB3C84"/>
    <w:rsid w:val="00AB716D"/>
    <w:rsid w:val="00AC019E"/>
    <w:rsid w:val="00AC2180"/>
    <w:rsid w:val="00AC48D7"/>
    <w:rsid w:val="00AC4B47"/>
    <w:rsid w:val="00AC50A1"/>
    <w:rsid w:val="00AC7A74"/>
    <w:rsid w:val="00AD16DF"/>
    <w:rsid w:val="00AD3C75"/>
    <w:rsid w:val="00AD4AAC"/>
    <w:rsid w:val="00AD5DD5"/>
    <w:rsid w:val="00AD77EF"/>
    <w:rsid w:val="00AE0A5C"/>
    <w:rsid w:val="00AE102F"/>
    <w:rsid w:val="00AE1C17"/>
    <w:rsid w:val="00AE5F6E"/>
    <w:rsid w:val="00AE61BE"/>
    <w:rsid w:val="00AE7AAB"/>
    <w:rsid w:val="00AE7EED"/>
    <w:rsid w:val="00AF0B6F"/>
    <w:rsid w:val="00AF1A3D"/>
    <w:rsid w:val="00AF3E46"/>
    <w:rsid w:val="00AF7BE4"/>
    <w:rsid w:val="00B010E4"/>
    <w:rsid w:val="00B05B83"/>
    <w:rsid w:val="00B06C4B"/>
    <w:rsid w:val="00B06E56"/>
    <w:rsid w:val="00B139F0"/>
    <w:rsid w:val="00B14863"/>
    <w:rsid w:val="00B14F1C"/>
    <w:rsid w:val="00B16903"/>
    <w:rsid w:val="00B174B7"/>
    <w:rsid w:val="00B2262E"/>
    <w:rsid w:val="00B227DB"/>
    <w:rsid w:val="00B23E15"/>
    <w:rsid w:val="00B310E6"/>
    <w:rsid w:val="00B31E7F"/>
    <w:rsid w:val="00B31FE3"/>
    <w:rsid w:val="00B34017"/>
    <w:rsid w:val="00B355E1"/>
    <w:rsid w:val="00B44856"/>
    <w:rsid w:val="00B45540"/>
    <w:rsid w:val="00B50CAB"/>
    <w:rsid w:val="00B5194B"/>
    <w:rsid w:val="00B520CF"/>
    <w:rsid w:val="00B522FE"/>
    <w:rsid w:val="00B52F7D"/>
    <w:rsid w:val="00B55316"/>
    <w:rsid w:val="00B57640"/>
    <w:rsid w:val="00B61CB9"/>
    <w:rsid w:val="00B6281B"/>
    <w:rsid w:val="00B642E4"/>
    <w:rsid w:val="00B70409"/>
    <w:rsid w:val="00B7287F"/>
    <w:rsid w:val="00B73441"/>
    <w:rsid w:val="00B7408E"/>
    <w:rsid w:val="00B74EFB"/>
    <w:rsid w:val="00B77F3D"/>
    <w:rsid w:val="00B81B35"/>
    <w:rsid w:val="00B82637"/>
    <w:rsid w:val="00B86F41"/>
    <w:rsid w:val="00B90F45"/>
    <w:rsid w:val="00B921B2"/>
    <w:rsid w:val="00B922DE"/>
    <w:rsid w:val="00B93182"/>
    <w:rsid w:val="00B963FD"/>
    <w:rsid w:val="00B96532"/>
    <w:rsid w:val="00BA1D81"/>
    <w:rsid w:val="00BA3C6F"/>
    <w:rsid w:val="00BA63FF"/>
    <w:rsid w:val="00BA6E2D"/>
    <w:rsid w:val="00BA777C"/>
    <w:rsid w:val="00BA79B5"/>
    <w:rsid w:val="00BA7E68"/>
    <w:rsid w:val="00BB0B84"/>
    <w:rsid w:val="00BB2A42"/>
    <w:rsid w:val="00BB2D1D"/>
    <w:rsid w:val="00BB52C8"/>
    <w:rsid w:val="00BB6C93"/>
    <w:rsid w:val="00BB6EF0"/>
    <w:rsid w:val="00BC1F06"/>
    <w:rsid w:val="00BC36FE"/>
    <w:rsid w:val="00BC37D4"/>
    <w:rsid w:val="00BC5E36"/>
    <w:rsid w:val="00BC6350"/>
    <w:rsid w:val="00BC65B4"/>
    <w:rsid w:val="00BC6EF7"/>
    <w:rsid w:val="00BD3191"/>
    <w:rsid w:val="00BD3B08"/>
    <w:rsid w:val="00BD3B90"/>
    <w:rsid w:val="00BD70E6"/>
    <w:rsid w:val="00BD78D3"/>
    <w:rsid w:val="00BE608B"/>
    <w:rsid w:val="00BF0AF1"/>
    <w:rsid w:val="00BF5C13"/>
    <w:rsid w:val="00C0120A"/>
    <w:rsid w:val="00C03EC8"/>
    <w:rsid w:val="00C03FDA"/>
    <w:rsid w:val="00C062D3"/>
    <w:rsid w:val="00C149F9"/>
    <w:rsid w:val="00C1569B"/>
    <w:rsid w:val="00C156A2"/>
    <w:rsid w:val="00C15D00"/>
    <w:rsid w:val="00C1655A"/>
    <w:rsid w:val="00C17986"/>
    <w:rsid w:val="00C20376"/>
    <w:rsid w:val="00C20523"/>
    <w:rsid w:val="00C23BED"/>
    <w:rsid w:val="00C24979"/>
    <w:rsid w:val="00C25917"/>
    <w:rsid w:val="00C26A4C"/>
    <w:rsid w:val="00C33CF9"/>
    <w:rsid w:val="00C34519"/>
    <w:rsid w:val="00C34B5E"/>
    <w:rsid w:val="00C37969"/>
    <w:rsid w:val="00C4234D"/>
    <w:rsid w:val="00C4757B"/>
    <w:rsid w:val="00C548C2"/>
    <w:rsid w:val="00C56FF2"/>
    <w:rsid w:val="00C60719"/>
    <w:rsid w:val="00C66E96"/>
    <w:rsid w:val="00C6749B"/>
    <w:rsid w:val="00C74925"/>
    <w:rsid w:val="00C77713"/>
    <w:rsid w:val="00C8033A"/>
    <w:rsid w:val="00C81297"/>
    <w:rsid w:val="00C83173"/>
    <w:rsid w:val="00C83438"/>
    <w:rsid w:val="00C85BC8"/>
    <w:rsid w:val="00C925E7"/>
    <w:rsid w:val="00C930E1"/>
    <w:rsid w:val="00C9479B"/>
    <w:rsid w:val="00C94A52"/>
    <w:rsid w:val="00C95670"/>
    <w:rsid w:val="00C97D4C"/>
    <w:rsid w:val="00CA5E5F"/>
    <w:rsid w:val="00CA6807"/>
    <w:rsid w:val="00CB0C32"/>
    <w:rsid w:val="00CB0D1B"/>
    <w:rsid w:val="00CB30BA"/>
    <w:rsid w:val="00CB32DD"/>
    <w:rsid w:val="00CC05AA"/>
    <w:rsid w:val="00CC1058"/>
    <w:rsid w:val="00CC1BBA"/>
    <w:rsid w:val="00CC549C"/>
    <w:rsid w:val="00CC5BB6"/>
    <w:rsid w:val="00CC7469"/>
    <w:rsid w:val="00CC7809"/>
    <w:rsid w:val="00CC784E"/>
    <w:rsid w:val="00CD1005"/>
    <w:rsid w:val="00CD2C18"/>
    <w:rsid w:val="00CD2CC0"/>
    <w:rsid w:val="00CD3D05"/>
    <w:rsid w:val="00CE3BD3"/>
    <w:rsid w:val="00CE73F6"/>
    <w:rsid w:val="00CE7A82"/>
    <w:rsid w:val="00CF0383"/>
    <w:rsid w:val="00CF2ACA"/>
    <w:rsid w:val="00CF357B"/>
    <w:rsid w:val="00CF5C66"/>
    <w:rsid w:val="00D0266E"/>
    <w:rsid w:val="00D12682"/>
    <w:rsid w:val="00D12FAE"/>
    <w:rsid w:val="00D21348"/>
    <w:rsid w:val="00D21531"/>
    <w:rsid w:val="00D22F42"/>
    <w:rsid w:val="00D240D1"/>
    <w:rsid w:val="00D24C7D"/>
    <w:rsid w:val="00D26162"/>
    <w:rsid w:val="00D26EFD"/>
    <w:rsid w:val="00D307E4"/>
    <w:rsid w:val="00D3136C"/>
    <w:rsid w:val="00D33EA6"/>
    <w:rsid w:val="00D3791F"/>
    <w:rsid w:val="00D57970"/>
    <w:rsid w:val="00D67131"/>
    <w:rsid w:val="00D67D96"/>
    <w:rsid w:val="00D67EB2"/>
    <w:rsid w:val="00D70397"/>
    <w:rsid w:val="00D726D6"/>
    <w:rsid w:val="00D72E7E"/>
    <w:rsid w:val="00D845BB"/>
    <w:rsid w:val="00D8529C"/>
    <w:rsid w:val="00D919F3"/>
    <w:rsid w:val="00D9659B"/>
    <w:rsid w:val="00D96C5D"/>
    <w:rsid w:val="00DA79B5"/>
    <w:rsid w:val="00DB0615"/>
    <w:rsid w:val="00DB20D9"/>
    <w:rsid w:val="00DB279C"/>
    <w:rsid w:val="00DB42E2"/>
    <w:rsid w:val="00DB59E0"/>
    <w:rsid w:val="00DB6C50"/>
    <w:rsid w:val="00DB751F"/>
    <w:rsid w:val="00DC2343"/>
    <w:rsid w:val="00DC278D"/>
    <w:rsid w:val="00DC6119"/>
    <w:rsid w:val="00DC6F6A"/>
    <w:rsid w:val="00DD0A6A"/>
    <w:rsid w:val="00DD0FE9"/>
    <w:rsid w:val="00DD1A96"/>
    <w:rsid w:val="00DD2C00"/>
    <w:rsid w:val="00DD5F3E"/>
    <w:rsid w:val="00DD6AA8"/>
    <w:rsid w:val="00DE30A1"/>
    <w:rsid w:val="00DE31D4"/>
    <w:rsid w:val="00DE4E04"/>
    <w:rsid w:val="00DE6149"/>
    <w:rsid w:val="00DF25DB"/>
    <w:rsid w:val="00DF7C57"/>
    <w:rsid w:val="00E014C1"/>
    <w:rsid w:val="00E0223C"/>
    <w:rsid w:val="00E02402"/>
    <w:rsid w:val="00E06750"/>
    <w:rsid w:val="00E07B31"/>
    <w:rsid w:val="00E123C3"/>
    <w:rsid w:val="00E1350B"/>
    <w:rsid w:val="00E1444C"/>
    <w:rsid w:val="00E1583F"/>
    <w:rsid w:val="00E15994"/>
    <w:rsid w:val="00E159C7"/>
    <w:rsid w:val="00E1755C"/>
    <w:rsid w:val="00E21290"/>
    <w:rsid w:val="00E23DD2"/>
    <w:rsid w:val="00E248FE"/>
    <w:rsid w:val="00E2790B"/>
    <w:rsid w:val="00E317F8"/>
    <w:rsid w:val="00E3307F"/>
    <w:rsid w:val="00E357B8"/>
    <w:rsid w:val="00E36CD9"/>
    <w:rsid w:val="00E37D3D"/>
    <w:rsid w:val="00E41156"/>
    <w:rsid w:val="00E4546E"/>
    <w:rsid w:val="00E45A79"/>
    <w:rsid w:val="00E47C2A"/>
    <w:rsid w:val="00E50ACE"/>
    <w:rsid w:val="00E5482F"/>
    <w:rsid w:val="00E56406"/>
    <w:rsid w:val="00E573D4"/>
    <w:rsid w:val="00E60A02"/>
    <w:rsid w:val="00E60A97"/>
    <w:rsid w:val="00E62819"/>
    <w:rsid w:val="00E62B7E"/>
    <w:rsid w:val="00E64A4F"/>
    <w:rsid w:val="00E65D85"/>
    <w:rsid w:val="00E65ED0"/>
    <w:rsid w:val="00E702B6"/>
    <w:rsid w:val="00E760D7"/>
    <w:rsid w:val="00E77F16"/>
    <w:rsid w:val="00E80983"/>
    <w:rsid w:val="00E843B2"/>
    <w:rsid w:val="00E85B8D"/>
    <w:rsid w:val="00E85C2E"/>
    <w:rsid w:val="00E8656A"/>
    <w:rsid w:val="00E87758"/>
    <w:rsid w:val="00E910C3"/>
    <w:rsid w:val="00E93C72"/>
    <w:rsid w:val="00E94D5C"/>
    <w:rsid w:val="00E95C6C"/>
    <w:rsid w:val="00EA267C"/>
    <w:rsid w:val="00EA3BAB"/>
    <w:rsid w:val="00EA43BA"/>
    <w:rsid w:val="00EA5BA2"/>
    <w:rsid w:val="00EB17A8"/>
    <w:rsid w:val="00EB3214"/>
    <w:rsid w:val="00EB3334"/>
    <w:rsid w:val="00EB4AA3"/>
    <w:rsid w:val="00EB4F8D"/>
    <w:rsid w:val="00EB6F70"/>
    <w:rsid w:val="00EC0686"/>
    <w:rsid w:val="00EC4567"/>
    <w:rsid w:val="00ED2C6A"/>
    <w:rsid w:val="00EE3C65"/>
    <w:rsid w:val="00EE6E7B"/>
    <w:rsid w:val="00EF39D2"/>
    <w:rsid w:val="00EF6480"/>
    <w:rsid w:val="00EF71FB"/>
    <w:rsid w:val="00EF7DA3"/>
    <w:rsid w:val="00F024A1"/>
    <w:rsid w:val="00F04E14"/>
    <w:rsid w:val="00F05C69"/>
    <w:rsid w:val="00F06AB8"/>
    <w:rsid w:val="00F10DCA"/>
    <w:rsid w:val="00F1230C"/>
    <w:rsid w:val="00F12B18"/>
    <w:rsid w:val="00F15E05"/>
    <w:rsid w:val="00F2063C"/>
    <w:rsid w:val="00F24DC6"/>
    <w:rsid w:val="00F30FCD"/>
    <w:rsid w:val="00F3109D"/>
    <w:rsid w:val="00F32125"/>
    <w:rsid w:val="00F33379"/>
    <w:rsid w:val="00F35FD2"/>
    <w:rsid w:val="00F36FF8"/>
    <w:rsid w:val="00F4125B"/>
    <w:rsid w:val="00F417BD"/>
    <w:rsid w:val="00F437E4"/>
    <w:rsid w:val="00F43F44"/>
    <w:rsid w:val="00F46772"/>
    <w:rsid w:val="00F473D1"/>
    <w:rsid w:val="00F477F4"/>
    <w:rsid w:val="00F51430"/>
    <w:rsid w:val="00F519BF"/>
    <w:rsid w:val="00F527B5"/>
    <w:rsid w:val="00F54C49"/>
    <w:rsid w:val="00F569CA"/>
    <w:rsid w:val="00F60645"/>
    <w:rsid w:val="00F60B63"/>
    <w:rsid w:val="00F6213C"/>
    <w:rsid w:val="00F63828"/>
    <w:rsid w:val="00F642B1"/>
    <w:rsid w:val="00F64396"/>
    <w:rsid w:val="00F64C3F"/>
    <w:rsid w:val="00F67FF6"/>
    <w:rsid w:val="00F73797"/>
    <w:rsid w:val="00F76D11"/>
    <w:rsid w:val="00F8002D"/>
    <w:rsid w:val="00F8200D"/>
    <w:rsid w:val="00F82232"/>
    <w:rsid w:val="00F83ED2"/>
    <w:rsid w:val="00F86262"/>
    <w:rsid w:val="00F922B8"/>
    <w:rsid w:val="00F9256F"/>
    <w:rsid w:val="00F94262"/>
    <w:rsid w:val="00F9431E"/>
    <w:rsid w:val="00F972C2"/>
    <w:rsid w:val="00F97B9E"/>
    <w:rsid w:val="00FA17B9"/>
    <w:rsid w:val="00FA18A6"/>
    <w:rsid w:val="00FA60B0"/>
    <w:rsid w:val="00FB15D2"/>
    <w:rsid w:val="00FB4BD5"/>
    <w:rsid w:val="00FB5ED0"/>
    <w:rsid w:val="00FB66A6"/>
    <w:rsid w:val="00FC5F54"/>
    <w:rsid w:val="00FC640F"/>
    <w:rsid w:val="00FC77D6"/>
    <w:rsid w:val="00FD1681"/>
    <w:rsid w:val="00FD370F"/>
    <w:rsid w:val="00FD5A04"/>
    <w:rsid w:val="00FE50F3"/>
    <w:rsid w:val="00FE54A6"/>
    <w:rsid w:val="00FE7124"/>
    <w:rsid w:val="00FE77B9"/>
    <w:rsid w:val="00FE7B94"/>
    <w:rsid w:val="00FF2EBA"/>
    <w:rsid w:val="00FF4226"/>
    <w:rsid w:val="00FF4D5B"/>
    <w:rsid w:val="00FF5F26"/>
    <w:rsid w:val="00FF6DC4"/>
    <w:rsid w:val="00FF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13"/>
    <w:pPr>
      <w:spacing w:after="120"/>
    </w:pPr>
    <w:rPr>
      <w:sz w:val="24"/>
      <w:lang w:eastAsia="en-US"/>
    </w:rPr>
  </w:style>
  <w:style w:type="paragraph" w:styleId="Heading1">
    <w:name w:val="heading 1"/>
    <w:aliases w:val="Centre Head"/>
    <w:next w:val="LeftHeading"/>
    <w:qFormat/>
    <w:rsid w:val="00632413"/>
    <w:pPr>
      <w:spacing w:before="240" w:after="240"/>
      <w:jc w:val="center"/>
      <w:outlineLvl w:val="0"/>
    </w:pPr>
    <w:rPr>
      <w:rFonts w:ascii="Arial" w:hAnsi="Arial"/>
      <w:b/>
      <w:caps/>
      <w:color w:val="000000"/>
      <w:sz w:val="28"/>
      <w:lang w:eastAsia="en-US"/>
    </w:rPr>
  </w:style>
  <w:style w:type="paragraph" w:styleId="Heading3">
    <w:name w:val="heading 3"/>
    <w:basedOn w:val="Normal"/>
    <w:next w:val="Normal"/>
    <w:qFormat/>
    <w:rsid w:val="00632413"/>
    <w:pPr>
      <w:keepNext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Heading">
    <w:name w:val="Left Heading"/>
    <w:next w:val="SubHeading"/>
    <w:rsid w:val="00632413"/>
    <w:pPr>
      <w:spacing w:before="120" w:after="240"/>
    </w:pPr>
    <w:rPr>
      <w:rFonts w:ascii="Arial" w:hAnsi="Arial"/>
      <w:b/>
      <w:caps/>
      <w:color w:val="000000"/>
      <w:sz w:val="24"/>
      <w:lang w:eastAsia="en-US"/>
    </w:rPr>
  </w:style>
  <w:style w:type="paragraph" w:customStyle="1" w:styleId="SubHeading">
    <w:name w:val="Sub Heading"/>
    <w:next w:val="Normal"/>
    <w:rsid w:val="00632413"/>
    <w:pPr>
      <w:keepNext/>
      <w:spacing w:before="120" w:after="240"/>
    </w:pPr>
    <w:rPr>
      <w:b/>
      <w:color w:val="000000"/>
      <w:sz w:val="24"/>
      <w:u w:val="single"/>
      <w:lang w:eastAsia="en-US"/>
    </w:rPr>
  </w:style>
  <w:style w:type="paragraph" w:customStyle="1" w:styleId="Attachment">
    <w:name w:val="Attachment"/>
    <w:next w:val="LeftHeading"/>
    <w:rsid w:val="00632413"/>
    <w:pPr>
      <w:spacing w:after="240"/>
      <w:jc w:val="right"/>
    </w:pPr>
    <w:rPr>
      <w:b/>
      <w:caps/>
      <w:color w:val="000000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6324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2413"/>
  </w:style>
  <w:style w:type="paragraph" w:customStyle="1" w:styleId="NumberList">
    <w:name w:val="Number List"/>
    <w:basedOn w:val="Normal"/>
    <w:rsid w:val="00CA6807"/>
    <w:pPr>
      <w:numPr>
        <w:numId w:val="2"/>
      </w:numPr>
      <w:tabs>
        <w:tab w:val="clear" w:pos="1778"/>
        <w:tab w:val="left" w:pos="1985"/>
      </w:tabs>
      <w:spacing w:before="240" w:after="0" w:line="240" w:lineRule="atLeast"/>
    </w:pPr>
    <w:rPr>
      <w:szCs w:val="24"/>
    </w:rPr>
  </w:style>
  <w:style w:type="paragraph" w:customStyle="1" w:styleId="NumberListSub">
    <w:name w:val="Number List Sub"/>
    <w:basedOn w:val="NumberList"/>
    <w:rsid w:val="00CA6807"/>
    <w:pPr>
      <w:numPr>
        <w:ilvl w:val="1"/>
      </w:numPr>
      <w:tabs>
        <w:tab w:val="left" w:pos="2552"/>
      </w:tabs>
    </w:pPr>
  </w:style>
  <w:style w:type="paragraph" w:customStyle="1" w:styleId="A1S">
    <w:name w:val="A1S"/>
    <w:aliases w:val="1.Schedule Amendment"/>
    <w:basedOn w:val="Normal"/>
    <w:next w:val="Normal"/>
    <w:rsid w:val="0033762B"/>
    <w:pPr>
      <w:keepNext/>
      <w:spacing w:before="480" w:after="0" w:line="260" w:lineRule="exact"/>
      <w:ind w:left="964" w:hanging="964"/>
    </w:pPr>
    <w:rPr>
      <w:rFonts w:ascii="Arial" w:hAnsi="Arial"/>
      <w:b/>
      <w:szCs w:val="24"/>
    </w:rPr>
  </w:style>
  <w:style w:type="paragraph" w:customStyle="1" w:styleId="P1">
    <w:name w:val="P1"/>
    <w:aliases w:val="(a)"/>
    <w:basedOn w:val="Normal"/>
    <w:rsid w:val="0033762B"/>
    <w:pPr>
      <w:tabs>
        <w:tab w:val="right" w:pos="1191"/>
      </w:tabs>
      <w:spacing w:before="60" w:after="0" w:line="260" w:lineRule="exact"/>
      <w:ind w:left="1418" w:hanging="1418"/>
      <w:jc w:val="both"/>
    </w:pPr>
    <w:rPr>
      <w:szCs w:val="24"/>
    </w:rPr>
  </w:style>
  <w:style w:type="paragraph" w:customStyle="1" w:styleId="CharChar">
    <w:name w:val="Char Char"/>
    <w:basedOn w:val="Normal"/>
    <w:rsid w:val="00E23DD2"/>
    <w:pPr>
      <w:spacing w:before="120"/>
    </w:pPr>
    <w:rPr>
      <w:rFonts w:ascii="Arial" w:hAnsi="Arial"/>
      <w:sz w:val="22"/>
    </w:rPr>
  </w:style>
  <w:style w:type="paragraph" w:customStyle="1" w:styleId="R1">
    <w:name w:val="R1"/>
    <w:aliases w:val="1. or 1.(1)"/>
    <w:basedOn w:val="Normal"/>
    <w:next w:val="Normal"/>
    <w:rsid w:val="00E23DD2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E23DD2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szCs w:val="24"/>
    </w:rPr>
  </w:style>
  <w:style w:type="paragraph" w:customStyle="1" w:styleId="Default">
    <w:name w:val="Default"/>
    <w:rsid w:val="004D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26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63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63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638D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263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638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85BC8"/>
    <w:pPr>
      <w:spacing w:after="0"/>
      <w:ind w:left="720"/>
    </w:pPr>
    <w:rPr>
      <w:rFonts w:ascii="Calibri" w:eastAsiaTheme="minorHAnsi" w:hAnsi="Calibri"/>
      <w:sz w:val="22"/>
      <w:szCs w:val="22"/>
      <w:lang w:eastAsia="en-AU"/>
    </w:rPr>
  </w:style>
  <w:style w:type="paragraph" w:customStyle="1" w:styleId="P2">
    <w:name w:val="P2"/>
    <w:aliases w:val="(i)"/>
    <w:basedOn w:val="Normal"/>
    <w:rsid w:val="00C20523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szCs w:val="24"/>
    </w:rPr>
  </w:style>
  <w:style w:type="paragraph" w:customStyle="1" w:styleId="Schedulepara">
    <w:name w:val="Schedule para"/>
    <w:basedOn w:val="Normal"/>
    <w:rsid w:val="00C20523"/>
    <w:pPr>
      <w:tabs>
        <w:tab w:val="right" w:pos="567"/>
      </w:tabs>
      <w:spacing w:before="180" w:after="0" w:line="260" w:lineRule="exact"/>
      <w:ind w:left="964" w:hanging="964"/>
      <w:jc w:val="both"/>
    </w:pPr>
    <w:rPr>
      <w:szCs w:val="24"/>
    </w:rPr>
  </w:style>
  <w:style w:type="paragraph" w:customStyle="1" w:styleId="Comment">
    <w:name w:val="Comment"/>
    <w:autoRedefine/>
    <w:rsid w:val="00F024A1"/>
    <w:pPr>
      <w:spacing w:before="240" w:after="240"/>
    </w:pPr>
    <w:rPr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38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83C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5AF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841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9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95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3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39A6B-2E27-4487-8E01-D4F7BEC5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cp:lastPrinted>2009-02-24T03:22:00Z</cp:lastPrinted>
  <dcterms:created xsi:type="dcterms:W3CDTF">2015-08-06T00:31:00Z</dcterms:created>
  <dcterms:modified xsi:type="dcterms:W3CDTF">2015-08-07T05:47:00Z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WSFooter">
    <vt:lpwstr>17303422</vt:lpwstr>
  </property>
</Properties>
</file>