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9A4CF" w14:textId="77777777" w:rsidR="00962924" w:rsidRDefault="00962924" w:rsidP="00962924">
      <w:pPr>
        <w:rPr>
          <w:b/>
          <w:sz w:val="28"/>
          <w:szCs w:val="28"/>
          <w:lang w:bidi="ar-SA"/>
        </w:rPr>
      </w:pPr>
      <w:r w:rsidRPr="000A62AA">
        <w:rPr>
          <w:b/>
          <w:sz w:val="28"/>
          <w:szCs w:val="28"/>
          <w:lang w:bidi="ar-SA"/>
        </w:rPr>
        <w:t>Explanatory Statement</w:t>
      </w:r>
    </w:p>
    <w:p w14:paraId="63846CAB" w14:textId="77777777" w:rsidR="00962924" w:rsidRDefault="00962924" w:rsidP="00962924"/>
    <w:p w14:paraId="6A49C34C" w14:textId="77777777" w:rsidR="00962924" w:rsidRDefault="00962924" w:rsidP="00962924">
      <w:pPr>
        <w:rPr>
          <w:b/>
          <w:lang w:val="en-AU" w:eastAsia="en-GB" w:bidi="ar-SA"/>
        </w:rPr>
      </w:pPr>
      <w:r>
        <w:rPr>
          <w:b/>
          <w:lang w:val="en-AU" w:eastAsia="en-GB" w:bidi="ar-SA"/>
        </w:rPr>
        <w:t>1.</w:t>
      </w:r>
      <w:r>
        <w:rPr>
          <w:b/>
          <w:lang w:val="en-AU" w:eastAsia="en-GB" w:bidi="ar-SA"/>
        </w:rPr>
        <w:tab/>
        <w:t>Authority</w:t>
      </w:r>
    </w:p>
    <w:p w14:paraId="2AD61905" w14:textId="77777777" w:rsidR="00962924" w:rsidRDefault="00962924" w:rsidP="00962924">
      <w:pPr>
        <w:widowControl/>
        <w:autoSpaceDE w:val="0"/>
        <w:autoSpaceDN w:val="0"/>
        <w:adjustRightInd w:val="0"/>
        <w:rPr>
          <w:rFonts w:eastAsia="Calibri" w:cs="Arial"/>
          <w:bCs/>
          <w:szCs w:val="22"/>
          <w:lang w:val="en-AU" w:bidi="ar-SA"/>
        </w:rPr>
      </w:pPr>
    </w:p>
    <w:p w14:paraId="728AA98F" w14:textId="77777777" w:rsidR="00962924" w:rsidRPr="00D13E34" w:rsidRDefault="00962924" w:rsidP="0096292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4C97BD7F" w14:textId="77777777" w:rsidR="00962924" w:rsidRPr="00D13E34" w:rsidRDefault="00962924" w:rsidP="00962924">
      <w:pPr>
        <w:widowControl/>
        <w:autoSpaceDE w:val="0"/>
        <w:autoSpaceDN w:val="0"/>
        <w:adjustRightInd w:val="0"/>
        <w:rPr>
          <w:rFonts w:eastAsia="Calibri" w:cs="Arial"/>
          <w:bCs/>
          <w:szCs w:val="22"/>
          <w:lang w:val="en-AU" w:bidi="ar-SA"/>
        </w:rPr>
      </w:pPr>
    </w:p>
    <w:p w14:paraId="744D9636" w14:textId="77777777" w:rsidR="00962924" w:rsidRPr="00E872A9" w:rsidRDefault="00962924" w:rsidP="00962924">
      <w:pPr>
        <w:widowControl/>
        <w:autoSpaceDE w:val="0"/>
        <w:autoSpaceDN w:val="0"/>
        <w:adjustRightInd w:val="0"/>
        <w:rPr>
          <w:rFonts w:eastAsia="Calibri" w:cs="Arial"/>
          <w:bCs/>
          <w:szCs w:val="22"/>
          <w:lang w:val="en-AU" w:bidi="ar-SA"/>
        </w:rPr>
      </w:pPr>
      <w:r w:rsidRPr="00E872A9">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F889717" w14:textId="77777777" w:rsidR="00962924" w:rsidRPr="00E872A9" w:rsidRDefault="00962924" w:rsidP="00962924">
      <w:pPr>
        <w:widowControl/>
        <w:autoSpaceDE w:val="0"/>
        <w:autoSpaceDN w:val="0"/>
        <w:adjustRightInd w:val="0"/>
        <w:rPr>
          <w:rFonts w:eastAsia="Calibri" w:cs="Arial"/>
          <w:bCs/>
          <w:szCs w:val="22"/>
          <w:lang w:val="en-AU" w:bidi="ar-SA"/>
        </w:rPr>
      </w:pPr>
    </w:p>
    <w:p w14:paraId="161948C4" w14:textId="77777777" w:rsidR="00962924" w:rsidRDefault="00962924" w:rsidP="00962924">
      <w:pPr>
        <w:widowControl/>
        <w:autoSpaceDE w:val="0"/>
        <w:autoSpaceDN w:val="0"/>
        <w:adjustRightInd w:val="0"/>
        <w:rPr>
          <w:rFonts w:eastAsia="Calibri" w:cs="Arial"/>
          <w:bCs/>
          <w:szCs w:val="22"/>
          <w:lang w:val="en-AU" w:bidi="ar-SA"/>
        </w:rPr>
      </w:pPr>
      <w:r w:rsidRPr="00E872A9">
        <w:rPr>
          <w:rFonts w:eastAsia="Calibri" w:cs="Arial"/>
          <w:bCs/>
          <w:szCs w:val="22"/>
          <w:lang w:val="en-AU" w:bidi="ar-SA"/>
        </w:rPr>
        <w:t xml:space="preserve">The Authority accepted Application </w:t>
      </w:r>
      <w:r>
        <w:rPr>
          <w:rFonts w:eastAsia="Calibri" w:cs="Arial"/>
          <w:bCs/>
          <w:szCs w:val="22"/>
          <w:lang w:val="en-AU" w:bidi="ar-SA"/>
        </w:rPr>
        <w:t>A1101</w:t>
      </w:r>
      <w:r w:rsidRPr="00E872A9">
        <w:rPr>
          <w:rFonts w:eastAsia="Calibri" w:cs="Arial"/>
          <w:bCs/>
          <w:szCs w:val="22"/>
          <w:lang w:val="en-AU" w:bidi="ar-SA"/>
        </w:rPr>
        <w:t xml:space="preserve"> which seeks to </w:t>
      </w:r>
      <w:r>
        <w:rPr>
          <w:rFonts w:eastAsia="Calibri" w:cs="Arial"/>
          <w:bCs/>
          <w:szCs w:val="22"/>
          <w:lang w:val="en-AU" w:bidi="ar-SA"/>
        </w:rPr>
        <w:t>delay the requirement to comply with the qualifying criteria for nutrition content claims about dietary fibre in Standard 1.2.7 – Nutrition, Health and Related Claims of the existing Code, for 12 months (that is, until and including 17 January 2017).</w:t>
      </w:r>
      <w:r w:rsidRPr="00E872A9">
        <w:rPr>
          <w:rFonts w:eastAsia="Calibri" w:cs="Arial"/>
          <w:bCs/>
          <w:szCs w:val="22"/>
          <w:lang w:val="en-AU" w:bidi="ar-SA"/>
        </w:rPr>
        <w:t xml:space="preserve"> </w:t>
      </w:r>
    </w:p>
    <w:p w14:paraId="630940E5" w14:textId="77777777" w:rsidR="00962924" w:rsidRDefault="00962924" w:rsidP="00962924">
      <w:pPr>
        <w:widowControl/>
        <w:autoSpaceDE w:val="0"/>
        <w:autoSpaceDN w:val="0"/>
        <w:adjustRightInd w:val="0"/>
        <w:rPr>
          <w:rFonts w:eastAsia="Calibri" w:cs="Arial"/>
          <w:bCs/>
          <w:szCs w:val="22"/>
          <w:lang w:val="en-AU" w:bidi="ar-SA"/>
        </w:rPr>
      </w:pPr>
    </w:p>
    <w:p w14:paraId="750B8C25" w14:textId="77777777" w:rsidR="00962924" w:rsidRDefault="00962924" w:rsidP="00962924">
      <w:pPr>
        <w:widowControl/>
        <w:autoSpaceDE w:val="0"/>
        <w:autoSpaceDN w:val="0"/>
        <w:adjustRightInd w:val="0"/>
        <w:rPr>
          <w:rFonts w:eastAsia="Calibri" w:cs="Arial"/>
          <w:bCs/>
          <w:szCs w:val="22"/>
          <w:lang w:val="en-AU" w:bidi="ar-SA"/>
        </w:rPr>
      </w:pPr>
      <w:r w:rsidRPr="00E872A9">
        <w:rPr>
          <w:rFonts w:eastAsia="Calibri" w:cs="Arial"/>
          <w:bCs/>
          <w:szCs w:val="22"/>
          <w:lang w:val="en-AU" w:bidi="ar-SA"/>
        </w:rPr>
        <w:t xml:space="preserve">The Authority considered the Application in accordance with Division 1 of Part 3 </w:t>
      </w:r>
      <w:r>
        <w:rPr>
          <w:rFonts w:eastAsia="Calibri" w:cs="Arial"/>
          <w:bCs/>
          <w:szCs w:val="22"/>
          <w:lang w:val="en-AU" w:bidi="ar-SA"/>
        </w:rPr>
        <w:t>and has approved a draft variation to the Code, which consists of a draft Standard</w:t>
      </w:r>
      <w:r w:rsidRPr="00C648FD">
        <w:rPr>
          <w:rFonts w:eastAsia="Calibri" w:cs="Arial"/>
          <w:bCs/>
          <w:szCs w:val="22"/>
          <w:lang w:val="en-AU" w:bidi="ar-SA"/>
        </w:rPr>
        <w:t xml:space="preserve"> </w:t>
      </w:r>
      <w:r>
        <w:rPr>
          <w:rFonts w:eastAsia="Calibri" w:cs="Arial"/>
          <w:bCs/>
          <w:szCs w:val="22"/>
          <w:lang w:val="en-AU" w:bidi="ar-SA"/>
        </w:rPr>
        <w:t xml:space="preserve">1.2.12 – </w:t>
      </w:r>
      <w:r w:rsidRPr="00D84E5F">
        <w:t>Transitional standard for dietary fibre nutrition content claims</w:t>
      </w:r>
      <w:r>
        <w:rPr>
          <w:rFonts w:eastAsia="Calibri" w:cs="Arial"/>
          <w:bCs/>
          <w:szCs w:val="22"/>
          <w:lang w:val="en-AU" w:bidi="ar-SA"/>
        </w:rPr>
        <w:t xml:space="preserve"> and draft variation consequential variations to other Standards. </w:t>
      </w:r>
    </w:p>
    <w:p w14:paraId="570C6A6A" w14:textId="77777777" w:rsidR="00962924" w:rsidRPr="00D13E34" w:rsidRDefault="00962924" w:rsidP="00962924">
      <w:pPr>
        <w:widowControl/>
        <w:autoSpaceDE w:val="0"/>
        <w:autoSpaceDN w:val="0"/>
        <w:adjustRightInd w:val="0"/>
        <w:rPr>
          <w:rFonts w:eastAsia="Calibri" w:cs="Arial"/>
          <w:bCs/>
          <w:szCs w:val="22"/>
          <w:lang w:val="en-AU" w:bidi="ar-SA"/>
        </w:rPr>
      </w:pPr>
    </w:p>
    <w:p w14:paraId="125B51D5" w14:textId="77777777" w:rsidR="00962924" w:rsidRPr="00D13E34" w:rsidRDefault="00962924" w:rsidP="0096292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Fonts w:ascii="ZWAdobeF" w:hAnsi="ZWAdobeF" w:cs="ZWAdobeF"/>
          <w:sz w:val="2"/>
          <w:szCs w:val="2"/>
        </w:rPr>
        <w:t>14F</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draft </w:t>
      </w:r>
      <w:r>
        <w:rPr>
          <w:rFonts w:eastAsia="Calibri" w:cs="Arial"/>
          <w:bCs/>
          <w:szCs w:val="22"/>
          <w:lang w:val="en-AU" w:bidi="ar-SA"/>
        </w:rPr>
        <w:t xml:space="preserve">Standard and consequential variation. </w:t>
      </w:r>
    </w:p>
    <w:p w14:paraId="545F0C61" w14:textId="77777777" w:rsidR="00962924" w:rsidRPr="00D13E34" w:rsidRDefault="00962924" w:rsidP="00962924">
      <w:pPr>
        <w:widowControl/>
        <w:autoSpaceDE w:val="0"/>
        <w:autoSpaceDN w:val="0"/>
        <w:adjustRightInd w:val="0"/>
        <w:rPr>
          <w:rFonts w:eastAsia="Calibri" w:cs="Arial"/>
          <w:bCs/>
          <w:szCs w:val="22"/>
          <w:lang w:val="en-AU" w:bidi="ar-SA"/>
        </w:rPr>
      </w:pPr>
    </w:p>
    <w:p w14:paraId="5D6AC153" w14:textId="77777777" w:rsidR="00962924" w:rsidRPr="00D13E34" w:rsidRDefault="00962924" w:rsidP="00962924">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6387700E" w14:textId="77777777" w:rsidR="00962924" w:rsidRDefault="00962924" w:rsidP="00962924">
      <w:pPr>
        <w:widowControl/>
        <w:autoSpaceDE w:val="0"/>
        <w:autoSpaceDN w:val="0"/>
        <w:adjustRightInd w:val="0"/>
        <w:rPr>
          <w:rFonts w:eastAsia="Calibri" w:cs="Arial"/>
          <w:bCs/>
          <w:szCs w:val="22"/>
          <w:lang w:val="en-AU" w:bidi="ar-SA"/>
        </w:rPr>
      </w:pPr>
    </w:p>
    <w:p w14:paraId="5DE2C04C" w14:textId="77777777" w:rsidR="00962924" w:rsidRDefault="00962924" w:rsidP="00962924">
      <w:pPr>
        <w:rPr>
          <w:b/>
          <w:lang w:val="en-AU" w:eastAsia="en-GB" w:bidi="ar-SA"/>
        </w:rPr>
      </w:pPr>
      <w:r>
        <w:rPr>
          <w:b/>
          <w:lang w:val="en-AU" w:eastAsia="en-GB" w:bidi="ar-SA"/>
        </w:rPr>
        <w:t>2.</w:t>
      </w:r>
      <w:r>
        <w:rPr>
          <w:b/>
          <w:lang w:val="en-AU" w:eastAsia="en-GB" w:bidi="ar-SA"/>
        </w:rPr>
        <w:tab/>
        <w:t xml:space="preserve">Purpose </w:t>
      </w:r>
    </w:p>
    <w:p w14:paraId="5EF7FD12" w14:textId="77777777" w:rsidR="00962924" w:rsidRDefault="00962924" w:rsidP="00962924">
      <w:pPr>
        <w:rPr>
          <w:szCs w:val="22"/>
          <w:lang w:val="en-AU" w:eastAsia="en-GB" w:bidi="ar-SA"/>
        </w:rPr>
      </w:pPr>
    </w:p>
    <w:p w14:paraId="6AB49718" w14:textId="77777777" w:rsidR="00962924" w:rsidRPr="006A5703" w:rsidRDefault="00962924" w:rsidP="00962924">
      <w:pPr>
        <w:rPr>
          <w:szCs w:val="22"/>
          <w:lang w:val="en-AU" w:eastAsia="en-GB" w:bidi="ar-SA"/>
        </w:rPr>
      </w:pPr>
      <w:r w:rsidRPr="006A5703">
        <w:rPr>
          <w:szCs w:val="22"/>
          <w:lang w:val="en-AU" w:eastAsia="en-GB" w:bidi="ar-SA"/>
        </w:rPr>
        <w:t xml:space="preserve">The Authority has approved a draft variation </w:t>
      </w:r>
      <w:r w:rsidRPr="00FD7E3A">
        <w:rPr>
          <w:szCs w:val="22"/>
          <w:lang w:val="en-AU" w:eastAsia="en-GB" w:bidi="ar-SA"/>
        </w:rPr>
        <w:t xml:space="preserve">called </w:t>
      </w:r>
      <w:r w:rsidRPr="00FD7E3A">
        <w:rPr>
          <w:rFonts w:cs="Arial"/>
          <w:i/>
          <w:szCs w:val="22"/>
        </w:rPr>
        <w:t>Australia New Zealand Food Standards Code</w:t>
      </w:r>
      <w:r w:rsidRPr="00FD7E3A">
        <w:rPr>
          <w:rFonts w:cs="Arial"/>
          <w:szCs w:val="22"/>
        </w:rPr>
        <w:t xml:space="preserve"> </w:t>
      </w:r>
      <w:r w:rsidRPr="00FD7E3A">
        <w:rPr>
          <w:rFonts w:cs="Arial"/>
          <w:color w:val="000000"/>
          <w:szCs w:val="22"/>
        </w:rPr>
        <w:t>— Revocation and Transitional Variation</w:t>
      </w:r>
      <w:r w:rsidRPr="00FD7E3A">
        <w:rPr>
          <w:rFonts w:cs="Arial"/>
          <w:szCs w:val="22"/>
        </w:rPr>
        <w:t xml:space="preserve"> 2015 (</w:t>
      </w:r>
      <w:r w:rsidRPr="00FD7E3A">
        <w:rPr>
          <w:rFonts w:cs="Arial"/>
          <w:i/>
          <w:szCs w:val="22"/>
        </w:rPr>
        <w:t>Application A1101 – Commencement of Dietary Fibre Claim</w:t>
      </w:r>
      <w:r w:rsidRPr="006055F4">
        <w:rPr>
          <w:rFonts w:cs="Arial"/>
          <w:i/>
          <w:szCs w:val="22"/>
        </w:rPr>
        <w:t xml:space="preserve"> Provisions</w:t>
      </w:r>
      <w:r w:rsidRPr="006A5703">
        <w:rPr>
          <w:szCs w:val="22"/>
        </w:rPr>
        <w:t xml:space="preserve"> – </w:t>
      </w:r>
      <w:r w:rsidRPr="006055F4">
        <w:rPr>
          <w:i/>
          <w:szCs w:val="22"/>
        </w:rPr>
        <w:t>Consequential)</w:t>
      </w:r>
      <w:r w:rsidRPr="006A5703">
        <w:rPr>
          <w:szCs w:val="22"/>
        </w:rPr>
        <w:t xml:space="preserve"> </w:t>
      </w:r>
      <w:r w:rsidRPr="006A5703">
        <w:rPr>
          <w:szCs w:val="22"/>
          <w:lang w:val="en-AU" w:eastAsia="en-GB" w:bidi="ar-SA"/>
        </w:rPr>
        <w:t xml:space="preserve">to make consequential amendments to Standards other than Standard 1.2.12. </w:t>
      </w:r>
    </w:p>
    <w:p w14:paraId="2D1561B7" w14:textId="77777777" w:rsidR="00962924" w:rsidRDefault="00962924" w:rsidP="00962924">
      <w:pPr>
        <w:rPr>
          <w:lang w:val="en-AU" w:eastAsia="en-GB" w:bidi="ar-SA"/>
        </w:rPr>
      </w:pPr>
    </w:p>
    <w:p w14:paraId="285275D6" w14:textId="77777777" w:rsidR="00962924" w:rsidRDefault="00962924" w:rsidP="00962924">
      <w:pPr>
        <w:rPr>
          <w:b/>
          <w:lang w:val="en-AU" w:eastAsia="en-GB" w:bidi="ar-SA"/>
        </w:rPr>
      </w:pPr>
      <w:r>
        <w:rPr>
          <w:b/>
          <w:lang w:val="en-AU" w:eastAsia="en-GB" w:bidi="ar-SA"/>
        </w:rPr>
        <w:t>3.</w:t>
      </w:r>
      <w:r>
        <w:rPr>
          <w:b/>
          <w:lang w:val="en-AU" w:eastAsia="en-GB" w:bidi="ar-SA"/>
        </w:rPr>
        <w:tab/>
        <w:t>Documents incorporated by reference</w:t>
      </w:r>
    </w:p>
    <w:p w14:paraId="7E7F49BC" w14:textId="77777777" w:rsidR="00962924" w:rsidRDefault="00962924" w:rsidP="00962924">
      <w:pPr>
        <w:rPr>
          <w:lang w:val="en-AU" w:eastAsia="en-GB" w:bidi="ar-SA"/>
        </w:rPr>
      </w:pPr>
    </w:p>
    <w:p w14:paraId="743CBDEF" w14:textId="77777777" w:rsidR="00962924" w:rsidRDefault="00962924" w:rsidP="00962924">
      <w:pPr>
        <w:widowControl/>
        <w:autoSpaceDE w:val="0"/>
        <w:autoSpaceDN w:val="0"/>
        <w:adjustRightInd w:val="0"/>
        <w:rPr>
          <w:rFonts w:eastAsia="Calibri" w:cs="Arial"/>
          <w:bCs/>
          <w:szCs w:val="22"/>
          <w:lang w:val="en-AU" w:bidi="ar-SA"/>
        </w:rPr>
      </w:pPr>
      <w:r>
        <w:rPr>
          <w:rFonts w:eastAsia="Calibri" w:cs="Arial"/>
          <w:bCs/>
          <w:szCs w:val="22"/>
          <w:lang w:val="en-AU" w:bidi="ar-SA"/>
        </w:rPr>
        <w:t>The draft consequential variation does not incorporate any documents by reference.</w:t>
      </w:r>
    </w:p>
    <w:p w14:paraId="594F77C7" w14:textId="77777777" w:rsidR="00962924" w:rsidRDefault="00962924" w:rsidP="00962924">
      <w:pPr>
        <w:rPr>
          <w:lang w:val="en-AU" w:eastAsia="en-GB" w:bidi="ar-SA"/>
        </w:rPr>
      </w:pPr>
    </w:p>
    <w:p w14:paraId="58B2F42B" w14:textId="77777777" w:rsidR="00962924" w:rsidRDefault="00962924" w:rsidP="00962924">
      <w:pPr>
        <w:rPr>
          <w:b/>
          <w:lang w:val="en-AU" w:eastAsia="en-GB" w:bidi="ar-SA"/>
        </w:rPr>
      </w:pPr>
      <w:r>
        <w:rPr>
          <w:b/>
          <w:lang w:val="en-AU" w:eastAsia="en-GB" w:bidi="ar-SA"/>
        </w:rPr>
        <w:t>4.</w:t>
      </w:r>
      <w:r>
        <w:rPr>
          <w:b/>
          <w:lang w:val="en-AU" w:eastAsia="en-GB" w:bidi="ar-SA"/>
        </w:rPr>
        <w:tab/>
        <w:t>Consultation</w:t>
      </w:r>
    </w:p>
    <w:p w14:paraId="644DFE85" w14:textId="77777777" w:rsidR="00962924" w:rsidRDefault="00962924" w:rsidP="00962924">
      <w:pPr>
        <w:rPr>
          <w:lang w:val="en-AU" w:eastAsia="en-GB" w:bidi="ar-SA"/>
        </w:rPr>
      </w:pPr>
    </w:p>
    <w:p w14:paraId="1F2A198C" w14:textId="77777777" w:rsidR="00962924" w:rsidRDefault="00962924" w:rsidP="00962924">
      <w:r>
        <w:t xml:space="preserve">A non-statutory round of public </w:t>
      </w:r>
      <w:r w:rsidRPr="00D81A56">
        <w:t xml:space="preserve">consultation </w:t>
      </w:r>
      <w:r>
        <w:t>was</w:t>
      </w:r>
      <w:r w:rsidRPr="00D81A56">
        <w:t xml:space="preserve"> undertaken</w:t>
      </w:r>
      <w:r>
        <w:t xml:space="preserve"> in October 2014 to gather </w:t>
      </w:r>
      <w:r>
        <w:rPr>
          <w:lang w:bidi="ar-SA"/>
        </w:rPr>
        <w:t>cost</w:t>
      </w:r>
      <w:r>
        <w:rPr>
          <w:lang w:bidi="ar-SA"/>
        </w:rPr>
        <w:noBreakHyphen/>
      </w:r>
      <w:r w:rsidRPr="00D7795B">
        <w:rPr>
          <w:lang w:bidi="ar-SA"/>
        </w:rPr>
        <w:t>benefit information</w:t>
      </w:r>
      <w:r>
        <w:rPr>
          <w:lang w:bidi="ar-SA"/>
        </w:rPr>
        <w:t xml:space="preserve"> and seek stakeholder views </w:t>
      </w:r>
      <w:r>
        <w:t>to inform</w:t>
      </w:r>
      <w:r w:rsidRPr="00D7795B">
        <w:t xml:space="preserve"> the assessment of the Application </w:t>
      </w:r>
      <w:r w:rsidRPr="00D81A56">
        <w:t>in accordance with</w:t>
      </w:r>
      <w:r>
        <w:t xml:space="preserve"> the FSANZ Act</w:t>
      </w:r>
      <w:r w:rsidRPr="00D81A56">
        <w:t xml:space="preserve">, particularly paragraphs </w:t>
      </w:r>
      <w:r>
        <w:t>2</w:t>
      </w:r>
      <w:r w:rsidRPr="00D81A56">
        <w:t>9(2</w:t>
      </w:r>
      <w:proofErr w:type="gramStart"/>
      <w:r w:rsidRPr="00D81A56">
        <w:t>)(</w:t>
      </w:r>
      <w:proofErr w:type="gramEnd"/>
      <w:r w:rsidRPr="00D81A56">
        <w:t>a) and (b)</w:t>
      </w:r>
      <w:r>
        <w:t>. Submissions were called for on 23 October 2014 for a four-week consultation period.</w:t>
      </w:r>
    </w:p>
    <w:p w14:paraId="2D22D28C" w14:textId="77777777" w:rsidR="00962924" w:rsidRDefault="00962924" w:rsidP="00962924">
      <w:pPr>
        <w:rPr>
          <w:szCs w:val="22"/>
        </w:rPr>
      </w:pPr>
    </w:p>
    <w:p w14:paraId="2BF411AA" w14:textId="77777777" w:rsidR="00962924" w:rsidRPr="003E4B61" w:rsidRDefault="00962924" w:rsidP="00962924">
      <w:pPr>
        <w:rPr>
          <w:lang w:val="en-AU"/>
        </w:rPr>
      </w:pPr>
      <w:r>
        <w:rPr>
          <w:szCs w:val="22"/>
        </w:rPr>
        <w:t xml:space="preserve">In accordance with the procedure in Division 1 of Part 3 of the FSANZ Act, </w:t>
      </w:r>
      <w:r>
        <w:rPr>
          <w:rFonts w:eastAsia="Calibri" w:cs="Arial"/>
          <w:bCs/>
          <w:szCs w:val="22"/>
          <w:lang w:val="en-AU" w:bidi="ar-SA"/>
        </w:rPr>
        <w:t>the Authority</w:t>
      </w:r>
      <w:r>
        <w:rPr>
          <w:szCs w:val="22"/>
        </w:rPr>
        <w:t xml:space="preserve">’s consideration of Application A1101 included one round of public consultation following an </w:t>
      </w:r>
      <w:r>
        <w:rPr>
          <w:szCs w:val="22"/>
        </w:rPr>
        <w:lastRenderedPageBreak/>
        <w:t xml:space="preserve">assessment and preparation of a draft Standard, draft consequential variations and associated </w:t>
      </w:r>
      <w:r w:rsidRPr="003E4B61">
        <w:rPr>
          <w:szCs w:val="22"/>
        </w:rPr>
        <w:t>report.</w:t>
      </w:r>
      <w:r>
        <w:rPr>
          <w:szCs w:val="22"/>
        </w:rPr>
        <w:t xml:space="preserve"> Submissions were called for on 24 March 2015 for a six-week consultation period.</w:t>
      </w:r>
    </w:p>
    <w:p w14:paraId="4D566134" w14:textId="77777777" w:rsidR="00962924" w:rsidRDefault="00962924" w:rsidP="00962924">
      <w:pPr>
        <w:rPr>
          <w:rFonts w:eastAsia="Calibri"/>
          <w:lang w:val="en-AU" w:bidi="ar-SA"/>
        </w:rPr>
      </w:pPr>
    </w:p>
    <w:p w14:paraId="05DBD572" w14:textId="77777777" w:rsidR="00962924" w:rsidRDefault="00962924" w:rsidP="00962924">
      <w:pPr>
        <w:widowControl/>
        <w:autoSpaceDE w:val="0"/>
        <w:autoSpaceDN w:val="0"/>
        <w:adjustRightInd w:val="0"/>
      </w:pPr>
      <w:r>
        <w:rPr>
          <w:rFonts w:eastAsia="Calibri" w:cs="Arial"/>
          <w:bCs/>
          <w:szCs w:val="22"/>
          <w:lang w:val="en-AU" w:bidi="ar-SA"/>
        </w:rPr>
        <w:t>A Regulation Impact Statement was not required because the draft consequential amendments in the revised Code are</w:t>
      </w:r>
      <w:r>
        <w:t xml:space="preserve"> likely to have only a minor impact on business and individuals (OBPR ID: 17599). </w:t>
      </w:r>
    </w:p>
    <w:p w14:paraId="5D9829D0" w14:textId="77777777" w:rsidR="00962924" w:rsidRDefault="00962924" w:rsidP="00962924">
      <w:pPr>
        <w:widowControl/>
        <w:rPr>
          <w:rFonts w:eastAsiaTheme="minorHAnsi" w:cs="Arial"/>
          <w:b/>
          <w:bCs/>
          <w:szCs w:val="22"/>
          <w:lang w:val="en-AU" w:bidi="ar-SA"/>
        </w:rPr>
      </w:pPr>
    </w:p>
    <w:p w14:paraId="318901A1" w14:textId="77777777" w:rsidR="00962924" w:rsidRDefault="00962924" w:rsidP="00962924">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70105AFF" w14:textId="77777777" w:rsidR="00962924" w:rsidRDefault="00962924" w:rsidP="00962924">
      <w:pPr>
        <w:rPr>
          <w:rFonts w:eastAsiaTheme="minorHAnsi"/>
          <w:lang w:val="en-AU" w:bidi="ar-SA"/>
        </w:rPr>
      </w:pPr>
    </w:p>
    <w:p w14:paraId="3E7FDCDA" w14:textId="77777777" w:rsidR="00962924" w:rsidRDefault="00962924" w:rsidP="00962924">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4A48668B" w14:textId="77777777" w:rsidR="00962924" w:rsidRDefault="00962924" w:rsidP="00962924">
      <w:pPr>
        <w:rPr>
          <w:rFonts w:eastAsiaTheme="minorHAnsi"/>
          <w:lang w:val="en-AU" w:bidi="ar-SA"/>
        </w:rPr>
      </w:pPr>
    </w:p>
    <w:p w14:paraId="5692CA0C" w14:textId="77777777" w:rsidR="00962924" w:rsidRDefault="00962924" w:rsidP="00962924">
      <w:pPr>
        <w:rPr>
          <w:b/>
          <w:lang w:val="en-AU" w:eastAsia="en-GB" w:bidi="ar-SA"/>
        </w:rPr>
      </w:pPr>
      <w:r>
        <w:rPr>
          <w:b/>
        </w:rPr>
        <w:t>6.</w:t>
      </w:r>
      <w:r>
        <w:rPr>
          <w:b/>
        </w:rPr>
        <w:tab/>
      </w:r>
      <w:r>
        <w:rPr>
          <w:b/>
          <w:lang w:val="en-AU" w:eastAsia="en-GB" w:bidi="ar-SA"/>
        </w:rPr>
        <w:t>Variation</w:t>
      </w:r>
    </w:p>
    <w:p w14:paraId="585E093F" w14:textId="77777777" w:rsidR="00962924" w:rsidRDefault="00962924" w:rsidP="00962924">
      <w:pPr>
        <w:rPr>
          <w:bCs/>
          <w:szCs w:val="22"/>
        </w:rPr>
      </w:pPr>
    </w:p>
    <w:p w14:paraId="2A959C64" w14:textId="77777777" w:rsidR="00962924" w:rsidRDefault="00962924" w:rsidP="00962924">
      <w:pPr>
        <w:rPr>
          <w:bCs/>
          <w:szCs w:val="22"/>
        </w:rPr>
      </w:pPr>
      <w:r>
        <w:rPr>
          <w:bCs/>
          <w:szCs w:val="22"/>
        </w:rPr>
        <w:t>Item 1 of Schedule 1 of the Variation amends subsection 1.1.1</w:t>
      </w:r>
      <w:r w:rsidRPr="00AE57E1">
        <w:rPr>
          <w:rFonts w:cs="Arial"/>
        </w:rPr>
        <w:t>—</w:t>
      </w:r>
      <w:r>
        <w:rPr>
          <w:bCs/>
          <w:szCs w:val="22"/>
        </w:rPr>
        <w:t xml:space="preserve">2(2) by inserting into that subsection a reference to </w:t>
      </w:r>
      <w:r>
        <w:rPr>
          <w:rFonts w:eastAsia="Calibri" w:cs="Arial"/>
          <w:bCs/>
          <w:szCs w:val="22"/>
          <w:lang w:val="en-AU" w:bidi="ar-SA"/>
        </w:rPr>
        <w:t>Standard</w:t>
      </w:r>
      <w:r w:rsidRPr="00C648FD">
        <w:rPr>
          <w:rFonts w:eastAsia="Calibri" w:cs="Arial"/>
          <w:bCs/>
          <w:szCs w:val="22"/>
          <w:lang w:val="en-AU" w:bidi="ar-SA"/>
        </w:rPr>
        <w:t xml:space="preserve"> </w:t>
      </w:r>
      <w:r>
        <w:rPr>
          <w:rFonts w:eastAsia="Calibri" w:cs="Arial"/>
          <w:bCs/>
          <w:szCs w:val="22"/>
          <w:lang w:val="en-AU" w:bidi="ar-SA"/>
        </w:rPr>
        <w:t>1.2.12</w:t>
      </w:r>
      <w:r>
        <w:t>. Sub</w:t>
      </w:r>
      <w:r>
        <w:rPr>
          <w:bCs/>
          <w:szCs w:val="22"/>
        </w:rPr>
        <w:t>section 1.1.1</w:t>
      </w:r>
      <w:r w:rsidRPr="00AE57E1">
        <w:rPr>
          <w:rFonts w:cs="Arial"/>
        </w:rPr>
        <w:t>—</w:t>
      </w:r>
      <w:r>
        <w:rPr>
          <w:bCs/>
          <w:szCs w:val="22"/>
        </w:rPr>
        <w:t xml:space="preserve">2(2) </w:t>
      </w:r>
      <w:proofErr w:type="gramStart"/>
      <w:r>
        <w:rPr>
          <w:bCs/>
          <w:szCs w:val="22"/>
        </w:rPr>
        <w:t>sets</w:t>
      </w:r>
      <w:proofErr w:type="gramEnd"/>
      <w:r>
        <w:rPr>
          <w:bCs/>
          <w:szCs w:val="22"/>
        </w:rPr>
        <w:t xml:space="preserve"> out the structure of the Code.</w:t>
      </w:r>
    </w:p>
    <w:p w14:paraId="489D6E63" w14:textId="77777777" w:rsidR="00962924" w:rsidRDefault="00962924" w:rsidP="00962924">
      <w:pPr>
        <w:rPr>
          <w:bCs/>
          <w:szCs w:val="22"/>
        </w:rPr>
      </w:pPr>
    </w:p>
    <w:p w14:paraId="5AA09F6F" w14:textId="77777777" w:rsidR="00962924" w:rsidRDefault="00962924" w:rsidP="00962924">
      <w:pPr>
        <w:rPr>
          <w:bCs/>
          <w:szCs w:val="22"/>
        </w:rPr>
      </w:pPr>
      <w:r>
        <w:rPr>
          <w:bCs/>
          <w:szCs w:val="22"/>
        </w:rPr>
        <w:t>Item 1 of Schedule 2 of the Variation amends Standard 1.2.7 by inserting a new Note after subsection 1.2.7</w:t>
      </w:r>
      <w:r w:rsidRPr="00AE57E1">
        <w:rPr>
          <w:rFonts w:cs="Arial"/>
        </w:rPr>
        <w:t>—</w:t>
      </w:r>
      <w:r>
        <w:rPr>
          <w:bCs/>
          <w:szCs w:val="22"/>
        </w:rPr>
        <w:t xml:space="preserve">12. The Note is to explain the transitional arrangement established by Standard 1.2.12 for </w:t>
      </w:r>
      <w:r>
        <w:rPr>
          <w:szCs w:val="22"/>
        </w:rPr>
        <w:t>claims about the presence or absence of dietary fibre in a food</w:t>
      </w:r>
      <w:r>
        <w:rPr>
          <w:bCs/>
          <w:szCs w:val="22"/>
        </w:rPr>
        <w:t xml:space="preserve">.  </w:t>
      </w:r>
    </w:p>
    <w:p w14:paraId="5F114C80" w14:textId="77777777" w:rsidR="00962924" w:rsidRDefault="00962924" w:rsidP="00962924">
      <w:pPr>
        <w:rPr>
          <w:bCs/>
          <w:szCs w:val="22"/>
        </w:rPr>
      </w:pPr>
    </w:p>
    <w:p w14:paraId="35B0A8E9" w14:textId="77777777" w:rsidR="00962924" w:rsidRDefault="00962924" w:rsidP="00962924">
      <w:pPr>
        <w:rPr>
          <w:bCs/>
          <w:szCs w:val="22"/>
        </w:rPr>
      </w:pPr>
      <w:r>
        <w:rPr>
          <w:bCs/>
          <w:szCs w:val="22"/>
        </w:rPr>
        <w:t>Item 1 of Schedule 3 of the Variation amends section 5.1.1</w:t>
      </w:r>
      <w:r w:rsidRPr="00AE57E1">
        <w:rPr>
          <w:rFonts w:cs="Arial"/>
        </w:rPr>
        <w:t>—</w:t>
      </w:r>
      <w:r>
        <w:rPr>
          <w:bCs/>
          <w:szCs w:val="22"/>
        </w:rPr>
        <w:t xml:space="preserve">2 by inserting into that section a reference to </w:t>
      </w:r>
      <w:r>
        <w:rPr>
          <w:rFonts w:eastAsia="Calibri" w:cs="Arial"/>
          <w:bCs/>
          <w:szCs w:val="22"/>
          <w:lang w:val="en-AU" w:bidi="ar-SA"/>
        </w:rPr>
        <w:t>Standard</w:t>
      </w:r>
      <w:r w:rsidRPr="00C648FD">
        <w:rPr>
          <w:rFonts w:eastAsia="Calibri" w:cs="Arial"/>
          <w:bCs/>
          <w:szCs w:val="22"/>
          <w:lang w:val="en-AU" w:bidi="ar-SA"/>
        </w:rPr>
        <w:t xml:space="preserve"> </w:t>
      </w:r>
      <w:r>
        <w:rPr>
          <w:rFonts w:eastAsia="Calibri" w:cs="Arial"/>
          <w:bCs/>
          <w:szCs w:val="22"/>
          <w:lang w:val="en-AU" w:bidi="ar-SA"/>
        </w:rPr>
        <w:t>1.1A.8</w:t>
      </w:r>
      <w:r>
        <w:rPr>
          <w:bCs/>
          <w:szCs w:val="22"/>
        </w:rPr>
        <w:t xml:space="preserve">. This will mean that </w:t>
      </w:r>
      <w:r>
        <w:rPr>
          <w:rFonts w:eastAsia="Calibri" w:cs="Arial"/>
          <w:bCs/>
          <w:szCs w:val="22"/>
          <w:lang w:val="en-AU" w:bidi="ar-SA"/>
        </w:rPr>
        <w:t>Standard</w:t>
      </w:r>
      <w:r w:rsidRPr="00C648FD">
        <w:rPr>
          <w:rFonts w:eastAsia="Calibri" w:cs="Arial"/>
          <w:bCs/>
          <w:szCs w:val="22"/>
          <w:lang w:val="en-AU" w:bidi="ar-SA"/>
        </w:rPr>
        <w:t xml:space="preserve"> </w:t>
      </w:r>
      <w:r>
        <w:rPr>
          <w:rFonts w:eastAsia="Calibri" w:cs="Arial"/>
          <w:bCs/>
          <w:szCs w:val="22"/>
          <w:lang w:val="en-AU" w:bidi="ar-SA"/>
        </w:rPr>
        <w:t>1.1A.8 will be revoked on 1 March 2016.</w:t>
      </w:r>
    </w:p>
    <w:p w14:paraId="554CC763" w14:textId="77777777" w:rsidR="00962924" w:rsidRDefault="00962924" w:rsidP="00962924">
      <w:pPr>
        <w:rPr>
          <w:bCs/>
          <w:szCs w:val="22"/>
        </w:rPr>
      </w:pPr>
    </w:p>
    <w:p w14:paraId="7D8A0B82" w14:textId="77777777" w:rsidR="00962924" w:rsidRDefault="00962924" w:rsidP="00962924"/>
    <w:p w14:paraId="33E885AB" w14:textId="77777777" w:rsidR="00D5526B" w:rsidRPr="00184403" w:rsidRDefault="00D5526B" w:rsidP="00793DE6">
      <w:bookmarkStart w:id="0" w:name="_GoBack"/>
      <w:bookmarkEnd w:id="0"/>
    </w:p>
    <w:sectPr w:rsidR="00D5526B" w:rsidRPr="00184403" w:rsidSect="00722E7D">
      <w:footerReference w:type="default" r:id="rId1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E202D" w14:textId="77777777" w:rsidR="00962924" w:rsidRDefault="00962924" w:rsidP="00962924">
      <w:r>
        <w:separator/>
      </w:r>
    </w:p>
  </w:endnote>
  <w:endnote w:type="continuationSeparator" w:id="0">
    <w:p w14:paraId="250E3D0D" w14:textId="77777777" w:rsidR="00962924" w:rsidRDefault="00962924" w:rsidP="0096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077264"/>
      <w:docPartObj>
        <w:docPartGallery w:val="Page Numbers (Bottom of Page)"/>
        <w:docPartUnique/>
      </w:docPartObj>
    </w:sdtPr>
    <w:sdtEndPr>
      <w:rPr>
        <w:noProof/>
      </w:rPr>
    </w:sdtEndPr>
    <w:sdtContent>
      <w:p w14:paraId="3DB4217F" w14:textId="77777777" w:rsidR="002F3F6F" w:rsidRDefault="00962924" w:rsidP="00962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CCC4E" w14:textId="77777777" w:rsidR="00962924" w:rsidRDefault="00962924" w:rsidP="00962924">
      <w:r>
        <w:separator/>
      </w:r>
    </w:p>
  </w:footnote>
  <w:footnote w:type="continuationSeparator" w:id="0">
    <w:p w14:paraId="6704F80D" w14:textId="77777777" w:rsidR="00962924" w:rsidRDefault="00962924" w:rsidP="00962924">
      <w:r>
        <w:continuationSeparator/>
      </w:r>
    </w:p>
  </w:footnote>
  <w:footnote w:id="1">
    <w:p w14:paraId="6FE5429D" w14:textId="77777777" w:rsidR="00962924" w:rsidRPr="0010778D" w:rsidRDefault="00962924" w:rsidP="00962924">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24"/>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62924"/>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96292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9629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96292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9629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MMF7YEMDTSDN-102-28118</_dlc_DocId>
    <_dlc_DocIdUrl xmlns="5759555f-5bed-45a4-a4c2-4e28e2623455">
      <Url>http://fsintranet/Sections/OLC/_layouts/15/DocIdRedir.aspx?ID=MMF7YEMDTSDN-102-28118</Url>
      <Description>MMF7YEMDTSDN-102-28118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162E9-0E0C-4A92-AD37-9CA4EDA43438}"/>
</file>

<file path=customXml/itemProps2.xml><?xml version="1.0" encoding="utf-8"?>
<ds:datastoreItem xmlns:ds="http://schemas.openxmlformats.org/officeDocument/2006/customXml" ds:itemID="{022BED3B-25EA-4D60-9981-ED2555BE24C5}"/>
</file>

<file path=customXml/itemProps3.xml><?xml version="1.0" encoding="utf-8"?>
<ds:datastoreItem xmlns:ds="http://schemas.openxmlformats.org/officeDocument/2006/customXml" ds:itemID="{4B38FF07-4428-45B9-8470-157BC046F727}"/>
</file>

<file path=customXml/itemProps4.xml><?xml version="1.0" encoding="utf-8"?>
<ds:datastoreItem xmlns:ds="http://schemas.openxmlformats.org/officeDocument/2006/customXml" ds:itemID="{F402D083-DDA5-45C0-8DB2-11D6DA70724A}"/>
</file>

<file path=customXml/itemProps5.xml><?xml version="1.0" encoding="utf-8"?>
<ds:datastoreItem xmlns:ds="http://schemas.openxmlformats.org/officeDocument/2006/customXml" ds:itemID="{5A028423-AE5D-4162-BD12-CDF80E1F85A8}"/>
</file>

<file path=customXml/itemProps6.xml><?xml version="1.0" encoding="utf-8"?>
<ds:datastoreItem xmlns:ds="http://schemas.openxmlformats.org/officeDocument/2006/customXml" ds:itemID="{9EF2990E-FE34-4249-A253-7800F488BC34}"/>
</file>

<file path=customXml/itemProps7.xml><?xml version="1.0" encoding="utf-8"?>
<ds:datastoreItem xmlns:ds="http://schemas.openxmlformats.org/officeDocument/2006/customXml" ds:itemID="{8EF38494-2B7D-446B-93BB-70179A5B2C3C}"/>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2015-06-30T23:45:00Z</dcterms:created>
  <dcterms:modified xsi:type="dcterms:W3CDTF">2015-06-30T23:46:00Z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c9d82ed9-c2d7-4227-aae2-fc4f22270b4b</vt:lpwstr>
  </property>
</Properties>
</file>