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72CDC" w14:textId="77777777" w:rsidR="00975F5E" w:rsidRDefault="00975F5E" w:rsidP="00975F5E">
      <w:pPr>
        <w:pStyle w:val="Heading2"/>
        <w:spacing w:before="0"/>
        <w:ind w:left="0" w:firstLine="0"/>
      </w:pPr>
      <w:bookmarkStart w:id="0" w:name="_Toc422467506"/>
      <w:r>
        <w:t>Explanatory Statement</w:t>
      </w:r>
      <w:bookmarkEnd w:id="0"/>
      <w:r>
        <w:t xml:space="preserve"> </w:t>
      </w:r>
    </w:p>
    <w:p w14:paraId="4650EA75" w14:textId="77777777" w:rsidR="00975F5E" w:rsidRPr="000576EB" w:rsidRDefault="00975F5E" w:rsidP="00975F5E">
      <w:pPr>
        <w:rPr>
          <w:b/>
          <w:lang w:val="en-AU" w:eastAsia="en-GB" w:bidi="ar-SA"/>
        </w:rPr>
      </w:pPr>
      <w:r w:rsidRPr="000576EB">
        <w:rPr>
          <w:b/>
          <w:lang w:val="en-AU" w:eastAsia="en-GB" w:bidi="ar-SA"/>
        </w:rPr>
        <w:t>1.</w:t>
      </w:r>
      <w:r w:rsidRPr="000576EB">
        <w:rPr>
          <w:b/>
          <w:lang w:val="en-AU" w:eastAsia="en-GB" w:bidi="ar-SA"/>
        </w:rPr>
        <w:tab/>
        <w:t>Authority</w:t>
      </w:r>
    </w:p>
    <w:p w14:paraId="293F71FB" w14:textId="77777777" w:rsidR="00975F5E" w:rsidRDefault="00975F5E" w:rsidP="00975F5E">
      <w:pPr>
        <w:rPr>
          <w:lang w:val="en-AU" w:eastAsia="en-GB" w:bidi="ar-SA"/>
        </w:rPr>
      </w:pPr>
    </w:p>
    <w:p w14:paraId="02047E1B" w14:textId="77777777" w:rsidR="00975F5E" w:rsidRPr="00D13E34" w:rsidRDefault="00975F5E" w:rsidP="00975F5E">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01669613" w14:textId="77777777" w:rsidR="00975F5E" w:rsidRDefault="00975F5E" w:rsidP="00975F5E">
      <w:pPr>
        <w:widowControl/>
        <w:autoSpaceDE w:val="0"/>
        <w:autoSpaceDN w:val="0"/>
        <w:adjustRightInd w:val="0"/>
        <w:rPr>
          <w:rFonts w:eastAsia="Calibri" w:cs="Arial"/>
          <w:bCs/>
          <w:szCs w:val="22"/>
          <w:lang w:val="en-AU" w:bidi="ar-SA"/>
        </w:rPr>
      </w:pPr>
    </w:p>
    <w:p w14:paraId="5797F639" w14:textId="77777777" w:rsidR="00975F5E" w:rsidRPr="00D50322" w:rsidRDefault="00975F5E" w:rsidP="00975F5E">
      <w:pPr>
        <w:widowControl/>
        <w:autoSpaceDE w:val="0"/>
        <w:autoSpaceDN w:val="0"/>
        <w:adjustRightInd w:val="0"/>
        <w:rPr>
          <w:rFonts w:eastAsia="Calibri" w:cs="Arial"/>
          <w:bCs/>
          <w:szCs w:val="22"/>
          <w:lang w:val="en-AU" w:bidi="ar-SA"/>
        </w:rPr>
      </w:pPr>
      <w:r>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w:t>
      </w:r>
      <w:r w:rsidRPr="00D50322">
        <w:rPr>
          <w:rFonts w:eastAsia="Calibri" w:cs="Arial"/>
          <w:bCs/>
          <w:szCs w:val="22"/>
          <w:lang w:val="en-AU" w:bidi="ar-SA"/>
        </w:rPr>
        <w:t xml:space="preserve">of food regulatory measures. </w:t>
      </w:r>
    </w:p>
    <w:p w14:paraId="7BCDD6B1" w14:textId="77777777" w:rsidR="00975F5E" w:rsidRPr="00D50322" w:rsidRDefault="00975F5E" w:rsidP="00975F5E">
      <w:pPr>
        <w:widowControl/>
        <w:autoSpaceDE w:val="0"/>
        <w:autoSpaceDN w:val="0"/>
        <w:adjustRightInd w:val="0"/>
        <w:rPr>
          <w:rFonts w:eastAsia="Calibri" w:cs="Arial"/>
          <w:bCs/>
          <w:szCs w:val="22"/>
          <w:lang w:val="en-AU" w:bidi="ar-SA"/>
        </w:rPr>
      </w:pPr>
    </w:p>
    <w:p w14:paraId="22B24A46" w14:textId="77777777" w:rsidR="00975F5E" w:rsidRDefault="00975F5E" w:rsidP="00975F5E">
      <w:pPr>
        <w:widowControl/>
        <w:autoSpaceDE w:val="0"/>
        <w:autoSpaceDN w:val="0"/>
        <w:adjustRightInd w:val="0"/>
        <w:rPr>
          <w:rFonts w:eastAsia="Calibri" w:cs="Arial"/>
          <w:bCs/>
          <w:szCs w:val="22"/>
          <w:lang w:val="en-AU" w:bidi="ar-SA"/>
        </w:rPr>
      </w:pPr>
      <w:r w:rsidRPr="00D50322">
        <w:rPr>
          <w:rFonts w:eastAsia="Calibri" w:cs="Arial"/>
          <w:bCs/>
          <w:szCs w:val="22"/>
          <w:lang w:val="en-AU" w:bidi="ar-SA"/>
        </w:rPr>
        <w:t xml:space="preserve">The Authority accepted Application </w:t>
      </w:r>
      <w:r>
        <w:rPr>
          <w:rFonts w:eastAsia="Calibri" w:cs="Arial"/>
          <w:bCs/>
          <w:szCs w:val="22"/>
          <w:lang w:val="en-AU" w:bidi="ar-SA"/>
        </w:rPr>
        <w:t>A1101</w:t>
      </w:r>
      <w:r w:rsidRPr="00D50322">
        <w:rPr>
          <w:rFonts w:eastAsia="Calibri" w:cs="Arial"/>
          <w:bCs/>
          <w:szCs w:val="22"/>
          <w:lang w:val="en-AU" w:bidi="ar-SA"/>
        </w:rPr>
        <w:t xml:space="preserve"> </w:t>
      </w:r>
      <w:r>
        <w:rPr>
          <w:rFonts w:eastAsia="Calibri" w:cs="Arial"/>
          <w:bCs/>
          <w:szCs w:val="22"/>
          <w:lang w:val="en-AU" w:bidi="ar-SA"/>
        </w:rPr>
        <w:t>which seeks to delay the requirement to comply with the qualifying criteria for nutrition content claims about dietary fibre in Standard 1.2.7 – Nutrition, Health and Related Claims, for 12 months (that is, until and including 17 January 2017). The Authority considered the Application in accordance with Division 1 of Part 3 and has approved a draft Transitional Standard</w:t>
      </w:r>
      <w:r w:rsidRPr="00C648FD">
        <w:rPr>
          <w:rFonts w:eastAsia="Calibri" w:cs="Arial"/>
          <w:bCs/>
          <w:szCs w:val="22"/>
          <w:lang w:val="en-AU" w:bidi="ar-SA"/>
        </w:rPr>
        <w:t xml:space="preserve"> </w:t>
      </w:r>
      <w:r>
        <w:rPr>
          <w:rFonts w:eastAsia="Calibri" w:cs="Arial"/>
          <w:bCs/>
          <w:szCs w:val="22"/>
          <w:lang w:val="en-AU" w:bidi="ar-SA"/>
        </w:rPr>
        <w:t xml:space="preserve">1.2.12 – </w:t>
      </w:r>
      <w:r>
        <w:rPr>
          <w:szCs w:val="22"/>
        </w:rPr>
        <w:t>Transitional standard for dietary fibre nutrition content claims.</w:t>
      </w:r>
      <w:r>
        <w:rPr>
          <w:rFonts w:eastAsia="Calibri" w:cs="Arial"/>
          <w:bCs/>
          <w:szCs w:val="22"/>
          <w:lang w:val="en-AU" w:bidi="ar-SA"/>
        </w:rPr>
        <w:t xml:space="preserve"> </w:t>
      </w:r>
    </w:p>
    <w:p w14:paraId="2CD83094" w14:textId="77777777" w:rsidR="00975F5E" w:rsidRPr="00D13E34" w:rsidRDefault="00975F5E" w:rsidP="00975F5E">
      <w:pPr>
        <w:widowControl/>
        <w:autoSpaceDE w:val="0"/>
        <w:autoSpaceDN w:val="0"/>
        <w:adjustRightInd w:val="0"/>
        <w:rPr>
          <w:rFonts w:eastAsia="Calibri" w:cs="Arial"/>
          <w:bCs/>
          <w:szCs w:val="22"/>
          <w:lang w:val="en-AU" w:bidi="ar-SA"/>
        </w:rPr>
      </w:pPr>
    </w:p>
    <w:p w14:paraId="7CCC6CBD" w14:textId="77777777" w:rsidR="00975F5E" w:rsidRPr="00D13E34" w:rsidRDefault="00975F5E" w:rsidP="00975F5E">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Fonts w:ascii="ZWAdobeF" w:hAnsi="ZWAdobeF" w:cs="ZWAdobeF"/>
          <w:sz w:val="2"/>
          <w:szCs w:val="2"/>
        </w:rPr>
        <w:t>13F</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497479BC" w14:textId="77777777" w:rsidR="00975F5E" w:rsidRPr="00D13E34" w:rsidRDefault="00975F5E" w:rsidP="00975F5E">
      <w:pPr>
        <w:widowControl/>
        <w:autoSpaceDE w:val="0"/>
        <w:autoSpaceDN w:val="0"/>
        <w:adjustRightInd w:val="0"/>
        <w:rPr>
          <w:rFonts w:eastAsia="Calibri" w:cs="Arial"/>
          <w:bCs/>
          <w:szCs w:val="22"/>
          <w:lang w:val="en-AU" w:bidi="ar-SA"/>
        </w:rPr>
      </w:pPr>
    </w:p>
    <w:p w14:paraId="146EEA81" w14:textId="77777777" w:rsidR="00975F5E" w:rsidRPr="00D13E34" w:rsidRDefault="00975F5E" w:rsidP="00975F5E">
      <w:pPr>
        <w:widowControl/>
        <w:autoSpaceDE w:val="0"/>
        <w:autoSpaceDN w:val="0"/>
        <w:adjustRightInd w:val="0"/>
        <w:ind w:right="-286"/>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7E271C18" w14:textId="77777777" w:rsidR="00975F5E" w:rsidRDefault="00975F5E" w:rsidP="00975F5E">
      <w:pPr>
        <w:rPr>
          <w:lang w:val="en-AU" w:eastAsia="en-GB" w:bidi="ar-SA"/>
        </w:rPr>
      </w:pPr>
    </w:p>
    <w:p w14:paraId="3D6DBEA1" w14:textId="77777777" w:rsidR="00975F5E" w:rsidRDefault="00975F5E" w:rsidP="00975F5E">
      <w:pPr>
        <w:rPr>
          <w:b/>
          <w:lang w:val="en-AU" w:eastAsia="en-GB" w:bidi="ar-SA"/>
        </w:rPr>
      </w:pPr>
      <w:r>
        <w:rPr>
          <w:b/>
          <w:lang w:val="en-AU" w:eastAsia="en-GB" w:bidi="ar-SA"/>
        </w:rPr>
        <w:t>2.</w:t>
      </w:r>
      <w:r>
        <w:rPr>
          <w:b/>
          <w:lang w:val="en-AU" w:eastAsia="en-GB" w:bidi="ar-SA"/>
        </w:rPr>
        <w:tab/>
        <w:t xml:space="preserve">Purpose </w:t>
      </w:r>
    </w:p>
    <w:p w14:paraId="3636EE58" w14:textId="77777777" w:rsidR="00975F5E" w:rsidRDefault="00975F5E" w:rsidP="00975F5E">
      <w:pPr>
        <w:rPr>
          <w:lang w:val="en-AU" w:eastAsia="en-GB" w:bidi="ar-SA"/>
        </w:rPr>
      </w:pPr>
    </w:p>
    <w:p w14:paraId="74628739" w14:textId="77777777" w:rsidR="00975F5E" w:rsidRDefault="00975F5E" w:rsidP="00975F5E">
      <w:pPr>
        <w:rPr>
          <w:szCs w:val="22"/>
          <w:lang w:val="en-AU" w:eastAsia="en-GB" w:bidi="ar-SA"/>
        </w:rPr>
      </w:pPr>
      <w:r>
        <w:rPr>
          <w:szCs w:val="22"/>
          <w:lang w:val="en-AU" w:eastAsia="en-GB" w:bidi="ar-SA"/>
        </w:rPr>
        <w:t xml:space="preserve">The Authority has approved draft </w:t>
      </w:r>
      <w:r>
        <w:rPr>
          <w:rFonts w:eastAsia="Calibri" w:cs="Arial"/>
          <w:bCs/>
          <w:szCs w:val="22"/>
          <w:lang w:val="en-AU" w:bidi="ar-SA"/>
        </w:rPr>
        <w:t>Standard</w:t>
      </w:r>
      <w:r w:rsidRPr="00C648FD">
        <w:rPr>
          <w:rFonts w:eastAsia="Calibri" w:cs="Arial"/>
          <w:bCs/>
          <w:szCs w:val="22"/>
          <w:lang w:val="en-AU" w:bidi="ar-SA"/>
        </w:rPr>
        <w:t xml:space="preserve"> </w:t>
      </w:r>
      <w:r>
        <w:rPr>
          <w:rFonts w:eastAsia="Calibri" w:cs="Arial"/>
          <w:bCs/>
          <w:szCs w:val="22"/>
          <w:lang w:val="en-AU" w:bidi="ar-SA"/>
        </w:rPr>
        <w:t xml:space="preserve">1.2.12 </w:t>
      </w:r>
      <w:r>
        <w:rPr>
          <w:szCs w:val="22"/>
          <w:lang w:val="en-AU" w:eastAsia="en-GB" w:bidi="ar-SA"/>
        </w:rPr>
        <w:t xml:space="preserve">to permit </w:t>
      </w:r>
      <w:r>
        <w:rPr>
          <w:szCs w:val="22"/>
        </w:rPr>
        <w:t>nutrition content claims about dietary fibre</w:t>
      </w:r>
      <w:r>
        <w:rPr>
          <w:szCs w:val="22"/>
          <w:lang w:val="en-AU" w:eastAsia="en-GB" w:bidi="ar-SA"/>
        </w:rPr>
        <w:t xml:space="preserve"> to be made other than in accordance with Standard 1.2.7 during a transitional period. During the transitional period, suppliers will be able to comply with either </w:t>
      </w:r>
      <w:r w:rsidRPr="00D84E5F">
        <w:t xml:space="preserve">section 1.2.7—12 </w:t>
      </w:r>
      <w:r>
        <w:t xml:space="preserve">of Standard 1.2.7 </w:t>
      </w:r>
      <w:r>
        <w:rPr>
          <w:szCs w:val="22"/>
          <w:lang w:val="en-AU" w:eastAsia="en-GB" w:bidi="ar-SA"/>
        </w:rPr>
        <w:t xml:space="preserve">or </w:t>
      </w:r>
      <w:r w:rsidRPr="00D84E5F">
        <w:t>section 1.2.12—3</w:t>
      </w:r>
      <w:r>
        <w:rPr>
          <w:szCs w:val="22"/>
          <w:lang w:val="en-AU" w:eastAsia="en-GB" w:bidi="ar-SA"/>
        </w:rPr>
        <w:t xml:space="preserve"> of draft Standard </w:t>
      </w:r>
      <w:r>
        <w:rPr>
          <w:rFonts w:eastAsia="Calibri" w:cs="Arial"/>
          <w:bCs/>
          <w:szCs w:val="22"/>
          <w:lang w:val="en-AU" w:bidi="ar-SA"/>
        </w:rPr>
        <w:t>1.2.12</w:t>
      </w:r>
      <w:r>
        <w:rPr>
          <w:szCs w:val="22"/>
          <w:lang w:val="en-AU" w:eastAsia="en-GB" w:bidi="ar-SA"/>
        </w:rPr>
        <w:t>.</w:t>
      </w:r>
    </w:p>
    <w:p w14:paraId="02EA8D12" w14:textId="77777777" w:rsidR="00975F5E" w:rsidRDefault="00975F5E" w:rsidP="00975F5E">
      <w:pPr>
        <w:rPr>
          <w:szCs w:val="22"/>
          <w:lang w:val="en-AU" w:eastAsia="en-GB" w:bidi="ar-SA"/>
        </w:rPr>
      </w:pPr>
    </w:p>
    <w:p w14:paraId="7B32ACA6" w14:textId="77777777" w:rsidR="00975F5E" w:rsidRDefault="00975F5E" w:rsidP="00975F5E">
      <w:pPr>
        <w:rPr>
          <w:szCs w:val="22"/>
          <w:lang w:val="en-AU" w:eastAsia="en-GB" w:bidi="ar-SA"/>
        </w:rPr>
      </w:pPr>
      <w:r>
        <w:rPr>
          <w:szCs w:val="22"/>
          <w:lang w:val="en-AU" w:eastAsia="en-GB" w:bidi="ar-SA"/>
        </w:rPr>
        <w:t xml:space="preserve">The transitional period established by draft </w:t>
      </w:r>
      <w:r>
        <w:rPr>
          <w:rFonts w:eastAsia="Calibri" w:cs="Arial"/>
          <w:bCs/>
          <w:szCs w:val="22"/>
          <w:lang w:val="en-AU" w:bidi="ar-SA"/>
        </w:rPr>
        <w:t>Standard</w:t>
      </w:r>
      <w:r w:rsidRPr="00C648FD">
        <w:rPr>
          <w:rFonts w:eastAsia="Calibri" w:cs="Arial"/>
          <w:bCs/>
          <w:szCs w:val="22"/>
          <w:lang w:val="en-AU" w:bidi="ar-SA"/>
        </w:rPr>
        <w:t xml:space="preserve"> </w:t>
      </w:r>
      <w:r>
        <w:rPr>
          <w:rFonts w:eastAsia="Calibri" w:cs="Arial"/>
          <w:bCs/>
          <w:szCs w:val="22"/>
          <w:lang w:val="en-AU" w:bidi="ar-SA"/>
        </w:rPr>
        <w:t xml:space="preserve">1.2.12 </w:t>
      </w:r>
      <w:r>
        <w:rPr>
          <w:szCs w:val="22"/>
          <w:lang w:val="en-AU" w:eastAsia="en-GB" w:bidi="ar-SA"/>
        </w:rPr>
        <w:t>will commence on 1 March 2016, and cease on 18 January 2017.</w:t>
      </w:r>
    </w:p>
    <w:p w14:paraId="62165697" w14:textId="77777777" w:rsidR="00975F5E" w:rsidRDefault="00975F5E" w:rsidP="00975F5E">
      <w:pPr>
        <w:rPr>
          <w:lang w:val="en-AU" w:eastAsia="en-GB" w:bidi="ar-SA"/>
        </w:rPr>
      </w:pPr>
    </w:p>
    <w:p w14:paraId="0E04BA0C" w14:textId="77777777" w:rsidR="00975F5E" w:rsidRPr="000576EB" w:rsidRDefault="00975F5E" w:rsidP="00975F5E">
      <w:pPr>
        <w:rPr>
          <w:b/>
          <w:lang w:val="en-AU" w:eastAsia="en-GB" w:bidi="ar-SA"/>
        </w:rPr>
      </w:pPr>
      <w:r w:rsidRPr="000576EB">
        <w:rPr>
          <w:b/>
          <w:lang w:val="en-AU" w:eastAsia="en-GB" w:bidi="ar-SA"/>
        </w:rPr>
        <w:t>3.</w:t>
      </w:r>
      <w:r w:rsidRPr="000576EB">
        <w:rPr>
          <w:b/>
          <w:lang w:val="en-AU" w:eastAsia="en-GB" w:bidi="ar-SA"/>
        </w:rPr>
        <w:tab/>
        <w:t>Documents incorporated by reference</w:t>
      </w:r>
    </w:p>
    <w:p w14:paraId="66621402" w14:textId="77777777" w:rsidR="00975F5E" w:rsidRDefault="00975F5E" w:rsidP="00975F5E">
      <w:pPr>
        <w:rPr>
          <w:lang w:val="en-AU" w:eastAsia="en-GB" w:bidi="ar-SA"/>
        </w:rPr>
      </w:pPr>
    </w:p>
    <w:p w14:paraId="5BA66CAA" w14:textId="77777777" w:rsidR="00975F5E" w:rsidRPr="00D13E34" w:rsidRDefault="00975F5E" w:rsidP="00975F5E">
      <w:pPr>
        <w:widowControl/>
        <w:autoSpaceDE w:val="0"/>
        <w:autoSpaceDN w:val="0"/>
        <w:adjustRightInd w:val="0"/>
        <w:rPr>
          <w:rFonts w:eastAsia="Calibri" w:cs="Arial"/>
          <w:bCs/>
          <w:szCs w:val="22"/>
          <w:lang w:val="en-AU" w:bidi="ar-SA"/>
        </w:rPr>
      </w:pPr>
      <w:r>
        <w:rPr>
          <w:rFonts w:eastAsia="Calibri" w:cs="Arial"/>
          <w:bCs/>
          <w:szCs w:val="22"/>
          <w:lang w:val="en-AU" w:bidi="ar-SA"/>
        </w:rPr>
        <w:t>Draft Standard 1.2.12 does not incorporate any documents by reference.</w:t>
      </w:r>
    </w:p>
    <w:p w14:paraId="1AA38ABB" w14:textId="77777777" w:rsidR="00975F5E" w:rsidRDefault="00975F5E" w:rsidP="00975F5E">
      <w:pPr>
        <w:rPr>
          <w:lang w:val="en-AU" w:eastAsia="en-GB" w:bidi="ar-SA"/>
        </w:rPr>
      </w:pPr>
    </w:p>
    <w:p w14:paraId="0F0DDAAA" w14:textId="77777777" w:rsidR="00975F5E" w:rsidRPr="000576EB" w:rsidRDefault="00975F5E" w:rsidP="00975F5E">
      <w:pPr>
        <w:rPr>
          <w:b/>
          <w:lang w:val="en-AU" w:eastAsia="en-GB" w:bidi="ar-SA"/>
        </w:rPr>
      </w:pPr>
      <w:r w:rsidRPr="000576EB">
        <w:rPr>
          <w:b/>
          <w:lang w:val="en-AU" w:eastAsia="en-GB" w:bidi="ar-SA"/>
        </w:rPr>
        <w:t>4.</w:t>
      </w:r>
      <w:r w:rsidRPr="000576EB">
        <w:rPr>
          <w:b/>
          <w:lang w:val="en-AU" w:eastAsia="en-GB" w:bidi="ar-SA"/>
        </w:rPr>
        <w:tab/>
        <w:t>Consultation</w:t>
      </w:r>
    </w:p>
    <w:p w14:paraId="218A5E1D" w14:textId="77777777" w:rsidR="00975F5E" w:rsidRDefault="00975F5E" w:rsidP="00975F5E">
      <w:pPr>
        <w:rPr>
          <w:lang w:val="en-AU" w:eastAsia="en-GB" w:bidi="ar-SA"/>
        </w:rPr>
      </w:pPr>
    </w:p>
    <w:p w14:paraId="54493468" w14:textId="77777777" w:rsidR="00975F5E" w:rsidRDefault="00975F5E" w:rsidP="00975F5E">
      <w:r>
        <w:t xml:space="preserve">A non-statutory round of public </w:t>
      </w:r>
      <w:r w:rsidRPr="00D81A56">
        <w:t xml:space="preserve">consultation </w:t>
      </w:r>
      <w:r>
        <w:t>was</w:t>
      </w:r>
      <w:r w:rsidRPr="00D81A56">
        <w:t xml:space="preserve"> undertaken</w:t>
      </w:r>
      <w:r>
        <w:t xml:space="preserve"> in October 2014 to gather </w:t>
      </w:r>
      <w:r>
        <w:rPr>
          <w:lang w:bidi="ar-SA"/>
        </w:rPr>
        <w:t>cost</w:t>
      </w:r>
      <w:r>
        <w:rPr>
          <w:lang w:bidi="ar-SA"/>
        </w:rPr>
        <w:noBreakHyphen/>
      </w:r>
      <w:r w:rsidRPr="00D7795B">
        <w:rPr>
          <w:lang w:bidi="ar-SA"/>
        </w:rPr>
        <w:t>benefit information</w:t>
      </w:r>
      <w:r>
        <w:rPr>
          <w:lang w:bidi="ar-SA"/>
        </w:rPr>
        <w:t xml:space="preserve"> and seek stakeholder views </w:t>
      </w:r>
      <w:r>
        <w:t>to inform</w:t>
      </w:r>
      <w:r w:rsidRPr="00D7795B">
        <w:t xml:space="preserve"> the assessment of the Application </w:t>
      </w:r>
      <w:r w:rsidRPr="00D81A56">
        <w:t>in accordance with</w:t>
      </w:r>
      <w:r>
        <w:t xml:space="preserve"> the FSANZ Act</w:t>
      </w:r>
      <w:r w:rsidRPr="00D81A56">
        <w:t xml:space="preserve">, particularly paragraphs </w:t>
      </w:r>
      <w:r>
        <w:t>2</w:t>
      </w:r>
      <w:r w:rsidRPr="00D81A56">
        <w:t>9(2</w:t>
      </w:r>
      <w:proofErr w:type="gramStart"/>
      <w:r w:rsidRPr="00D81A56">
        <w:t>)(</w:t>
      </w:r>
      <w:proofErr w:type="gramEnd"/>
      <w:r w:rsidRPr="00D81A56">
        <w:t>a) and (b)</w:t>
      </w:r>
      <w:r>
        <w:t>. Submissions were called for on 23 October 2014 for a four-week consultation period.</w:t>
      </w:r>
    </w:p>
    <w:p w14:paraId="176C6AA0" w14:textId="77777777" w:rsidR="00975F5E" w:rsidRDefault="00975F5E" w:rsidP="00975F5E">
      <w:pPr>
        <w:rPr>
          <w:szCs w:val="22"/>
        </w:rPr>
      </w:pPr>
    </w:p>
    <w:p w14:paraId="354344BB" w14:textId="77777777" w:rsidR="00975F5E" w:rsidRDefault="00975F5E" w:rsidP="00975F5E">
      <w:pPr>
        <w:rPr>
          <w:szCs w:val="22"/>
        </w:rPr>
      </w:pPr>
      <w:r>
        <w:rPr>
          <w:szCs w:val="22"/>
        </w:rPr>
        <w:br w:type="page"/>
      </w:r>
    </w:p>
    <w:p w14:paraId="70B09425" w14:textId="77777777" w:rsidR="00975F5E" w:rsidRDefault="00975F5E" w:rsidP="00975F5E">
      <w:pPr>
        <w:rPr>
          <w:szCs w:val="22"/>
        </w:rPr>
      </w:pPr>
      <w:r>
        <w:rPr>
          <w:szCs w:val="22"/>
        </w:rPr>
        <w:lastRenderedPageBreak/>
        <w:t xml:space="preserve">In accordance with the procedure in Division 1 of Part 3 of the FSANZ Act, </w:t>
      </w:r>
      <w:r>
        <w:rPr>
          <w:rFonts w:eastAsia="Calibri" w:cs="Arial"/>
          <w:bCs/>
          <w:szCs w:val="22"/>
          <w:lang w:val="en-AU" w:bidi="ar-SA"/>
        </w:rPr>
        <w:t>the Authority</w:t>
      </w:r>
      <w:r>
        <w:rPr>
          <w:szCs w:val="22"/>
        </w:rPr>
        <w:t xml:space="preserve">’s consideration of </w:t>
      </w:r>
      <w:r w:rsidRPr="00962553">
        <w:rPr>
          <w:szCs w:val="22"/>
        </w:rPr>
        <w:t xml:space="preserve">Application A1101 </w:t>
      </w:r>
      <w:r>
        <w:rPr>
          <w:szCs w:val="22"/>
        </w:rPr>
        <w:t>included</w:t>
      </w:r>
      <w:r w:rsidRPr="00962553">
        <w:rPr>
          <w:szCs w:val="22"/>
        </w:rPr>
        <w:t xml:space="preserve"> one round of public consultation following an assessment and preparation of a draft Standard, a draft consequential variation and associated report.</w:t>
      </w:r>
      <w:r>
        <w:rPr>
          <w:lang w:val="en-AU"/>
        </w:rPr>
        <w:t xml:space="preserve"> </w:t>
      </w:r>
      <w:r w:rsidRPr="00777E4D">
        <w:rPr>
          <w:szCs w:val="22"/>
        </w:rPr>
        <w:t xml:space="preserve">Submissions were called for on </w:t>
      </w:r>
      <w:r>
        <w:rPr>
          <w:szCs w:val="22"/>
        </w:rPr>
        <w:t>24 March</w:t>
      </w:r>
      <w:r w:rsidRPr="00777E4D">
        <w:rPr>
          <w:szCs w:val="22"/>
        </w:rPr>
        <w:t xml:space="preserve"> 201</w:t>
      </w:r>
      <w:r>
        <w:rPr>
          <w:szCs w:val="22"/>
        </w:rPr>
        <w:t>5</w:t>
      </w:r>
      <w:r w:rsidRPr="00777E4D">
        <w:rPr>
          <w:szCs w:val="22"/>
        </w:rPr>
        <w:t xml:space="preserve"> for a six-week consultation period. </w:t>
      </w:r>
    </w:p>
    <w:p w14:paraId="413043F5" w14:textId="77777777" w:rsidR="00975F5E" w:rsidRPr="00962553" w:rsidRDefault="00975F5E" w:rsidP="00975F5E">
      <w:pPr>
        <w:rPr>
          <w:rFonts w:eastAsia="Calibri"/>
          <w:lang w:val="en-AU" w:bidi="ar-SA"/>
        </w:rPr>
      </w:pPr>
    </w:p>
    <w:p w14:paraId="73ABD2DC" w14:textId="77777777" w:rsidR="00975F5E" w:rsidRPr="00777E4D" w:rsidRDefault="00975F5E" w:rsidP="00975F5E">
      <w:pPr>
        <w:widowControl/>
        <w:autoSpaceDE w:val="0"/>
        <w:autoSpaceDN w:val="0"/>
        <w:adjustRightInd w:val="0"/>
      </w:pPr>
      <w:r>
        <w:rPr>
          <w:rFonts w:eastAsia="Calibri" w:cs="Arial"/>
          <w:bCs/>
          <w:szCs w:val="22"/>
          <w:lang w:val="en-AU" w:bidi="ar-SA"/>
        </w:rPr>
        <w:t xml:space="preserve">A Regulation Impact Statement was not required because the </w:t>
      </w:r>
      <w:r>
        <w:rPr>
          <w:szCs w:val="22"/>
        </w:rPr>
        <w:t xml:space="preserve">draft Standard </w:t>
      </w:r>
      <w:r>
        <w:rPr>
          <w:rFonts w:eastAsia="Calibri" w:cs="Arial"/>
          <w:bCs/>
          <w:szCs w:val="22"/>
          <w:lang w:val="en-AU" w:bidi="ar-SA"/>
        </w:rPr>
        <w:t xml:space="preserve">1.2.12 </w:t>
      </w:r>
      <w:r>
        <w:rPr>
          <w:szCs w:val="22"/>
        </w:rPr>
        <w:t xml:space="preserve">of the revised Code </w:t>
      </w:r>
      <w:r>
        <w:rPr>
          <w:rFonts w:eastAsia="Calibri" w:cs="Arial"/>
          <w:bCs/>
          <w:szCs w:val="22"/>
          <w:lang w:val="en-AU" w:bidi="ar-SA"/>
        </w:rPr>
        <w:t>is</w:t>
      </w:r>
      <w:r>
        <w:t xml:space="preserve"> likely to have only a minor impact on business and individuals (OBPR ID: 17599).</w:t>
      </w:r>
      <w:r>
        <w:rPr>
          <w:color w:val="FF0000"/>
        </w:rPr>
        <w:t xml:space="preserve"> </w:t>
      </w:r>
    </w:p>
    <w:p w14:paraId="21C53F5B" w14:textId="77777777" w:rsidR="00975F5E" w:rsidRPr="00A85B59" w:rsidRDefault="00975F5E" w:rsidP="00975F5E">
      <w:pPr>
        <w:rPr>
          <w:lang w:val="en-AU" w:eastAsia="en-GB" w:bidi="ar-SA"/>
        </w:rPr>
      </w:pPr>
    </w:p>
    <w:p w14:paraId="271C3C15" w14:textId="77777777" w:rsidR="00975F5E" w:rsidRDefault="00975F5E" w:rsidP="00975F5E">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0139CA0C" w14:textId="77777777" w:rsidR="00975F5E" w:rsidRDefault="00975F5E" w:rsidP="00975F5E">
      <w:pPr>
        <w:rPr>
          <w:rFonts w:eastAsiaTheme="minorHAnsi"/>
          <w:lang w:val="en-AU" w:bidi="ar-SA"/>
        </w:rPr>
      </w:pPr>
    </w:p>
    <w:p w14:paraId="2108EEBA" w14:textId="77777777" w:rsidR="00975F5E" w:rsidRDefault="00975F5E" w:rsidP="00975F5E">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6EBB0A2B" w14:textId="77777777" w:rsidR="00975F5E" w:rsidRDefault="00975F5E" w:rsidP="00975F5E">
      <w:pPr>
        <w:rPr>
          <w:rFonts w:eastAsiaTheme="minorHAnsi"/>
          <w:lang w:val="en-AU" w:bidi="ar-SA"/>
        </w:rPr>
      </w:pPr>
    </w:p>
    <w:p w14:paraId="18820C98" w14:textId="77777777" w:rsidR="00975F5E" w:rsidRPr="00432A42" w:rsidRDefault="00975F5E" w:rsidP="00975F5E">
      <w:pPr>
        <w:rPr>
          <w:b/>
          <w:lang w:val="en-AU" w:eastAsia="en-GB" w:bidi="ar-SA"/>
        </w:rPr>
      </w:pPr>
      <w:r w:rsidRPr="00432A42">
        <w:rPr>
          <w:b/>
        </w:rPr>
        <w:t>6.</w:t>
      </w:r>
      <w:r w:rsidRPr="00432A42">
        <w:rPr>
          <w:b/>
        </w:rPr>
        <w:tab/>
      </w:r>
      <w:r>
        <w:rPr>
          <w:b/>
          <w:lang w:val="en-AU" w:eastAsia="en-GB" w:bidi="ar-SA"/>
        </w:rPr>
        <w:t>Variation</w:t>
      </w:r>
    </w:p>
    <w:p w14:paraId="5029F3C4" w14:textId="77777777" w:rsidR="00975F5E" w:rsidRPr="00432A42" w:rsidRDefault="00975F5E" w:rsidP="00975F5E">
      <w:pPr>
        <w:rPr>
          <w:b/>
        </w:rPr>
      </w:pPr>
    </w:p>
    <w:p w14:paraId="74798A28" w14:textId="77777777" w:rsidR="00975F5E" w:rsidRDefault="00975F5E" w:rsidP="00975F5E">
      <w:pPr>
        <w:rPr>
          <w:bCs/>
          <w:szCs w:val="22"/>
        </w:rPr>
      </w:pPr>
      <w:r>
        <w:rPr>
          <w:bCs/>
          <w:szCs w:val="22"/>
        </w:rPr>
        <w:t>Section 1.2.12</w:t>
      </w:r>
      <w:r w:rsidRPr="00AE57E1">
        <w:rPr>
          <w:rFonts w:cs="Arial"/>
        </w:rPr>
        <w:t>—</w:t>
      </w:r>
      <w:r>
        <w:rPr>
          <w:bCs/>
          <w:szCs w:val="22"/>
        </w:rPr>
        <w:t xml:space="preserve">1 provides the name of the Standard is the </w:t>
      </w:r>
      <w:r w:rsidRPr="00D84E5F">
        <w:rPr>
          <w:i/>
        </w:rPr>
        <w:t>Australia New Zealand Food Standards Code</w:t>
      </w:r>
      <w:r w:rsidRPr="00D84E5F">
        <w:t xml:space="preserve"> </w:t>
      </w:r>
      <w:r>
        <w:t xml:space="preserve">– </w:t>
      </w:r>
      <w:r w:rsidRPr="00D84E5F">
        <w:t xml:space="preserve">Standard 1.2.12 </w:t>
      </w:r>
      <w:r>
        <w:t xml:space="preserve">– </w:t>
      </w:r>
      <w:r w:rsidRPr="00D84E5F">
        <w:t>Transitional standard for dietary fibre nutrition content claims</w:t>
      </w:r>
      <w:r>
        <w:t>.</w:t>
      </w:r>
    </w:p>
    <w:p w14:paraId="75B60635" w14:textId="77777777" w:rsidR="00975F5E" w:rsidRDefault="00975F5E" w:rsidP="00975F5E">
      <w:pPr>
        <w:rPr>
          <w:bCs/>
          <w:szCs w:val="22"/>
        </w:rPr>
      </w:pPr>
    </w:p>
    <w:p w14:paraId="63190BD3" w14:textId="77777777" w:rsidR="00975F5E" w:rsidRDefault="00975F5E" w:rsidP="00975F5E">
      <w:pPr>
        <w:rPr>
          <w:bCs/>
          <w:szCs w:val="22"/>
        </w:rPr>
      </w:pPr>
      <w:r>
        <w:rPr>
          <w:bCs/>
          <w:szCs w:val="22"/>
        </w:rPr>
        <w:t>Sections 1.2.12</w:t>
      </w:r>
      <w:r w:rsidRPr="00AE57E1">
        <w:rPr>
          <w:rFonts w:cs="Arial"/>
        </w:rPr>
        <w:t>—</w:t>
      </w:r>
      <w:r>
        <w:rPr>
          <w:bCs/>
          <w:szCs w:val="22"/>
        </w:rPr>
        <w:t>2 to 1.2.12</w:t>
      </w:r>
      <w:r w:rsidRPr="00AE57E1">
        <w:rPr>
          <w:rFonts w:cs="Arial"/>
        </w:rPr>
        <w:t>—</w:t>
      </w:r>
      <w:r>
        <w:rPr>
          <w:bCs/>
          <w:szCs w:val="22"/>
        </w:rPr>
        <w:t xml:space="preserve">4 establish a transitional arrangement for </w:t>
      </w:r>
      <w:r>
        <w:rPr>
          <w:szCs w:val="22"/>
        </w:rPr>
        <w:t>claims about the presence or absence of dietary fibre in a food</w:t>
      </w:r>
      <w:r>
        <w:rPr>
          <w:bCs/>
          <w:szCs w:val="22"/>
        </w:rPr>
        <w:t xml:space="preserve">.  </w:t>
      </w:r>
    </w:p>
    <w:p w14:paraId="52E77F22" w14:textId="77777777" w:rsidR="00975F5E" w:rsidRDefault="00975F5E" w:rsidP="00975F5E">
      <w:pPr>
        <w:rPr>
          <w:bCs/>
          <w:szCs w:val="22"/>
        </w:rPr>
      </w:pPr>
    </w:p>
    <w:p w14:paraId="16052142" w14:textId="77777777" w:rsidR="00975F5E" w:rsidRDefault="00975F5E" w:rsidP="00975F5E">
      <w:pPr>
        <w:rPr>
          <w:bCs/>
          <w:szCs w:val="22"/>
        </w:rPr>
      </w:pPr>
      <w:r>
        <w:rPr>
          <w:bCs/>
          <w:szCs w:val="22"/>
        </w:rPr>
        <w:t>Subsection 1.2.12</w:t>
      </w:r>
      <w:r w:rsidRPr="00AE57E1">
        <w:rPr>
          <w:rFonts w:cs="Arial"/>
        </w:rPr>
        <w:t>—</w:t>
      </w:r>
      <w:r>
        <w:rPr>
          <w:bCs/>
          <w:szCs w:val="22"/>
        </w:rPr>
        <w:t>2(1) permits a</w:t>
      </w:r>
      <w:r>
        <w:rPr>
          <w:szCs w:val="22"/>
        </w:rPr>
        <w:t xml:space="preserve"> claim about the presence or absence of dietary fibre in a food to be made in accordance with either section 1.2.7</w:t>
      </w:r>
      <w:r w:rsidRPr="00AE57E1">
        <w:rPr>
          <w:rFonts w:cs="Arial"/>
        </w:rPr>
        <w:t>—</w:t>
      </w:r>
      <w:r>
        <w:rPr>
          <w:bCs/>
          <w:szCs w:val="22"/>
        </w:rPr>
        <w:t xml:space="preserve">12 </w:t>
      </w:r>
      <w:r>
        <w:rPr>
          <w:szCs w:val="22"/>
        </w:rPr>
        <w:t xml:space="preserve">or </w:t>
      </w:r>
      <w:r>
        <w:rPr>
          <w:bCs/>
          <w:szCs w:val="22"/>
        </w:rPr>
        <w:t>section 1.2.12</w:t>
      </w:r>
      <w:r w:rsidRPr="00AE57E1">
        <w:rPr>
          <w:rFonts w:cs="Arial"/>
        </w:rPr>
        <w:t>—</w:t>
      </w:r>
      <w:r>
        <w:rPr>
          <w:bCs/>
          <w:szCs w:val="22"/>
        </w:rPr>
        <w:t>3</w:t>
      </w:r>
      <w:r>
        <w:rPr>
          <w:szCs w:val="22"/>
        </w:rPr>
        <w:t>, but not a combination of both</w:t>
      </w:r>
      <w:r>
        <w:rPr>
          <w:bCs/>
          <w:szCs w:val="22"/>
        </w:rPr>
        <w:t xml:space="preserve">.  </w:t>
      </w:r>
    </w:p>
    <w:p w14:paraId="5DD995A6" w14:textId="77777777" w:rsidR="00975F5E" w:rsidRDefault="00975F5E" w:rsidP="00975F5E">
      <w:pPr>
        <w:rPr>
          <w:bCs/>
          <w:szCs w:val="22"/>
        </w:rPr>
      </w:pPr>
    </w:p>
    <w:p w14:paraId="7F4EF5BD" w14:textId="77777777" w:rsidR="00975F5E" w:rsidRDefault="00975F5E" w:rsidP="00975F5E">
      <w:pPr>
        <w:rPr>
          <w:szCs w:val="22"/>
        </w:rPr>
      </w:pPr>
      <w:r>
        <w:rPr>
          <w:bCs/>
          <w:szCs w:val="22"/>
        </w:rPr>
        <w:t>Subsection 1.2.12</w:t>
      </w:r>
      <w:r w:rsidRPr="00AE57E1">
        <w:rPr>
          <w:rFonts w:cs="Arial"/>
        </w:rPr>
        <w:t>—</w:t>
      </w:r>
      <w:r>
        <w:rPr>
          <w:bCs/>
          <w:szCs w:val="22"/>
        </w:rPr>
        <w:t xml:space="preserve">2(2) explains that </w:t>
      </w:r>
      <w:r>
        <w:rPr>
          <w:szCs w:val="22"/>
        </w:rPr>
        <w:t>Standard 1.2.12 only relates to section 1.2.7</w:t>
      </w:r>
      <w:r w:rsidRPr="00AE57E1">
        <w:rPr>
          <w:rFonts w:cs="Arial"/>
        </w:rPr>
        <w:t>—</w:t>
      </w:r>
      <w:r>
        <w:rPr>
          <w:bCs/>
          <w:szCs w:val="22"/>
        </w:rPr>
        <w:t>12</w:t>
      </w:r>
      <w:r>
        <w:rPr>
          <w:szCs w:val="22"/>
        </w:rPr>
        <w:t xml:space="preserve"> and does not affect the application of any other provision of Standard 1.2.7.  That is, a claim made under or in accordance with Standard 1.2.12 must comply with all applicable sections of Standard 1.2.7 other than section 1.2.7</w:t>
      </w:r>
      <w:r w:rsidRPr="00AE57E1">
        <w:rPr>
          <w:rFonts w:cs="Arial"/>
        </w:rPr>
        <w:t>—</w:t>
      </w:r>
      <w:r>
        <w:rPr>
          <w:bCs/>
          <w:szCs w:val="22"/>
        </w:rPr>
        <w:t>12</w:t>
      </w:r>
      <w:r>
        <w:rPr>
          <w:szCs w:val="22"/>
        </w:rPr>
        <w:t xml:space="preserve">. </w:t>
      </w:r>
    </w:p>
    <w:p w14:paraId="13365E35" w14:textId="77777777" w:rsidR="00975F5E" w:rsidRDefault="00975F5E" w:rsidP="00975F5E">
      <w:pPr>
        <w:rPr>
          <w:szCs w:val="22"/>
        </w:rPr>
      </w:pPr>
    </w:p>
    <w:p w14:paraId="27C8C530" w14:textId="77777777" w:rsidR="00975F5E" w:rsidRDefault="00975F5E" w:rsidP="00975F5E">
      <w:pPr>
        <w:rPr>
          <w:rFonts w:cs="Arial"/>
          <w:szCs w:val="22"/>
          <w:lang w:eastAsia="en-GB"/>
        </w:rPr>
      </w:pPr>
      <w:r>
        <w:rPr>
          <w:szCs w:val="22"/>
        </w:rPr>
        <w:t xml:space="preserve">Subsection </w:t>
      </w:r>
      <w:r>
        <w:rPr>
          <w:bCs/>
          <w:szCs w:val="22"/>
        </w:rPr>
        <w:t>1.2.12</w:t>
      </w:r>
      <w:r w:rsidRPr="00AE57E1">
        <w:rPr>
          <w:rFonts w:cs="Arial"/>
        </w:rPr>
        <w:t>—</w:t>
      </w:r>
      <w:r>
        <w:rPr>
          <w:bCs/>
          <w:szCs w:val="22"/>
        </w:rPr>
        <w:t>2</w:t>
      </w:r>
      <w:r>
        <w:rPr>
          <w:szCs w:val="22"/>
        </w:rPr>
        <w:t xml:space="preserve">(3) </w:t>
      </w:r>
      <w:proofErr w:type="gramStart"/>
      <w:r>
        <w:rPr>
          <w:szCs w:val="22"/>
        </w:rPr>
        <w:t>provides</w:t>
      </w:r>
      <w:proofErr w:type="gramEnd"/>
      <w:r>
        <w:rPr>
          <w:szCs w:val="22"/>
        </w:rPr>
        <w:t xml:space="preserve"> that </w:t>
      </w:r>
      <w:r>
        <w:rPr>
          <w:rFonts w:cs="Arial"/>
          <w:szCs w:val="22"/>
          <w:lang w:eastAsia="en-GB"/>
        </w:rPr>
        <w:t>subsection 1.1.1</w:t>
      </w:r>
      <w:r w:rsidRPr="00AE57E1">
        <w:rPr>
          <w:rFonts w:cs="Arial"/>
        </w:rPr>
        <w:t>—</w:t>
      </w:r>
      <w:r>
        <w:rPr>
          <w:rFonts w:cs="Arial"/>
          <w:szCs w:val="22"/>
          <w:lang w:eastAsia="en-GB"/>
        </w:rPr>
        <w:t xml:space="preserve">9(1) does not apply to Standard </w:t>
      </w:r>
      <w:r>
        <w:rPr>
          <w:szCs w:val="22"/>
        </w:rPr>
        <w:t>1.2.12</w:t>
      </w:r>
      <w:r>
        <w:rPr>
          <w:rFonts w:cs="Arial"/>
          <w:szCs w:val="22"/>
          <w:lang w:eastAsia="en-GB"/>
        </w:rPr>
        <w:t xml:space="preserve">. This means, for example, there will be no stock in trade exemption when Standard </w:t>
      </w:r>
      <w:r>
        <w:rPr>
          <w:szCs w:val="22"/>
        </w:rPr>
        <w:t xml:space="preserve">1.2.12 </w:t>
      </w:r>
      <w:r>
        <w:rPr>
          <w:rFonts w:cs="Arial"/>
          <w:szCs w:val="22"/>
          <w:lang w:eastAsia="en-GB"/>
        </w:rPr>
        <w:t>commences.</w:t>
      </w:r>
    </w:p>
    <w:p w14:paraId="5C41832D" w14:textId="77777777" w:rsidR="00975F5E" w:rsidRPr="00B44DC6" w:rsidRDefault="00975F5E" w:rsidP="00975F5E">
      <w:pPr>
        <w:pStyle w:val="Clause"/>
        <w:rPr>
          <w:sz w:val="22"/>
          <w:szCs w:val="22"/>
        </w:rPr>
      </w:pPr>
    </w:p>
    <w:p w14:paraId="58522CCA" w14:textId="77777777" w:rsidR="00975F5E" w:rsidRPr="00B44DC6" w:rsidRDefault="00975F5E" w:rsidP="00975F5E">
      <w:pPr>
        <w:pStyle w:val="Clause"/>
        <w:rPr>
          <w:rFonts w:eastAsiaTheme="minorHAnsi" w:cs="Arial"/>
          <w:sz w:val="22"/>
          <w:szCs w:val="22"/>
        </w:rPr>
      </w:pPr>
      <w:r w:rsidRPr="00B44DC6">
        <w:rPr>
          <w:bCs/>
          <w:sz w:val="22"/>
          <w:szCs w:val="22"/>
        </w:rPr>
        <w:t>Section 1.2.12</w:t>
      </w:r>
      <w:r w:rsidRPr="00B44DC6">
        <w:rPr>
          <w:rFonts w:cs="Arial"/>
          <w:sz w:val="22"/>
          <w:szCs w:val="22"/>
        </w:rPr>
        <w:t>—</w:t>
      </w:r>
      <w:r w:rsidRPr="00B44DC6">
        <w:rPr>
          <w:bCs/>
          <w:sz w:val="22"/>
          <w:szCs w:val="22"/>
        </w:rPr>
        <w:t xml:space="preserve">3 </w:t>
      </w:r>
      <w:r w:rsidRPr="00B44DC6">
        <w:rPr>
          <w:sz w:val="22"/>
          <w:szCs w:val="22"/>
        </w:rPr>
        <w:t>lists the requirements for claims</w:t>
      </w:r>
      <w:r w:rsidRPr="00B44DC6">
        <w:rPr>
          <w:rFonts w:eastAsiaTheme="minorHAnsi" w:cs="Arial"/>
          <w:sz w:val="22"/>
          <w:szCs w:val="22"/>
        </w:rPr>
        <w:t xml:space="preserve"> </w:t>
      </w:r>
      <w:r w:rsidRPr="00B44DC6">
        <w:rPr>
          <w:rFonts w:cs="Arial"/>
          <w:sz w:val="22"/>
          <w:szCs w:val="22"/>
        </w:rPr>
        <w:t>about the presence or absence of dietary fibre</w:t>
      </w:r>
      <w:r w:rsidRPr="00B44DC6">
        <w:rPr>
          <w:rFonts w:eastAsiaTheme="minorHAnsi" w:cs="Arial"/>
          <w:sz w:val="22"/>
          <w:szCs w:val="22"/>
        </w:rPr>
        <w:t xml:space="preserve"> in a food that are permitted by </w:t>
      </w:r>
      <w:r w:rsidRPr="00B44DC6">
        <w:rPr>
          <w:bCs/>
          <w:sz w:val="22"/>
          <w:szCs w:val="22"/>
        </w:rPr>
        <w:t>section 1.2.12</w:t>
      </w:r>
      <w:r w:rsidRPr="00B44DC6">
        <w:rPr>
          <w:rFonts w:cs="Arial"/>
          <w:sz w:val="22"/>
          <w:szCs w:val="22"/>
        </w:rPr>
        <w:t>—</w:t>
      </w:r>
      <w:r w:rsidRPr="00B44DC6">
        <w:rPr>
          <w:bCs/>
          <w:sz w:val="22"/>
          <w:szCs w:val="22"/>
        </w:rPr>
        <w:t>2</w:t>
      </w:r>
      <w:r w:rsidRPr="00B44DC6">
        <w:rPr>
          <w:rFonts w:eastAsiaTheme="minorHAnsi" w:cs="Arial"/>
          <w:sz w:val="22"/>
          <w:szCs w:val="22"/>
        </w:rPr>
        <w:t>.</w:t>
      </w:r>
    </w:p>
    <w:p w14:paraId="638D1A3F" w14:textId="77777777" w:rsidR="00975F5E" w:rsidRPr="00B44DC6" w:rsidRDefault="00975F5E" w:rsidP="00975F5E">
      <w:pPr>
        <w:pStyle w:val="Clause"/>
        <w:rPr>
          <w:rFonts w:eastAsiaTheme="minorHAnsi" w:cs="Arial"/>
          <w:sz w:val="22"/>
          <w:szCs w:val="22"/>
        </w:rPr>
      </w:pPr>
    </w:p>
    <w:p w14:paraId="3734CD10" w14:textId="77777777" w:rsidR="00975F5E" w:rsidRPr="00B44DC6" w:rsidRDefault="00975F5E" w:rsidP="00975F5E">
      <w:pPr>
        <w:pStyle w:val="Clause"/>
        <w:rPr>
          <w:sz w:val="22"/>
          <w:szCs w:val="22"/>
        </w:rPr>
      </w:pPr>
      <w:r w:rsidRPr="00B44DC6">
        <w:rPr>
          <w:bCs/>
          <w:sz w:val="22"/>
          <w:szCs w:val="22"/>
        </w:rPr>
        <w:t>Subsection 1.2.12</w:t>
      </w:r>
      <w:r w:rsidRPr="00B44DC6">
        <w:rPr>
          <w:rFonts w:cs="Arial"/>
          <w:sz w:val="22"/>
          <w:szCs w:val="22"/>
        </w:rPr>
        <w:t>—</w:t>
      </w:r>
      <w:r w:rsidRPr="00B44DC6">
        <w:rPr>
          <w:bCs/>
          <w:sz w:val="22"/>
          <w:szCs w:val="22"/>
        </w:rPr>
        <w:t>3</w:t>
      </w:r>
      <w:r w:rsidRPr="00B44DC6">
        <w:rPr>
          <w:sz w:val="22"/>
          <w:szCs w:val="22"/>
        </w:rPr>
        <w:t xml:space="preserve">(1) permits such </w:t>
      </w:r>
      <w:r w:rsidRPr="00B44DC6">
        <w:rPr>
          <w:rFonts w:eastAsiaTheme="minorHAnsi" w:cs="Arial"/>
          <w:sz w:val="22"/>
          <w:szCs w:val="22"/>
        </w:rPr>
        <w:t xml:space="preserve">a claim to use any descriptor that is not mentioned in subsection </w:t>
      </w:r>
      <w:r w:rsidRPr="00B44DC6">
        <w:rPr>
          <w:bCs/>
          <w:sz w:val="22"/>
          <w:szCs w:val="22"/>
        </w:rPr>
        <w:t>1.2.12</w:t>
      </w:r>
      <w:r w:rsidRPr="00B44DC6">
        <w:rPr>
          <w:rFonts w:cs="Arial"/>
          <w:sz w:val="22"/>
          <w:szCs w:val="22"/>
        </w:rPr>
        <w:t>—</w:t>
      </w:r>
      <w:r w:rsidRPr="00B44DC6">
        <w:rPr>
          <w:bCs/>
          <w:sz w:val="22"/>
          <w:szCs w:val="22"/>
        </w:rPr>
        <w:t>3(2)</w:t>
      </w:r>
      <w:r w:rsidRPr="00B44DC6">
        <w:rPr>
          <w:rFonts w:eastAsiaTheme="minorHAnsi" w:cs="Arial"/>
          <w:sz w:val="22"/>
          <w:szCs w:val="22"/>
        </w:rPr>
        <w:t>. This permission includes the use of a descriptor expressed as a number or in numeric form</w:t>
      </w:r>
      <w:r w:rsidRPr="00B44DC6">
        <w:rPr>
          <w:sz w:val="22"/>
          <w:szCs w:val="22"/>
        </w:rPr>
        <w:t>.</w:t>
      </w:r>
    </w:p>
    <w:p w14:paraId="7FABA10C" w14:textId="77777777" w:rsidR="00975F5E" w:rsidRPr="00B44DC6" w:rsidRDefault="00975F5E" w:rsidP="00975F5E">
      <w:pPr>
        <w:pStyle w:val="Clause"/>
        <w:rPr>
          <w:sz w:val="22"/>
          <w:szCs w:val="22"/>
        </w:rPr>
      </w:pPr>
    </w:p>
    <w:p w14:paraId="764E3913" w14:textId="77777777" w:rsidR="00975F5E" w:rsidRPr="00B44DC6" w:rsidRDefault="00975F5E" w:rsidP="00975F5E">
      <w:pPr>
        <w:pStyle w:val="Clause"/>
        <w:rPr>
          <w:rFonts w:eastAsiaTheme="minorHAnsi" w:cs="Arial"/>
          <w:sz w:val="22"/>
          <w:szCs w:val="22"/>
        </w:rPr>
      </w:pPr>
      <w:r w:rsidRPr="00B44DC6">
        <w:rPr>
          <w:sz w:val="22"/>
          <w:szCs w:val="22"/>
        </w:rPr>
        <w:t xml:space="preserve">Subsection </w:t>
      </w:r>
      <w:r w:rsidRPr="00B44DC6">
        <w:rPr>
          <w:bCs/>
          <w:sz w:val="22"/>
          <w:szCs w:val="22"/>
        </w:rPr>
        <w:t>1.2.12</w:t>
      </w:r>
      <w:r w:rsidRPr="00B44DC6">
        <w:rPr>
          <w:rFonts w:cs="Arial"/>
          <w:sz w:val="22"/>
          <w:szCs w:val="22"/>
        </w:rPr>
        <w:t>—</w:t>
      </w:r>
      <w:r w:rsidRPr="00B44DC6">
        <w:rPr>
          <w:bCs/>
          <w:sz w:val="22"/>
          <w:szCs w:val="22"/>
        </w:rPr>
        <w:t>3(2)</w:t>
      </w:r>
      <w:r w:rsidRPr="00B44DC6">
        <w:rPr>
          <w:sz w:val="22"/>
          <w:szCs w:val="22"/>
        </w:rPr>
        <w:t xml:space="preserve"> imposes a specific condition for the use of the descriptor </w:t>
      </w:r>
      <w:r w:rsidRPr="00B44DC6">
        <w:rPr>
          <w:rFonts w:eastAsiaTheme="minorHAnsi" w:cs="Arial"/>
          <w:sz w:val="22"/>
          <w:szCs w:val="22"/>
        </w:rPr>
        <w:t xml:space="preserve">‘increased’ or a synonym of that descriptor in such claims—the relevant food must </w:t>
      </w:r>
      <w:r w:rsidRPr="00B44DC6">
        <w:rPr>
          <w:rFonts w:eastAsiaTheme="minorHAnsi" w:cs="Arial"/>
          <w:bCs/>
          <w:sz w:val="22"/>
          <w:szCs w:val="22"/>
          <w:lang w:eastAsia="en-AU"/>
        </w:rPr>
        <w:t>contain at least 25% more dietary fibre than in the same quantity of reference food</w:t>
      </w:r>
      <w:r w:rsidRPr="00B44DC6">
        <w:rPr>
          <w:rFonts w:eastAsiaTheme="minorHAnsi" w:cs="Arial"/>
          <w:sz w:val="22"/>
          <w:szCs w:val="22"/>
        </w:rPr>
        <w:t>.</w:t>
      </w:r>
    </w:p>
    <w:p w14:paraId="31F08783" w14:textId="77777777" w:rsidR="00975F5E" w:rsidRPr="00B44DC6" w:rsidRDefault="00975F5E" w:rsidP="00975F5E">
      <w:pPr>
        <w:pStyle w:val="Clause"/>
        <w:rPr>
          <w:rFonts w:eastAsiaTheme="minorHAnsi" w:cs="Arial"/>
          <w:sz w:val="22"/>
          <w:szCs w:val="22"/>
        </w:rPr>
      </w:pPr>
    </w:p>
    <w:p w14:paraId="738B7EEF" w14:textId="77777777" w:rsidR="00975F5E" w:rsidRPr="00B44DC6" w:rsidRDefault="00975F5E" w:rsidP="00975F5E">
      <w:pPr>
        <w:pStyle w:val="Clause"/>
        <w:rPr>
          <w:rFonts w:eastAsiaTheme="minorHAnsi" w:cs="Arial"/>
          <w:sz w:val="22"/>
          <w:szCs w:val="22"/>
        </w:rPr>
      </w:pPr>
      <w:r w:rsidRPr="00B44DC6">
        <w:rPr>
          <w:sz w:val="22"/>
          <w:szCs w:val="22"/>
        </w:rPr>
        <w:t xml:space="preserve">Subsection </w:t>
      </w:r>
      <w:r w:rsidRPr="00B44DC6">
        <w:rPr>
          <w:bCs/>
          <w:sz w:val="22"/>
          <w:szCs w:val="22"/>
        </w:rPr>
        <w:t>1.2.12</w:t>
      </w:r>
      <w:r w:rsidRPr="00B44DC6">
        <w:rPr>
          <w:rFonts w:cs="Arial"/>
          <w:sz w:val="22"/>
          <w:szCs w:val="22"/>
        </w:rPr>
        <w:t>—</w:t>
      </w:r>
      <w:r w:rsidRPr="00B44DC6">
        <w:rPr>
          <w:bCs/>
          <w:sz w:val="22"/>
          <w:szCs w:val="22"/>
        </w:rPr>
        <w:t>3</w:t>
      </w:r>
      <w:r w:rsidRPr="00B44DC6">
        <w:rPr>
          <w:rFonts w:eastAsiaTheme="minorHAnsi" w:cs="Arial"/>
          <w:sz w:val="22"/>
          <w:szCs w:val="22"/>
        </w:rPr>
        <w:t xml:space="preserve"> (3) provides definitions for terms used in section </w:t>
      </w:r>
      <w:r w:rsidRPr="00B44DC6">
        <w:rPr>
          <w:bCs/>
          <w:sz w:val="22"/>
          <w:szCs w:val="22"/>
        </w:rPr>
        <w:t>1.2.12</w:t>
      </w:r>
      <w:r w:rsidRPr="00B44DC6">
        <w:rPr>
          <w:rFonts w:cs="Arial"/>
          <w:sz w:val="22"/>
          <w:szCs w:val="22"/>
        </w:rPr>
        <w:t>—</w:t>
      </w:r>
      <w:r w:rsidRPr="00B44DC6">
        <w:rPr>
          <w:bCs/>
          <w:sz w:val="22"/>
          <w:szCs w:val="22"/>
        </w:rPr>
        <w:t xml:space="preserve">3 </w:t>
      </w:r>
      <w:r w:rsidRPr="00B44DC6">
        <w:rPr>
          <w:rFonts w:eastAsiaTheme="minorHAnsi" w:cs="Arial"/>
          <w:sz w:val="22"/>
          <w:szCs w:val="22"/>
        </w:rPr>
        <w:t xml:space="preserve">(“food group” and “reference food”). </w:t>
      </w:r>
    </w:p>
    <w:p w14:paraId="49918891" w14:textId="77777777" w:rsidR="00975F5E" w:rsidRPr="00B44DC6" w:rsidRDefault="00975F5E" w:rsidP="00975F5E">
      <w:pPr>
        <w:rPr>
          <w:rFonts w:eastAsiaTheme="minorHAnsi"/>
          <w:szCs w:val="22"/>
        </w:rPr>
      </w:pPr>
    </w:p>
    <w:p w14:paraId="6F30F22C" w14:textId="77777777" w:rsidR="00975F5E" w:rsidRPr="00B44DC6" w:rsidRDefault="00975F5E" w:rsidP="00975F5E">
      <w:pPr>
        <w:rPr>
          <w:rFonts w:eastAsiaTheme="minorHAnsi"/>
          <w:szCs w:val="22"/>
        </w:rPr>
      </w:pPr>
      <w:r w:rsidRPr="00B44DC6">
        <w:rPr>
          <w:bCs/>
          <w:szCs w:val="22"/>
        </w:rPr>
        <w:t>Section 1.2.12</w:t>
      </w:r>
      <w:r w:rsidRPr="00B44DC6">
        <w:rPr>
          <w:rFonts w:cs="Arial"/>
          <w:szCs w:val="22"/>
        </w:rPr>
        <w:t>—</w:t>
      </w:r>
      <w:r w:rsidRPr="00B44DC6">
        <w:rPr>
          <w:bCs/>
          <w:szCs w:val="22"/>
        </w:rPr>
        <w:t xml:space="preserve">4 provides that Standard 1.2.12 ceases to have effect on 18 January 2017.  </w:t>
      </w:r>
    </w:p>
    <w:p w14:paraId="43C77779" w14:textId="77777777" w:rsidR="00D5526B" w:rsidRPr="00184403" w:rsidRDefault="00D5526B" w:rsidP="00793DE6"/>
    <w:sectPr w:rsidR="00D5526B" w:rsidRPr="00184403" w:rsidSect="008E233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B5BD2" w14:textId="77777777" w:rsidR="00975F5E" w:rsidRDefault="00975F5E" w:rsidP="00975F5E">
      <w:r>
        <w:separator/>
      </w:r>
    </w:p>
  </w:endnote>
  <w:endnote w:type="continuationSeparator" w:id="0">
    <w:p w14:paraId="54B91357" w14:textId="77777777" w:rsidR="00975F5E" w:rsidRDefault="00975F5E" w:rsidP="0097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0EA6A" w14:textId="77777777" w:rsidR="00E82A28" w:rsidRDefault="00E82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56821"/>
      <w:docPartObj>
        <w:docPartGallery w:val="Page Numbers (Bottom of Page)"/>
        <w:docPartUnique/>
      </w:docPartObj>
    </w:sdtPr>
    <w:sdtEndPr>
      <w:rPr>
        <w:noProof/>
      </w:rPr>
    </w:sdtEndPr>
    <w:sdtContent>
      <w:p w14:paraId="24BF94A8" w14:textId="0F1D5C77" w:rsidR="00E82A28" w:rsidRDefault="00E82A28" w:rsidP="00E82A28">
        <w:pPr>
          <w:pStyle w:val="Footer"/>
          <w:jc w:val="center"/>
        </w:pPr>
        <w:r>
          <w:fldChar w:fldCharType="begin"/>
        </w:r>
        <w:r>
          <w:instrText xml:space="preserve"> PAGE   \* MERGEFORMAT </w:instrText>
        </w:r>
        <w:r>
          <w:fldChar w:fldCharType="separate"/>
        </w:r>
        <w:r>
          <w:rPr>
            <w:noProof/>
          </w:rPr>
          <w:t>1</w:t>
        </w:r>
        <w:r>
          <w:rPr>
            <w:noProof/>
          </w:rPr>
          <w:fldChar w:fldCharType="end"/>
        </w:r>
      </w:p>
      <w:bookmarkStart w:id="1" w:name="_GoBack" w:displacedByCustomXml="next"/>
      <w:bookmarkEnd w:id="1"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7C30F" w14:textId="77777777" w:rsidR="00E82A28" w:rsidRDefault="00E82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F2F9A" w14:textId="77777777" w:rsidR="00975F5E" w:rsidRDefault="00975F5E" w:rsidP="00975F5E">
      <w:r>
        <w:separator/>
      </w:r>
    </w:p>
  </w:footnote>
  <w:footnote w:type="continuationSeparator" w:id="0">
    <w:p w14:paraId="3CB7798B" w14:textId="77777777" w:rsidR="00975F5E" w:rsidRDefault="00975F5E" w:rsidP="00975F5E">
      <w:r>
        <w:continuationSeparator/>
      </w:r>
    </w:p>
  </w:footnote>
  <w:footnote w:id="1">
    <w:p w14:paraId="40DC88A5" w14:textId="77777777" w:rsidR="00975F5E" w:rsidRPr="0010778D" w:rsidRDefault="00975F5E" w:rsidP="00975F5E">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4ACF2" w14:textId="77777777" w:rsidR="00E82A28" w:rsidRDefault="00E82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66358" w14:textId="77777777" w:rsidR="00E82A28" w:rsidRDefault="00E82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FE314" w14:textId="77777777" w:rsidR="00E82A28" w:rsidRDefault="00E82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4625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4"/>
  </w:num>
  <w:num w:numId="9">
    <w:abstractNumId w:val="2"/>
  </w:num>
  <w:num w:numId="10">
    <w:abstractNumId w:val="3"/>
  </w:num>
  <w:num w:numId="11">
    <w:abstractNumId w:val="4"/>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5E"/>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75F5E"/>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82A28"/>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975F5E"/>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qFormat/>
    <w:rsid w:val="00C019A6"/>
    <w:pPr>
      <w:tabs>
        <w:tab w:val="left" w:pos="851"/>
      </w:tabs>
    </w:pPr>
    <w:rPr>
      <w:sz w:val="20"/>
      <w:szCs w:val="20"/>
    </w:rPr>
  </w:style>
  <w:style w:type="character" w:customStyle="1" w:styleId="ClauseChar">
    <w:name w:val="Clause Char"/>
    <w:basedOn w:val="DefaultParagraphFont"/>
    <w:link w:val="Clause"/>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rsid w:val="00975F5E"/>
    <w:rPr>
      <w:vertAlign w:val="superscript"/>
    </w:rPr>
  </w:style>
  <w:style w:type="paragraph" w:styleId="ListBullet">
    <w:name w:val="List Bullet"/>
    <w:basedOn w:val="Normal"/>
    <w:rsid w:val="00975F5E"/>
    <w:pPr>
      <w:numPr>
        <w:numId w:val="1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975F5E"/>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qFormat/>
    <w:rsid w:val="00C019A6"/>
    <w:pPr>
      <w:tabs>
        <w:tab w:val="left" w:pos="851"/>
      </w:tabs>
    </w:pPr>
    <w:rPr>
      <w:sz w:val="20"/>
      <w:szCs w:val="20"/>
    </w:rPr>
  </w:style>
  <w:style w:type="character" w:customStyle="1" w:styleId="ClauseChar">
    <w:name w:val="Clause Char"/>
    <w:basedOn w:val="DefaultParagraphFont"/>
    <w:link w:val="Clause"/>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rsid w:val="00975F5E"/>
    <w:rPr>
      <w:vertAlign w:val="superscript"/>
    </w:rPr>
  </w:style>
  <w:style w:type="paragraph" w:styleId="ListBullet">
    <w:name w:val="List Bullet"/>
    <w:basedOn w:val="Normal"/>
    <w:rsid w:val="00975F5E"/>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5759555f-5bed-45a4-a4c2-4e28e2623455">MMF7YEMDTSDN-102-28116</_dlc_DocId>
    <_dlc_DocIdUrl xmlns="5759555f-5bed-45a4-a4c2-4e28e2623455">
      <Url>http://fsintranet/Sections/OLC/_layouts/15/DocIdRedir.aspx?ID=MMF7YEMDTSDN-102-28116</Url>
      <Description>MMF7YEMDTSDN-102-28116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BE2D-AC21-4C10-986F-94C9BCFD2BBE}"/>
</file>

<file path=customXml/itemProps2.xml><?xml version="1.0" encoding="utf-8"?>
<ds:datastoreItem xmlns:ds="http://schemas.openxmlformats.org/officeDocument/2006/customXml" ds:itemID="{DDF0D4F3-1871-410B-86F9-FB02B68AE185}"/>
</file>

<file path=customXml/itemProps3.xml><?xml version="1.0" encoding="utf-8"?>
<ds:datastoreItem xmlns:ds="http://schemas.openxmlformats.org/officeDocument/2006/customXml" ds:itemID="{9F797F98-031C-4341-B150-9FB84B67C504}"/>
</file>

<file path=customXml/itemProps4.xml><?xml version="1.0" encoding="utf-8"?>
<ds:datastoreItem xmlns:ds="http://schemas.openxmlformats.org/officeDocument/2006/customXml" ds:itemID="{4A959E3F-8642-4012-860E-135776143FD2}"/>
</file>

<file path=customXml/itemProps5.xml><?xml version="1.0" encoding="utf-8"?>
<ds:datastoreItem xmlns:ds="http://schemas.openxmlformats.org/officeDocument/2006/customXml" ds:itemID="{1251DCB4-18B3-42C5-AC60-E1E5256F81CC}"/>
</file>

<file path=customXml/itemProps6.xml><?xml version="1.0" encoding="utf-8"?>
<ds:datastoreItem xmlns:ds="http://schemas.openxmlformats.org/officeDocument/2006/customXml" ds:itemID="{F9270125-BB08-4D7F-8ACF-9B59FB9E3999}"/>
</file>

<file path=customXml/itemProps7.xml><?xml version="1.0" encoding="utf-8"?>
<ds:datastoreItem xmlns:ds="http://schemas.openxmlformats.org/officeDocument/2006/customXml" ds:itemID="{1992EBA5-FD8F-4BAF-AA09-2164391D5B2B}"/>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4488</Characters>
  <Application>Microsoft Office Word</Application>
  <DocSecurity>0</DocSecurity>
  <Lines>37</Lines>
  <Paragraphs>10</Paragraphs>
  <ScaleCrop>false</ScaleCrop>
  <Company>Foodstandards</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2015-06-30T23:43:00Z</dcterms:created>
  <dcterms:modified xsi:type="dcterms:W3CDTF">2015-08-20T05:28:00Z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531;#Instruments|4a8ff5e5-1f0e-4751-ab44-bc0d33b46a80</vt:lpwstr>
  </property>
  <property fmtid="{D5CDD505-2E9C-101B-9397-08002B2CF9AE}" pid="5" name="_dlc_DocIdItemGuid">
    <vt:lpwstr>692459e2-c82c-4c09-9a70-5c2ba2c8c54b</vt:lpwstr>
  </property>
</Properties>
</file>