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EA122" w14:textId="7A5CA0E8" w:rsidR="002E7A45" w:rsidRPr="00ED60A7" w:rsidRDefault="002E7A45" w:rsidP="002E7A45">
      <w:pPr>
        <w:pStyle w:val="Heading2"/>
      </w:pPr>
      <w:bookmarkStart w:id="0" w:name="_Toc300933454"/>
      <w:bookmarkStart w:id="1" w:name="_Toc419117488"/>
      <w:bookmarkStart w:id="2" w:name="_Toc422468261"/>
      <w:r w:rsidRPr="00ED60A7">
        <w:t>Explanatory Statement</w:t>
      </w:r>
      <w:bookmarkEnd w:id="0"/>
      <w:bookmarkEnd w:id="1"/>
      <w:bookmarkEnd w:id="2"/>
    </w:p>
    <w:p w14:paraId="44389867" w14:textId="77777777" w:rsidR="002E7A45" w:rsidRPr="00ED60A7" w:rsidRDefault="002E7A45" w:rsidP="002E7A45">
      <w:pPr>
        <w:rPr>
          <w:b/>
          <w:lang w:eastAsia="en-GB" w:bidi="ar-SA"/>
        </w:rPr>
      </w:pPr>
      <w:r w:rsidRPr="00ED60A7">
        <w:rPr>
          <w:b/>
          <w:lang w:eastAsia="en-GB" w:bidi="ar-SA"/>
        </w:rPr>
        <w:t>1.</w:t>
      </w:r>
      <w:r w:rsidRPr="00ED60A7">
        <w:rPr>
          <w:b/>
          <w:lang w:eastAsia="en-GB" w:bidi="ar-SA"/>
        </w:rPr>
        <w:tab/>
        <w:t>Authority</w:t>
      </w:r>
    </w:p>
    <w:p w14:paraId="4A3B756B" w14:textId="77777777" w:rsidR="002E7A45" w:rsidRPr="00ED60A7" w:rsidRDefault="002E7A45" w:rsidP="002E7A45">
      <w:pPr>
        <w:rPr>
          <w:lang w:eastAsia="en-GB" w:bidi="ar-SA"/>
        </w:rPr>
      </w:pPr>
    </w:p>
    <w:p w14:paraId="66146714" w14:textId="77777777" w:rsidR="002E7A45" w:rsidRPr="00ED60A7" w:rsidRDefault="002E7A45" w:rsidP="002E7A45">
      <w:pPr>
        <w:widowControl/>
        <w:autoSpaceDE w:val="0"/>
        <w:autoSpaceDN w:val="0"/>
        <w:adjustRightInd w:val="0"/>
        <w:rPr>
          <w:rFonts w:eastAsia="Calibri" w:cs="Arial"/>
          <w:bCs/>
          <w:szCs w:val="22"/>
          <w:lang w:bidi="ar-SA"/>
        </w:rPr>
      </w:pPr>
      <w:r w:rsidRPr="00ED60A7">
        <w:rPr>
          <w:rFonts w:eastAsia="Calibri" w:cs="Arial"/>
          <w:bCs/>
          <w:szCs w:val="22"/>
          <w:lang w:bidi="ar-SA"/>
        </w:rPr>
        <w:t xml:space="preserve">Section 13 of the </w:t>
      </w:r>
      <w:r w:rsidRPr="00ED60A7">
        <w:rPr>
          <w:rFonts w:eastAsia="Calibri" w:cs="Arial"/>
          <w:bCs/>
          <w:i/>
          <w:szCs w:val="22"/>
          <w:lang w:bidi="ar-SA"/>
        </w:rPr>
        <w:t>Food Standards Australia New Zealand Act 1991</w:t>
      </w:r>
      <w:r w:rsidRPr="00ED60A7">
        <w:rPr>
          <w:rFonts w:eastAsia="Calibri" w:cs="Arial"/>
          <w:bCs/>
          <w:szCs w:val="22"/>
          <w:lang w:bidi="ar-SA"/>
        </w:rPr>
        <w:t xml:space="preserve"> (the FSANZ Act) provides that the functions of Food Standards Australia New Zealand (the Authority) include the development of standards and variations of standards for inclusion in the </w:t>
      </w:r>
      <w:r w:rsidRPr="00ED60A7">
        <w:rPr>
          <w:rFonts w:eastAsia="Calibri" w:cs="Arial"/>
          <w:bCs/>
          <w:i/>
          <w:szCs w:val="22"/>
          <w:lang w:bidi="ar-SA"/>
        </w:rPr>
        <w:t>Australia New Zealand Food Standards Code</w:t>
      </w:r>
      <w:r w:rsidRPr="00ED60A7">
        <w:rPr>
          <w:rFonts w:eastAsia="Calibri" w:cs="Arial"/>
          <w:bCs/>
          <w:szCs w:val="22"/>
          <w:lang w:bidi="ar-SA"/>
        </w:rPr>
        <w:t xml:space="preserve"> (the existing Code).</w:t>
      </w:r>
    </w:p>
    <w:p w14:paraId="37C368F8" w14:textId="77777777" w:rsidR="002E7A45" w:rsidRPr="00ED60A7" w:rsidRDefault="002E7A45" w:rsidP="002E7A45">
      <w:pPr>
        <w:widowControl/>
        <w:autoSpaceDE w:val="0"/>
        <w:autoSpaceDN w:val="0"/>
        <w:adjustRightInd w:val="0"/>
        <w:rPr>
          <w:rFonts w:eastAsia="Calibri" w:cs="Arial"/>
          <w:bCs/>
          <w:szCs w:val="22"/>
          <w:lang w:bidi="ar-SA"/>
        </w:rPr>
      </w:pPr>
    </w:p>
    <w:p w14:paraId="5E9ED1DA" w14:textId="77777777" w:rsidR="002E7A45" w:rsidRPr="00ED60A7" w:rsidRDefault="002E7A45" w:rsidP="002E7A45">
      <w:pPr>
        <w:widowControl/>
        <w:autoSpaceDE w:val="0"/>
        <w:autoSpaceDN w:val="0"/>
        <w:adjustRightInd w:val="0"/>
        <w:rPr>
          <w:rFonts w:eastAsia="Calibri" w:cs="Arial"/>
          <w:bCs/>
          <w:szCs w:val="22"/>
          <w:lang w:bidi="ar-SA"/>
        </w:rPr>
      </w:pPr>
      <w:r w:rsidRPr="00ED60A7">
        <w:rPr>
          <w:rFonts w:eastAsia="Calibri" w:cs="Arial"/>
          <w:bCs/>
          <w:szCs w:val="22"/>
          <w:lang w:bidi="ar-SA"/>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14:paraId="0DE57748" w14:textId="77777777" w:rsidR="002E7A45" w:rsidRPr="00ED60A7" w:rsidRDefault="002E7A45" w:rsidP="002E7A45">
      <w:pPr>
        <w:widowControl/>
        <w:autoSpaceDE w:val="0"/>
        <w:autoSpaceDN w:val="0"/>
        <w:adjustRightInd w:val="0"/>
        <w:rPr>
          <w:rFonts w:eastAsia="Calibri" w:cs="Arial"/>
          <w:bCs/>
          <w:szCs w:val="22"/>
          <w:lang w:bidi="ar-SA"/>
        </w:rPr>
      </w:pPr>
    </w:p>
    <w:p w14:paraId="371DCBE4" w14:textId="77777777" w:rsidR="002E7A45" w:rsidRPr="00ED60A7" w:rsidRDefault="002E7A45" w:rsidP="002E7A45">
      <w:r w:rsidRPr="00ED60A7">
        <w:t>FSANZ has published a revision of the existing Code (the P1025 Code). The P1025 Code will replace the existing Code on 1 March 2016, when the existing Code will be repealed.</w:t>
      </w:r>
    </w:p>
    <w:p w14:paraId="0D23AF4A" w14:textId="77777777" w:rsidR="002E7A45" w:rsidRPr="00ED60A7" w:rsidRDefault="002E7A45" w:rsidP="002E7A45">
      <w:pPr>
        <w:widowControl/>
        <w:autoSpaceDE w:val="0"/>
        <w:autoSpaceDN w:val="0"/>
        <w:adjustRightInd w:val="0"/>
        <w:rPr>
          <w:rFonts w:eastAsia="Calibri" w:cs="Arial"/>
          <w:bCs/>
          <w:szCs w:val="22"/>
          <w:lang w:bidi="ar-SA"/>
        </w:rPr>
      </w:pPr>
    </w:p>
    <w:p w14:paraId="2D086BF9" w14:textId="77777777" w:rsidR="002E7A45" w:rsidRPr="00ED60A7" w:rsidRDefault="002E7A45" w:rsidP="002E7A45">
      <w:pPr>
        <w:widowControl/>
        <w:autoSpaceDE w:val="0"/>
        <w:autoSpaceDN w:val="0"/>
        <w:adjustRightInd w:val="0"/>
        <w:rPr>
          <w:rFonts w:eastAsia="Calibri" w:cs="Arial"/>
          <w:bCs/>
          <w:szCs w:val="22"/>
          <w:lang w:bidi="ar-SA"/>
        </w:rPr>
      </w:pPr>
      <w:r w:rsidRPr="00ED60A7">
        <w:rPr>
          <w:rFonts w:eastAsia="Calibri" w:cs="Arial"/>
          <w:bCs/>
          <w:szCs w:val="22"/>
          <w:lang w:bidi="ar-SA"/>
        </w:rPr>
        <w:t xml:space="preserve">FSANZ prepared Proposal P1036 to </w:t>
      </w:r>
      <w:r w:rsidRPr="00ED60A7">
        <w:rPr>
          <w:szCs w:val="22"/>
        </w:rPr>
        <w:t>amend the P1025 Code to incorporate variations to the existing Code arising from A1092, A1096, P1022 and P1029 (subject to their publication) and to correct minor errors in the published P1025 Code</w:t>
      </w:r>
      <w:r w:rsidRPr="00ED60A7">
        <w:rPr>
          <w:rFonts w:eastAsia="Calibri" w:cs="Arial"/>
          <w:bCs/>
          <w:szCs w:val="22"/>
          <w:lang w:bidi="ar-SA"/>
        </w:rPr>
        <w:t xml:space="preserve">. The Authority has considered the Proposal in accordance with Division 2 of Part 3 and has </w:t>
      </w:r>
      <w:r>
        <w:rPr>
          <w:rFonts w:eastAsia="Calibri" w:cs="Arial"/>
          <w:bCs/>
          <w:szCs w:val="22"/>
          <w:lang w:bidi="ar-SA"/>
        </w:rPr>
        <w:t>approved</w:t>
      </w:r>
      <w:r w:rsidRPr="00ED60A7">
        <w:rPr>
          <w:rFonts w:eastAsia="Calibri" w:cs="Arial"/>
          <w:bCs/>
          <w:szCs w:val="22"/>
          <w:lang w:bidi="ar-SA"/>
        </w:rPr>
        <w:t xml:space="preserve"> a draft variation. </w:t>
      </w:r>
    </w:p>
    <w:p w14:paraId="3722EAE0" w14:textId="77777777" w:rsidR="002E7A45" w:rsidRDefault="002E7A45" w:rsidP="002E7A45">
      <w:pPr>
        <w:widowControl/>
        <w:autoSpaceDE w:val="0"/>
        <w:autoSpaceDN w:val="0"/>
        <w:adjustRightInd w:val="0"/>
        <w:rPr>
          <w:rFonts w:eastAsia="Calibri" w:cs="Arial"/>
          <w:bCs/>
          <w:szCs w:val="22"/>
          <w:lang w:bidi="ar-SA"/>
        </w:rPr>
      </w:pPr>
    </w:p>
    <w:p w14:paraId="364B3AD7" w14:textId="77777777" w:rsidR="00334DF5" w:rsidRPr="00D13E34" w:rsidRDefault="00334DF5" w:rsidP="00334DF5">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Following consideration by </w:t>
      </w:r>
      <w:r>
        <w:rPr>
          <w:rFonts w:eastAsia="Calibri" w:cs="Arial"/>
          <w:bCs/>
          <w:szCs w:val="22"/>
          <w:lang w:val="en-AU" w:bidi="ar-SA"/>
        </w:rPr>
        <w:t xml:space="preserve">the </w:t>
      </w:r>
      <w:r>
        <w:rPr>
          <w:rFonts w:cs="Helvetica"/>
          <w:lang w:val="en-AU"/>
        </w:rPr>
        <w:t xml:space="preserve">Australia and New Zealand Ministerial Forum on Food </w:t>
      </w:r>
      <w:r>
        <w:rPr>
          <w:rFonts w:cs="Arial"/>
        </w:rPr>
        <w:t>Regulation</w:t>
      </w:r>
      <w:r>
        <w:rPr>
          <w:rStyle w:val="FootnoteReference"/>
          <w:rFonts w:cs="Arial"/>
        </w:rPr>
        <w:footnoteReference w:id="1"/>
      </w:r>
      <w:r w:rsidRPr="00D13E34">
        <w:rPr>
          <w:rFonts w:eastAsia="Calibri" w:cs="Arial"/>
          <w:bCs/>
          <w:szCs w:val="22"/>
          <w:lang w:val="en-AU" w:bidi="ar-SA"/>
        </w:rPr>
        <w:t xml:space="preserve">, section 92 of the </w:t>
      </w:r>
      <w:r>
        <w:rPr>
          <w:rFonts w:eastAsia="Calibri" w:cs="Arial"/>
          <w:bCs/>
          <w:szCs w:val="22"/>
          <w:lang w:val="en-AU" w:bidi="ar-SA"/>
        </w:rPr>
        <w:t xml:space="preserve">FSANZ </w:t>
      </w:r>
      <w:r w:rsidRPr="00D13E34">
        <w:rPr>
          <w:rFonts w:eastAsia="Calibri" w:cs="Arial"/>
          <w:bCs/>
          <w:szCs w:val="22"/>
          <w:lang w:val="en-AU" w:bidi="ar-SA"/>
        </w:rPr>
        <w:t xml:space="preserve">Act stipulates that </w:t>
      </w:r>
      <w:r>
        <w:rPr>
          <w:rFonts w:eastAsia="Calibri" w:cs="Arial"/>
          <w:bCs/>
          <w:szCs w:val="22"/>
          <w:lang w:val="en-AU" w:bidi="ar-SA"/>
        </w:rPr>
        <w:t>the Authority</w:t>
      </w:r>
      <w:r w:rsidRPr="00D13E34">
        <w:rPr>
          <w:rFonts w:eastAsia="Calibri" w:cs="Arial"/>
          <w:bCs/>
          <w:szCs w:val="22"/>
          <w:lang w:val="en-AU" w:bidi="ar-SA"/>
        </w:rPr>
        <w:t xml:space="preserve"> must publish a notice about the standard or draft variation of a standard</w:t>
      </w:r>
      <w:r>
        <w:rPr>
          <w:rFonts w:eastAsia="Calibri" w:cs="Arial"/>
          <w:bCs/>
          <w:szCs w:val="22"/>
          <w:lang w:val="en-AU" w:bidi="ar-SA"/>
        </w:rPr>
        <w:t xml:space="preserve">. </w:t>
      </w:r>
    </w:p>
    <w:p w14:paraId="7F1D085E" w14:textId="77777777" w:rsidR="00334DF5" w:rsidRPr="00D13E34" w:rsidRDefault="00334DF5" w:rsidP="00334DF5">
      <w:pPr>
        <w:widowControl/>
        <w:autoSpaceDE w:val="0"/>
        <w:autoSpaceDN w:val="0"/>
        <w:adjustRightInd w:val="0"/>
        <w:rPr>
          <w:rFonts w:eastAsia="Calibri" w:cs="Arial"/>
          <w:bCs/>
          <w:szCs w:val="22"/>
          <w:lang w:val="en-AU" w:bidi="ar-SA"/>
        </w:rPr>
      </w:pPr>
    </w:p>
    <w:p w14:paraId="17D6FC2E" w14:textId="77777777" w:rsidR="00334DF5" w:rsidRPr="00D13E34" w:rsidRDefault="00334DF5" w:rsidP="00334DF5">
      <w:pPr>
        <w:widowControl/>
        <w:autoSpaceDE w:val="0"/>
        <w:autoSpaceDN w:val="0"/>
        <w:adjustRightInd w:val="0"/>
        <w:ind w:right="-286"/>
        <w:rPr>
          <w:rFonts w:eastAsia="Calibri" w:cs="Arial"/>
          <w:color w:val="000000"/>
          <w:szCs w:val="22"/>
          <w:lang w:val="en-AU" w:bidi="ar-SA"/>
        </w:rPr>
      </w:pPr>
      <w:r w:rsidRPr="00EC71D1">
        <w:rPr>
          <w:rFonts w:eastAsia="Calibri" w:cs="Arial"/>
          <w:bCs/>
          <w:color w:val="000000"/>
          <w:szCs w:val="22"/>
          <w:lang w:val="en-AU" w:bidi="ar-SA"/>
        </w:rPr>
        <w:t xml:space="preserve">Section 94 of the </w:t>
      </w:r>
      <w:r>
        <w:rPr>
          <w:rFonts w:eastAsia="Calibri" w:cs="Arial"/>
          <w:bCs/>
          <w:color w:val="000000"/>
          <w:szCs w:val="22"/>
          <w:lang w:val="en-AU" w:bidi="ar-SA"/>
        </w:rPr>
        <w:t xml:space="preserve">FSANZ </w:t>
      </w:r>
      <w:r w:rsidRPr="00EC71D1">
        <w:rPr>
          <w:rFonts w:eastAsia="Calibri" w:cs="Arial"/>
          <w:bCs/>
          <w:color w:val="000000"/>
          <w:szCs w:val="22"/>
          <w:lang w:val="en-AU" w:bidi="ar-SA"/>
        </w:rPr>
        <w:t>Act specifies that a</w:t>
      </w:r>
      <w:r w:rsidRPr="00EC71D1">
        <w:rPr>
          <w:rFonts w:eastAsia="Calibri" w:cs="Arial"/>
          <w:color w:val="000000"/>
          <w:szCs w:val="22"/>
          <w:lang w:val="en-AU" w:bidi="ar-SA"/>
        </w:rPr>
        <w:t xml:space="preserve"> standard, or a variation of a standard, in relation to which a notice is published under section 92 is a legislative instrument, but </w:t>
      </w:r>
      <w:r>
        <w:rPr>
          <w:rFonts w:eastAsia="Calibri" w:cs="Arial"/>
          <w:color w:val="000000"/>
          <w:szCs w:val="22"/>
          <w:lang w:val="en-AU" w:bidi="ar-SA"/>
        </w:rPr>
        <w:t xml:space="preserve">is not subject to parliamentary disallowance or sunsetting under the </w:t>
      </w:r>
      <w:r w:rsidRPr="00076D3B">
        <w:rPr>
          <w:rFonts w:eastAsia="Calibri" w:cs="Arial"/>
          <w:i/>
          <w:color w:val="000000"/>
          <w:szCs w:val="22"/>
          <w:lang w:val="en-AU" w:bidi="ar-SA"/>
        </w:rPr>
        <w:t>Legislative Instruments Act 2003</w:t>
      </w:r>
      <w:r>
        <w:rPr>
          <w:rFonts w:eastAsia="Calibri" w:cs="Arial"/>
          <w:color w:val="000000"/>
          <w:szCs w:val="22"/>
          <w:lang w:val="en-AU" w:bidi="ar-SA"/>
        </w:rPr>
        <w:t>.</w:t>
      </w:r>
    </w:p>
    <w:p w14:paraId="42633709" w14:textId="77777777" w:rsidR="00334DF5" w:rsidRPr="00ED60A7" w:rsidRDefault="00334DF5" w:rsidP="002E7A45">
      <w:pPr>
        <w:widowControl/>
        <w:autoSpaceDE w:val="0"/>
        <w:autoSpaceDN w:val="0"/>
        <w:adjustRightInd w:val="0"/>
        <w:rPr>
          <w:rFonts w:eastAsia="Calibri" w:cs="Arial"/>
          <w:bCs/>
          <w:szCs w:val="22"/>
          <w:lang w:bidi="ar-SA"/>
        </w:rPr>
      </w:pPr>
    </w:p>
    <w:p w14:paraId="51996EC9" w14:textId="77777777" w:rsidR="002E7A45" w:rsidRPr="00ED60A7" w:rsidRDefault="002E7A45" w:rsidP="002E7A45">
      <w:pPr>
        <w:rPr>
          <w:b/>
          <w:lang w:eastAsia="en-GB" w:bidi="ar-SA"/>
        </w:rPr>
      </w:pPr>
      <w:r w:rsidRPr="00ED60A7">
        <w:rPr>
          <w:b/>
          <w:lang w:eastAsia="en-GB" w:bidi="ar-SA"/>
        </w:rPr>
        <w:t>2.</w:t>
      </w:r>
      <w:r w:rsidRPr="00ED60A7">
        <w:rPr>
          <w:b/>
          <w:lang w:eastAsia="en-GB" w:bidi="ar-SA"/>
        </w:rPr>
        <w:tab/>
        <w:t xml:space="preserve">Purpose </w:t>
      </w:r>
    </w:p>
    <w:p w14:paraId="063C05F1" w14:textId="77777777" w:rsidR="002E7A45" w:rsidRPr="00ED60A7" w:rsidRDefault="002E7A45" w:rsidP="002E7A45">
      <w:pPr>
        <w:rPr>
          <w:lang w:eastAsia="en-GB" w:bidi="ar-SA"/>
        </w:rPr>
      </w:pPr>
    </w:p>
    <w:p w14:paraId="47BC97C3" w14:textId="77777777" w:rsidR="002E7A45" w:rsidRPr="00ED60A7" w:rsidRDefault="002E7A45" w:rsidP="002E7A45">
      <w:pPr>
        <w:rPr>
          <w:szCs w:val="22"/>
        </w:rPr>
      </w:pPr>
      <w:r w:rsidRPr="00ED60A7">
        <w:rPr>
          <w:lang w:eastAsia="en-GB" w:bidi="ar-SA"/>
        </w:rPr>
        <w:t xml:space="preserve">The Authority has approved the draft variation to </w:t>
      </w:r>
      <w:r w:rsidRPr="00ED60A7">
        <w:rPr>
          <w:szCs w:val="22"/>
        </w:rPr>
        <w:t>incorporate, into the P1025 Code, variations made to the existing Code that were previously approved by the Board in A1092, A1096, P1022 and P1029 and which have since been published; and to correct the following errors:</w:t>
      </w:r>
    </w:p>
    <w:p w14:paraId="2916E9EF" w14:textId="77777777" w:rsidR="002E7A45" w:rsidRPr="00ED60A7" w:rsidRDefault="002E7A45" w:rsidP="002E7A45">
      <w:pPr>
        <w:rPr>
          <w:szCs w:val="22"/>
        </w:rPr>
      </w:pPr>
    </w:p>
    <w:p w14:paraId="6F194459" w14:textId="01D5979F" w:rsidR="002E7A45" w:rsidRPr="00ED60A7" w:rsidRDefault="002E7A45" w:rsidP="002E7A45">
      <w:pPr>
        <w:pStyle w:val="FSBullet1"/>
        <w:widowControl/>
        <w:numPr>
          <w:ilvl w:val="0"/>
          <w:numId w:val="16"/>
        </w:numPr>
        <w:ind w:left="567" w:hanging="567"/>
      </w:pPr>
      <w:r w:rsidRPr="00ED60A7">
        <w:t>minor typographical errors</w:t>
      </w:r>
    </w:p>
    <w:p w14:paraId="375FF1F5" w14:textId="77777777" w:rsidR="002E7A45" w:rsidRPr="00ED60A7" w:rsidRDefault="002E7A45" w:rsidP="002E7A45">
      <w:pPr>
        <w:pStyle w:val="FSBullet1"/>
        <w:widowControl/>
        <w:numPr>
          <w:ilvl w:val="0"/>
          <w:numId w:val="16"/>
        </w:numPr>
        <w:ind w:left="567" w:hanging="567"/>
      </w:pPr>
      <w:r w:rsidRPr="00ED60A7">
        <w:t>errors made in the previous incorporation, into the P1025 Code, of variations to the existing Code arising from Applications and Proposals other than those mentioned above.</w:t>
      </w:r>
    </w:p>
    <w:p w14:paraId="76D225EF" w14:textId="77777777" w:rsidR="002E7A45" w:rsidRPr="00ED60A7" w:rsidRDefault="002E7A45" w:rsidP="002E7A45">
      <w:pPr>
        <w:rPr>
          <w:lang w:eastAsia="en-GB" w:bidi="ar-SA"/>
        </w:rPr>
      </w:pPr>
    </w:p>
    <w:p w14:paraId="77062B2C" w14:textId="77777777" w:rsidR="002E7A45" w:rsidRPr="00ED60A7" w:rsidRDefault="002E7A45" w:rsidP="002E7A45">
      <w:pPr>
        <w:rPr>
          <w:b/>
          <w:lang w:eastAsia="en-GB" w:bidi="ar-SA"/>
        </w:rPr>
      </w:pPr>
      <w:r w:rsidRPr="00ED60A7">
        <w:rPr>
          <w:b/>
          <w:lang w:eastAsia="en-GB" w:bidi="ar-SA"/>
        </w:rPr>
        <w:t>3.</w:t>
      </w:r>
      <w:r w:rsidRPr="00ED60A7">
        <w:rPr>
          <w:b/>
          <w:lang w:eastAsia="en-GB" w:bidi="ar-SA"/>
        </w:rPr>
        <w:tab/>
        <w:t>Documents incorporated by reference</w:t>
      </w:r>
    </w:p>
    <w:p w14:paraId="42B31FA9" w14:textId="77777777" w:rsidR="002E7A45" w:rsidRPr="00ED60A7" w:rsidRDefault="002E7A45" w:rsidP="002E7A45">
      <w:pPr>
        <w:rPr>
          <w:lang w:eastAsia="en-GB" w:bidi="ar-SA"/>
        </w:rPr>
      </w:pPr>
    </w:p>
    <w:p w14:paraId="6CD266CA" w14:textId="77777777" w:rsidR="002E7A45" w:rsidRPr="00ED60A7" w:rsidRDefault="002E7A45" w:rsidP="002E7A45">
      <w:pPr>
        <w:widowControl/>
        <w:autoSpaceDE w:val="0"/>
        <w:autoSpaceDN w:val="0"/>
        <w:adjustRightInd w:val="0"/>
        <w:rPr>
          <w:rFonts w:eastAsia="Calibri" w:cs="Arial"/>
          <w:bCs/>
          <w:szCs w:val="22"/>
          <w:lang w:bidi="ar-SA"/>
        </w:rPr>
      </w:pPr>
      <w:r w:rsidRPr="00ED60A7">
        <w:rPr>
          <w:rFonts w:eastAsia="Calibri" w:cs="Arial"/>
          <w:bCs/>
          <w:szCs w:val="22"/>
          <w:lang w:bidi="ar-SA"/>
        </w:rPr>
        <w:t>The variation to the P1025 Code does not incorporate any documents by reference not already incorporated into the existing Code.</w:t>
      </w:r>
    </w:p>
    <w:p w14:paraId="5EBE4FC3" w14:textId="77777777" w:rsidR="002E7A45" w:rsidRPr="00ED60A7" w:rsidRDefault="002E7A45" w:rsidP="002E7A45">
      <w:pPr>
        <w:rPr>
          <w:lang w:eastAsia="en-GB" w:bidi="ar-SA"/>
        </w:rPr>
      </w:pPr>
    </w:p>
    <w:p w14:paraId="4606D9C2" w14:textId="77777777" w:rsidR="002E7A45" w:rsidRPr="00ED60A7" w:rsidRDefault="002E7A45" w:rsidP="002E7A45">
      <w:pPr>
        <w:rPr>
          <w:b/>
          <w:lang w:eastAsia="en-GB" w:bidi="ar-SA"/>
        </w:rPr>
      </w:pPr>
      <w:r w:rsidRPr="00ED60A7">
        <w:rPr>
          <w:b/>
          <w:lang w:eastAsia="en-GB" w:bidi="ar-SA"/>
        </w:rPr>
        <w:t>4.</w:t>
      </w:r>
      <w:r w:rsidRPr="00ED60A7">
        <w:rPr>
          <w:b/>
          <w:lang w:eastAsia="en-GB" w:bidi="ar-SA"/>
        </w:rPr>
        <w:tab/>
        <w:t>Consultation</w:t>
      </w:r>
    </w:p>
    <w:p w14:paraId="0FDCD33A" w14:textId="77777777" w:rsidR="002E7A45" w:rsidRPr="00ED60A7" w:rsidRDefault="002E7A45" w:rsidP="002E7A45">
      <w:pPr>
        <w:rPr>
          <w:lang w:eastAsia="en-GB" w:bidi="ar-SA"/>
        </w:rPr>
      </w:pPr>
    </w:p>
    <w:p w14:paraId="639D86A0" w14:textId="77777777" w:rsidR="00334DF5" w:rsidRDefault="002E7A45" w:rsidP="002E7A45">
      <w:pPr>
        <w:rPr>
          <w:szCs w:val="22"/>
        </w:rPr>
      </w:pPr>
      <w:r w:rsidRPr="00ED60A7">
        <w:rPr>
          <w:szCs w:val="22"/>
        </w:rPr>
        <w:t xml:space="preserve">In accordance with the procedure in Division 2 of Part 3 of the FSANZ Act, </w:t>
      </w:r>
      <w:r w:rsidRPr="00ED60A7">
        <w:rPr>
          <w:rFonts w:eastAsia="Calibri" w:cs="Arial"/>
          <w:bCs/>
          <w:szCs w:val="22"/>
          <w:lang w:bidi="ar-SA"/>
        </w:rPr>
        <w:t>the Authority</w:t>
      </w:r>
      <w:r w:rsidRPr="00ED60A7">
        <w:rPr>
          <w:szCs w:val="22"/>
        </w:rPr>
        <w:t>’s consideration of P1036 include</w:t>
      </w:r>
      <w:r>
        <w:rPr>
          <w:szCs w:val="22"/>
        </w:rPr>
        <w:t>d</w:t>
      </w:r>
      <w:r w:rsidRPr="00ED60A7">
        <w:rPr>
          <w:szCs w:val="22"/>
        </w:rPr>
        <w:t xml:space="preserve"> one round of consultation with appropriate government agencies following an assessment and the preparation of a draft variation and associated report. </w:t>
      </w:r>
      <w:r w:rsidR="00334DF5">
        <w:rPr>
          <w:szCs w:val="22"/>
        </w:rPr>
        <w:br w:type="page"/>
      </w:r>
    </w:p>
    <w:p w14:paraId="25A01331" w14:textId="26B0B1B0" w:rsidR="002E7A45" w:rsidRPr="00ED60A7" w:rsidRDefault="002E7A45" w:rsidP="002E7A45">
      <w:r w:rsidRPr="00ED60A7">
        <w:rPr>
          <w:szCs w:val="22"/>
        </w:rPr>
        <w:lastRenderedPageBreak/>
        <w:t xml:space="preserve">Because the amendments affect a wide range of FSANZ’s stakeholders, the call for submissions </w:t>
      </w:r>
      <w:r>
        <w:rPr>
          <w:szCs w:val="22"/>
        </w:rPr>
        <w:t>was</w:t>
      </w:r>
      <w:r w:rsidRPr="00ED60A7">
        <w:rPr>
          <w:szCs w:val="22"/>
        </w:rPr>
        <w:t xml:space="preserve"> also notified in FSANZ’s Notification Circular to ensure all stakeholders </w:t>
      </w:r>
      <w:r>
        <w:rPr>
          <w:szCs w:val="22"/>
        </w:rPr>
        <w:t>were</w:t>
      </w:r>
      <w:r w:rsidRPr="00ED60A7">
        <w:rPr>
          <w:szCs w:val="22"/>
        </w:rPr>
        <w:t xml:space="preserve"> included in the call for submissions.</w:t>
      </w:r>
    </w:p>
    <w:p w14:paraId="090CFE58" w14:textId="77777777" w:rsidR="002E7A45" w:rsidRPr="00ED60A7" w:rsidRDefault="002E7A45" w:rsidP="002E7A45"/>
    <w:p w14:paraId="52862AA4" w14:textId="77777777" w:rsidR="002E7A45" w:rsidRPr="00ED60A7" w:rsidRDefault="002E7A45" w:rsidP="002E7A45">
      <w:pPr>
        <w:widowControl/>
        <w:autoSpaceDE w:val="0"/>
        <w:autoSpaceDN w:val="0"/>
        <w:adjustRightInd w:val="0"/>
        <w:rPr>
          <w:rFonts w:cs="Arial"/>
          <w:szCs w:val="22"/>
        </w:rPr>
      </w:pPr>
      <w:r w:rsidRPr="00ED60A7">
        <w:rPr>
          <w:rFonts w:eastAsia="Calibri" w:cs="Arial"/>
          <w:bCs/>
          <w:szCs w:val="22"/>
          <w:lang w:bidi="ar-SA"/>
        </w:rPr>
        <w:t xml:space="preserve">A Regulation Impact Statement was not required because the proposed variation to the P1025 Code </w:t>
      </w:r>
      <w:r w:rsidRPr="00ED60A7">
        <w:t>is likely to have a minor impact on business and individuals. Proposal P1036 is considered to be</w:t>
      </w:r>
      <w:r w:rsidRPr="00ED60A7">
        <w:rPr>
          <w:szCs w:val="22"/>
        </w:rPr>
        <w:t xml:space="preserve"> an extension of the permission for the original code reform proposal P1025 (OBPR reference 14493).</w:t>
      </w:r>
    </w:p>
    <w:p w14:paraId="001ECA05" w14:textId="77777777" w:rsidR="002E7A45" w:rsidRPr="00ED60A7" w:rsidRDefault="002E7A45" w:rsidP="002E7A45">
      <w:pPr>
        <w:widowControl/>
        <w:rPr>
          <w:rFonts w:eastAsiaTheme="minorHAnsi" w:cs="Arial"/>
          <w:b/>
          <w:bCs/>
          <w:szCs w:val="22"/>
          <w:lang w:bidi="ar-SA"/>
        </w:rPr>
      </w:pPr>
    </w:p>
    <w:p w14:paraId="78E81E12" w14:textId="77777777" w:rsidR="002E7A45" w:rsidRPr="00ED60A7" w:rsidRDefault="002E7A45" w:rsidP="002E7A45">
      <w:pPr>
        <w:widowControl/>
        <w:rPr>
          <w:rFonts w:eastAsiaTheme="minorHAnsi" w:cs="Arial"/>
          <w:b/>
          <w:bCs/>
          <w:szCs w:val="22"/>
          <w:lang w:bidi="ar-SA"/>
        </w:rPr>
      </w:pPr>
      <w:r w:rsidRPr="00ED60A7">
        <w:rPr>
          <w:rFonts w:eastAsiaTheme="minorHAnsi" w:cs="Arial"/>
          <w:b/>
          <w:bCs/>
          <w:szCs w:val="22"/>
          <w:lang w:bidi="ar-SA"/>
        </w:rPr>
        <w:t>5.</w:t>
      </w:r>
      <w:r w:rsidRPr="00ED60A7">
        <w:rPr>
          <w:rFonts w:eastAsiaTheme="minorHAnsi" w:cs="Arial"/>
          <w:b/>
          <w:bCs/>
          <w:szCs w:val="22"/>
          <w:lang w:bidi="ar-SA"/>
        </w:rPr>
        <w:tab/>
        <w:t>Statement of compatibility with human rights</w:t>
      </w:r>
    </w:p>
    <w:p w14:paraId="7BD6870E" w14:textId="77777777" w:rsidR="002E7A45" w:rsidRPr="00ED60A7" w:rsidRDefault="002E7A45" w:rsidP="002E7A45">
      <w:pPr>
        <w:rPr>
          <w:rFonts w:eastAsiaTheme="minorHAnsi"/>
          <w:lang w:bidi="ar-SA"/>
        </w:rPr>
      </w:pPr>
    </w:p>
    <w:p w14:paraId="7008214A" w14:textId="77777777" w:rsidR="002E7A45" w:rsidRPr="00ED60A7" w:rsidRDefault="002E7A45" w:rsidP="002E7A45">
      <w:pPr>
        <w:rPr>
          <w:rFonts w:eastAsiaTheme="minorHAnsi"/>
          <w:lang w:bidi="ar-SA"/>
        </w:rPr>
      </w:pPr>
      <w:r w:rsidRPr="00ED60A7">
        <w:rPr>
          <w:rFonts w:eastAsiaTheme="minorHAnsi"/>
          <w:lang w:bidi="ar-SA"/>
        </w:rPr>
        <w:t>This instrument is exempt from the requirements for a statement of compatibility with human rights as it is a non-disallowable instrument under section 94 of the FSANZ Act.</w:t>
      </w:r>
    </w:p>
    <w:p w14:paraId="02F201CF" w14:textId="77777777" w:rsidR="002E7A45" w:rsidRPr="00ED60A7" w:rsidRDefault="002E7A45" w:rsidP="002E7A45">
      <w:pPr>
        <w:rPr>
          <w:b/>
        </w:rPr>
      </w:pPr>
    </w:p>
    <w:p w14:paraId="193C014C" w14:textId="77777777" w:rsidR="002E7A45" w:rsidRPr="00ED60A7" w:rsidRDefault="002E7A45" w:rsidP="002E7A45">
      <w:pPr>
        <w:rPr>
          <w:lang w:eastAsia="en-GB" w:bidi="ar-SA"/>
        </w:rPr>
      </w:pPr>
      <w:r w:rsidRPr="00ED60A7">
        <w:rPr>
          <w:b/>
        </w:rPr>
        <w:t>6.</w:t>
      </w:r>
      <w:r w:rsidRPr="00ED60A7">
        <w:rPr>
          <w:b/>
        </w:rPr>
        <w:tab/>
      </w:r>
      <w:r w:rsidRPr="00ED60A7">
        <w:rPr>
          <w:b/>
          <w:lang w:eastAsia="en-GB" w:bidi="ar-SA"/>
        </w:rPr>
        <w:t>Variation</w:t>
      </w:r>
    </w:p>
    <w:p w14:paraId="2E0A82B3" w14:textId="77777777" w:rsidR="002E7A45" w:rsidRPr="00ED60A7" w:rsidRDefault="002E7A45" w:rsidP="002E7A45"/>
    <w:p w14:paraId="6444DF72" w14:textId="77777777" w:rsidR="002E7A45" w:rsidRPr="00ED60A7" w:rsidRDefault="002E7A45" w:rsidP="002E7A45">
      <w:pPr>
        <w:rPr>
          <w:b/>
          <w:i/>
        </w:rPr>
      </w:pPr>
      <w:r w:rsidRPr="00ED60A7">
        <w:rPr>
          <w:b/>
          <w:i/>
        </w:rPr>
        <w:t>Subsection 1.1.1—2(2)</w:t>
      </w:r>
    </w:p>
    <w:p w14:paraId="413D1120" w14:textId="77777777" w:rsidR="002E7A45" w:rsidRPr="00ED60A7" w:rsidRDefault="002E7A45" w:rsidP="002E7A45"/>
    <w:p w14:paraId="5EC6C400" w14:textId="77777777" w:rsidR="002E7A45" w:rsidRPr="00ED60A7" w:rsidRDefault="002E7A45" w:rsidP="002E7A45">
      <w:r w:rsidRPr="00ED60A7">
        <w:t>Item [1] corrects references to the headings of the following Standards and Schedules, to correct transcription errors:</w:t>
      </w:r>
    </w:p>
    <w:p w14:paraId="0A5A29DE" w14:textId="77777777" w:rsidR="002E7A45" w:rsidRPr="00ED60A7" w:rsidRDefault="002E7A45" w:rsidP="002E7A45"/>
    <w:p w14:paraId="4004D269" w14:textId="77777777" w:rsidR="002E7A45" w:rsidRPr="00ED60A7" w:rsidRDefault="002E7A45" w:rsidP="002E7A45">
      <w:pPr>
        <w:pStyle w:val="FSBullet1"/>
        <w:widowControl/>
        <w:numPr>
          <w:ilvl w:val="0"/>
          <w:numId w:val="16"/>
        </w:numPr>
        <w:ind w:left="567" w:hanging="567"/>
      </w:pPr>
      <w:r w:rsidRPr="00ED60A7">
        <w:t>Standard 1.2.6</w:t>
      </w:r>
    </w:p>
    <w:p w14:paraId="1408D8CB" w14:textId="77777777" w:rsidR="002E7A45" w:rsidRPr="00ED60A7" w:rsidRDefault="002E7A45" w:rsidP="002E7A45">
      <w:pPr>
        <w:pStyle w:val="FSBullet1"/>
        <w:widowControl/>
        <w:numPr>
          <w:ilvl w:val="0"/>
          <w:numId w:val="16"/>
        </w:numPr>
        <w:ind w:left="567" w:hanging="567"/>
      </w:pPr>
      <w:r w:rsidRPr="00ED60A7">
        <w:t>Standard 1.2.10</w:t>
      </w:r>
    </w:p>
    <w:p w14:paraId="3271A4A3" w14:textId="77777777" w:rsidR="002E7A45" w:rsidRPr="00ED60A7" w:rsidRDefault="002E7A45" w:rsidP="002E7A45">
      <w:pPr>
        <w:pStyle w:val="FSBullet1"/>
        <w:widowControl/>
        <w:numPr>
          <w:ilvl w:val="0"/>
          <w:numId w:val="16"/>
        </w:numPr>
        <w:ind w:left="567" w:hanging="567"/>
      </w:pPr>
      <w:r w:rsidRPr="00ED60A7">
        <w:t>Standard 1.2.11</w:t>
      </w:r>
    </w:p>
    <w:p w14:paraId="4CC5C03B" w14:textId="77777777" w:rsidR="002E7A45" w:rsidRPr="00ED60A7" w:rsidRDefault="002E7A45" w:rsidP="002E7A45">
      <w:pPr>
        <w:pStyle w:val="FSBullet1"/>
        <w:widowControl/>
        <w:numPr>
          <w:ilvl w:val="0"/>
          <w:numId w:val="16"/>
        </w:numPr>
        <w:ind w:left="567" w:hanging="567"/>
      </w:pPr>
      <w:r w:rsidRPr="00ED60A7">
        <w:t>Standard 2.8.1</w:t>
      </w:r>
    </w:p>
    <w:p w14:paraId="596C680E" w14:textId="77777777" w:rsidR="002E7A45" w:rsidRPr="00ED60A7" w:rsidRDefault="002E7A45" w:rsidP="002E7A45">
      <w:pPr>
        <w:pStyle w:val="FSBullet1"/>
        <w:widowControl/>
        <w:numPr>
          <w:ilvl w:val="0"/>
          <w:numId w:val="16"/>
        </w:numPr>
        <w:ind w:left="567" w:hanging="567"/>
      </w:pPr>
      <w:r w:rsidRPr="00ED60A7">
        <w:t>Schedule 14</w:t>
      </w:r>
    </w:p>
    <w:p w14:paraId="2EE0CC03" w14:textId="77777777" w:rsidR="002E7A45" w:rsidRPr="00ED60A7" w:rsidRDefault="002E7A45" w:rsidP="002E7A45">
      <w:pPr>
        <w:pStyle w:val="FSBullet1"/>
        <w:widowControl/>
        <w:numPr>
          <w:ilvl w:val="0"/>
          <w:numId w:val="16"/>
        </w:numPr>
        <w:ind w:left="567" w:hanging="567"/>
      </w:pPr>
      <w:r w:rsidRPr="00ED60A7">
        <w:t>Schedule 16</w:t>
      </w:r>
    </w:p>
    <w:p w14:paraId="00FF4A4A" w14:textId="77777777" w:rsidR="002E7A45" w:rsidRPr="00ED60A7" w:rsidRDefault="002E7A45" w:rsidP="002E7A45">
      <w:pPr>
        <w:pStyle w:val="FSBullet1"/>
        <w:widowControl/>
        <w:numPr>
          <w:ilvl w:val="0"/>
          <w:numId w:val="16"/>
        </w:numPr>
        <w:ind w:left="567" w:hanging="567"/>
      </w:pPr>
      <w:r w:rsidRPr="00ED60A7">
        <w:t>Schedule 27</w:t>
      </w:r>
    </w:p>
    <w:p w14:paraId="5CD19907" w14:textId="77777777" w:rsidR="002E7A45" w:rsidRPr="00ED60A7" w:rsidRDefault="002E7A45" w:rsidP="002E7A45">
      <w:pPr>
        <w:pStyle w:val="FSBullet1"/>
        <w:widowControl/>
        <w:numPr>
          <w:ilvl w:val="0"/>
          <w:numId w:val="16"/>
        </w:numPr>
        <w:ind w:left="567" w:hanging="567"/>
      </w:pPr>
      <w:r w:rsidRPr="00ED60A7">
        <w:t>Schedule 28.</w:t>
      </w:r>
    </w:p>
    <w:p w14:paraId="6FE87875" w14:textId="77777777" w:rsidR="002E7A45" w:rsidRPr="00ED60A7" w:rsidRDefault="002E7A45" w:rsidP="002E7A45"/>
    <w:p w14:paraId="446220C8" w14:textId="77777777" w:rsidR="002E7A45" w:rsidRPr="00ED60A7" w:rsidRDefault="002E7A45" w:rsidP="002E7A45">
      <w:pPr>
        <w:rPr>
          <w:b/>
          <w:i/>
        </w:rPr>
      </w:pPr>
      <w:r w:rsidRPr="00ED60A7">
        <w:rPr>
          <w:b/>
          <w:i/>
        </w:rPr>
        <w:t>Subsection 1.1.1—13(2) (Note 1)</w:t>
      </w:r>
    </w:p>
    <w:p w14:paraId="0390714D" w14:textId="77777777" w:rsidR="002E7A45" w:rsidRPr="00ED60A7" w:rsidRDefault="002E7A45" w:rsidP="002E7A45">
      <w:pPr>
        <w:rPr>
          <w:u w:val="single"/>
        </w:rPr>
      </w:pPr>
    </w:p>
    <w:p w14:paraId="575745E0" w14:textId="77777777" w:rsidR="002E7A45" w:rsidRPr="00ED60A7" w:rsidRDefault="002E7A45" w:rsidP="002E7A45">
      <w:r w:rsidRPr="00ED60A7">
        <w:t>Item [2] replaces ‘</w:t>
      </w:r>
      <w:r w:rsidRPr="00ED60A7">
        <w:rPr>
          <w:b/>
          <w:i/>
        </w:rPr>
        <w:t>Note 1</w:t>
      </w:r>
      <w:r w:rsidRPr="00ED60A7">
        <w:t>’ with ‘</w:t>
      </w:r>
      <w:r w:rsidRPr="00ED60A7">
        <w:rPr>
          <w:b/>
          <w:i/>
        </w:rPr>
        <w:t>Note</w:t>
      </w:r>
      <w:r w:rsidRPr="00ED60A7">
        <w:t xml:space="preserve">’, to correct a numbering error. </w:t>
      </w:r>
    </w:p>
    <w:p w14:paraId="4A209756" w14:textId="77777777" w:rsidR="002E7A45" w:rsidRPr="00ED60A7" w:rsidRDefault="002E7A45" w:rsidP="002E7A45"/>
    <w:p w14:paraId="5F5AACD6" w14:textId="77777777" w:rsidR="002E7A45" w:rsidRPr="00ED60A7" w:rsidRDefault="002E7A45" w:rsidP="002E7A45">
      <w:pPr>
        <w:rPr>
          <w:b/>
          <w:i/>
        </w:rPr>
      </w:pPr>
      <w:r w:rsidRPr="00ED60A7">
        <w:rPr>
          <w:b/>
          <w:i/>
        </w:rPr>
        <w:t>Subsection 1.1.1—13(3) (First example)</w:t>
      </w:r>
    </w:p>
    <w:p w14:paraId="34A56B7A" w14:textId="77777777" w:rsidR="002E7A45" w:rsidRPr="00ED60A7" w:rsidRDefault="002E7A45" w:rsidP="002E7A45"/>
    <w:p w14:paraId="49190A13" w14:textId="77777777" w:rsidR="002E7A45" w:rsidRPr="00ED60A7" w:rsidRDefault="002E7A45" w:rsidP="002E7A45">
      <w:r w:rsidRPr="00ED60A7">
        <w:t>Item [3] replaces ‘</w:t>
      </w:r>
      <w:r w:rsidRPr="00ED60A7">
        <w:rPr>
          <w:b/>
          <w:i/>
        </w:rPr>
        <w:t>Example</w:t>
      </w:r>
      <w:r w:rsidRPr="00ED60A7">
        <w:rPr>
          <w:i/>
        </w:rPr>
        <w:t>’</w:t>
      </w:r>
      <w:r w:rsidRPr="00ED60A7">
        <w:t xml:space="preserve"> with ‘</w:t>
      </w:r>
      <w:r w:rsidRPr="00ED60A7">
        <w:rPr>
          <w:b/>
          <w:i/>
        </w:rPr>
        <w:t>Example 1</w:t>
      </w:r>
      <w:r w:rsidRPr="00ED60A7">
        <w:rPr>
          <w:i/>
        </w:rPr>
        <w:t>’</w:t>
      </w:r>
      <w:r w:rsidRPr="00ED60A7">
        <w:t>, to correct a numbering error.</w:t>
      </w:r>
    </w:p>
    <w:p w14:paraId="60A4642D" w14:textId="77777777" w:rsidR="002E7A45" w:rsidRPr="00ED60A7" w:rsidRDefault="002E7A45" w:rsidP="002E7A45"/>
    <w:p w14:paraId="1DA3F40E" w14:textId="77777777" w:rsidR="002E7A45" w:rsidRPr="00ED60A7" w:rsidRDefault="002E7A45" w:rsidP="002E7A45">
      <w:pPr>
        <w:rPr>
          <w:b/>
          <w:i/>
        </w:rPr>
      </w:pPr>
      <w:r w:rsidRPr="00ED60A7">
        <w:rPr>
          <w:b/>
          <w:i/>
        </w:rPr>
        <w:t>Paragraph 1.1.2—7(2)(a) (definition of acute care hospital)</w:t>
      </w:r>
    </w:p>
    <w:p w14:paraId="35D69188" w14:textId="77777777" w:rsidR="002E7A45" w:rsidRPr="00ED60A7" w:rsidRDefault="002E7A45" w:rsidP="002E7A45"/>
    <w:p w14:paraId="0399DD16" w14:textId="77777777" w:rsidR="002E7A45" w:rsidRPr="00ED60A7" w:rsidRDefault="002E7A45" w:rsidP="002E7A45">
      <w:r w:rsidRPr="00ED60A7">
        <w:t>Item [4] replaces ‘ailments,’ with ‘ailments’, to correct a typographical error.</w:t>
      </w:r>
    </w:p>
    <w:p w14:paraId="40C33DD4" w14:textId="77777777" w:rsidR="002E7A45" w:rsidRPr="00ED60A7" w:rsidRDefault="002E7A45" w:rsidP="002E7A45">
      <w:pPr>
        <w:pStyle w:val="FSCh5SchItem"/>
        <w:spacing w:before="0" w:after="0"/>
        <w:rPr>
          <w:b w:val="0"/>
          <w:sz w:val="22"/>
          <w:szCs w:val="22"/>
          <w:u w:val="single"/>
          <w:lang w:val="en-GB"/>
        </w:rPr>
      </w:pPr>
    </w:p>
    <w:p w14:paraId="1D27C7A2" w14:textId="77777777" w:rsidR="002E7A45" w:rsidRPr="00ED60A7" w:rsidRDefault="002E7A45" w:rsidP="002E7A45">
      <w:pPr>
        <w:pStyle w:val="FSCh5SchItem"/>
        <w:spacing w:before="0" w:after="0"/>
        <w:rPr>
          <w:i/>
          <w:sz w:val="22"/>
          <w:szCs w:val="22"/>
          <w:lang w:val="en-GB"/>
        </w:rPr>
      </w:pPr>
      <w:r w:rsidRPr="00ED60A7">
        <w:rPr>
          <w:i/>
          <w:sz w:val="22"/>
          <w:szCs w:val="22"/>
          <w:lang w:val="en-GB"/>
        </w:rPr>
        <w:t>Subsection 1.2.1—6(3)</w:t>
      </w:r>
    </w:p>
    <w:p w14:paraId="1A224E9F" w14:textId="77777777" w:rsidR="002E7A45" w:rsidRPr="00ED60A7" w:rsidRDefault="002E7A45" w:rsidP="002E7A45"/>
    <w:p w14:paraId="312EE927" w14:textId="77777777" w:rsidR="002E7A45" w:rsidRPr="00ED60A7" w:rsidRDefault="002E7A45" w:rsidP="002E7A45">
      <w:pPr>
        <w:pStyle w:val="FSCtAmendingwords"/>
        <w:spacing w:before="0"/>
        <w:ind w:left="0"/>
        <w:rPr>
          <w:sz w:val="22"/>
          <w:lang w:val="en-GB"/>
        </w:rPr>
      </w:pPr>
      <w:r w:rsidRPr="00ED60A7">
        <w:rPr>
          <w:sz w:val="22"/>
          <w:lang w:val="en-GB"/>
        </w:rPr>
        <w:t>Item [5] replaces ‘*individual portion pack’ with ‘individual portion pack’, to correct a typographical error.</w:t>
      </w:r>
    </w:p>
    <w:p w14:paraId="6FB34A44" w14:textId="77777777" w:rsidR="002E7A45" w:rsidRPr="00ED60A7" w:rsidRDefault="002E7A45" w:rsidP="002E7A45"/>
    <w:p w14:paraId="4C350F62" w14:textId="77777777" w:rsidR="002E7A45" w:rsidRPr="00ED60A7" w:rsidRDefault="002E7A45" w:rsidP="002E7A45">
      <w:pPr>
        <w:rPr>
          <w:b/>
          <w:i/>
        </w:rPr>
      </w:pPr>
      <w:r w:rsidRPr="00ED60A7">
        <w:rPr>
          <w:b/>
          <w:i/>
        </w:rPr>
        <w:t>Paragraph 1.2.1—16(3)(b)</w:t>
      </w:r>
    </w:p>
    <w:p w14:paraId="2A9C0608" w14:textId="77777777" w:rsidR="002E7A45" w:rsidRPr="00ED60A7" w:rsidRDefault="002E7A45" w:rsidP="002E7A45">
      <w:pPr>
        <w:rPr>
          <w:u w:val="single"/>
        </w:rPr>
      </w:pPr>
    </w:p>
    <w:p w14:paraId="3EA03C2B" w14:textId="77777777" w:rsidR="002E7A45" w:rsidRPr="00ED60A7" w:rsidRDefault="002E7A45" w:rsidP="002E7A45">
      <w:r w:rsidRPr="00ED60A7">
        <w:rPr>
          <w:szCs w:val="22"/>
        </w:rPr>
        <w:t>Item [6] replaces ‘</w:t>
      </w:r>
      <w:r w:rsidRPr="00ED60A7">
        <w:t>paragraph 1.2.1—8(1)(k)’ with ‘paragraph 1.2.1—8(1)(j)’ , to correct a typographical error.</w:t>
      </w:r>
    </w:p>
    <w:p w14:paraId="2431209A" w14:textId="77777777" w:rsidR="002E7A45" w:rsidRPr="00ED60A7" w:rsidRDefault="002E7A45" w:rsidP="002E7A45"/>
    <w:p w14:paraId="4149A3FB" w14:textId="77777777" w:rsidR="00334DF5" w:rsidRDefault="00334DF5" w:rsidP="002E7A45">
      <w:pPr>
        <w:rPr>
          <w:b/>
          <w:i/>
        </w:rPr>
      </w:pPr>
      <w:r>
        <w:rPr>
          <w:b/>
          <w:i/>
        </w:rPr>
        <w:br w:type="page"/>
      </w:r>
    </w:p>
    <w:p w14:paraId="0BBC8BC4" w14:textId="4ED44AE2" w:rsidR="002E7A45" w:rsidRPr="00ED60A7" w:rsidRDefault="002E7A45" w:rsidP="002E7A45">
      <w:pPr>
        <w:rPr>
          <w:b/>
          <w:i/>
        </w:rPr>
      </w:pPr>
      <w:r w:rsidRPr="00ED60A7">
        <w:rPr>
          <w:b/>
          <w:i/>
        </w:rPr>
        <w:lastRenderedPageBreak/>
        <w:t>Section 1.2.1—17</w:t>
      </w:r>
    </w:p>
    <w:p w14:paraId="5B4A8D2F" w14:textId="77777777" w:rsidR="002E7A45" w:rsidRPr="00ED60A7" w:rsidRDefault="002E7A45" w:rsidP="002E7A45"/>
    <w:p w14:paraId="561719A4" w14:textId="77777777" w:rsidR="002E7A45" w:rsidRPr="00ED60A7" w:rsidRDefault="002E7A45" w:rsidP="002E7A45">
      <w:r w:rsidRPr="00ED60A7">
        <w:rPr>
          <w:szCs w:val="22"/>
        </w:rPr>
        <w:t xml:space="preserve">Item [7] replaces </w:t>
      </w:r>
      <w:r w:rsidRPr="00ED60A7">
        <w:t>‘*caterer’ (second occurrence) with ‘caterer’, to correct a typographical error.</w:t>
      </w:r>
    </w:p>
    <w:p w14:paraId="4F3F930D" w14:textId="77777777" w:rsidR="002E7A45" w:rsidRPr="00ED60A7" w:rsidRDefault="002E7A45" w:rsidP="002E7A45"/>
    <w:p w14:paraId="54F937D5" w14:textId="77777777" w:rsidR="002E7A45" w:rsidRPr="00ED60A7" w:rsidRDefault="002E7A45" w:rsidP="002E7A45">
      <w:pPr>
        <w:rPr>
          <w:b/>
          <w:i/>
        </w:rPr>
      </w:pPr>
      <w:r w:rsidRPr="00ED60A7">
        <w:rPr>
          <w:b/>
          <w:i/>
        </w:rPr>
        <w:t>Subparagraph 1.2.5—3(1)(b)(i)</w:t>
      </w:r>
    </w:p>
    <w:p w14:paraId="77DFC59C" w14:textId="77777777" w:rsidR="002E7A45" w:rsidRPr="00ED60A7" w:rsidRDefault="002E7A45" w:rsidP="002E7A45"/>
    <w:p w14:paraId="5EACECB4" w14:textId="77777777" w:rsidR="002E7A45" w:rsidRPr="00ED60A7" w:rsidRDefault="002E7A45" w:rsidP="002E7A45">
      <w:r w:rsidRPr="00ED60A7">
        <w:rPr>
          <w:szCs w:val="22"/>
        </w:rPr>
        <w:t xml:space="preserve">Item [8] replaces </w:t>
      </w:r>
      <w:r w:rsidRPr="00ED60A7">
        <w:t>‘best-before date’ with ‘*best-before date’, to correct a typographical error.</w:t>
      </w:r>
    </w:p>
    <w:p w14:paraId="2B0198F9" w14:textId="3CF8B515" w:rsidR="002E7A45" w:rsidRPr="00ED60A7" w:rsidRDefault="002E7A45" w:rsidP="002E7A45"/>
    <w:p w14:paraId="77564B4A" w14:textId="77777777" w:rsidR="002E7A45" w:rsidRPr="00ED60A7" w:rsidRDefault="002E7A45" w:rsidP="002E7A45">
      <w:pPr>
        <w:pStyle w:val="FSCh5SchItem"/>
        <w:spacing w:before="0" w:after="0"/>
        <w:rPr>
          <w:i/>
          <w:sz w:val="22"/>
          <w:szCs w:val="22"/>
          <w:lang w:val="en-GB"/>
        </w:rPr>
      </w:pPr>
      <w:r w:rsidRPr="00ED60A7">
        <w:rPr>
          <w:i/>
          <w:sz w:val="22"/>
          <w:szCs w:val="22"/>
          <w:lang w:val="en-GB"/>
        </w:rPr>
        <w:t>Sub-subparagraph 1.2.5—3(1)(b)(ii)(A)</w:t>
      </w:r>
    </w:p>
    <w:p w14:paraId="449356FC" w14:textId="77777777" w:rsidR="002E7A45" w:rsidRPr="00ED60A7" w:rsidRDefault="002E7A45" w:rsidP="002E7A45"/>
    <w:p w14:paraId="637CDA2F" w14:textId="77777777" w:rsidR="002E7A45" w:rsidRPr="00ED60A7" w:rsidRDefault="002E7A45" w:rsidP="002E7A45">
      <w:r w:rsidRPr="00ED60A7">
        <w:rPr>
          <w:szCs w:val="22"/>
        </w:rPr>
        <w:t xml:space="preserve">Item [9] replaces </w:t>
      </w:r>
      <w:r w:rsidRPr="00ED60A7">
        <w:t>‘*best-before date’ with ‘best-before date’, to correct a typographical error.</w:t>
      </w:r>
    </w:p>
    <w:p w14:paraId="47CB38B5" w14:textId="77777777" w:rsidR="002E7A45" w:rsidRPr="00ED60A7" w:rsidRDefault="002E7A45" w:rsidP="002E7A45"/>
    <w:p w14:paraId="5A4B465A" w14:textId="77777777" w:rsidR="002E7A45" w:rsidRPr="00ED60A7" w:rsidRDefault="002E7A45" w:rsidP="002E7A45">
      <w:pPr>
        <w:pStyle w:val="FSCh5SchItem"/>
        <w:spacing w:before="0" w:after="0"/>
        <w:rPr>
          <w:i/>
          <w:sz w:val="22"/>
          <w:szCs w:val="22"/>
          <w:lang w:val="en-GB"/>
        </w:rPr>
      </w:pPr>
      <w:r w:rsidRPr="00ED60A7">
        <w:rPr>
          <w:i/>
          <w:sz w:val="22"/>
          <w:szCs w:val="22"/>
          <w:lang w:val="en-GB"/>
        </w:rPr>
        <w:t>Section 1.2.7—2 (Note 1 - definition of nutrient profiling score)</w:t>
      </w:r>
    </w:p>
    <w:p w14:paraId="14D6D94B" w14:textId="77777777" w:rsidR="002E7A45" w:rsidRPr="00ED60A7" w:rsidRDefault="002E7A45" w:rsidP="002E7A45"/>
    <w:p w14:paraId="115AC99F" w14:textId="77777777" w:rsidR="002E7A45" w:rsidRPr="00ED60A7" w:rsidRDefault="002E7A45" w:rsidP="002E7A45">
      <w:r w:rsidRPr="00ED60A7">
        <w:rPr>
          <w:szCs w:val="22"/>
        </w:rPr>
        <w:t xml:space="preserve">Item [10] replaces </w:t>
      </w:r>
      <w:r w:rsidRPr="00ED60A7">
        <w:t>‘section 1.2.7—26’ with ‘section 1.2.7—25, to correct a typographical error’.</w:t>
      </w:r>
    </w:p>
    <w:p w14:paraId="62F59527" w14:textId="77777777" w:rsidR="002E7A45" w:rsidRPr="00ED60A7" w:rsidRDefault="002E7A45" w:rsidP="002E7A45"/>
    <w:p w14:paraId="0267E272" w14:textId="77777777" w:rsidR="002E7A45" w:rsidRPr="00ED60A7" w:rsidRDefault="002E7A45" w:rsidP="002E7A45">
      <w:pPr>
        <w:keepNext/>
        <w:rPr>
          <w:b/>
          <w:i/>
        </w:rPr>
      </w:pPr>
      <w:r w:rsidRPr="00ED60A7">
        <w:rPr>
          <w:b/>
          <w:i/>
        </w:rPr>
        <w:t>Subsections 1.2.7—4(1) and (2)</w:t>
      </w:r>
    </w:p>
    <w:p w14:paraId="6666EAC1" w14:textId="77777777" w:rsidR="002E7A45" w:rsidRPr="00ED60A7" w:rsidRDefault="002E7A45" w:rsidP="002E7A45">
      <w:pPr>
        <w:rPr>
          <w:u w:val="single"/>
        </w:rPr>
      </w:pPr>
    </w:p>
    <w:p w14:paraId="1548E8ED" w14:textId="77777777" w:rsidR="002E7A45" w:rsidRPr="00ED60A7" w:rsidRDefault="002E7A45" w:rsidP="002E7A45">
      <w:r w:rsidRPr="00ED60A7">
        <w:rPr>
          <w:szCs w:val="22"/>
        </w:rPr>
        <w:t xml:space="preserve">Item [11] replaces </w:t>
      </w:r>
      <w:r w:rsidRPr="00ED60A7">
        <w:t>‘*nutrition content claim’ with ‘nutrition content claim’, to correct a typographical error.</w:t>
      </w:r>
    </w:p>
    <w:p w14:paraId="291C8B6A" w14:textId="77777777" w:rsidR="002E7A45" w:rsidRPr="00ED60A7" w:rsidRDefault="002E7A45" w:rsidP="002E7A45"/>
    <w:p w14:paraId="471D27A4" w14:textId="77777777" w:rsidR="002E7A45" w:rsidRPr="00ED60A7" w:rsidRDefault="002E7A45" w:rsidP="002E7A45">
      <w:pPr>
        <w:rPr>
          <w:b/>
          <w:i/>
        </w:rPr>
      </w:pPr>
      <w:r w:rsidRPr="00ED60A7">
        <w:rPr>
          <w:b/>
          <w:i/>
        </w:rPr>
        <w:t>Subsections 1.2.7—12(2) and (3)</w:t>
      </w:r>
    </w:p>
    <w:p w14:paraId="44869904" w14:textId="77777777" w:rsidR="002E7A45" w:rsidRPr="00ED60A7" w:rsidRDefault="002E7A45" w:rsidP="002E7A45"/>
    <w:p w14:paraId="7AA91181" w14:textId="77777777" w:rsidR="002E7A45" w:rsidRPr="00ED60A7" w:rsidRDefault="002E7A45" w:rsidP="002E7A45">
      <w:r w:rsidRPr="00ED60A7">
        <w:rPr>
          <w:szCs w:val="22"/>
        </w:rPr>
        <w:t xml:space="preserve">Item [12] replaces </w:t>
      </w:r>
      <w:r w:rsidRPr="00ED60A7">
        <w:t>‘*claim’ with ‘claim’, to correct a typographical error.</w:t>
      </w:r>
    </w:p>
    <w:p w14:paraId="43118703" w14:textId="77777777" w:rsidR="002E7A45" w:rsidRPr="00ED60A7" w:rsidRDefault="002E7A45" w:rsidP="002E7A45"/>
    <w:p w14:paraId="12754F64" w14:textId="77777777" w:rsidR="002E7A45" w:rsidRPr="00ED60A7" w:rsidRDefault="002E7A45" w:rsidP="002E7A45">
      <w:pPr>
        <w:rPr>
          <w:b/>
          <w:i/>
        </w:rPr>
      </w:pPr>
      <w:r w:rsidRPr="00ED60A7">
        <w:rPr>
          <w:b/>
          <w:i/>
        </w:rPr>
        <w:t>Subsections 1.2.7—12(5), (6) and (7)</w:t>
      </w:r>
    </w:p>
    <w:p w14:paraId="397365E0" w14:textId="77777777" w:rsidR="002E7A45" w:rsidRPr="00ED60A7" w:rsidRDefault="002E7A45" w:rsidP="002E7A45">
      <w:pPr>
        <w:rPr>
          <w:u w:val="single"/>
        </w:rPr>
      </w:pPr>
    </w:p>
    <w:p w14:paraId="1B182535" w14:textId="77777777" w:rsidR="002E7A45" w:rsidRPr="00ED60A7" w:rsidRDefault="002E7A45" w:rsidP="002E7A45">
      <w:r w:rsidRPr="00ED60A7">
        <w:rPr>
          <w:szCs w:val="22"/>
        </w:rPr>
        <w:t xml:space="preserve">Item [13] replaces </w:t>
      </w:r>
      <w:r w:rsidRPr="00ED60A7">
        <w:t>‘*nutrition content claim’ with ‘nutrition content claim’, to correct a typographical error.</w:t>
      </w:r>
    </w:p>
    <w:p w14:paraId="08582C23" w14:textId="77777777" w:rsidR="002E7A45" w:rsidRPr="00ED60A7" w:rsidRDefault="002E7A45" w:rsidP="002E7A45"/>
    <w:p w14:paraId="39A1F1F0" w14:textId="77777777" w:rsidR="002E7A45" w:rsidRPr="00ED60A7" w:rsidRDefault="002E7A45" w:rsidP="002E7A45">
      <w:pPr>
        <w:rPr>
          <w:b/>
          <w:i/>
        </w:rPr>
      </w:pPr>
      <w:r w:rsidRPr="00ED60A7">
        <w:rPr>
          <w:b/>
          <w:i/>
        </w:rPr>
        <w:t>Subsection 1.2.7—13(1)</w:t>
      </w:r>
    </w:p>
    <w:p w14:paraId="14CB5902" w14:textId="77777777" w:rsidR="002E7A45" w:rsidRPr="00ED60A7" w:rsidRDefault="002E7A45" w:rsidP="002E7A45">
      <w:pPr>
        <w:rPr>
          <w:u w:val="single"/>
        </w:rPr>
      </w:pPr>
    </w:p>
    <w:p w14:paraId="58226CE1" w14:textId="77777777" w:rsidR="002E7A45" w:rsidRPr="00ED60A7" w:rsidRDefault="002E7A45" w:rsidP="002E7A45">
      <w:r w:rsidRPr="00ED60A7">
        <w:rPr>
          <w:szCs w:val="22"/>
        </w:rPr>
        <w:t xml:space="preserve">Item [14] replaces </w:t>
      </w:r>
      <w:r w:rsidRPr="00ED60A7">
        <w:t>‘*nutrition content claim’ with ‘nutrition content claim’, to correct a typographical error.</w:t>
      </w:r>
    </w:p>
    <w:p w14:paraId="3BB7D4B2" w14:textId="77777777" w:rsidR="002E7A45" w:rsidRPr="00ED60A7" w:rsidRDefault="002E7A45" w:rsidP="002E7A45"/>
    <w:p w14:paraId="16678C28" w14:textId="77777777" w:rsidR="002E7A45" w:rsidRPr="00ED60A7" w:rsidRDefault="002E7A45" w:rsidP="002E7A45">
      <w:pPr>
        <w:rPr>
          <w:b/>
          <w:i/>
        </w:rPr>
      </w:pPr>
      <w:r w:rsidRPr="00ED60A7">
        <w:rPr>
          <w:b/>
          <w:i/>
        </w:rPr>
        <w:t>Subsection 1.2.7—14(1)</w:t>
      </w:r>
    </w:p>
    <w:p w14:paraId="1D7885B1" w14:textId="77777777" w:rsidR="002E7A45" w:rsidRPr="00ED60A7" w:rsidRDefault="002E7A45" w:rsidP="002E7A45">
      <w:pPr>
        <w:rPr>
          <w:u w:val="single"/>
        </w:rPr>
      </w:pPr>
    </w:p>
    <w:p w14:paraId="33ADA2C1" w14:textId="77777777" w:rsidR="002E7A45" w:rsidRPr="00ED60A7" w:rsidRDefault="002E7A45" w:rsidP="002E7A45">
      <w:r w:rsidRPr="00ED60A7">
        <w:rPr>
          <w:szCs w:val="22"/>
        </w:rPr>
        <w:t xml:space="preserve">Item [15] replaces </w:t>
      </w:r>
      <w:r w:rsidRPr="00ED60A7">
        <w:t>‘*nutrition content claim’ with ‘nutrition content claim’, to correct a typographical error.</w:t>
      </w:r>
    </w:p>
    <w:p w14:paraId="27499C95" w14:textId="77777777" w:rsidR="002E7A45" w:rsidRPr="00ED60A7" w:rsidRDefault="002E7A45" w:rsidP="002E7A45"/>
    <w:p w14:paraId="4E08CB22" w14:textId="77777777" w:rsidR="002E7A45" w:rsidRPr="00ED60A7" w:rsidRDefault="002E7A45" w:rsidP="002E7A45">
      <w:pPr>
        <w:rPr>
          <w:b/>
          <w:i/>
        </w:rPr>
      </w:pPr>
      <w:r w:rsidRPr="00ED60A7">
        <w:rPr>
          <w:b/>
          <w:i/>
        </w:rPr>
        <w:t>Section 1.2.7—15</w:t>
      </w:r>
    </w:p>
    <w:p w14:paraId="4265AA5F" w14:textId="77777777" w:rsidR="002E7A45" w:rsidRPr="00ED60A7" w:rsidRDefault="002E7A45" w:rsidP="002E7A45"/>
    <w:p w14:paraId="5145E23E" w14:textId="77777777" w:rsidR="002E7A45" w:rsidRPr="00ED60A7" w:rsidRDefault="002E7A45" w:rsidP="002E7A45">
      <w:r w:rsidRPr="00ED60A7">
        <w:rPr>
          <w:szCs w:val="22"/>
        </w:rPr>
        <w:t xml:space="preserve">Item [16] replaces </w:t>
      </w:r>
      <w:r w:rsidRPr="00ED60A7">
        <w:t>‘*nutrition content claim’ with ‘nutrition content claim’, to correct a typographical error.</w:t>
      </w:r>
    </w:p>
    <w:p w14:paraId="0105354D" w14:textId="77777777" w:rsidR="002E7A45" w:rsidRPr="00ED60A7" w:rsidRDefault="002E7A45" w:rsidP="002E7A45"/>
    <w:p w14:paraId="3FDA771B" w14:textId="77777777" w:rsidR="002E7A45" w:rsidRPr="00ED60A7" w:rsidRDefault="002E7A45" w:rsidP="002E7A45">
      <w:pPr>
        <w:rPr>
          <w:b/>
          <w:i/>
        </w:rPr>
      </w:pPr>
      <w:r w:rsidRPr="00ED60A7">
        <w:rPr>
          <w:b/>
          <w:i/>
        </w:rPr>
        <w:t>Section 1.2.7—16 (first unnumbered subsection)</w:t>
      </w:r>
    </w:p>
    <w:p w14:paraId="3B182020" w14:textId="77777777" w:rsidR="002E7A45" w:rsidRPr="00ED60A7" w:rsidRDefault="002E7A45" w:rsidP="002E7A45"/>
    <w:p w14:paraId="27953E59" w14:textId="77777777" w:rsidR="002E7A45" w:rsidRPr="00ED60A7" w:rsidRDefault="002E7A45" w:rsidP="002E7A45">
      <w:r w:rsidRPr="00ED60A7">
        <w:rPr>
          <w:szCs w:val="22"/>
        </w:rPr>
        <w:t xml:space="preserve">Item [17] inserts a number to the </w:t>
      </w:r>
      <w:r w:rsidRPr="00ED60A7">
        <w:t>first unnumbered subsection, to correct a numbering error.</w:t>
      </w:r>
    </w:p>
    <w:p w14:paraId="2385A431" w14:textId="77777777" w:rsidR="002E7A45" w:rsidRPr="00ED60A7" w:rsidRDefault="002E7A45" w:rsidP="002E7A45"/>
    <w:p w14:paraId="58F8A6B1" w14:textId="77777777" w:rsidR="002E7A45" w:rsidRPr="00ED60A7" w:rsidRDefault="002E7A45" w:rsidP="002E7A45">
      <w:pPr>
        <w:rPr>
          <w:b/>
          <w:i/>
        </w:rPr>
      </w:pPr>
      <w:r w:rsidRPr="00ED60A7">
        <w:rPr>
          <w:b/>
          <w:i/>
        </w:rPr>
        <w:t>Paragraph 1.2.7—18(1)(a)</w:t>
      </w:r>
    </w:p>
    <w:p w14:paraId="561FCBA9" w14:textId="77777777" w:rsidR="002E7A45" w:rsidRPr="00ED60A7" w:rsidRDefault="002E7A45" w:rsidP="002E7A45">
      <w:pPr>
        <w:rPr>
          <w:u w:val="single"/>
        </w:rPr>
      </w:pPr>
    </w:p>
    <w:p w14:paraId="1CD4F9CC" w14:textId="77777777" w:rsidR="002E7A45" w:rsidRPr="00ED60A7" w:rsidRDefault="002E7A45" w:rsidP="002E7A45">
      <w:r w:rsidRPr="00ED60A7">
        <w:rPr>
          <w:szCs w:val="22"/>
        </w:rPr>
        <w:t xml:space="preserve">Item [18] replaces </w:t>
      </w:r>
      <w:r w:rsidRPr="00ED60A7">
        <w:t>‘meets the NPSC’ with ‘*meets the NPSC’, to correct a typographical error.</w:t>
      </w:r>
    </w:p>
    <w:p w14:paraId="317FD410" w14:textId="512BAEE5" w:rsidR="00334DF5" w:rsidRDefault="00334DF5" w:rsidP="002E7A45">
      <w:pPr>
        <w:rPr>
          <w:u w:val="single"/>
        </w:rPr>
      </w:pPr>
      <w:r>
        <w:rPr>
          <w:u w:val="single"/>
        </w:rPr>
        <w:br w:type="page"/>
      </w:r>
    </w:p>
    <w:p w14:paraId="0FF73232" w14:textId="77777777" w:rsidR="002E7A45" w:rsidRPr="00ED60A7" w:rsidRDefault="002E7A45" w:rsidP="002E7A45">
      <w:pPr>
        <w:rPr>
          <w:b/>
          <w:i/>
        </w:rPr>
      </w:pPr>
      <w:r w:rsidRPr="00ED60A7">
        <w:rPr>
          <w:b/>
          <w:i/>
        </w:rPr>
        <w:lastRenderedPageBreak/>
        <w:t>Section 1.2.8—2 (first note)</w:t>
      </w:r>
    </w:p>
    <w:p w14:paraId="194D6D7A" w14:textId="77777777" w:rsidR="002E7A45" w:rsidRPr="00ED60A7" w:rsidRDefault="002E7A45" w:rsidP="002E7A45"/>
    <w:p w14:paraId="4A6D9578" w14:textId="77777777" w:rsidR="002E7A45" w:rsidRPr="00ED60A7" w:rsidRDefault="002E7A45" w:rsidP="002E7A45">
      <w:r w:rsidRPr="00ED60A7">
        <w:rPr>
          <w:szCs w:val="22"/>
        </w:rPr>
        <w:t xml:space="preserve">Item [19] replaces </w:t>
      </w:r>
      <w:r w:rsidRPr="00ED60A7">
        <w:t>‘</w:t>
      </w:r>
      <w:r w:rsidRPr="00ED60A7">
        <w:rPr>
          <w:b/>
          <w:i/>
        </w:rPr>
        <w:t>Note</w:t>
      </w:r>
      <w:r w:rsidRPr="00ED60A7">
        <w:t>’ with ‘</w:t>
      </w:r>
      <w:r w:rsidRPr="00ED60A7">
        <w:rPr>
          <w:b/>
          <w:i/>
        </w:rPr>
        <w:t>Note 1</w:t>
      </w:r>
      <w:r w:rsidRPr="00ED60A7">
        <w:t>’, to correct a numbering error.</w:t>
      </w:r>
    </w:p>
    <w:p w14:paraId="690C069D" w14:textId="77777777" w:rsidR="002E7A45" w:rsidRPr="00ED60A7" w:rsidRDefault="002E7A45" w:rsidP="002E7A45"/>
    <w:p w14:paraId="0D66B611" w14:textId="77777777" w:rsidR="002E7A45" w:rsidRPr="00ED60A7" w:rsidRDefault="002E7A45" w:rsidP="002E7A45">
      <w:pPr>
        <w:rPr>
          <w:b/>
          <w:i/>
        </w:rPr>
      </w:pPr>
      <w:r w:rsidRPr="00ED60A7">
        <w:rPr>
          <w:b/>
          <w:i/>
        </w:rPr>
        <w:t>Section 1.2.8—4 (first note)</w:t>
      </w:r>
    </w:p>
    <w:p w14:paraId="38635569" w14:textId="77777777" w:rsidR="002E7A45" w:rsidRPr="00ED60A7" w:rsidRDefault="002E7A45" w:rsidP="002E7A45"/>
    <w:p w14:paraId="55D06F91" w14:textId="77777777" w:rsidR="002E7A45" w:rsidRPr="00ED60A7" w:rsidRDefault="002E7A45" w:rsidP="002E7A45">
      <w:r w:rsidRPr="00ED60A7">
        <w:rPr>
          <w:szCs w:val="22"/>
        </w:rPr>
        <w:t xml:space="preserve">Item [20] replaces </w:t>
      </w:r>
      <w:r w:rsidRPr="00ED60A7">
        <w:t>‘</w:t>
      </w:r>
      <w:r w:rsidRPr="00ED60A7">
        <w:rPr>
          <w:b/>
          <w:i/>
        </w:rPr>
        <w:t>Note</w:t>
      </w:r>
      <w:r w:rsidRPr="00ED60A7">
        <w:t>’ with ‘</w:t>
      </w:r>
      <w:r w:rsidRPr="00ED60A7">
        <w:rPr>
          <w:b/>
          <w:i/>
        </w:rPr>
        <w:t>Note 1</w:t>
      </w:r>
      <w:r w:rsidRPr="00ED60A7">
        <w:t>’, to correct a numbering error.</w:t>
      </w:r>
    </w:p>
    <w:p w14:paraId="3854E006" w14:textId="503FF1D7" w:rsidR="002E7A45" w:rsidRDefault="002E7A45" w:rsidP="002E7A45"/>
    <w:p w14:paraId="2B23118F" w14:textId="77777777" w:rsidR="002E7A45" w:rsidRPr="00ED60A7" w:rsidRDefault="002E7A45" w:rsidP="002E7A45">
      <w:pPr>
        <w:rPr>
          <w:b/>
          <w:i/>
        </w:rPr>
      </w:pPr>
      <w:r w:rsidRPr="00ED60A7">
        <w:rPr>
          <w:b/>
          <w:i/>
        </w:rPr>
        <w:t>Paragraph 1.2.8—6(5)(b)</w:t>
      </w:r>
    </w:p>
    <w:p w14:paraId="7B656A72" w14:textId="77777777" w:rsidR="002E7A45" w:rsidRPr="00ED60A7" w:rsidRDefault="002E7A45" w:rsidP="002E7A45">
      <w:pPr>
        <w:rPr>
          <w:u w:val="single"/>
        </w:rPr>
      </w:pPr>
    </w:p>
    <w:p w14:paraId="7CB18CE6" w14:textId="77777777" w:rsidR="002E7A45" w:rsidRPr="00ED60A7" w:rsidRDefault="002E7A45" w:rsidP="002E7A45">
      <w:r w:rsidRPr="00ED60A7">
        <w:rPr>
          <w:szCs w:val="22"/>
        </w:rPr>
        <w:t xml:space="preserve">Item [21] replaces </w:t>
      </w:r>
      <w:r w:rsidRPr="00ED60A7">
        <w:t>‘*sugars’ with ‘sugars’, to correct a typographical error.</w:t>
      </w:r>
    </w:p>
    <w:p w14:paraId="42774C90" w14:textId="77777777" w:rsidR="002E7A45" w:rsidRPr="00ED60A7" w:rsidRDefault="002E7A45" w:rsidP="002E7A45"/>
    <w:p w14:paraId="75C117A3" w14:textId="77777777" w:rsidR="002E7A45" w:rsidRPr="00ED60A7" w:rsidRDefault="002E7A45" w:rsidP="002E7A45">
      <w:pPr>
        <w:rPr>
          <w:b/>
          <w:i/>
        </w:rPr>
      </w:pPr>
      <w:r w:rsidRPr="00ED60A7">
        <w:rPr>
          <w:b/>
          <w:i/>
        </w:rPr>
        <w:t>Subparagraph 1.2.8—6(9)(b)(ii)</w:t>
      </w:r>
    </w:p>
    <w:p w14:paraId="0BB4B491" w14:textId="77777777" w:rsidR="002E7A45" w:rsidRPr="00ED60A7" w:rsidRDefault="002E7A45" w:rsidP="002E7A45"/>
    <w:p w14:paraId="2E7FC4D1" w14:textId="77777777" w:rsidR="002E7A45" w:rsidRPr="00ED60A7" w:rsidRDefault="002E7A45" w:rsidP="002E7A45">
      <w:r w:rsidRPr="00ED60A7">
        <w:rPr>
          <w:szCs w:val="22"/>
        </w:rPr>
        <w:t xml:space="preserve">Item [22] replaces </w:t>
      </w:r>
      <w:r w:rsidRPr="00ED60A7">
        <w:t>‘nutrition information panel’</w:t>
      </w:r>
      <w:r>
        <w:t xml:space="preserve"> with</w:t>
      </w:r>
      <w:r w:rsidRPr="00ED60A7">
        <w:t xml:space="preserve"> ‘*nutrition information panel’, to correct a typographical error.</w:t>
      </w:r>
    </w:p>
    <w:p w14:paraId="76AE4ADB" w14:textId="77777777" w:rsidR="002E7A45" w:rsidRPr="00ED60A7" w:rsidRDefault="002E7A45" w:rsidP="002E7A45"/>
    <w:p w14:paraId="177AB7F6" w14:textId="77777777" w:rsidR="002E7A45" w:rsidRPr="00ED60A7" w:rsidRDefault="002E7A45" w:rsidP="002E7A45">
      <w:pPr>
        <w:rPr>
          <w:b/>
          <w:i/>
        </w:rPr>
      </w:pPr>
      <w:r w:rsidRPr="00ED60A7">
        <w:rPr>
          <w:b/>
          <w:i/>
        </w:rPr>
        <w:t>Subsection 1.2.10—3(2)</w:t>
      </w:r>
    </w:p>
    <w:p w14:paraId="59F00A58" w14:textId="77777777" w:rsidR="002E7A45" w:rsidRPr="00ED60A7" w:rsidRDefault="002E7A45" w:rsidP="002E7A45"/>
    <w:p w14:paraId="68C9B1BA" w14:textId="77777777" w:rsidR="002E7A45" w:rsidRPr="00ED60A7" w:rsidRDefault="002E7A45" w:rsidP="002E7A45">
      <w:r w:rsidRPr="00ED60A7">
        <w:rPr>
          <w:szCs w:val="22"/>
        </w:rPr>
        <w:t>Item [</w:t>
      </w:r>
      <w:r>
        <w:rPr>
          <w:szCs w:val="22"/>
        </w:rPr>
        <w:t>23</w:t>
      </w:r>
      <w:r w:rsidRPr="00ED60A7">
        <w:rPr>
          <w:szCs w:val="22"/>
        </w:rPr>
        <w:t xml:space="preserve">] replaces </w:t>
      </w:r>
      <w:r w:rsidRPr="00ED60A7">
        <w:t>‘characterising ingredient’ with ‘*characterising ingredient’, to correct a typographical error.</w:t>
      </w:r>
    </w:p>
    <w:p w14:paraId="1CB40BA8" w14:textId="77777777" w:rsidR="002E7A45" w:rsidRPr="00ED60A7" w:rsidRDefault="002E7A45" w:rsidP="002E7A45"/>
    <w:p w14:paraId="422FF2C4" w14:textId="77777777" w:rsidR="002E7A45" w:rsidRPr="00ED60A7" w:rsidRDefault="002E7A45" w:rsidP="002E7A45">
      <w:pPr>
        <w:rPr>
          <w:b/>
          <w:i/>
        </w:rPr>
      </w:pPr>
      <w:r w:rsidRPr="00ED60A7">
        <w:rPr>
          <w:b/>
          <w:i/>
        </w:rPr>
        <w:t>Paragraph 1.2.11—3(1)(a)</w:t>
      </w:r>
    </w:p>
    <w:p w14:paraId="44810EA9" w14:textId="77777777" w:rsidR="002E7A45" w:rsidRPr="00ED60A7" w:rsidRDefault="002E7A45" w:rsidP="002E7A45"/>
    <w:p w14:paraId="261C51D9" w14:textId="77777777" w:rsidR="002E7A45" w:rsidRPr="00ED60A7" w:rsidRDefault="002E7A45" w:rsidP="002E7A45">
      <w:r w:rsidRPr="00ED60A7">
        <w:rPr>
          <w:szCs w:val="22"/>
        </w:rPr>
        <w:t>Item [</w:t>
      </w:r>
      <w:r>
        <w:rPr>
          <w:szCs w:val="22"/>
        </w:rPr>
        <w:t>24</w:t>
      </w:r>
      <w:r w:rsidRPr="00ED60A7">
        <w:rPr>
          <w:szCs w:val="22"/>
        </w:rPr>
        <w:t xml:space="preserve">] replaces </w:t>
      </w:r>
      <w:r w:rsidRPr="00ED60A7">
        <w:t>‘*fruit’ with ‘fruit’, to correct a typographical error.</w:t>
      </w:r>
    </w:p>
    <w:p w14:paraId="277CAD41" w14:textId="77777777" w:rsidR="002E7A45" w:rsidRPr="00ED60A7" w:rsidRDefault="002E7A45" w:rsidP="002E7A45"/>
    <w:p w14:paraId="750F4BA9" w14:textId="77777777" w:rsidR="002E7A45" w:rsidRPr="00ED60A7" w:rsidRDefault="002E7A45" w:rsidP="002E7A45">
      <w:pPr>
        <w:rPr>
          <w:b/>
          <w:i/>
        </w:rPr>
      </w:pPr>
      <w:r w:rsidRPr="00ED60A7">
        <w:rPr>
          <w:b/>
          <w:i/>
        </w:rPr>
        <w:t>Paragraph 1.3.3—3(a)</w:t>
      </w:r>
    </w:p>
    <w:p w14:paraId="66D6834F" w14:textId="77777777" w:rsidR="002E7A45" w:rsidRPr="00ED60A7" w:rsidRDefault="002E7A45" w:rsidP="002E7A45"/>
    <w:p w14:paraId="4E7863B6" w14:textId="77777777" w:rsidR="002E7A45" w:rsidRPr="00ED60A7" w:rsidRDefault="002E7A45" w:rsidP="002E7A45">
      <w:r w:rsidRPr="00ED60A7">
        <w:rPr>
          <w:szCs w:val="22"/>
        </w:rPr>
        <w:t>Item [</w:t>
      </w:r>
      <w:r>
        <w:rPr>
          <w:szCs w:val="22"/>
        </w:rPr>
        <w:t>25</w:t>
      </w:r>
      <w:r w:rsidRPr="00ED60A7">
        <w:rPr>
          <w:szCs w:val="22"/>
        </w:rPr>
        <w:t xml:space="preserve">] replaces </w:t>
      </w:r>
      <w:r w:rsidRPr="00ED60A7">
        <w:t>‘processing aid’ with ‘a processing aid’, to correct a typographical error.</w:t>
      </w:r>
    </w:p>
    <w:p w14:paraId="7B961A2D" w14:textId="77777777" w:rsidR="002E7A45" w:rsidRPr="00ED60A7" w:rsidRDefault="002E7A45" w:rsidP="002E7A45"/>
    <w:p w14:paraId="4877211D" w14:textId="77777777" w:rsidR="002E7A45" w:rsidRPr="00ED60A7" w:rsidRDefault="002E7A45" w:rsidP="002E7A45">
      <w:pPr>
        <w:rPr>
          <w:b/>
          <w:i/>
        </w:rPr>
      </w:pPr>
      <w:r w:rsidRPr="00ED60A7">
        <w:rPr>
          <w:b/>
          <w:i/>
        </w:rPr>
        <w:t>New section 1.4.1—4</w:t>
      </w:r>
    </w:p>
    <w:p w14:paraId="1D3E3D9D" w14:textId="77777777" w:rsidR="002E7A45" w:rsidRPr="00ED60A7" w:rsidRDefault="002E7A45" w:rsidP="002E7A45"/>
    <w:p w14:paraId="77CE6EF9" w14:textId="77777777" w:rsidR="002E7A45" w:rsidRPr="00ED60A7" w:rsidRDefault="002E7A45" w:rsidP="002E7A45">
      <w:pPr>
        <w:rPr>
          <w:szCs w:val="22"/>
        </w:rPr>
      </w:pPr>
      <w:r w:rsidRPr="00ED60A7">
        <w:rPr>
          <w:szCs w:val="22"/>
        </w:rPr>
        <w:t>Item [</w:t>
      </w:r>
      <w:r>
        <w:rPr>
          <w:szCs w:val="22"/>
        </w:rPr>
        <w:t>26</w:t>
      </w:r>
      <w:r w:rsidRPr="00ED60A7">
        <w:rPr>
          <w:szCs w:val="22"/>
        </w:rPr>
        <w:t>] inserts section 1.4.1—4 after section 1.4.1—3, to include in the Proposal P1025 Code the variations made in P1029.</w:t>
      </w:r>
    </w:p>
    <w:p w14:paraId="4584367A" w14:textId="77777777" w:rsidR="002E7A45" w:rsidRPr="00ED60A7" w:rsidRDefault="002E7A45" w:rsidP="002E7A45">
      <w:pPr>
        <w:rPr>
          <w:szCs w:val="22"/>
        </w:rPr>
      </w:pPr>
    </w:p>
    <w:p w14:paraId="7C2AAF13" w14:textId="77777777" w:rsidR="002E7A45" w:rsidRPr="00ED60A7" w:rsidRDefault="002E7A45" w:rsidP="002E7A45">
      <w:pPr>
        <w:rPr>
          <w:szCs w:val="22"/>
        </w:rPr>
      </w:pPr>
      <w:r w:rsidRPr="00ED60A7">
        <w:rPr>
          <w:szCs w:val="22"/>
        </w:rPr>
        <w:t>Section 1.4.1—4 provides the following exceptions relating to honey and comb honey:</w:t>
      </w:r>
    </w:p>
    <w:p w14:paraId="0C8B540E" w14:textId="77777777" w:rsidR="002E7A45" w:rsidRPr="00ED60A7" w:rsidRDefault="002E7A45" w:rsidP="002E7A45">
      <w:pPr>
        <w:rPr>
          <w:szCs w:val="22"/>
        </w:rPr>
      </w:pPr>
    </w:p>
    <w:p w14:paraId="582462FE" w14:textId="77777777" w:rsidR="002E7A45" w:rsidRPr="00ED60A7" w:rsidRDefault="002E7A45" w:rsidP="002E7A45">
      <w:pPr>
        <w:pStyle w:val="ListParagraph"/>
        <w:widowControl/>
        <w:numPr>
          <w:ilvl w:val="0"/>
          <w:numId w:val="18"/>
        </w:numPr>
        <w:ind w:left="567" w:hanging="567"/>
      </w:pPr>
      <w:r w:rsidRPr="00ED60A7">
        <w:t>section 1.1.1—9 effect of variations to Code does not apply to honey and comb honey for the purposes of section 1.4.1—3 (levels of contaminants and natural toxicants in food); and</w:t>
      </w:r>
    </w:p>
    <w:p w14:paraId="06F6962D" w14:textId="77777777" w:rsidR="002E7A45" w:rsidRPr="00ED60A7" w:rsidRDefault="002E7A45" w:rsidP="002E7A45">
      <w:pPr>
        <w:pStyle w:val="ListParagraph"/>
        <w:ind w:left="567" w:hanging="567"/>
      </w:pPr>
    </w:p>
    <w:p w14:paraId="3CEBDF0A" w14:textId="77777777" w:rsidR="002E7A45" w:rsidRPr="00ED60A7" w:rsidRDefault="002E7A45" w:rsidP="002E7A45">
      <w:pPr>
        <w:pStyle w:val="ListParagraph"/>
        <w:widowControl/>
        <w:numPr>
          <w:ilvl w:val="0"/>
          <w:numId w:val="18"/>
        </w:numPr>
        <w:ind w:left="567" w:hanging="567"/>
      </w:pPr>
      <w:r w:rsidRPr="00ED60A7">
        <w:t xml:space="preserve">despite section 1.4.1—3, honey and comb honey that was packaged for retail sale before the commencement of the </w:t>
      </w:r>
      <w:r w:rsidRPr="00ED60A7">
        <w:rPr>
          <w:i/>
        </w:rPr>
        <w:t xml:space="preserve">Food Standards (Proposal P1029 – Maximum Level for Tutin in Honey) Variation </w:t>
      </w:r>
      <w:r w:rsidRPr="00ED60A7">
        <w:t xml:space="preserve">is taken to comply with the level of Tutin listed in the table to section S19—6 if the product otherwise complied with the Code before that variation commenced. </w:t>
      </w:r>
    </w:p>
    <w:p w14:paraId="3FD8604B" w14:textId="77777777" w:rsidR="002E7A45" w:rsidRPr="00ED60A7" w:rsidRDefault="002E7A45" w:rsidP="002E7A45"/>
    <w:p w14:paraId="6AF2F908" w14:textId="77777777" w:rsidR="002E7A45" w:rsidRPr="00ED60A7" w:rsidRDefault="002E7A45" w:rsidP="002E7A45">
      <w:pPr>
        <w:rPr>
          <w:b/>
          <w:i/>
        </w:rPr>
      </w:pPr>
      <w:r w:rsidRPr="00ED60A7">
        <w:rPr>
          <w:b/>
          <w:i/>
        </w:rPr>
        <w:t>Section 1.5.2—2 (first note)</w:t>
      </w:r>
    </w:p>
    <w:p w14:paraId="0648954E" w14:textId="77777777" w:rsidR="002E7A45" w:rsidRPr="00ED60A7" w:rsidRDefault="002E7A45" w:rsidP="002E7A45"/>
    <w:p w14:paraId="29948C4E" w14:textId="77777777" w:rsidR="002E7A45" w:rsidRPr="00ED60A7" w:rsidRDefault="002E7A45" w:rsidP="002E7A45">
      <w:r w:rsidRPr="00ED60A7">
        <w:rPr>
          <w:szCs w:val="22"/>
        </w:rPr>
        <w:t>Item [</w:t>
      </w:r>
      <w:r>
        <w:rPr>
          <w:szCs w:val="22"/>
        </w:rPr>
        <w:t>27</w:t>
      </w:r>
      <w:r w:rsidRPr="00ED60A7">
        <w:rPr>
          <w:szCs w:val="22"/>
        </w:rPr>
        <w:t xml:space="preserve">] replaces </w:t>
      </w:r>
      <w:r w:rsidRPr="00ED60A7">
        <w:t>‘</w:t>
      </w:r>
      <w:r w:rsidRPr="00ED60A7">
        <w:rPr>
          <w:b/>
          <w:i/>
        </w:rPr>
        <w:t>Note</w:t>
      </w:r>
      <w:r w:rsidRPr="00ED60A7">
        <w:t>’ with ‘</w:t>
      </w:r>
      <w:r w:rsidRPr="00ED60A7">
        <w:rPr>
          <w:b/>
          <w:i/>
        </w:rPr>
        <w:t>Note 1</w:t>
      </w:r>
      <w:r w:rsidRPr="00ED60A7">
        <w:t>’, to correct a numbering error.</w:t>
      </w:r>
    </w:p>
    <w:p w14:paraId="42D7644D" w14:textId="77777777" w:rsidR="002E7A45" w:rsidRPr="00ED60A7" w:rsidRDefault="002E7A45" w:rsidP="002E7A45"/>
    <w:p w14:paraId="02BA9926" w14:textId="77777777" w:rsidR="00334DF5" w:rsidRDefault="00334DF5" w:rsidP="002E7A45">
      <w:pPr>
        <w:rPr>
          <w:b/>
          <w:i/>
        </w:rPr>
      </w:pPr>
      <w:r>
        <w:rPr>
          <w:b/>
          <w:i/>
        </w:rPr>
        <w:br w:type="page"/>
      </w:r>
    </w:p>
    <w:p w14:paraId="5C2FC140" w14:textId="612FD2E6" w:rsidR="002E7A45" w:rsidRPr="00ED60A7" w:rsidRDefault="002E7A45" w:rsidP="002E7A45">
      <w:pPr>
        <w:rPr>
          <w:b/>
          <w:i/>
        </w:rPr>
      </w:pPr>
      <w:r w:rsidRPr="00ED60A7">
        <w:rPr>
          <w:b/>
          <w:i/>
        </w:rPr>
        <w:lastRenderedPageBreak/>
        <w:t>Table to subsection 1.5.3—3(2)</w:t>
      </w:r>
    </w:p>
    <w:p w14:paraId="2F15A7F1" w14:textId="77777777" w:rsidR="002E7A45" w:rsidRPr="00ED60A7" w:rsidRDefault="002E7A45" w:rsidP="002E7A45"/>
    <w:p w14:paraId="6CD88D68" w14:textId="77777777" w:rsidR="002E7A45" w:rsidRDefault="002E7A45" w:rsidP="002E7A45">
      <w:pPr>
        <w:rPr>
          <w:szCs w:val="22"/>
        </w:rPr>
      </w:pPr>
      <w:r w:rsidRPr="00ED60A7">
        <w:rPr>
          <w:szCs w:val="22"/>
        </w:rPr>
        <w:t>Item [</w:t>
      </w:r>
      <w:r>
        <w:rPr>
          <w:szCs w:val="22"/>
        </w:rPr>
        <w:t>28</w:t>
      </w:r>
      <w:r w:rsidRPr="00ED60A7">
        <w:rPr>
          <w:szCs w:val="22"/>
        </w:rPr>
        <w:t xml:space="preserve">] inserts </w:t>
      </w:r>
      <w:r w:rsidRPr="00ED60A7">
        <w:t xml:space="preserve">apple; apricot, cherry, honeydew, nectarine, peach, plum, rockmelon, scallopini, strawberry, table grape and zucchini (courgette) </w:t>
      </w:r>
      <w:r w:rsidRPr="00ED60A7">
        <w:rPr>
          <w:szCs w:val="22"/>
        </w:rPr>
        <w:t>into the table in alphabetical order</w:t>
      </w:r>
      <w:r w:rsidRPr="00ED60A7">
        <w:t xml:space="preserve">, to </w:t>
      </w:r>
      <w:r w:rsidRPr="00ED60A7">
        <w:rPr>
          <w:szCs w:val="22"/>
        </w:rPr>
        <w:t>include in the P1025 C</w:t>
      </w:r>
      <w:r>
        <w:rPr>
          <w:szCs w:val="22"/>
        </w:rPr>
        <w:t>ode the variation made in A1092.</w:t>
      </w:r>
    </w:p>
    <w:p w14:paraId="4AB5CC36" w14:textId="77777777" w:rsidR="002E7A45" w:rsidRPr="00ED60A7" w:rsidRDefault="002E7A45" w:rsidP="002E7A45">
      <w:pPr>
        <w:rPr>
          <w:szCs w:val="22"/>
        </w:rPr>
      </w:pPr>
    </w:p>
    <w:p w14:paraId="3B681001" w14:textId="77777777" w:rsidR="002E7A45" w:rsidRPr="00ED60A7" w:rsidRDefault="002E7A45" w:rsidP="002E7A45">
      <w:pPr>
        <w:pStyle w:val="FSCtblBMain"/>
        <w:spacing w:before="0" w:after="0"/>
        <w:ind w:left="0"/>
        <w:rPr>
          <w:b/>
          <w:i/>
          <w:sz w:val="22"/>
          <w:lang w:val="en-GB"/>
        </w:rPr>
      </w:pPr>
      <w:r w:rsidRPr="00ED60A7">
        <w:rPr>
          <w:b/>
          <w:i/>
          <w:sz w:val="22"/>
          <w:lang w:val="en-GB"/>
        </w:rPr>
        <w:t>Section 1.6.1—1</w:t>
      </w:r>
    </w:p>
    <w:p w14:paraId="223ACEC8" w14:textId="77777777" w:rsidR="002E7A45" w:rsidRPr="00ED60A7" w:rsidRDefault="002E7A45" w:rsidP="002E7A45">
      <w:pPr>
        <w:pStyle w:val="FSCtblBMain"/>
        <w:ind w:left="0"/>
        <w:rPr>
          <w:sz w:val="22"/>
          <w:lang w:val="en-GB"/>
        </w:rPr>
      </w:pPr>
    </w:p>
    <w:p w14:paraId="451B8F05" w14:textId="77777777" w:rsidR="002E7A45" w:rsidRPr="00ED60A7" w:rsidRDefault="002E7A45" w:rsidP="002E7A45">
      <w:r w:rsidRPr="00ED60A7">
        <w:rPr>
          <w:szCs w:val="22"/>
        </w:rPr>
        <w:t>Item [</w:t>
      </w:r>
      <w:r>
        <w:rPr>
          <w:szCs w:val="22"/>
        </w:rPr>
        <w:t>29</w:t>
      </w:r>
      <w:r w:rsidRPr="00ED60A7">
        <w:rPr>
          <w:szCs w:val="22"/>
        </w:rPr>
        <w:t xml:space="preserve">] replaces </w:t>
      </w:r>
      <w:r w:rsidRPr="00ED60A7">
        <w:t>‘Microbiological limits for foods’ with ‘Microbiological limits in food’</w:t>
      </w:r>
      <w:r w:rsidRPr="00ED60A7">
        <w:rPr>
          <w:szCs w:val="22"/>
        </w:rPr>
        <w:t>, to include in the P1025 Code the variation made in P1017</w:t>
      </w:r>
      <w:r w:rsidRPr="00ED60A7">
        <w:t>.</w:t>
      </w:r>
    </w:p>
    <w:p w14:paraId="4D4A8DC7" w14:textId="1A86DD7F" w:rsidR="002E7A45" w:rsidRDefault="002E7A45" w:rsidP="002E7A45"/>
    <w:p w14:paraId="402DF8C3" w14:textId="77777777" w:rsidR="002E7A45" w:rsidRPr="00ED60A7" w:rsidRDefault="002E7A45" w:rsidP="002E7A45">
      <w:pPr>
        <w:rPr>
          <w:b/>
          <w:i/>
        </w:rPr>
      </w:pPr>
      <w:r w:rsidRPr="00ED60A7">
        <w:rPr>
          <w:b/>
          <w:i/>
        </w:rPr>
        <w:t>Paragraph 1.6.1—2(a)</w:t>
      </w:r>
    </w:p>
    <w:p w14:paraId="3EAD3924" w14:textId="77777777" w:rsidR="002E7A45" w:rsidRPr="00ED60A7" w:rsidRDefault="002E7A45" w:rsidP="002E7A45"/>
    <w:p w14:paraId="1675EDED" w14:textId="77777777" w:rsidR="002E7A45" w:rsidRPr="00ED60A7" w:rsidRDefault="002E7A45" w:rsidP="002E7A45">
      <w:r w:rsidRPr="00ED60A7">
        <w:rPr>
          <w:szCs w:val="22"/>
        </w:rPr>
        <w:t>Item [</w:t>
      </w:r>
      <w:r>
        <w:rPr>
          <w:szCs w:val="22"/>
        </w:rPr>
        <w:t>30</w:t>
      </w:r>
      <w:r w:rsidRPr="00ED60A7">
        <w:rPr>
          <w:szCs w:val="22"/>
        </w:rPr>
        <w:t xml:space="preserve">] replaces </w:t>
      </w:r>
      <w:r w:rsidRPr="00ED60A7">
        <w:t>‘S27—3’ with ‘S27—4’, to correct a referencing error.</w:t>
      </w:r>
    </w:p>
    <w:p w14:paraId="45355A64" w14:textId="77777777" w:rsidR="002E7A45" w:rsidRPr="00ED60A7" w:rsidRDefault="002E7A45" w:rsidP="002E7A45"/>
    <w:p w14:paraId="2AD97822" w14:textId="77777777" w:rsidR="002E7A45" w:rsidRPr="00ED60A7" w:rsidRDefault="002E7A45" w:rsidP="002E7A45">
      <w:pPr>
        <w:keepNext/>
        <w:rPr>
          <w:b/>
          <w:i/>
        </w:rPr>
      </w:pPr>
      <w:r w:rsidRPr="00ED60A7">
        <w:rPr>
          <w:b/>
          <w:i/>
        </w:rPr>
        <w:t>Subsection 1.6.1—3(5)</w:t>
      </w:r>
    </w:p>
    <w:p w14:paraId="73E286F7" w14:textId="77777777" w:rsidR="002E7A45" w:rsidRPr="00ED60A7" w:rsidRDefault="002E7A45" w:rsidP="002E7A45">
      <w:pPr>
        <w:keepNext/>
      </w:pPr>
    </w:p>
    <w:p w14:paraId="5460B108" w14:textId="77777777" w:rsidR="002E7A45" w:rsidRPr="00ED60A7" w:rsidRDefault="002E7A45" w:rsidP="002E7A45">
      <w:r w:rsidRPr="00ED60A7">
        <w:rPr>
          <w:szCs w:val="22"/>
        </w:rPr>
        <w:t>Item [</w:t>
      </w:r>
      <w:r>
        <w:rPr>
          <w:szCs w:val="22"/>
        </w:rPr>
        <w:t>31</w:t>
      </w:r>
      <w:r w:rsidRPr="00ED60A7">
        <w:rPr>
          <w:szCs w:val="22"/>
        </w:rPr>
        <w:t xml:space="preserve">] replaces </w:t>
      </w:r>
      <w:r w:rsidRPr="00ED60A7">
        <w:t>‘the Schedule’ with ‘the table to section S27—4’, to correct a referencing error.</w:t>
      </w:r>
    </w:p>
    <w:p w14:paraId="1C747120" w14:textId="77777777" w:rsidR="002E7A45" w:rsidRPr="00ED60A7" w:rsidRDefault="002E7A45" w:rsidP="002E7A45"/>
    <w:p w14:paraId="3A249DB6" w14:textId="77777777" w:rsidR="002E7A45" w:rsidRPr="00ED60A7" w:rsidRDefault="002E7A45" w:rsidP="002E7A45">
      <w:pPr>
        <w:rPr>
          <w:b/>
          <w:i/>
        </w:rPr>
      </w:pPr>
      <w:r w:rsidRPr="00ED60A7">
        <w:rPr>
          <w:b/>
          <w:i/>
        </w:rPr>
        <w:t>Subsection 1.6.1—4(1)</w:t>
      </w:r>
    </w:p>
    <w:p w14:paraId="29C314BA" w14:textId="77777777" w:rsidR="002E7A45" w:rsidRPr="00ED60A7" w:rsidRDefault="002E7A45" w:rsidP="002E7A45"/>
    <w:p w14:paraId="3BFEF398" w14:textId="77777777" w:rsidR="002E7A45" w:rsidRPr="00ED60A7" w:rsidRDefault="002E7A45" w:rsidP="002E7A45">
      <w:r w:rsidRPr="00ED60A7">
        <w:rPr>
          <w:szCs w:val="22"/>
        </w:rPr>
        <w:t>Item [</w:t>
      </w:r>
      <w:r>
        <w:rPr>
          <w:szCs w:val="22"/>
        </w:rPr>
        <w:t>32</w:t>
      </w:r>
      <w:r w:rsidRPr="00ED60A7">
        <w:rPr>
          <w:szCs w:val="22"/>
        </w:rPr>
        <w:t xml:space="preserve">] replaces </w:t>
      </w:r>
      <w:r w:rsidRPr="00ED60A7">
        <w:t>‘the Schedule’ with ‘the table to section S27—4’, to correct a referencing error.</w:t>
      </w:r>
    </w:p>
    <w:p w14:paraId="3ED3E7C2" w14:textId="77777777" w:rsidR="002E7A45" w:rsidRPr="00ED60A7" w:rsidRDefault="002E7A45" w:rsidP="002E7A45"/>
    <w:p w14:paraId="626ED9A3" w14:textId="77777777" w:rsidR="002E7A45" w:rsidRPr="00ED60A7" w:rsidRDefault="002E7A45" w:rsidP="002E7A45">
      <w:pPr>
        <w:rPr>
          <w:b/>
          <w:i/>
        </w:rPr>
      </w:pPr>
      <w:r w:rsidRPr="00ED60A7">
        <w:rPr>
          <w:b/>
          <w:i/>
        </w:rPr>
        <w:t>Subsection 1.6.1—4(2)</w:t>
      </w:r>
    </w:p>
    <w:p w14:paraId="51A02C16" w14:textId="77777777" w:rsidR="002E7A45" w:rsidRPr="00ED60A7" w:rsidRDefault="002E7A45" w:rsidP="002E7A45"/>
    <w:p w14:paraId="08C83B16" w14:textId="77777777" w:rsidR="002E7A45" w:rsidRPr="00ED60A7" w:rsidRDefault="002E7A45" w:rsidP="002E7A45">
      <w:r w:rsidRPr="00ED60A7">
        <w:rPr>
          <w:szCs w:val="22"/>
        </w:rPr>
        <w:t>Item [</w:t>
      </w:r>
      <w:r>
        <w:rPr>
          <w:szCs w:val="22"/>
        </w:rPr>
        <w:t>33</w:t>
      </w:r>
      <w:r w:rsidRPr="00ED60A7">
        <w:rPr>
          <w:szCs w:val="22"/>
        </w:rPr>
        <w:t xml:space="preserve">] replaces </w:t>
      </w:r>
      <w:r w:rsidRPr="00ED60A7">
        <w:t>‘the Schedule’ with ‘the table to section S27—4’, to correct a referencing error.</w:t>
      </w:r>
    </w:p>
    <w:p w14:paraId="048F6E79" w14:textId="77777777" w:rsidR="002E7A45" w:rsidRPr="00ED60A7" w:rsidRDefault="002E7A45" w:rsidP="002E7A45"/>
    <w:p w14:paraId="0D8DC345" w14:textId="77777777" w:rsidR="002E7A45" w:rsidRPr="00ED60A7" w:rsidRDefault="002E7A45" w:rsidP="002E7A45">
      <w:pPr>
        <w:rPr>
          <w:b/>
          <w:i/>
        </w:rPr>
      </w:pPr>
      <w:r w:rsidRPr="00ED60A7">
        <w:rPr>
          <w:b/>
          <w:i/>
        </w:rPr>
        <w:t>Section 2.2.1—1</w:t>
      </w:r>
    </w:p>
    <w:p w14:paraId="1288E118" w14:textId="77777777" w:rsidR="002E7A45" w:rsidRPr="00ED60A7" w:rsidRDefault="002E7A45" w:rsidP="002E7A45"/>
    <w:p w14:paraId="283023F2" w14:textId="77777777" w:rsidR="002E7A45" w:rsidRPr="00ED60A7" w:rsidRDefault="002E7A45" w:rsidP="002E7A45">
      <w:pPr>
        <w:rPr>
          <w:szCs w:val="22"/>
        </w:rPr>
      </w:pPr>
      <w:r w:rsidRPr="00ED60A7">
        <w:rPr>
          <w:szCs w:val="22"/>
        </w:rPr>
        <w:t>Item [</w:t>
      </w:r>
      <w:r>
        <w:rPr>
          <w:szCs w:val="22"/>
        </w:rPr>
        <w:t>34</w:t>
      </w:r>
      <w:r w:rsidRPr="00ED60A7">
        <w:rPr>
          <w:szCs w:val="22"/>
        </w:rPr>
        <w:t xml:space="preserve">] replaces the heading to section 2.2.1—1 with </w:t>
      </w:r>
      <w:r w:rsidRPr="00ED60A7">
        <w:rPr>
          <w:b/>
          <w:szCs w:val="22"/>
        </w:rPr>
        <w:t>‘Name’</w:t>
      </w:r>
      <w:r w:rsidRPr="00ED60A7">
        <w:rPr>
          <w:szCs w:val="22"/>
        </w:rPr>
        <w:t>, to correct a transcription error.</w:t>
      </w:r>
    </w:p>
    <w:p w14:paraId="59DFC6AA" w14:textId="77777777" w:rsidR="002E7A45" w:rsidRPr="00ED60A7" w:rsidRDefault="002E7A45" w:rsidP="002E7A45">
      <w:pPr>
        <w:rPr>
          <w:szCs w:val="22"/>
        </w:rPr>
      </w:pPr>
    </w:p>
    <w:p w14:paraId="78D55A18" w14:textId="77777777" w:rsidR="002E7A45" w:rsidRPr="00ED60A7" w:rsidRDefault="002E7A45" w:rsidP="002E7A45">
      <w:pPr>
        <w:rPr>
          <w:b/>
          <w:i/>
        </w:rPr>
      </w:pPr>
      <w:r w:rsidRPr="00ED60A7">
        <w:rPr>
          <w:b/>
          <w:i/>
        </w:rPr>
        <w:t>Section 2.6.2—3</w:t>
      </w:r>
    </w:p>
    <w:p w14:paraId="2BEE51F7" w14:textId="77777777" w:rsidR="002E7A45" w:rsidRPr="00ED60A7" w:rsidRDefault="002E7A45" w:rsidP="002E7A45"/>
    <w:p w14:paraId="70CB4552" w14:textId="77777777" w:rsidR="002E7A45" w:rsidRPr="00ED60A7" w:rsidRDefault="002E7A45" w:rsidP="002E7A45">
      <w:pPr>
        <w:rPr>
          <w:szCs w:val="22"/>
        </w:rPr>
      </w:pPr>
      <w:r w:rsidRPr="00ED60A7">
        <w:rPr>
          <w:szCs w:val="22"/>
        </w:rPr>
        <w:t>Item [</w:t>
      </w:r>
      <w:r>
        <w:rPr>
          <w:szCs w:val="22"/>
        </w:rPr>
        <w:t>35</w:t>
      </w:r>
      <w:r w:rsidRPr="00ED60A7">
        <w:rPr>
          <w:szCs w:val="22"/>
        </w:rPr>
        <w:t>] repeals the Note at the end of section 2.6.2—3, to delete an unnecessary Note.</w:t>
      </w:r>
    </w:p>
    <w:p w14:paraId="412F5DC4" w14:textId="77777777" w:rsidR="002E7A45" w:rsidRPr="00ED60A7" w:rsidRDefault="002E7A45" w:rsidP="002E7A45">
      <w:pPr>
        <w:rPr>
          <w:szCs w:val="22"/>
        </w:rPr>
      </w:pPr>
    </w:p>
    <w:p w14:paraId="512CEF29" w14:textId="77777777" w:rsidR="002E7A45" w:rsidRPr="00ED60A7" w:rsidRDefault="002E7A45" w:rsidP="002E7A45">
      <w:pPr>
        <w:rPr>
          <w:b/>
          <w:i/>
        </w:rPr>
      </w:pPr>
      <w:r w:rsidRPr="00ED60A7">
        <w:rPr>
          <w:b/>
          <w:i/>
        </w:rPr>
        <w:t>Section 2.8.1—1</w:t>
      </w:r>
    </w:p>
    <w:p w14:paraId="43DFD242" w14:textId="77777777" w:rsidR="002E7A45" w:rsidRPr="00ED60A7" w:rsidRDefault="002E7A45" w:rsidP="002E7A45"/>
    <w:p w14:paraId="7C920A0F" w14:textId="77777777" w:rsidR="002E7A45" w:rsidRPr="00ED60A7" w:rsidRDefault="002E7A45" w:rsidP="002E7A45">
      <w:r w:rsidRPr="00ED60A7">
        <w:rPr>
          <w:szCs w:val="22"/>
        </w:rPr>
        <w:t>Item [</w:t>
      </w:r>
      <w:r>
        <w:rPr>
          <w:szCs w:val="22"/>
        </w:rPr>
        <w:t>36</w:t>
      </w:r>
      <w:r w:rsidRPr="00ED60A7">
        <w:rPr>
          <w:szCs w:val="22"/>
        </w:rPr>
        <w:t>] replaces ‘</w:t>
      </w:r>
      <w:r w:rsidRPr="00ED60A7">
        <w:t xml:space="preserve">— Sugars and honey’ with </w:t>
      </w:r>
      <w:r w:rsidRPr="00ED60A7">
        <w:rPr>
          <w:rFonts w:eastAsiaTheme="minorHAnsi"/>
        </w:rPr>
        <w:t>‘</w:t>
      </w:r>
      <w:r w:rsidRPr="00ED60A7">
        <w:t xml:space="preserve">— Sugar and sugar products’, </w:t>
      </w:r>
      <w:r w:rsidRPr="00ED60A7">
        <w:rPr>
          <w:szCs w:val="22"/>
        </w:rPr>
        <w:t>to correct a transcription error</w:t>
      </w:r>
      <w:r w:rsidRPr="00ED60A7">
        <w:t>.</w:t>
      </w:r>
    </w:p>
    <w:p w14:paraId="0998EAB9" w14:textId="77777777" w:rsidR="002E7A45" w:rsidRPr="00ED60A7" w:rsidRDefault="002E7A45" w:rsidP="002E7A45"/>
    <w:p w14:paraId="4A7165B1" w14:textId="77777777" w:rsidR="002E7A45" w:rsidRPr="00ED60A7" w:rsidRDefault="002E7A45" w:rsidP="002E7A45">
      <w:pPr>
        <w:rPr>
          <w:b/>
          <w:i/>
        </w:rPr>
      </w:pPr>
      <w:r w:rsidRPr="00ED60A7">
        <w:rPr>
          <w:b/>
          <w:i/>
        </w:rPr>
        <w:t>Paragraph 2.9.2—8(1)(b)</w:t>
      </w:r>
    </w:p>
    <w:p w14:paraId="7B5710C3" w14:textId="77777777" w:rsidR="002E7A45" w:rsidRPr="00ED60A7" w:rsidRDefault="002E7A45" w:rsidP="002E7A45"/>
    <w:p w14:paraId="562B0465" w14:textId="77777777" w:rsidR="002E7A45" w:rsidRPr="00ED60A7" w:rsidRDefault="002E7A45" w:rsidP="002E7A45">
      <w:r w:rsidRPr="00ED60A7">
        <w:rPr>
          <w:szCs w:val="22"/>
        </w:rPr>
        <w:t>Item [</w:t>
      </w:r>
      <w:r>
        <w:rPr>
          <w:szCs w:val="22"/>
        </w:rPr>
        <w:t>37</w:t>
      </w:r>
      <w:r w:rsidRPr="00ED60A7">
        <w:rPr>
          <w:szCs w:val="22"/>
        </w:rPr>
        <w:t xml:space="preserve">] replaces </w:t>
      </w:r>
      <w:r w:rsidRPr="00ED60A7">
        <w:t xml:space="preserve">‘more than of 3 g’ with ‘more than 3 g’, to </w:t>
      </w:r>
      <w:r w:rsidRPr="00ED60A7">
        <w:rPr>
          <w:szCs w:val="22"/>
        </w:rPr>
        <w:t>include in the P1025 Code the variation made in P1033</w:t>
      </w:r>
      <w:r w:rsidRPr="00ED60A7">
        <w:t>.</w:t>
      </w:r>
    </w:p>
    <w:p w14:paraId="4B5484C3" w14:textId="77777777" w:rsidR="002E7A45" w:rsidRPr="00ED60A7" w:rsidRDefault="002E7A45" w:rsidP="002E7A45"/>
    <w:p w14:paraId="0476002A" w14:textId="77777777" w:rsidR="002E7A45" w:rsidRPr="00ED60A7" w:rsidRDefault="002E7A45" w:rsidP="002E7A45">
      <w:pPr>
        <w:rPr>
          <w:b/>
          <w:i/>
        </w:rPr>
      </w:pPr>
      <w:r w:rsidRPr="00ED60A7">
        <w:rPr>
          <w:b/>
          <w:i/>
        </w:rPr>
        <w:t>Section 2.9.3—2</w:t>
      </w:r>
    </w:p>
    <w:p w14:paraId="3DF0FE22" w14:textId="77777777" w:rsidR="002E7A45" w:rsidRPr="00ED60A7" w:rsidRDefault="002E7A45" w:rsidP="002E7A45"/>
    <w:p w14:paraId="61524500" w14:textId="77777777" w:rsidR="002E7A45" w:rsidRPr="00ED60A7" w:rsidRDefault="002E7A45" w:rsidP="002E7A45">
      <w:r w:rsidRPr="00ED60A7">
        <w:t>Item [</w:t>
      </w:r>
      <w:r>
        <w:t>38</w:t>
      </w:r>
      <w:r w:rsidRPr="00ED60A7">
        <w:t>] deletes a note that had been retained in the P1025 Code in error.</w:t>
      </w:r>
    </w:p>
    <w:p w14:paraId="2C2E0B5C" w14:textId="77777777" w:rsidR="002E7A45" w:rsidRPr="00ED60A7" w:rsidRDefault="002E7A45" w:rsidP="002E7A45"/>
    <w:p w14:paraId="51600549" w14:textId="77777777" w:rsidR="00334DF5" w:rsidRDefault="00334DF5" w:rsidP="002E7A45">
      <w:pPr>
        <w:rPr>
          <w:b/>
          <w:i/>
        </w:rPr>
      </w:pPr>
      <w:r>
        <w:rPr>
          <w:b/>
          <w:i/>
        </w:rPr>
        <w:br w:type="page"/>
      </w:r>
    </w:p>
    <w:p w14:paraId="7D7693A5" w14:textId="2FBF1A48" w:rsidR="002E7A45" w:rsidRPr="00ED60A7" w:rsidRDefault="002E7A45" w:rsidP="002E7A45">
      <w:pPr>
        <w:rPr>
          <w:b/>
          <w:i/>
        </w:rPr>
      </w:pPr>
      <w:r w:rsidRPr="00ED60A7">
        <w:rPr>
          <w:b/>
          <w:i/>
        </w:rPr>
        <w:lastRenderedPageBreak/>
        <w:t xml:space="preserve">Subparagraph 2.9.3—8(3)(a) </w:t>
      </w:r>
    </w:p>
    <w:p w14:paraId="490B2F3B" w14:textId="77777777" w:rsidR="002E7A45" w:rsidRPr="00ED60A7" w:rsidRDefault="002E7A45" w:rsidP="002E7A45"/>
    <w:p w14:paraId="4D1FC1E0" w14:textId="77777777" w:rsidR="002E7A45" w:rsidRPr="00ED60A7" w:rsidRDefault="002E7A45" w:rsidP="002E7A45">
      <w:r w:rsidRPr="00ED60A7">
        <w:rPr>
          <w:szCs w:val="22"/>
        </w:rPr>
        <w:t>Item [</w:t>
      </w:r>
      <w:r>
        <w:rPr>
          <w:szCs w:val="22"/>
        </w:rPr>
        <w:t>39</w:t>
      </w:r>
      <w:r w:rsidRPr="00ED60A7">
        <w:rPr>
          <w:szCs w:val="22"/>
        </w:rPr>
        <w:t>] corrects a reference, using the terminology of the P1025 Code.</w:t>
      </w:r>
    </w:p>
    <w:p w14:paraId="565D873D" w14:textId="77777777" w:rsidR="002E7A45" w:rsidRPr="00ED60A7" w:rsidRDefault="002E7A45" w:rsidP="002E7A45"/>
    <w:p w14:paraId="5D1A1955" w14:textId="77777777" w:rsidR="002E7A45" w:rsidRPr="00ED60A7" w:rsidRDefault="002E7A45" w:rsidP="002E7A45">
      <w:pPr>
        <w:rPr>
          <w:b/>
          <w:i/>
        </w:rPr>
      </w:pPr>
      <w:r w:rsidRPr="00ED60A7">
        <w:rPr>
          <w:b/>
          <w:i/>
        </w:rPr>
        <w:t>Paragraph 2.9.4—5(2)(a)</w:t>
      </w:r>
    </w:p>
    <w:p w14:paraId="4D4ABA7A" w14:textId="77777777" w:rsidR="002E7A45" w:rsidRPr="00ED60A7" w:rsidRDefault="002E7A45" w:rsidP="002E7A45"/>
    <w:p w14:paraId="46E0CA0A" w14:textId="77777777" w:rsidR="002E7A45" w:rsidRPr="00ED60A7" w:rsidRDefault="002E7A45" w:rsidP="002E7A45">
      <w:r w:rsidRPr="00ED60A7">
        <w:rPr>
          <w:szCs w:val="22"/>
        </w:rPr>
        <w:t>Item [</w:t>
      </w:r>
      <w:r>
        <w:rPr>
          <w:szCs w:val="22"/>
        </w:rPr>
        <w:t>40</w:t>
      </w:r>
      <w:r w:rsidRPr="00ED60A7">
        <w:rPr>
          <w:szCs w:val="22"/>
        </w:rPr>
        <w:t xml:space="preserve">] inserts ‘as’ after </w:t>
      </w:r>
      <w:r w:rsidRPr="00ED60A7">
        <w:t>‘(expressed’, to correct a typographical error.</w:t>
      </w:r>
    </w:p>
    <w:p w14:paraId="38B3B4CE" w14:textId="77777777" w:rsidR="002E7A45" w:rsidRPr="00ED60A7" w:rsidRDefault="002E7A45" w:rsidP="002E7A45">
      <w:pPr>
        <w:rPr>
          <w:b/>
          <w:i/>
        </w:rPr>
      </w:pPr>
      <w:r w:rsidRPr="00ED60A7">
        <w:rPr>
          <w:b/>
          <w:i/>
        </w:rPr>
        <w:t>Paragraph 2.9.4—6(2)(a)</w:t>
      </w:r>
    </w:p>
    <w:p w14:paraId="612C0E23" w14:textId="77777777" w:rsidR="002E7A45" w:rsidRPr="00ED60A7" w:rsidRDefault="002E7A45" w:rsidP="002E7A45"/>
    <w:p w14:paraId="7227439B" w14:textId="77777777" w:rsidR="002E7A45" w:rsidRPr="00ED60A7" w:rsidRDefault="002E7A45" w:rsidP="002E7A45">
      <w:r w:rsidRPr="00ED60A7">
        <w:rPr>
          <w:szCs w:val="22"/>
        </w:rPr>
        <w:t>Item [</w:t>
      </w:r>
      <w:r>
        <w:rPr>
          <w:szCs w:val="22"/>
        </w:rPr>
        <w:t>41</w:t>
      </w:r>
      <w:r w:rsidRPr="00ED60A7">
        <w:rPr>
          <w:szCs w:val="22"/>
        </w:rPr>
        <w:t xml:space="preserve">] inserts </w:t>
      </w:r>
      <w:r w:rsidRPr="00ED60A7">
        <w:t>‘or *ESADDI’ after ‘*RDI’, to correct an omission.</w:t>
      </w:r>
    </w:p>
    <w:p w14:paraId="67598AEA" w14:textId="77777777" w:rsidR="002E7A45" w:rsidRPr="00ED60A7" w:rsidRDefault="002E7A45" w:rsidP="002E7A45"/>
    <w:p w14:paraId="5320FD39" w14:textId="77777777" w:rsidR="002E7A45" w:rsidRPr="00ED60A7" w:rsidRDefault="002E7A45" w:rsidP="002E7A45">
      <w:pPr>
        <w:rPr>
          <w:b/>
          <w:i/>
        </w:rPr>
      </w:pPr>
      <w:r w:rsidRPr="00ED60A7">
        <w:rPr>
          <w:b/>
          <w:i/>
        </w:rPr>
        <w:t>Paragraph 2.9.5—3(a)</w:t>
      </w:r>
    </w:p>
    <w:p w14:paraId="339F4335" w14:textId="77777777" w:rsidR="002E7A45" w:rsidRPr="00ED60A7" w:rsidRDefault="002E7A45" w:rsidP="002E7A45"/>
    <w:p w14:paraId="7FE21760" w14:textId="77777777" w:rsidR="002E7A45" w:rsidRPr="00ED60A7" w:rsidRDefault="002E7A45" w:rsidP="002E7A45">
      <w:r w:rsidRPr="00ED60A7">
        <w:t>Item [</w:t>
      </w:r>
      <w:r>
        <w:t>42</w:t>
      </w:r>
      <w:r w:rsidRPr="00ED60A7">
        <w:t>] deletes ‘or Standard 1.1A.2 (transitional standard for health claims)’, to delete an unnecessary reference.</w:t>
      </w:r>
    </w:p>
    <w:p w14:paraId="1FA7B6E3" w14:textId="77777777" w:rsidR="002E7A45" w:rsidRPr="00ED60A7" w:rsidRDefault="002E7A45" w:rsidP="002E7A45"/>
    <w:p w14:paraId="001FE36F" w14:textId="77777777" w:rsidR="002E7A45" w:rsidRPr="00ED60A7" w:rsidRDefault="002E7A45" w:rsidP="002E7A45">
      <w:pPr>
        <w:keepNext/>
        <w:rPr>
          <w:b/>
          <w:i/>
        </w:rPr>
      </w:pPr>
      <w:r w:rsidRPr="00ED60A7">
        <w:rPr>
          <w:b/>
          <w:i/>
        </w:rPr>
        <w:t>Schedule 3</w:t>
      </w:r>
    </w:p>
    <w:p w14:paraId="6264B8F1" w14:textId="77777777" w:rsidR="002E7A45" w:rsidRPr="00ED60A7" w:rsidRDefault="002E7A45" w:rsidP="002E7A45">
      <w:pPr>
        <w:rPr>
          <w:u w:val="single"/>
        </w:rPr>
      </w:pPr>
    </w:p>
    <w:p w14:paraId="4D17E86B" w14:textId="77777777" w:rsidR="002E7A45" w:rsidRPr="00ED60A7" w:rsidRDefault="002E7A45" w:rsidP="002E7A45">
      <w:pPr>
        <w:rPr>
          <w:i/>
        </w:rPr>
      </w:pPr>
      <w:r w:rsidRPr="00ED60A7">
        <w:rPr>
          <w:i/>
        </w:rPr>
        <w:t>Subparagraph S3—27(2)(b)(ii)</w:t>
      </w:r>
    </w:p>
    <w:p w14:paraId="293C2431" w14:textId="77777777" w:rsidR="002E7A45" w:rsidRPr="00ED60A7" w:rsidRDefault="002E7A45" w:rsidP="002E7A45">
      <w:pPr>
        <w:rPr>
          <w:u w:val="single"/>
        </w:rPr>
      </w:pPr>
    </w:p>
    <w:p w14:paraId="0345450B" w14:textId="77777777" w:rsidR="002E7A45" w:rsidRPr="00ED60A7" w:rsidRDefault="002E7A45" w:rsidP="002E7A45">
      <w:r w:rsidRPr="00ED60A7">
        <w:rPr>
          <w:szCs w:val="22"/>
        </w:rPr>
        <w:t>Item [</w:t>
      </w:r>
      <w:r>
        <w:rPr>
          <w:szCs w:val="22"/>
        </w:rPr>
        <w:t>43</w:t>
      </w:r>
      <w:r w:rsidRPr="00ED60A7">
        <w:rPr>
          <w:szCs w:val="22"/>
        </w:rPr>
        <w:t xml:space="preserve">] replaces </w:t>
      </w:r>
      <w:r w:rsidRPr="00ED60A7">
        <w:t>‘campsteranol’ with ‘campestanol’, to correct a typographical error.</w:t>
      </w:r>
    </w:p>
    <w:p w14:paraId="1376774A" w14:textId="77777777" w:rsidR="002E7A45" w:rsidRPr="00ED60A7" w:rsidRDefault="002E7A45" w:rsidP="002E7A45"/>
    <w:p w14:paraId="42CAFF84" w14:textId="77777777" w:rsidR="002E7A45" w:rsidRPr="00ED60A7" w:rsidRDefault="002E7A45" w:rsidP="002E7A45">
      <w:pPr>
        <w:rPr>
          <w:b/>
          <w:i/>
        </w:rPr>
      </w:pPr>
      <w:r w:rsidRPr="00ED60A7">
        <w:rPr>
          <w:b/>
          <w:i/>
        </w:rPr>
        <w:t>Schedule 14</w:t>
      </w:r>
    </w:p>
    <w:p w14:paraId="00B94D30" w14:textId="77777777" w:rsidR="002E7A45" w:rsidRPr="00ED60A7" w:rsidRDefault="002E7A45" w:rsidP="002E7A45">
      <w:pPr>
        <w:rPr>
          <w:u w:val="single"/>
        </w:rPr>
      </w:pPr>
    </w:p>
    <w:p w14:paraId="5FD2E2EF" w14:textId="77777777" w:rsidR="002E7A45" w:rsidRPr="00ED60A7" w:rsidRDefault="002E7A45" w:rsidP="002E7A45">
      <w:pPr>
        <w:rPr>
          <w:i/>
        </w:rPr>
      </w:pPr>
      <w:r w:rsidRPr="00ED60A7">
        <w:rPr>
          <w:i/>
        </w:rPr>
        <w:t>Table to section S14—2</w:t>
      </w:r>
    </w:p>
    <w:p w14:paraId="3858C304" w14:textId="77777777" w:rsidR="002E7A45" w:rsidRPr="00ED60A7" w:rsidRDefault="002E7A45" w:rsidP="002E7A45">
      <w:pPr>
        <w:rPr>
          <w:u w:val="single"/>
        </w:rPr>
      </w:pPr>
    </w:p>
    <w:p w14:paraId="403E4DBD" w14:textId="77777777" w:rsidR="002E7A45" w:rsidRPr="00ED60A7" w:rsidRDefault="002E7A45" w:rsidP="002E7A45">
      <w:r w:rsidRPr="00ED60A7">
        <w:t>i.</w:t>
      </w:r>
      <w:r w:rsidRPr="00ED60A7">
        <w:tab/>
        <w:t xml:space="preserve">(definition of </w:t>
      </w:r>
      <w:r w:rsidRPr="00ED60A7">
        <w:rPr>
          <w:i/>
        </w:rPr>
        <w:t>firming agent</w:t>
      </w:r>
      <w:r w:rsidRPr="00ED60A7">
        <w:t xml:space="preserve">)  </w:t>
      </w:r>
    </w:p>
    <w:p w14:paraId="31392AF8" w14:textId="77777777" w:rsidR="002E7A45" w:rsidRPr="00ED60A7" w:rsidRDefault="002E7A45" w:rsidP="002E7A45">
      <w:pPr>
        <w:rPr>
          <w:u w:val="single"/>
        </w:rPr>
      </w:pPr>
    </w:p>
    <w:p w14:paraId="793247BA" w14:textId="77777777" w:rsidR="002E7A45" w:rsidRPr="00ED60A7" w:rsidRDefault="002E7A45" w:rsidP="002E7A45">
      <w:r w:rsidRPr="00ED60A7">
        <w:rPr>
          <w:szCs w:val="22"/>
        </w:rPr>
        <w:t>Item [</w:t>
      </w:r>
      <w:r>
        <w:rPr>
          <w:szCs w:val="22"/>
        </w:rPr>
        <w:t>44</w:t>
      </w:r>
      <w:r w:rsidRPr="00ED60A7">
        <w:rPr>
          <w:szCs w:val="22"/>
        </w:rPr>
        <w:t xml:space="preserve">] replaces </w:t>
      </w:r>
      <w:r w:rsidRPr="00ED60A7">
        <w:t>’interact‘ with ’interacts’, to correct a typographical error.</w:t>
      </w:r>
    </w:p>
    <w:p w14:paraId="18F6B065" w14:textId="77777777" w:rsidR="002E7A45" w:rsidRPr="00ED60A7" w:rsidRDefault="002E7A45" w:rsidP="002E7A45"/>
    <w:p w14:paraId="4AD9D5E7" w14:textId="77777777" w:rsidR="002E7A45" w:rsidRPr="00ED60A7" w:rsidRDefault="002E7A45" w:rsidP="002E7A45">
      <w:r w:rsidRPr="00ED60A7">
        <w:t>ii.</w:t>
      </w:r>
      <w:r w:rsidRPr="00ED60A7">
        <w:tab/>
        <w:t>(definition of raising agent)</w:t>
      </w:r>
    </w:p>
    <w:p w14:paraId="21EFD623" w14:textId="77777777" w:rsidR="002E7A45" w:rsidRPr="00ED60A7" w:rsidRDefault="002E7A45" w:rsidP="002E7A45">
      <w:pPr>
        <w:rPr>
          <w:u w:val="single"/>
        </w:rPr>
      </w:pPr>
    </w:p>
    <w:p w14:paraId="08F6C0AE" w14:textId="77777777" w:rsidR="002E7A45" w:rsidRPr="00ED60A7" w:rsidRDefault="002E7A45" w:rsidP="002E7A45">
      <w:r w:rsidRPr="00ED60A7">
        <w:rPr>
          <w:szCs w:val="22"/>
        </w:rPr>
        <w:t>Item [</w:t>
      </w:r>
      <w:r>
        <w:rPr>
          <w:szCs w:val="22"/>
        </w:rPr>
        <w:t>45</w:t>
      </w:r>
      <w:r w:rsidRPr="00ED60A7">
        <w:rPr>
          <w:szCs w:val="22"/>
        </w:rPr>
        <w:t xml:space="preserve">] replaces </w:t>
      </w:r>
      <w:r w:rsidRPr="00ED60A7">
        <w:t>’increase‘ with ‘increases’, to correct a typographical error.</w:t>
      </w:r>
    </w:p>
    <w:p w14:paraId="7D4A7D04" w14:textId="77777777" w:rsidR="002E7A45" w:rsidRPr="00ED60A7" w:rsidRDefault="002E7A45" w:rsidP="002E7A45"/>
    <w:p w14:paraId="2DAB104B" w14:textId="77777777" w:rsidR="002E7A45" w:rsidRPr="00ED60A7" w:rsidRDefault="002E7A45" w:rsidP="002E7A45">
      <w:pPr>
        <w:rPr>
          <w:b/>
          <w:i/>
        </w:rPr>
      </w:pPr>
      <w:r w:rsidRPr="00ED60A7">
        <w:rPr>
          <w:b/>
          <w:i/>
        </w:rPr>
        <w:t>Schedule 15</w:t>
      </w:r>
    </w:p>
    <w:p w14:paraId="169CE13E" w14:textId="77777777" w:rsidR="002E7A45" w:rsidRPr="00ED60A7" w:rsidRDefault="002E7A45" w:rsidP="002E7A45">
      <w:pPr>
        <w:rPr>
          <w:u w:val="single"/>
        </w:rPr>
      </w:pPr>
    </w:p>
    <w:p w14:paraId="1B79D2C1" w14:textId="77777777" w:rsidR="002E7A45" w:rsidRPr="00ED60A7" w:rsidRDefault="002E7A45" w:rsidP="002E7A45">
      <w:pPr>
        <w:rPr>
          <w:i/>
        </w:rPr>
      </w:pPr>
      <w:r w:rsidRPr="00ED60A7">
        <w:rPr>
          <w:i/>
        </w:rPr>
        <w:t>Table to section S15—5</w:t>
      </w:r>
    </w:p>
    <w:p w14:paraId="2B96F7AD" w14:textId="77777777" w:rsidR="002E7A45" w:rsidRPr="00ED60A7" w:rsidRDefault="002E7A45" w:rsidP="002E7A45">
      <w:pPr>
        <w:rPr>
          <w:u w:val="single"/>
        </w:rPr>
      </w:pPr>
    </w:p>
    <w:p w14:paraId="59A87F36" w14:textId="77777777" w:rsidR="002E7A45" w:rsidRPr="00ED60A7" w:rsidRDefault="002E7A45" w:rsidP="002E7A45">
      <w:pPr>
        <w:ind w:left="567" w:hanging="567"/>
      </w:pPr>
      <w:r w:rsidRPr="00ED60A7">
        <w:t>i.</w:t>
      </w:r>
      <w:r w:rsidRPr="00ED60A7">
        <w:tab/>
      </w:r>
      <w:r w:rsidRPr="00ED60A7">
        <w:rPr>
          <w:szCs w:val="22"/>
        </w:rPr>
        <w:t>Item [</w:t>
      </w:r>
      <w:r>
        <w:rPr>
          <w:szCs w:val="22"/>
        </w:rPr>
        <w:t>46</w:t>
      </w:r>
      <w:r w:rsidRPr="00ED60A7">
        <w:rPr>
          <w:szCs w:val="22"/>
        </w:rPr>
        <w:t xml:space="preserve">] </w:t>
      </w:r>
      <w:r w:rsidRPr="00ED60A7">
        <w:t>inserts the following item heading after item 5.2.2, to correct a transcription error:</w:t>
      </w:r>
    </w:p>
    <w:p w14:paraId="302532E1" w14:textId="77777777" w:rsidR="002E7A45" w:rsidRPr="00ED60A7" w:rsidRDefault="002E7A45" w:rsidP="002E7A45"/>
    <w:p w14:paraId="1E1DA9AC" w14:textId="77777777" w:rsidR="002E7A45" w:rsidRPr="00ED60A7" w:rsidRDefault="002E7A45" w:rsidP="002E7A45">
      <w:r w:rsidRPr="00ED60A7">
        <w:tab/>
        <w:t>‘</w:t>
      </w:r>
      <w:r w:rsidRPr="00ED60A7">
        <w:rPr>
          <w:b/>
        </w:rPr>
        <w:t>…. 5.3</w:t>
      </w:r>
      <w:r w:rsidRPr="00ED60A7">
        <w:rPr>
          <w:b/>
        </w:rPr>
        <w:tab/>
        <w:t>Not assigned</w:t>
      </w:r>
      <w:r w:rsidRPr="00ED60A7">
        <w:t>’.</w:t>
      </w:r>
    </w:p>
    <w:p w14:paraId="7302ED58" w14:textId="77777777" w:rsidR="002E7A45" w:rsidRPr="00ED60A7" w:rsidRDefault="002E7A45" w:rsidP="002E7A45"/>
    <w:p w14:paraId="52583C35" w14:textId="77777777" w:rsidR="002E7A45" w:rsidRPr="00ED60A7" w:rsidRDefault="002E7A45" w:rsidP="002E7A45">
      <w:pPr>
        <w:ind w:left="567" w:hanging="567"/>
      </w:pPr>
      <w:r w:rsidRPr="00ED60A7">
        <w:t>ii.</w:t>
      </w:r>
      <w:r w:rsidRPr="00ED60A7">
        <w:tab/>
      </w:r>
      <w:r w:rsidRPr="00ED60A7">
        <w:rPr>
          <w:szCs w:val="22"/>
        </w:rPr>
        <w:t>Item [</w:t>
      </w:r>
      <w:r>
        <w:rPr>
          <w:szCs w:val="22"/>
        </w:rPr>
        <w:t>47</w:t>
      </w:r>
      <w:r w:rsidRPr="00ED60A7">
        <w:rPr>
          <w:szCs w:val="22"/>
        </w:rPr>
        <w:t xml:space="preserve">] </w:t>
      </w:r>
      <w:r w:rsidRPr="00ED60A7">
        <w:t xml:space="preserve">inserts the following food additive and its MPL into item 9.4.1 (Canned abalone (paua)), in alphabetical order, to </w:t>
      </w:r>
      <w:r w:rsidRPr="00ED60A7">
        <w:rPr>
          <w:szCs w:val="22"/>
        </w:rPr>
        <w:t>include in the P1025 Code the variation made in A1088</w:t>
      </w:r>
      <w:r w:rsidRPr="00ED60A7">
        <w:t>:</w:t>
      </w:r>
    </w:p>
    <w:p w14:paraId="1E0AA508" w14:textId="77777777" w:rsidR="002E7A45" w:rsidRPr="00ED60A7" w:rsidRDefault="002E7A45" w:rsidP="002E7A45"/>
    <w:p w14:paraId="1969ED57" w14:textId="77777777" w:rsidR="002E7A45" w:rsidRPr="00ED60A7" w:rsidRDefault="002E7A45" w:rsidP="002E7A45">
      <w:r w:rsidRPr="00ED60A7">
        <w:tab/>
        <w:t>‘Sodium hydrosulphite</w:t>
      </w:r>
      <w:r w:rsidRPr="00ED60A7">
        <w:tab/>
        <w:t>1 000’.</w:t>
      </w:r>
    </w:p>
    <w:p w14:paraId="0FC2D662" w14:textId="77777777" w:rsidR="002E7A45" w:rsidRPr="00ED60A7" w:rsidRDefault="002E7A45" w:rsidP="002E7A45"/>
    <w:p w14:paraId="40A734C9" w14:textId="77777777" w:rsidR="002E7A45" w:rsidRPr="00ED60A7" w:rsidRDefault="002E7A45" w:rsidP="002E7A45">
      <w:pPr>
        <w:ind w:left="567" w:hanging="567"/>
        <w:rPr>
          <w:szCs w:val="22"/>
        </w:rPr>
      </w:pPr>
      <w:r w:rsidRPr="00ED60A7">
        <w:t>iii.</w:t>
      </w:r>
      <w:r w:rsidRPr="00ED60A7">
        <w:tab/>
      </w:r>
      <w:r w:rsidRPr="00ED60A7">
        <w:rPr>
          <w:szCs w:val="22"/>
        </w:rPr>
        <w:t>Item [</w:t>
      </w:r>
      <w:r>
        <w:rPr>
          <w:szCs w:val="22"/>
        </w:rPr>
        <w:t>48</w:t>
      </w:r>
      <w:r w:rsidRPr="00ED60A7">
        <w:rPr>
          <w:szCs w:val="22"/>
        </w:rPr>
        <w:t xml:space="preserve">] replaces the heading for item 13.3 with the following, </w:t>
      </w:r>
      <w:r w:rsidRPr="00ED60A7">
        <w:t xml:space="preserve">to </w:t>
      </w:r>
      <w:r w:rsidRPr="00ED60A7">
        <w:rPr>
          <w:szCs w:val="22"/>
        </w:rPr>
        <w:t>include in the P1025 Code the variation made in P1033:</w:t>
      </w:r>
    </w:p>
    <w:p w14:paraId="69A0CBEC" w14:textId="77777777" w:rsidR="002E7A45" w:rsidRPr="00ED60A7" w:rsidRDefault="002E7A45" w:rsidP="002E7A45">
      <w:pPr>
        <w:rPr>
          <w:szCs w:val="22"/>
        </w:rPr>
      </w:pPr>
    </w:p>
    <w:p w14:paraId="58BC12D2" w14:textId="77777777" w:rsidR="002E7A45" w:rsidRPr="00ED60A7" w:rsidRDefault="002E7A45" w:rsidP="002E7A45">
      <w:r w:rsidRPr="00ED60A7">
        <w:rPr>
          <w:szCs w:val="22"/>
        </w:rPr>
        <w:tab/>
        <w:t xml:space="preserve">‘…. </w:t>
      </w:r>
      <w:r w:rsidRPr="00ED60A7">
        <w:t>13.3</w:t>
      </w:r>
      <w:r w:rsidRPr="00ED60A7">
        <w:tab/>
        <w:t>Formulated meal replacements and formulated supplementary foods’.</w:t>
      </w:r>
    </w:p>
    <w:p w14:paraId="422AE652" w14:textId="77777777" w:rsidR="002E7A45" w:rsidRPr="00ED60A7" w:rsidRDefault="002E7A45" w:rsidP="002E7A45">
      <w:pPr>
        <w:ind w:left="567" w:hanging="567"/>
      </w:pPr>
    </w:p>
    <w:p w14:paraId="1FAF9537" w14:textId="77777777" w:rsidR="00334DF5" w:rsidRDefault="00334DF5" w:rsidP="002E7A45">
      <w:pPr>
        <w:ind w:left="567" w:hanging="567"/>
        <w:rPr>
          <w:b/>
          <w:i/>
        </w:rPr>
      </w:pPr>
      <w:r>
        <w:rPr>
          <w:b/>
          <w:i/>
        </w:rPr>
        <w:br w:type="page"/>
      </w:r>
    </w:p>
    <w:p w14:paraId="02D29E13" w14:textId="3B3C9F14" w:rsidR="002E7A45" w:rsidRPr="00ED60A7" w:rsidRDefault="002E7A45" w:rsidP="002E7A45">
      <w:pPr>
        <w:ind w:left="567" w:hanging="567"/>
        <w:rPr>
          <w:b/>
          <w:i/>
        </w:rPr>
      </w:pPr>
      <w:r w:rsidRPr="00ED60A7">
        <w:rPr>
          <w:b/>
          <w:i/>
        </w:rPr>
        <w:lastRenderedPageBreak/>
        <w:t>Schedule 17</w:t>
      </w:r>
    </w:p>
    <w:p w14:paraId="650700EA" w14:textId="77777777" w:rsidR="002E7A45" w:rsidRPr="00ED60A7" w:rsidRDefault="002E7A45" w:rsidP="002E7A45">
      <w:pPr>
        <w:ind w:left="567" w:hanging="567"/>
      </w:pPr>
    </w:p>
    <w:p w14:paraId="58BAEBD2" w14:textId="77777777" w:rsidR="002E7A45" w:rsidRPr="00ED60A7" w:rsidRDefault="002E7A45" w:rsidP="002E7A45">
      <w:pPr>
        <w:rPr>
          <w:u w:val="single"/>
        </w:rPr>
      </w:pPr>
      <w:r w:rsidRPr="00ED60A7">
        <w:t>Item [</w:t>
      </w:r>
      <w:r>
        <w:t>49</w:t>
      </w:r>
      <w:r w:rsidRPr="00ED60A7">
        <w:t>] amends Note 1 to update a reference to certain vitamins and minerals</w:t>
      </w:r>
      <w:r w:rsidRPr="00ED60A7">
        <w:rPr>
          <w:szCs w:val="22"/>
        </w:rPr>
        <w:t>, using the terminology of the P1025 Code</w:t>
      </w:r>
      <w:r w:rsidRPr="00ED60A7">
        <w:t>.</w:t>
      </w:r>
    </w:p>
    <w:p w14:paraId="15F5CDD4" w14:textId="77777777" w:rsidR="002E7A45" w:rsidRPr="00ED60A7" w:rsidRDefault="002E7A45" w:rsidP="002E7A45">
      <w:pPr>
        <w:ind w:left="567" w:hanging="567"/>
        <w:rPr>
          <w:u w:val="single"/>
        </w:rPr>
      </w:pPr>
    </w:p>
    <w:p w14:paraId="11E5FF22" w14:textId="77777777" w:rsidR="002E7A45" w:rsidRPr="00ED60A7" w:rsidRDefault="002E7A45" w:rsidP="002E7A45">
      <w:pPr>
        <w:ind w:left="567" w:hanging="567"/>
        <w:rPr>
          <w:b/>
          <w:i/>
        </w:rPr>
      </w:pPr>
      <w:r w:rsidRPr="00ED60A7">
        <w:rPr>
          <w:b/>
          <w:i/>
        </w:rPr>
        <w:t>Schedule 18</w:t>
      </w:r>
    </w:p>
    <w:p w14:paraId="3F7968E9" w14:textId="77777777" w:rsidR="002E7A45" w:rsidRPr="00ED60A7" w:rsidRDefault="002E7A45" w:rsidP="002E7A45">
      <w:pPr>
        <w:ind w:left="567" w:hanging="567"/>
        <w:rPr>
          <w:u w:val="single"/>
        </w:rPr>
      </w:pPr>
    </w:p>
    <w:p w14:paraId="2FBA76E8" w14:textId="77777777" w:rsidR="002E7A45" w:rsidRPr="00ED60A7" w:rsidRDefault="002E7A45" w:rsidP="002E7A45">
      <w:pPr>
        <w:rPr>
          <w:i/>
        </w:rPr>
      </w:pPr>
      <w:r w:rsidRPr="00ED60A7">
        <w:rPr>
          <w:i/>
        </w:rPr>
        <w:t>Table to subsection S18—4(5)</w:t>
      </w:r>
    </w:p>
    <w:p w14:paraId="1F7067F8" w14:textId="77777777" w:rsidR="002E7A45" w:rsidRPr="00ED60A7" w:rsidRDefault="002E7A45" w:rsidP="002E7A45">
      <w:pPr>
        <w:ind w:left="567" w:hanging="567"/>
        <w:rPr>
          <w:u w:val="single"/>
        </w:rPr>
      </w:pPr>
    </w:p>
    <w:p w14:paraId="365145B9" w14:textId="77777777" w:rsidR="002E7A45" w:rsidRPr="00ED60A7" w:rsidRDefault="002E7A45" w:rsidP="002E7A45">
      <w:pPr>
        <w:ind w:left="567" w:hanging="567"/>
      </w:pPr>
      <w:r w:rsidRPr="00ED60A7">
        <w:t>i.</w:t>
      </w:r>
      <w:r w:rsidRPr="00ED60A7">
        <w:tab/>
      </w:r>
      <w:r w:rsidRPr="00ED60A7">
        <w:rPr>
          <w:szCs w:val="22"/>
        </w:rPr>
        <w:t>Item [</w:t>
      </w:r>
      <w:r>
        <w:rPr>
          <w:szCs w:val="22"/>
        </w:rPr>
        <w:t>50</w:t>
      </w:r>
      <w:r w:rsidRPr="00ED60A7">
        <w:rPr>
          <w:szCs w:val="22"/>
        </w:rPr>
        <w:t xml:space="preserve">] replaces the enzyme </w:t>
      </w:r>
      <w:r w:rsidRPr="00ED60A7">
        <w:t xml:space="preserve">‘Aspergillopepsin I (EC 3.4.23.6)’ with ‘Aspergillopepsin I (EC 3.4.23.18)’, to </w:t>
      </w:r>
      <w:r w:rsidRPr="00ED60A7">
        <w:rPr>
          <w:szCs w:val="22"/>
        </w:rPr>
        <w:t>include in the P1025 Code the variation made in A1091</w:t>
      </w:r>
      <w:r w:rsidRPr="00ED60A7">
        <w:t>.</w:t>
      </w:r>
    </w:p>
    <w:p w14:paraId="66EC9FA0" w14:textId="23D589E9" w:rsidR="002E7A45" w:rsidRDefault="002E7A45" w:rsidP="002E7A45">
      <w:pPr>
        <w:ind w:left="567" w:hanging="567"/>
      </w:pPr>
    </w:p>
    <w:p w14:paraId="1EB499AA" w14:textId="77777777" w:rsidR="002E7A45" w:rsidRPr="00ED60A7" w:rsidRDefault="002E7A45" w:rsidP="002E7A45">
      <w:pPr>
        <w:ind w:left="567" w:hanging="567"/>
      </w:pPr>
      <w:r w:rsidRPr="00ED60A7">
        <w:t>ii.</w:t>
      </w:r>
      <w:r w:rsidRPr="00ED60A7">
        <w:tab/>
      </w:r>
      <w:r w:rsidRPr="00ED60A7">
        <w:rPr>
          <w:szCs w:val="22"/>
        </w:rPr>
        <w:t>Item [</w:t>
      </w:r>
      <w:r>
        <w:rPr>
          <w:szCs w:val="22"/>
        </w:rPr>
        <w:t>51</w:t>
      </w:r>
      <w:r w:rsidRPr="00ED60A7">
        <w:rPr>
          <w:szCs w:val="22"/>
        </w:rPr>
        <w:t>] inserts two enzymes and their approved sources</w:t>
      </w:r>
      <w:r w:rsidRPr="00ED60A7">
        <w:t xml:space="preserve">, in alphabetical order in the table, to </w:t>
      </w:r>
      <w:r w:rsidRPr="00ED60A7">
        <w:rPr>
          <w:szCs w:val="22"/>
        </w:rPr>
        <w:t>include in the P1025 Code the variation made in A1096</w:t>
      </w:r>
      <w:r w:rsidRPr="00ED60A7">
        <w:t>,</w:t>
      </w:r>
    </w:p>
    <w:p w14:paraId="1177CEC0" w14:textId="77777777" w:rsidR="002E7A45" w:rsidRPr="00ED60A7" w:rsidRDefault="002E7A45" w:rsidP="002E7A45">
      <w:pPr>
        <w:ind w:left="567" w:hanging="567"/>
      </w:pPr>
    </w:p>
    <w:p w14:paraId="3C4353DF" w14:textId="77777777" w:rsidR="002E7A45" w:rsidRPr="00ED60A7" w:rsidRDefault="002E7A45" w:rsidP="002E7A45">
      <w:pPr>
        <w:ind w:left="567" w:hanging="567"/>
      </w:pPr>
      <w:r w:rsidRPr="00ED60A7">
        <w:t>iii.</w:t>
      </w:r>
      <w:r w:rsidRPr="00ED60A7">
        <w:tab/>
      </w:r>
      <w:r w:rsidRPr="00ED60A7">
        <w:rPr>
          <w:szCs w:val="22"/>
        </w:rPr>
        <w:t>Item [</w:t>
      </w:r>
      <w:r>
        <w:rPr>
          <w:szCs w:val="22"/>
        </w:rPr>
        <w:t>52</w:t>
      </w:r>
      <w:r w:rsidRPr="00ED60A7">
        <w:rPr>
          <w:szCs w:val="22"/>
        </w:rPr>
        <w:t>] deletes the enzyme ‘</w:t>
      </w:r>
      <w:r w:rsidRPr="00ED60A7">
        <w:rPr>
          <w:i/>
        </w:rPr>
        <w:t>Hemicellulase endo-1,4-β-xylanase (EC 3.2.1.8)</w:t>
      </w:r>
      <w:r w:rsidRPr="00ED60A7">
        <w:t xml:space="preserve">’ and its sources, to </w:t>
      </w:r>
      <w:r w:rsidRPr="00ED60A7">
        <w:rPr>
          <w:szCs w:val="22"/>
        </w:rPr>
        <w:t>include in the P1025 Code the variation made in A1096</w:t>
      </w:r>
      <w:r w:rsidRPr="00ED60A7">
        <w:t>.</w:t>
      </w:r>
    </w:p>
    <w:p w14:paraId="7DF56DB8" w14:textId="77777777" w:rsidR="002E7A45" w:rsidRPr="00ED60A7" w:rsidRDefault="002E7A45" w:rsidP="002E7A45">
      <w:pPr>
        <w:ind w:left="567" w:hanging="567"/>
      </w:pPr>
    </w:p>
    <w:p w14:paraId="4B7F38A2" w14:textId="77777777" w:rsidR="002E7A45" w:rsidRPr="00ED60A7" w:rsidRDefault="002E7A45" w:rsidP="002E7A45">
      <w:pPr>
        <w:ind w:left="567" w:right="-1418" w:hanging="567"/>
        <w:rPr>
          <w:b/>
          <w:i/>
        </w:rPr>
      </w:pPr>
      <w:r w:rsidRPr="00ED60A7">
        <w:rPr>
          <w:b/>
          <w:i/>
        </w:rPr>
        <w:t>Schedule 19</w:t>
      </w:r>
    </w:p>
    <w:p w14:paraId="6AAC8461" w14:textId="77777777" w:rsidR="002E7A45" w:rsidRPr="00ED60A7" w:rsidRDefault="002E7A45" w:rsidP="002E7A45">
      <w:pPr>
        <w:ind w:left="567" w:right="-1418" w:hanging="567"/>
        <w:rPr>
          <w:u w:val="single"/>
        </w:rPr>
      </w:pPr>
    </w:p>
    <w:p w14:paraId="775F5BCB" w14:textId="77777777" w:rsidR="002E7A45" w:rsidRPr="00ED60A7" w:rsidRDefault="002E7A45" w:rsidP="002E7A45">
      <w:pPr>
        <w:ind w:right="-1418"/>
        <w:rPr>
          <w:i/>
        </w:rPr>
      </w:pPr>
      <w:r w:rsidRPr="00ED60A7">
        <w:rPr>
          <w:i/>
        </w:rPr>
        <w:t>Section S19—2</w:t>
      </w:r>
    </w:p>
    <w:p w14:paraId="205183CB" w14:textId="77777777" w:rsidR="002E7A45" w:rsidRPr="00ED60A7" w:rsidRDefault="002E7A45" w:rsidP="002E7A45">
      <w:pPr>
        <w:ind w:left="567" w:right="-1418" w:hanging="567"/>
        <w:rPr>
          <w:u w:val="single"/>
        </w:rPr>
      </w:pPr>
    </w:p>
    <w:p w14:paraId="7239BEC3" w14:textId="77777777" w:rsidR="002E7A45" w:rsidRPr="00ED60A7" w:rsidRDefault="002E7A45" w:rsidP="002E7A45">
      <w:pPr>
        <w:ind w:left="567" w:right="-1418" w:hanging="567"/>
        <w:rPr>
          <w:szCs w:val="22"/>
        </w:rPr>
      </w:pPr>
      <w:r w:rsidRPr="00ED60A7">
        <w:t>i.</w:t>
      </w:r>
      <w:r w:rsidRPr="00ED60A7">
        <w:tab/>
      </w:r>
      <w:r w:rsidRPr="00ED60A7">
        <w:rPr>
          <w:szCs w:val="22"/>
        </w:rPr>
        <w:t>Item [</w:t>
      </w:r>
      <w:r>
        <w:rPr>
          <w:szCs w:val="22"/>
        </w:rPr>
        <w:t>53</w:t>
      </w:r>
      <w:r w:rsidRPr="00ED60A7">
        <w:rPr>
          <w:szCs w:val="22"/>
        </w:rPr>
        <w:t xml:space="preserve">] inserts the following definition into the section, </w:t>
      </w:r>
      <w:r w:rsidRPr="00ED60A7">
        <w:t xml:space="preserve">to </w:t>
      </w:r>
      <w:r w:rsidRPr="00ED60A7">
        <w:rPr>
          <w:szCs w:val="22"/>
        </w:rPr>
        <w:t>include in the P1025 Code the variation made in P1029:</w:t>
      </w:r>
    </w:p>
    <w:p w14:paraId="2C582BA3" w14:textId="77777777" w:rsidR="002E7A45" w:rsidRPr="00ED60A7" w:rsidRDefault="002E7A45" w:rsidP="002E7A45">
      <w:pPr>
        <w:ind w:left="567" w:right="-1418" w:hanging="567"/>
        <w:rPr>
          <w:szCs w:val="22"/>
        </w:rPr>
      </w:pPr>
    </w:p>
    <w:p w14:paraId="4D8EDC2A" w14:textId="77777777" w:rsidR="002E7A45" w:rsidRPr="00ED60A7" w:rsidRDefault="002E7A45" w:rsidP="002E7A45">
      <w:pPr>
        <w:pStyle w:val="FSCtDefn"/>
        <w:tabs>
          <w:tab w:val="clear" w:pos="1134"/>
          <w:tab w:val="left" w:pos="567"/>
        </w:tabs>
        <w:spacing w:before="0" w:after="0"/>
        <w:ind w:left="567" w:hanging="567"/>
        <w:rPr>
          <w:sz w:val="22"/>
          <w:lang w:val="en-GB"/>
        </w:rPr>
      </w:pPr>
      <w:r w:rsidRPr="00ED60A7">
        <w:rPr>
          <w:lang w:val="en-GB"/>
        </w:rPr>
        <w:tab/>
      </w:r>
      <w:r w:rsidRPr="00ED60A7">
        <w:rPr>
          <w:sz w:val="22"/>
          <w:lang w:val="en-GB"/>
        </w:rPr>
        <w:t>‘</w:t>
      </w:r>
      <w:r w:rsidRPr="00ED60A7">
        <w:rPr>
          <w:b/>
          <w:i/>
          <w:sz w:val="22"/>
          <w:lang w:val="en-GB"/>
        </w:rPr>
        <w:t>honey</w:t>
      </w:r>
      <w:r w:rsidRPr="00ED60A7">
        <w:rPr>
          <w:b/>
          <w:bCs/>
          <w:i/>
          <w:sz w:val="22"/>
          <w:lang w:val="en-GB"/>
        </w:rPr>
        <w:t xml:space="preserve"> </w:t>
      </w:r>
      <w:r w:rsidRPr="00ED60A7">
        <w:rPr>
          <w:sz w:val="22"/>
          <w:lang w:val="en-GB"/>
        </w:rPr>
        <w:t>includes comb honey’.</w:t>
      </w:r>
    </w:p>
    <w:p w14:paraId="7CA109D3" w14:textId="77777777" w:rsidR="002E7A45" w:rsidRPr="00ED60A7" w:rsidRDefault="002E7A45" w:rsidP="002E7A45">
      <w:pPr>
        <w:pStyle w:val="FSCtDefn"/>
        <w:tabs>
          <w:tab w:val="clear" w:pos="1134"/>
          <w:tab w:val="left" w:pos="567"/>
        </w:tabs>
        <w:spacing w:before="0" w:after="0"/>
        <w:ind w:left="567" w:hanging="567"/>
        <w:rPr>
          <w:sz w:val="22"/>
          <w:lang w:val="en-GB"/>
        </w:rPr>
      </w:pPr>
    </w:p>
    <w:p w14:paraId="4902EA4C" w14:textId="77777777" w:rsidR="002E7A45" w:rsidRPr="00ED60A7" w:rsidRDefault="002E7A45" w:rsidP="002E7A45">
      <w:pPr>
        <w:pStyle w:val="FSCtDefn"/>
        <w:tabs>
          <w:tab w:val="clear" w:pos="1134"/>
        </w:tabs>
        <w:spacing w:before="0" w:after="0"/>
        <w:ind w:left="567" w:hanging="567"/>
        <w:rPr>
          <w:sz w:val="22"/>
          <w:lang w:val="en-GB"/>
        </w:rPr>
      </w:pPr>
      <w:r w:rsidRPr="00ED60A7">
        <w:rPr>
          <w:sz w:val="22"/>
          <w:lang w:val="en-GB"/>
        </w:rPr>
        <w:t>ii.</w:t>
      </w:r>
      <w:r w:rsidRPr="00ED60A7">
        <w:rPr>
          <w:sz w:val="22"/>
          <w:lang w:val="en-GB"/>
        </w:rPr>
        <w:tab/>
        <w:t>Item [</w:t>
      </w:r>
      <w:r>
        <w:rPr>
          <w:sz w:val="22"/>
          <w:lang w:val="en-GB"/>
        </w:rPr>
        <w:t>54</w:t>
      </w:r>
      <w:r w:rsidRPr="00ED60A7">
        <w:rPr>
          <w:sz w:val="22"/>
          <w:lang w:val="en-GB"/>
        </w:rPr>
        <w:t>] inserts the following Note at the end of the section, to include in the P1025 Code the variation made in P1029:</w:t>
      </w:r>
    </w:p>
    <w:p w14:paraId="0FE34F30" w14:textId="77777777" w:rsidR="002E7A45" w:rsidRPr="00ED60A7" w:rsidRDefault="002E7A45" w:rsidP="002E7A45">
      <w:pPr>
        <w:pStyle w:val="FSCtDefn"/>
        <w:tabs>
          <w:tab w:val="clear" w:pos="1134"/>
          <w:tab w:val="left" w:pos="567"/>
        </w:tabs>
        <w:spacing w:before="0" w:after="0"/>
        <w:ind w:left="567" w:hanging="567"/>
        <w:rPr>
          <w:sz w:val="22"/>
          <w:lang w:val="en-GB"/>
        </w:rPr>
      </w:pPr>
    </w:p>
    <w:p w14:paraId="1E61954B" w14:textId="77777777" w:rsidR="002E7A45" w:rsidRPr="00ED60A7" w:rsidRDefault="002E7A45" w:rsidP="002E7A45">
      <w:pPr>
        <w:pStyle w:val="FSCtDefn"/>
        <w:tabs>
          <w:tab w:val="clear" w:pos="1134"/>
          <w:tab w:val="left" w:pos="567"/>
        </w:tabs>
        <w:spacing w:before="0" w:after="0"/>
        <w:ind w:hanging="1134"/>
        <w:rPr>
          <w:sz w:val="22"/>
          <w:lang w:val="en-GB"/>
        </w:rPr>
      </w:pPr>
      <w:r w:rsidRPr="00ED60A7">
        <w:rPr>
          <w:sz w:val="22"/>
          <w:lang w:val="en-GB"/>
        </w:rPr>
        <w:t>'</w:t>
      </w:r>
      <w:r w:rsidRPr="00ED60A7">
        <w:rPr>
          <w:b/>
          <w:i/>
          <w:sz w:val="22"/>
          <w:lang w:val="en-GB"/>
        </w:rPr>
        <w:t>Note</w:t>
      </w:r>
      <w:r w:rsidRPr="00ED60A7">
        <w:rPr>
          <w:i/>
          <w:sz w:val="22"/>
          <w:lang w:val="en-GB"/>
        </w:rPr>
        <w:t xml:space="preserve"> </w:t>
      </w:r>
      <w:r w:rsidRPr="00ED60A7">
        <w:rPr>
          <w:sz w:val="22"/>
          <w:lang w:val="en-GB"/>
        </w:rPr>
        <w:t>In this Code (see section 1.1.2—3):</w:t>
      </w:r>
    </w:p>
    <w:p w14:paraId="20A92235" w14:textId="77777777" w:rsidR="002E7A45" w:rsidRPr="00ED60A7" w:rsidRDefault="002E7A45" w:rsidP="002E7A45">
      <w:pPr>
        <w:pStyle w:val="FSCtDefn"/>
        <w:tabs>
          <w:tab w:val="clear" w:pos="1134"/>
        </w:tabs>
        <w:spacing w:before="0" w:after="0"/>
        <w:rPr>
          <w:sz w:val="22"/>
          <w:lang w:val="en-GB"/>
        </w:rPr>
      </w:pPr>
      <w:r w:rsidRPr="00ED60A7">
        <w:rPr>
          <w:b/>
          <w:i/>
          <w:sz w:val="22"/>
          <w:lang w:val="en-GB"/>
        </w:rPr>
        <w:t>honey</w:t>
      </w:r>
      <w:r w:rsidRPr="00ED60A7">
        <w:rPr>
          <w:sz w:val="22"/>
          <w:lang w:val="en-GB"/>
        </w:rPr>
        <w:t xml:space="preserve"> means the natural sweet substance produced by honey bees from the nectar of blossoms or from secretions of living parts of plants or excretions of plant sucking insects on the living parts of plants, which honey bees collect, transform and combine with specific substances of their own, store and leave in the honey comb to ripen and mature.’</w:t>
      </w:r>
    </w:p>
    <w:p w14:paraId="13921B6E" w14:textId="77777777" w:rsidR="002E7A45" w:rsidRPr="00ED60A7" w:rsidRDefault="002E7A45" w:rsidP="002E7A45">
      <w:pPr>
        <w:pStyle w:val="FSCtDefn"/>
        <w:tabs>
          <w:tab w:val="clear" w:pos="1134"/>
          <w:tab w:val="left" w:pos="567"/>
        </w:tabs>
        <w:spacing w:before="0" w:after="0"/>
        <w:ind w:left="0"/>
        <w:rPr>
          <w:sz w:val="22"/>
          <w:lang w:val="en-GB"/>
        </w:rPr>
      </w:pPr>
    </w:p>
    <w:p w14:paraId="67330C12" w14:textId="77777777" w:rsidR="002E7A45" w:rsidRPr="00ED60A7" w:rsidRDefault="002E7A45" w:rsidP="002E7A45">
      <w:pPr>
        <w:ind w:right="-1418"/>
        <w:rPr>
          <w:i/>
        </w:rPr>
      </w:pPr>
      <w:r w:rsidRPr="00ED60A7">
        <w:rPr>
          <w:i/>
        </w:rPr>
        <w:t>Table to subsection S19—6(2)</w:t>
      </w:r>
    </w:p>
    <w:p w14:paraId="2C6308D3" w14:textId="77777777" w:rsidR="002E7A45" w:rsidRPr="00ED60A7" w:rsidRDefault="002E7A45" w:rsidP="002E7A45">
      <w:pPr>
        <w:ind w:left="567" w:right="-1418" w:hanging="567"/>
        <w:rPr>
          <w:u w:val="single"/>
        </w:rPr>
      </w:pPr>
    </w:p>
    <w:p w14:paraId="6E564AE9" w14:textId="77777777" w:rsidR="002E7A45" w:rsidRPr="00ED60A7" w:rsidRDefault="002E7A45" w:rsidP="002E7A45">
      <w:pPr>
        <w:pStyle w:val="FSCnMain"/>
        <w:ind w:left="567" w:hanging="567"/>
        <w:rPr>
          <w:sz w:val="22"/>
          <w:szCs w:val="22"/>
          <w:lang w:val="en-GB"/>
        </w:rPr>
      </w:pPr>
      <w:r w:rsidRPr="00ED60A7">
        <w:rPr>
          <w:sz w:val="22"/>
          <w:szCs w:val="22"/>
          <w:lang w:val="en-GB"/>
        </w:rPr>
        <w:t>i.</w:t>
      </w:r>
      <w:r w:rsidRPr="00ED60A7">
        <w:rPr>
          <w:sz w:val="22"/>
          <w:szCs w:val="22"/>
          <w:lang w:val="en-GB"/>
        </w:rPr>
        <w:tab/>
        <w:t>Item [</w:t>
      </w:r>
      <w:r>
        <w:rPr>
          <w:sz w:val="22"/>
          <w:szCs w:val="22"/>
          <w:lang w:val="en-GB"/>
        </w:rPr>
        <w:t>55</w:t>
      </w:r>
      <w:r w:rsidRPr="00ED60A7">
        <w:rPr>
          <w:sz w:val="22"/>
          <w:szCs w:val="22"/>
          <w:lang w:val="en-GB"/>
        </w:rPr>
        <w:t>] inserts</w:t>
      </w:r>
      <w:r w:rsidRPr="00ED60A7">
        <w:rPr>
          <w:sz w:val="22"/>
          <w:lang w:val="en-GB"/>
        </w:rPr>
        <w:t xml:space="preserve"> the following entry, in alphabetical order</w:t>
      </w:r>
      <w:r w:rsidRPr="00ED60A7">
        <w:rPr>
          <w:sz w:val="22"/>
          <w:szCs w:val="22"/>
          <w:lang w:val="en-GB"/>
        </w:rPr>
        <w:t>, to include in the P1025 Code the variation made in P1029:</w:t>
      </w:r>
    </w:p>
    <w:p w14:paraId="7F84B8B0" w14:textId="77777777" w:rsidR="002E7A45" w:rsidRPr="00ED60A7" w:rsidRDefault="002E7A45" w:rsidP="002E7A45">
      <w:pPr>
        <w:pStyle w:val="FSCnMain"/>
        <w:ind w:left="567" w:hanging="567"/>
        <w:rPr>
          <w:sz w:val="22"/>
          <w:szCs w:val="22"/>
          <w:lang w:val="en-GB"/>
        </w:rPr>
      </w:pPr>
      <w:r w:rsidRPr="00ED60A7">
        <w:rPr>
          <w:sz w:val="22"/>
          <w:szCs w:val="22"/>
          <w:lang w:val="en-GB"/>
        </w:rPr>
        <w:tab/>
        <w:t xml:space="preserve">‘Tutin </w:t>
      </w:r>
      <w:r w:rsidRPr="00ED60A7">
        <w:rPr>
          <w:sz w:val="22"/>
          <w:szCs w:val="22"/>
          <w:lang w:val="en-GB"/>
        </w:rPr>
        <w:tab/>
        <w:t xml:space="preserve">Honey </w:t>
      </w:r>
      <w:r w:rsidRPr="00ED60A7">
        <w:rPr>
          <w:sz w:val="22"/>
          <w:szCs w:val="22"/>
          <w:lang w:val="en-GB"/>
        </w:rPr>
        <w:tab/>
        <w:t>0.7’</w:t>
      </w:r>
    </w:p>
    <w:p w14:paraId="21AE354B" w14:textId="77777777" w:rsidR="002E7A45" w:rsidRPr="00ED60A7" w:rsidRDefault="002E7A45" w:rsidP="002E7A45">
      <w:pPr>
        <w:pStyle w:val="FSCtDefn"/>
        <w:tabs>
          <w:tab w:val="clear" w:pos="1134"/>
          <w:tab w:val="left" w:pos="567"/>
        </w:tabs>
        <w:spacing w:before="0" w:after="0"/>
        <w:ind w:left="567"/>
        <w:rPr>
          <w:sz w:val="22"/>
          <w:lang w:val="en-GB"/>
        </w:rPr>
      </w:pPr>
    </w:p>
    <w:p w14:paraId="333F53BE" w14:textId="77777777" w:rsidR="002E7A45" w:rsidRPr="00ED60A7" w:rsidRDefault="002E7A45" w:rsidP="002E7A45">
      <w:pPr>
        <w:ind w:left="567" w:right="-1418" w:hanging="567"/>
        <w:rPr>
          <w:szCs w:val="22"/>
        </w:rPr>
      </w:pPr>
      <w:r w:rsidRPr="00ED60A7">
        <w:t>ii.</w:t>
      </w:r>
      <w:r w:rsidRPr="00ED60A7">
        <w:tab/>
      </w:r>
      <w:r w:rsidRPr="00ED60A7">
        <w:rPr>
          <w:szCs w:val="22"/>
        </w:rPr>
        <w:t>Item [</w:t>
      </w:r>
      <w:r>
        <w:rPr>
          <w:szCs w:val="22"/>
        </w:rPr>
        <w:t>56</w:t>
      </w:r>
      <w:r w:rsidRPr="00ED60A7">
        <w:rPr>
          <w:szCs w:val="22"/>
        </w:rPr>
        <w:t>] inserts</w:t>
      </w:r>
      <w:r w:rsidRPr="00ED60A7">
        <w:t xml:space="preserve"> a note about </w:t>
      </w:r>
      <w:r w:rsidRPr="00ED60A7">
        <w:rPr>
          <w:szCs w:val="22"/>
        </w:rPr>
        <w:t xml:space="preserve">the table, </w:t>
      </w:r>
      <w:r w:rsidRPr="00ED60A7">
        <w:t xml:space="preserve">to </w:t>
      </w:r>
      <w:r w:rsidRPr="00ED60A7">
        <w:rPr>
          <w:szCs w:val="22"/>
        </w:rPr>
        <w:t>include in the P1025 Code</w:t>
      </w:r>
    </w:p>
    <w:p w14:paraId="1F7C5D2B" w14:textId="77777777" w:rsidR="002E7A45" w:rsidRPr="00ED60A7" w:rsidRDefault="002E7A45" w:rsidP="002E7A45">
      <w:pPr>
        <w:ind w:left="567" w:right="-1418"/>
        <w:rPr>
          <w:szCs w:val="22"/>
        </w:rPr>
      </w:pPr>
      <w:r w:rsidRPr="00ED60A7">
        <w:rPr>
          <w:szCs w:val="22"/>
        </w:rPr>
        <w:t>the variation made in P1029:</w:t>
      </w:r>
    </w:p>
    <w:p w14:paraId="010EF67E" w14:textId="77777777" w:rsidR="002E7A45" w:rsidRPr="00ED60A7" w:rsidRDefault="002E7A45" w:rsidP="002E7A45">
      <w:pPr>
        <w:ind w:left="1134" w:right="-1418" w:hanging="567"/>
        <w:rPr>
          <w:szCs w:val="22"/>
        </w:rPr>
      </w:pPr>
    </w:p>
    <w:p w14:paraId="3612F845" w14:textId="77777777" w:rsidR="002E7A45" w:rsidRPr="00ED60A7" w:rsidRDefault="002E7A45" w:rsidP="002E7A45">
      <w:pPr>
        <w:ind w:left="1701" w:right="567" w:hanging="1125"/>
      </w:pPr>
      <w:r w:rsidRPr="00ED60A7">
        <w:rPr>
          <w:szCs w:val="22"/>
        </w:rPr>
        <w:t>‘</w:t>
      </w:r>
      <w:r w:rsidRPr="00ED60A7">
        <w:rPr>
          <w:b/>
          <w:bCs/>
        </w:rPr>
        <w:t>Note</w:t>
      </w:r>
      <w:r w:rsidRPr="00ED60A7">
        <w:rPr>
          <w:b/>
          <w:bCs/>
        </w:rPr>
        <w:tab/>
      </w:r>
      <w:r w:rsidRPr="00ED60A7">
        <w:t xml:space="preserve">The New Zealand </w:t>
      </w:r>
      <w:r w:rsidRPr="00ED60A7">
        <w:rPr>
          <w:i/>
        </w:rPr>
        <w:t xml:space="preserve">Food (Tutin in Honey) Standard 2010 </w:t>
      </w:r>
      <w:r w:rsidRPr="00ED60A7">
        <w:t>also regulates beekeepers, packers and exporters of honey in New Zealand. It provides options for demonstrating compliance with the maximum level for tutin in honey set by section 1.4.1—3.’</w:t>
      </w:r>
    </w:p>
    <w:p w14:paraId="10CB4743" w14:textId="77777777" w:rsidR="002E7A45" w:rsidRPr="00ED60A7" w:rsidRDefault="002E7A45" w:rsidP="002E7A45">
      <w:pPr>
        <w:ind w:left="567" w:right="-1418" w:hanging="567"/>
      </w:pPr>
    </w:p>
    <w:p w14:paraId="53FF8365" w14:textId="77777777" w:rsidR="00334DF5" w:rsidRDefault="00334DF5" w:rsidP="002E7A45">
      <w:pPr>
        <w:ind w:left="567" w:hanging="567"/>
        <w:rPr>
          <w:b/>
        </w:rPr>
      </w:pPr>
      <w:r>
        <w:rPr>
          <w:b/>
        </w:rPr>
        <w:br w:type="page"/>
      </w:r>
    </w:p>
    <w:p w14:paraId="61798C43" w14:textId="25449B1E" w:rsidR="002E7A45" w:rsidRPr="00ED60A7" w:rsidRDefault="002E7A45" w:rsidP="002E7A45">
      <w:pPr>
        <w:ind w:left="567" w:hanging="567"/>
        <w:rPr>
          <w:b/>
        </w:rPr>
      </w:pPr>
      <w:r w:rsidRPr="00ED60A7">
        <w:rPr>
          <w:b/>
        </w:rPr>
        <w:lastRenderedPageBreak/>
        <w:t>Schedule 27</w:t>
      </w:r>
    </w:p>
    <w:p w14:paraId="0F06C5A7" w14:textId="77777777" w:rsidR="002E7A45" w:rsidRPr="00ED60A7" w:rsidRDefault="002E7A45" w:rsidP="002E7A45">
      <w:pPr>
        <w:ind w:left="567" w:hanging="567"/>
        <w:rPr>
          <w:u w:val="single"/>
        </w:rPr>
      </w:pPr>
    </w:p>
    <w:p w14:paraId="11D94CF2" w14:textId="77777777" w:rsidR="002E7A45" w:rsidRPr="00ED60A7" w:rsidRDefault="002E7A45" w:rsidP="002E7A45">
      <w:pPr>
        <w:rPr>
          <w:i/>
        </w:rPr>
      </w:pPr>
      <w:r w:rsidRPr="00ED60A7">
        <w:rPr>
          <w:i/>
        </w:rPr>
        <w:t>Heading to Schedule 27</w:t>
      </w:r>
    </w:p>
    <w:p w14:paraId="58699902" w14:textId="77777777" w:rsidR="002E7A45" w:rsidRPr="00ED60A7" w:rsidRDefault="002E7A45" w:rsidP="002E7A45">
      <w:pPr>
        <w:rPr>
          <w:u w:val="single"/>
        </w:rPr>
      </w:pPr>
    </w:p>
    <w:p w14:paraId="661FCB4C" w14:textId="77777777" w:rsidR="002E7A45" w:rsidRDefault="002E7A45" w:rsidP="002E7A45">
      <w:r w:rsidRPr="00ED60A7">
        <w:rPr>
          <w:szCs w:val="22"/>
        </w:rPr>
        <w:t>Item [</w:t>
      </w:r>
      <w:r>
        <w:t>57</w:t>
      </w:r>
      <w:r w:rsidRPr="00ED60A7">
        <w:rPr>
          <w:szCs w:val="22"/>
        </w:rPr>
        <w:t xml:space="preserve">] replaces </w:t>
      </w:r>
      <w:r w:rsidRPr="00ED60A7">
        <w:t>‘</w:t>
      </w:r>
      <w:r w:rsidRPr="00ED60A7">
        <w:rPr>
          <w:b/>
          <w:i/>
        </w:rPr>
        <w:t>for foods</w:t>
      </w:r>
      <w:r w:rsidRPr="00ED60A7">
        <w:t>’ with ‘</w:t>
      </w:r>
      <w:r w:rsidRPr="00ED60A7">
        <w:rPr>
          <w:b/>
          <w:i/>
        </w:rPr>
        <w:t>in food</w:t>
      </w:r>
      <w:r w:rsidRPr="00ED60A7">
        <w:t xml:space="preserve">’, to </w:t>
      </w:r>
      <w:r w:rsidRPr="00ED60A7">
        <w:rPr>
          <w:szCs w:val="22"/>
        </w:rPr>
        <w:t>include in the P1025 Code the variation made in P1017</w:t>
      </w:r>
      <w:r w:rsidRPr="00ED60A7">
        <w:t>.</w:t>
      </w:r>
    </w:p>
    <w:p w14:paraId="6CC72030" w14:textId="77777777" w:rsidR="002E7A45" w:rsidRPr="00ED60A7" w:rsidRDefault="002E7A45" w:rsidP="002E7A45"/>
    <w:p w14:paraId="2E2ABBC3" w14:textId="77777777" w:rsidR="002E7A45" w:rsidRPr="00ED60A7" w:rsidRDefault="002E7A45" w:rsidP="002E7A45">
      <w:pPr>
        <w:rPr>
          <w:i/>
        </w:rPr>
      </w:pPr>
      <w:r w:rsidRPr="00ED60A7">
        <w:rPr>
          <w:i/>
        </w:rPr>
        <w:t>Heading to Schedule 27 – Note 1</w:t>
      </w:r>
    </w:p>
    <w:p w14:paraId="3871F817" w14:textId="77777777" w:rsidR="002E7A45" w:rsidRPr="00ED60A7" w:rsidRDefault="002E7A45" w:rsidP="002E7A45"/>
    <w:p w14:paraId="07475271" w14:textId="77777777" w:rsidR="002E7A45" w:rsidRPr="00ED60A7" w:rsidRDefault="002E7A45" w:rsidP="002E7A45">
      <w:r w:rsidRPr="00ED60A7">
        <w:rPr>
          <w:szCs w:val="22"/>
        </w:rPr>
        <w:t>Item [</w:t>
      </w:r>
      <w:r>
        <w:t>58</w:t>
      </w:r>
      <w:r w:rsidRPr="00ED60A7">
        <w:rPr>
          <w:szCs w:val="22"/>
        </w:rPr>
        <w:t xml:space="preserve">] replaces </w:t>
      </w:r>
      <w:r w:rsidRPr="00ED60A7">
        <w:t>‘</w:t>
      </w:r>
      <w:r w:rsidRPr="00ED60A7">
        <w:rPr>
          <w:i/>
        </w:rPr>
        <w:t>for foods</w:t>
      </w:r>
      <w:r w:rsidRPr="00ED60A7">
        <w:t>’ with ‘</w:t>
      </w:r>
      <w:r w:rsidRPr="00ED60A7">
        <w:rPr>
          <w:i/>
        </w:rPr>
        <w:t>in food</w:t>
      </w:r>
      <w:r w:rsidRPr="00ED60A7">
        <w:t xml:space="preserve">’, to </w:t>
      </w:r>
      <w:r w:rsidRPr="00ED60A7">
        <w:rPr>
          <w:szCs w:val="22"/>
        </w:rPr>
        <w:t>include in the P1025 Code the variation made in P1017</w:t>
      </w:r>
      <w:r w:rsidRPr="00ED60A7">
        <w:t>.</w:t>
      </w:r>
    </w:p>
    <w:p w14:paraId="5632627C" w14:textId="77777777" w:rsidR="002E7A45" w:rsidRPr="00ED60A7" w:rsidRDefault="002E7A45" w:rsidP="002E7A45"/>
    <w:p w14:paraId="20690086" w14:textId="77777777" w:rsidR="002E7A45" w:rsidRPr="00ED60A7" w:rsidRDefault="002E7A45" w:rsidP="002E7A45">
      <w:pPr>
        <w:rPr>
          <w:i/>
        </w:rPr>
      </w:pPr>
      <w:r w:rsidRPr="00ED60A7">
        <w:rPr>
          <w:i/>
        </w:rPr>
        <w:t>Section S27—1</w:t>
      </w:r>
    </w:p>
    <w:p w14:paraId="7745D710" w14:textId="77777777" w:rsidR="002E7A45" w:rsidRPr="00ED60A7" w:rsidRDefault="002E7A45" w:rsidP="002E7A45"/>
    <w:p w14:paraId="4D587E77" w14:textId="77777777" w:rsidR="002E7A45" w:rsidRPr="00ED60A7" w:rsidRDefault="002E7A45" w:rsidP="002E7A45">
      <w:r w:rsidRPr="00ED60A7">
        <w:rPr>
          <w:szCs w:val="22"/>
        </w:rPr>
        <w:t>Item [</w:t>
      </w:r>
      <w:r>
        <w:rPr>
          <w:szCs w:val="22"/>
        </w:rPr>
        <w:t>59</w:t>
      </w:r>
      <w:r w:rsidRPr="00ED60A7">
        <w:rPr>
          <w:szCs w:val="22"/>
        </w:rPr>
        <w:t xml:space="preserve">] replaces </w:t>
      </w:r>
      <w:r w:rsidRPr="00ED60A7">
        <w:t>‘</w:t>
      </w:r>
      <w:r w:rsidRPr="00ED60A7">
        <w:rPr>
          <w:i/>
        </w:rPr>
        <w:t>for foods</w:t>
      </w:r>
      <w:r w:rsidRPr="00ED60A7">
        <w:t>’ with ‘</w:t>
      </w:r>
      <w:r w:rsidRPr="00ED60A7">
        <w:rPr>
          <w:i/>
        </w:rPr>
        <w:t>in food</w:t>
      </w:r>
      <w:r w:rsidRPr="00ED60A7">
        <w:t xml:space="preserve">’, to </w:t>
      </w:r>
      <w:r w:rsidRPr="00ED60A7">
        <w:rPr>
          <w:szCs w:val="22"/>
        </w:rPr>
        <w:t>include in the P1025 Code the variation made in P1017</w:t>
      </w:r>
      <w:r w:rsidRPr="00ED60A7">
        <w:t>.</w:t>
      </w:r>
    </w:p>
    <w:p w14:paraId="56F88C99" w14:textId="77777777" w:rsidR="002E7A45" w:rsidRPr="00ED60A7" w:rsidRDefault="002E7A45" w:rsidP="002E7A45"/>
    <w:p w14:paraId="18369C9B" w14:textId="77777777" w:rsidR="002E7A45" w:rsidRPr="00ED60A7" w:rsidRDefault="002E7A45" w:rsidP="002E7A45">
      <w:pPr>
        <w:rPr>
          <w:i/>
        </w:rPr>
      </w:pPr>
      <w:r w:rsidRPr="00ED60A7">
        <w:rPr>
          <w:i/>
        </w:rPr>
        <w:t>Heading to section S27—4</w:t>
      </w:r>
    </w:p>
    <w:p w14:paraId="0222A3AE" w14:textId="77777777" w:rsidR="002E7A45" w:rsidRPr="00ED60A7" w:rsidRDefault="002E7A45" w:rsidP="002E7A45"/>
    <w:p w14:paraId="05EDF4A0" w14:textId="77777777" w:rsidR="002E7A45" w:rsidRPr="00ED60A7" w:rsidRDefault="002E7A45" w:rsidP="002E7A45">
      <w:r w:rsidRPr="00ED60A7">
        <w:rPr>
          <w:szCs w:val="22"/>
        </w:rPr>
        <w:t>Item [</w:t>
      </w:r>
      <w:r>
        <w:rPr>
          <w:szCs w:val="22"/>
        </w:rPr>
        <w:t>60</w:t>
      </w:r>
      <w:r w:rsidRPr="00ED60A7">
        <w:rPr>
          <w:szCs w:val="22"/>
        </w:rPr>
        <w:t xml:space="preserve">] replaces </w:t>
      </w:r>
      <w:r w:rsidRPr="00ED60A7">
        <w:t>‘</w:t>
      </w:r>
      <w:r w:rsidRPr="00ED60A7">
        <w:rPr>
          <w:b/>
          <w:i/>
        </w:rPr>
        <w:t>for foods</w:t>
      </w:r>
      <w:r w:rsidRPr="00ED60A7">
        <w:t>’ with ‘</w:t>
      </w:r>
      <w:r w:rsidRPr="00ED60A7">
        <w:rPr>
          <w:b/>
          <w:i/>
        </w:rPr>
        <w:t>in food</w:t>
      </w:r>
      <w:r w:rsidRPr="00ED60A7">
        <w:t xml:space="preserve">’, to </w:t>
      </w:r>
      <w:r w:rsidRPr="00ED60A7">
        <w:rPr>
          <w:szCs w:val="22"/>
        </w:rPr>
        <w:t>include in the P1025 Code the variation made in P1017</w:t>
      </w:r>
      <w:r w:rsidRPr="00ED60A7">
        <w:t>.</w:t>
      </w:r>
    </w:p>
    <w:p w14:paraId="14CE4A43" w14:textId="77777777" w:rsidR="002E7A45" w:rsidRPr="00ED60A7" w:rsidRDefault="002E7A45" w:rsidP="002E7A45">
      <w:pPr>
        <w:ind w:left="567" w:hanging="567"/>
      </w:pPr>
    </w:p>
    <w:p w14:paraId="4903B64A" w14:textId="77777777" w:rsidR="002E7A45" w:rsidRPr="00ED60A7" w:rsidRDefault="002E7A45" w:rsidP="002E7A45">
      <w:pPr>
        <w:rPr>
          <w:i/>
        </w:rPr>
      </w:pPr>
      <w:r w:rsidRPr="00ED60A7">
        <w:rPr>
          <w:i/>
        </w:rPr>
        <w:t>Heading to the table to section S27—4</w:t>
      </w:r>
    </w:p>
    <w:p w14:paraId="2E7511D0" w14:textId="77777777" w:rsidR="002E7A45" w:rsidRPr="00ED60A7" w:rsidRDefault="002E7A45" w:rsidP="002E7A45"/>
    <w:p w14:paraId="5C393386" w14:textId="77777777" w:rsidR="002E7A45" w:rsidRPr="00ED60A7" w:rsidRDefault="002E7A45" w:rsidP="002E7A45">
      <w:r w:rsidRPr="00ED60A7">
        <w:rPr>
          <w:szCs w:val="22"/>
        </w:rPr>
        <w:t>Item [</w:t>
      </w:r>
      <w:r>
        <w:rPr>
          <w:szCs w:val="22"/>
        </w:rPr>
        <w:t>61</w:t>
      </w:r>
      <w:r w:rsidRPr="00ED60A7">
        <w:rPr>
          <w:szCs w:val="22"/>
        </w:rPr>
        <w:t xml:space="preserve">] replaces </w:t>
      </w:r>
      <w:r w:rsidRPr="00ED60A7">
        <w:t>‘</w:t>
      </w:r>
      <w:r w:rsidRPr="00ED60A7">
        <w:rPr>
          <w:b/>
        </w:rPr>
        <w:t>for foods</w:t>
      </w:r>
      <w:r w:rsidRPr="00ED60A7">
        <w:t>’ whenever occurring in the repeated table heading with ‘</w:t>
      </w:r>
      <w:r w:rsidRPr="00ED60A7">
        <w:rPr>
          <w:b/>
        </w:rPr>
        <w:t>in food</w:t>
      </w:r>
      <w:r w:rsidRPr="00ED60A7">
        <w:t xml:space="preserve">’, to </w:t>
      </w:r>
      <w:r w:rsidRPr="00ED60A7">
        <w:rPr>
          <w:szCs w:val="22"/>
        </w:rPr>
        <w:t>include in the P1025 Code the variation made in P1017</w:t>
      </w:r>
      <w:r w:rsidRPr="00ED60A7">
        <w:t>.</w:t>
      </w:r>
    </w:p>
    <w:p w14:paraId="197A8927" w14:textId="77777777" w:rsidR="002E7A45" w:rsidRPr="00ED60A7" w:rsidRDefault="002E7A45" w:rsidP="002E7A45"/>
    <w:p w14:paraId="0CEC5F1C" w14:textId="77777777" w:rsidR="002E7A45" w:rsidRPr="00ED60A7" w:rsidRDefault="002E7A45" w:rsidP="002E7A45">
      <w:pPr>
        <w:rPr>
          <w:i/>
        </w:rPr>
      </w:pPr>
      <w:r w:rsidRPr="00ED60A7">
        <w:rPr>
          <w:i/>
        </w:rPr>
        <w:t>Table to section S27—4</w:t>
      </w:r>
    </w:p>
    <w:p w14:paraId="630962A7" w14:textId="77777777" w:rsidR="002E7A45" w:rsidRPr="00ED60A7" w:rsidRDefault="002E7A45" w:rsidP="002E7A45">
      <w:pPr>
        <w:rPr>
          <w:u w:val="single"/>
        </w:rPr>
      </w:pPr>
    </w:p>
    <w:p w14:paraId="7A1A8452" w14:textId="77777777" w:rsidR="002E7A45" w:rsidRPr="00ED60A7" w:rsidRDefault="002E7A45" w:rsidP="002E7A45">
      <w:pPr>
        <w:rPr>
          <w:szCs w:val="22"/>
        </w:rPr>
      </w:pPr>
      <w:r w:rsidRPr="00ED60A7">
        <w:t xml:space="preserve">To </w:t>
      </w:r>
      <w:r w:rsidRPr="00ED60A7">
        <w:rPr>
          <w:szCs w:val="22"/>
        </w:rPr>
        <w:t>include in the P1025 Code the variations made in P1022 (i and ii) and P1017 (iii – vii), item [</w:t>
      </w:r>
      <w:r>
        <w:rPr>
          <w:szCs w:val="22"/>
        </w:rPr>
        <w:t>62</w:t>
      </w:r>
      <w:r w:rsidRPr="00ED60A7">
        <w:rPr>
          <w:szCs w:val="22"/>
        </w:rPr>
        <w:t>]:</w:t>
      </w:r>
    </w:p>
    <w:p w14:paraId="66532DF4" w14:textId="77777777" w:rsidR="002E7A45" w:rsidRPr="00ED60A7" w:rsidRDefault="002E7A45" w:rsidP="002E7A45">
      <w:pPr>
        <w:rPr>
          <w:szCs w:val="22"/>
        </w:rPr>
      </w:pPr>
    </w:p>
    <w:p w14:paraId="2016E6B3" w14:textId="77777777" w:rsidR="002E7A45" w:rsidRPr="00ED60A7" w:rsidRDefault="002E7A45" w:rsidP="002E7A45">
      <w:pPr>
        <w:ind w:left="567" w:hanging="567"/>
        <w:rPr>
          <w:szCs w:val="22"/>
        </w:rPr>
      </w:pPr>
      <w:r w:rsidRPr="00ED60A7">
        <w:t>i.</w:t>
      </w:r>
      <w:r w:rsidRPr="00ED60A7">
        <w:tab/>
      </w:r>
      <w:r w:rsidRPr="00ED60A7">
        <w:rPr>
          <w:szCs w:val="22"/>
        </w:rPr>
        <w:t>deletes the entire entries for the following foods in the table:</w:t>
      </w:r>
    </w:p>
    <w:p w14:paraId="299D1A93" w14:textId="77777777" w:rsidR="002E7A45" w:rsidRPr="00ED60A7" w:rsidRDefault="002E7A45" w:rsidP="002E7A45">
      <w:pPr>
        <w:ind w:left="567" w:hanging="567"/>
        <w:rPr>
          <w:szCs w:val="22"/>
        </w:rPr>
      </w:pPr>
    </w:p>
    <w:p w14:paraId="0B114010" w14:textId="77777777" w:rsidR="002E7A45" w:rsidRPr="00ED60A7" w:rsidRDefault="002E7A45" w:rsidP="002E7A45">
      <w:pPr>
        <w:pStyle w:val="FSBullet2"/>
        <w:widowControl/>
        <w:numPr>
          <w:ilvl w:val="0"/>
          <w:numId w:val="17"/>
        </w:numPr>
        <w:ind w:left="1134" w:hanging="567"/>
      </w:pPr>
      <w:r w:rsidRPr="00ED60A7">
        <w:t>‘</w:t>
      </w:r>
      <w:r w:rsidRPr="00ED60A7">
        <w:rPr>
          <w:i/>
        </w:rPr>
        <w:t>Butter made from unpasteurised milk and/or unpasteurised milk products</w:t>
      </w:r>
      <w:r w:rsidRPr="00ED60A7">
        <w:t>’</w:t>
      </w:r>
    </w:p>
    <w:p w14:paraId="2FD3644E" w14:textId="77777777" w:rsidR="002E7A45" w:rsidRPr="00ED60A7" w:rsidRDefault="002E7A45" w:rsidP="002E7A45">
      <w:pPr>
        <w:pStyle w:val="FSBullet2"/>
        <w:widowControl/>
        <w:numPr>
          <w:ilvl w:val="0"/>
          <w:numId w:val="17"/>
        </w:numPr>
        <w:ind w:left="1134" w:hanging="567"/>
      </w:pPr>
      <w:r w:rsidRPr="00ED60A7">
        <w:t>‘</w:t>
      </w:r>
      <w:r w:rsidRPr="00ED60A7">
        <w:rPr>
          <w:i/>
        </w:rPr>
        <w:t>All raw milk cheese (cheese made from milk not pasteurised or thermised)</w:t>
      </w:r>
      <w:r w:rsidRPr="00ED60A7">
        <w:t>’</w:t>
      </w:r>
    </w:p>
    <w:p w14:paraId="5BBBCA8B" w14:textId="77777777" w:rsidR="002E7A45" w:rsidRPr="00ED60A7" w:rsidRDefault="002E7A45" w:rsidP="002E7A45">
      <w:pPr>
        <w:pStyle w:val="FSBullet2"/>
        <w:widowControl/>
        <w:numPr>
          <w:ilvl w:val="0"/>
          <w:numId w:val="17"/>
        </w:numPr>
        <w:ind w:left="1134" w:hanging="567"/>
      </w:pPr>
      <w:r w:rsidRPr="00ED60A7">
        <w:t>‘</w:t>
      </w:r>
      <w:r w:rsidRPr="00ED60A7">
        <w:rPr>
          <w:i/>
        </w:rPr>
        <w:t>Raw milk unripened cheeses (moisture content &gt; 50% with pH &gt; 5.0) mixed tart’:</w:t>
      </w:r>
    </w:p>
    <w:p w14:paraId="4E5617E7" w14:textId="77777777" w:rsidR="002E7A45" w:rsidRPr="00ED60A7" w:rsidRDefault="002E7A45" w:rsidP="002E7A45">
      <w:pPr>
        <w:ind w:left="567" w:hanging="567"/>
        <w:rPr>
          <w:szCs w:val="22"/>
        </w:rPr>
      </w:pPr>
    </w:p>
    <w:p w14:paraId="57DFD7DA" w14:textId="77777777" w:rsidR="002E7A45" w:rsidRPr="00ED60A7" w:rsidRDefault="002E7A45" w:rsidP="002E7A45">
      <w:pPr>
        <w:rPr>
          <w:szCs w:val="22"/>
        </w:rPr>
      </w:pPr>
      <w:r w:rsidRPr="00ED60A7">
        <w:rPr>
          <w:szCs w:val="22"/>
        </w:rPr>
        <w:t>ii.</w:t>
      </w:r>
      <w:r w:rsidRPr="00ED60A7">
        <w:rPr>
          <w:szCs w:val="22"/>
        </w:rPr>
        <w:tab/>
        <w:t>inserts a new entry for ‘Raw milk cheese’:</w:t>
      </w:r>
    </w:p>
    <w:p w14:paraId="4168A55B" w14:textId="77777777" w:rsidR="002E7A45" w:rsidRPr="00ED60A7" w:rsidRDefault="002E7A45" w:rsidP="002E7A45">
      <w:pPr>
        <w:ind w:left="567" w:hanging="567"/>
        <w:rPr>
          <w:szCs w:val="22"/>
        </w:rPr>
      </w:pPr>
    </w:p>
    <w:p w14:paraId="669C61C2" w14:textId="77777777" w:rsidR="002E7A45" w:rsidRPr="00ED60A7" w:rsidRDefault="002E7A45" w:rsidP="002E7A45">
      <w:pPr>
        <w:keepNext/>
        <w:ind w:left="567" w:hanging="567"/>
      </w:pPr>
      <w:r w:rsidRPr="00ED60A7">
        <w:rPr>
          <w:szCs w:val="22"/>
        </w:rPr>
        <w:t>iii.</w:t>
      </w:r>
      <w:r w:rsidRPr="00ED60A7">
        <w:rPr>
          <w:szCs w:val="22"/>
        </w:rPr>
        <w:tab/>
        <w:t>replaces the entry for the food ‘</w:t>
      </w:r>
      <w:r w:rsidRPr="00ED60A7">
        <w:rPr>
          <w:i/>
        </w:rPr>
        <w:t>Unpasteurised milk for retail sale’</w:t>
      </w:r>
      <w:r w:rsidRPr="00ED60A7">
        <w:t xml:space="preserve"> with:</w:t>
      </w:r>
    </w:p>
    <w:p w14:paraId="185F372E" w14:textId="77777777" w:rsidR="002E7A45" w:rsidRPr="00ED60A7" w:rsidRDefault="002E7A45" w:rsidP="002E7A45">
      <w:pPr>
        <w:keepNext/>
        <w:ind w:left="567" w:hanging="567"/>
      </w:pPr>
    </w:p>
    <w:tbl>
      <w:tblPr>
        <w:tblW w:w="9072" w:type="dxa"/>
        <w:jc w:val="center"/>
        <w:tblLook w:val="04A0" w:firstRow="1" w:lastRow="0" w:firstColumn="1" w:lastColumn="0" w:noHBand="0" w:noVBand="1"/>
      </w:tblPr>
      <w:tblGrid>
        <w:gridCol w:w="1954"/>
        <w:gridCol w:w="1733"/>
        <w:gridCol w:w="1594"/>
        <w:gridCol w:w="2091"/>
        <w:gridCol w:w="1700"/>
      </w:tblGrid>
      <w:tr w:rsidR="002E7A45" w:rsidRPr="00ED60A7" w14:paraId="535E503E" w14:textId="77777777" w:rsidTr="00613421">
        <w:trPr>
          <w:cantSplit/>
          <w:jc w:val="center"/>
        </w:trPr>
        <w:tc>
          <w:tcPr>
            <w:tcW w:w="9072" w:type="dxa"/>
            <w:gridSpan w:val="5"/>
          </w:tcPr>
          <w:p w14:paraId="17D4A22D" w14:textId="77777777" w:rsidR="002E7A45" w:rsidRPr="00ED60A7" w:rsidRDefault="002E7A45" w:rsidP="00613421">
            <w:pPr>
              <w:pStyle w:val="FSCtblAh3"/>
              <w:rPr>
                <w:i w:val="0"/>
                <w:lang w:val="en-GB"/>
              </w:rPr>
            </w:pPr>
            <w:r w:rsidRPr="00ED60A7">
              <w:rPr>
                <w:i w:val="0"/>
                <w:lang w:val="en-GB"/>
              </w:rPr>
              <w:t>Unpasteurised milk for retail sale</w:t>
            </w:r>
          </w:p>
        </w:tc>
      </w:tr>
      <w:tr w:rsidR="002E7A45" w:rsidRPr="00ED60A7" w14:paraId="540B28F7" w14:textId="77777777" w:rsidTr="00613421">
        <w:trPr>
          <w:cantSplit/>
          <w:jc w:val="center"/>
        </w:trPr>
        <w:tc>
          <w:tcPr>
            <w:tcW w:w="1954" w:type="dxa"/>
          </w:tcPr>
          <w:p w14:paraId="643947B1" w14:textId="77777777" w:rsidR="002E7A45" w:rsidRPr="00ED60A7" w:rsidRDefault="002E7A45" w:rsidP="00613421">
            <w:pPr>
              <w:pStyle w:val="FSCtblAMain"/>
              <w:rPr>
                <w:lang w:val="en-GB"/>
              </w:rPr>
            </w:pPr>
            <w:r w:rsidRPr="00ED60A7">
              <w:rPr>
                <w:i/>
                <w:lang w:val="en-GB"/>
              </w:rPr>
              <w:t>Campylobacter</w:t>
            </w:r>
          </w:p>
        </w:tc>
        <w:tc>
          <w:tcPr>
            <w:tcW w:w="1733" w:type="dxa"/>
          </w:tcPr>
          <w:p w14:paraId="04804418" w14:textId="77777777" w:rsidR="002E7A45" w:rsidRPr="00ED60A7" w:rsidRDefault="002E7A45" w:rsidP="00613421">
            <w:pPr>
              <w:pStyle w:val="FSCtblAMain"/>
              <w:rPr>
                <w:lang w:val="en-GB"/>
              </w:rPr>
            </w:pPr>
            <w:r w:rsidRPr="00ED60A7">
              <w:rPr>
                <w:lang w:val="en-GB"/>
              </w:rPr>
              <w:t>5</w:t>
            </w:r>
          </w:p>
        </w:tc>
        <w:tc>
          <w:tcPr>
            <w:tcW w:w="1594" w:type="dxa"/>
          </w:tcPr>
          <w:p w14:paraId="47C10AAF" w14:textId="77777777" w:rsidR="002E7A45" w:rsidRPr="00ED60A7" w:rsidRDefault="002E7A45" w:rsidP="00613421">
            <w:pPr>
              <w:pStyle w:val="FSCtblAMain"/>
              <w:rPr>
                <w:lang w:val="en-GB"/>
              </w:rPr>
            </w:pPr>
            <w:r w:rsidRPr="00ED60A7">
              <w:rPr>
                <w:lang w:val="en-GB"/>
              </w:rPr>
              <w:t>0</w:t>
            </w:r>
          </w:p>
        </w:tc>
        <w:tc>
          <w:tcPr>
            <w:tcW w:w="2091" w:type="dxa"/>
          </w:tcPr>
          <w:p w14:paraId="53C3BDBB" w14:textId="77777777" w:rsidR="002E7A45" w:rsidRPr="00ED60A7" w:rsidRDefault="002E7A45" w:rsidP="00613421">
            <w:pPr>
              <w:pStyle w:val="FSCtblAMain"/>
              <w:rPr>
                <w:lang w:val="en-GB"/>
              </w:rPr>
            </w:pPr>
            <w:r w:rsidRPr="00ED60A7">
              <w:rPr>
                <w:lang w:val="en-GB"/>
              </w:rPr>
              <w:t>not detected in       25 mL</w:t>
            </w:r>
          </w:p>
        </w:tc>
        <w:tc>
          <w:tcPr>
            <w:tcW w:w="1700" w:type="dxa"/>
          </w:tcPr>
          <w:p w14:paraId="175286D4" w14:textId="77777777" w:rsidR="002E7A45" w:rsidRPr="00ED60A7" w:rsidRDefault="002E7A45" w:rsidP="00613421">
            <w:pPr>
              <w:pStyle w:val="FSCtblAMain"/>
              <w:rPr>
                <w:lang w:val="en-GB"/>
              </w:rPr>
            </w:pPr>
          </w:p>
        </w:tc>
      </w:tr>
      <w:tr w:rsidR="002E7A45" w:rsidRPr="00ED60A7" w14:paraId="2399598A" w14:textId="77777777" w:rsidTr="00613421">
        <w:trPr>
          <w:cantSplit/>
          <w:jc w:val="center"/>
        </w:trPr>
        <w:tc>
          <w:tcPr>
            <w:tcW w:w="1954" w:type="dxa"/>
          </w:tcPr>
          <w:p w14:paraId="4B2F5D2D" w14:textId="77777777" w:rsidR="002E7A45" w:rsidRPr="00ED60A7" w:rsidRDefault="002E7A45" w:rsidP="00613421">
            <w:pPr>
              <w:pStyle w:val="FSCtblAMain"/>
              <w:rPr>
                <w:lang w:val="en-GB"/>
              </w:rPr>
            </w:pPr>
            <w:r w:rsidRPr="00ED60A7">
              <w:rPr>
                <w:lang w:val="en-GB"/>
              </w:rPr>
              <w:t>Coliforms</w:t>
            </w:r>
          </w:p>
        </w:tc>
        <w:tc>
          <w:tcPr>
            <w:tcW w:w="1733" w:type="dxa"/>
          </w:tcPr>
          <w:p w14:paraId="73167231" w14:textId="77777777" w:rsidR="002E7A45" w:rsidRPr="00ED60A7" w:rsidRDefault="002E7A45" w:rsidP="00613421">
            <w:pPr>
              <w:pStyle w:val="FSCtblAMain"/>
              <w:rPr>
                <w:lang w:val="en-GB"/>
              </w:rPr>
            </w:pPr>
            <w:r w:rsidRPr="00ED60A7">
              <w:rPr>
                <w:lang w:val="en-GB"/>
              </w:rPr>
              <w:t>5</w:t>
            </w:r>
          </w:p>
        </w:tc>
        <w:tc>
          <w:tcPr>
            <w:tcW w:w="1594" w:type="dxa"/>
          </w:tcPr>
          <w:p w14:paraId="3F27C2C1" w14:textId="77777777" w:rsidR="002E7A45" w:rsidRPr="00ED60A7" w:rsidRDefault="002E7A45" w:rsidP="00613421">
            <w:pPr>
              <w:pStyle w:val="FSCtblAMain"/>
              <w:rPr>
                <w:lang w:val="en-GB"/>
              </w:rPr>
            </w:pPr>
            <w:r w:rsidRPr="00ED60A7">
              <w:rPr>
                <w:lang w:val="en-GB"/>
              </w:rPr>
              <w:t>1</w:t>
            </w:r>
          </w:p>
        </w:tc>
        <w:tc>
          <w:tcPr>
            <w:tcW w:w="2091" w:type="dxa"/>
          </w:tcPr>
          <w:p w14:paraId="736730D0" w14:textId="77777777" w:rsidR="002E7A45" w:rsidRPr="00ED60A7" w:rsidRDefault="002E7A45" w:rsidP="00613421">
            <w:pPr>
              <w:pStyle w:val="FSCtblAMain"/>
              <w:rPr>
                <w:lang w:val="en-GB"/>
              </w:rPr>
            </w:pPr>
            <w:r w:rsidRPr="00ED60A7">
              <w:rPr>
                <w:lang w:val="en-GB"/>
              </w:rPr>
              <w:t>10</w:t>
            </w:r>
            <w:r w:rsidRPr="00ED60A7">
              <w:rPr>
                <w:position w:val="6"/>
                <w:vertAlign w:val="superscript"/>
                <w:lang w:val="en-GB"/>
              </w:rPr>
              <w:t>2</w:t>
            </w:r>
            <w:r w:rsidRPr="00ED60A7">
              <w:rPr>
                <w:lang w:val="en-GB"/>
              </w:rPr>
              <w:t>/mL</w:t>
            </w:r>
          </w:p>
        </w:tc>
        <w:tc>
          <w:tcPr>
            <w:tcW w:w="1700" w:type="dxa"/>
          </w:tcPr>
          <w:p w14:paraId="58C89F6F" w14:textId="77777777" w:rsidR="002E7A45" w:rsidRPr="00ED60A7" w:rsidRDefault="002E7A45" w:rsidP="00613421">
            <w:pPr>
              <w:pStyle w:val="FSCtblAMain"/>
              <w:rPr>
                <w:lang w:val="en-GB"/>
              </w:rPr>
            </w:pPr>
            <w:r w:rsidRPr="00ED60A7">
              <w:rPr>
                <w:lang w:val="en-GB"/>
              </w:rPr>
              <w:t>10</w:t>
            </w:r>
            <w:r w:rsidRPr="00ED60A7">
              <w:rPr>
                <w:position w:val="6"/>
                <w:vertAlign w:val="superscript"/>
                <w:lang w:val="en-GB"/>
              </w:rPr>
              <w:t>3</w:t>
            </w:r>
            <w:r w:rsidRPr="00ED60A7">
              <w:rPr>
                <w:lang w:val="en-GB"/>
              </w:rPr>
              <w:t>/mL</w:t>
            </w:r>
          </w:p>
        </w:tc>
      </w:tr>
      <w:tr w:rsidR="002E7A45" w:rsidRPr="00ED60A7" w14:paraId="2E7689B8" w14:textId="77777777" w:rsidTr="00613421">
        <w:trPr>
          <w:cantSplit/>
          <w:jc w:val="center"/>
        </w:trPr>
        <w:tc>
          <w:tcPr>
            <w:tcW w:w="1954" w:type="dxa"/>
          </w:tcPr>
          <w:p w14:paraId="4D0CD268" w14:textId="77777777" w:rsidR="002E7A45" w:rsidRPr="00ED60A7" w:rsidRDefault="002E7A45" w:rsidP="00613421">
            <w:pPr>
              <w:pStyle w:val="FSCtblAMain"/>
              <w:rPr>
                <w:lang w:val="en-GB"/>
              </w:rPr>
            </w:pPr>
            <w:r w:rsidRPr="00ED60A7">
              <w:rPr>
                <w:i/>
                <w:lang w:val="en-GB"/>
              </w:rPr>
              <w:t>Escherichia coli</w:t>
            </w:r>
          </w:p>
        </w:tc>
        <w:tc>
          <w:tcPr>
            <w:tcW w:w="1733" w:type="dxa"/>
          </w:tcPr>
          <w:p w14:paraId="7FF0C05C" w14:textId="77777777" w:rsidR="002E7A45" w:rsidRPr="00ED60A7" w:rsidRDefault="002E7A45" w:rsidP="00613421">
            <w:pPr>
              <w:pStyle w:val="FSCtblAMain"/>
              <w:rPr>
                <w:lang w:val="en-GB"/>
              </w:rPr>
            </w:pPr>
            <w:r w:rsidRPr="00ED60A7">
              <w:rPr>
                <w:lang w:val="en-GB"/>
              </w:rPr>
              <w:t>5</w:t>
            </w:r>
          </w:p>
        </w:tc>
        <w:tc>
          <w:tcPr>
            <w:tcW w:w="1594" w:type="dxa"/>
          </w:tcPr>
          <w:p w14:paraId="52108ECB" w14:textId="77777777" w:rsidR="002E7A45" w:rsidRPr="00ED60A7" w:rsidRDefault="002E7A45" w:rsidP="00613421">
            <w:pPr>
              <w:pStyle w:val="FSCtblAMain"/>
              <w:rPr>
                <w:lang w:val="en-GB"/>
              </w:rPr>
            </w:pPr>
            <w:r w:rsidRPr="00ED60A7">
              <w:rPr>
                <w:lang w:val="en-GB"/>
              </w:rPr>
              <w:t>1</w:t>
            </w:r>
          </w:p>
        </w:tc>
        <w:tc>
          <w:tcPr>
            <w:tcW w:w="2091" w:type="dxa"/>
          </w:tcPr>
          <w:p w14:paraId="6042E7DF" w14:textId="77777777" w:rsidR="002E7A45" w:rsidRPr="00ED60A7" w:rsidRDefault="002E7A45" w:rsidP="00613421">
            <w:pPr>
              <w:pStyle w:val="FSCtblAMain"/>
              <w:rPr>
                <w:lang w:val="en-GB"/>
              </w:rPr>
            </w:pPr>
            <w:r w:rsidRPr="00ED60A7">
              <w:rPr>
                <w:lang w:val="en-GB"/>
              </w:rPr>
              <w:t>3/mL</w:t>
            </w:r>
          </w:p>
        </w:tc>
        <w:tc>
          <w:tcPr>
            <w:tcW w:w="1700" w:type="dxa"/>
          </w:tcPr>
          <w:p w14:paraId="01C645F5" w14:textId="77777777" w:rsidR="002E7A45" w:rsidRPr="00ED60A7" w:rsidRDefault="002E7A45" w:rsidP="00613421">
            <w:pPr>
              <w:pStyle w:val="FSCtblAMain"/>
              <w:rPr>
                <w:lang w:val="en-GB"/>
              </w:rPr>
            </w:pPr>
            <w:r w:rsidRPr="00ED60A7">
              <w:rPr>
                <w:lang w:val="en-GB"/>
              </w:rPr>
              <w:t>9/mL</w:t>
            </w:r>
          </w:p>
        </w:tc>
      </w:tr>
      <w:tr w:rsidR="002E7A45" w:rsidRPr="00ED60A7" w14:paraId="70E8EAE2" w14:textId="77777777" w:rsidTr="00613421">
        <w:trPr>
          <w:cantSplit/>
          <w:jc w:val="center"/>
        </w:trPr>
        <w:tc>
          <w:tcPr>
            <w:tcW w:w="1954" w:type="dxa"/>
          </w:tcPr>
          <w:p w14:paraId="148E16CA" w14:textId="77777777" w:rsidR="002E7A45" w:rsidRPr="00ED60A7" w:rsidRDefault="002E7A45" w:rsidP="00613421">
            <w:pPr>
              <w:pStyle w:val="FSCtblAMain"/>
              <w:rPr>
                <w:lang w:val="en-GB"/>
              </w:rPr>
            </w:pPr>
            <w:r w:rsidRPr="00ED60A7">
              <w:rPr>
                <w:i/>
                <w:lang w:val="en-GB"/>
              </w:rPr>
              <w:t>Salmonella</w:t>
            </w:r>
          </w:p>
        </w:tc>
        <w:tc>
          <w:tcPr>
            <w:tcW w:w="1733" w:type="dxa"/>
          </w:tcPr>
          <w:p w14:paraId="2A0CFDAE" w14:textId="77777777" w:rsidR="002E7A45" w:rsidRPr="00ED60A7" w:rsidRDefault="002E7A45" w:rsidP="00613421">
            <w:pPr>
              <w:pStyle w:val="FSCtblAMain"/>
              <w:rPr>
                <w:lang w:val="en-GB"/>
              </w:rPr>
            </w:pPr>
            <w:r w:rsidRPr="00ED60A7">
              <w:rPr>
                <w:lang w:val="en-GB"/>
              </w:rPr>
              <w:t>5</w:t>
            </w:r>
          </w:p>
        </w:tc>
        <w:tc>
          <w:tcPr>
            <w:tcW w:w="1594" w:type="dxa"/>
          </w:tcPr>
          <w:p w14:paraId="4F6CBBD3" w14:textId="77777777" w:rsidR="002E7A45" w:rsidRPr="00ED60A7" w:rsidRDefault="002E7A45" w:rsidP="00613421">
            <w:pPr>
              <w:pStyle w:val="FSCtblAMain"/>
              <w:rPr>
                <w:lang w:val="en-GB"/>
              </w:rPr>
            </w:pPr>
            <w:r w:rsidRPr="00ED60A7">
              <w:rPr>
                <w:lang w:val="en-GB"/>
              </w:rPr>
              <w:t>0</w:t>
            </w:r>
          </w:p>
        </w:tc>
        <w:tc>
          <w:tcPr>
            <w:tcW w:w="2091" w:type="dxa"/>
          </w:tcPr>
          <w:p w14:paraId="196E6FA9" w14:textId="77777777" w:rsidR="002E7A45" w:rsidRPr="00ED60A7" w:rsidRDefault="002E7A45" w:rsidP="00613421">
            <w:pPr>
              <w:pStyle w:val="FSCtblAMain"/>
              <w:rPr>
                <w:lang w:val="en-GB"/>
              </w:rPr>
            </w:pPr>
            <w:r w:rsidRPr="00ED60A7">
              <w:rPr>
                <w:lang w:val="en-GB"/>
              </w:rPr>
              <w:t>not detected in       25 mL</w:t>
            </w:r>
          </w:p>
        </w:tc>
        <w:tc>
          <w:tcPr>
            <w:tcW w:w="1700" w:type="dxa"/>
          </w:tcPr>
          <w:p w14:paraId="3CBE7059" w14:textId="77777777" w:rsidR="002E7A45" w:rsidRPr="00ED60A7" w:rsidRDefault="002E7A45" w:rsidP="00613421">
            <w:pPr>
              <w:pStyle w:val="FSCtblAMain"/>
              <w:rPr>
                <w:lang w:val="en-GB"/>
              </w:rPr>
            </w:pPr>
          </w:p>
        </w:tc>
      </w:tr>
      <w:tr w:rsidR="002E7A45" w:rsidRPr="00ED60A7" w14:paraId="36C8DA00" w14:textId="77777777" w:rsidTr="00613421">
        <w:trPr>
          <w:cantSplit/>
          <w:jc w:val="center"/>
        </w:trPr>
        <w:tc>
          <w:tcPr>
            <w:tcW w:w="1954" w:type="dxa"/>
          </w:tcPr>
          <w:p w14:paraId="3287D72A" w14:textId="77777777" w:rsidR="002E7A45" w:rsidRPr="00ED60A7" w:rsidRDefault="002E7A45" w:rsidP="00613421">
            <w:pPr>
              <w:pStyle w:val="FSCtblAMain"/>
              <w:rPr>
                <w:lang w:val="en-GB"/>
              </w:rPr>
            </w:pPr>
            <w:r w:rsidRPr="00ED60A7">
              <w:rPr>
                <w:lang w:val="en-GB"/>
              </w:rPr>
              <w:t>SPC</w:t>
            </w:r>
          </w:p>
        </w:tc>
        <w:tc>
          <w:tcPr>
            <w:tcW w:w="1733" w:type="dxa"/>
          </w:tcPr>
          <w:p w14:paraId="205631DD" w14:textId="77777777" w:rsidR="002E7A45" w:rsidRPr="00ED60A7" w:rsidRDefault="002E7A45" w:rsidP="00613421">
            <w:pPr>
              <w:pStyle w:val="FSCtblAMain"/>
              <w:rPr>
                <w:lang w:val="en-GB"/>
              </w:rPr>
            </w:pPr>
            <w:r w:rsidRPr="00ED60A7">
              <w:rPr>
                <w:lang w:val="en-GB"/>
              </w:rPr>
              <w:t>5</w:t>
            </w:r>
          </w:p>
        </w:tc>
        <w:tc>
          <w:tcPr>
            <w:tcW w:w="1594" w:type="dxa"/>
          </w:tcPr>
          <w:p w14:paraId="25C3A954" w14:textId="77777777" w:rsidR="002E7A45" w:rsidRPr="00ED60A7" w:rsidRDefault="002E7A45" w:rsidP="00613421">
            <w:pPr>
              <w:pStyle w:val="FSCtblAMain"/>
              <w:rPr>
                <w:lang w:val="en-GB"/>
              </w:rPr>
            </w:pPr>
            <w:r w:rsidRPr="00ED60A7">
              <w:rPr>
                <w:lang w:val="en-GB"/>
              </w:rPr>
              <w:t>1</w:t>
            </w:r>
          </w:p>
        </w:tc>
        <w:tc>
          <w:tcPr>
            <w:tcW w:w="2091" w:type="dxa"/>
          </w:tcPr>
          <w:p w14:paraId="5E43BE46" w14:textId="77777777" w:rsidR="002E7A45" w:rsidRPr="00ED60A7" w:rsidRDefault="002E7A45" w:rsidP="00613421">
            <w:pPr>
              <w:pStyle w:val="FSCtblAMain"/>
              <w:rPr>
                <w:lang w:val="en-GB"/>
              </w:rPr>
            </w:pPr>
            <w:r w:rsidRPr="00ED60A7">
              <w:rPr>
                <w:lang w:val="en-GB"/>
              </w:rPr>
              <w:t>2.5x10</w:t>
            </w:r>
            <w:r w:rsidRPr="00ED60A7">
              <w:rPr>
                <w:position w:val="6"/>
                <w:vertAlign w:val="superscript"/>
                <w:lang w:val="en-GB"/>
              </w:rPr>
              <w:t>4</w:t>
            </w:r>
            <w:r w:rsidRPr="00ED60A7">
              <w:rPr>
                <w:lang w:val="en-GB"/>
              </w:rPr>
              <w:t>/mL</w:t>
            </w:r>
          </w:p>
        </w:tc>
        <w:tc>
          <w:tcPr>
            <w:tcW w:w="1700" w:type="dxa"/>
          </w:tcPr>
          <w:p w14:paraId="67E77D90" w14:textId="77777777" w:rsidR="002E7A45" w:rsidRPr="00ED60A7" w:rsidRDefault="002E7A45" w:rsidP="00613421">
            <w:pPr>
              <w:pStyle w:val="FSCtblAMain"/>
              <w:rPr>
                <w:lang w:val="en-GB"/>
              </w:rPr>
            </w:pPr>
            <w:r w:rsidRPr="00ED60A7">
              <w:rPr>
                <w:lang w:val="en-GB"/>
              </w:rPr>
              <w:t>2.5x10</w:t>
            </w:r>
            <w:r w:rsidRPr="00ED60A7">
              <w:rPr>
                <w:position w:val="6"/>
                <w:vertAlign w:val="superscript"/>
                <w:lang w:val="en-GB"/>
              </w:rPr>
              <w:t>5</w:t>
            </w:r>
            <w:r w:rsidRPr="00ED60A7">
              <w:rPr>
                <w:lang w:val="en-GB"/>
              </w:rPr>
              <w:t>/mL</w:t>
            </w:r>
          </w:p>
        </w:tc>
      </w:tr>
    </w:tbl>
    <w:p w14:paraId="525FFFED" w14:textId="77777777" w:rsidR="002E7A45" w:rsidRPr="00ED60A7" w:rsidRDefault="002E7A45" w:rsidP="002E7A45">
      <w:pPr>
        <w:keepNext/>
        <w:ind w:left="567" w:hanging="567"/>
      </w:pPr>
    </w:p>
    <w:p w14:paraId="47E9FD57" w14:textId="6E66544A" w:rsidR="00334DF5" w:rsidRDefault="002E7A45" w:rsidP="002E7A45">
      <w:pPr>
        <w:ind w:left="567" w:hanging="567"/>
      </w:pPr>
      <w:r w:rsidRPr="00ED60A7">
        <w:t>iv.</w:t>
      </w:r>
      <w:r w:rsidRPr="00ED60A7">
        <w:tab/>
        <w:t>replaces ‘SPC/g’ with ‘SPC’ for the food ‘</w:t>
      </w:r>
      <w:r w:rsidRPr="00ED60A7">
        <w:rPr>
          <w:i/>
        </w:rPr>
        <w:t>Cooked crustacea</w:t>
      </w:r>
      <w:r w:rsidRPr="00ED60A7">
        <w:t>’</w:t>
      </w:r>
      <w:r w:rsidR="00334DF5">
        <w:br w:type="page"/>
      </w:r>
    </w:p>
    <w:p w14:paraId="451C9E8F" w14:textId="77777777" w:rsidR="002E7A45" w:rsidRPr="00ED60A7" w:rsidRDefault="002E7A45" w:rsidP="002E7A45">
      <w:pPr>
        <w:ind w:left="567" w:hanging="567"/>
      </w:pPr>
      <w:r w:rsidRPr="00ED60A7">
        <w:lastRenderedPageBreak/>
        <w:t>v.</w:t>
      </w:r>
      <w:r w:rsidRPr="00ED60A7">
        <w:tab/>
        <w:t>replaces ‘10</w:t>
      </w:r>
      <w:r w:rsidRPr="00ED60A7">
        <w:rPr>
          <w:vertAlign w:val="superscript"/>
        </w:rPr>
        <w:t>2</w:t>
      </w:r>
      <w:r w:rsidRPr="00ED60A7">
        <w:t>cfu/g’ with ‘not detected in 25 g’ for the food ‘</w:t>
      </w:r>
      <w:r w:rsidRPr="00ED60A7">
        <w:rPr>
          <w:i/>
        </w:rPr>
        <w:t>Ready–to-eat food in which the growth of Listeria monocytogenes can occur</w:t>
      </w:r>
      <w:r w:rsidRPr="00ED60A7">
        <w:t>’</w:t>
      </w:r>
    </w:p>
    <w:p w14:paraId="75FBB6A0" w14:textId="77777777" w:rsidR="002E7A45" w:rsidRPr="00ED60A7" w:rsidRDefault="002E7A45" w:rsidP="002E7A45">
      <w:pPr>
        <w:ind w:left="567" w:hanging="567"/>
      </w:pPr>
    </w:p>
    <w:p w14:paraId="549A20CB" w14:textId="77777777" w:rsidR="002E7A45" w:rsidRPr="00ED60A7" w:rsidRDefault="002E7A45" w:rsidP="002E7A45">
      <w:pPr>
        <w:ind w:left="567" w:hanging="567"/>
      </w:pPr>
      <w:r w:rsidRPr="00ED60A7">
        <w:t>vi.</w:t>
      </w:r>
      <w:r w:rsidRPr="00ED60A7">
        <w:tab/>
        <w:t>replaces ‘not detected in 25 g’ with ‘10</w:t>
      </w:r>
      <w:r w:rsidRPr="00ED60A7">
        <w:rPr>
          <w:vertAlign w:val="superscript"/>
        </w:rPr>
        <w:t>2</w:t>
      </w:r>
      <w:r w:rsidRPr="00ED60A7">
        <w:t>cfu/g’ for the food ‘</w:t>
      </w:r>
      <w:r w:rsidRPr="00ED60A7">
        <w:rPr>
          <w:i/>
        </w:rPr>
        <w:t>Ready–to-eat food in which the growth of Listeria monocytogenes will not occur</w:t>
      </w:r>
      <w:r w:rsidRPr="00ED60A7">
        <w:t>’</w:t>
      </w:r>
    </w:p>
    <w:p w14:paraId="37E8F193" w14:textId="77777777" w:rsidR="002E7A45" w:rsidRPr="00ED60A7" w:rsidRDefault="002E7A45" w:rsidP="002E7A45">
      <w:pPr>
        <w:ind w:left="567" w:hanging="567"/>
      </w:pPr>
    </w:p>
    <w:p w14:paraId="7E886878" w14:textId="77777777" w:rsidR="002E7A45" w:rsidRPr="00ED60A7" w:rsidRDefault="002E7A45" w:rsidP="002E7A45">
      <w:pPr>
        <w:keepNext/>
        <w:ind w:left="567" w:hanging="567"/>
      </w:pPr>
      <w:r w:rsidRPr="00ED60A7">
        <w:t>vii.</w:t>
      </w:r>
      <w:r w:rsidRPr="00ED60A7">
        <w:tab/>
      </w:r>
      <w:r w:rsidRPr="00ED60A7">
        <w:rPr>
          <w:szCs w:val="22"/>
        </w:rPr>
        <w:t>replaces the entry for the food ‘</w:t>
      </w:r>
      <w:r w:rsidRPr="00ED60A7">
        <w:rPr>
          <w:i/>
        </w:rPr>
        <w:t xml:space="preserve">Powdered infant formula products’ </w:t>
      </w:r>
      <w:r w:rsidRPr="00ED60A7">
        <w:t>with:</w:t>
      </w:r>
    </w:p>
    <w:p w14:paraId="521CBC27" w14:textId="77777777" w:rsidR="002E7A45" w:rsidRPr="00ED60A7" w:rsidRDefault="002E7A45" w:rsidP="002E7A45">
      <w:pPr>
        <w:keepNext/>
        <w:ind w:left="567" w:hanging="567"/>
      </w:pPr>
    </w:p>
    <w:tbl>
      <w:tblPr>
        <w:tblW w:w="9072" w:type="dxa"/>
        <w:jc w:val="center"/>
        <w:tblLook w:val="04A0" w:firstRow="1" w:lastRow="0" w:firstColumn="1" w:lastColumn="0" w:noHBand="0" w:noVBand="1"/>
      </w:tblPr>
      <w:tblGrid>
        <w:gridCol w:w="1954"/>
        <w:gridCol w:w="1733"/>
        <w:gridCol w:w="1594"/>
        <w:gridCol w:w="2091"/>
        <w:gridCol w:w="1700"/>
      </w:tblGrid>
      <w:tr w:rsidR="002E7A45" w:rsidRPr="00ED60A7" w14:paraId="78B6E3CA" w14:textId="77777777" w:rsidTr="00613421">
        <w:trPr>
          <w:cantSplit/>
          <w:jc w:val="center"/>
        </w:trPr>
        <w:tc>
          <w:tcPr>
            <w:tcW w:w="9072" w:type="dxa"/>
            <w:gridSpan w:val="5"/>
          </w:tcPr>
          <w:p w14:paraId="2C209312" w14:textId="77777777" w:rsidR="002E7A45" w:rsidRPr="00ED60A7" w:rsidRDefault="002E7A45" w:rsidP="00613421">
            <w:pPr>
              <w:pStyle w:val="FSCtblAh3"/>
              <w:rPr>
                <w:i w:val="0"/>
                <w:lang w:val="en-GB"/>
              </w:rPr>
            </w:pPr>
            <w:r w:rsidRPr="00ED60A7">
              <w:rPr>
                <w:i w:val="0"/>
                <w:lang w:val="en-GB"/>
              </w:rPr>
              <w:t>Powdered infant formula products</w:t>
            </w:r>
          </w:p>
        </w:tc>
      </w:tr>
      <w:tr w:rsidR="002E7A45" w:rsidRPr="00ED60A7" w14:paraId="57F87C97" w14:textId="77777777" w:rsidTr="00613421">
        <w:trPr>
          <w:cantSplit/>
          <w:jc w:val="center"/>
        </w:trPr>
        <w:tc>
          <w:tcPr>
            <w:tcW w:w="1954" w:type="dxa"/>
          </w:tcPr>
          <w:p w14:paraId="1B4DBCD0" w14:textId="77777777" w:rsidR="002E7A45" w:rsidRPr="00ED60A7" w:rsidRDefault="002E7A45" w:rsidP="00613421">
            <w:pPr>
              <w:pStyle w:val="FSCtblAMain"/>
              <w:rPr>
                <w:lang w:val="en-GB"/>
              </w:rPr>
            </w:pPr>
            <w:r w:rsidRPr="00ED60A7">
              <w:rPr>
                <w:i/>
                <w:lang w:val="en-GB"/>
              </w:rPr>
              <w:t>Bacillus cereus</w:t>
            </w:r>
          </w:p>
        </w:tc>
        <w:tc>
          <w:tcPr>
            <w:tcW w:w="1733" w:type="dxa"/>
          </w:tcPr>
          <w:p w14:paraId="105137C7" w14:textId="77777777" w:rsidR="002E7A45" w:rsidRPr="00ED60A7" w:rsidRDefault="002E7A45" w:rsidP="00613421">
            <w:pPr>
              <w:pStyle w:val="FSCtblAMain"/>
              <w:rPr>
                <w:lang w:val="en-GB"/>
              </w:rPr>
            </w:pPr>
            <w:r w:rsidRPr="00ED60A7">
              <w:rPr>
                <w:lang w:val="en-GB"/>
              </w:rPr>
              <w:t>5</w:t>
            </w:r>
          </w:p>
        </w:tc>
        <w:tc>
          <w:tcPr>
            <w:tcW w:w="1594" w:type="dxa"/>
          </w:tcPr>
          <w:p w14:paraId="16D59A52" w14:textId="77777777" w:rsidR="002E7A45" w:rsidRPr="00ED60A7" w:rsidRDefault="002E7A45" w:rsidP="00613421">
            <w:pPr>
              <w:pStyle w:val="FSCtblAMain"/>
              <w:rPr>
                <w:lang w:val="en-GB"/>
              </w:rPr>
            </w:pPr>
            <w:r w:rsidRPr="00ED60A7">
              <w:rPr>
                <w:lang w:val="en-GB"/>
              </w:rPr>
              <w:t>0</w:t>
            </w:r>
          </w:p>
        </w:tc>
        <w:tc>
          <w:tcPr>
            <w:tcW w:w="2091" w:type="dxa"/>
          </w:tcPr>
          <w:p w14:paraId="1B8E0B24" w14:textId="77777777" w:rsidR="002E7A45" w:rsidRPr="00ED60A7" w:rsidRDefault="002E7A45" w:rsidP="00613421">
            <w:pPr>
              <w:pStyle w:val="FSCtblAMain"/>
              <w:rPr>
                <w:lang w:val="en-GB"/>
              </w:rPr>
            </w:pPr>
            <w:r w:rsidRPr="00ED60A7">
              <w:rPr>
                <w:lang w:val="en-GB"/>
              </w:rPr>
              <w:t>10</w:t>
            </w:r>
            <w:r w:rsidRPr="00ED60A7">
              <w:rPr>
                <w:vertAlign w:val="superscript"/>
                <w:lang w:val="en-GB"/>
              </w:rPr>
              <w:t>2</w:t>
            </w:r>
            <w:r w:rsidRPr="00ED60A7">
              <w:rPr>
                <w:lang w:val="en-GB"/>
              </w:rPr>
              <w:t>/g</w:t>
            </w:r>
          </w:p>
        </w:tc>
        <w:tc>
          <w:tcPr>
            <w:tcW w:w="1700" w:type="dxa"/>
          </w:tcPr>
          <w:p w14:paraId="334E2544" w14:textId="77777777" w:rsidR="002E7A45" w:rsidRPr="00ED60A7" w:rsidRDefault="002E7A45" w:rsidP="00613421">
            <w:pPr>
              <w:pStyle w:val="FSCtblAMain"/>
              <w:rPr>
                <w:lang w:val="en-GB"/>
              </w:rPr>
            </w:pPr>
          </w:p>
        </w:tc>
      </w:tr>
      <w:tr w:rsidR="002E7A45" w:rsidRPr="00ED60A7" w14:paraId="591DDB2F" w14:textId="77777777" w:rsidTr="00613421">
        <w:trPr>
          <w:cantSplit/>
          <w:jc w:val="center"/>
        </w:trPr>
        <w:tc>
          <w:tcPr>
            <w:tcW w:w="1954" w:type="dxa"/>
          </w:tcPr>
          <w:p w14:paraId="72D0935B" w14:textId="77777777" w:rsidR="002E7A45" w:rsidRPr="00ED60A7" w:rsidRDefault="002E7A45" w:rsidP="00613421">
            <w:pPr>
              <w:pStyle w:val="FSCtblAMain"/>
              <w:rPr>
                <w:lang w:val="en-GB"/>
              </w:rPr>
            </w:pPr>
            <w:r w:rsidRPr="00ED60A7">
              <w:rPr>
                <w:lang w:val="en-GB"/>
              </w:rPr>
              <w:t>Coagulase-positive staphylococci</w:t>
            </w:r>
          </w:p>
        </w:tc>
        <w:tc>
          <w:tcPr>
            <w:tcW w:w="1733" w:type="dxa"/>
          </w:tcPr>
          <w:p w14:paraId="46B1F67B" w14:textId="77777777" w:rsidR="002E7A45" w:rsidRPr="00ED60A7" w:rsidRDefault="002E7A45" w:rsidP="00613421">
            <w:pPr>
              <w:pStyle w:val="FSCtblAMain"/>
              <w:rPr>
                <w:lang w:val="en-GB"/>
              </w:rPr>
            </w:pPr>
            <w:r w:rsidRPr="00ED60A7">
              <w:rPr>
                <w:lang w:val="en-GB"/>
              </w:rPr>
              <w:t>5</w:t>
            </w:r>
          </w:p>
        </w:tc>
        <w:tc>
          <w:tcPr>
            <w:tcW w:w="1594" w:type="dxa"/>
          </w:tcPr>
          <w:p w14:paraId="3449A03B" w14:textId="77777777" w:rsidR="002E7A45" w:rsidRPr="00ED60A7" w:rsidRDefault="002E7A45" w:rsidP="00613421">
            <w:pPr>
              <w:pStyle w:val="FSCtblAMain"/>
              <w:rPr>
                <w:lang w:val="en-GB"/>
              </w:rPr>
            </w:pPr>
            <w:r w:rsidRPr="00ED60A7">
              <w:rPr>
                <w:lang w:val="en-GB"/>
              </w:rPr>
              <w:t>1</w:t>
            </w:r>
          </w:p>
        </w:tc>
        <w:tc>
          <w:tcPr>
            <w:tcW w:w="2091" w:type="dxa"/>
          </w:tcPr>
          <w:p w14:paraId="0794BF38" w14:textId="77777777" w:rsidR="002E7A45" w:rsidRPr="00ED60A7" w:rsidRDefault="002E7A45" w:rsidP="00613421">
            <w:pPr>
              <w:pStyle w:val="FSCtblAMain"/>
              <w:rPr>
                <w:lang w:val="en-GB"/>
              </w:rPr>
            </w:pPr>
            <w:r w:rsidRPr="00ED60A7">
              <w:rPr>
                <w:lang w:val="en-GB"/>
              </w:rPr>
              <w:t>not detected in 1 g</w:t>
            </w:r>
          </w:p>
        </w:tc>
        <w:tc>
          <w:tcPr>
            <w:tcW w:w="1700" w:type="dxa"/>
          </w:tcPr>
          <w:p w14:paraId="70787B44" w14:textId="77777777" w:rsidR="002E7A45" w:rsidRPr="00ED60A7" w:rsidRDefault="002E7A45" w:rsidP="00613421">
            <w:pPr>
              <w:pStyle w:val="FSCtblAMain"/>
              <w:rPr>
                <w:lang w:val="en-GB"/>
              </w:rPr>
            </w:pPr>
            <w:r w:rsidRPr="00ED60A7">
              <w:rPr>
                <w:lang w:val="en-GB"/>
              </w:rPr>
              <w:t>10/g</w:t>
            </w:r>
          </w:p>
        </w:tc>
      </w:tr>
      <w:tr w:rsidR="002E7A45" w:rsidRPr="00ED60A7" w14:paraId="0F171C40" w14:textId="77777777" w:rsidTr="00613421">
        <w:trPr>
          <w:cantSplit/>
          <w:jc w:val="center"/>
        </w:trPr>
        <w:tc>
          <w:tcPr>
            <w:tcW w:w="1954" w:type="dxa"/>
          </w:tcPr>
          <w:p w14:paraId="696E8119" w14:textId="77777777" w:rsidR="002E7A45" w:rsidRPr="00ED60A7" w:rsidRDefault="002E7A45" w:rsidP="00613421">
            <w:pPr>
              <w:pStyle w:val="FSCtblAMain"/>
              <w:rPr>
                <w:lang w:val="en-GB"/>
              </w:rPr>
            </w:pPr>
            <w:r w:rsidRPr="00ED60A7">
              <w:rPr>
                <w:lang w:val="en-GB"/>
              </w:rPr>
              <w:t>Coliforms</w:t>
            </w:r>
          </w:p>
        </w:tc>
        <w:tc>
          <w:tcPr>
            <w:tcW w:w="1733" w:type="dxa"/>
          </w:tcPr>
          <w:p w14:paraId="4F5B92EB" w14:textId="77777777" w:rsidR="002E7A45" w:rsidRPr="00ED60A7" w:rsidRDefault="002E7A45" w:rsidP="00613421">
            <w:pPr>
              <w:pStyle w:val="FSCtblAMain"/>
              <w:rPr>
                <w:lang w:val="en-GB"/>
              </w:rPr>
            </w:pPr>
            <w:r w:rsidRPr="00ED60A7">
              <w:rPr>
                <w:lang w:val="en-GB"/>
              </w:rPr>
              <w:t>5</w:t>
            </w:r>
          </w:p>
        </w:tc>
        <w:tc>
          <w:tcPr>
            <w:tcW w:w="1594" w:type="dxa"/>
          </w:tcPr>
          <w:p w14:paraId="07201E5C" w14:textId="77777777" w:rsidR="002E7A45" w:rsidRPr="00ED60A7" w:rsidRDefault="002E7A45" w:rsidP="00613421">
            <w:pPr>
              <w:pStyle w:val="FSCtblAMain"/>
              <w:rPr>
                <w:lang w:val="en-GB"/>
              </w:rPr>
            </w:pPr>
            <w:r w:rsidRPr="00ED60A7">
              <w:rPr>
                <w:lang w:val="en-GB"/>
              </w:rPr>
              <w:t>2</w:t>
            </w:r>
          </w:p>
        </w:tc>
        <w:tc>
          <w:tcPr>
            <w:tcW w:w="2091" w:type="dxa"/>
          </w:tcPr>
          <w:p w14:paraId="763972DB" w14:textId="77777777" w:rsidR="002E7A45" w:rsidRPr="00ED60A7" w:rsidRDefault="002E7A45" w:rsidP="00613421">
            <w:pPr>
              <w:pStyle w:val="FSCtblAMain"/>
              <w:rPr>
                <w:lang w:val="en-GB"/>
              </w:rPr>
            </w:pPr>
            <w:r w:rsidRPr="00ED60A7">
              <w:rPr>
                <w:lang w:val="en-GB"/>
              </w:rPr>
              <w:t>less than 3/g</w:t>
            </w:r>
          </w:p>
        </w:tc>
        <w:tc>
          <w:tcPr>
            <w:tcW w:w="1700" w:type="dxa"/>
          </w:tcPr>
          <w:p w14:paraId="14F827AF" w14:textId="77777777" w:rsidR="002E7A45" w:rsidRPr="00ED60A7" w:rsidRDefault="002E7A45" w:rsidP="00613421">
            <w:pPr>
              <w:pStyle w:val="FSCtblAMain"/>
              <w:rPr>
                <w:lang w:val="en-GB"/>
              </w:rPr>
            </w:pPr>
            <w:r w:rsidRPr="00ED60A7">
              <w:rPr>
                <w:lang w:val="en-GB"/>
              </w:rPr>
              <w:t>10/g</w:t>
            </w:r>
          </w:p>
        </w:tc>
      </w:tr>
      <w:tr w:rsidR="002E7A45" w:rsidRPr="00ED60A7" w14:paraId="2FE9FA2A" w14:textId="77777777" w:rsidTr="00613421">
        <w:trPr>
          <w:cantSplit/>
          <w:jc w:val="center"/>
        </w:trPr>
        <w:tc>
          <w:tcPr>
            <w:tcW w:w="1954" w:type="dxa"/>
          </w:tcPr>
          <w:p w14:paraId="04A37528" w14:textId="77777777" w:rsidR="002E7A45" w:rsidRPr="00ED60A7" w:rsidRDefault="002E7A45" w:rsidP="00613421">
            <w:pPr>
              <w:pStyle w:val="FSCtblAMain"/>
              <w:rPr>
                <w:lang w:val="en-GB"/>
              </w:rPr>
            </w:pPr>
            <w:r w:rsidRPr="00ED60A7">
              <w:rPr>
                <w:i/>
                <w:lang w:val="en-GB"/>
              </w:rPr>
              <w:t>Salmonella</w:t>
            </w:r>
          </w:p>
        </w:tc>
        <w:tc>
          <w:tcPr>
            <w:tcW w:w="1733" w:type="dxa"/>
          </w:tcPr>
          <w:p w14:paraId="0DD231F6" w14:textId="77777777" w:rsidR="002E7A45" w:rsidRPr="00ED60A7" w:rsidRDefault="002E7A45" w:rsidP="00613421">
            <w:pPr>
              <w:pStyle w:val="FSCtblAMain"/>
              <w:rPr>
                <w:lang w:val="en-GB"/>
              </w:rPr>
            </w:pPr>
            <w:r w:rsidRPr="00ED60A7">
              <w:rPr>
                <w:lang w:val="en-GB"/>
              </w:rPr>
              <w:t>10</w:t>
            </w:r>
          </w:p>
        </w:tc>
        <w:tc>
          <w:tcPr>
            <w:tcW w:w="1594" w:type="dxa"/>
          </w:tcPr>
          <w:p w14:paraId="53D36735" w14:textId="77777777" w:rsidR="002E7A45" w:rsidRPr="00ED60A7" w:rsidRDefault="002E7A45" w:rsidP="00613421">
            <w:pPr>
              <w:pStyle w:val="FSCtblAMain"/>
              <w:rPr>
                <w:lang w:val="en-GB"/>
              </w:rPr>
            </w:pPr>
            <w:r w:rsidRPr="00ED60A7">
              <w:rPr>
                <w:lang w:val="en-GB"/>
              </w:rPr>
              <w:t>0</w:t>
            </w:r>
          </w:p>
        </w:tc>
        <w:tc>
          <w:tcPr>
            <w:tcW w:w="2091" w:type="dxa"/>
          </w:tcPr>
          <w:p w14:paraId="702B48F9" w14:textId="77777777" w:rsidR="002E7A45" w:rsidRPr="00ED60A7" w:rsidRDefault="002E7A45" w:rsidP="00613421">
            <w:pPr>
              <w:pStyle w:val="FSCtblAMain"/>
              <w:rPr>
                <w:lang w:val="en-GB"/>
              </w:rPr>
            </w:pPr>
            <w:r w:rsidRPr="00ED60A7">
              <w:rPr>
                <w:lang w:val="en-GB"/>
              </w:rPr>
              <w:t>not detected in 25 g</w:t>
            </w:r>
          </w:p>
        </w:tc>
        <w:tc>
          <w:tcPr>
            <w:tcW w:w="1700" w:type="dxa"/>
          </w:tcPr>
          <w:p w14:paraId="479B67CD" w14:textId="77777777" w:rsidR="002E7A45" w:rsidRPr="00ED60A7" w:rsidRDefault="002E7A45" w:rsidP="00613421">
            <w:pPr>
              <w:pStyle w:val="FSCtblAMain"/>
              <w:rPr>
                <w:lang w:val="en-GB"/>
              </w:rPr>
            </w:pPr>
          </w:p>
        </w:tc>
      </w:tr>
      <w:tr w:rsidR="002E7A45" w:rsidRPr="00ED60A7" w14:paraId="20A63E93" w14:textId="77777777" w:rsidTr="00613421">
        <w:trPr>
          <w:cantSplit/>
          <w:jc w:val="center"/>
        </w:trPr>
        <w:tc>
          <w:tcPr>
            <w:tcW w:w="1954" w:type="dxa"/>
          </w:tcPr>
          <w:p w14:paraId="3E2EFD2B" w14:textId="77777777" w:rsidR="002E7A45" w:rsidRPr="00ED60A7" w:rsidRDefault="002E7A45" w:rsidP="00613421">
            <w:pPr>
              <w:pStyle w:val="FSCtblAMain"/>
              <w:rPr>
                <w:lang w:val="en-GB"/>
              </w:rPr>
            </w:pPr>
            <w:r w:rsidRPr="00ED60A7">
              <w:rPr>
                <w:lang w:val="en-GB"/>
              </w:rPr>
              <w:t>SPC</w:t>
            </w:r>
          </w:p>
        </w:tc>
        <w:tc>
          <w:tcPr>
            <w:tcW w:w="1733" w:type="dxa"/>
          </w:tcPr>
          <w:p w14:paraId="2BB32148" w14:textId="77777777" w:rsidR="002E7A45" w:rsidRPr="00ED60A7" w:rsidRDefault="002E7A45" w:rsidP="00613421">
            <w:pPr>
              <w:pStyle w:val="FSCtblAMain"/>
              <w:rPr>
                <w:lang w:val="en-GB"/>
              </w:rPr>
            </w:pPr>
            <w:r w:rsidRPr="00ED60A7">
              <w:rPr>
                <w:lang w:val="en-GB"/>
              </w:rPr>
              <w:t>5</w:t>
            </w:r>
          </w:p>
        </w:tc>
        <w:tc>
          <w:tcPr>
            <w:tcW w:w="1594" w:type="dxa"/>
          </w:tcPr>
          <w:p w14:paraId="121085A6" w14:textId="77777777" w:rsidR="002E7A45" w:rsidRPr="00ED60A7" w:rsidRDefault="002E7A45" w:rsidP="00613421">
            <w:pPr>
              <w:pStyle w:val="FSCtblAMain"/>
              <w:rPr>
                <w:lang w:val="en-GB"/>
              </w:rPr>
            </w:pPr>
            <w:r w:rsidRPr="00ED60A7">
              <w:rPr>
                <w:lang w:val="en-GB"/>
              </w:rPr>
              <w:t>2</w:t>
            </w:r>
          </w:p>
        </w:tc>
        <w:tc>
          <w:tcPr>
            <w:tcW w:w="2091" w:type="dxa"/>
          </w:tcPr>
          <w:p w14:paraId="1EE3F784" w14:textId="77777777" w:rsidR="002E7A45" w:rsidRPr="00ED60A7" w:rsidRDefault="002E7A45" w:rsidP="00613421">
            <w:pPr>
              <w:pStyle w:val="FSCtblAMain"/>
              <w:rPr>
                <w:lang w:val="en-GB"/>
              </w:rPr>
            </w:pPr>
            <w:r w:rsidRPr="00ED60A7">
              <w:rPr>
                <w:lang w:val="en-GB"/>
              </w:rPr>
              <w:t>10</w:t>
            </w:r>
            <w:r w:rsidRPr="00ED60A7">
              <w:rPr>
                <w:rFonts w:cs="Times"/>
                <w:position w:val="6"/>
                <w:vertAlign w:val="superscript"/>
                <w:lang w:val="en-GB"/>
              </w:rPr>
              <w:t>3</w:t>
            </w:r>
            <w:r w:rsidRPr="00ED60A7">
              <w:rPr>
                <w:lang w:val="en-GB"/>
              </w:rPr>
              <w:t>/g</w:t>
            </w:r>
          </w:p>
        </w:tc>
        <w:tc>
          <w:tcPr>
            <w:tcW w:w="1700" w:type="dxa"/>
          </w:tcPr>
          <w:p w14:paraId="2A9B3E00" w14:textId="77777777" w:rsidR="002E7A45" w:rsidRPr="00ED60A7" w:rsidRDefault="002E7A45" w:rsidP="00613421">
            <w:pPr>
              <w:pStyle w:val="FSCtblAMain"/>
              <w:rPr>
                <w:lang w:val="en-GB"/>
              </w:rPr>
            </w:pPr>
            <w:r w:rsidRPr="00ED60A7">
              <w:rPr>
                <w:lang w:val="en-GB"/>
              </w:rPr>
              <w:t>10</w:t>
            </w:r>
            <w:r w:rsidRPr="00ED60A7">
              <w:rPr>
                <w:rFonts w:cs="Times"/>
                <w:position w:val="6"/>
                <w:vertAlign w:val="superscript"/>
                <w:lang w:val="en-GB"/>
              </w:rPr>
              <w:t>4</w:t>
            </w:r>
            <w:r w:rsidRPr="00ED60A7">
              <w:rPr>
                <w:lang w:val="en-GB"/>
              </w:rPr>
              <w:t>/g</w:t>
            </w:r>
          </w:p>
        </w:tc>
      </w:tr>
    </w:tbl>
    <w:p w14:paraId="24BB4633" w14:textId="77777777" w:rsidR="002E7A45" w:rsidRPr="00ED60A7" w:rsidRDefault="002E7A45" w:rsidP="002E7A45">
      <w:pPr>
        <w:keepNext/>
        <w:ind w:left="567" w:hanging="567"/>
      </w:pPr>
    </w:p>
    <w:p w14:paraId="3F80E03A" w14:textId="77777777" w:rsidR="002E7A45" w:rsidRPr="00ED60A7" w:rsidRDefault="002E7A45" w:rsidP="002E7A45">
      <w:pPr>
        <w:ind w:left="567" w:hanging="567"/>
        <w:rPr>
          <w:b/>
          <w:i/>
        </w:rPr>
      </w:pPr>
      <w:r w:rsidRPr="00ED60A7">
        <w:rPr>
          <w:b/>
          <w:i/>
        </w:rPr>
        <w:t>Schedule 29</w:t>
      </w:r>
    </w:p>
    <w:p w14:paraId="4E26F8C5" w14:textId="77777777" w:rsidR="002E7A45" w:rsidRPr="00ED60A7" w:rsidRDefault="002E7A45" w:rsidP="002E7A45">
      <w:pPr>
        <w:ind w:left="567" w:hanging="567"/>
        <w:rPr>
          <w:u w:val="single"/>
        </w:rPr>
      </w:pPr>
    </w:p>
    <w:p w14:paraId="48228664" w14:textId="77777777" w:rsidR="002E7A45" w:rsidRPr="00ED60A7" w:rsidRDefault="002E7A45" w:rsidP="002E7A45">
      <w:r w:rsidRPr="00ED60A7">
        <w:t>Item [</w:t>
      </w:r>
      <w:r>
        <w:t>63</w:t>
      </w:r>
      <w:r w:rsidRPr="00ED60A7">
        <w:t xml:space="preserve">] replaces the table in subsection S29—10(3) to correct typographical errors relating to units of measurement. The word, ‘PANEL’ is </w:t>
      </w:r>
      <w:r>
        <w:t xml:space="preserve">also </w:t>
      </w:r>
      <w:r w:rsidRPr="00ED60A7">
        <w:t>removed from the table heading.</w:t>
      </w:r>
      <w:bookmarkStart w:id="3" w:name="_GoBack"/>
      <w:bookmarkEnd w:id="3"/>
    </w:p>
    <w:sectPr w:rsidR="002E7A45" w:rsidRPr="00ED60A7" w:rsidSect="008E2339">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FE0CB" w14:textId="77777777" w:rsidR="002E7A45" w:rsidRDefault="002E7A45" w:rsidP="002E7A45">
      <w:r>
        <w:separator/>
      </w:r>
    </w:p>
  </w:endnote>
  <w:endnote w:type="continuationSeparator" w:id="0">
    <w:p w14:paraId="376931F9" w14:textId="77777777" w:rsidR="002E7A45" w:rsidRDefault="002E7A45" w:rsidP="002E7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129056"/>
      <w:docPartObj>
        <w:docPartGallery w:val="Page Numbers (Bottom of Page)"/>
        <w:docPartUnique/>
      </w:docPartObj>
    </w:sdtPr>
    <w:sdtEndPr>
      <w:rPr>
        <w:noProof/>
      </w:rPr>
    </w:sdtEndPr>
    <w:sdtContent>
      <w:p w14:paraId="264F676F" w14:textId="77777777" w:rsidR="002E7A45" w:rsidRDefault="002E7A45" w:rsidP="002E7A45">
        <w:pPr>
          <w:pStyle w:val="Footer"/>
          <w:jc w:val="center"/>
        </w:pPr>
        <w:r>
          <w:fldChar w:fldCharType="begin"/>
        </w:r>
        <w:r>
          <w:instrText xml:space="preserve"> PAGE   \* MERGEFORMAT </w:instrText>
        </w:r>
        <w:r>
          <w:fldChar w:fldCharType="separate"/>
        </w:r>
        <w:r w:rsidR="00334DF5">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97943" w14:textId="77777777" w:rsidR="002E7A45" w:rsidRDefault="002E7A45" w:rsidP="002E7A45">
      <w:r>
        <w:separator/>
      </w:r>
    </w:p>
  </w:footnote>
  <w:footnote w:type="continuationSeparator" w:id="0">
    <w:p w14:paraId="03CF8F78" w14:textId="77777777" w:rsidR="002E7A45" w:rsidRDefault="002E7A45" w:rsidP="002E7A45">
      <w:r>
        <w:continuationSeparator/>
      </w:r>
    </w:p>
  </w:footnote>
  <w:footnote w:id="1">
    <w:p w14:paraId="2D95381E" w14:textId="77777777" w:rsidR="00334DF5" w:rsidRPr="0010778D" w:rsidRDefault="00334DF5" w:rsidP="00334DF5">
      <w:pPr>
        <w:pStyle w:val="FootnoteText"/>
        <w:rPr>
          <w:szCs w:val="18"/>
          <w:lang w:val="en-AU"/>
        </w:rPr>
      </w:pPr>
      <w:r w:rsidRPr="0010778D">
        <w:rPr>
          <w:rStyle w:val="FootnoteReference"/>
          <w:szCs w:val="18"/>
        </w:rPr>
        <w:footnoteRef/>
      </w:r>
      <w:r w:rsidRPr="0010778D">
        <w:rPr>
          <w:szCs w:val="18"/>
        </w:rPr>
        <w:t xml:space="preserve"> </w:t>
      </w:r>
      <w:r>
        <w:rPr>
          <w:szCs w:val="18"/>
          <w:lang w:val="en-AU"/>
        </w:rPr>
        <w:t>convening</w:t>
      </w:r>
      <w:r w:rsidRPr="0010778D">
        <w:rPr>
          <w:szCs w:val="18"/>
          <w:lang w:val="en-AU"/>
        </w:rPr>
        <w:t xml:space="preserve"> as the Australia and New Zealand Food Regulation Ministerial Council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740C"/>
    <w:multiLevelType w:val="hybridMultilevel"/>
    <w:tmpl w:val="7F06A2A6"/>
    <w:lvl w:ilvl="0" w:tplc="FA6A582C">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nsid w:val="0FA30746"/>
    <w:multiLevelType w:val="hybridMultilevel"/>
    <w:tmpl w:val="8BEC675E"/>
    <w:lvl w:ilvl="0" w:tplc="1892DE34">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nsid w:val="114C4493"/>
    <w:multiLevelType w:val="hybridMultilevel"/>
    <w:tmpl w:val="B5D09452"/>
    <w:lvl w:ilvl="0" w:tplc="F4F0403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BFD33E8"/>
    <w:multiLevelType w:val="hybridMultilevel"/>
    <w:tmpl w:val="F348A5B4"/>
    <w:lvl w:ilvl="0" w:tplc="E188D8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CBD36CE"/>
    <w:multiLevelType w:val="hybridMultilevel"/>
    <w:tmpl w:val="7FA69D36"/>
    <w:lvl w:ilvl="0" w:tplc="0388B4F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8"/>
  </w:num>
  <w:num w:numId="9">
    <w:abstractNumId w:val="5"/>
  </w:num>
  <w:num w:numId="10">
    <w:abstractNumId w:val="7"/>
  </w:num>
  <w:num w:numId="11">
    <w:abstractNumId w:val="8"/>
  </w:num>
  <w:num w:numId="12">
    <w:abstractNumId w:val="5"/>
  </w:num>
  <w:num w:numId="13">
    <w:abstractNumId w:val="7"/>
  </w:num>
  <w:num w:numId="14">
    <w:abstractNumId w:val="3"/>
  </w:num>
  <w:num w:numId="15">
    <w:abstractNumId w:val="1"/>
  </w:num>
  <w:num w:numId="16">
    <w:abstractNumId w:val="6"/>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A45"/>
    <w:rsid w:val="0000542C"/>
    <w:rsid w:val="00041643"/>
    <w:rsid w:val="000622E7"/>
    <w:rsid w:val="00066854"/>
    <w:rsid w:val="00066D85"/>
    <w:rsid w:val="000A38F8"/>
    <w:rsid w:val="000F2196"/>
    <w:rsid w:val="001734EA"/>
    <w:rsid w:val="00184403"/>
    <w:rsid w:val="00191770"/>
    <w:rsid w:val="001C5126"/>
    <w:rsid w:val="001E696B"/>
    <w:rsid w:val="002232B1"/>
    <w:rsid w:val="00234C31"/>
    <w:rsid w:val="002E7A45"/>
    <w:rsid w:val="0033021F"/>
    <w:rsid w:val="00334DF5"/>
    <w:rsid w:val="00341D25"/>
    <w:rsid w:val="00404702"/>
    <w:rsid w:val="00441D77"/>
    <w:rsid w:val="00443F05"/>
    <w:rsid w:val="00486619"/>
    <w:rsid w:val="004D3868"/>
    <w:rsid w:val="004E6694"/>
    <w:rsid w:val="0054036E"/>
    <w:rsid w:val="005B578D"/>
    <w:rsid w:val="005C1996"/>
    <w:rsid w:val="006B6900"/>
    <w:rsid w:val="006D473E"/>
    <w:rsid w:val="00793DE6"/>
    <w:rsid w:val="007F6456"/>
    <w:rsid w:val="00830393"/>
    <w:rsid w:val="00833D5A"/>
    <w:rsid w:val="00860EE7"/>
    <w:rsid w:val="00877A81"/>
    <w:rsid w:val="008931F6"/>
    <w:rsid w:val="008E2339"/>
    <w:rsid w:val="00935023"/>
    <w:rsid w:val="009806A5"/>
    <w:rsid w:val="009E265A"/>
    <w:rsid w:val="00A25B29"/>
    <w:rsid w:val="00A26F82"/>
    <w:rsid w:val="00B5315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9E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2E7A45"/>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99"/>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9"/>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hAnsi="Arial"/>
      <w:b w:val="0"/>
      <w:iCs w:val="0"/>
      <w:szCs w:val="20"/>
    </w:rPr>
  </w:style>
  <w:style w:type="paragraph" w:customStyle="1" w:styleId="142Tabletext1">
    <w:name w:val="1.4.2 Table text1"/>
    <w:basedOn w:val="Normal"/>
    <w:link w:val="142Tabletext1Char"/>
    <w:uiPriority w:val="22"/>
    <w:qFormat/>
    <w:rsid w:val="00404702"/>
    <w:pPr>
      <w:ind w:left="142" w:hanging="142"/>
    </w:pPr>
    <w:rPr>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caps/>
      <w:szCs w:val="20"/>
    </w:rPr>
  </w:style>
  <w:style w:type="paragraph" w:customStyle="1" w:styleId="Clause">
    <w:name w:val="Clause"/>
    <w:basedOn w:val="Normal"/>
    <w:next w:val="Normal"/>
    <w:link w:val="ClauseChar"/>
    <w:uiPriority w:val="10"/>
    <w:qFormat/>
    <w:rsid w:val="00C019A6"/>
    <w:pPr>
      <w:tabs>
        <w:tab w:val="left" w:pos="851"/>
      </w:tabs>
    </w:pPr>
    <w:rPr>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rPr>
      <w:sz w:val="20"/>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qFormat/>
    <w:rsid w:val="00E53ACA"/>
    <w:rPr>
      <w:sz w:val="18"/>
      <w:szCs w:val="20"/>
    </w:rPr>
  </w:style>
  <w:style w:type="character" w:customStyle="1" w:styleId="FootnoteTextChar">
    <w:name w:val="Footnote Text Char"/>
    <w:aliases w:val="Footnotes Text Char,FSFootnotes Text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qFormat/>
    <w:rsid w:val="00234C31"/>
    <w:pPr>
      <w:numPr>
        <w:numId w:val="11"/>
      </w:numPr>
      <w:ind w:left="567" w:hanging="567"/>
    </w:pPr>
    <w:rPr>
      <w:rFonts w:cs="Arial"/>
    </w:rPr>
  </w:style>
  <w:style w:type="character" w:customStyle="1" w:styleId="FSBullet1Char">
    <w:name w:val="FSBullet 1 Char"/>
    <w:basedOn w:val="DefaultParagraphFont"/>
    <w:link w:val="FSBullet1"/>
    <w:rsid w:val="00234C31"/>
    <w:rPr>
      <w:rFonts w:eastAsia="Times New Roman"/>
      <w:szCs w:val="24"/>
      <w:lang w:val="en-GB"/>
    </w:rPr>
  </w:style>
  <w:style w:type="paragraph" w:customStyle="1" w:styleId="FSBullet2">
    <w:name w:val="FSBullet 2"/>
    <w:basedOn w:val="Normal"/>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 w:val="20"/>
      <w:szCs w:val="20"/>
    </w:rPr>
  </w:style>
  <w:style w:type="paragraph" w:customStyle="1" w:styleId="FSTableColumnRowheading">
    <w:name w:val="FSTable Column/Row heading"/>
    <w:basedOn w:val="Normal"/>
    <w:uiPriority w:val="8"/>
    <w:qFormat/>
    <w:rsid w:val="00404702"/>
    <w:pPr>
      <w:spacing w:before="120" w:after="120"/>
    </w:pPr>
    <w:rPr>
      <w:b/>
      <w:sz w:val="20"/>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b/>
      <w:caps/>
      <w:sz w:val="20"/>
      <w:szCs w:val="20"/>
    </w:rPr>
  </w:style>
  <w:style w:type="paragraph" w:customStyle="1" w:styleId="Standardtitle">
    <w:name w:val="Standard title"/>
    <w:basedOn w:val="Normal"/>
    <w:uiPriority w:val="18"/>
    <w:qFormat/>
    <w:rsid w:val="00404702"/>
    <w:pPr>
      <w:keepNext/>
      <w:tabs>
        <w:tab w:val="left" w:pos="851"/>
      </w:tabs>
      <w:jc w:val="center"/>
    </w:pPr>
    <w:rPr>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qFormat/>
    <w:rsid w:val="00DF4A30"/>
    <w:pPr>
      <w:ind w:left="720"/>
      <w:contextualSpacing/>
    </w:pPr>
  </w:style>
  <w:style w:type="paragraph" w:customStyle="1" w:styleId="FSCh5SchItem">
    <w:name w:val="FSC_h5_Sch_Item"/>
    <w:basedOn w:val="Normal"/>
    <w:next w:val="Normal"/>
    <w:qFormat/>
    <w:rsid w:val="002E7A45"/>
    <w:pPr>
      <w:keepNext/>
      <w:keepLines/>
      <w:widowControl/>
      <w:spacing w:before="360" w:after="60"/>
      <w:ind w:left="1134" w:hanging="1134"/>
    </w:pPr>
    <w:rPr>
      <w:rFonts w:cs="Arial"/>
      <w:b/>
      <w:bCs/>
      <w:kern w:val="32"/>
      <w:sz w:val="24"/>
      <w:szCs w:val="32"/>
      <w:lang w:val="en-AU" w:eastAsia="en-AU" w:bidi="ar-SA"/>
    </w:rPr>
  </w:style>
  <w:style w:type="paragraph" w:customStyle="1" w:styleId="FSCtAmendingwords">
    <w:name w:val="FSC_t_Amending_words"/>
    <w:basedOn w:val="Normal"/>
    <w:qFormat/>
    <w:rsid w:val="002E7A45"/>
    <w:pPr>
      <w:keepLines/>
      <w:widowControl/>
      <w:spacing w:before="120"/>
      <w:ind w:left="1134"/>
    </w:pPr>
    <w:rPr>
      <w:rFonts w:cs="Arial"/>
      <w:iCs/>
      <w:sz w:val="24"/>
      <w:szCs w:val="22"/>
      <w:lang w:val="en-AU" w:eastAsia="en-AU" w:bidi="ar-SA"/>
    </w:rPr>
  </w:style>
  <w:style w:type="paragraph" w:customStyle="1" w:styleId="FSCtblBMain">
    <w:name w:val="FSC_tbl_B_Main"/>
    <w:aliases w:val="tbB_t1_Item"/>
    <w:basedOn w:val="Normal"/>
    <w:qFormat/>
    <w:rsid w:val="002E7A45"/>
    <w:pPr>
      <w:keepLines/>
      <w:widowControl/>
      <w:spacing w:before="60" w:after="60"/>
      <w:ind w:left="1701"/>
    </w:pPr>
    <w:rPr>
      <w:rFonts w:cs="Arial"/>
      <w:sz w:val="20"/>
      <w:szCs w:val="22"/>
      <w:lang w:val="en-AU" w:eastAsia="en-AU" w:bidi="ar-SA"/>
    </w:rPr>
  </w:style>
  <w:style w:type="paragraph" w:customStyle="1" w:styleId="FSCtDefn">
    <w:name w:val="FSC_t_Defn"/>
    <w:aliases w:val="t1_Defn"/>
    <w:basedOn w:val="Normal"/>
    <w:rsid w:val="002E7A45"/>
    <w:pPr>
      <w:keepLines/>
      <w:widowControl/>
      <w:tabs>
        <w:tab w:val="left" w:pos="1134"/>
      </w:tabs>
      <w:spacing w:before="120" w:after="120"/>
      <w:ind w:left="1701"/>
    </w:pPr>
    <w:rPr>
      <w:rFonts w:cs="Arial"/>
      <w:iCs/>
      <w:sz w:val="20"/>
      <w:szCs w:val="22"/>
      <w:lang w:val="en-AU" w:eastAsia="en-AU" w:bidi="ar-SA"/>
    </w:rPr>
  </w:style>
  <w:style w:type="paragraph" w:customStyle="1" w:styleId="FSCnMain">
    <w:name w:val="FSC_n_Main"/>
    <w:aliases w:val="n_Main"/>
    <w:basedOn w:val="Normal"/>
    <w:qFormat/>
    <w:rsid w:val="002E7A45"/>
    <w:pPr>
      <w:keepLines/>
      <w:widowControl/>
      <w:tabs>
        <w:tab w:val="left" w:pos="1701"/>
      </w:tabs>
      <w:spacing w:before="120" w:after="120"/>
      <w:ind w:left="2268" w:hanging="2268"/>
    </w:pPr>
    <w:rPr>
      <w:rFonts w:cs="Arial"/>
      <w:sz w:val="16"/>
      <w:szCs w:val="18"/>
      <w:lang w:val="en-AU" w:eastAsia="en-AU" w:bidi="ar-SA"/>
    </w:rPr>
  </w:style>
  <w:style w:type="paragraph" w:customStyle="1" w:styleId="FSCtblAMain">
    <w:name w:val="FSC_tbl_A_Main"/>
    <w:aliases w:val="tbA_t1_Item"/>
    <w:basedOn w:val="Normal"/>
    <w:qFormat/>
    <w:rsid w:val="002E7A45"/>
    <w:pPr>
      <w:keepLines/>
      <w:widowControl/>
      <w:spacing w:before="60" w:after="60"/>
    </w:pPr>
    <w:rPr>
      <w:rFonts w:cs="Arial"/>
      <w:sz w:val="20"/>
      <w:szCs w:val="22"/>
      <w:lang w:val="en-AU" w:eastAsia="en-AU" w:bidi="ar-SA"/>
    </w:rPr>
  </w:style>
  <w:style w:type="paragraph" w:customStyle="1" w:styleId="FSCtblAh3">
    <w:name w:val="FSC_tbl_A_h3"/>
    <w:aliases w:val="tbA_h3"/>
    <w:basedOn w:val="Normal"/>
    <w:next w:val="Normal"/>
    <w:rsid w:val="002E7A45"/>
    <w:pPr>
      <w:keepNext/>
      <w:keepLines/>
      <w:widowControl/>
      <w:spacing w:before="60"/>
    </w:pPr>
    <w:rPr>
      <w:rFonts w:cs="Arial"/>
      <w:b/>
      <w:i/>
      <w:sz w:val="20"/>
      <w:szCs w:val="22"/>
      <w:lang w:val="en-AU" w:eastAsia="en-AU" w:bidi="ar-SA"/>
    </w:rPr>
  </w:style>
  <w:style w:type="character" w:styleId="FootnoteReference">
    <w:name w:val="footnote reference"/>
    <w:basedOn w:val="DefaultParagraphFont"/>
    <w:rsid w:val="00334DF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2E7A45"/>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99"/>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9"/>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hAnsi="Arial"/>
      <w:b w:val="0"/>
      <w:iCs w:val="0"/>
      <w:szCs w:val="20"/>
    </w:rPr>
  </w:style>
  <w:style w:type="paragraph" w:customStyle="1" w:styleId="142Tabletext1">
    <w:name w:val="1.4.2 Table text1"/>
    <w:basedOn w:val="Normal"/>
    <w:link w:val="142Tabletext1Char"/>
    <w:uiPriority w:val="22"/>
    <w:qFormat/>
    <w:rsid w:val="00404702"/>
    <w:pPr>
      <w:ind w:left="142" w:hanging="142"/>
    </w:pPr>
    <w:rPr>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caps/>
      <w:szCs w:val="20"/>
    </w:rPr>
  </w:style>
  <w:style w:type="paragraph" w:customStyle="1" w:styleId="Clause">
    <w:name w:val="Clause"/>
    <w:basedOn w:val="Normal"/>
    <w:next w:val="Normal"/>
    <w:link w:val="ClauseChar"/>
    <w:uiPriority w:val="10"/>
    <w:qFormat/>
    <w:rsid w:val="00C019A6"/>
    <w:pPr>
      <w:tabs>
        <w:tab w:val="left" w:pos="851"/>
      </w:tabs>
    </w:pPr>
    <w:rPr>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rPr>
      <w:sz w:val="20"/>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qFormat/>
    <w:rsid w:val="00E53ACA"/>
    <w:rPr>
      <w:sz w:val="18"/>
      <w:szCs w:val="20"/>
    </w:rPr>
  </w:style>
  <w:style w:type="character" w:customStyle="1" w:styleId="FootnoteTextChar">
    <w:name w:val="Footnote Text Char"/>
    <w:aliases w:val="Footnotes Text Char,FSFootnotes Text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qFormat/>
    <w:rsid w:val="00234C31"/>
    <w:pPr>
      <w:numPr>
        <w:numId w:val="11"/>
      </w:numPr>
      <w:ind w:left="567" w:hanging="567"/>
    </w:pPr>
    <w:rPr>
      <w:rFonts w:cs="Arial"/>
    </w:rPr>
  </w:style>
  <w:style w:type="character" w:customStyle="1" w:styleId="FSBullet1Char">
    <w:name w:val="FSBullet 1 Char"/>
    <w:basedOn w:val="DefaultParagraphFont"/>
    <w:link w:val="FSBullet1"/>
    <w:rsid w:val="00234C31"/>
    <w:rPr>
      <w:rFonts w:eastAsia="Times New Roman"/>
      <w:szCs w:val="24"/>
      <w:lang w:val="en-GB"/>
    </w:rPr>
  </w:style>
  <w:style w:type="paragraph" w:customStyle="1" w:styleId="FSBullet2">
    <w:name w:val="FSBullet 2"/>
    <w:basedOn w:val="Normal"/>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 w:val="20"/>
      <w:szCs w:val="20"/>
    </w:rPr>
  </w:style>
  <w:style w:type="paragraph" w:customStyle="1" w:styleId="FSTableColumnRowheading">
    <w:name w:val="FSTable Column/Row heading"/>
    <w:basedOn w:val="Normal"/>
    <w:uiPriority w:val="8"/>
    <w:qFormat/>
    <w:rsid w:val="00404702"/>
    <w:pPr>
      <w:spacing w:before="120" w:after="120"/>
    </w:pPr>
    <w:rPr>
      <w:b/>
      <w:sz w:val="20"/>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b/>
      <w:caps/>
      <w:sz w:val="20"/>
      <w:szCs w:val="20"/>
    </w:rPr>
  </w:style>
  <w:style w:type="paragraph" w:customStyle="1" w:styleId="Standardtitle">
    <w:name w:val="Standard title"/>
    <w:basedOn w:val="Normal"/>
    <w:uiPriority w:val="18"/>
    <w:qFormat/>
    <w:rsid w:val="00404702"/>
    <w:pPr>
      <w:keepNext/>
      <w:tabs>
        <w:tab w:val="left" w:pos="851"/>
      </w:tabs>
      <w:jc w:val="center"/>
    </w:pPr>
    <w:rPr>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qFormat/>
    <w:rsid w:val="00DF4A30"/>
    <w:pPr>
      <w:ind w:left="720"/>
      <w:contextualSpacing/>
    </w:pPr>
  </w:style>
  <w:style w:type="paragraph" w:customStyle="1" w:styleId="FSCh5SchItem">
    <w:name w:val="FSC_h5_Sch_Item"/>
    <w:basedOn w:val="Normal"/>
    <w:next w:val="Normal"/>
    <w:qFormat/>
    <w:rsid w:val="002E7A45"/>
    <w:pPr>
      <w:keepNext/>
      <w:keepLines/>
      <w:widowControl/>
      <w:spacing w:before="360" w:after="60"/>
      <w:ind w:left="1134" w:hanging="1134"/>
    </w:pPr>
    <w:rPr>
      <w:rFonts w:cs="Arial"/>
      <w:b/>
      <w:bCs/>
      <w:kern w:val="32"/>
      <w:sz w:val="24"/>
      <w:szCs w:val="32"/>
      <w:lang w:val="en-AU" w:eastAsia="en-AU" w:bidi="ar-SA"/>
    </w:rPr>
  </w:style>
  <w:style w:type="paragraph" w:customStyle="1" w:styleId="FSCtAmendingwords">
    <w:name w:val="FSC_t_Amending_words"/>
    <w:basedOn w:val="Normal"/>
    <w:qFormat/>
    <w:rsid w:val="002E7A45"/>
    <w:pPr>
      <w:keepLines/>
      <w:widowControl/>
      <w:spacing w:before="120"/>
      <w:ind w:left="1134"/>
    </w:pPr>
    <w:rPr>
      <w:rFonts w:cs="Arial"/>
      <w:iCs/>
      <w:sz w:val="24"/>
      <w:szCs w:val="22"/>
      <w:lang w:val="en-AU" w:eastAsia="en-AU" w:bidi="ar-SA"/>
    </w:rPr>
  </w:style>
  <w:style w:type="paragraph" w:customStyle="1" w:styleId="FSCtblBMain">
    <w:name w:val="FSC_tbl_B_Main"/>
    <w:aliases w:val="tbB_t1_Item"/>
    <w:basedOn w:val="Normal"/>
    <w:qFormat/>
    <w:rsid w:val="002E7A45"/>
    <w:pPr>
      <w:keepLines/>
      <w:widowControl/>
      <w:spacing w:before="60" w:after="60"/>
      <w:ind w:left="1701"/>
    </w:pPr>
    <w:rPr>
      <w:rFonts w:cs="Arial"/>
      <w:sz w:val="20"/>
      <w:szCs w:val="22"/>
      <w:lang w:val="en-AU" w:eastAsia="en-AU" w:bidi="ar-SA"/>
    </w:rPr>
  </w:style>
  <w:style w:type="paragraph" w:customStyle="1" w:styleId="FSCtDefn">
    <w:name w:val="FSC_t_Defn"/>
    <w:aliases w:val="t1_Defn"/>
    <w:basedOn w:val="Normal"/>
    <w:rsid w:val="002E7A45"/>
    <w:pPr>
      <w:keepLines/>
      <w:widowControl/>
      <w:tabs>
        <w:tab w:val="left" w:pos="1134"/>
      </w:tabs>
      <w:spacing w:before="120" w:after="120"/>
      <w:ind w:left="1701"/>
    </w:pPr>
    <w:rPr>
      <w:rFonts w:cs="Arial"/>
      <w:iCs/>
      <w:sz w:val="20"/>
      <w:szCs w:val="22"/>
      <w:lang w:val="en-AU" w:eastAsia="en-AU" w:bidi="ar-SA"/>
    </w:rPr>
  </w:style>
  <w:style w:type="paragraph" w:customStyle="1" w:styleId="FSCnMain">
    <w:name w:val="FSC_n_Main"/>
    <w:aliases w:val="n_Main"/>
    <w:basedOn w:val="Normal"/>
    <w:qFormat/>
    <w:rsid w:val="002E7A45"/>
    <w:pPr>
      <w:keepLines/>
      <w:widowControl/>
      <w:tabs>
        <w:tab w:val="left" w:pos="1701"/>
      </w:tabs>
      <w:spacing w:before="120" w:after="120"/>
      <w:ind w:left="2268" w:hanging="2268"/>
    </w:pPr>
    <w:rPr>
      <w:rFonts w:cs="Arial"/>
      <w:sz w:val="16"/>
      <w:szCs w:val="18"/>
      <w:lang w:val="en-AU" w:eastAsia="en-AU" w:bidi="ar-SA"/>
    </w:rPr>
  </w:style>
  <w:style w:type="paragraph" w:customStyle="1" w:styleId="FSCtblAMain">
    <w:name w:val="FSC_tbl_A_Main"/>
    <w:aliases w:val="tbA_t1_Item"/>
    <w:basedOn w:val="Normal"/>
    <w:qFormat/>
    <w:rsid w:val="002E7A45"/>
    <w:pPr>
      <w:keepLines/>
      <w:widowControl/>
      <w:spacing w:before="60" w:after="60"/>
    </w:pPr>
    <w:rPr>
      <w:rFonts w:cs="Arial"/>
      <w:sz w:val="20"/>
      <w:szCs w:val="22"/>
      <w:lang w:val="en-AU" w:eastAsia="en-AU" w:bidi="ar-SA"/>
    </w:rPr>
  </w:style>
  <w:style w:type="paragraph" w:customStyle="1" w:styleId="FSCtblAh3">
    <w:name w:val="FSC_tbl_A_h3"/>
    <w:aliases w:val="tbA_h3"/>
    <w:basedOn w:val="Normal"/>
    <w:next w:val="Normal"/>
    <w:rsid w:val="002E7A45"/>
    <w:pPr>
      <w:keepNext/>
      <w:keepLines/>
      <w:widowControl/>
      <w:spacing w:before="60"/>
    </w:pPr>
    <w:rPr>
      <w:rFonts w:cs="Arial"/>
      <w:b/>
      <w:i/>
      <w:sz w:val="20"/>
      <w:szCs w:val="22"/>
      <w:lang w:val="en-AU" w:eastAsia="en-AU" w:bidi="ar-SA"/>
    </w:rPr>
  </w:style>
  <w:style w:type="character" w:styleId="FootnoteReference">
    <w:name w:val="footnote reference"/>
    <w:basedOn w:val="DefaultParagraphFont"/>
    <w:rsid w:val="00334D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D482D0D9192A52408BEE3ADFA02384A3" ma:contentTypeVersion="37" ma:contentTypeDescription="FSANZ Record" ma:contentTypeScope="" ma:versionID="57842969719b898fbe0f22a578b7c488">
  <xsd:schema xmlns:xsd="http://www.w3.org/2001/XMLSchema" xmlns:xs="http://www.w3.org/2001/XMLSchema" xmlns:p="http://schemas.microsoft.com/office/2006/metadata/properties" xmlns:ns3="ec50576e-4a27-4780-a1e1-e59563bc70b8" xmlns:ns4="5759555f-5bed-45a4-a4c2-4e28e2623455" targetNamespace="http://schemas.microsoft.com/office/2006/metadata/properties" ma:root="true" ma:fieldsID="264fabfb87ec490a76204e67d15812a3" ns3:_="" ns4:_="">
    <xsd:import namespace="ec50576e-4a27-4780-a1e1-e59563bc70b8"/>
    <xsd:import namespace="5759555f-5bed-45a4-a4c2-4e28e2623455"/>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b99702b-f02c-439b-bf93-e301643b6a94}" ma:internalName="TaxCatchAll" ma:showField="CatchAllData"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b99702b-f02c-439b-bf93-e301643b6a94}" ma:internalName="TaxCatchAllLabel" ma:readOnly="true" ma:showField="CatchAllDataLabel"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9555f-5bed-45a4-a4c2-4e28e262345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959f586-1386-49a0-8f25-29490ba8c513" ContentTypeId="0x01010004C4C934AD08B647A78FCADD498BE31902" PreviousValue="false"/>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531</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Instruments</TermName>
          <TermId>4a8ff5e5-1f0e-4751-ab44-bc0d33b46a80</TermId>
        </TermInfo>
      </Terms>
    </bd06d2da0152468b9236b575a71e0e7c>
    <_dlc_DocId xmlns="5759555f-5bed-45a4-a4c2-4e28e2623455">MMF7YEMDTSDN-102-28110</_dlc_DocId>
    <_dlc_DocIdUrl xmlns="5759555f-5bed-45a4-a4c2-4e28e2623455">
      <Url>http://fsintranet/Sections/OLC/_layouts/15/DocIdRedir.aspx?ID=MMF7YEMDTSDN-102-28110</Url>
      <Description>MMF7YEMDTSDN-102-28110</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A2906-9DEC-42E6-8995-D332CABBD451}"/>
</file>

<file path=customXml/itemProps2.xml><?xml version="1.0" encoding="utf-8"?>
<ds:datastoreItem xmlns:ds="http://schemas.openxmlformats.org/officeDocument/2006/customXml" ds:itemID="{E4E92933-1C91-44D5-8306-E0C7A1932115}"/>
</file>

<file path=customXml/itemProps3.xml><?xml version="1.0" encoding="utf-8"?>
<ds:datastoreItem xmlns:ds="http://schemas.openxmlformats.org/officeDocument/2006/customXml" ds:itemID="{2DFEA229-B505-444C-94F5-CD4656EA003C}"/>
</file>

<file path=customXml/itemProps4.xml><?xml version="1.0" encoding="utf-8"?>
<ds:datastoreItem xmlns:ds="http://schemas.openxmlformats.org/officeDocument/2006/customXml" ds:itemID="{17BD8830-C371-4C53-9588-C96E9C9E24EA}"/>
</file>

<file path=customXml/itemProps5.xml><?xml version="1.0" encoding="utf-8"?>
<ds:datastoreItem xmlns:ds="http://schemas.openxmlformats.org/officeDocument/2006/customXml" ds:itemID="{2FCA93E6-F59A-4D24-B4D7-C56128BA3262}"/>
</file>

<file path=customXml/itemProps6.xml><?xml version="1.0" encoding="utf-8"?>
<ds:datastoreItem xmlns:ds="http://schemas.openxmlformats.org/officeDocument/2006/customXml" ds:itemID="{865EFB7C-2DAC-455A-BD19-2C06F4417558}"/>
</file>

<file path=customXml/itemProps7.xml><?xml version="1.0" encoding="utf-8"?>
<ds:datastoreItem xmlns:ds="http://schemas.openxmlformats.org/officeDocument/2006/customXml" ds:itemID="{A9849486-2D26-466C-A29A-B36A0EFB19D7}"/>
</file>

<file path=docProps/app.xml><?xml version="1.0" encoding="utf-8"?>
<Properties xmlns="http://schemas.openxmlformats.org/officeDocument/2006/extended-properties" xmlns:vt="http://schemas.openxmlformats.org/officeDocument/2006/docPropsVTypes">
  <Template>Normal.dotm</Template>
  <TotalTime>3</TotalTime>
  <Pages>9</Pages>
  <Words>2206</Words>
  <Characters>12580</Characters>
  <Application>Microsoft Office Word</Application>
  <DocSecurity>0</DocSecurity>
  <Lines>104</Lines>
  <Paragraphs>29</Paragraphs>
  <ScaleCrop>false</ScaleCrop>
  <Company>Foodstandards</Company>
  <LinksUpToDate>false</LinksUpToDate>
  <CharactersWithSpaces>14757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2</cp:revision>
  <dcterms:created xsi:type="dcterms:W3CDTF">2015-06-30T23:28:00Z</dcterms:created>
  <dcterms:modified xsi:type="dcterms:W3CDTF">2015-06-30T23:31:00Z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0x01010004C4C934AD08B647A78FCADD498BE3190200D482D0D9192A52408BEE3ADFA02384A3</vt:lpwstr>
  </property>
  <property fmtid="{D5CDD505-2E9C-101B-9397-08002B2CF9AE}" pid="3" name="DisposalClass">
    <vt:lpwstr/>
  </property>
  <property fmtid="{D5CDD505-2E9C-101B-9397-08002B2CF9AE}" pid="4" name="BCS_">
    <vt:lpwstr>531;#Instruments|4a8ff5e5-1f0e-4751-ab44-bc0d33b46a80</vt:lpwstr>
  </property>
  <property fmtid="{D5CDD505-2E9C-101B-9397-08002B2CF9AE}" pid="5" name="_dlc_DocIdItemGuid">
    <vt:lpwstr>bd65434a-8a99-496f-a380-571fdb00d103</vt:lpwstr>
  </property>
</Properties>
</file>