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F3" w:rsidRPr="00E629E7" w:rsidRDefault="00D51CF3" w:rsidP="00D51CF3">
      <w:pPr>
        <w:jc w:val="center"/>
        <w:rPr>
          <w:b/>
        </w:rPr>
      </w:pPr>
      <w:bookmarkStart w:id="0" w:name="_GoBack"/>
      <w:bookmarkEnd w:id="0"/>
      <w:r w:rsidRPr="00E629E7">
        <w:rPr>
          <w:b/>
        </w:rPr>
        <w:t>EXPLANATORY STATEMENT</w:t>
      </w:r>
    </w:p>
    <w:p w:rsidR="00D51CF3" w:rsidRPr="00E629E7" w:rsidRDefault="00D51CF3" w:rsidP="00D51CF3">
      <w:pPr>
        <w:jc w:val="center"/>
        <w:rPr>
          <w:u w:val="single"/>
        </w:rPr>
      </w:pPr>
    </w:p>
    <w:p w:rsidR="00D51CF3" w:rsidRPr="00E629E7" w:rsidRDefault="00D51CF3" w:rsidP="00D51CF3">
      <w:pPr>
        <w:jc w:val="center"/>
        <w:rPr>
          <w:i/>
        </w:rPr>
      </w:pPr>
      <w:r w:rsidRPr="00E629E7">
        <w:rPr>
          <w:i/>
        </w:rPr>
        <w:t xml:space="preserve">National Health </w:t>
      </w:r>
      <w:r w:rsidR="00870E2C">
        <w:rPr>
          <w:i/>
        </w:rPr>
        <w:t>Act 1953</w:t>
      </w:r>
      <w:r w:rsidR="00C475A3">
        <w:rPr>
          <w:i/>
        </w:rPr>
        <w:t xml:space="preserve"> </w:t>
      </w:r>
    </w:p>
    <w:p w:rsidR="00D51CF3" w:rsidRPr="00E629E7" w:rsidRDefault="00D51CF3" w:rsidP="00D51CF3"/>
    <w:p w:rsidR="00D51CF3" w:rsidRPr="00E629E7" w:rsidRDefault="00D51CF3" w:rsidP="00D51CF3">
      <w:pPr>
        <w:jc w:val="center"/>
        <w:rPr>
          <w:b/>
          <w:i/>
        </w:rPr>
      </w:pPr>
      <w:r w:rsidRPr="00E629E7">
        <w:rPr>
          <w:b/>
          <w:i/>
        </w:rPr>
        <w:t>National Health (</w:t>
      </w:r>
      <w:r w:rsidR="00C5246F">
        <w:rPr>
          <w:b/>
          <w:i/>
        </w:rPr>
        <w:t>Growth Hormone</w:t>
      </w:r>
      <w:r w:rsidR="00A011D3">
        <w:rPr>
          <w:b/>
          <w:i/>
        </w:rPr>
        <w:t xml:space="preserve"> Program</w:t>
      </w:r>
      <w:r w:rsidR="00DE0EB1">
        <w:rPr>
          <w:b/>
          <w:i/>
        </w:rPr>
        <w:t>) Special Arrangement</w:t>
      </w:r>
      <w:r w:rsidRPr="00E629E7">
        <w:rPr>
          <w:b/>
          <w:i/>
        </w:rPr>
        <w:t xml:space="preserve"> 2015 </w:t>
      </w:r>
    </w:p>
    <w:p w:rsidR="00D51CF3" w:rsidRPr="00E629E7" w:rsidRDefault="00D51CF3" w:rsidP="00D51CF3">
      <w:pPr>
        <w:jc w:val="center"/>
        <w:rPr>
          <w:i/>
        </w:rPr>
      </w:pPr>
    </w:p>
    <w:p w:rsidR="00D51CF3" w:rsidRPr="00E629E7" w:rsidRDefault="00870E2C" w:rsidP="00D51CF3">
      <w:pPr>
        <w:jc w:val="center"/>
        <w:rPr>
          <w:b/>
        </w:rPr>
      </w:pPr>
      <w:r w:rsidRPr="00163874">
        <w:rPr>
          <w:b/>
        </w:rPr>
        <w:t>PB </w:t>
      </w:r>
      <w:r w:rsidR="00163874" w:rsidRPr="00163874">
        <w:rPr>
          <w:b/>
        </w:rPr>
        <w:t>85</w:t>
      </w:r>
      <w:r w:rsidR="00D51CF3" w:rsidRPr="00163874">
        <w:rPr>
          <w:b/>
        </w:rPr>
        <w:t> of 2015</w:t>
      </w:r>
    </w:p>
    <w:p w:rsidR="00D51CF3" w:rsidRDefault="00D51CF3" w:rsidP="00D51CF3">
      <w:pPr>
        <w:jc w:val="center"/>
      </w:pPr>
    </w:p>
    <w:p w:rsidR="00D51CF3" w:rsidRDefault="00D51CF3" w:rsidP="00D51CF3">
      <w:r w:rsidRPr="00222443">
        <w:rPr>
          <w:b/>
        </w:rPr>
        <w:t>Authority</w:t>
      </w:r>
    </w:p>
    <w:p w:rsidR="006153CB" w:rsidRDefault="006153CB" w:rsidP="006153CB">
      <w:r>
        <w:t xml:space="preserve">Subsection 100(1) of the </w:t>
      </w:r>
      <w:r>
        <w:rPr>
          <w:i/>
        </w:rPr>
        <w:t>National Health Act </w:t>
      </w:r>
      <w:r w:rsidRPr="00552DFE">
        <w:rPr>
          <w:i/>
        </w:rPr>
        <w:t>1953</w:t>
      </w:r>
      <w:r>
        <w:rPr>
          <w:i/>
        </w:rPr>
        <w:t xml:space="preserve"> </w:t>
      </w:r>
      <w:r w:rsidRPr="00552DFE">
        <w:t>(the Act)</w:t>
      </w:r>
      <w:r>
        <w:rPr>
          <w:i/>
        </w:rPr>
        <w:t xml:space="preserve"> </w:t>
      </w:r>
      <w:r>
        <w:t>enables the Minister to make special arrangements for the suppl</w:t>
      </w:r>
      <w:r w:rsidR="00926F52">
        <w:t xml:space="preserve">y of pharmaceutical benefits.  </w:t>
      </w:r>
    </w:p>
    <w:p w:rsidR="006153CB" w:rsidRDefault="006153CB" w:rsidP="006153CB"/>
    <w:p w:rsidR="006153CB" w:rsidRPr="00222443" w:rsidRDefault="006153CB" w:rsidP="006153CB">
      <w:r>
        <w:t xml:space="preserve">Subsection 100(2) of the Act provides that the Minister may vary or revoke a special arrangement made under subsection 100(1).  </w:t>
      </w:r>
    </w:p>
    <w:p w:rsidR="00D51CF3" w:rsidRDefault="00D51CF3" w:rsidP="00D51CF3">
      <w:pPr>
        <w:rPr>
          <w:i/>
        </w:rPr>
      </w:pPr>
    </w:p>
    <w:p w:rsidR="00D51CF3" w:rsidRPr="0059184C" w:rsidRDefault="00D51CF3" w:rsidP="00D51CF3">
      <w:r w:rsidRPr="00222443">
        <w:rPr>
          <w:b/>
        </w:rPr>
        <w:t>Purpose</w:t>
      </w:r>
    </w:p>
    <w:p w:rsidR="00AD5E0F" w:rsidRPr="00B8039F" w:rsidRDefault="00D103EB" w:rsidP="00AD5E0F">
      <w:pPr>
        <w:spacing w:after="200"/>
        <w:rPr>
          <w:b/>
        </w:rPr>
      </w:pPr>
      <w:r>
        <w:t xml:space="preserve">The </w:t>
      </w:r>
      <w:r>
        <w:rPr>
          <w:i/>
        </w:rPr>
        <w:t>National Health (</w:t>
      </w:r>
      <w:r w:rsidR="00C5246F">
        <w:rPr>
          <w:i/>
        </w:rPr>
        <w:t>Growth Hormone</w:t>
      </w:r>
      <w:r w:rsidR="00A011D3">
        <w:rPr>
          <w:i/>
        </w:rPr>
        <w:t xml:space="preserve"> Program</w:t>
      </w:r>
      <w:r>
        <w:rPr>
          <w:i/>
        </w:rPr>
        <w:t>)</w:t>
      </w:r>
      <w:r w:rsidR="00A011D3">
        <w:rPr>
          <w:i/>
        </w:rPr>
        <w:t xml:space="preserve"> Special Arrangement</w:t>
      </w:r>
      <w:r>
        <w:rPr>
          <w:i/>
        </w:rPr>
        <w:t xml:space="preserve"> 2015 </w:t>
      </w:r>
      <w:r>
        <w:t xml:space="preserve">repeals </w:t>
      </w:r>
      <w:r w:rsidR="00A011D3">
        <w:t xml:space="preserve">and replaces </w:t>
      </w:r>
      <w:r>
        <w:t xml:space="preserve">the </w:t>
      </w:r>
      <w:r>
        <w:rPr>
          <w:i/>
        </w:rPr>
        <w:t>National Health (</w:t>
      </w:r>
      <w:r w:rsidR="00C5246F">
        <w:rPr>
          <w:i/>
        </w:rPr>
        <w:t xml:space="preserve">Growth Hormone </w:t>
      </w:r>
      <w:r>
        <w:rPr>
          <w:i/>
        </w:rPr>
        <w:t>Program) Special Arrangement 2011</w:t>
      </w:r>
      <w:r w:rsidR="00282499">
        <w:t xml:space="preserve"> (PB </w:t>
      </w:r>
      <w:r w:rsidR="00C5246F">
        <w:t>88</w:t>
      </w:r>
      <w:r w:rsidR="00282499">
        <w:t> of </w:t>
      </w:r>
      <w:r>
        <w:t>2011)</w:t>
      </w:r>
      <w:r w:rsidR="00926F52">
        <w:t xml:space="preserve">.  </w:t>
      </w:r>
      <w:r w:rsidR="008E543D">
        <w:t xml:space="preserve">The repealed Special Arrangement is </w:t>
      </w:r>
      <w:r w:rsidR="00640A69">
        <w:t>r</w:t>
      </w:r>
      <w:r w:rsidR="00AD5E0F">
        <w:t xml:space="preserve">eferred to in this Arrangement as the old Arrangement. </w:t>
      </w:r>
    </w:p>
    <w:p w:rsidR="00191416" w:rsidRDefault="00926F52" w:rsidP="00D51CF3">
      <w:r>
        <w:t xml:space="preserve">The </w:t>
      </w:r>
      <w:r w:rsidR="00191416">
        <w:t xml:space="preserve">old </w:t>
      </w:r>
      <w:r>
        <w:t>Arrangement allowed the pharmaceutical benefit</w:t>
      </w:r>
      <w:r w:rsidR="00191416">
        <w:t>s</w:t>
      </w:r>
      <w:r>
        <w:t xml:space="preserve"> specified in Schedule 1 of that arrangement </w:t>
      </w:r>
      <w:r w:rsidR="00191416">
        <w:t>(</w:t>
      </w:r>
      <w:r w:rsidR="00BD1D7E">
        <w:t xml:space="preserve">growth hormone </w:t>
      </w:r>
      <w:r w:rsidR="00191416">
        <w:t xml:space="preserve">pharmaceutical benefits) </w:t>
      </w:r>
      <w:r>
        <w:t>to be administered to patients</w:t>
      </w:r>
      <w:r w:rsidR="00FE3896">
        <w:t xml:space="preserve"> under supply arrangements</w:t>
      </w:r>
      <w:r>
        <w:t xml:space="preserve"> outside</w:t>
      </w:r>
      <w:r w:rsidR="00823873">
        <w:t xml:space="preserve"> of</w:t>
      </w:r>
      <w:r>
        <w:t xml:space="preserve"> the normal P</w:t>
      </w:r>
      <w:r w:rsidR="00C75836">
        <w:t xml:space="preserve">harmaceutical </w:t>
      </w:r>
      <w:r>
        <w:t>B</w:t>
      </w:r>
      <w:r w:rsidR="00C75836">
        <w:t xml:space="preserve">enefits </w:t>
      </w:r>
      <w:r>
        <w:t>S</w:t>
      </w:r>
      <w:r w:rsidR="00C75836">
        <w:t>cheme (PBS)</w:t>
      </w:r>
      <w:r>
        <w:t xml:space="preserve"> supply regime.  </w:t>
      </w:r>
    </w:p>
    <w:p w:rsidR="00191416" w:rsidRDefault="00191416" w:rsidP="00D51CF3"/>
    <w:p w:rsidR="00563B39" w:rsidRDefault="00926F52" w:rsidP="00D51CF3">
      <w:r>
        <w:t xml:space="preserve">Eligible patients were entitled to receive </w:t>
      </w:r>
      <w:r w:rsidR="00191416">
        <w:t xml:space="preserve">the </w:t>
      </w:r>
      <w:r w:rsidR="00210515">
        <w:t xml:space="preserve">growth hormone </w:t>
      </w:r>
      <w:r>
        <w:t>pharmaceutical benefits</w:t>
      </w:r>
      <w:r w:rsidR="00823873">
        <w:t>,</w:t>
      </w:r>
      <w:r>
        <w:t xml:space="preserve"> specified in the </w:t>
      </w:r>
      <w:r w:rsidR="00191416">
        <w:t>S</w:t>
      </w:r>
      <w:r>
        <w:t>chedule</w:t>
      </w:r>
      <w:r w:rsidR="00823873">
        <w:t>,</w:t>
      </w:r>
      <w:r w:rsidR="00860AEE">
        <w:t xml:space="preserve"> </w:t>
      </w:r>
      <w:r w:rsidR="00210515">
        <w:t>for the treatment of nine separate conditions</w:t>
      </w:r>
      <w:r w:rsidR="00191416">
        <w:t xml:space="preserve">.  </w:t>
      </w:r>
      <w:r w:rsidR="00430AD9">
        <w:t xml:space="preserve">Authorised prescribers were required </w:t>
      </w:r>
      <w:r w:rsidR="00210515">
        <w:t>to apply to the Department of Health</w:t>
      </w:r>
      <w:r w:rsidR="00430AD9">
        <w:t xml:space="preserve"> (the Department)</w:t>
      </w:r>
      <w:r w:rsidR="00210515">
        <w:t xml:space="preserve"> for authority to prescribe </w:t>
      </w:r>
      <w:r w:rsidR="00C75836">
        <w:t>the benefits, and p</w:t>
      </w:r>
      <w:r w:rsidR="00191416">
        <w:t>atients were not charged the normal PBS</w:t>
      </w:r>
    </w:p>
    <w:p w:rsidR="00860AEE" w:rsidRDefault="00191416" w:rsidP="00D51CF3">
      <w:r>
        <w:t>co-payment by the Australian Government.</w:t>
      </w:r>
    </w:p>
    <w:p w:rsidR="00860AEE" w:rsidRDefault="00860AEE" w:rsidP="00D51CF3"/>
    <w:p w:rsidR="00860AEE" w:rsidRDefault="00191416" w:rsidP="00D51CF3">
      <w:r>
        <w:t xml:space="preserve">The </w:t>
      </w:r>
      <w:r w:rsidR="00860AEE">
        <w:t>Program was fully administered by the Department with assistance</w:t>
      </w:r>
      <w:r w:rsidR="00430AD9">
        <w:t xml:space="preserve"> from </w:t>
      </w:r>
      <w:r w:rsidR="00860AEE">
        <w:t xml:space="preserve">the Growth Hormone Advisory Committee (GHAC), a panel of paediatric endocrinologists. </w:t>
      </w:r>
      <w:r w:rsidR="00406037">
        <w:t xml:space="preserve"> </w:t>
      </w:r>
      <w:r w:rsidR="00430AD9">
        <w:t xml:space="preserve">When </w:t>
      </w:r>
      <w:r w:rsidR="00D36A2B">
        <w:t xml:space="preserve">the Department </w:t>
      </w:r>
      <w:r w:rsidR="00430AD9">
        <w:t>had approved an application to prescribe a</w:t>
      </w:r>
      <w:r w:rsidR="00D36A2B">
        <w:t xml:space="preserve"> growth hormone pharmaceutical benefit, departmental officers </w:t>
      </w:r>
      <w:r w:rsidR="00B87A2B">
        <w:t xml:space="preserve">would </w:t>
      </w:r>
      <w:r w:rsidR="00D36A2B">
        <w:t>order growth hormone from the relevant supplier for prescribing by the</w:t>
      </w:r>
      <w:r w:rsidR="00430AD9">
        <w:t xml:space="preserve"> authorised prescriber</w:t>
      </w:r>
      <w:r w:rsidR="00D36A2B">
        <w:t xml:space="preserve">, and dispensing to the patient at </w:t>
      </w:r>
      <w:r w:rsidR="00430AD9">
        <w:t xml:space="preserve">a </w:t>
      </w:r>
      <w:r w:rsidR="00D36A2B">
        <w:t>pre-arranged pharmacy location. These orders were processed by the Department four times per year</w:t>
      </w:r>
      <w:r w:rsidR="00406037">
        <w:t xml:space="preserve"> for each patient</w:t>
      </w:r>
      <w:r w:rsidR="00D36A2B">
        <w:t>.</w:t>
      </w:r>
    </w:p>
    <w:p w:rsidR="00D36A2B" w:rsidRDefault="00D36A2B" w:rsidP="00D51CF3"/>
    <w:p w:rsidR="002218AB" w:rsidRDefault="00272FA4" w:rsidP="00D51CF3">
      <w:r>
        <w:t>The Australian Government has decided to align the access, supply and claiming</w:t>
      </w:r>
      <w:r w:rsidR="003636CA">
        <w:t xml:space="preserve"> processes</w:t>
      </w:r>
      <w:r>
        <w:t xml:space="preserve"> </w:t>
      </w:r>
      <w:r w:rsidR="003636CA">
        <w:t xml:space="preserve">for </w:t>
      </w:r>
      <w:r>
        <w:t xml:space="preserve">these pharmaceutical benefits with those of </w:t>
      </w:r>
      <w:r w:rsidR="003636CA">
        <w:t xml:space="preserve">other </w:t>
      </w:r>
      <w:r>
        <w:t xml:space="preserve">pharmaceutical benefits. </w:t>
      </w:r>
      <w:r w:rsidR="00B87A2B">
        <w:t xml:space="preserve">Alignment is anticipated to improve the efficiency of the efficiency of the Program administration, and result in savings to Government. In order to give effect to the alignment, </w:t>
      </w:r>
      <w:r w:rsidR="004D3A31">
        <w:t>the old Special Arrangement is being repealed</w:t>
      </w:r>
      <w:r w:rsidR="00A011D3">
        <w:t xml:space="preserve"> and replaced with a new </w:t>
      </w:r>
      <w:r w:rsidR="003636CA">
        <w:t>Special Arrangement</w:t>
      </w:r>
      <w:r w:rsidR="004D3A31">
        <w:t xml:space="preserve">. </w:t>
      </w:r>
      <w:r w:rsidR="00282499">
        <w:t xml:space="preserve"> </w:t>
      </w:r>
    </w:p>
    <w:p w:rsidR="002218AB" w:rsidRDefault="002218AB" w:rsidP="00D51CF3"/>
    <w:p w:rsidR="00796F2B" w:rsidRDefault="00D51CF3" w:rsidP="00D51CF3">
      <w:r>
        <w:t xml:space="preserve">On and </w:t>
      </w:r>
      <w:r w:rsidRPr="00926F52">
        <w:t>from 1 </w:t>
      </w:r>
      <w:r w:rsidR="009A0099">
        <w:t>September</w:t>
      </w:r>
      <w:r w:rsidR="009A0099" w:rsidRPr="00926F52">
        <w:t> </w:t>
      </w:r>
      <w:r w:rsidRPr="00926F52">
        <w:t>2015,</w:t>
      </w:r>
      <w:r>
        <w:t xml:space="preserve"> </w:t>
      </w:r>
      <w:r w:rsidR="009A0099">
        <w:t xml:space="preserve">growth hormone </w:t>
      </w:r>
      <w:r w:rsidR="00926F52">
        <w:t>pharmaceutical benefits will be available</w:t>
      </w:r>
      <w:r w:rsidR="002218AB">
        <w:t>,</w:t>
      </w:r>
      <w:r w:rsidR="00926F52">
        <w:t xml:space="preserve"> </w:t>
      </w:r>
      <w:r w:rsidR="002218AB">
        <w:t>like other pharmaceutical benefit</w:t>
      </w:r>
      <w:r w:rsidR="00B87A2B">
        <w:t>s</w:t>
      </w:r>
      <w:r w:rsidR="002218AB">
        <w:t xml:space="preserve">, </w:t>
      </w:r>
      <w:r w:rsidR="00926F52">
        <w:t xml:space="preserve">under the general PBS supply </w:t>
      </w:r>
      <w:r w:rsidR="00B87A2B">
        <w:lastRenderedPageBreak/>
        <w:t>arrangements</w:t>
      </w:r>
      <w:r w:rsidR="00926F52">
        <w:t xml:space="preserve">. </w:t>
      </w:r>
      <w:r w:rsidR="00282499">
        <w:t xml:space="preserve"> </w:t>
      </w:r>
      <w:r w:rsidR="00796F2B">
        <w:t>Amendment</w:t>
      </w:r>
      <w:r w:rsidR="00A011D3">
        <w:t>s</w:t>
      </w:r>
      <w:r w:rsidR="00796F2B">
        <w:t xml:space="preserve"> to the </w:t>
      </w:r>
      <w:r w:rsidR="00796F2B" w:rsidRPr="00823873">
        <w:rPr>
          <w:i/>
        </w:rPr>
        <w:t>National Health (Listing of Pharmaceutical Benefits) Instrument 2012 (</w:t>
      </w:r>
      <w:r w:rsidR="00282499">
        <w:t>PB 71 of </w:t>
      </w:r>
      <w:r w:rsidR="00796F2B" w:rsidRPr="00282499">
        <w:t>2012</w:t>
      </w:r>
      <w:r w:rsidR="00796F2B">
        <w:rPr>
          <w:i/>
        </w:rPr>
        <w:t xml:space="preserve">) </w:t>
      </w:r>
      <w:r w:rsidR="00796F2B">
        <w:t>will give effect to th</w:t>
      </w:r>
      <w:r w:rsidR="00A011D3">
        <w:t>e</w:t>
      </w:r>
      <w:r w:rsidR="00796F2B">
        <w:t>s</w:t>
      </w:r>
      <w:r w:rsidR="00A011D3">
        <w:t>e</w:t>
      </w:r>
      <w:r w:rsidR="00796F2B">
        <w:t xml:space="preserve"> listing change</w:t>
      </w:r>
      <w:r w:rsidR="00A011D3">
        <w:t>s</w:t>
      </w:r>
      <w:r w:rsidR="00796F2B">
        <w:t xml:space="preserve">.  </w:t>
      </w:r>
    </w:p>
    <w:p w:rsidR="00796F2B" w:rsidRDefault="00796F2B" w:rsidP="00D51CF3"/>
    <w:p w:rsidR="00D51CF3" w:rsidRDefault="00282499" w:rsidP="00D51CF3">
      <w:r>
        <w:t>On and from 1 </w:t>
      </w:r>
      <w:r w:rsidR="001F59A8">
        <w:t>September</w:t>
      </w:r>
      <w:r>
        <w:t> </w:t>
      </w:r>
      <w:r w:rsidR="00796F2B">
        <w:t>2015</w:t>
      </w:r>
      <w:r w:rsidR="00823873">
        <w:t>, a</w:t>
      </w:r>
      <w:r w:rsidR="001F59A8">
        <w:t>n authorised</w:t>
      </w:r>
      <w:r w:rsidR="00926F52">
        <w:t xml:space="preserve"> prescriber </w:t>
      </w:r>
      <w:r w:rsidR="00796F2B">
        <w:t xml:space="preserve">will be </w:t>
      </w:r>
      <w:r w:rsidR="00A011D3">
        <w:t>required</w:t>
      </w:r>
      <w:r w:rsidR="00796F2B">
        <w:t xml:space="preserve"> </w:t>
      </w:r>
      <w:r w:rsidR="00823873">
        <w:t xml:space="preserve">to </w:t>
      </w:r>
      <w:r w:rsidR="000622D5">
        <w:t xml:space="preserve">submit an application to the Department of Human Services – Medicare for authority </w:t>
      </w:r>
      <w:r w:rsidR="008E1B55">
        <w:t>to prescribe</w:t>
      </w:r>
      <w:r w:rsidR="00926F52">
        <w:t xml:space="preserve"> </w:t>
      </w:r>
      <w:r w:rsidR="003B10D2">
        <w:t>a</w:t>
      </w:r>
      <w:r w:rsidR="00A011D3">
        <w:t xml:space="preserve"> </w:t>
      </w:r>
      <w:r w:rsidR="001F59A8">
        <w:t>growth hormone</w:t>
      </w:r>
      <w:r w:rsidR="00C75836">
        <w:t xml:space="preserve"> </w:t>
      </w:r>
      <w:r w:rsidR="00926F52">
        <w:t>pharmaceutical benefit</w:t>
      </w:r>
      <w:r w:rsidR="008E1B55">
        <w:t>.</w:t>
      </w:r>
      <w:r w:rsidR="00796F2B">
        <w:t xml:space="preserve"> </w:t>
      </w:r>
      <w:r w:rsidR="00462840">
        <w:t xml:space="preserve"> </w:t>
      </w:r>
      <w:r w:rsidR="00B662C5">
        <w:t xml:space="preserve">Patients must </w:t>
      </w:r>
      <w:r w:rsidR="00796F2B">
        <w:t xml:space="preserve">meet the conditions for </w:t>
      </w:r>
      <w:r w:rsidR="00B662C5">
        <w:t xml:space="preserve">eligibility for that </w:t>
      </w:r>
      <w:r w:rsidR="00796F2B">
        <w:t>medicine under the PBS.</w:t>
      </w:r>
      <w:r w:rsidR="00823873">
        <w:t xml:space="preserve"> </w:t>
      </w:r>
      <w:r w:rsidR="00796F2B">
        <w:t xml:space="preserve"> </w:t>
      </w:r>
      <w:r w:rsidR="00B662C5">
        <w:t>If approval is granted by the Department of Human Services – Medicare, s</w:t>
      </w:r>
      <w:r w:rsidR="00926F52">
        <w:t>upply of th</w:t>
      </w:r>
      <w:r w:rsidR="003B10D2">
        <w:t>at</w:t>
      </w:r>
      <w:r w:rsidR="00926F52">
        <w:t xml:space="preserve"> pharmaceutical benefit will occur through approved suppliers</w:t>
      </w:r>
      <w:r w:rsidR="003B10D2">
        <w:t>, being community pharmacies</w:t>
      </w:r>
      <w:r>
        <w:t xml:space="preserve"> approved under section </w:t>
      </w:r>
      <w:r w:rsidR="00C75836">
        <w:t>90 of the Act</w:t>
      </w:r>
      <w:r w:rsidR="003B10D2">
        <w:t xml:space="preserve">, </w:t>
      </w:r>
      <w:r w:rsidR="00C75836">
        <w:t xml:space="preserve">hospital </w:t>
      </w:r>
      <w:r w:rsidR="003B10D2">
        <w:t xml:space="preserve">authorities </w:t>
      </w:r>
      <w:r>
        <w:t>approved under section </w:t>
      </w:r>
      <w:r w:rsidR="00C75836">
        <w:t xml:space="preserve">94 of the Act </w:t>
      </w:r>
      <w:r w:rsidR="00A011D3">
        <w:t xml:space="preserve">and </w:t>
      </w:r>
      <w:r w:rsidR="003B10D2">
        <w:t>medical practitioners</w:t>
      </w:r>
      <w:r>
        <w:t xml:space="preserve"> approved under section </w:t>
      </w:r>
      <w:r w:rsidR="00C75836">
        <w:t xml:space="preserve">92 of the Act.  These suppliers will </w:t>
      </w:r>
      <w:r w:rsidR="00823873">
        <w:t>then claim</w:t>
      </w:r>
      <w:r w:rsidR="00926F52">
        <w:t xml:space="preserve"> for reimbursement from the Commonwealth.</w:t>
      </w:r>
    </w:p>
    <w:p w:rsidR="00926F52" w:rsidRDefault="00926F52" w:rsidP="00D51CF3"/>
    <w:p w:rsidR="00926F52" w:rsidRDefault="00282499" w:rsidP="00D51CF3">
      <w:r>
        <w:t>On and f</w:t>
      </w:r>
      <w:r w:rsidR="00926F52">
        <w:t xml:space="preserve">rom </w:t>
      </w:r>
      <w:r>
        <w:t>1 </w:t>
      </w:r>
      <w:r w:rsidR="001319DA">
        <w:t>September </w:t>
      </w:r>
      <w:r w:rsidR="00FE4864">
        <w:t>2015</w:t>
      </w:r>
      <w:r w:rsidR="00597CA9">
        <w:t>,</w:t>
      </w:r>
      <w:r w:rsidR="00FE4864">
        <w:t xml:space="preserve"> </w:t>
      </w:r>
      <w:r w:rsidR="00C639A8">
        <w:t xml:space="preserve">most </w:t>
      </w:r>
      <w:r w:rsidR="00FE4864">
        <w:t>patients prescribed a</w:t>
      </w:r>
      <w:r w:rsidR="00C75836">
        <w:t xml:space="preserve"> </w:t>
      </w:r>
      <w:r w:rsidR="001319DA">
        <w:t xml:space="preserve">growth hormone </w:t>
      </w:r>
      <w:r w:rsidR="00FE4864">
        <w:t>pharmaceutical benefit will be required to pay the usual co-payment for the pharmaceutical benefit.</w:t>
      </w:r>
      <w:r>
        <w:t xml:space="preserve"> </w:t>
      </w:r>
      <w:r w:rsidR="00FE4864">
        <w:t xml:space="preserve"> Standard patient eligibility criteria and entitlement rules will also apply</w:t>
      </w:r>
      <w:r w:rsidR="00796F2B">
        <w:t>, enabling patients to use the Safety Net and patient refund arrangements</w:t>
      </w:r>
      <w:r w:rsidR="00FE4864">
        <w:t>.</w:t>
      </w:r>
      <w:r w:rsidR="00823873">
        <w:t xml:space="preserve"> </w:t>
      </w:r>
      <w:r w:rsidR="00FE4864">
        <w:t xml:space="preserve"> </w:t>
      </w:r>
    </w:p>
    <w:p w:rsidR="00D51CF3" w:rsidRDefault="00D51CF3" w:rsidP="00D51CF3"/>
    <w:p w:rsidR="00A011D3" w:rsidRDefault="00B662C5" w:rsidP="00D51CF3">
      <w:r>
        <w:t xml:space="preserve">While patient conditions for eligibility will be contained within the </w:t>
      </w:r>
      <w:r w:rsidRPr="00823873">
        <w:rPr>
          <w:i/>
        </w:rPr>
        <w:t>National Health (Listing of Pharmaceutical Benefits) Instrument 2012 (</w:t>
      </w:r>
      <w:r>
        <w:t>PB 71 of </w:t>
      </w:r>
      <w:r w:rsidRPr="00282499">
        <w:t>2012</w:t>
      </w:r>
      <w:r>
        <w:rPr>
          <w:i/>
        </w:rPr>
        <w:t xml:space="preserve">), </w:t>
      </w:r>
      <w:r w:rsidRPr="008D70AA">
        <w:t>a</w:t>
      </w:r>
      <w:r w:rsidR="00A011D3" w:rsidRPr="00A011D3">
        <w:t xml:space="preserve"> section 100 Special Arrangement is still needed</w:t>
      </w:r>
      <w:r w:rsidR="005C5303">
        <w:t xml:space="preserve"> for the supply of these pharmaceutical benefits</w:t>
      </w:r>
      <w:r w:rsidR="00A011D3" w:rsidRPr="00A011D3">
        <w:t xml:space="preserve"> because</w:t>
      </w:r>
      <w:r>
        <w:t xml:space="preserve"> of </w:t>
      </w:r>
      <w:r w:rsidR="00A011D3" w:rsidRPr="00A011D3">
        <w:t>the</w:t>
      </w:r>
      <w:r>
        <w:t xml:space="preserve"> complexity of dosing arrangements</w:t>
      </w:r>
      <w:r w:rsidR="00C2575D">
        <w:t xml:space="preserve">, and the </w:t>
      </w:r>
      <w:r w:rsidR="008D70AA">
        <w:t xml:space="preserve">introduction of </w:t>
      </w:r>
      <w:r w:rsidR="00C2575D">
        <w:t>pharmacist remuneration</w:t>
      </w:r>
      <w:r w:rsidR="00A011D3" w:rsidRPr="00A011D3">
        <w:t xml:space="preserve"> </w:t>
      </w:r>
      <w:r w:rsidR="008D70AA">
        <w:t xml:space="preserve">which </w:t>
      </w:r>
      <w:r w:rsidR="00A011D3" w:rsidRPr="00A011D3">
        <w:t xml:space="preserve">will not be the same as for </w:t>
      </w:r>
      <w:r w:rsidR="00C2575D">
        <w:t xml:space="preserve">PBS </w:t>
      </w:r>
      <w:r w:rsidR="00A011D3" w:rsidRPr="00A011D3">
        <w:t xml:space="preserve">general supply. </w:t>
      </w:r>
      <w:r w:rsidR="00A011D3">
        <w:t xml:space="preserve"> </w:t>
      </w:r>
      <w:r w:rsidR="008D70AA">
        <w:t xml:space="preserve">The pharmacist remuneration </w:t>
      </w:r>
      <w:r w:rsidR="00A011D3">
        <w:t xml:space="preserve">will </w:t>
      </w:r>
      <w:r w:rsidR="008D70AA">
        <w:t xml:space="preserve">be the same </w:t>
      </w:r>
      <w:r w:rsidR="00A011D3">
        <w:t xml:space="preserve">amounts paid under the </w:t>
      </w:r>
      <w:r w:rsidR="00A011D3" w:rsidRPr="00EE61C7">
        <w:rPr>
          <w:i/>
        </w:rPr>
        <w:t xml:space="preserve">National Health (Highly </w:t>
      </w:r>
      <w:r w:rsidR="00224399">
        <w:rPr>
          <w:i/>
        </w:rPr>
        <w:t>s</w:t>
      </w:r>
      <w:r w:rsidR="00A011D3" w:rsidRPr="00EE61C7">
        <w:rPr>
          <w:i/>
        </w:rPr>
        <w:t xml:space="preserve">pecialised </w:t>
      </w:r>
      <w:r w:rsidR="00224399">
        <w:rPr>
          <w:i/>
        </w:rPr>
        <w:t>d</w:t>
      </w:r>
      <w:r w:rsidR="00A011D3" w:rsidRPr="00EE61C7">
        <w:rPr>
          <w:i/>
        </w:rPr>
        <w:t xml:space="preserve">rugs </w:t>
      </w:r>
      <w:r w:rsidR="00224399">
        <w:rPr>
          <w:i/>
        </w:rPr>
        <w:t>p</w:t>
      </w:r>
      <w:r w:rsidR="00A011D3" w:rsidRPr="00EE61C7">
        <w:rPr>
          <w:i/>
        </w:rPr>
        <w:t>rogram) Special Arrangement 201</w:t>
      </w:r>
      <w:r w:rsidR="002D3B98">
        <w:rPr>
          <w:i/>
        </w:rPr>
        <w:t>0</w:t>
      </w:r>
      <w:r w:rsidR="00A011D3">
        <w:t xml:space="preserve"> (PB </w:t>
      </w:r>
      <w:r w:rsidR="002D3B98">
        <w:t xml:space="preserve">116 </w:t>
      </w:r>
      <w:r w:rsidR="00A011D3">
        <w:t xml:space="preserve">of </w:t>
      </w:r>
      <w:r w:rsidR="002D3B98">
        <w:t>2010</w:t>
      </w:r>
      <w:r w:rsidR="00A011D3">
        <w:t xml:space="preserve">).  </w:t>
      </w:r>
    </w:p>
    <w:p w:rsidR="00A011D3" w:rsidRDefault="00A011D3" w:rsidP="00D51CF3"/>
    <w:p w:rsidR="00BA189D" w:rsidRDefault="00BA189D" w:rsidP="00D51CF3">
      <w:pPr>
        <w:rPr>
          <w:i/>
        </w:rPr>
      </w:pPr>
      <w:r>
        <w:t xml:space="preserve">This instrument also inserts a new brand of </w:t>
      </w:r>
      <w:r w:rsidR="006F7D35">
        <w:t xml:space="preserve">growth hormone into </w:t>
      </w:r>
      <w:r w:rsidR="00DC13AE">
        <w:t>S</w:t>
      </w:r>
      <w:r w:rsidR="006F7D35">
        <w:t xml:space="preserve">chedule 1 of the </w:t>
      </w:r>
      <w:r w:rsidR="006F7D35">
        <w:rPr>
          <w:i/>
        </w:rPr>
        <w:t>National Health (Growth Hormone Program) Special Arrangement 2015</w:t>
      </w:r>
      <w:r w:rsidR="00E30C70">
        <w:rPr>
          <w:i/>
        </w:rPr>
        <w:t>.</w:t>
      </w:r>
    </w:p>
    <w:p w:rsidR="006F7D35" w:rsidRDefault="006F7D35" w:rsidP="00D51CF3"/>
    <w:p w:rsidR="00D51CF3" w:rsidRDefault="00D51CF3" w:rsidP="00D51CF3">
      <w:pPr>
        <w:rPr>
          <w:b/>
        </w:rPr>
      </w:pPr>
      <w:r>
        <w:rPr>
          <w:b/>
        </w:rPr>
        <w:t>Consultation</w:t>
      </w:r>
    </w:p>
    <w:p w:rsidR="007F75CC" w:rsidRDefault="007F75CC" w:rsidP="007F75CC">
      <w:pPr>
        <w:spacing w:before="120"/>
      </w:pPr>
      <w:r>
        <w:t>The amendments made by this Instrument accord with recommendations made by the Pharmaceutical Benefits Advisory Committee (PBAC)</w:t>
      </w:r>
      <w:r w:rsidR="00643742">
        <w:t>,</w:t>
      </w:r>
      <w:r>
        <w:t xml:space="preserve"> a</w:t>
      </w:r>
      <w:r w:rsidR="00643742">
        <w:t>s</w:t>
      </w:r>
      <w:r>
        <w:t xml:space="preserve"> agree</w:t>
      </w:r>
      <w:r w:rsidR="00643742">
        <w:t>d to</w:t>
      </w:r>
      <w:r>
        <w:t xml:space="preserve"> by </w:t>
      </w:r>
      <w:r w:rsidR="001A2E82">
        <w:t>Government</w:t>
      </w:r>
      <w:r>
        <w:t xml:space="preserve"> to align </w:t>
      </w:r>
      <w:r w:rsidR="00656B87">
        <w:t xml:space="preserve">the process for prescribing and dispensing of </w:t>
      </w:r>
      <w:r w:rsidR="008B0211">
        <w:t xml:space="preserve">growth hormone </w:t>
      </w:r>
      <w:r w:rsidR="00656B87">
        <w:t xml:space="preserve">pharmaceutical benefits </w:t>
      </w:r>
      <w:r w:rsidR="00643742">
        <w:t xml:space="preserve">more closely </w:t>
      </w:r>
      <w:r w:rsidR="00656B87">
        <w:t>to that of other PBS medicines.</w:t>
      </w:r>
      <w:r>
        <w:t xml:space="preserve"> </w:t>
      </w:r>
    </w:p>
    <w:p w:rsidR="007F75CC" w:rsidRDefault="007F75CC" w:rsidP="007F75CC">
      <w:pPr>
        <w:spacing w:before="120"/>
      </w:pPr>
      <w:r>
        <w:t xml:space="preserve">An ongoing and formal process of consultation in relation to matters relevant to the Special Arrangement includes the involvement of interested parties through the membership of the PBAC.  </w:t>
      </w:r>
    </w:p>
    <w:p w:rsidR="001A2E82" w:rsidRDefault="001A2E82" w:rsidP="007F75CC">
      <w:pPr>
        <w:autoSpaceDE w:val="0"/>
        <w:autoSpaceDN w:val="0"/>
        <w:adjustRightInd w:val="0"/>
      </w:pPr>
    </w:p>
    <w:p w:rsidR="007F75CC" w:rsidRDefault="00656B87" w:rsidP="007F75CC">
      <w:pPr>
        <w:autoSpaceDE w:val="0"/>
        <w:autoSpaceDN w:val="0"/>
        <w:adjustRightInd w:val="0"/>
        <w:rPr>
          <w:color w:val="000000"/>
          <w:lang w:val="en-US" w:eastAsia="en-US"/>
        </w:rPr>
      </w:pPr>
      <w:r>
        <w:t>C</w:t>
      </w:r>
      <w:r w:rsidR="007F75CC">
        <w:t>onsultations have also occurred with the</w:t>
      </w:r>
      <w:r w:rsidR="008B0211">
        <w:t xml:space="preserve"> GHAC</w:t>
      </w:r>
      <w:r w:rsidR="007F75CC">
        <w:t>, D</w:t>
      </w:r>
      <w:r w:rsidR="00643742">
        <w:t xml:space="preserve">epartment of </w:t>
      </w:r>
      <w:r w:rsidR="007F75CC">
        <w:t>H</w:t>
      </w:r>
      <w:r w:rsidR="00643742">
        <w:t xml:space="preserve">uman </w:t>
      </w:r>
      <w:r w:rsidR="007F75CC">
        <w:t>S</w:t>
      </w:r>
      <w:r w:rsidR="00643742">
        <w:t xml:space="preserve">ervices </w:t>
      </w:r>
      <w:r w:rsidR="007F75CC">
        <w:t>-Medi</w:t>
      </w:r>
      <w:r w:rsidR="001A2E82">
        <w:t>c</w:t>
      </w:r>
      <w:r w:rsidR="007F75CC">
        <w:t>are, Medical Benefits Division</w:t>
      </w:r>
      <w:r w:rsidR="008B0211">
        <w:t>,</w:t>
      </w:r>
      <w:r w:rsidR="007F75CC">
        <w:t xml:space="preserve"> Pharmaceutical companies</w:t>
      </w:r>
      <w:r w:rsidR="008B0211">
        <w:t xml:space="preserve"> and clinicians</w:t>
      </w:r>
      <w:r w:rsidR="007F75CC">
        <w:t xml:space="preserve"> in relation to these changes. </w:t>
      </w:r>
    </w:p>
    <w:p w:rsidR="008B4F73" w:rsidRPr="00751011" w:rsidRDefault="008B4F73" w:rsidP="00D51CF3"/>
    <w:p w:rsidR="00D51CF3" w:rsidRPr="00751011" w:rsidRDefault="00D51CF3" w:rsidP="00D51CF3">
      <w:pPr>
        <w:spacing w:after="200"/>
      </w:pPr>
      <w:r>
        <w:t xml:space="preserve">This instrument commences on </w:t>
      </w:r>
      <w:r w:rsidRPr="00926F52">
        <w:t>1</w:t>
      </w:r>
      <w:r w:rsidR="00282499">
        <w:t> </w:t>
      </w:r>
      <w:r w:rsidR="008B0211">
        <w:t>September</w:t>
      </w:r>
      <w:r w:rsidRPr="00926F52">
        <w:t> 2015.</w:t>
      </w:r>
      <w:r>
        <w:t xml:space="preserve">  </w:t>
      </w:r>
    </w:p>
    <w:p w:rsidR="00B8039F" w:rsidRPr="00201C4C" w:rsidRDefault="00B8039F" w:rsidP="00B8039F">
      <w:pPr>
        <w:tabs>
          <w:tab w:val="num" w:pos="1418"/>
        </w:tabs>
        <w:spacing w:after="200"/>
        <w:ind w:right="543"/>
      </w:pPr>
      <w:r>
        <w:t xml:space="preserve">Details of the instrument are set out in the </w:t>
      </w:r>
      <w:r w:rsidRPr="008E3D5A">
        <w:rPr>
          <w:u w:val="single"/>
        </w:rPr>
        <w:t>Attachment</w:t>
      </w:r>
      <w:r>
        <w:t>.</w:t>
      </w:r>
    </w:p>
    <w:p w:rsidR="00D51CF3" w:rsidRDefault="00D51CF3" w:rsidP="00D51CF3">
      <w:pPr>
        <w:spacing w:after="200"/>
        <w:rPr>
          <w:lang w:val="en-US"/>
        </w:rPr>
      </w:pPr>
      <w:r>
        <w:rPr>
          <w:lang w:val="en-US"/>
        </w:rPr>
        <w:t xml:space="preserve">This instrument </w:t>
      </w:r>
      <w:r w:rsidRPr="00222443">
        <w:rPr>
          <w:lang w:val="en-US"/>
        </w:rPr>
        <w:t>is a legislative instrument for the purposes of the</w:t>
      </w:r>
      <w:r>
        <w:rPr>
          <w:i/>
          <w:lang w:val="en-US"/>
        </w:rPr>
        <w:t xml:space="preserve"> Legislative Instruments Act </w:t>
      </w:r>
      <w:r w:rsidRPr="00222443">
        <w:rPr>
          <w:i/>
          <w:lang w:val="en-US"/>
        </w:rPr>
        <w:t>2003</w:t>
      </w:r>
      <w:r w:rsidRPr="00222443">
        <w:rPr>
          <w:lang w:val="en-US"/>
        </w:rPr>
        <w:t>.</w:t>
      </w:r>
      <w:r>
        <w:rPr>
          <w:lang w:val="en-US"/>
        </w:rPr>
        <w:t xml:space="preserve">  </w:t>
      </w:r>
    </w:p>
    <w:p w:rsidR="00B8039F" w:rsidRDefault="00B8039F">
      <w:pPr>
        <w:rPr>
          <w:b/>
          <w:u w:val="single"/>
        </w:rPr>
      </w:pPr>
      <w:r>
        <w:rPr>
          <w:b/>
          <w:u w:val="single"/>
        </w:rPr>
        <w:br w:type="page"/>
      </w:r>
    </w:p>
    <w:p w:rsidR="00B8039F" w:rsidRPr="00B8039F" w:rsidRDefault="00B8039F" w:rsidP="00B8039F">
      <w:pPr>
        <w:spacing w:after="200"/>
        <w:jc w:val="right"/>
        <w:rPr>
          <w:b/>
          <w:u w:val="single"/>
        </w:rPr>
      </w:pPr>
      <w:r w:rsidRPr="00B8039F">
        <w:rPr>
          <w:b/>
          <w:u w:val="single"/>
        </w:rPr>
        <w:lastRenderedPageBreak/>
        <w:t>ATTACHMENT</w:t>
      </w:r>
    </w:p>
    <w:p w:rsidR="00A43C36" w:rsidRDefault="00B8039F" w:rsidP="00A43C36">
      <w:pPr>
        <w:jc w:val="center"/>
        <w:rPr>
          <w:b/>
          <w:i/>
          <w:u w:val="single"/>
        </w:rPr>
      </w:pPr>
      <w:r w:rsidRPr="00B8039F">
        <w:rPr>
          <w:b/>
          <w:u w:val="single"/>
        </w:rPr>
        <w:t xml:space="preserve">Details of the </w:t>
      </w:r>
      <w:r w:rsidRPr="00B8039F">
        <w:rPr>
          <w:b/>
          <w:i/>
          <w:u w:val="single"/>
        </w:rPr>
        <w:t>National Health (</w:t>
      </w:r>
      <w:r w:rsidR="00077411">
        <w:rPr>
          <w:b/>
          <w:i/>
          <w:u w:val="single"/>
        </w:rPr>
        <w:t>Growth Hormone</w:t>
      </w:r>
      <w:r>
        <w:rPr>
          <w:b/>
          <w:i/>
          <w:u w:val="single"/>
        </w:rPr>
        <w:t xml:space="preserve"> P</w:t>
      </w:r>
      <w:r w:rsidRPr="00B8039F">
        <w:rPr>
          <w:b/>
          <w:i/>
          <w:u w:val="single"/>
        </w:rPr>
        <w:t>rogram)</w:t>
      </w:r>
    </w:p>
    <w:p w:rsidR="00B8039F" w:rsidRPr="00B8039F" w:rsidRDefault="00B8039F" w:rsidP="00A43C36">
      <w:pPr>
        <w:jc w:val="center"/>
        <w:rPr>
          <w:b/>
          <w:i/>
          <w:u w:val="single"/>
        </w:rPr>
      </w:pPr>
      <w:r>
        <w:rPr>
          <w:b/>
          <w:i/>
          <w:u w:val="single"/>
        </w:rPr>
        <w:t xml:space="preserve"> Special</w:t>
      </w:r>
      <w:r w:rsidRPr="00B8039F">
        <w:rPr>
          <w:b/>
          <w:i/>
          <w:u w:val="single"/>
        </w:rPr>
        <w:t xml:space="preserve"> Arrangement 2015</w:t>
      </w:r>
    </w:p>
    <w:p w:rsidR="00B8039F" w:rsidRDefault="00B8039F" w:rsidP="00B8039F">
      <w:pPr>
        <w:spacing w:after="200"/>
        <w:rPr>
          <w:b/>
        </w:rPr>
      </w:pPr>
    </w:p>
    <w:p w:rsidR="00B8039F" w:rsidRDefault="00B8039F" w:rsidP="00E82649">
      <w:pPr>
        <w:rPr>
          <w:b/>
          <w:sz w:val="28"/>
          <w:szCs w:val="28"/>
        </w:rPr>
      </w:pPr>
      <w:r w:rsidRPr="003C5CAB">
        <w:rPr>
          <w:b/>
          <w:sz w:val="28"/>
          <w:szCs w:val="28"/>
        </w:rPr>
        <w:t xml:space="preserve">Part 1 </w:t>
      </w:r>
      <w:r w:rsidR="00E82649">
        <w:rPr>
          <w:b/>
          <w:sz w:val="28"/>
          <w:szCs w:val="28"/>
        </w:rPr>
        <w:t>–</w:t>
      </w:r>
      <w:r w:rsidRPr="003C5CAB">
        <w:rPr>
          <w:b/>
          <w:sz w:val="28"/>
          <w:szCs w:val="28"/>
        </w:rPr>
        <w:t xml:space="preserve"> Preliminary</w:t>
      </w:r>
    </w:p>
    <w:p w:rsidR="00E82649" w:rsidRPr="003C5CAB" w:rsidRDefault="00E82649" w:rsidP="00E82649">
      <w:pPr>
        <w:rPr>
          <w:b/>
          <w:sz w:val="28"/>
          <w:szCs w:val="28"/>
        </w:rPr>
      </w:pPr>
    </w:p>
    <w:p w:rsidR="00B8039F" w:rsidRDefault="00B8039F" w:rsidP="00E82649">
      <w:r w:rsidRPr="00B8039F">
        <w:rPr>
          <w:b/>
        </w:rPr>
        <w:t>Section 1</w:t>
      </w:r>
      <w:r w:rsidRPr="00B8039F">
        <w:rPr>
          <w:b/>
        </w:rPr>
        <w:tab/>
        <w:t>Name of Instrument</w:t>
      </w:r>
      <w:r w:rsidRPr="00B8039F">
        <w:rPr>
          <w:b/>
        </w:rPr>
        <w:br/>
      </w:r>
      <w:r w:rsidRPr="00B8039F">
        <w:t xml:space="preserve">This section provides that the name of this instrument is the </w:t>
      </w:r>
      <w:r w:rsidRPr="00B8039F">
        <w:rPr>
          <w:i/>
        </w:rPr>
        <w:t>National Health (</w:t>
      </w:r>
      <w:r w:rsidR="00077411">
        <w:rPr>
          <w:i/>
        </w:rPr>
        <w:t>Growth Hormone</w:t>
      </w:r>
      <w:r>
        <w:rPr>
          <w:i/>
        </w:rPr>
        <w:t xml:space="preserve"> P</w:t>
      </w:r>
      <w:r w:rsidRPr="00B8039F">
        <w:rPr>
          <w:i/>
        </w:rPr>
        <w:t xml:space="preserve">rogram) Special Arrangement 2015.  </w:t>
      </w:r>
      <w:r w:rsidRPr="00B8039F">
        <w:t xml:space="preserve">It can also be citied as </w:t>
      </w:r>
      <w:r w:rsidRPr="00163874">
        <w:t>PB </w:t>
      </w:r>
      <w:r w:rsidR="00163874" w:rsidRPr="00163874">
        <w:t>85</w:t>
      </w:r>
      <w:r w:rsidR="00077411" w:rsidRPr="00163874">
        <w:t> </w:t>
      </w:r>
      <w:r w:rsidRPr="00163874">
        <w:t>of 2015.</w:t>
      </w:r>
    </w:p>
    <w:p w:rsidR="00E82649" w:rsidRPr="00B8039F" w:rsidRDefault="00E82649" w:rsidP="00E82649">
      <w:pPr>
        <w:rPr>
          <w:b/>
        </w:rPr>
      </w:pPr>
    </w:p>
    <w:p w:rsidR="00B8039F" w:rsidRDefault="00B8039F" w:rsidP="00E82649">
      <w:r w:rsidRPr="00B8039F">
        <w:rPr>
          <w:b/>
        </w:rPr>
        <w:t>Section 2</w:t>
      </w:r>
      <w:r w:rsidRPr="00B8039F">
        <w:rPr>
          <w:b/>
        </w:rPr>
        <w:tab/>
        <w:t>Commencement</w:t>
      </w:r>
      <w:r w:rsidRPr="00B8039F">
        <w:rPr>
          <w:b/>
        </w:rPr>
        <w:br/>
      </w:r>
      <w:r w:rsidRPr="00B8039F">
        <w:t>This section provides that this instrument commences on 1 </w:t>
      </w:r>
      <w:r w:rsidR="00077411">
        <w:t>September</w:t>
      </w:r>
      <w:r w:rsidR="00077411" w:rsidRPr="00B8039F">
        <w:t> </w:t>
      </w:r>
      <w:r w:rsidRPr="00B8039F">
        <w:t>2015.</w:t>
      </w:r>
    </w:p>
    <w:p w:rsidR="00E82649" w:rsidRPr="00B8039F" w:rsidRDefault="00E82649" w:rsidP="00E82649">
      <w:pPr>
        <w:rPr>
          <w:b/>
        </w:rPr>
      </w:pPr>
    </w:p>
    <w:p w:rsidR="00B8039F" w:rsidRDefault="00B8039F" w:rsidP="00E82649">
      <w:r w:rsidRPr="00B8039F">
        <w:rPr>
          <w:b/>
        </w:rPr>
        <w:t>Section 3</w:t>
      </w:r>
      <w:r w:rsidRPr="00B8039F">
        <w:rPr>
          <w:b/>
        </w:rPr>
        <w:tab/>
      </w:r>
      <w:r>
        <w:rPr>
          <w:b/>
        </w:rPr>
        <w:t>Revocation</w:t>
      </w:r>
      <w:r w:rsidRPr="00B8039F">
        <w:rPr>
          <w:b/>
        </w:rPr>
        <w:br/>
      </w:r>
      <w:r w:rsidRPr="00B8039F">
        <w:t xml:space="preserve">This section provides that </w:t>
      </w:r>
      <w:r>
        <w:t>this instrument</w:t>
      </w:r>
      <w:r w:rsidRPr="00B8039F">
        <w:t xml:space="preserve"> </w:t>
      </w:r>
      <w:r>
        <w:t>revokes</w:t>
      </w:r>
      <w:r w:rsidRPr="00B8039F">
        <w:t xml:space="preserve"> the</w:t>
      </w:r>
      <w:r w:rsidRPr="00B8039F">
        <w:rPr>
          <w:b/>
        </w:rPr>
        <w:t xml:space="preserve"> </w:t>
      </w:r>
      <w:r w:rsidRPr="00B8039F">
        <w:rPr>
          <w:i/>
        </w:rPr>
        <w:t>National Health (</w:t>
      </w:r>
      <w:r w:rsidR="00B51D34">
        <w:rPr>
          <w:i/>
        </w:rPr>
        <w:t xml:space="preserve">Growth Hormone </w:t>
      </w:r>
      <w:r>
        <w:rPr>
          <w:i/>
        </w:rPr>
        <w:t>P</w:t>
      </w:r>
      <w:r w:rsidRPr="00B8039F">
        <w:rPr>
          <w:i/>
        </w:rPr>
        <w:t>rogram) Special Arrangement 201</w:t>
      </w:r>
      <w:r>
        <w:rPr>
          <w:i/>
        </w:rPr>
        <w:t>1</w:t>
      </w:r>
      <w:r w:rsidRPr="00B8039F">
        <w:rPr>
          <w:i/>
        </w:rPr>
        <w:t xml:space="preserve"> </w:t>
      </w:r>
      <w:r w:rsidRPr="00B8039F">
        <w:t>(PB </w:t>
      </w:r>
      <w:r w:rsidR="00B51D34">
        <w:t>88</w:t>
      </w:r>
      <w:r>
        <w:t> of 2011</w:t>
      </w:r>
      <w:r w:rsidRPr="00B8039F">
        <w:t>)</w:t>
      </w:r>
      <w:r w:rsidR="00AD5E0F">
        <w:t xml:space="preserve"> </w:t>
      </w:r>
    </w:p>
    <w:p w:rsidR="00E82649" w:rsidRPr="00B8039F" w:rsidRDefault="00E82649" w:rsidP="00E82649">
      <w:pPr>
        <w:rPr>
          <w:b/>
        </w:rPr>
      </w:pPr>
    </w:p>
    <w:p w:rsidR="00B8039F" w:rsidRPr="00B8039F" w:rsidRDefault="00B8039F" w:rsidP="00E82649">
      <w:pPr>
        <w:rPr>
          <w:b/>
        </w:rPr>
      </w:pPr>
      <w:r w:rsidRPr="00B8039F">
        <w:rPr>
          <w:b/>
        </w:rPr>
        <w:t>Section</w:t>
      </w:r>
      <w:r>
        <w:rPr>
          <w:b/>
        </w:rPr>
        <w:t xml:space="preserve"> 4</w:t>
      </w:r>
      <w:r>
        <w:rPr>
          <w:b/>
        </w:rPr>
        <w:tab/>
        <w:t>Definitions</w:t>
      </w:r>
    </w:p>
    <w:p w:rsidR="00B8039F" w:rsidRDefault="00B8039F" w:rsidP="00E82649">
      <w:r>
        <w:t xml:space="preserve">A number of </w:t>
      </w:r>
      <w:r w:rsidR="00C11890">
        <w:t xml:space="preserve">terms </w:t>
      </w:r>
      <w:r>
        <w:t xml:space="preserve">used in the </w:t>
      </w:r>
      <w:r w:rsidRPr="00B8039F">
        <w:t>Special Arrangement</w:t>
      </w:r>
      <w:r>
        <w:t xml:space="preserve"> are defined in section 4</w:t>
      </w:r>
      <w:r w:rsidRPr="00B8039F">
        <w:t>.</w:t>
      </w:r>
    </w:p>
    <w:p w:rsidR="00464BF0" w:rsidRDefault="00464BF0" w:rsidP="00E82649">
      <w:pPr>
        <w:rPr>
          <w:b/>
          <w:sz w:val="28"/>
          <w:szCs w:val="28"/>
        </w:rPr>
      </w:pPr>
    </w:p>
    <w:p w:rsidR="00B8039F" w:rsidRDefault="00B8039F" w:rsidP="00E82649">
      <w:pPr>
        <w:rPr>
          <w:b/>
          <w:sz w:val="28"/>
          <w:szCs w:val="28"/>
        </w:rPr>
      </w:pPr>
      <w:r w:rsidRPr="003C5CAB">
        <w:rPr>
          <w:b/>
          <w:sz w:val="28"/>
          <w:szCs w:val="28"/>
        </w:rPr>
        <w:t xml:space="preserve">Part 2 – Pharmaceutical benefits covered by this Special Arrangement </w:t>
      </w:r>
    </w:p>
    <w:p w:rsidR="00FA24CC" w:rsidRDefault="00FA24CC" w:rsidP="00E82649">
      <w:pPr>
        <w:rPr>
          <w:b/>
          <w:sz w:val="28"/>
          <w:szCs w:val="28"/>
        </w:rPr>
      </w:pPr>
    </w:p>
    <w:p w:rsidR="00FA24CC" w:rsidRDefault="00FA24CC" w:rsidP="00E82649">
      <w:pPr>
        <w:ind w:left="1560" w:hanging="1560"/>
        <w:rPr>
          <w:b/>
          <w:i/>
          <w:iCs/>
        </w:rPr>
      </w:pPr>
      <w:r>
        <w:rPr>
          <w:b/>
          <w:i/>
          <w:iCs/>
        </w:rPr>
        <w:t>Division 1</w:t>
      </w:r>
      <w:r>
        <w:rPr>
          <w:b/>
          <w:i/>
          <w:iCs/>
        </w:rPr>
        <w:tab/>
      </w:r>
      <w:r w:rsidRPr="00615C1E">
        <w:rPr>
          <w:b/>
          <w:i/>
          <w:iCs/>
        </w:rPr>
        <w:t xml:space="preserve"> </w:t>
      </w:r>
      <w:r>
        <w:rPr>
          <w:b/>
          <w:i/>
          <w:iCs/>
        </w:rPr>
        <w:t>General</w:t>
      </w:r>
    </w:p>
    <w:p w:rsidR="00FA24CC" w:rsidRPr="003C5CAB" w:rsidRDefault="00FA24CC" w:rsidP="00E82649">
      <w:pPr>
        <w:rPr>
          <w:b/>
          <w:sz w:val="28"/>
          <w:szCs w:val="28"/>
        </w:rPr>
      </w:pPr>
    </w:p>
    <w:p w:rsidR="00B8039F" w:rsidRPr="00B8039F" w:rsidRDefault="00B8039F" w:rsidP="00E82649">
      <w:r w:rsidRPr="00B8039F">
        <w:rPr>
          <w:b/>
          <w:bCs/>
        </w:rPr>
        <w:t>Section 5</w:t>
      </w:r>
      <w:r w:rsidR="003C5CAB" w:rsidRPr="00B8039F">
        <w:rPr>
          <w:b/>
          <w:bCs/>
        </w:rPr>
        <w:t> </w:t>
      </w:r>
      <w:r w:rsidR="003C5CAB">
        <w:rPr>
          <w:b/>
          <w:bCs/>
        </w:rPr>
        <w:t xml:space="preserve">  </w:t>
      </w:r>
      <w:r w:rsidR="003C5CAB" w:rsidRPr="00B8039F">
        <w:rPr>
          <w:b/>
          <w:bCs/>
        </w:rPr>
        <w:t>Pharmaceutical</w:t>
      </w:r>
      <w:r w:rsidR="00107209">
        <w:rPr>
          <w:b/>
        </w:rPr>
        <w:t xml:space="preserve"> benefits covered by this Special Arrangement</w:t>
      </w:r>
    </w:p>
    <w:p w:rsidR="00107209" w:rsidRDefault="00107209" w:rsidP="00E82649">
      <w:r>
        <w:t xml:space="preserve">This section provides for the pharmaceutical benefits that are covered by this Arrangement.  They are the pharmaceutical benefits set out in Schedule </w:t>
      </w:r>
      <w:r w:rsidR="0010174C">
        <w:t>1</w:t>
      </w:r>
      <w:r>
        <w:t xml:space="preserve"> to the Arrangement. </w:t>
      </w:r>
      <w:r w:rsidR="003C5CAB">
        <w:t xml:space="preserve"> Each pharmaceutical benefit is a brand of a listed drug in the form and with the manner of administration set out in Schedule </w:t>
      </w:r>
      <w:r w:rsidR="0010174C">
        <w:t>1</w:t>
      </w:r>
      <w:r w:rsidR="003C5CAB">
        <w:t xml:space="preserve">. </w:t>
      </w:r>
    </w:p>
    <w:p w:rsidR="00107209" w:rsidRDefault="00107209" w:rsidP="00E82649"/>
    <w:p w:rsidR="00B8039F" w:rsidRPr="00B8039F" w:rsidRDefault="00B8039F" w:rsidP="00E82649">
      <w:r w:rsidRPr="00B8039F">
        <w:rPr>
          <w:b/>
          <w:bCs/>
        </w:rPr>
        <w:t xml:space="preserve">Section 6    </w:t>
      </w:r>
      <w:r w:rsidR="00107209">
        <w:rPr>
          <w:b/>
          <w:bCs/>
        </w:rPr>
        <w:t>Application of Part VII of the Act</w:t>
      </w:r>
    </w:p>
    <w:p w:rsidR="003C5CAB" w:rsidRDefault="003C5CAB" w:rsidP="00E82649">
      <w:r w:rsidRPr="003C5CAB">
        <w:t>Subsection 100(3) of the Act provides that Part VII of the Act, and regulations or other instruments made for the purposes of Part VII, have effect subject to a special arrangement made under subsection 100(1).</w:t>
      </w:r>
    </w:p>
    <w:p w:rsidR="003C5CAB" w:rsidRPr="003C5CAB" w:rsidRDefault="003C5CAB" w:rsidP="00E82649"/>
    <w:p w:rsidR="003C5CAB" w:rsidRDefault="003C5CAB" w:rsidP="00E82649">
      <w:r w:rsidRPr="003C5CAB">
        <w:t xml:space="preserve">Subsection 6(1) provides that the pharmaceutical benefits supplied under this Arrangement are supplied under Part VII. </w:t>
      </w:r>
      <w:r w:rsidR="00D8516A">
        <w:t xml:space="preserve"> </w:t>
      </w:r>
      <w:r w:rsidRPr="003C5CAB">
        <w:t xml:space="preserve">This is the situation under the Act and the subsection confirms that this is not intended to be modified by the Arrangement. </w:t>
      </w:r>
    </w:p>
    <w:p w:rsidR="003C5CAB" w:rsidRDefault="003C5CAB" w:rsidP="00E82649"/>
    <w:p w:rsidR="003C5CAB" w:rsidRPr="003C5CAB" w:rsidRDefault="003C5CAB" w:rsidP="00E82649">
      <w:r w:rsidRPr="003C5CAB">
        <w:t>Subsection 6(2) confirms that the provisions of Part VII, and regulations and other instruments made for Part VII apply subject to the Arrangement.</w:t>
      </w:r>
    </w:p>
    <w:p w:rsidR="002022E2" w:rsidRDefault="002022E2" w:rsidP="00E82649">
      <w:pPr>
        <w:rPr>
          <w:b/>
          <w:bCs/>
        </w:rPr>
      </w:pPr>
    </w:p>
    <w:p w:rsidR="00B8039F" w:rsidRPr="00B8039F" w:rsidRDefault="00B8039F" w:rsidP="00E82649">
      <w:r w:rsidRPr="00B8039F">
        <w:rPr>
          <w:b/>
          <w:bCs/>
        </w:rPr>
        <w:t>Section 7    Section 100 only supply</w:t>
      </w:r>
    </w:p>
    <w:p w:rsidR="00D8516A" w:rsidRDefault="00B8039F" w:rsidP="00E82649">
      <w:r w:rsidRPr="00B8039F">
        <w:t xml:space="preserve">This section provides for matters relating to section 100 only supply of the pharmaceutical benefits covered by this Arrangement.  These matters have been </w:t>
      </w:r>
      <w:r w:rsidRPr="00B8039F">
        <w:lastRenderedPageBreak/>
        <w:t>determined by the Minister under relevant provisions of the Act in another legislative instrument and are included in this Arrangement for transparency.</w:t>
      </w:r>
    </w:p>
    <w:p w:rsidR="00107209" w:rsidRDefault="00B8039F" w:rsidP="00E82649">
      <w:r w:rsidRPr="00B8039F">
        <w:t xml:space="preserve">  </w:t>
      </w:r>
    </w:p>
    <w:p w:rsidR="00B8039F" w:rsidRPr="00B8039F" w:rsidRDefault="00B8039F" w:rsidP="00E82649">
      <w:r w:rsidRPr="00B8039F">
        <w:t>The letter ‘D’ in the ‘Section 100 only’ column in Schedule 1 indicates that the drug is a section 100 only drug and that all pharmaceutical benefits that have that drug may only be supplied under this or another special arrangement under section 100.  The</w:t>
      </w:r>
      <w:r w:rsidR="00464BF0">
        <w:t>se drugs</w:t>
      </w:r>
      <w:r w:rsidRPr="00B8039F">
        <w:t xml:space="preserve"> are not available for general supply on the PBS.</w:t>
      </w:r>
    </w:p>
    <w:p w:rsidR="00107209" w:rsidRDefault="00107209" w:rsidP="00E82649"/>
    <w:p w:rsidR="00B8039F" w:rsidRDefault="00B8039F" w:rsidP="00E82649">
      <w:r w:rsidRPr="00B8039F">
        <w:t>The letters ‘PB’ in the ‘Section 100 only’ column in Schedule 1 indicates that the pharmaceutical benefit is a section 100 only pharmaceutical benefit and that pharmaceutical benefit may only be supplied under this or another special a</w:t>
      </w:r>
      <w:r w:rsidR="00464BF0">
        <w:t>rrangement under section 100.  These drugs are</w:t>
      </w:r>
      <w:r w:rsidRPr="00B8039F">
        <w:t xml:space="preserve"> not available for general supply on the PBS.</w:t>
      </w:r>
    </w:p>
    <w:p w:rsidR="00245708" w:rsidRDefault="00245708" w:rsidP="00E82649"/>
    <w:p w:rsidR="00245708" w:rsidRDefault="00245708" w:rsidP="00E82649">
      <w:r>
        <w:t>The letter</w:t>
      </w:r>
      <w:r w:rsidRPr="00245708">
        <w:t xml:space="preserve"> ‘C</w:t>
      </w:r>
      <w:r>
        <w:t>’</w:t>
      </w:r>
      <w:r w:rsidRPr="00245708">
        <w:t xml:space="preserve"> in the </w:t>
      </w:r>
      <w:r>
        <w:t xml:space="preserve">‘Section 100 only’ </w:t>
      </w:r>
      <w:r w:rsidRPr="00245708">
        <w:t>column in Schedule 1</w:t>
      </w:r>
      <w:r>
        <w:t xml:space="preserve"> indicates</w:t>
      </w:r>
      <w:r w:rsidRPr="00245708">
        <w:t xml:space="preserve"> the pharmaceutical benefit can only be supplied in the circumstances identified in the instrument made under section 85A of the Act and in accordance with this Special Arrangement.</w:t>
      </w:r>
    </w:p>
    <w:p w:rsidR="006A4E4C" w:rsidRDefault="006A4E4C" w:rsidP="00E82649"/>
    <w:p w:rsidR="006A4E4C" w:rsidRDefault="006A4E4C" w:rsidP="00E82649">
      <w:pPr>
        <w:ind w:left="1560" w:hanging="1560"/>
        <w:rPr>
          <w:b/>
          <w:i/>
          <w:iCs/>
        </w:rPr>
      </w:pPr>
      <w:r>
        <w:rPr>
          <w:b/>
          <w:i/>
          <w:iCs/>
        </w:rPr>
        <w:t>Division 2</w:t>
      </w:r>
      <w:r>
        <w:rPr>
          <w:b/>
          <w:i/>
          <w:iCs/>
        </w:rPr>
        <w:tab/>
        <w:t>Prescriptions for pharmaceutical benefits</w:t>
      </w:r>
    </w:p>
    <w:p w:rsidR="006A4E4C" w:rsidRDefault="006A4E4C" w:rsidP="00E82649"/>
    <w:p w:rsidR="006A4E4C" w:rsidRDefault="006A4E4C" w:rsidP="00E82649">
      <w:pPr>
        <w:rPr>
          <w:b/>
          <w:bCs/>
        </w:rPr>
      </w:pPr>
      <w:r>
        <w:rPr>
          <w:b/>
          <w:bCs/>
        </w:rPr>
        <w:t>Section</w:t>
      </w:r>
      <w:r w:rsidRPr="00B8039F">
        <w:rPr>
          <w:b/>
          <w:bCs/>
        </w:rPr>
        <w:t xml:space="preserve"> </w:t>
      </w:r>
      <w:r>
        <w:rPr>
          <w:b/>
          <w:bCs/>
        </w:rPr>
        <w:t>8</w:t>
      </w:r>
      <w:r w:rsidRPr="00B8039F">
        <w:rPr>
          <w:b/>
          <w:bCs/>
        </w:rPr>
        <w:t> </w:t>
      </w:r>
      <w:r>
        <w:rPr>
          <w:b/>
          <w:bCs/>
        </w:rPr>
        <w:t xml:space="preserve">  Prescription – Maximum quantity</w:t>
      </w:r>
    </w:p>
    <w:p w:rsidR="006A4E4C" w:rsidRDefault="006A4E4C" w:rsidP="00E82649">
      <w:r w:rsidRPr="00B8039F">
        <w:t>This section</w:t>
      </w:r>
      <w:r>
        <w:t xml:space="preserve"> details the maximum quantity or number of units of the pharmaceutical benefit that may be supplied for the different treatment phases.</w:t>
      </w:r>
    </w:p>
    <w:p w:rsidR="006A4E4C" w:rsidRDefault="006A4E4C" w:rsidP="00E82649"/>
    <w:p w:rsidR="006A4E4C" w:rsidRDefault="006A4E4C" w:rsidP="00E82649">
      <w:pPr>
        <w:rPr>
          <w:b/>
          <w:bCs/>
        </w:rPr>
      </w:pPr>
      <w:r>
        <w:rPr>
          <w:b/>
          <w:bCs/>
        </w:rPr>
        <w:t>Section</w:t>
      </w:r>
      <w:r w:rsidRPr="00B8039F">
        <w:rPr>
          <w:b/>
          <w:bCs/>
        </w:rPr>
        <w:t xml:space="preserve"> </w:t>
      </w:r>
      <w:r>
        <w:rPr>
          <w:b/>
          <w:bCs/>
        </w:rPr>
        <w:t>9</w:t>
      </w:r>
      <w:r w:rsidRPr="00B8039F">
        <w:rPr>
          <w:b/>
          <w:bCs/>
        </w:rPr>
        <w:t> </w:t>
      </w:r>
      <w:r>
        <w:rPr>
          <w:b/>
          <w:bCs/>
        </w:rPr>
        <w:t xml:space="preserve">  Prescription – Maximum number of repeats</w:t>
      </w:r>
    </w:p>
    <w:p w:rsidR="006A4E4C" w:rsidRDefault="006A4E4C" w:rsidP="00E82649">
      <w:r w:rsidRPr="00B8039F">
        <w:t>This section</w:t>
      </w:r>
      <w:r>
        <w:t xml:space="preserve"> details the maximum number of repeats of the pharmaceutical benefit that may be included on the prescription for the different treatment phases.</w:t>
      </w:r>
    </w:p>
    <w:p w:rsidR="00991C6F" w:rsidRDefault="00991C6F" w:rsidP="00E82649">
      <w:pPr>
        <w:rPr>
          <w:b/>
          <w:sz w:val="28"/>
          <w:szCs w:val="28"/>
        </w:rPr>
      </w:pPr>
    </w:p>
    <w:p w:rsidR="00991C6F" w:rsidRDefault="00991C6F" w:rsidP="00E82649">
      <w:pPr>
        <w:rPr>
          <w:b/>
          <w:sz w:val="28"/>
          <w:szCs w:val="28"/>
        </w:rPr>
      </w:pPr>
      <w:r w:rsidRPr="003C5CAB">
        <w:rPr>
          <w:b/>
          <w:sz w:val="28"/>
          <w:szCs w:val="28"/>
        </w:rPr>
        <w:t xml:space="preserve">Part </w:t>
      </w:r>
      <w:r>
        <w:rPr>
          <w:b/>
          <w:sz w:val="28"/>
          <w:szCs w:val="28"/>
        </w:rPr>
        <w:t>3</w:t>
      </w:r>
      <w:r w:rsidRPr="003C5CAB">
        <w:rPr>
          <w:b/>
          <w:sz w:val="28"/>
          <w:szCs w:val="28"/>
        </w:rPr>
        <w:t xml:space="preserve"> –</w:t>
      </w:r>
      <w:r>
        <w:rPr>
          <w:b/>
          <w:sz w:val="28"/>
          <w:szCs w:val="28"/>
        </w:rPr>
        <w:t xml:space="preserve">Treatment dose </w:t>
      </w:r>
    </w:p>
    <w:p w:rsidR="00991C6F" w:rsidRDefault="00991C6F" w:rsidP="00E82649">
      <w:pPr>
        <w:rPr>
          <w:b/>
          <w:sz w:val="28"/>
          <w:szCs w:val="28"/>
        </w:rPr>
      </w:pPr>
    </w:p>
    <w:p w:rsidR="00991C6F" w:rsidRDefault="00991C6F" w:rsidP="00E82649">
      <w:pPr>
        <w:ind w:left="1560" w:hanging="1560"/>
        <w:rPr>
          <w:b/>
          <w:i/>
          <w:iCs/>
        </w:rPr>
      </w:pPr>
      <w:r>
        <w:rPr>
          <w:b/>
          <w:i/>
          <w:iCs/>
        </w:rPr>
        <w:t>Division 1</w:t>
      </w:r>
      <w:r>
        <w:rPr>
          <w:b/>
          <w:i/>
          <w:iCs/>
        </w:rPr>
        <w:tab/>
      </w:r>
      <w:r w:rsidRPr="00615C1E">
        <w:rPr>
          <w:b/>
          <w:i/>
          <w:iCs/>
        </w:rPr>
        <w:t xml:space="preserve"> </w:t>
      </w:r>
      <w:r>
        <w:rPr>
          <w:b/>
          <w:i/>
          <w:iCs/>
        </w:rPr>
        <w:t>General</w:t>
      </w:r>
    </w:p>
    <w:p w:rsidR="00991C6F" w:rsidRDefault="00991C6F" w:rsidP="00E82649">
      <w:pPr>
        <w:rPr>
          <w:b/>
          <w:sz w:val="28"/>
          <w:szCs w:val="28"/>
        </w:rPr>
      </w:pPr>
    </w:p>
    <w:p w:rsidR="00991C6F" w:rsidRDefault="00991C6F" w:rsidP="00E82649">
      <w:pPr>
        <w:rPr>
          <w:b/>
        </w:rPr>
      </w:pPr>
      <w:r w:rsidRPr="00B8039F">
        <w:rPr>
          <w:b/>
        </w:rPr>
        <w:t>Section</w:t>
      </w:r>
      <w:r>
        <w:rPr>
          <w:b/>
        </w:rPr>
        <w:t xml:space="preserve"> 10</w:t>
      </w:r>
      <w:r>
        <w:rPr>
          <w:b/>
        </w:rPr>
        <w:tab/>
        <w:t>Definitions</w:t>
      </w:r>
    </w:p>
    <w:p w:rsidR="00991C6F" w:rsidRDefault="00991C6F" w:rsidP="00E82649">
      <w:r>
        <w:t xml:space="preserve">This section defines a number of </w:t>
      </w:r>
      <w:r w:rsidR="00703560">
        <w:t xml:space="preserve">terms </w:t>
      </w:r>
      <w:r>
        <w:t>relating specifically to dose</w:t>
      </w:r>
      <w:r w:rsidRPr="00B8039F">
        <w:t>.</w:t>
      </w:r>
    </w:p>
    <w:p w:rsidR="00991C6F" w:rsidRDefault="00991C6F" w:rsidP="00E82649"/>
    <w:p w:rsidR="00991C6F" w:rsidRDefault="00991C6F" w:rsidP="00E82649">
      <w:pPr>
        <w:rPr>
          <w:b/>
        </w:rPr>
      </w:pPr>
      <w:r w:rsidRPr="00B8039F">
        <w:rPr>
          <w:b/>
        </w:rPr>
        <w:t>Section</w:t>
      </w:r>
      <w:r>
        <w:rPr>
          <w:b/>
        </w:rPr>
        <w:t xml:space="preserve"> 11</w:t>
      </w:r>
      <w:r>
        <w:rPr>
          <w:b/>
        </w:rPr>
        <w:tab/>
        <w:t>Assessment of dosage of pharmaceutical benefit</w:t>
      </w:r>
    </w:p>
    <w:p w:rsidR="00991C6F" w:rsidRDefault="00B4524E" w:rsidP="00E82649">
      <w:pPr>
        <w:rPr>
          <w:b/>
        </w:rPr>
      </w:pPr>
      <w:r>
        <w:t>Section 11 details the dose restrictions that authorised prescribers must comply with when prescribing the pharmaceutical benefit for each condition</w:t>
      </w:r>
      <w:r w:rsidR="00A93B34">
        <w:t xml:space="preserve"> </w:t>
      </w:r>
      <w:r w:rsidR="00E853C0">
        <w:t xml:space="preserve">during the </w:t>
      </w:r>
      <w:r w:rsidR="00A93B34">
        <w:t>initial and continuing treatment phases.</w:t>
      </w:r>
    </w:p>
    <w:p w:rsidR="00991C6F" w:rsidRDefault="00991C6F" w:rsidP="00E82649"/>
    <w:p w:rsidR="00991C6F" w:rsidRDefault="004B2E0A" w:rsidP="00E82649">
      <w:pPr>
        <w:rPr>
          <w:b/>
          <w:sz w:val="28"/>
          <w:szCs w:val="28"/>
        </w:rPr>
      </w:pPr>
      <w:r>
        <w:rPr>
          <w:b/>
          <w:i/>
          <w:iCs/>
        </w:rPr>
        <w:t>Division 2</w:t>
      </w:r>
      <w:r>
        <w:rPr>
          <w:b/>
          <w:i/>
          <w:iCs/>
        </w:rPr>
        <w:tab/>
        <w:t>Reclassification</w:t>
      </w:r>
    </w:p>
    <w:p w:rsidR="004B2E0A" w:rsidRDefault="004B2E0A" w:rsidP="00E82649">
      <w:pPr>
        <w:rPr>
          <w:b/>
          <w:sz w:val="28"/>
          <w:szCs w:val="28"/>
        </w:rPr>
      </w:pPr>
    </w:p>
    <w:p w:rsidR="004B2E0A" w:rsidRDefault="004B2E0A" w:rsidP="00E82649">
      <w:pPr>
        <w:rPr>
          <w:b/>
        </w:rPr>
      </w:pPr>
      <w:r w:rsidRPr="00B8039F">
        <w:rPr>
          <w:b/>
        </w:rPr>
        <w:t>Section</w:t>
      </w:r>
      <w:r>
        <w:rPr>
          <w:b/>
        </w:rPr>
        <w:t xml:space="preserve"> 12</w:t>
      </w:r>
      <w:r>
        <w:rPr>
          <w:b/>
        </w:rPr>
        <w:tab/>
        <w:t>Dose for change of treatment category (reclassification)</w:t>
      </w:r>
    </w:p>
    <w:p w:rsidR="004B2E0A" w:rsidRDefault="004B2E0A" w:rsidP="00E82649">
      <w:r>
        <w:t>Section 12 details the dose restrictions that authorised prescribers must comply with when prescribing the pharmaceutical benefit for a patient that is reclassified to a different condition.</w:t>
      </w:r>
    </w:p>
    <w:p w:rsidR="004C4933" w:rsidRDefault="004C4933" w:rsidP="00E82649"/>
    <w:p w:rsidR="004C4933" w:rsidRDefault="004C4933" w:rsidP="00E82649">
      <w:pPr>
        <w:rPr>
          <w:b/>
        </w:rPr>
      </w:pPr>
    </w:p>
    <w:p w:rsidR="004B2E0A" w:rsidRDefault="004B2E0A" w:rsidP="00E82649">
      <w:pPr>
        <w:rPr>
          <w:b/>
          <w:i/>
          <w:iCs/>
        </w:rPr>
      </w:pPr>
      <w:r>
        <w:rPr>
          <w:b/>
          <w:i/>
          <w:iCs/>
        </w:rPr>
        <w:lastRenderedPageBreak/>
        <w:t>Division 3</w:t>
      </w:r>
      <w:r>
        <w:rPr>
          <w:b/>
          <w:i/>
          <w:iCs/>
        </w:rPr>
        <w:tab/>
        <w:t>Recommencement treatment</w:t>
      </w:r>
    </w:p>
    <w:p w:rsidR="004B2E0A" w:rsidRDefault="004B2E0A" w:rsidP="00E82649">
      <w:pPr>
        <w:rPr>
          <w:b/>
          <w:i/>
          <w:iCs/>
        </w:rPr>
      </w:pPr>
    </w:p>
    <w:p w:rsidR="004B2E0A" w:rsidRDefault="004B2E0A" w:rsidP="00E82649">
      <w:pPr>
        <w:rPr>
          <w:b/>
          <w:i/>
          <w:iCs/>
        </w:rPr>
      </w:pPr>
      <w:r w:rsidRPr="00B8039F">
        <w:rPr>
          <w:b/>
        </w:rPr>
        <w:t>Section</w:t>
      </w:r>
      <w:r>
        <w:rPr>
          <w:b/>
        </w:rPr>
        <w:t xml:space="preserve"> 13</w:t>
      </w:r>
      <w:r>
        <w:rPr>
          <w:b/>
        </w:rPr>
        <w:tab/>
        <w:t>Dose for recommencement treatment</w:t>
      </w:r>
    </w:p>
    <w:p w:rsidR="004B2E0A" w:rsidRDefault="004B2E0A" w:rsidP="00E82649">
      <w:pPr>
        <w:rPr>
          <w:b/>
        </w:rPr>
      </w:pPr>
      <w:r>
        <w:t>Section 13 details the dose restrictions that authorised prescribers must comply with when prescribing the pharmaceutical benefit for a patient that is rec</w:t>
      </w:r>
      <w:r w:rsidR="00AF165E">
        <w:t>ommencing treatment for the same condition</w:t>
      </w:r>
      <w:r>
        <w:t>.</w:t>
      </w:r>
    </w:p>
    <w:p w:rsidR="004B2E0A" w:rsidRDefault="004B2E0A" w:rsidP="00E82649">
      <w:pPr>
        <w:rPr>
          <w:b/>
          <w:sz w:val="28"/>
          <w:szCs w:val="28"/>
        </w:rPr>
      </w:pPr>
    </w:p>
    <w:p w:rsidR="003C5CAB" w:rsidRDefault="003C5CAB" w:rsidP="00E82649">
      <w:pPr>
        <w:rPr>
          <w:b/>
          <w:sz w:val="28"/>
          <w:szCs w:val="28"/>
        </w:rPr>
      </w:pPr>
      <w:r w:rsidRPr="003C5CAB">
        <w:rPr>
          <w:b/>
          <w:sz w:val="28"/>
          <w:szCs w:val="28"/>
        </w:rPr>
        <w:t xml:space="preserve">Part </w:t>
      </w:r>
      <w:r w:rsidR="004B2E0A">
        <w:rPr>
          <w:b/>
          <w:sz w:val="28"/>
          <w:szCs w:val="28"/>
        </w:rPr>
        <w:t>4</w:t>
      </w:r>
      <w:r w:rsidRPr="003C5CAB">
        <w:rPr>
          <w:b/>
          <w:sz w:val="28"/>
          <w:szCs w:val="28"/>
        </w:rPr>
        <w:t xml:space="preserve"> –</w:t>
      </w:r>
      <w:r w:rsidR="00272FA4">
        <w:rPr>
          <w:b/>
          <w:sz w:val="28"/>
          <w:szCs w:val="28"/>
        </w:rPr>
        <w:t xml:space="preserve"> </w:t>
      </w:r>
      <w:r w:rsidR="00CA72BE">
        <w:rPr>
          <w:b/>
          <w:sz w:val="28"/>
          <w:szCs w:val="28"/>
        </w:rPr>
        <w:t>P</w:t>
      </w:r>
      <w:r>
        <w:rPr>
          <w:b/>
          <w:sz w:val="28"/>
          <w:szCs w:val="28"/>
        </w:rPr>
        <w:t xml:space="preserve">ayment amounts </w:t>
      </w:r>
    </w:p>
    <w:p w:rsidR="00FA24CC" w:rsidRPr="003C5CAB" w:rsidRDefault="00FA24CC" w:rsidP="00E82649">
      <w:pPr>
        <w:rPr>
          <w:b/>
          <w:sz w:val="28"/>
          <w:szCs w:val="28"/>
        </w:rPr>
      </w:pPr>
    </w:p>
    <w:p w:rsidR="00AD61EC" w:rsidRDefault="00AD61EC" w:rsidP="00E82649">
      <w:pPr>
        <w:ind w:left="1560" w:hanging="1560"/>
        <w:rPr>
          <w:b/>
          <w:i/>
          <w:iCs/>
        </w:rPr>
      </w:pPr>
      <w:r>
        <w:rPr>
          <w:b/>
          <w:i/>
          <w:iCs/>
        </w:rPr>
        <w:t>Division 1</w:t>
      </w:r>
      <w:r>
        <w:rPr>
          <w:b/>
          <w:i/>
          <w:iCs/>
        </w:rPr>
        <w:tab/>
      </w:r>
      <w:r w:rsidRPr="00615C1E">
        <w:rPr>
          <w:b/>
          <w:i/>
          <w:iCs/>
        </w:rPr>
        <w:t xml:space="preserve"> </w:t>
      </w:r>
      <w:r>
        <w:rPr>
          <w:b/>
          <w:i/>
          <w:iCs/>
        </w:rPr>
        <w:t xml:space="preserve">Payments to suppliers that are approved </w:t>
      </w:r>
      <w:r w:rsidRPr="00615C1E">
        <w:rPr>
          <w:b/>
          <w:i/>
          <w:iCs/>
        </w:rPr>
        <w:t>hospital authorit</w:t>
      </w:r>
      <w:r>
        <w:rPr>
          <w:b/>
          <w:i/>
          <w:iCs/>
        </w:rPr>
        <w:t>ies</w:t>
      </w:r>
      <w:r w:rsidRPr="00615C1E">
        <w:rPr>
          <w:b/>
          <w:i/>
          <w:iCs/>
        </w:rPr>
        <w:t xml:space="preserve"> for </w:t>
      </w:r>
      <w:r>
        <w:rPr>
          <w:b/>
          <w:i/>
          <w:iCs/>
        </w:rPr>
        <w:t>public</w:t>
      </w:r>
      <w:r w:rsidRPr="00615C1E">
        <w:rPr>
          <w:b/>
          <w:i/>
          <w:iCs/>
        </w:rPr>
        <w:t xml:space="preserve"> hospital</w:t>
      </w:r>
      <w:r>
        <w:rPr>
          <w:b/>
          <w:i/>
          <w:iCs/>
        </w:rPr>
        <w:t>s</w:t>
      </w:r>
    </w:p>
    <w:p w:rsidR="00AD61EC" w:rsidRPr="00615C1E" w:rsidRDefault="00AD61EC" w:rsidP="00E82649">
      <w:pPr>
        <w:ind w:left="1560" w:hanging="1560"/>
        <w:rPr>
          <w:b/>
        </w:rPr>
      </w:pPr>
    </w:p>
    <w:p w:rsidR="00AD61EC" w:rsidRDefault="00AD61EC" w:rsidP="00E82649">
      <w:pPr>
        <w:rPr>
          <w:b/>
          <w:bCs/>
        </w:rPr>
      </w:pPr>
      <w:r>
        <w:rPr>
          <w:b/>
          <w:bCs/>
        </w:rPr>
        <w:t>Section</w:t>
      </w:r>
      <w:r w:rsidR="004914EC">
        <w:rPr>
          <w:b/>
          <w:bCs/>
        </w:rPr>
        <w:t xml:space="preserve"> 14</w:t>
      </w:r>
      <w:r w:rsidRPr="00B8039F">
        <w:rPr>
          <w:b/>
          <w:bCs/>
        </w:rPr>
        <w:t> </w:t>
      </w:r>
      <w:r>
        <w:rPr>
          <w:b/>
          <w:bCs/>
        </w:rPr>
        <w:t xml:space="preserve">  Payments to approved hospital authorities for public hospitals</w:t>
      </w:r>
    </w:p>
    <w:p w:rsidR="00AD61EC" w:rsidRPr="00F3415B" w:rsidRDefault="00AD61EC" w:rsidP="00E82649">
      <w:r w:rsidRPr="00F3415B">
        <w:t xml:space="preserve">Subsection </w:t>
      </w:r>
      <w:r w:rsidR="004E07AE">
        <w:t>14</w:t>
      </w:r>
      <w:r w:rsidRPr="00F3415B">
        <w:t xml:space="preserve">(1) provides that an approved hospital authority for a </w:t>
      </w:r>
      <w:r w:rsidR="0010174C">
        <w:t>public</w:t>
      </w:r>
      <w:r w:rsidRPr="00F3415B">
        <w:t xml:space="preserve"> hospital is entitled to be paid the dispensed price for the supply of the pharmaceutical benefit less any amount that the approved hospital authority </w:t>
      </w:r>
      <w:r w:rsidR="007B1E98">
        <w:t xml:space="preserve">was entitled to charge under </w:t>
      </w:r>
      <w:r w:rsidRPr="00F3415B">
        <w:t>section</w:t>
      </w:r>
      <w:r w:rsidR="007B1E98">
        <w:t> </w:t>
      </w:r>
      <w:r w:rsidR="005F308E">
        <w:t>16</w:t>
      </w:r>
      <w:r w:rsidRPr="00F3415B">
        <w:t>.</w:t>
      </w:r>
    </w:p>
    <w:p w:rsidR="00AD61EC" w:rsidRDefault="00AD61EC" w:rsidP="00E82649">
      <w:pPr>
        <w:rPr>
          <w:b/>
          <w:bCs/>
        </w:rPr>
      </w:pPr>
    </w:p>
    <w:p w:rsidR="00AD61EC" w:rsidRDefault="00AD61EC" w:rsidP="00E82649">
      <w:r w:rsidRPr="00F3415B">
        <w:t xml:space="preserve">Subsection </w:t>
      </w:r>
      <w:r w:rsidR="004E07AE">
        <w:t>14</w:t>
      </w:r>
      <w:r w:rsidRPr="00F3415B">
        <w:t>(</w:t>
      </w:r>
      <w:r>
        <w:t>2</w:t>
      </w:r>
      <w:r w:rsidRPr="00F3415B">
        <w:t xml:space="preserve">) provides that the dispensed price </w:t>
      </w:r>
      <w:r w:rsidR="00000899">
        <w:t xml:space="preserve">must be determined </w:t>
      </w:r>
      <w:r w:rsidRPr="00F3415B">
        <w:t xml:space="preserve">in accordance with Division </w:t>
      </w:r>
      <w:r>
        <w:t>1</w:t>
      </w:r>
      <w:r w:rsidRPr="00F3415B">
        <w:t xml:space="preserve"> of Part</w:t>
      </w:r>
      <w:r w:rsidR="004E07AE">
        <w:t xml:space="preserve"> 5</w:t>
      </w:r>
      <w:r w:rsidRPr="00F3415B">
        <w:t>.</w:t>
      </w:r>
    </w:p>
    <w:p w:rsidR="00AD61EC" w:rsidRDefault="00AD61EC" w:rsidP="00E82649"/>
    <w:p w:rsidR="00AD61EC" w:rsidRPr="00F3415B" w:rsidRDefault="00AD61EC" w:rsidP="00E82649">
      <w:r w:rsidRPr="00F3415B">
        <w:t xml:space="preserve">Subsection </w:t>
      </w:r>
      <w:r w:rsidR="00BA39EF">
        <w:t>14</w:t>
      </w:r>
      <w:r w:rsidRPr="00F3415B">
        <w:t xml:space="preserve">(3) provides </w:t>
      </w:r>
      <w:r>
        <w:t>there are no mark-ups to be added to the costs of a pharmaceutical benefit for approved hospital authorities of a public hospital.</w:t>
      </w:r>
    </w:p>
    <w:p w:rsidR="00AD61EC" w:rsidRPr="00F3415B" w:rsidRDefault="00AD61EC" w:rsidP="00E82649"/>
    <w:p w:rsidR="00AD61EC" w:rsidRDefault="00AD61EC" w:rsidP="00E82649">
      <w:pPr>
        <w:rPr>
          <w:b/>
          <w:bCs/>
        </w:rPr>
      </w:pPr>
    </w:p>
    <w:p w:rsidR="00AD61EC" w:rsidRDefault="00AD61EC" w:rsidP="00E82649">
      <w:pPr>
        <w:ind w:left="1560" w:hanging="1560"/>
        <w:rPr>
          <w:b/>
          <w:i/>
          <w:iCs/>
        </w:rPr>
      </w:pPr>
      <w:r>
        <w:rPr>
          <w:b/>
          <w:i/>
          <w:iCs/>
        </w:rPr>
        <w:t>Division 2</w:t>
      </w:r>
      <w:r>
        <w:rPr>
          <w:b/>
          <w:i/>
          <w:iCs/>
        </w:rPr>
        <w:tab/>
        <w:t xml:space="preserve">Payments to suppliers that are approved </w:t>
      </w:r>
      <w:r w:rsidRPr="00615C1E">
        <w:rPr>
          <w:b/>
          <w:i/>
          <w:iCs/>
        </w:rPr>
        <w:t>hospital authorit</w:t>
      </w:r>
      <w:r>
        <w:rPr>
          <w:b/>
          <w:i/>
          <w:iCs/>
        </w:rPr>
        <w:t>ies</w:t>
      </w:r>
      <w:r w:rsidRPr="00615C1E">
        <w:rPr>
          <w:b/>
          <w:i/>
          <w:iCs/>
        </w:rPr>
        <w:t xml:space="preserve"> for private hospital</w:t>
      </w:r>
      <w:r>
        <w:rPr>
          <w:b/>
          <w:i/>
          <w:iCs/>
        </w:rPr>
        <w:t>s, approved pharmacies or approved medical practitioners</w:t>
      </w:r>
    </w:p>
    <w:p w:rsidR="00AD61EC" w:rsidRPr="00615C1E" w:rsidRDefault="00AD61EC" w:rsidP="00E82649">
      <w:pPr>
        <w:ind w:left="1560" w:hanging="1560"/>
        <w:rPr>
          <w:b/>
        </w:rPr>
      </w:pPr>
    </w:p>
    <w:p w:rsidR="003C5CAB" w:rsidRPr="00B8039F" w:rsidRDefault="003C5CAB" w:rsidP="00E82649">
      <w:r>
        <w:rPr>
          <w:b/>
          <w:bCs/>
        </w:rPr>
        <w:t>Section</w:t>
      </w:r>
      <w:r w:rsidRPr="00B8039F">
        <w:rPr>
          <w:b/>
          <w:bCs/>
        </w:rPr>
        <w:t xml:space="preserve"> </w:t>
      </w:r>
      <w:r w:rsidR="00DC05F6">
        <w:rPr>
          <w:b/>
          <w:bCs/>
        </w:rPr>
        <w:t>15</w:t>
      </w:r>
      <w:r w:rsidR="00DC05F6" w:rsidRPr="00B8039F">
        <w:rPr>
          <w:b/>
          <w:bCs/>
        </w:rPr>
        <w:t> </w:t>
      </w:r>
      <w:r w:rsidR="00DC05F6">
        <w:rPr>
          <w:b/>
          <w:bCs/>
        </w:rPr>
        <w:t xml:space="preserve">  </w:t>
      </w:r>
      <w:r>
        <w:rPr>
          <w:b/>
          <w:bCs/>
        </w:rPr>
        <w:t xml:space="preserve">Payments to certain suppliers of pharmaceutical benefits </w:t>
      </w:r>
    </w:p>
    <w:p w:rsidR="00F3415B" w:rsidRPr="00F3415B" w:rsidRDefault="00F3415B" w:rsidP="00E82649">
      <w:r w:rsidRPr="00F3415B">
        <w:t>This section sets out the amount that may be claimed by an approved pharmacist</w:t>
      </w:r>
      <w:r>
        <w:t>, an approved medical practitioner</w:t>
      </w:r>
      <w:r w:rsidRPr="00F3415B">
        <w:t xml:space="preserve"> or an approved hospital authority for a private hospital that makes a claim for payment for the supply of a pharmaceutical benefit.</w:t>
      </w:r>
    </w:p>
    <w:p w:rsidR="00F3415B" w:rsidRDefault="00F3415B" w:rsidP="00E82649"/>
    <w:p w:rsidR="00F3415B" w:rsidRPr="00F3415B" w:rsidRDefault="00F3415B" w:rsidP="00E82649">
      <w:r w:rsidRPr="00F3415B">
        <w:t xml:space="preserve">Subsection </w:t>
      </w:r>
      <w:r w:rsidR="004B4C93">
        <w:t>15</w:t>
      </w:r>
      <w:r w:rsidRPr="00F3415B">
        <w:t>(1) provides that an approved hospital authority for a private hospital is entitled to be paid the dispensed price for the supply of the pharmaceutical benefit less any amount that the approved hospital authority was entit</w:t>
      </w:r>
      <w:r w:rsidR="007B1E98">
        <w:t>led to charge under s</w:t>
      </w:r>
      <w:r w:rsidRPr="00F3415B">
        <w:t>ection</w:t>
      </w:r>
      <w:r w:rsidR="007B1E98">
        <w:t> </w:t>
      </w:r>
      <w:r w:rsidR="00000899">
        <w:t>18</w:t>
      </w:r>
      <w:r w:rsidRPr="00F3415B">
        <w:t>.</w:t>
      </w:r>
    </w:p>
    <w:p w:rsidR="00F3415B" w:rsidRDefault="00F3415B" w:rsidP="00E82649"/>
    <w:p w:rsidR="00F3415B" w:rsidRPr="00F3415B" w:rsidRDefault="00F3415B" w:rsidP="00E82649">
      <w:r w:rsidRPr="00F3415B">
        <w:t xml:space="preserve">Subsection </w:t>
      </w:r>
      <w:r w:rsidR="0051734F">
        <w:t>15</w:t>
      </w:r>
      <w:r w:rsidRPr="00F3415B">
        <w:t>(2) provides that an approved pharmacist</w:t>
      </w:r>
      <w:r>
        <w:t xml:space="preserve"> or approved medical practitioner</w:t>
      </w:r>
      <w:r w:rsidRPr="00F3415B">
        <w:t xml:space="preserve"> is entitled to be paid the dispensed price for the supply of the pharmaceutical benefit less any amount that the approved pharmacist</w:t>
      </w:r>
      <w:r>
        <w:t xml:space="preserve"> or approved medical practitioner</w:t>
      </w:r>
      <w:r w:rsidRPr="00F3415B">
        <w:t xml:space="preserve"> w</w:t>
      </w:r>
      <w:r w:rsidR="007B1E98">
        <w:t>as entitled to charge under s</w:t>
      </w:r>
      <w:r w:rsidRPr="00F3415B">
        <w:t>ection</w:t>
      </w:r>
      <w:r w:rsidR="0051734F">
        <w:t xml:space="preserve"> </w:t>
      </w:r>
      <w:r w:rsidR="00807C20">
        <w:t>18</w:t>
      </w:r>
      <w:r w:rsidRPr="00F3415B">
        <w:t>.</w:t>
      </w:r>
    </w:p>
    <w:p w:rsidR="00F3415B" w:rsidRDefault="00F3415B" w:rsidP="00E82649"/>
    <w:p w:rsidR="00F3415B" w:rsidRPr="00F3415B" w:rsidRDefault="00F3415B" w:rsidP="00E82649">
      <w:r w:rsidRPr="00F3415B">
        <w:t xml:space="preserve">Subsection </w:t>
      </w:r>
      <w:r w:rsidR="00FB1A81">
        <w:t>15</w:t>
      </w:r>
      <w:r w:rsidRPr="00F3415B">
        <w:t xml:space="preserve">(3) provides that the dispensed price </w:t>
      </w:r>
      <w:r w:rsidR="000B028F">
        <w:t>must be determined</w:t>
      </w:r>
      <w:r w:rsidRPr="00F3415B">
        <w:t xml:space="preserve"> in accordance with Division 2 of Part</w:t>
      </w:r>
      <w:r w:rsidR="00FB1A81">
        <w:t xml:space="preserve"> 5</w:t>
      </w:r>
      <w:r w:rsidRPr="00F3415B">
        <w:t>.</w:t>
      </w:r>
    </w:p>
    <w:p w:rsidR="00F3415B" w:rsidRDefault="00F3415B" w:rsidP="00E82649">
      <w:pPr>
        <w:rPr>
          <w:lang w:val="en-US"/>
        </w:rPr>
      </w:pPr>
    </w:p>
    <w:p w:rsidR="00A256AE" w:rsidRDefault="00A256AE" w:rsidP="00E82649">
      <w:pPr>
        <w:rPr>
          <w:lang w:val="en-US"/>
        </w:rPr>
      </w:pPr>
    </w:p>
    <w:p w:rsidR="007B1E98" w:rsidRDefault="007B1E98" w:rsidP="00E82649">
      <w:pPr>
        <w:rPr>
          <w:b/>
          <w:sz w:val="28"/>
          <w:szCs w:val="28"/>
        </w:rPr>
      </w:pPr>
    </w:p>
    <w:p w:rsidR="00353005" w:rsidRDefault="00F3415B" w:rsidP="00E82649">
      <w:pPr>
        <w:rPr>
          <w:b/>
          <w:sz w:val="28"/>
          <w:szCs w:val="28"/>
        </w:rPr>
      </w:pPr>
      <w:r w:rsidRPr="003C5CAB">
        <w:rPr>
          <w:b/>
          <w:sz w:val="28"/>
          <w:szCs w:val="28"/>
        </w:rPr>
        <w:lastRenderedPageBreak/>
        <w:t xml:space="preserve">Part </w:t>
      </w:r>
      <w:r w:rsidR="00BC3551">
        <w:rPr>
          <w:b/>
          <w:sz w:val="28"/>
          <w:szCs w:val="28"/>
        </w:rPr>
        <w:t>5</w:t>
      </w:r>
      <w:r w:rsidRPr="003C5CAB">
        <w:rPr>
          <w:b/>
          <w:sz w:val="28"/>
          <w:szCs w:val="28"/>
        </w:rPr>
        <w:t xml:space="preserve"> –</w:t>
      </w:r>
      <w:r>
        <w:rPr>
          <w:b/>
          <w:sz w:val="28"/>
          <w:szCs w:val="28"/>
        </w:rPr>
        <w:t>Dispensed price</w:t>
      </w:r>
    </w:p>
    <w:p w:rsidR="00F3415B" w:rsidRPr="003C5CAB" w:rsidRDefault="00F3415B" w:rsidP="00E82649">
      <w:pPr>
        <w:rPr>
          <w:b/>
          <w:sz w:val="28"/>
          <w:szCs w:val="28"/>
        </w:rPr>
      </w:pPr>
      <w:r>
        <w:rPr>
          <w:b/>
          <w:sz w:val="28"/>
          <w:szCs w:val="28"/>
        </w:rPr>
        <w:t xml:space="preserve"> </w:t>
      </w:r>
    </w:p>
    <w:p w:rsidR="00F3415B" w:rsidRPr="00615C1E" w:rsidRDefault="00615C1E" w:rsidP="00E82649">
      <w:pPr>
        <w:ind w:left="1560" w:hanging="1560"/>
        <w:rPr>
          <w:b/>
        </w:rPr>
      </w:pPr>
      <w:r>
        <w:rPr>
          <w:b/>
          <w:i/>
          <w:iCs/>
        </w:rPr>
        <w:t>Division 1</w:t>
      </w:r>
      <w:r>
        <w:rPr>
          <w:b/>
          <w:i/>
          <w:iCs/>
        </w:rPr>
        <w:tab/>
      </w:r>
      <w:r w:rsidR="00F3415B" w:rsidRPr="00615C1E">
        <w:rPr>
          <w:b/>
          <w:i/>
          <w:iCs/>
        </w:rPr>
        <w:t xml:space="preserve"> Dispensed price for supply of a pharmaceutical benefit by a hospital authority for a public hospital</w:t>
      </w:r>
    </w:p>
    <w:p w:rsidR="00F3415B" w:rsidRDefault="00F3415B" w:rsidP="00E82649"/>
    <w:p w:rsidR="00615C1E" w:rsidRDefault="00F3415B" w:rsidP="00E82649">
      <w:r w:rsidRPr="00F3415B">
        <w:t>This Division sets out the manner in which the dispensed price for the supply of a pharmaceutical benefit by a hospital authority for a public hospital is</w:t>
      </w:r>
      <w:r w:rsidR="00353005">
        <w:t xml:space="preserve"> calculated</w:t>
      </w:r>
      <w:r w:rsidRPr="00F3415B">
        <w:t xml:space="preserve">.  </w:t>
      </w:r>
    </w:p>
    <w:p w:rsidR="00F3415B" w:rsidRPr="00F3415B" w:rsidRDefault="00F3415B" w:rsidP="00E82649">
      <w:r w:rsidRPr="00F3415B">
        <w:t>The dispensed price is the basis for calculating the amount that a hospital authority may claim for supplying a pharmaceutical benefit under the Arrangement.</w:t>
      </w:r>
    </w:p>
    <w:p w:rsidR="00F3415B" w:rsidRPr="00F3415B" w:rsidRDefault="00F3415B" w:rsidP="00E82649">
      <w:r w:rsidRPr="00F3415B">
        <w:rPr>
          <w:b/>
          <w:bCs/>
        </w:rPr>
        <w:t> </w:t>
      </w:r>
    </w:p>
    <w:p w:rsidR="00F3415B" w:rsidRPr="00F3415B" w:rsidRDefault="00F3415B" w:rsidP="00E82649">
      <w:r w:rsidRPr="00F3415B">
        <w:rPr>
          <w:b/>
          <w:bCs/>
        </w:rPr>
        <w:t xml:space="preserve">Section </w:t>
      </w:r>
      <w:r w:rsidR="00AE49F0">
        <w:rPr>
          <w:b/>
          <w:bCs/>
        </w:rPr>
        <w:t>16</w:t>
      </w:r>
      <w:r w:rsidR="00AE49F0" w:rsidRPr="00F3415B">
        <w:rPr>
          <w:b/>
          <w:bCs/>
        </w:rPr>
        <w:t xml:space="preserve">       </w:t>
      </w:r>
      <w:r w:rsidRPr="00F3415B">
        <w:rPr>
          <w:b/>
          <w:bCs/>
        </w:rPr>
        <w:t>The dispensed price – supply by public hospital</w:t>
      </w:r>
    </w:p>
    <w:p w:rsidR="00F3415B" w:rsidRPr="00F3415B" w:rsidRDefault="00F3415B" w:rsidP="00E82649">
      <w:r w:rsidRPr="00F3415B">
        <w:t xml:space="preserve">Section </w:t>
      </w:r>
      <w:r w:rsidR="00AD61EC">
        <w:t>1</w:t>
      </w:r>
      <w:r w:rsidR="00AE49F0">
        <w:t>6</w:t>
      </w:r>
      <w:r>
        <w:t xml:space="preserve"> provides </w:t>
      </w:r>
      <w:r w:rsidRPr="00F3415B">
        <w:t xml:space="preserve">the </w:t>
      </w:r>
      <w:r w:rsidR="001D0187">
        <w:t xml:space="preserve">methods for calculating </w:t>
      </w:r>
      <w:r w:rsidRPr="00F3415B">
        <w:t>dispe</w:t>
      </w:r>
      <w:r>
        <w:t xml:space="preserve">nsed price for the supply of a </w:t>
      </w:r>
      <w:r w:rsidRPr="00F3415B">
        <w:t xml:space="preserve">pharmaceutical benefit by a hospital authority for a public hospital </w:t>
      </w:r>
      <w:r w:rsidR="001D0187">
        <w:t>when the quantity of the pharmaceutical benefit ordered and supplied is equal to a multiple of a pack, less than a pack quantity, or more than a multiple of a pack quantity.</w:t>
      </w:r>
    </w:p>
    <w:p w:rsidR="00F3415B" w:rsidRDefault="00F3415B" w:rsidP="00E82649"/>
    <w:p w:rsidR="00D15110" w:rsidRPr="00F3415B" w:rsidRDefault="00D15110" w:rsidP="00E82649">
      <w:r w:rsidRPr="00F3415B">
        <w:rPr>
          <w:b/>
          <w:bCs/>
        </w:rPr>
        <w:t xml:space="preserve">Section </w:t>
      </w:r>
      <w:r>
        <w:rPr>
          <w:b/>
          <w:bCs/>
        </w:rPr>
        <w:t>1</w:t>
      </w:r>
      <w:r w:rsidR="00D56D40">
        <w:rPr>
          <w:b/>
          <w:bCs/>
        </w:rPr>
        <w:t>7</w:t>
      </w:r>
      <w:r w:rsidRPr="00F3415B">
        <w:rPr>
          <w:b/>
          <w:bCs/>
        </w:rPr>
        <w:t>     </w:t>
      </w:r>
      <w:r>
        <w:rPr>
          <w:b/>
          <w:bCs/>
        </w:rPr>
        <w:t>Where quantity is less than a pack quantity</w:t>
      </w:r>
    </w:p>
    <w:p w:rsidR="00D15110" w:rsidRDefault="00D15110" w:rsidP="00E82649">
      <w:r w:rsidRPr="00D15110">
        <w:t xml:space="preserve">This section sets out the manner in which to calculate the dispensed price where the quantity of a pharmaceutical benefit that is ordered and supplied is less than the quantity contained in the manufacturer’s pack. </w:t>
      </w:r>
    </w:p>
    <w:p w:rsidR="00DE715D" w:rsidRDefault="00DE715D" w:rsidP="00E82649"/>
    <w:p w:rsidR="00D15110" w:rsidRPr="00615C1E" w:rsidRDefault="00D15110" w:rsidP="00730B7B">
      <w:pPr>
        <w:ind w:left="1418" w:hanging="1418"/>
        <w:rPr>
          <w:b/>
          <w:i/>
          <w:iCs/>
        </w:rPr>
      </w:pPr>
      <w:r w:rsidRPr="00615C1E">
        <w:rPr>
          <w:b/>
          <w:i/>
          <w:iCs/>
        </w:rPr>
        <w:t>Division 2        Dispensed price for supply of a pharmaceutical benefit by certain suppliers</w:t>
      </w:r>
    </w:p>
    <w:p w:rsidR="00B8039F" w:rsidRDefault="00B8039F" w:rsidP="00E82649">
      <w:pPr>
        <w:rPr>
          <w:lang w:val="en-US"/>
        </w:rPr>
      </w:pPr>
    </w:p>
    <w:p w:rsidR="00D15110" w:rsidRDefault="00D15110" w:rsidP="00E82649">
      <w:r w:rsidRPr="00F3415B">
        <w:t xml:space="preserve">This Division sets out the manner in which the dispensed price for the supply of a pharmaceutical benefit by a hospital authority for a </w:t>
      </w:r>
      <w:r>
        <w:t>private</w:t>
      </w:r>
      <w:r w:rsidRPr="00F3415B">
        <w:t xml:space="preserve"> hospital</w:t>
      </w:r>
      <w:r>
        <w:t>, an approved pharmacist or an approved medical practitioner</w:t>
      </w:r>
      <w:r w:rsidRPr="00F3415B">
        <w:t xml:space="preserve"> is</w:t>
      </w:r>
      <w:r w:rsidR="00FD361B">
        <w:t xml:space="preserve"> calculated</w:t>
      </w:r>
      <w:r w:rsidRPr="00F3415B">
        <w:t xml:space="preserve">.  </w:t>
      </w:r>
    </w:p>
    <w:p w:rsidR="00D15110" w:rsidRDefault="00D15110" w:rsidP="00E82649"/>
    <w:p w:rsidR="00D15110" w:rsidRPr="00F3415B" w:rsidRDefault="00D15110" w:rsidP="00E82649">
      <w:r w:rsidRPr="00F3415B">
        <w:t>The dispensed price is the basis fo</w:t>
      </w:r>
      <w:r>
        <w:t xml:space="preserve">r calculating the amount that these suppliers </w:t>
      </w:r>
      <w:r w:rsidRPr="00F3415B">
        <w:t>may claim for supplying a pharmaceutical benefit under the Arrangement.</w:t>
      </w:r>
    </w:p>
    <w:p w:rsidR="00D15110" w:rsidRDefault="00D15110" w:rsidP="00E82649">
      <w:pPr>
        <w:rPr>
          <w:lang w:val="en-US"/>
        </w:rPr>
      </w:pPr>
    </w:p>
    <w:p w:rsidR="00916F3C" w:rsidRPr="00F3415B" w:rsidRDefault="00D15110" w:rsidP="00E82649">
      <w:r w:rsidRPr="00F3415B">
        <w:rPr>
          <w:b/>
          <w:bCs/>
        </w:rPr>
        <w:t xml:space="preserve">Section </w:t>
      </w:r>
      <w:r w:rsidR="00D56D40">
        <w:rPr>
          <w:b/>
          <w:bCs/>
        </w:rPr>
        <w:t>18</w:t>
      </w:r>
      <w:r w:rsidR="00D56D40" w:rsidRPr="00F3415B">
        <w:rPr>
          <w:b/>
          <w:bCs/>
        </w:rPr>
        <w:t>     </w:t>
      </w:r>
      <w:r w:rsidRPr="00F3415B">
        <w:rPr>
          <w:b/>
          <w:bCs/>
        </w:rPr>
        <w:t>The dispensed price – supply by</w:t>
      </w:r>
      <w:r>
        <w:rPr>
          <w:b/>
          <w:bCs/>
        </w:rPr>
        <w:t xml:space="preserve"> an</w:t>
      </w:r>
      <w:r w:rsidRPr="00F3415B">
        <w:rPr>
          <w:b/>
          <w:bCs/>
        </w:rPr>
        <w:t xml:space="preserve"> </w:t>
      </w:r>
      <w:r>
        <w:rPr>
          <w:b/>
          <w:bCs/>
        </w:rPr>
        <w:t xml:space="preserve">approved hospital authority for a private </w:t>
      </w:r>
      <w:r w:rsidRPr="00F3415B">
        <w:rPr>
          <w:b/>
          <w:bCs/>
        </w:rPr>
        <w:t>hospital</w:t>
      </w:r>
      <w:r>
        <w:rPr>
          <w:b/>
          <w:bCs/>
        </w:rPr>
        <w:t>, an approved pharmacist or a</w:t>
      </w:r>
      <w:r w:rsidR="00615C1E">
        <w:rPr>
          <w:b/>
          <w:bCs/>
        </w:rPr>
        <w:t>n approved medical practitioner</w:t>
      </w:r>
      <w:r>
        <w:rPr>
          <w:b/>
          <w:bCs/>
        </w:rPr>
        <w:t xml:space="preserve"> </w:t>
      </w:r>
      <w:r w:rsidR="00916F3C" w:rsidRPr="00F3415B">
        <w:t xml:space="preserve">Section </w:t>
      </w:r>
      <w:r w:rsidR="00916F3C">
        <w:t xml:space="preserve">18 provides </w:t>
      </w:r>
      <w:r w:rsidR="00916F3C" w:rsidRPr="00F3415B">
        <w:t xml:space="preserve">the </w:t>
      </w:r>
      <w:r w:rsidR="00916F3C">
        <w:t xml:space="preserve">methods for calculating </w:t>
      </w:r>
      <w:r w:rsidR="00916F3C" w:rsidRPr="00F3415B">
        <w:t>dispe</w:t>
      </w:r>
      <w:r w:rsidR="00916F3C">
        <w:t xml:space="preserve">nsed price for the supply of a </w:t>
      </w:r>
      <w:r w:rsidR="00916F3C" w:rsidRPr="00F3415B">
        <w:t>pharmaceutical benefit by a hospital authority for a p</w:t>
      </w:r>
      <w:r w:rsidR="00916F3C">
        <w:t>rivate</w:t>
      </w:r>
      <w:r w:rsidR="00916F3C" w:rsidRPr="00F3415B">
        <w:t xml:space="preserve"> hospital </w:t>
      </w:r>
      <w:r w:rsidR="00916F3C">
        <w:t>when the quantity of the pharmaceutical benefit ordered and supplied is equal to a multiple of a pack, less than a pack quantity, or more than a multiple of a pack quantity.</w:t>
      </w:r>
    </w:p>
    <w:p w:rsidR="00CF0984" w:rsidRDefault="00CF0984" w:rsidP="00E82649">
      <w:pPr>
        <w:rPr>
          <w:lang w:val="en-US"/>
        </w:rPr>
      </w:pPr>
    </w:p>
    <w:p w:rsidR="00CF0984" w:rsidRPr="00F3415B" w:rsidRDefault="00CF0984" w:rsidP="00E82649">
      <w:r w:rsidRPr="00F3415B">
        <w:rPr>
          <w:b/>
          <w:bCs/>
        </w:rPr>
        <w:t xml:space="preserve">Section </w:t>
      </w:r>
      <w:r w:rsidR="00327CBF">
        <w:rPr>
          <w:b/>
          <w:bCs/>
        </w:rPr>
        <w:t>1</w:t>
      </w:r>
      <w:r w:rsidR="00784A8A">
        <w:rPr>
          <w:b/>
          <w:bCs/>
        </w:rPr>
        <w:t>9</w:t>
      </w:r>
      <w:r w:rsidRPr="00F3415B">
        <w:rPr>
          <w:b/>
          <w:bCs/>
        </w:rPr>
        <w:t>     </w:t>
      </w:r>
      <w:r>
        <w:rPr>
          <w:b/>
          <w:bCs/>
        </w:rPr>
        <w:t>Mark-up</w:t>
      </w:r>
    </w:p>
    <w:p w:rsidR="00CF0984" w:rsidRPr="00CF0984" w:rsidRDefault="00CF0984" w:rsidP="00E82649">
      <w:r w:rsidRPr="00CF0984">
        <w:t>This section sets out the mark-up that is included in the dispe</w:t>
      </w:r>
      <w:r>
        <w:t xml:space="preserve">nsed price for the supply of a </w:t>
      </w:r>
      <w:r w:rsidRPr="00CF0984">
        <w:t>pharmaceutical benefit by an approved hospital authority for a private hospital</w:t>
      </w:r>
      <w:r w:rsidR="0069398F">
        <w:t xml:space="preserve">, </w:t>
      </w:r>
      <w:r w:rsidRPr="00CF0984">
        <w:t>or an approved pharmacist</w:t>
      </w:r>
      <w:r w:rsidR="0069398F">
        <w:t xml:space="preserve"> or an approved medical practitioner</w:t>
      </w:r>
      <w:r w:rsidRPr="00CF0984">
        <w:t>.</w:t>
      </w:r>
    </w:p>
    <w:p w:rsidR="00CF0984" w:rsidRDefault="00CF0984" w:rsidP="00E82649"/>
    <w:p w:rsidR="0069398F" w:rsidRDefault="00A55452" w:rsidP="00E82649">
      <w:r w:rsidRPr="00A55452">
        <w:t xml:space="preserve">It provides for a mark-up based on the price for the maximum quantity of the pharmaceutical benefit.  </w:t>
      </w:r>
      <w:r w:rsidR="0069398F" w:rsidRPr="00A55452">
        <w:t>The maximum quantity is the maximum for prescribing purposes determined under paragraph 85A(2)(a) of the Act</w:t>
      </w:r>
      <w:r w:rsidR="0069398F">
        <w:t>.</w:t>
      </w:r>
    </w:p>
    <w:p w:rsidR="0069398F" w:rsidRDefault="0069398F" w:rsidP="00E82649"/>
    <w:p w:rsidR="00CE300C" w:rsidRDefault="00CE300C" w:rsidP="00E82649">
      <w:pPr>
        <w:pStyle w:val="HR"/>
        <w:tabs>
          <w:tab w:val="left" w:pos="709"/>
        </w:tabs>
        <w:spacing w:before="0"/>
        <w:ind w:left="0" w:firstLine="0"/>
        <w:rPr>
          <w:rFonts w:ascii="Times New Roman" w:hAnsi="Times New Roman"/>
        </w:rPr>
      </w:pPr>
      <w:r>
        <w:rPr>
          <w:rFonts w:ascii="Times New Roman" w:hAnsi="Times New Roman"/>
        </w:rPr>
        <w:t>Section</w:t>
      </w:r>
      <w:r w:rsidR="002E49F2">
        <w:rPr>
          <w:rFonts w:ascii="Times New Roman" w:hAnsi="Times New Roman"/>
        </w:rPr>
        <w:t xml:space="preserve"> 20</w:t>
      </w:r>
      <w:r>
        <w:rPr>
          <w:rFonts w:ascii="Times New Roman" w:hAnsi="Times New Roman"/>
        </w:rPr>
        <w:tab/>
      </w:r>
      <w:r w:rsidRPr="00CD00F6">
        <w:rPr>
          <w:rFonts w:ascii="Times New Roman" w:hAnsi="Times New Roman"/>
        </w:rPr>
        <w:t xml:space="preserve">Where quantity is less than a pack quantity </w:t>
      </w:r>
    </w:p>
    <w:p w:rsidR="00CE300C" w:rsidRDefault="00CE300C" w:rsidP="00E82649">
      <w:pPr>
        <w:rPr>
          <w:lang w:val="en-US"/>
        </w:rPr>
      </w:pPr>
      <w:r>
        <w:rPr>
          <w:lang w:val="en-US"/>
        </w:rPr>
        <w:t>This section determines how to work out the dispense</w:t>
      </w:r>
      <w:r w:rsidR="0015054D">
        <w:rPr>
          <w:lang w:val="en-US"/>
        </w:rPr>
        <w:t>d</w:t>
      </w:r>
      <w:r>
        <w:rPr>
          <w:lang w:val="en-US"/>
        </w:rPr>
        <w:t xml:space="preserve"> price for a part of a pack quantity – a broken quantity.  </w:t>
      </w:r>
    </w:p>
    <w:p w:rsidR="00CE300C" w:rsidRDefault="007B1E98" w:rsidP="00E82649">
      <w:pPr>
        <w:pStyle w:val="HR"/>
        <w:tabs>
          <w:tab w:val="left" w:pos="709"/>
        </w:tabs>
        <w:spacing w:before="0"/>
        <w:ind w:left="0" w:firstLine="0"/>
        <w:rPr>
          <w:rFonts w:ascii="Times New Roman" w:hAnsi="Times New Roman"/>
        </w:rPr>
      </w:pPr>
      <w:r>
        <w:rPr>
          <w:rFonts w:ascii="Times New Roman" w:hAnsi="Times New Roman"/>
        </w:rPr>
        <w:lastRenderedPageBreak/>
        <w:t>Section</w:t>
      </w:r>
      <w:r w:rsidR="002E49F2">
        <w:rPr>
          <w:rFonts w:ascii="Times New Roman" w:hAnsi="Times New Roman"/>
        </w:rPr>
        <w:t xml:space="preserve"> 21</w:t>
      </w:r>
      <w:r w:rsidR="00CE300C">
        <w:rPr>
          <w:rFonts w:ascii="Times New Roman" w:hAnsi="Times New Roman"/>
        </w:rPr>
        <w:tab/>
        <w:t>Dispensing fee</w:t>
      </w:r>
      <w:r w:rsidR="00CE300C" w:rsidRPr="00CD00F6">
        <w:rPr>
          <w:rFonts w:ascii="Times New Roman" w:hAnsi="Times New Roman"/>
        </w:rPr>
        <w:t xml:space="preserve"> </w:t>
      </w:r>
    </w:p>
    <w:p w:rsidR="00CE300C" w:rsidRDefault="00CE300C" w:rsidP="00E82649">
      <w:r>
        <w:t xml:space="preserve">This section provides that where an eligible medical practitioner, instead of directing a repeated supply of a pharmaceutical benefit, directs the supply on one occasion of a quantity or number of units of the drug, the dispensed price of the pharmaceutical benefit will only include </w:t>
      </w:r>
      <w:r w:rsidR="0010174C">
        <w:t>one</w:t>
      </w:r>
      <w:r>
        <w:t xml:space="preserve"> dispensing fee.  </w:t>
      </w:r>
    </w:p>
    <w:p w:rsidR="00CE300C" w:rsidRDefault="00CE300C" w:rsidP="00E82649"/>
    <w:p w:rsidR="00CE300C" w:rsidRDefault="00CE300C" w:rsidP="00E82649">
      <w:pPr>
        <w:rPr>
          <w:b/>
          <w:bCs/>
        </w:rPr>
      </w:pPr>
    </w:p>
    <w:p w:rsidR="007B1E98" w:rsidRDefault="007B1E98" w:rsidP="00E82649">
      <w:pPr>
        <w:ind w:left="1560" w:hanging="1560"/>
        <w:rPr>
          <w:b/>
          <w:i/>
          <w:iCs/>
        </w:rPr>
      </w:pPr>
      <w:r>
        <w:rPr>
          <w:b/>
          <w:i/>
          <w:iCs/>
        </w:rPr>
        <w:t>Division 3</w:t>
      </w:r>
      <w:r w:rsidRPr="00615C1E">
        <w:rPr>
          <w:b/>
          <w:i/>
          <w:iCs/>
        </w:rPr>
        <w:t xml:space="preserve">        Dispensed price </w:t>
      </w:r>
      <w:r>
        <w:rPr>
          <w:b/>
          <w:i/>
          <w:iCs/>
        </w:rPr>
        <w:t>– other matters</w:t>
      </w:r>
    </w:p>
    <w:p w:rsidR="007B1E98" w:rsidRPr="00615C1E" w:rsidRDefault="007B1E98" w:rsidP="00E82649">
      <w:pPr>
        <w:ind w:left="1560" w:hanging="1560"/>
        <w:rPr>
          <w:b/>
          <w:i/>
          <w:iCs/>
        </w:rPr>
      </w:pPr>
    </w:p>
    <w:p w:rsidR="00CE300C" w:rsidRDefault="00CE300C" w:rsidP="00E82649">
      <w:r w:rsidRPr="00CE300C">
        <w:rPr>
          <w:b/>
        </w:rPr>
        <w:t>Section</w:t>
      </w:r>
      <w:r w:rsidR="002E49F2">
        <w:rPr>
          <w:b/>
        </w:rPr>
        <w:t xml:space="preserve"> </w:t>
      </w:r>
      <w:r w:rsidR="002E49F2">
        <w:rPr>
          <w:b/>
          <w:bCs/>
        </w:rPr>
        <w:t>22</w:t>
      </w:r>
      <w:r>
        <w:rPr>
          <w:b/>
          <w:bCs/>
        </w:rPr>
        <w:t>      Rounding up of dispensed price</w:t>
      </w:r>
    </w:p>
    <w:p w:rsidR="00CE300C" w:rsidRDefault="00CE300C" w:rsidP="00E82649">
      <w:r>
        <w:t xml:space="preserve">This section provides that the dispensed price for the supply of a pharmaceutical benefit is rounded to the nearest cent, with one half cent being </w:t>
      </w:r>
      <w:r w:rsidR="00965C52">
        <w:t xml:space="preserve">rounded up to </w:t>
      </w:r>
      <w:r>
        <w:t>one cent.</w:t>
      </w:r>
    </w:p>
    <w:p w:rsidR="00CE300C" w:rsidRDefault="00CE300C" w:rsidP="00E82649">
      <w:pPr>
        <w:rPr>
          <w:lang w:val="en-US"/>
        </w:rPr>
      </w:pPr>
    </w:p>
    <w:p w:rsidR="00CE300C" w:rsidRPr="003C5CAB" w:rsidRDefault="00CE300C" w:rsidP="00E82649">
      <w:pPr>
        <w:rPr>
          <w:b/>
          <w:sz w:val="28"/>
          <w:szCs w:val="28"/>
        </w:rPr>
      </w:pPr>
      <w:r w:rsidRPr="003C5CAB">
        <w:rPr>
          <w:b/>
          <w:sz w:val="28"/>
          <w:szCs w:val="28"/>
        </w:rPr>
        <w:t xml:space="preserve">Part </w:t>
      </w:r>
      <w:r w:rsidR="00D37020">
        <w:rPr>
          <w:b/>
          <w:sz w:val="28"/>
          <w:szCs w:val="28"/>
        </w:rPr>
        <w:t>6</w:t>
      </w:r>
      <w:r w:rsidRPr="003C5CAB">
        <w:rPr>
          <w:b/>
          <w:sz w:val="28"/>
          <w:szCs w:val="28"/>
        </w:rPr>
        <w:t xml:space="preserve"> –</w:t>
      </w:r>
      <w:r>
        <w:rPr>
          <w:b/>
          <w:sz w:val="28"/>
          <w:szCs w:val="28"/>
        </w:rPr>
        <w:t>Patient contributions</w:t>
      </w:r>
    </w:p>
    <w:p w:rsidR="00CE300C" w:rsidRDefault="00CE300C" w:rsidP="00E82649">
      <w:r>
        <w:t xml:space="preserve">Part </w:t>
      </w:r>
      <w:r w:rsidR="00D37020">
        <w:t>6</w:t>
      </w:r>
      <w:r>
        <w:t xml:space="preserve"> sets out the amounts which a patient may be charged for the supply of a pharmaceutical benefit under this </w:t>
      </w:r>
      <w:r w:rsidR="0010174C">
        <w:t xml:space="preserve">Special </w:t>
      </w:r>
      <w:r>
        <w:t>Arrangement.</w:t>
      </w:r>
    </w:p>
    <w:p w:rsidR="00E82649" w:rsidRDefault="00E82649" w:rsidP="00E82649"/>
    <w:p w:rsidR="007B1E98" w:rsidRDefault="00CE300C" w:rsidP="00E82649">
      <w:pPr>
        <w:rPr>
          <w:b/>
        </w:rPr>
      </w:pPr>
      <w:r w:rsidRPr="00CE300C">
        <w:rPr>
          <w:b/>
        </w:rPr>
        <w:t>Section</w:t>
      </w:r>
      <w:r w:rsidR="00D37020">
        <w:rPr>
          <w:b/>
        </w:rPr>
        <w:t xml:space="preserve"> 23</w:t>
      </w:r>
      <w:r w:rsidRPr="00CE300C">
        <w:rPr>
          <w:b/>
        </w:rPr>
        <w:tab/>
        <w:t xml:space="preserve">Patient contributions </w:t>
      </w:r>
    </w:p>
    <w:p w:rsidR="00CE300C" w:rsidRDefault="00CE300C" w:rsidP="00E82649">
      <w:r>
        <w:t>This section sets out the amount that an approved hospital authority for a private or public hospital</w:t>
      </w:r>
      <w:r w:rsidR="007B1E98">
        <w:t>, an approved medical practitioner or an approved pharmacist</w:t>
      </w:r>
      <w:r>
        <w:t xml:space="preserve"> may charge a patient for the supply of a pharmaceutical benefit</w:t>
      </w:r>
      <w:r w:rsidR="0010174C">
        <w:t>,</w:t>
      </w:r>
      <w:r>
        <w:t xml:space="preserve"> where a claim for payment is made.</w:t>
      </w:r>
    </w:p>
    <w:p w:rsidR="00A47002" w:rsidRPr="00615C1E" w:rsidRDefault="00A47002" w:rsidP="00E82649">
      <w:pPr>
        <w:rPr>
          <w:b/>
        </w:rPr>
      </w:pPr>
    </w:p>
    <w:p w:rsidR="00CE300C" w:rsidRDefault="007B1E98" w:rsidP="00E82649">
      <w:r>
        <w:t>In these circumstances</w:t>
      </w:r>
      <w:r w:rsidR="0010174C">
        <w:t>,</w:t>
      </w:r>
      <w:r w:rsidR="00CE300C">
        <w:t xml:space="preserve"> the patient</w:t>
      </w:r>
      <w:r>
        <w:t xml:space="preserve"> may be charged</w:t>
      </w:r>
      <w:r w:rsidR="00CE300C">
        <w:t xml:space="preserve"> an amount equivalent to the amount that may be charged under section 87 of the Act for the supply of a pharmaceutical benefit to a patient.</w:t>
      </w:r>
    </w:p>
    <w:p w:rsidR="00687D66" w:rsidRDefault="00687D66" w:rsidP="00E82649">
      <w:pPr>
        <w:rPr>
          <w:lang w:val="en-US"/>
        </w:rPr>
      </w:pPr>
    </w:p>
    <w:p w:rsidR="00687D66" w:rsidRPr="00BE796D" w:rsidRDefault="00687D66" w:rsidP="00E82649">
      <w:pPr>
        <w:rPr>
          <w:b/>
          <w:sz w:val="28"/>
          <w:szCs w:val="28"/>
        </w:rPr>
      </w:pPr>
      <w:r w:rsidRPr="00BE796D">
        <w:rPr>
          <w:b/>
          <w:sz w:val="28"/>
          <w:szCs w:val="28"/>
        </w:rPr>
        <w:t>Part </w:t>
      </w:r>
      <w:r w:rsidR="00C93F22">
        <w:rPr>
          <w:b/>
          <w:sz w:val="28"/>
          <w:szCs w:val="28"/>
        </w:rPr>
        <w:t>7</w:t>
      </w:r>
      <w:r w:rsidR="00C93F22" w:rsidRPr="00BE796D">
        <w:rPr>
          <w:b/>
          <w:sz w:val="28"/>
          <w:szCs w:val="28"/>
        </w:rPr>
        <w:t xml:space="preserve"> </w:t>
      </w:r>
      <w:r w:rsidRPr="00BE796D">
        <w:rPr>
          <w:b/>
          <w:sz w:val="28"/>
          <w:szCs w:val="28"/>
        </w:rPr>
        <w:t xml:space="preserve">– Approved Hospital Authorities </w:t>
      </w:r>
    </w:p>
    <w:p w:rsidR="003E33A2" w:rsidRDefault="003E33A2" w:rsidP="00E82649">
      <w:r>
        <w:t xml:space="preserve">This section makes changes to section 94 approved hospital authorities for the supply of </w:t>
      </w:r>
      <w:r w:rsidR="00C93F22">
        <w:t>Growth Hormone</w:t>
      </w:r>
      <w:r>
        <w:t xml:space="preserve"> pharmaceutical benefits on presentation of a valid PBS prescription.</w:t>
      </w:r>
    </w:p>
    <w:p w:rsidR="00E82649" w:rsidRDefault="00E82649" w:rsidP="00E82649"/>
    <w:p w:rsidR="00050E00" w:rsidRDefault="00050E00" w:rsidP="00E82649">
      <w:pPr>
        <w:rPr>
          <w:b/>
        </w:rPr>
      </w:pPr>
      <w:r w:rsidRPr="00CE300C">
        <w:rPr>
          <w:b/>
        </w:rPr>
        <w:t xml:space="preserve">Section </w:t>
      </w:r>
      <w:r w:rsidR="00C93F22">
        <w:rPr>
          <w:b/>
        </w:rPr>
        <w:t>24</w:t>
      </w:r>
      <w:r>
        <w:rPr>
          <w:b/>
        </w:rPr>
        <w:tab/>
        <w:t>Modified application of section 94 approved hospital authorities</w:t>
      </w:r>
    </w:p>
    <w:p w:rsidR="00272FA4" w:rsidRDefault="00050E00" w:rsidP="00E82649">
      <w:r>
        <w:t xml:space="preserve">This supports section 94 approved hospital authorities to supply pharmaceutical benefits following presentation of a valid PBS prescription for a medicine </w:t>
      </w:r>
      <w:r w:rsidR="00D951CB">
        <w:t xml:space="preserve">for a patient regardless of where </w:t>
      </w:r>
      <w:r>
        <w:t xml:space="preserve">that patient </w:t>
      </w:r>
      <w:r w:rsidR="00D951CB">
        <w:t xml:space="preserve">is </w:t>
      </w:r>
      <w:r>
        <w:t>receiving treatment</w:t>
      </w:r>
      <w:r w:rsidR="00D951CB">
        <w:t>.</w:t>
      </w:r>
    </w:p>
    <w:p w:rsidR="00E346B9" w:rsidRDefault="00E346B9" w:rsidP="00E82649"/>
    <w:p w:rsidR="002052D5" w:rsidRPr="003C5CAB" w:rsidRDefault="002052D5" w:rsidP="00E82649">
      <w:pPr>
        <w:rPr>
          <w:b/>
          <w:sz w:val="28"/>
          <w:szCs w:val="28"/>
        </w:rPr>
      </w:pPr>
      <w:r w:rsidRPr="003C5CAB">
        <w:rPr>
          <w:b/>
          <w:sz w:val="28"/>
          <w:szCs w:val="28"/>
        </w:rPr>
        <w:t xml:space="preserve">Part </w:t>
      </w:r>
      <w:r w:rsidR="00BC15E0">
        <w:rPr>
          <w:b/>
          <w:sz w:val="28"/>
          <w:szCs w:val="28"/>
        </w:rPr>
        <w:t>8</w:t>
      </w:r>
      <w:r w:rsidR="00D35556" w:rsidRPr="003C5CAB">
        <w:rPr>
          <w:b/>
          <w:sz w:val="28"/>
          <w:szCs w:val="28"/>
        </w:rPr>
        <w:t xml:space="preserve"> </w:t>
      </w:r>
      <w:r w:rsidRPr="003C5CAB">
        <w:rPr>
          <w:b/>
          <w:sz w:val="28"/>
          <w:szCs w:val="28"/>
        </w:rPr>
        <w:t>–</w:t>
      </w:r>
      <w:r>
        <w:rPr>
          <w:b/>
          <w:sz w:val="28"/>
          <w:szCs w:val="28"/>
        </w:rPr>
        <w:t>Transitional arrangements</w:t>
      </w:r>
    </w:p>
    <w:p w:rsidR="002052D5" w:rsidRDefault="002052D5" w:rsidP="00E82649">
      <w:r>
        <w:t xml:space="preserve">Part </w:t>
      </w:r>
      <w:r w:rsidR="00BC15E0">
        <w:t>8</w:t>
      </w:r>
      <w:r w:rsidR="00E05757">
        <w:t xml:space="preserve"> </w:t>
      </w:r>
      <w:r>
        <w:t xml:space="preserve">provides for transitional arrangements for the supply of a pharmaceutical benefit in Schedule </w:t>
      </w:r>
      <w:r w:rsidR="0010174C">
        <w:t>1</w:t>
      </w:r>
      <w:r>
        <w:t xml:space="preserve"> under this Arrangement.</w:t>
      </w:r>
    </w:p>
    <w:p w:rsidR="00E82649" w:rsidRDefault="00E82649" w:rsidP="00E82649"/>
    <w:p w:rsidR="002052D5" w:rsidRPr="00CD00F6" w:rsidRDefault="002052D5" w:rsidP="00E82649">
      <w:pPr>
        <w:pStyle w:val="A1"/>
        <w:tabs>
          <w:tab w:val="left" w:pos="567"/>
        </w:tabs>
        <w:spacing w:before="0" w:line="240" w:lineRule="auto"/>
        <w:ind w:left="0" w:firstLine="0"/>
        <w:rPr>
          <w:rFonts w:ascii="Times New Roman" w:hAnsi="Times New Roman"/>
        </w:rPr>
      </w:pPr>
      <w:r>
        <w:rPr>
          <w:rFonts w:ascii="Times New Roman" w:hAnsi="Times New Roman"/>
        </w:rPr>
        <w:t xml:space="preserve">Section </w:t>
      </w:r>
      <w:r w:rsidR="00BC15E0">
        <w:rPr>
          <w:rFonts w:ascii="Times New Roman" w:hAnsi="Times New Roman"/>
        </w:rPr>
        <w:t xml:space="preserve">25 </w:t>
      </w:r>
      <w:r>
        <w:rPr>
          <w:rFonts w:ascii="Times New Roman" w:hAnsi="Times New Roman"/>
        </w:rPr>
        <w:tab/>
      </w:r>
      <w:r w:rsidR="007E494E">
        <w:rPr>
          <w:rFonts w:ascii="Times New Roman" w:hAnsi="Times New Roman"/>
        </w:rPr>
        <w:t>Definitions</w:t>
      </w:r>
    </w:p>
    <w:p w:rsidR="002052D5" w:rsidRDefault="008B6A07" w:rsidP="00E82649">
      <w:pPr>
        <w:rPr>
          <w:lang w:val="en-US"/>
        </w:rPr>
      </w:pPr>
      <w:r>
        <w:t xml:space="preserve">This </w:t>
      </w:r>
      <w:r>
        <w:rPr>
          <w:lang w:val="en-US"/>
        </w:rPr>
        <w:t>section d</w:t>
      </w:r>
      <w:r w:rsidR="002052D5">
        <w:rPr>
          <w:lang w:val="en-US"/>
        </w:rPr>
        <w:t xml:space="preserve">efines what </w:t>
      </w:r>
      <w:r w:rsidR="006E6E89">
        <w:rPr>
          <w:lang w:val="en-US"/>
        </w:rPr>
        <w:t>‘</w:t>
      </w:r>
      <w:r w:rsidR="00672381">
        <w:rPr>
          <w:lang w:val="en-US"/>
        </w:rPr>
        <w:t>old arrangement</w:t>
      </w:r>
      <w:r w:rsidR="006E6E89">
        <w:rPr>
          <w:lang w:val="en-US"/>
        </w:rPr>
        <w:t>’</w:t>
      </w:r>
      <w:r w:rsidR="007E494E">
        <w:rPr>
          <w:lang w:val="en-US"/>
        </w:rPr>
        <w:t xml:space="preserve"> and </w:t>
      </w:r>
      <w:r w:rsidR="006E6E89">
        <w:rPr>
          <w:lang w:val="en-US"/>
        </w:rPr>
        <w:t>‘</w:t>
      </w:r>
      <w:r w:rsidR="007E494E">
        <w:rPr>
          <w:lang w:val="en-US"/>
        </w:rPr>
        <w:t>growth hormone treatment</w:t>
      </w:r>
      <w:r w:rsidR="006E6E89">
        <w:rPr>
          <w:lang w:val="en-US"/>
        </w:rPr>
        <w:t>’</w:t>
      </w:r>
      <w:r w:rsidR="00672381">
        <w:rPr>
          <w:lang w:val="en-US"/>
        </w:rPr>
        <w:t xml:space="preserve"> is</w:t>
      </w:r>
      <w:r w:rsidR="002052D5">
        <w:rPr>
          <w:lang w:val="en-US"/>
        </w:rPr>
        <w:t xml:space="preserve"> for the purposes of the transitional provisions. </w:t>
      </w:r>
    </w:p>
    <w:p w:rsidR="007C4D3E" w:rsidRDefault="007C4D3E" w:rsidP="00E82649">
      <w:pPr>
        <w:rPr>
          <w:lang w:val="en-US"/>
        </w:rPr>
      </w:pPr>
    </w:p>
    <w:p w:rsidR="007C4D3E" w:rsidRPr="007C4D3E" w:rsidRDefault="007C4D3E" w:rsidP="00E82649">
      <w:pPr>
        <w:rPr>
          <w:b/>
        </w:rPr>
      </w:pPr>
      <w:r w:rsidRPr="007C4D3E">
        <w:rPr>
          <w:b/>
        </w:rPr>
        <w:t xml:space="preserve">Section </w:t>
      </w:r>
      <w:r w:rsidR="00BC15E0" w:rsidRPr="007C4D3E">
        <w:rPr>
          <w:b/>
        </w:rPr>
        <w:t>2</w:t>
      </w:r>
      <w:r w:rsidR="00BC15E0">
        <w:rPr>
          <w:b/>
        </w:rPr>
        <w:t>6</w:t>
      </w:r>
      <w:r w:rsidRPr="007C4D3E">
        <w:rPr>
          <w:b/>
        </w:rPr>
        <w:tab/>
        <w:t>Pending applications under the old Arrangement</w:t>
      </w:r>
    </w:p>
    <w:p w:rsidR="007C4D3E" w:rsidRDefault="007C4D3E" w:rsidP="00E82649">
      <w:r>
        <w:t>This section defines when pending applications cease to be valid applications under the old Arrangement.</w:t>
      </w:r>
    </w:p>
    <w:p w:rsidR="00E82649" w:rsidRDefault="00E82649" w:rsidP="00E82649"/>
    <w:p w:rsidR="00CE7690" w:rsidRDefault="00CE7690" w:rsidP="00E82649">
      <w:pPr>
        <w:rPr>
          <w:lang w:val="en-US"/>
        </w:rPr>
      </w:pPr>
    </w:p>
    <w:p w:rsidR="00CE7690" w:rsidRDefault="00CE7690" w:rsidP="00E82649">
      <w:pPr>
        <w:rPr>
          <w:b/>
        </w:rPr>
      </w:pPr>
      <w:r w:rsidRPr="007C4D3E">
        <w:rPr>
          <w:b/>
        </w:rPr>
        <w:lastRenderedPageBreak/>
        <w:t xml:space="preserve">Section </w:t>
      </w:r>
      <w:r w:rsidR="00BC15E0" w:rsidRPr="007C4D3E">
        <w:rPr>
          <w:b/>
        </w:rPr>
        <w:t>2</w:t>
      </w:r>
      <w:r w:rsidR="00BC15E0">
        <w:rPr>
          <w:b/>
        </w:rPr>
        <w:t>7</w:t>
      </w:r>
      <w:r w:rsidR="00BC15E0" w:rsidRPr="007C4D3E">
        <w:rPr>
          <w:b/>
        </w:rPr>
        <w:t xml:space="preserve"> </w:t>
      </w:r>
      <w:r w:rsidRPr="007C4D3E">
        <w:rPr>
          <w:b/>
        </w:rPr>
        <w:tab/>
      </w:r>
      <w:r>
        <w:rPr>
          <w:b/>
        </w:rPr>
        <w:t>Treatment of patients</w:t>
      </w:r>
      <w:r w:rsidRPr="007C4D3E">
        <w:rPr>
          <w:b/>
        </w:rPr>
        <w:t xml:space="preserve"> under the old Arrangement</w:t>
      </w:r>
    </w:p>
    <w:p w:rsidR="00CE7690" w:rsidRDefault="00CE7690" w:rsidP="00E82649">
      <w:r>
        <w:t xml:space="preserve">This section allows patients that have been approved to receive growth hormone treatment under the old Arrangement to continue to be treated for that treatment period under the old Arrangement. At the end of that treatment period applications for that patient must be made in accordance with this Special Arrangement. </w:t>
      </w:r>
    </w:p>
    <w:p w:rsidR="00E82649" w:rsidRPr="007C4D3E" w:rsidRDefault="00E82649" w:rsidP="00E82649">
      <w:pPr>
        <w:rPr>
          <w:b/>
        </w:rPr>
      </w:pPr>
    </w:p>
    <w:p w:rsidR="002052D5" w:rsidRPr="00CD00F6" w:rsidRDefault="002052D5" w:rsidP="00E82649">
      <w:pPr>
        <w:pStyle w:val="A1"/>
        <w:tabs>
          <w:tab w:val="left" w:pos="567"/>
        </w:tabs>
        <w:spacing w:before="0" w:line="240" w:lineRule="auto"/>
        <w:ind w:left="0" w:firstLine="0"/>
        <w:rPr>
          <w:rFonts w:ascii="Times New Roman" w:hAnsi="Times New Roman"/>
        </w:rPr>
      </w:pPr>
      <w:r>
        <w:rPr>
          <w:rFonts w:ascii="Times New Roman" w:hAnsi="Times New Roman"/>
        </w:rPr>
        <w:t>Section</w:t>
      </w:r>
      <w:r w:rsidR="00E45781">
        <w:rPr>
          <w:rFonts w:ascii="Times New Roman" w:hAnsi="Times New Roman"/>
        </w:rPr>
        <w:t xml:space="preserve"> </w:t>
      </w:r>
      <w:r w:rsidR="00BC15E0">
        <w:rPr>
          <w:rFonts w:ascii="Times New Roman" w:hAnsi="Times New Roman"/>
        </w:rPr>
        <w:t>28</w:t>
      </w:r>
      <w:r>
        <w:rPr>
          <w:rFonts w:ascii="Times New Roman" w:hAnsi="Times New Roman"/>
        </w:rPr>
        <w:tab/>
      </w:r>
      <w:r w:rsidRPr="00CD00F6">
        <w:rPr>
          <w:rFonts w:ascii="Times New Roman" w:hAnsi="Times New Roman"/>
        </w:rPr>
        <w:t>Claim</w:t>
      </w:r>
      <w:r w:rsidR="004F26C2">
        <w:rPr>
          <w:rFonts w:ascii="Times New Roman" w:hAnsi="Times New Roman"/>
        </w:rPr>
        <w:t xml:space="preserve">s for payment </w:t>
      </w:r>
      <w:r w:rsidRPr="00CD00F6">
        <w:rPr>
          <w:rFonts w:ascii="Times New Roman" w:hAnsi="Times New Roman"/>
        </w:rPr>
        <w:t xml:space="preserve">lodged but not determined under </w:t>
      </w:r>
      <w:r w:rsidR="008E642D">
        <w:rPr>
          <w:rFonts w:ascii="Times New Roman" w:hAnsi="Times New Roman"/>
        </w:rPr>
        <w:t xml:space="preserve">the </w:t>
      </w:r>
      <w:r w:rsidRPr="00CD00F6">
        <w:rPr>
          <w:rFonts w:ascii="Times New Roman" w:hAnsi="Times New Roman"/>
        </w:rPr>
        <w:t>old Arrangement</w:t>
      </w:r>
    </w:p>
    <w:p w:rsidR="002052D5" w:rsidRDefault="002052D5" w:rsidP="00E82649">
      <w:r>
        <w:t>This section provides for transitional arrangements, which have the effect that a claim that was lodged, but not fi</w:t>
      </w:r>
      <w:r w:rsidR="00134B00">
        <w:t>nally determined under the old Arrangement</w:t>
      </w:r>
      <w:r>
        <w:t xml:space="preserve"> is taken to be a claim made, and may be processed</w:t>
      </w:r>
      <w:r w:rsidR="00134B00">
        <w:t>,</w:t>
      </w:r>
      <w:r>
        <w:t xml:space="preserve"> under the old Arrangement. </w:t>
      </w:r>
    </w:p>
    <w:p w:rsidR="00E82649" w:rsidRDefault="00E82649" w:rsidP="00E82649"/>
    <w:p w:rsidR="008B6A07" w:rsidRDefault="002052D5" w:rsidP="00E82649">
      <w:pPr>
        <w:pStyle w:val="A2"/>
        <w:tabs>
          <w:tab w:val="left" w:pos="567"/>
        </w:tabs>
        <w:spacing w:before="0" w:line="240" w:lineRule="auto"/>
        <w:ind w:left="0" w:firstLine="0"/>
        <w:jc w:val="left"/>
        <w:rPr>
          <w:b/>
        </w:rPr>
      </w:pPr>
      <w:r>
        <w:rPr>
          <w:b/>
        </w:rPr>
        <w:t>Section</w:t>
      </w:r>
      <w:r w:rsidR="00E05757">
        <w:rPr>
          <w:b/>
        </w:rPr>
        <w:t xml:space="preserve"> </w:t>
      </w:r>
      <w:r w:rsidR="00BC15E0">
        <w:rPr>
          <w:b/>
        </w:rPr>
        <w:t>29</w:t>
      </w:r>
      <w:r>
        <w:rPr>
          <w:b/>
        </w:rPr>
        <w:tab/>
      </w:r>
      <w:r w:rsidRPr="00CD00F6">
        <w:rPr>
          <w:b/>
        </w:rPr>
        <w:t>Suppl</w:t>
      </w:r>
      <w:r w:rsidR="004F26C2">
        <w:rPr>
          <w:b/>
        </w:rPr>
        <w:t>ies</w:t>
      </w:r>
      <w:r w:rsidRPr="00CD00F6">
        <w:rPr>
          <w:b/>
        </w:rPr>
        <w:t xml:space="preserve"> made but not claimed for under </w:t>
      </w:r>
      <w:r w:rsidR="008E642D">
        <w:rPr>
          <w:b/>
        </w:rPr>
        <w:t xml:space="preserve">the </w:t>
      </w:r>
      <w:r w:rsidRPr="00CD00F6">
        <w:rPr>
          <w:b/>
        </w:rPr>
        <w:t>old Arrangement</w:t>
      </w:r>
    </w:p>
    <w:p w:rsidR="002052D5" w:rsidRPr="008B6A07" w:rsidRDefault="008B6A07" w:rsidP="00E82649">
      <w:pPr>
        <w:pStyle w:val="A2"/>
        <w:tabs>
          <w:tab w:val="left" w:pos="567"/>
        </w:tabs>
        <w:spacing w:before="0" w:line="240" w:lineRule="auto"/>
        <w:ind w:left="0" w:firstLine="0"/>
        <w:jc w:val="left"/>
        <w:rPr>
          <w:b/>
        </w:rPr>
      </w:pPr>
      <w:r>
        <w:t xml:space="preserve">This </w:t>
      </w:r>
      <w:r w:rsidR="002052D5">
        <w:t xml:space="preserve">section provides for transitional arrangements, which have the effect that if a supply was made under the </w:t>
      </w:r>
      <w:r w:rsidR="00134B00">
        <w:t>old A</w:t>
      </w:r>
      <w:r w:rsidR="002052D5">
        <w:t>rran</w:t>
      </w:r>
      <w:r>
        <w:t>ge</w:t>
      </w:r>
      <w:r w:rsidR="00134B00">
        <w:t>ment</w:t>
      </w:r>
      <w:r w:rsidR="002052D5">
        <w:t xml:space="preserve"> but no claim was lodged, the claim wil</w:t>
      </w:r>
      <w:r>
        <w:t>l</w:t>
      </w:r>
      <w:r w:rsidR="002052D5">
        <w:t xml:space="preserve"> be processed under the old Arrangement. </w:t>
      </w:r>
    </w:p>
    <w:p w:rsidR="002052D5" w:rsidRDefault="002052D5" w:rsidP="00E82649">
      <w:pPr>
        <w:rPr>
          <w:lang w:val="en-US"/>
        </w:rPr>
      </w:pPr>
    </w:p>
    <w:p w:rsidR="002052D5" w:rsidRDefault="002052D5" w:rsidP="00E82649">
      <w:pPr>
        <w:rPr>
          <w:lang w:val="en-US"/>
        </w:rPr>
      </w:pPr>
      <w:r>
        <w:rPr>
          <w:lang w:val="en-US"/>
        </w:rPr>
        <w:br w:type="page"/>
      </w:r>
    </w:p>
    <w:p w:rsidR="00D51CF3" w:rsidRPr="0033682F"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spacing w:after="120"/>
        <w:jc w:val="center"/>
        <w:rPr>
          <w:b/>
        </w:rPr>
      </w:pPr>
      <w:r w:rsidRPr="0033682F">
        <w:rPr>
          <w:b/>
        </w:rPr>
        <w:lastRenderedPageBreak/>
        <w:t>Statement of Compatibility with Human Rights</w:t>
      </w:r>
    </w:p>
    <w:p w:rsidR="00D51CF3" w:rsidRPr="00D76B68"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spacing w:after="120"/>
        <w:jc w:val="center"/>
      </w:pPr>
      <w:r w:rsidRPr="00D76B68">
        <w:rPr>
          <w:i/>
        </w:rPr>
        <w:t>P</w:t>
      </w:r>
      <w:r>
        <w:rPr>
          <w:i/>
        </w:rPr>
        <w:t>repared in accordance with Part </w:t>
      </w:r>
      <w:r w:rsidRPr="00D76B68">
        <w:rPr>
          <w:i/>
        </w:rPr>
        <w:t>3 of the Human Righ</w:t>
      </w:r>
      <w:r>
        <w:rPr>
          <w:i/>
        </w:rPr>
        <w:t>ts (Parliamentary Scrutiny) Act </w:t>
      </w:r>
      <w:r w:rsidRPr="00D76B68">
        <w:rPr>
          <w:i/>
        </w:rPr>
        <w:t>2011</w:t>
      </w:r>
    </w:p>
    <w:p w:rsidR="00D51CF3" w:rsidRPr="0033682F"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spacing w:after="120"/>
        <w:jc w:val="center"/>
        <w:rPr>
          <w:i/>
        </w:rPr>
      </w:pPr>
      <w:r w:rsidRPr="0033682F">
        <w:rPr>
          <w:b/>
          <w:i/>
        </w:rPr>
        <w:t>National Health (</w:t>
      </w:r>
      <w:r w:rsidR="00DE715D">
        <w:rPr>
          <w:b/>
          <w:i/>
        </w:rPr>
        <w:t xml:space="preserve">Growth Hormone </w:t>
      </w:r>
      <w:r w:rsidR="00282499">
        <w:rPr>
          <w:b/>
          <w:i/>
        </w:rPr>
        <w:t xml:space="preserve">Program) </w:t>
      </w:r>
      <w:r w:rsidR="00044546">
        <w:rPr>
          <w:b/>
          <w:i/>
        </w:rPr>
        <w:t xml:space="preserve">Special Arrangement </w:t>
      </w:r>
      <w:r w:rsidR="00B52BC0">
        <w:rPr>
          <w:b/>
          <w:i/>
        </w:rPr>
        <w:t>2015</w:t>
      </w:r>
    </w:p>
    <w:p w:rsidR="00D51CF3" w:rsidRPr="00D76B68"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spacing w:after="120"/>
      </w:pPr>
      <w:r>
        <w:t xml:space="preserve">This instrument </w:t>
      </w:r>
      <w:r w:rsidRPr="00D76B68">
        <w:t>is compatible with the human rights and freedoms recognised or declared in the internationa</w:t>
      </w:r>
      <w:r w:rsidR="00282499">
        <w:t>l instruments listed in section </w:t>
      </w:r>
      <w:r w:rsidRPr="00D76B68">
        <w:t xml:space="preserve">3 of the </w:t>
      </w:r>
      <w:r w:rsidRPr="00D76B68">
        <w:rPr>
          <w:i/>
        </w:rPr>
        <w:t>Human Rights (Parliamentary Scrutiny) Act 2011</w:t>
      </w:r>
      <w:r w:rsidRPr="00D76B68">
        <w:t>.</w:t>
      </w:r>
      <w:r>
        <w:t xml:space="preserve">  </w:t>
      </w:r>
    </w:p>
    <w:p w:rsidR="00D51CF3"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rPr>
          <w:b/>
        </w:rPr>
      </w:pPr>
      <w:r>
        <w:rPr>
          <w:b/>
        </w:rPr>
        <w:t>Overview of the Instrument</w:t>
      </w:r>
    </w:p>
    <w:p w:rsidR="00D51CF3"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pPr>
      <w:r w:rsidRPr="0059184C">
        <w:t xml:space="preserve">The </w:t>
      </w:r>
      <w:r w:rsidR="00B52BC0">
        <w:rPr>
          <w:i/>
        </w:rPr>
        <w:t>National Health (</w:t>
      </w:r>
      <w:r w:rsidR="00DE715D">
        <w:rPr>
          <w:i/>
        </w:rPr>
        <w:t xml:space="preserve">Growth Hormone </w:t>
      </w:r>
      <w:r w:rsidR="00B52BC0">
        <w:rPr>
          <w:i/>
        </w:rPr>
        <w:t xml:space="preserve">Program) </w:t>
      </w:r>
      <w:r w:rsidR="00044546">
        <w:rPr>
          <w:i/>
        </w:rPr>
        <w:t xml:space="preserve">Special Arrangement </w:t>
      </w:r>
      <w:r w:rsidR="00B52BC0">
        <w:rPr>
          <w:i/>
        </w:rPr>
        <w:t>2015</w:t>
      </w:r>
      <w:r w:rsidR="00B30FFF">
        <w:t xml:space="preserve"> </w:t>
      </w:r>
      <w:r w:rsidR="00B52BC0" w:rsidRPr="005651E6">
        <w:t>(PB </w:t>
      </w:r>
      <w:r w:rsidR="005651E6" w:rsidRPr="005651E6">
        <w:t xml:space="preserve">85 </w:t>
      </w:r>
      <w:r w:rsidRPr="005651E6">
        <w:t>of 2015)</w:t>
      </w:r>
      <w:r>
        <w:t xml:space="preserve"> repeals</w:t>
      </w:r>
      <w:r w:rsidRPr="0059184C">
        <w:t xml:space="preserve"> the </w:t>
      </w:r>
      <w:r w:rsidR="00B52BC0" w:rsidRPr="0059184C">
        <w:rPr>
          <w:i/>
        </w:rPr>
        <w:t>National Health (</w:t>
      </w:r>
      <w:r w:rsidR="00DE715D">
        <w:rPr>
          <w:i/>
        </w:rPr>
        <w:t xml:space="preserve">Growth Hormone </w:t>
      </w:r>
      <w:r w:rsidR="008B4F73">
        <w:rPr>
          <w:i/>
        </w:rPr>
        <w:t>Program</w:t>
      </w:r>
      <w:r w:rsidR="00B52BC0">
        <w:rPr>
          <w:i/>
        </w:rPr>
        <w:t xml:space="preserve">) </w:t>
      </w:r>
      <w:r w:rsidR="00282499">
        <w:rPr>
          <w:i/>
        </w:rPr>
        <w:t>Special Arrangement </w:t>
      </w:r>
      <w:r w:rsidR="008B4F73">
        <w:rPr>
          <w:i/>
        </w:rPr>
        <w:t>2011</w:t>
      </w:r>
      <w:r w:rsidR="00B52BC0" w:rsidRPr="0059184C">
        <w:rPr>
          <w:i/>
        </w:rPr>
        <w:t xml:space="preserve"> </w:t>
      </w:r>
      <w:r w:rsidR="008B4F73">
        <w:t>(PB </w:t>
      </w:r>
      <w:r w:rsidR="00DE715D">
        <w:t>88</w:t>
      </w:r>
      <w:r w:rsidR="008B4F73">
        <w:t> of 2011</w:t>
      </w:r>
      <w:r w:rsidR="00B52BC0">
        <w:t xml:space="preserve">).  </w:t>
      </w:r>
    </w:p>
    <w:p w:rsidR="00D51CF3"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pPr>
    </w:p>
    <w:p w:rsidR="008B4F73"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pPr>
      <w:r>
        <w:t xml:space="preserve">On and from </w:t>
      </w:r>
      <w:r w:rsidRPr="008B4F73">
        <w:t>1 </w:t>
      </w:r>
      <w:r w:rsidR="00DE715D">
        <w:t>September</w:t>
      </w:r>
      <w:r w:rsidR="00DE715D" w:rsidRPr="008B4F73">
        <w:t> </w:t>
      </w:r>
      <w:r w:rsidRPr="008B4F73">
        <w:t>2015</w:t>
      </w:r>
      <w:r w:rsidR="00B52BC0">
        <w:t xml:space="preserve">, the </w:t>
      </w:r>
      <w:r w:rsidR="008B4F73">
        <w:t xml:space="preserve">Special Arrangement </w:t>
      </w:r>
      <w:r w:rsidR="008E7AD4">
        <w:t>will provide for the availability of the pha</w:t>
      </w:r>
      <w:r w:rsidR="00BD2A22">
        <w:t>rmaceutical benefits listed in S</w:t>
      </w:r>
      <w:r w:rsidR="00282499">
        <w:t>chedule </w:t>
      </w:r>
      <w:r w:rsidR="008E7AD4">
        <w:t>1</w:t>
      </w:r>
      <w:r w:rsidR="00FA5FCB">
        <w:t xml:space="preserve"> in a manner more closely aligned with normal medicine supply under the </w:t>
      </w:r>
      <w:r w:rsidR="008E7AD4">
        <w:t>P</w:t>
      </w:r>
      <w:r w:rsidR="00BC1ABC">
        <w:t xml:space="preserve">harmaceutical </w:t>
      </w:r>
      <w:r w:rsidR="008E7AD4">
        <w:t>B</w:t>
      </w:r>
      <w:r w:rsidR="00BC1ABC">
        <w:t xml:space="preserve">enefits </w:t>
      </w:r>
      <w:r w:rsidR="008E7AD4">
        <w:t>S</w:t>
      </w:r>
      <w:r w:rsidR="00BC1ABC">
        <w:t>cheme</w:t>
      </w:r>
      <w:r w:rsidR="008E7AD4">
        <w:t xml:space="preserve"> </w:t>
      </w:r>
      <w:r w:rsidR="00FA5FCB">
        <w:t>(PBS).  On 1 </w:t>
      </w:r>
      <w:r w:rsidR="00DE715D">
        <w:t>September</w:t>
      </w:r>
      <w:r w:rsidR="00FA5FCB">
        <w:t xml:space="preserve"> 2015 a</w:t>
      </w:r>
      <w:r w:rsidR="00DE715D">
        <w:t>n</w:t>
      </w:r>
      <w:r w:rsidR="008E7AD4">
        <w:t xml:space="preserve"> </w:t>
      </w:r>
      <w:r w:rsidR="00DE715D">
        <w:t xml:space="preserve">authorised </w:t>
      </w:r>
      <w:r w:rsidR="008E7AD4">
        <w:t xml:space="preserve">prescriber </w:t>
      </w:r>
      <w:r w:rsidR="00BC1ABC">
        <w:t>will</w:t>
      </w:r>
      <w:r w:rsidR="00DE715D">
        <w:t xml:space="preserve"> </w:t>
      </w:r>
      <w:r w:rsidR="00BC1ABC">
        <w:t xml:space="preserve">be able to </w:t>
      </w:r>
      <w:r w:rsidR="00DE715D">
        <w:t xml:space="preserve">submit an application to the Department of Human </w:t>
      </w:r>
      <w:r w:rsidR="000622D5">
        <w:t>S</w:t>
      </w:r>
      <w:r w:rsidR="00DE715D">
        <w:t>ervices</w:t>
      </w:r>
      <w:r w:rsidR="000622D5">
        <w:t xml:space="preserve"> - Medicare</w:t>
      </w:r>
      <w:r w:rsidR="00DE715D">
        <w:t xml:space="preserve"> </w:t>
      </w:r>
      <w:r w:rsidR="00D0147A">
        <w:t xml:space="preserve">to prescribe </w:t>
      </w:r>
      <w:r w:rsidR="008E7AD4">
        <w:t>the pharmaceutical benefit</w:t>
      </w:r>
      <w:r w:rsidR="00BC1ABC">
        <w:t>s set out in the Schedule</w:t>
      </w:r>
      <w:r w:rsidR="008E7AD4">
        <w:t>.</w:t>
      </w:r>
      <w:r w:rsidR="00823873">
        <w:t xml:space="preserve"> </w:t>
      </w:r>
      <w:r w:rsidR="008E7AD4">
        <w:t xml:space="preserve"> </w:t>
      </w:r>
      <w:r w:rsidR="00D0147A">
        <w:t>If approval is granted by the Department of Human Services – Medicare, s</w:t>
      </w:r>
      <w:r w:rsidR="00EB230B">
        <w:t>upply of the pharmaceutical benefit will occur through suppliers</w:t>
      </w:r>
      <w:r w:rsidR="00BC1ABC">
        <w:t xml:space="preserve"> - approved hospital authorities</w:t>
      </w:r>
      <w:r w:rsidR="008D456A">
        <w:t xml:space="preserve"> and</w:t>
      </w:r>
      <w:r w:rsidR="00BC1ABC">
        <w:t xml:space="preserve"> approved pharmacists</w:t>
      </w:r>
      <w:r w:rsidR="00EB230B">
        <w:t xml:space="preserve"> </w:t>
      </w:r>
      <w:r w:rsidR="00BC1ABC">
        <w:t xml:space="preserve">- </w:t>
      </w:r>
      <w:r w:rsidR="00EB230B">
        <w:t xml:space="preserve">who </w:t>
      </w:r>
      <w:r w:rsidR="00BC1ABC">
        <w:t xml:space="preserve">can </w:t>
      </w:r>
      <w:r w:rsidR="00EB230B">
        <w:t xml:space="preserve">claim for a reimbursement from the Commonwealth in the usual way. </w:t>
      </w:r>
      <w:r w:rsidR="00823873">
        <w:t xml:space="preserve"> </w:t>
      </w:r>
    </w:p>
    <w:p w:rsidR="00EB230B" w:rsidRDefault="00EB230B" w:rsidP="00D51CF3">
      <w:pPr>
        <w:pBdr>
          <w:top w:val="thinThickThinSmallGap" w:sz="12" w:space="1" w:color="auto"/>
          <w:left w:val="thinThickThinSmallGap" w:sz="12" w:space="4" w:color="auto"/>
          <w:bottom w:val="thinThickThinSmallGap" w:sz="12" w:space="1" w:color="auto"/>
          <w:right w:val="thinThickThinSmallGap" w:sz="12" w:space="4" w:color="auto"/>
        </w:pBdr>
      </w:pPr>
    </w:p>
    <w:p w:rsidR="00EB230B" w:rsidRDefault="00D0147A" w:rsidP="00D51CF3">
      <w:pPr>
        <w:pBdr>
          <w:top w:val="thinThickThinSmallGap" w:sz="12" w:space="1" w:color="auto"/>
          <w:left w:val="thinThickThinSmallGap" w:sz="12" w:space="4" w:color="auto"/>
          <w:bottom w:val="thinThickThinSmallGap" w:sz="12" w:space="1" w:color="auto"/>
          <w:right w:val="thinThickThinSmallGap" w:sz="12" w:space="4" w:color="auto"/>
        </w:pBdr>
      </w:pPr>
      <w:r>
        <w:t>Most p</w:t>
      </w:r>
      <w:r w:rsidR="00EB230B">
        <w:t>atients prescribed a pharmaceut</w:t>
      </w:r>
      <w:r w:rsidR="00BD2A22">
        <w:t>ical benefit listed in S</w:t>
      </w:r>
      <w:r w:rsidR="00282499">
        <w:t>chedule </w:t>
      </w:r>
      <w:r w:rsidR="00EB230B">
        <w:t xml:space="preserve">1 will be </w:t>
      </w:r>
      <w:r w:rsidR="005A552C">
        <w:t>required</w:t>
      </w:r>
      <w:r w:rsidR="00EB230B">
        <w:t xml:space="preserve"> to pay the usual co-payment for the pharmaceutical benefit and standard patient eligibility criteria and entitlement rules will apply. </w:t>
      </w:r>
    </w:p>
    <w:p w:rsidR="007A369C" w:rsidRDefault="007A369C" w:rsidP="00D51CF3">
      <w:pPr>
        <w:pBdr>
          <w:top w:val="thinThickThinSmallGap" w:sz="12" w:space="1" w:color="auto"/>
          <w:left w:val="thinThickThinSmallGap" w:sz="12" w:space="4" w:color="auto"/>
          <w:bottom w:val="thinThickThinSmallGap" w:sz="12" w:space="1" w:color="auto"/>
          <w:right w:val="thinThickThinSmallGap" w:sz="12" w:space="4" w:color="auto"/>
        </w:pBdr>
      </w:pPr>
    </w:p>
    <w:p w:rsidR="00B36DEC" w:rsidRDefault="00E30C70" w:rsidP="00D51CF3">
      <w:pPr>
        <w:pBdr>
          <w:top w:val="thinThickThinSmallGap" w:sz="12" w:space="1" w:color="auto"/>
          <w:left w:val="thinThickThinSmallGap" w:sz="12" w:space="4" w:color="auto"/>
          <w:bottom w:val="thinThickThinSmallGap" w:sz="12" w:space="1" w:color="auto"/>
          <w:right w:val="thinThickThinSmallGap" w:sz="12" w:space="4" w:color="auto"/>
        </w:pBdr>
      </w:pPr>
      <w:r w:rsidRPr="00E30C70">
        <w:t>Th</w:t>
      </w:r>
      <w:r>
        <w:t>e</w:t>
      </w:r>
      <w:r w:rsidRPr="00E30C70">
        <w:t xml:space="preserve"> </w:t>
      </w:r>
      <w:r>
        <w:t>Special Arrangement also</w:t>
      </w:r>
      <w:r w:rsidRPr="00E30C70">
        <w:t xml:space="preserve"> </w:t>
      </w:r>
      <w:r w:rsidR="00B36DEC">
        <w:t>includes</w:t>
      </w:r>
      <w:r w:rsidRPr="00E30C70">
        <w:t xml:space="preserve"> a new brand of growth hormone in</w:t>
      </w:r>
    </w:p>
    <w:p w:rsidR="00B36DEC" w:rsidRDefault="00B36DEC" w:rsidP="00D51CF3">
      <w:pPr>
        <w:pBdr>
          <w:top w:val="thinThickThinSmallGap" w:sz="12" w:space="1" w:color="auto"/>
          <w:left w:val="thinThickThinSmallGap" w:sz="12" w:space="4" w:color="auto"/>
          <w:bottom w:val="thinThickThinSmallGap" w:sz="12" w:space="1" w:color="auto"/>
          <w:right w:val="thinThickThinSmallGap" w:sz="12" w:space="4" w:color="auto"/>
        </w:pBdr>
      </w:pPr>
      <w:r>
        <w:t>S</w:t>
      </w:r>
      <w:r w:rsidR="00E30C70" w:rsidRPr="00E30C70">
        <w:t>chedule 1</w:t>
      </w:r>
      <w:r>
        <w:t>.</w:t>
      </w:r>
    </w:p>
    <w:p w:rsidR="00B36DEC" w:rsidRDefault="00B36DEC" w:rsidP="00D51CF3">
      <w:pPr>
        <w:pBdr>
          <w:top w:val="thinThickThinSmallGap" w:sz="12" w:space="1" w:color="auto"/>
          <w:left w:val="thinThickThinSmallGap" w:sz="12" w:space="4" w:color="auto"/>
          <w:bottom w:val="thinThickThinSmallGap" w:sz="12" w:space="1" w:color="auto"/>
          <w:right w:val="thinThickThinSmallGap" w:sz="12" w:space="4" w:color="auto"/>
        </w:pBdr>
        <w:rPr>
          <w:b/>
        </w:rPr>
      </w:pPr>
    </w:p>
    <w:p w:rsidR="00D51CF3"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rPr>
          <w:b/>
        </w:rPr>
      </w:pPr>
      <w:r w:rsidRPr="00D664E6">
        <w:rPr>
          <w:b/>
        </w:rPr>
        <w:t>Human rights implications</w:t>
      </w:r>
    </w:p>
    <w:p w:rsidR="00D51CF3"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pPr>
      <w:r>
        <w:t>This instrument engages Articles 2 and 12 of the International Covenant on Economic, Social and Cultural Rights by assisting with the progressive realisation</w:t>
      </w:r>
      <w:r w:rsidR="00823873">
        <w:t>,</w:t>
      </w:r>
      <w:r>
        <w:t xml:space="preserve"> by all appropriate means</w:t>
      </w:r>
      <w:r w:rsidR="00823873">
        <w:t>,</w:t>
      </w:r>
      <w:r>
        <w:t xml:space="preserve"> of the right of everyone to the enjoyment of the highest attainable standard of physical and mental health.  </w:t>
      </w:r>
    </w:p>
    <w:p w:rsidR="00D51CF3"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pPr>
    </w:p>
    <w:p w:rsidR="00D51CF3"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pPr>
      <w:r>
        <w:t xml:space="preserve">The PBS assists with the advancement of these human rights by providing for subsidised access to medicines. </w:t>
      </w:r>
      <w:r w:rsidR="00BC1ABC">
        <w:t xml:space="preserve">This Special Arrangement will more closely align </w:t>
      </w:r>
      <w:r w:rsidR="00C11890">
        <w:t xml:space="preserve">growth hormone </w:t>
      </w:r>
      <w:r w:rsidR="00BC1ABC">
        <w:t xml:space="preserve">pharmaceutical benefits supply arrangements with normal medicines supplied under the PBS.  </w:t>
      </w:r>
    </w:p>
    <w:p w:rsidR="008B4F73" w:rsidRDefault="008B4F73" w:rsidP="00D51CF3">
      <w:pPr>
        <w:pBdr>
          <w:top w:val="thinThickThinSmallGap" w:sz="12" w:space="1" w:color="auto"/>
          <w:left w:val="thinThickThinSmallGap" w:sz="12" w:space="4" w:color="auto"/>
          <w:bottom w:val="thinThickThinSmallGap" w:sz="12" w:space="1" w:color="auto"/>
          <w:right w:val="thinThickThinSmallGap" w:sz="12" w:space="4" w:color="auto"/>
        </w:pBdr>
        <w:rPr>
          <w:b/>
        </w:rPr>
      </w:pPr>
    </w:p>
    <w:p w:rsidR="00D51CF3"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rPr>
          <w:b/>
        </w:rPr>
      </w:pPr>
      <w:r w:rsidRPr="00D664E6">
        <w:rPr>
          <w:b/>
        </w:rPr>
        <w:t xml:space="preserve">Conclusion </w:t>
      </w:r>
    </w:p>
    <w:p w:rsidR="00823873" w:rsidRDefault="00D51CF3" w:rsidP="00BC1ABC">
      <w:pPr>
        <w:pBdr>
          <w:top w:val="thinThickThinSmallGap" w:sz="12" w:space="1" w:color="auto"/>
          <w:left w:val="thinThickThinSmallGap" w:sz="12" w:space="4" w:color="auto"/>
          <w:bottom w:val="thinThickThinSmallGap" w:sz="12" w:space="1" w:color="auto"/>
          <w:right w:val="thinThickThinSmallGap" w:sz="12" w:space="4" w:color="auto"/>
        </w:pBdr>
      </w:pPr>
      <w:r>
        <w:t xml:space="preserve">This instrument </w:t>
      </w:r>
      <w:r w:rsidRPr="0059184C">
        <w:t>is compatible with human rights because it advances the protection of human rights.</w:t>
      </w:r>
      <w:r>
        <w:t xml:space="preserve">  </w:t>
      </w:r>
    </w:p>
    <w:p w:rsidR="008E642D" w:rsidRDefault="00655799" w:rsidP="00D51CF3">
      <w:pPr>
        <w:pBdr>
          <w:top w:val="thinThickThinSmallGap" w:sz="12" w:space="1" w:color="auto"/>
          <w:left w:val="thinThickThinSmallGap" w:sz="12" w:space="4" w:color="auto"/>
          <w:bottom w:val="thinThickThinSmallGap" w:sz="12" w:space="1" w:color="auto"/>
          <w:right w:val="thinThickThinSmallGap" w:sz="12" w:space="4" w:color="auto"/>
        </w:pBdr>
        <w:jc w:val="center"/>
      </w:pPr>
      <w:r>
        <w:t xml:space="preserve"> Julianne Quaine</w:t>
      </w:r>
    </w:p>
    <w:p w:rsidR="00D51CF3" w:rsidRPr="00200279" w:rsidRDefault="00E45781" w:rsidP="00D51CF3">
      <w:pPr>
        <w:pBdr>
          <w:top w:val="thinThickThinSmallGap" w:sz="12" w:space="1" w:color="auto"/>
          <w:left w:val="thinThickThinSmallGap" w:sz="12" w:space="4" w:color="auto"/>
          <w:bottom w:val="thinThickThinSmallGap" w:sz="12" w:space="1" w:color="auto"/>
          <w:right w:val="thinThickThinSmallGap" w:sz="12" w:space="4" w:color="auto"/>
        </w:pBdr>
        <w:jc w:val="center"/>
      </w:pPr>
      <w:r>
        <w:t xml:space="preserve"> </w:t>
      </w:r>
      <w:r w:rsidR="00D51CF3" w:rsidRPr="00200279">
        <w:t>Assistant Secretary</w:t>
      </w:r>
    </w:p>
    <w:p w:rsidR="00D51CF3" w:rsidRPr="00AA1FA7"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jc w:val="center"/>
      </w:pPr>
      <w:r w:rsidRPr="00AA1FA7">
        <w:t xml:space="preserve">Pharmaceutical </w:t>
      </w:r>
      <w:r w:rsidR="007A5484">
        <w:t>Access Branch</w:t>
      </w:r>
    </w:p>
    <w:p w:rsidR="00D51CF3" w:rsidRDefault="00D51CF3" w:rsidP="00D51CF3">
      <w:pPr>
        <w:pBdr>
          <w:top w:val="thinThickThinSmallGap" w:sz="12" w:space="1" w:color="auto"/>
          <w:left w:val="thinThickThinSmallGap" w:sz="12" w:space="4" w:color="auto"/>
          <w:bottom w:val="thinThickThinSmallGap" w:sz="12" w:space="1" w:color="auto"/>
          <w:right w:val="thinThickThinSmallGap" w:sz="12" w:space="4" w:color="auto"/>
        </w:pBdr>
        <w:jc w:val="center"/>
      </w:pPr>
      <w:r w:rsidRPr="00AA1FA7">
        <w:t xml:space="preserve">Department of Health </w:t>
      </w:r>
    </w:p>
    <w:p w:rsidR="00D51CF3" w:rsidRPr="00003743" w:rsidRDefault="00D51CF3" w:rsidP="00D51CF3">
      <w:pPr>
        <w:rPr>
          <w:rStyle w:val="IntenseReference"/>
          <w:b w:val="0"/>
          <w:bCs w:val="0"/>
          <w:i w:val="0"/>
          <w:smallCaps w:val="0"/>
          <w:color w:val="auto"/>
          <w:spacing w:val="0"/>
        </w:rPr>
      </w:pPr>
    </w:p>
    <w:sectPr w:rsidR="00D51CF3" w:rsidRPr="00003743" w:rsidSect="0042273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EB" w:rsidRDefault="005557EB">
      <w:r>
        <w:separator/>
      </w:r>
    </w:p>
  </w:endnote>
  <w:endnote w:type="continuationSeparator" w:id="0">
    <w:p w:rsidR="005557EB" w:rsidRDefault="0055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CE" w:rsidRDefault="00C475A3"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185F">
      <w:rPr>
        <w:rStyle w:val="PageNumber"/>
        <w:noProof/>
      </w:rPr>
      <w:t>10</w:t>
    </w:r>
    <w:r>
      <w:rPr>
        <w:rStyle w:val="PageNumber"/>
      </w:rPr>
      <w:fldChar w:fldCharType="end"/>
    </w:r>
  </w:p>
  <w:p w:rsidR="007067CE" w:rsidRDefault="001472E5" w:rsidP="007D69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738" w:rsidRDefault="00C475A3">
    <w:pPr>
      <w:pStyle w:val="Footer"/>
      <w:jc w:val="center"/>
    </w:pPr>
    <w:r>
      <w:fldChar w:fldCharType="begin"/>
    </w:r>
    <w:r>
      <w:instrText xml:space="preserve"> PAGE   \* MERGEFORMAT </w:instrText>
    </w:r>
    <w:r>
      <w:fldChar w:fldCharType="separate"/>
    </w:r>
    <w:r w:rsidR="001472E5">
      <w:rPr>
        <w:noProof/>
      </w:rPr>
      <w:t>2</w:t>
    </w:r>
    <w:r>
      <w:rPr>
        <w:noProof/>
      </w:rPr>
      <w:fldChar w:fldCharType="end"/>
    </w:r>
  </w:p>
  <w:p w:rsidR="007067CE" w:rsidRDefault="001472E5" w:rsidP="007D698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98" w:rsidRDefault="007B1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EB" w:rsidRDefault="005557EB">
      <w:r>
        <w:separator/>
      </w:r>
    </w:p>
  </w:footnote>
  <w:footnote w:type="continuationSeparator" w:id="0">
    <w:p w:rsidR="005557EB" w:rsidRDefault="00555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98" w:rsidRDefault="007B1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B2" w:rsidRDefault="001472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98" w:rsidRDefault="007B1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2BC"/>
    <w:multiLevelType w:val="multilevel"/>
    <w:tmpl w:val="CD50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F14421"/>
    <w:multiLevelType w:val="hybridMultilevel"/>
    <w:tmpl w:val="CC708A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B8419CA"/>
    <w:multiLevelType w:val="multilevel"/>
    <w:tmpl w:val="1FE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211519"/>
    <w:multiLevelType w:val="hybridMultilevel"/>
    <w:tmpl w:val="AF1C726C"/>
    <w:lvl w:ilvl="0" w:tplc="AF2A8DE2">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6913D9"/>
    <w:multiLevelType w:val="hybridMultilevel"/>
    <w:tmpl w:val="2F28915E"/>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5">
    <w:nsid w:val="42685A6E"/>
    <w:multiLevelType w:val="hybridMultilevel"/>
    <w:tmpl w:val="DEAE70AA"/>
    <w:lvl w:ilvl="0" w:tplc="4ECC528E">
      <w:start w:val="1"/>
      <w:numFmt w:val="decimal"/>
      <w:lvlText w:val="(%1)"/>
      <w:lvlJc w:val="left"/>
      <w:pPr>
        <w:ind w:left="1110" w:hanging="360"/>
      </w:pPr>
      <w:rPr>
        <w:rFonts w:hint="default"/>
        <w:b w:val="0"/>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6">
    <w:nsid w:val="459F23E1"/>
    <w:multiLevelType w:val="multilevel"/>
    <w:tmpl w:val="2E32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DC484D"/>
    <w:multiLevelType w:val="hybridMultilevel"/>
    <w:tmpl w:val="CDF8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5411A7F"/>
    <w:multiLevelType w:val="hybridMultilevel"/>
    <w:tmpl w:val="D9E4B7BE"/>
    <w:lvl w:ilvl="0" w:tplc="1ACEAFE8">
      <w:start w:val="1"/>
      <w:numFmt w:val="lowerRoman"/>
      <w:lvlText w:val="(%1)"/>
      <w:lvlJc w:val="left"/>
      <w:pPr>
        <w:ind w:left="1665" w:hanging="13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8"/>
  </w:num>
  <w:num w:numId="6">
    <w:abstractNumId w:val="2"/>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F3"/>
    <w:rsid w:val="00000899"/>
    <w:rsid w:val="00003743"/>
    <w:rsid w:val="00027ACF"/>
    <w:rsid w:val="00044546"/>
    <w:rsid w:val="00050E00"/>
    <w:rsid w:val="000622D5"/>
    <w:rsid w:val="00067456"/>
    <w:rsid w:val="00077411"/>
    <w:rsid w:val="000B028F"/>
    <w:rsid w:val="000C2A24"/>
    <w:rsid w:val="000C5A7D"/>
    <w:rsid w:val="000C692F"/>
    <w:rsid w:val="000F3A6B"/>
    <w:rsid w:val="0010174C"/>
    <w:rsid w:val="00107209"/>
    <w:rsid w:val="001261E0"/>
    <w:rsid w:val="001319DA"/>
    <w:rsid w:val="00134B00"/>
    <w:rsid w:val="001472E5"/>
    <w:rsid w:val="0015054D"/>
    <w:rsid w:val="0015261A"/>
    <w:rsid w:val="00163874"/>
    <w:rsid w:val="00191416"/>
    <w:rsid w:val="00193EDF"/>
    <w:rsid w:val="001A2E82"/>
    <w:rsid w:val="001B3443"/>
    <w:rsid w:val="001D0187"/>
    <w:rsid w:val="001F59A8"/>
    <w:rsid w:val="002022E2"/>
    <w:rsid w:val="002052D5"/>
    <w:rsid w:val="00210515"/>
    <w:rsid w:val="002203C5"/>
    <w:rsid w:val="002218AB"/>
    <w:rsid w:val="00224399"/>
    <w:rsid w:val="00245708"/>
    <w:rsid w:val="00266ACB"/>
    <w:rsid w:val="00272FA4"/>
    <w:rsid w:val="00282499"/>
    <w:rsid w:val="002A1F94"/>
    <w:rsid w:val="002D3B98"/>
    <w:rsid w:val="002E49F2"/>
    <w:rsid w:val="00304BA9"/>
    <w:rsid w:val="0030786C"/>
    <w:rsid w:val="00314D7F"/>
    <w:rsid w:val="00327CBF"/>
    <w:rsid w:val="0034602E"/>
    <w:rsid w:val="003508F7"/>
    <w:rsid w:val="00353005"/>
    <w:rsid w:val="00354312"/>
    <w:rsid w:val="0036297C"/>
    <w:rsid w:val="003636CA"/>
    <w:rsid w:val="00370C85"/>
    <w:rsid w:val="003B10D2"/>
    <w:rsid w:val="003C45B2"/>
    <w:rsid w:val="003C5CAB"/>
    <w:rsid w:val="003D17F9"/>
    <w:rsid w:val="003E33A2"/>
    <w:rsid w:val="00401E68"/>
    <w:rsid w:val="00406037"/>
    <w:rsid w:val="00410E4F"/>
    <w:rsid w:val="00430AD9"/>
    <w:rsid w:val="0046089F"/>
    <w:rsid w:val="00462840"/>
    <w:rsid w:val="00464BF0"/>
    <w:rsid w:val="004867E2"/>
    <w:rsid w:val="004914EC"/>
    <w:rsid w:val="00496B09"/>
    <w:rsid w:val="004B2E0A"/>
    <w:rsid w:val="004B4C93"/>
    <w:rsid w:val="004C4933"/>
    <w:rsid w:val="004D3A31"/>
    <w:rsid w:val="004E07AE"/>
    <w:rsid w:val="004F26C2"/>
    <w:rsid w:val="0051734F"/>
    <w:rsid w:val="005557EB"/>
    <w:rsid w:val="00563B39"/>
    <w:rsid w:val="005651E6"/>
    <w:rsid w:val="005716F5"/>
    <w:rsid w:val="00597CA9"/>
    <w:rsid w:val="005A552C"/>
    <w:rsid w:val="005A5B94"/>
    <w:rsid w:val="005B314C"/>
    <w:rsid w:val="005C4213"/>
    <w:rsid w:val="005C5303"/>
    <w:rsid w:val="005F308E"/>
    <w:rsid w:val="00611629"/>
    <w:rsid w:val="00613D1E"/>
    <w:rsid w:val="006153CB"/>
    <w:rsid w:val="00615C1E"/>
    <w:rsid w:val="00640163"/>
    <w:rsid w:val="00640A69"/>
    <w:rsid w:val="00643742"/>
    <w:rsid w:val="00655799"/>
    <w:rsid w:val="00656B87"/>
    <w:rsid w:val="00672381"/>
    <w:rsid w:val="006860C6"/>
    <w:rsid w:val="00687D66"/>
    <w:rsid w:val="0069398F"/>
    <w:rsid w:val="006A01FE"/>
    <w:rsid w:val="006A4E4C"/>
    <w:rsid w:val="006C02DF"/>
    <w:rsid w:val="006E5B16"/>
    <w:rsid w:val="006E6E89"/>
    <w:rsid w:val="006F7D35"/>
    <w:rsid w:val="00703560"/>
    <w:rsid w:val="00730B7B"/>
    <w:rsid w:val="0073602A"/>
    <w:rsid w:val="0076185F"/>
    <w:rsid w:val="00762551"/>
    <w:rsid w:val="00784A8A"/>
    <w:rsid w:val="00796F2B"/>
    <w:rsid w:val="007A369C"/>
    <w:rsid w:val="007A5484"/>
    <w:rsid w:val="007B1E98"/>
    <w:rsid w:val="007C4D3E"/>
    <w:rsid w:val="007E494E"/>
    <w:rsid w:val="007F4A61"/>
    <w:rsid w:val="007F75CC"/>
    <w:rsid w:val="00807C20"/>
    <w:rsid w:val="00823873"/>
    <w:rsid w:val="008264EB"/>
    <w:rsid w:val="00835B09"/>
    <w:rsid w:val="00860AEE"/>
    <w:rsid w:val="00870E2C"/>
    <w:rsid w:val="0087257D"/>
    <w:rsid w:val="008776C5"/>
    <w:rsid w:val="008B0211"/>
    <w:rsid w:val="008B4F73"/>
    <w:rsid w:val="008B6A07"/>
    <w:rsid w:val="008D456A"/>
    <w:rsid w:val="008D70AA"/>
    <w:rsid w:val="008E1B55"/>
    <w:rsid w:val="008E543D"/>
    <w:rsid w:val="008E642D"/>
    <w:rsid w:val="008E7AD4"/>
    <w:rsid w:val="008F24DE"/>
    <w:rsid w:val="00916140"/>
    <w:rsid w:val="00916F3C"/>
    <w:rsid w:val="00926F52"/>
    <w:rsid w:val="0093284D"/>
    <w:rsid w:val="00932AC7"/>
    <w:rsid w:val="00940A23"/>
    <w:rsid w:val="00965C52"/>
    <w:rsid w:val="00991C6F"/>
    <w:rsid w:val="009A0099"/>
    <w:rsid w:val="009E6BBE"/>
    <w:rsid w:val="009F4E16"/>
    <w:rsid w:val="00A011D3"/>
    <w:rsid w:val="00A0188F"/>
    <w:rsid w:val="00A256AE"/>
    <w:rsid w:val="00A43C36"/>
    <w:rsid w:val="00A4512D"/>
    <w:rsid w:val="00A47002"/>
    <w:rsid w:val="00A55452"/>
    <w:rsid w:val="00A705AF"/>
    <w:rsid w:val="00A7672D"/>
    <w:rsid w:val="00A83C03"/>
    <w:rsid w:val="00A93B34"/>
    <w:rsid w:val="00AD5E0F"/>
    <w:rsid w:val="00AD61EC"/>
    <w:rsid w:val="00AE49F0"/>
    <w:rsid w:val="00AF165E"/>
    <w:rsid w:val="00B11546"/>
    <w:rsid w:val="00B30FFF"/>
    <w:rsid w:val="00B36DEC"/>
    <w:rsid w:val="00B41AFC"/>
    <w:rsid w:val="00B42851"/>
    <w:rsid w:val="00B4524E"/>
    <w:rsid w:val="00B51D34"/>
    <w:rsid w:val="00B52BC0"/>
    <w:rsid w:val="00B662C5"/>
    <w:rsid w:val="00B66E0D"/>
    <w:rsid w:val="00B8039F"/>
    <w:rsid w:val="00B87A2B"/>
    <w:rsid w:val="00BA189D"/>
    <w:rsid w:val="00BA39EF"/>
    <w:rsid w:val="00BA74B5"/>
    <w:rsid w:val="00BC15E0"/>
    <w:rsid w:val="00BC1ABC"/>
    <w:rsid w:val="00BC3551"/>
    <w:rsid w:val="00BD1D7E"/>
    <w:rsid w:val="00BD2A22"/>
    <w:rsid w:val="00BE796D"/>
    <w:rsid w:val="00C11890"/>
    <w:rsid w:val="00C2575D"/>
    <w:rsid w:val="00C307AF"/>
    <w:rsid w:val="00C30ACF"/>
    <w:rsid w:val="00C475A3"/>
    <w:rsid w:val="00C5246F"/>
    <w:rsid w:val="00C639A8"/>
    <w:rsid w:val="00C75836"/>
    <w:rsid w:val="00C93F22"/>
    <w:rsid w:val="00CA72BE"/>
    <w:rsid w:val="00CB5B1A"/>
    <w:rsid w:val="00CE300C"/>
    <w:rsid w:val="00CE3BF1"/>
    <w:rsid w:val="00CE7690"/>
    <w:rsid w:val="00CF0984"/>
    <w:rsid w:val="00CF15D5"/>
    <w:rsid w:val="00D0147A"/>
    <w:rsid w:val="00D103EB"/>
    <w:rsid w:val="00D15110"/>
    <w:rsid w:val="00D1550A"/>
    <w:rsid w:val="00D260EE"/>
    <w:rsid w:val="00D35556"/>
    <w:rsid w:val="00D36A2B"/>
    <w:rsid w:val="00D37020"/>
    <w:rsid w:val="00D51CF3"/>
    <w:rsid w:val="00D56D40"/>
    <w:rsid w:val="00D76698"/>
    <w:rsid w:val="00D8516A"/>
    <w:rsid w:val="00D951CB"/>
    <w:rsid w:val="00DC05F6"/>
    <w:rsid w:val="00DC13AE"/>
    <w:rsid w:val="00DE0EB1"/>
    <w:rsid w:val="00DE6E3B"/>
    <w:rsid w:val="00DE715D"/>
    <w:rsid w:val="00E05757"/>
    <w:rsid w:val="00E30C70"/>
    <w:rsid w:val="00E346B9"/>
    <w:rsid w:val="00E45781"/>
    <w:rsid w:val="00E506CA"/>
    <w:rsid w:val="00E636F8"/>
    <w:rsid w:val="00E82649"/>
    <w:rsid w:val="00E853C0"/>
    <w:rsid w:val="00E96ADA"/>
    <w:rsid w:val="00EB230B"/>
    <w:rsid w:val="00EE3724"/>
    <w:rsid w:val="00EE61C7"/>
    <w:rsid w:val="00F0797C"/>
    <w:rsid w:val="00F3415B"/>
    <w:rsid w:val="00FA24CC"/>
    <w:rsid w:val="00FA5FCB"/>
    <w:rsid w:val="00FB1A81"/>
    <w:rsid w:val="00FC37A2"/>
    <w:rsid w:val="00FD361B"/>
    <w:rsid w:val="00FD6037"/>
    <w:rsid w:val="00FE3896"/>
    <w:rsid w:val="00FE4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CF3"/>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lang w:eastAsia="en-US"/>
    </w:rPr>
  </w:style>
  <w:style w:type="paragraph" w:styleId="Heading3">
    <w:name w:val="heading 3"/>
    <w:basedOn w:val="Normal"/>
    <w:next w:val="Normal"/>
    <w:qFormat/>
    <w:rsid w:val="00A705AF"/>
    <w:pPr>
      <w:keepNext/>
      <w:spacing w:before="240" w:after="60"/>
      <w:outlineLvl w:val="2"/>
    </w:pPr>
    <w:rPr>
      <w:rFonts w:ascii="Arial" w:hAnsi="Arial" w:cs="Arial"/>
      <w:bCs/>
      <w:szCs w:val="26"/>
      <w:lang w:eastAsia="en-US"/>
    </w:rPr>
  </w:style>
  <w:style w:type="paragraph" w:styleId="Heading4">
    <w:name w:val="heading 4"/>
    <w:basedOn w:val="Normal"/>
    <w:next w:val="Normal"/>
    <w:qFormat/>
    <w:rsid w:val="00A705AF"/>
    <w:pPr>
      <w:keepNext/>
      <w:spacing w:before="240" w:after="60"/>
      <w:outlineLvl w:val="3"/>
    </w:pPr>
    <w:rPr>
      <w:rFonts w:ascii="Arial" w:hAnsi="Arial"/>
      <w:bCs/>
      <w:sz w:val="28"/>
      <w:szCs w:val="28"/>
      <w:lang w:eastAsia="en-US"/>
    </w:rPr>
  </w:style>
  <w:style w:type="paragraph" w:styleId="Heading5">
    <w:name w:val="heading 5"/>
    <w:basedOn w:val="Normal"/>
    <w:next w:val="Normal"/>
    <w:qFormat/>
    <w:rsid w:val="00A705AF"/>
    <w:pPr>
      <w:keepNext/>
      <w:spacing w:before="240" w:after="60"/>
      <w:outlineLvl w:val="4"/>
    </w:pPr>
    <w:rPr>
      <w:b/>
      <w:bCs/>
      <w:iCs/>
      <w:szCs w:val="26"/>
      <w:lang w:eastAsia="en-US"/>
    </w:rPr>
  </w:style>
  <w:style w:type="paragraph" w:styleId="Heading6">
    <w:name w:val="heading 6"/>
    <w:basedOn w:val="Normal"/>
    <w:next w:val="Normal"/>
    <w:qFormat/>
    <w:rsid w:val="00A705AF"/>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rPr>
      <w:lang w:eastAsia="en-US"/>
    </w:rPr>
  </w:style>
  <w:style w:type="paragraph" w:styleId="Footer">
    <w:name w:val="footer"/>
    <w:basedOn w:val="Normal"/>
    <w:link w:val="FooterChar"/>
    <w:uiPriority w:val="99"/>
    <w:rsid w:val="00D51CF3"/>
    <w:pPr>
      <w:tabs>
        <w:tab w:val="center" w:pos="4153"/>
        <w:tab w:val="right" w:pos="8306"/>
      </w:tabs>
    </w:pPr>
  </w:style>
  <w:style w:type="character" w:customStyle="1" w:styleId="FooterChar">
    <w:name w:val="Footer Char"/>
    <w:basedOn w:val="DefaultParagraphFont"/>
    <w:link w:val="Footer"/>
    <w:uiPriority w:val="99"/>
    <w:rsid w:val="00D51CF3"/>
    <w:rPr>
      <w:sz w:val="24"/>
      <w:szCs w:val="24"/>
    </w:rPr>
  </w:style>
  <w:style w:type="character" w:styleId="PageNumber">
    <w:name w:val="page number"/>
    <w:basedOn w:val="DefaultParagraphFont"/>
    <w:rsid w:val="00D51CF3"/>
  </w:style>
  <w:style w:type="paragraph" w:styleId="Header">
    <w:name w:val="header"/>
    <w:basedOn w:val="Normal"/>
    <w:link w:val="HeaderChar"/>
    <w:uiPriority w:val="99"/>
    <w:rsid w:val="00D51CF3"/>
    <w:pPr>
      <w:tabs>
        <w:tab w:val="center" w:pos="4153"/>
        <w:tab w:val="right" w:pos="8306"/>
      </w:tabs>
    </w:pPr>
  </w:style>
  <w:style w:type="character" w:customStyle="1" w:styleId="HeaderChar">
    <w:name w:val="Header Char"/>
    <w:basedOn w:val="DefaultParagraphFont"/>
    <w:link w:val="Header"/>
    <w:uiPriority w:val="99"/>
    <w:rsid w:val="00D51CF3"/>
    <w:rPr>
      <w:sz w:val="24"/>
      <w:szCs w:val="24"/>
    </w:rPr>
  </w:style>
  <w:style w:type="paragraph" w:styleId="BalloonText">
    <w:name w:val="Balloon Text"/>
    <w:basedOn w:val="Normal"/>
    <w:link w:val="BalloonTextChar"/>
    <w:rsid w:val="00191416"/>
    <w:rPr>
      <w:rFonts w:ascii="Tahoma" w:hAnsi="Tahoma" w:cs="Tahoma"/>
      <w:sz w:val="16"/>
      <w:szCs w:val="16"/>
    </w:rPr>
  </w:style>
  <w:style w:type="character" w:customStyle="1" w:styleId="BalloonTextChar">
    <w:name w:val="Balloon Text Char"/>
    <w:basedOn w:val="DefaultParagraphFont"/>
    <w:link w:val="BalloonText"/>
    <w:rsid w:val="00191416"/>
    <w:rPr>
      <w:rFonts w:ascii="Tahoma" w:hAnsi="Tahoma" w:cs="Tahoma"/>
      <w:sz w:val="16"/>
      <w:szCs w:val="16"/>
    </w:rPr>
  </w:style>
  <w:style w:type="character" w:styleId="CommentReference">
    <w:name w:val="annotation reference"/>
    <w:basedOn w:val="DefaultParagraphFont"/>
    <w:rsid w:val="00823873"/>
    <w:rPr>
      <w:sz w:val="16"/>
      <w:szCs w:val="16"/>
    </w:rPr>
  </w:style>
  <w:style w:type="paragraph" w:styleId="CommentText">
    <w:name w:val="annotation text"/>
    <w:basedOn w:val="Normal"/>
    <w:link w:val="CommentTextChar"/>
    <w:rsid w:val="00823873"/>
    <w:rPr>
      <w:sz w:val="20"/>
      <w:szCs w:val="20"/>
    </w:rPr>
  </w:style>
  <w:style w:type="character" w:customStyle="1" w:styleId="CommentTextChar">
    <w:name w:val="Comment Text Char"/>
    <w:basedOn w:val="DefaultParagraphFont"/>
    <w:link w:val="CommentText"/>
    <w:rsid w:val="00823873"/>
  </w:style>
  <w:style w:type="paragraph" w:styleId="CommentSubject">
    <w:name w:val="annotation subject"/>
    <w:basedOn w:val="CommentText"/>
    <w:next w:val="CommentText"/>
    <w:link w:val="CommentSubjectChar"/>
    <w:rsid w:val="00823873"/>
    <w:rPr>
      <w:b/>
      <w:bCs/>
    </w:rPr>
  </w:style>
  <w:style w:type="character" w:customStyle="1" w:styleId="CommentSubjectChar">
    <w:name w:val="Comment Subject Char"/>
    <w:basedOn w:val="CommentTextChar"/>
    <w:link w:val="CommentSubject"/>
    <w:rsid w:val="00823873"/>
    <w:rPr>
      <w:b/>
      <w:bCs/>
    </w:rPr>
  </w:style>
  <w:style w:type="paragraph" w:customStyle="1" w:styleId="HR">
    <w:name w:val="HR"/>
    <w:aliases w:val="Regulation Heading"/>
    <w:basedOn w:val="Normal"/>
    <w:next w:val="Normal"/>
    <w:rsid w:val="00CE300C"/>
    <w:pPr>
      <w:keepNext/>
      <w:keepLines/>
      <w:spacing w:before="360"/>
      <w:ind w:left="964" w:hanging="964"/>
    </w:pPr>
    <w:rPr>
      <w:rFonts w:ascii="Arial" w:hAnsi="Arial"/>
      <w:b/>
    </w:rPr>
  </w:style>
  <w:style w:type="paragraph" w:customStyle="1" w:styleId="A1">
    <w:name w:val="A1"/>
    <w:aliases w:val="Heading Amendment,1. Amendment"/>
    <w:basedOn w:val="Normal"/>
    <w:next w:val="Normal"/>
    <w:rsid w:val="00CE300C"/>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2052D5"/>
    <w:pPr>
      <w:tabs>
        <w:tab w:val="right" w:pos="794"/>
      </w:tabs>
      <w:spacing w:before="120" w:line="260" w:lineRule="exact"/>
      <w:ind w:left="964" w:hanging="964"/>
      <w:jc w:val="both"/>
    </w:pPr>
  </w:style>
  <w:style w:type="character" w:customStyle="1" w:styleId="CharPartText">
    <w:name w:val="CharPartText"/>
    <w:basedOn w:val="DefaultParagraphFont"/>
    <w:qFormat/>
    <w:rsid w:val="002A1F94"/>
  </w:style>
  <w:style w:type="paragraph" w:customStyle="1" w:styleId="ActHead2">
    <w:name w:val="ActHead 2"/>
    <w:aliases w:val="p"/>
    <w:basedOn w:val="Normal"/>
    <w:next w:val="Normal"/>
    <w:qFormat/>
    <w:rsid w:val="002A1F94"/>
    <w:pPr>
      <w:keepNext/>
      <w:keepLines/>
      <w:spacing w:before="280"/>
      <w:ind w:left="1134" w:hanging="1134"/>
      <w:outlineLvl w:val="1"/>
    </w:pPr>
    <w:rPr>
      <w:b/>
      <w:kern w:val="28"/>
      <w:sz w:val="32"/>
      <w:szCs w:val="20"/>
    </w:rPr>
  </w:style>
  <w:style w:type="paragraph" w:customStyle="1" w:styleId="ActHead5">
    <w:name w:val="ActHead 5"/>
    <w:aliases w:val="s"/>
    <w:basedOn w:val="Normal"/>
    <w:next w:val="subsection"/>
    <w:qFormat/>
    <w:rsid w:val="002A1F94"/>
    <w:pPr>
      <w:keepNext/>
      <w:keepLines/>
      <w:spacing w:before="280"/>
      <w:ind w:left="1134" w:hanging="1134"/>
      <w:outlineLvl w:val="4"/>
    </w:pPr>
    <w:rPr>
      <w:b/>
      <w:kern w:val="28"/>
      <w:szCs w:val="20"/>
    </w:rPr>
  </w:style>
  <w:style w:type="paragraph" w:customStyle="1" w:styleId="subsection">
    <w:name w:val="subsection"/>
    <w:aliases w:val="ss"/>
    <w:basedOn w:val="Normal"/>
    <w:rsid w:val="002A1F94"/>
    <w:pPr>
      <w:tabs>
        <w:tab w:val="right" w:pos="1021"/>
      </w:tabs>
      <w:spacing w:before="180"/>
      <w:ind w:left="1134" w:hanging="1134"/>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CF3"/>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lang w:eastAsia="en-US"/>
    </w:rPr>
  </w:style>
  <w:style w:type="paragraph" w:styleId="Heading3">
    <w:name w:val="heading 3"/>
    <w:basedOn w:val="Normal"/>
    <w:next w:val="Normal"/>
    <w:qFormat/>
    <w:rsid w:val="00A705AF"/>
    <w:pPr>
      <w:keepNext/>
      <w:spacing w:before="240" w:after="60"/>
      <w:outlineLvl w:val="2"/>
    </w:pPr>
    <w:rPr>
      <w:rFonts w:ascii="Arial" w:hAnsi="Arial" w:cs="Arial"/>
      <w:bCs/>
      <w:szCs w:val="26"/>
      <w:lang w:eastAsia="en-US"/>
    </w:rPr>
  </w:style>
  <w:style w:type="paragraph" w:styleId="Heading4">
    <w:name w:val="heading 4"/>
    <w:basedOn w:val="Normal"/>
    <w:next w:val="Normal"/>
    <w:qFormat/>
    <w:rsid w:val="00A705AF"/>
    <w:pPr>
      <w:keepNext/>
      <w:spacing w:before="240" w:after="60"/>
      <w:outlineLvl w:val="3"/>
    </w:pPr>
    <w:rPr>
      <w:rFonts w:ascii="Arial" w:hAnsi="Arial"/>
      <w:bCs/>
      <w:sz w:val="28"/>
      <w:szCs w:val="28"/>
      <w:lang w:eastAsia="en-US"/>
    </w:rPr>
  </w:style>
  <w:style w:type="paragraph" w:styleId="Heading5">
    <w:name w:val="heading 5"/>
    <w:basedOn w:val="Normal"/>
    <w:next w:val="Normal"/>
    <w:qFormat/>
    <w:rsid w:val="00A705AF"/>
    <w:pPr>
      <w:keepNext/>
      <w:spacing w:before="240" w:after="60"/>
      <w:outlineLvl w:val="4"/>
    </w:pPr>
    <w:rPr>
      <w:b/>
      <w:bCs/>
      <w:iCs/>
      <w:szCs w:val="26"/>
      <w:lang w:eastAsia="en-US"/>
    </w:rPr>
  </w:style>
  <w:style w:type="paragraph" w:styleId="Heading6">
    <w:name w:val="heading 6"/>
    <w:basedOn w:val="Normal"/>
    <w:next w:val="Normal"/>
    <w:qFormat/>
    <w:rsid w:val="00A705AF"/>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rPr>
      <w:lang w:eastAsia="en-US"/>
    </w:rPr>
  </w:style>
  <w:style w:type="paragraph" w:styleId="Footer">
    <w:name w:val="footer"/>
    <w:basedOn w:val="Normal"/>
    <w:link w:val="FooterChar"/>
    <w:uiPriority w:val="99"/>
    <w:rsid w:val="00D51CF3"/>
    <w:pPr>
      <w:tabs>
        <w:tab w:val="center" w:pos="4153"/>
        <w:tab w:val="right" w:pos="8306"/>
      </w:tabs>
    </w:pPr>
  </w:style>
  <w:style w:type="character" w:customStyle="1" w:styleId="FooterChar">
    <w:name w:val="Footer Char"/>
    <w:basedOn w:val="DefaultParagraphFont"/>
    <w:link w:val="Footer"/>
    <w:uiPriority w:val="99"/>
    <w:rsid w:val="00D51CF3"/>
    <w:rPr>
      <w:sz w:val="24"/>
      <w:szCs w:val="24"/>
    </w:rPr>
  </w:style>
  <w:style w:type="character" w:styleId="PageNumber">
    <w:name w:val="page number"/>
    <w:basedOn w:val="DefaultParagraphFont"/>
    <w:rsid w:val="00D51CF3"/>
  </w:style>
  <w:style w:type="paragraph" w:styleId="Header">
    <w:name w:val="header"/>
    <w:basedOn w:val="Normal"/>
    <w:link w:val="HeaderChar"/>
    <w:uiPriority w:val="99"/>
    <w:rsid w:val="00D51CF3"/>
    <w:pPr>
      <w:tabs>
        <w:tab w:val="center" w:pos="4153"/>
        <w:tab w:val="right" w:pos="8306"/>
      </w:tabs>
    </w:pPr>
  </w:style>
  <w:style w:type="character" w:customStyle="1" w:styleId="HeaderChar">
    <w:name w:val="Header Char"/>
    <w:basedOn w:val="DefaultParagraphFont"/>
    <w:link w:val="Header"/>
    <w:uiPriority w:val="99"/>
    <w:rsid w:val="00D51CF3"/>
    <w:rPr>
      <w:sz w:val="24"/>
      <w:szCs w:val="24"/>
    </w:rPr>
  </w:style>
  <w:style w:type="paragraph" w:styleId="BalloonText">
    <w:name w:val="Balloon Text"/>
    <w:basedOn w:val="Normal"/>
    <w:link w:val="BalloonTextChar"/>
    <w:rsid w:val="00191416"/>
    <w:rPr>
      <w:rFonts w:ascii="Tahoma" w:hAnsi="Tahoma" w:cs="Tahoma"/>
      <w:sz w:val="16"/>
      <w:szCs w:val="16"/>
    </w:rPr>
  </w:style>
  <w:style w:type="character" w:customStyle="1" w:styleId="BalloonTextChar">
    <w:name w:val="Balloon Text Char"/>
    <w:basedOn w:val="DefaultParagraphFont"/>
    <w:link w:val="BalloonText"/>
    <w:rsid w:val="00191416"/>
    <w:rPr>
      <w:rFonts w:ascii="Tahoma" w:hAnsi="Tahoma" w:cs="Tahoma"/>
      <w:sz w:val="16"/>
      <w:szCs w:val="16"/>
    </w:rPr>
  </w:style>
  <w:style w:type="character" w:styleId="CommentReference">
    <w:name w:val="annotation reference"/>
    <w:basedOn w:val="DefaultParagraphFont"/>
    <w:rsid w:val="00823873"/>
    <w:rPr>
      <w:sz w:val="16"/>
      <w:szCs w:val="16"/>
    </w:rPr>
  </w:style>
  <w:style w:type="paragraph" w:styleId="CommentText">
    <w:name w:val="annotation text"/>
    <w:basedOn w:val="Normal"/>
    <w:link w:val="CommentTextChar"/>
    <w:rsid w:val="00823873"/>
    <w:rPr>
      <w:sz w:val="20"/>
      <w:szCs w:val="20"/>
    </w:rPr>
  </w:style>
  <w:style w:type="character" w:customStyle="1" w:styleId="CommentTextChar">
    <w:name w:val="Comment Text Char"/>
    <w:basedOn w:val="DefaultParagraphFont"/>
    <w:link w:val="CommentText"/>
    <w:rsid w:val="00823873"/>
  </w:style>
  <w:style w:type="paragraph" w:styleId="CommentSubject">
    <w:name w:val="annotation subject"/>
    <w:basedOn w:val="CommentText"/>
    <w:next w:val="CommentText"/>
    <w:link w:val="CommentSubjectChar"/>
    <w:rsid w:val="00823873"/>
    <w:rPr>
      <w:b/>
      <w:bCs/>
    </w:rPr>
  </w:style>
  <w:style w:type="character" w:customStyle="1" w:styleId="CommentSubjectChar">
    <w:name w:val="Comment Subject Char"/>
    <w:basedOn w:val="CommentTextChar"/>
    <w:link w:val="CommentSubject"/>
    <w:rsid w:val="00823873"/>
    <w:rPr>
      <w:b/>
      <w:bCs/>
    </w:rPr>
  </w:style>
  <w:style w:type="paragraph" w:customStyle="1" w:styleId="HR">
    <w:name w:val="HR"/>
    <w:aliases w:val="Regulation Heading"/>
    <w:basedOn w:val="Normal"/>
    <w:next w:val="Normal"/>
    <w:rsid w:val="00CE300C"/>
    <w:pPr>
      <w:keepNext/>
      <w:keepLines/>
      <w:spacing w:before="360"/>
      <w:ind w:left="964" w:hanging="964"/>
    </w:pPr>
    <w:rPr>
      <w:rFonts w:ascii="Arial" w:hAnsi="Arial"/>
      <w:b/>
    </w:rPr>
  </w:style>
  <w:style w:type="paragraph" w:customStyle="1" w:styleId="A1">
    <w:name w:val="A1"/>
    <w:aliases w:val="Heading Amendment,1. Amendment"/>
    <w:basedOn w:val="Normal"/>
    <w:next w:val="Normal"/>
    <w:rsid w:val="00CE300C"/>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2052D5"/>
    <w:pPr>
      <w:tabs>
        <w:tab w:val="right" w:pos="794"/>
      </w:tabs>
      <w:spacing w:before="120" w:line="260" w:lineRule="exact"/>
      <w:ind w:left="964" w:hanging="964"/>
      <w:jc w:val="both"/>
    </w:pPr>
  </w:style>
  <w:style w:type="character" w:customStyle="1" w:styleId="CharPartText">
    <w:name w:val="CharPartText"/>
    <w:basedOn w:val="DefaultParagraphFont"/>
    <w:qFormat/>
    <w:rsid w:val="002A1F94"/>
  </w:style>
  <w:style w:type="paragraph" w:customStyle="1" w:styleId="ActHead2">
    <w:name w:val="ActHead 2"/>
    <w:aliases w:val="p"/>
    <w:basedOn w:val="Normal"/>
    <w:next w:val="Normal"/>
    <w:qFormat/>
    <w:rsid w:val="002A1F94"/>
    <w:pPr>
      <w:keepNext/>
      <w:keepLines/>
      <w:spacing w:before="280"/>
      <w:ind w:left="1134" w:hanging="1134"/>
      <w:outlineLvl w:val="1"/>
    </w:pPr>
    <w:rPr>
      <w:b/>
      <w:kern w:val="28"/>
      <w:sz w:val="32"/>
      <w:szCs w:val="20"/>
    </w:rPr>
  </w:style>
  <w:style w:type="paragraph" w:customStyle="1" w:styleId="ActHead5">
    <w:name w:val="ActHead 5"/>
    <w:aliases w:val="s"/>
    <w:basedOn w:val="Normal"/>
    <w:next w:val="subsection"/>
    <w:qFormat/>
    <w:rsid w:val="002A1F94"/>
    <w:pPr>
      <w:keepNext/>
      <w:keepLines/>
      <w:spacing w:before="280"/>
      <w:ind w:left="1134" w:hanging="1134"/>
      <w:outlineLvl w:val="4"/>
    </w:pPr>
    <w:rPr>
      <w:b/>
      <w:kern w:val="28"/>
      <w:szCs w:val="20"/>
    </w:rPr>
  </w:style>
  <w:style w:type="paragraph" w:customStyle="1" w:styleId="subsection">
    <w:name w:val="subsection"/>
    <w:aliases w:val="ss"/>
    <w:basedOn w:val="Normal"/>
    <w:rsid w:val="002A1F94"/>
    <w:pPr>
      <w:tabs>
        <w:tab w:val="right" w:pos="1021"/>
      </w:tabs>
      <w:spacing w:before="180"/>
      <w:ind w:left="1134" w:hanging="1134"/>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4209">
      <w:bodyDiv w:val="1"/>
      <w:marLeft w:val="0"/>
      <w:marRight w:val="0"/>
      <w:marTop w:val="0"/>
      <w:marBottom w:val="0"/>
      <w:divBdr>
        <w:top w:val="none" w:sz="0" w:space="0" w:color="auto"/>
        <w:left w:val="none" w:sz="0" w:space="0" w:color="auto"/>
        <w:bottom w:val="none" w:sz="0" w:space="0" w:color="auto"/>
        <w:right w:val="none" w:sz="0" w:space="0" w:color="auto"/>
      </w:divBdr>
      <w:divsChild>
        <w:div w:id="1021662595">
          <w:marLeft w:val="0"/>
          <w:marRight w:val="0"/>
          <w:marTop w:val="0"/>
          <w:marBottom w:val="0"/>
          <w:divBdr>
            <w:top w:val="none" w:sz="0" w:space="0" w:color="auto"/>
            <w:left w:val="none" w:sz="0" w:space="0" w:color="auto"/>
            <w:bottom w:val="none" w:sz="0" w:space="0" w:color="auto"/>
            <w:right w:val="none" w:sz="0" w:space="0" w:color="auto"/>
          </w:divBdr>
          <w:divsChild>
            <w:div w:id="1852375148">
              <w:marLeft w:val="0"/>
              <w:marRight w:val="0"/>
              <w:marTop w:val="0"/>
              <w:marBottom w:val="0"/>
              <w:divBdr>
                <w:top w:val="none" w:sz="0" w:space="0" w:color="auto"/>
                <w:left w:val="none" w:sz="0" w:space="0" w:color="auto"/>
                <w:bottom w:val="none" w:sz="0" w:space="0" w:color="auto"/>
                <w:right w:val="none" w:sz="0" w:space="0" w:color="auto"/>
              </w:divBdr>
              <w:divsChild>
                <w:div w:id="1720392855">
                  <w:marLeft w:val="0"/>
                  <w:marRight w:val="0"/>
                  <w:marTop w:val="0"/>
                  <w:marBottom w:val="0"/>
                  <w:divBdr>
                    <w:top w:val="none" w:sz="0" w:space="0" w:color="auto"/>
                    <w:left w:val="none" w:sz="0" w:space="0" w:color="auto"/>
                    <w:bottom w:val="none" w:sz="0" w:space="0" w:color="auto"/>
                    <w:right w:val="none" w:sz="0" w:space="0" w:color="auto"/>
                  </w:divBdr>
                  <w:divsChild>
                    <w:div w:id="364870771">
                      <w:marLeft w:val="0"/>
                      <w:marRight w:val="0"/>
                      <w:marTop w:val="0"/>
                      <w:marBottom w:val="0"/>
                      <w:divBdr>
                        <w:top w:val="none" w:sz="0" w:space="0" w:color="auto"/>
                        <w:left w:val="none" w:sz="0" w:space="0" w:color="auto"/>
                        <w:bottom w:val="none" w:sz="0" w:space="0" w:color="auto"/>
                        <w:right w:val="none" w:sz="0" w:space="0" w:color="auto"/>
                      </w:divBdr>
                      <w:divsChild>
                        <w:div w:id="1180240066">
                          <w:marLeft w:val="0"/>
                          <w:marRight w:val="0"/>
                          <w:marTop w:val="0"/>
                          <w:marBottom w:val="0"/>
                          <w:divBdr>
                            <w:top w:val="single" w:sz="6" w:space="0" w:color="828282"/>
                            <w:left w:val="single" w:sz="6" w:space="0" w:color="828282"/>
                            <w:bottom w:val="single" w:sz="6" w:space="0" w:color="828282"/>
                            <w:right w:val="single" w:sz="6" w:space="0" w:color="828282"/>
                          </w:divBdr>
                          <w:divsChild>
                            <w:div w:id="1674801328">
                              <w:marLeft w:val="0"/>
                              <w:marRight w:val="0"/>
                              <w:marTop w:val="0"/>
                              <w:marBottom w:val="0"/>
                              <w:divBdr>
                                <w:top w:val="none" w:sz="0" w:space="0" w:color="auto"/>
                                <w:left w:val="none" w:sz="0" w:space="0" w:color="auto"/>
                                <w:bottom w:val="none" w:sz="0" w:space="0" w:color="auto"/>
                                <w:right w:val="none" w:sz="0" w:space="0" w:color="auto"/>
                              </w:divBdr>
                              <w:divsChild>
                                <w:div w:id="898978524">
                                  <w:marLeft w:val="0"/>
                                  <w:marRight w:val="0"/>
                                  <w:marTop w:val="0"/>
                                  <w:marBottom w:val="0"/>
                                  <w:divBdr>
                                    <w:top w:val="none" w:sz="0" w:space="0" w:color="auto"/>
                                    <w:left w:val="none" w:sz="0" w:space="0" w:color="auto"/>
                                    <w:bottom w:val="none" w:sz="0" w:space="0" w:color="auto"/>
                                    <w:right w:val="none" w:sz="0" w:space="0" w:color="auto"/>
                                  </w:divBdr>
                                  <w:divsChild>
                                    <w:div w:id="1674454987">
                                      <w:marLeft w:val="0"/>
                                      <w:marRight w:val="0"/>
                                      <w:marTop w:val="0"/>
                                      <w:marBottom w:val="0"/>
                                      <w:divBdr>
                                        <w:top w:val="none" w:sz="0" w:space="0" w:color="auto"/>
                                        <w:left w:val="none" w:sz="0" w:space="0" w:color="auto"/>
                                        <w:bottom w:val="none" w:sz="0" w:space="0" w:color="auto"/>
                                        <w:right w:val="none" w:sz="0" w:space="0" w:color="auto"/>
                                      </w:divBdr>
                                      <w:divsChild>
                                        <w:div w:id="305404272">
                                          <w:marLeft w:val="0"/>
                                          <w:marRight w:val="0"/>
                                          <w:marTop w:val="0"/>
                                          <w:marBottom w:val="0"/>
                                          <w:divBdr>
                                            <w:top w:val="none" w:sz="0" w:space="0" w:color="auto"/>
                                            <w:left w:val="none" w:sz="0" w:space="0" w:color="auto"/>
                                            <w:bottom w:val="none" w:sz="0" w:space="0" w:color="auto"/>
                                            <w:right w:val="none" w:sz="0" w:space="0" w:color="auto"/>
                                          </w:divBdr>
                                          <w:divsChild>
                                            <w:div w:id="50807803">
                                              <w:marLeft w:val="0"/>
                                              <w:marRight w:val="0"/>
                                              <w:marTop w:val="0"/>
                                              <w:marBottom w:val="0"/>
                                              <w:divBdr>
                                                <w:top w:val="none" w:sz="0" w:space="0" w:color="auto"/>
                                                <w:left w:val="none" w:sz="0" w:space="0" w:color="auto"/>
                                                <w:bottom w:val="none" w:sz="0" w:space="0" w:color="auto"/>
                                                <w:right w:val="none" w:sz="0" w:space="0" w:color="auto"/>
                                              </w:divBdr>
                                              <w:divsChild>
                                                <w:div w:id="9617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219407">
      <w:bodyDiv w:val="1"/>
      <w:marLeft w:val="0"/>
      <w:marRight w:val="0"/>
      <w:marTop w:val="0"/>
      <w:marBottom w:val="0"/>
      <w:divBdr>
        <w:top w:val="none" w:sz="0" w:space="0" w:color="auto"/>
        <w:left w:val="none" w:sz="0" w:space="0" w:color="auto"/>
        <w:bottom w:val="none" w:sz="0" w:space="0" w:color="auto"/>
        <w:right w:val="none" w:sz="0" w:space="0" w:color="auto"/>
      </w:divBdr>
      <w:divsChild>
        <w:div w:id="1908958256">
          <w:marLeft w:val="0"/>
          <w:marRight w:val="0"/>
          <w:marTop w:val="0"/>
          <w:marBottom w:val="0"/>
          <w:divBdr>
            <w:top w:val="none" w:sz="0" w:space="0" w:color="auto"/>
            <w:left w:val="none" w:sz="0" w:space="0" w:color="auto"/>
            <w:bottom w:val="none" w:sz="0" w:space="0" w:color="auto"/>
            <w:right w:val="none" w:sz="0" w:space="0" w:color="auto"/>
          </w:divBdr>
          <w:divsChild>
            <w:div w:id="170533803">
              <w:marLeft w:val="0"/>
              <w:marRight w:val="0"/>
              <w:marTop w:val="0"/>
              <w:marBottom w:val="0"/>
              <w:divBdr>
                <w:top w:val="none" w:sz="0" w:space="0" w:color="auto"/>
                <w:left w:val="none" w:sz="0" w:space="0" w:color="auto"/>
                <w:bottom w:val="none" w:sz="0" w:space="0" w:color="auto"/>
                <w:right w:val="none" w:sz="0" w:space="0" w:color="auto"/>
              </w:divBdr>
              <w:divsChild>
                <w:div w:id="1451391735">
                  <w:marLeft w:val="0"/>
                  <w:marRight w:val="0"/>
                  <w:marTop w:val="0"/>
                  <w:marBottom w:val="0"/>
                  <w:divBdr>
                    <w:top w:val="none" w:sz="0" w:space="0" w:color="auto"/>
                    <w:left w:val="none" w:sz="0" w:space="0" w:color="auto"/>
                    <w:bottom w:val="none" w:sz="0" w:space="0" w:color="auto"/>
                    <w:right w:val="none" w:sz="0" w:space="0" w:color="auto"/>
                  </w:divBdr>
                  <w:divsChild>
                    <w:div w:id="2079553250">
                      <w:marLeft w:val="0"/>
                      <w:marRight w:val="0"/>
                      <w:marTop w:val="0"/>
                      <w:marBottom w:val="0"/>
                      <w:divBdr>
                        <w:top w:val="none" w:sz="0" w:space="0" w:color="auto"/>
                        <w:left w:val="none" w:sz="0" w:space="0" w:color="auto"/>
                        <w:bottom w:val="none" w:sz="0" w:space="0" w:color="auto"/>
                        <w:right w:val="none" w:sz="0" w:space="0" w:color="auto"/>
                      </w:divBdr>
                      <w:divsChild>
                        <w:div w:id="1806123963">
                          <w:marLeft w:val="0"/>
                          <w:marRight w:val="0"/>
                          <w:marTop w:val="0"/>
                          <w:marBottom w:val="0"/>
                          <w:divBdr>
                            <w:top w:val="single" w:sz="6" w:space="0" w:color="828282"/>
                            <w:left w:val="single" w:sz="6" w:space="0" w:color="828282"/>
                            <w:bottom w:val="single" w:sz="6" w:space="0" w:color="828282"/>
                            <w:right w:val="single" w:sz="6" w:space="0" w:color="828282"/>
                          </w:divBdr>
                          <w:divsChild>
                            <w:div w:id="1693215984">
                              <w:marLeft w:val="0"/>
                              <w:marRight w:val="0"/>
                              <w:marTop w:val="0"/>
                              <w:marBottom w:val="0"/>
                              <w:divBdr>
                                <w:top w:val="none" w:sz="0" w:space="0" w:color="auto"/>
                                <w:left w:val="none" w:sz="0" w:space="0" w:color="auto"/>
                                <w:bottom w:val="none" w:sz="0" w:space="0" w:color="auto"/>
                                <w:right w:val="none" w:sz="0" w:space="0" w:color="auto"/>
                              </w:divBdr>
                              <w:divsChild>
                                <w:div w:id="341712060">
                                  <w:marLeft w:val="0"/>
                                  <w:marRight w:val="0"/>
                                  <w:marTop w:val="0"/>
                                  <w:marBottom w:val="0"/>
                                  <w:divBdr>
                                    <w:top w:val="none" w:sz="0" w:space="0" w:color="auto"/>
                                    <w:left w:val="none" w:sz="0" w:space="0" w:color="auto"/>
                                    <w:bottom w:val="none" w:sz="0" w:space="0" w:color="auto"/>
                                    <w:right w:val="none" w:sz="0" w:space="0" w:color="auto"/>
                                  </w:divBdr>
                                  <w:divsChild>
                                    <w:div w:id="1780182526">
                                      <w:marLeft w:val="0"/>
                                      <w:marRight w:val="0"/>
                                      <w:marTop w:val="0"/>
                                      <w:marBottom w:val="0"/>
                                      <w:divBdr>
                                        <w:top w:val="none" w:sz="0" w:space="0" w:color="auto"/>
                                        <w:left w:val="none" w:sz="0" w:space="0" w:color="auto"/>
                                        <w:bottom w:val="none" w:sz="0" w:space="0" w:color="auto"/>
                                        <w:right w:val="none" w:sz="0" w:space="0" w:color="auto"/>
                                      </w:divBdr>
                                      <w:divsChild>
                                        <w:div w:id="1474441422">
                                          <w:marLeft w:val="0"/>
                                          <w:marRight w:val="0"/>
                                          <w:marTop w:val="0"/>
                                          <w:marBottom w:val="0"/>
                                          <w:divBdr>
                                            <w:top w:val="none" w:sz="0" w:space="0" w:color="auto"/>
                                            <w:left w:val="none" w:sz="0" w:space="0" w:color="auto"/>
                                            <w:bottom w:val="none" w:sz="0" w:space="0" w:color="auto"/>
                                            <w:right w:val="none" w:sz="0" w:space="0" w:color="auto"/>
                                          </w:divBdr>
                                          <w:divsChild>
                                            <w:div w:id="1403137973">
                                              <w:marLeft w:val="0"/>
                                              <w:marRight w:val="0"/>
                                              <w:marTop w:val="0"/>
                                              <w:marBottom w:val="0"/>
                                              <w:divBdr>
                                                <w:top w:val="none" w:sz="0" w:space="0" w:color="auto"/>
                                                <w:left w:val="none" w:sz="0" w:space="0" w:color="auto"/>
                                                <w:bottom w:val="none" w:sz="0" w:space="0" w:color="auto"/>
                                                <w:right w:val="none" w:sz="0" w:space="0" w:color="auto"/>
                                              </w:divBdr>
                                              <w:divsChild>
                                                <w:div w:id="3737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130953">
      <w:bodyDiv w:val="1"/>
      <w:marLeft w:val="0"/>
      <w:marRight w:val="0"/>
      <w:marTop w:val="0"/>
      <w:marBottom w:val="0"/>
      <w:divBdr>
        <w:top w:val="none" w:sz="0" w:space="0" w:color="auto"/>
        <w:left w:val="none" w:sz="0" w:space="0" w:color="auto"/>
        <w:bottom w:val="none" w:sz="0" w:space="0" w:color="auto"/>
        <w:right w:val="none" w:sz="0" w:space="0" w:color="auto"/>
      </w:divBdr>
      <w:divsChild>
        <w:div w:id="32313222">
          <w:marLeft w:val="0"/>
          <w:marRight w:val="0"/>
          <w:marTop w:val="0"/>
          <w:marBottom w:val="0"/>
          <w:divBdr>
            <w:top w:val="none" w:sz="0" w:space="0" w:color="auto"/>
            <w:left w:val="none" w:sz="0" w:space="0" w:color="auto"/>
            <w:bottom w:val="none" w:sz="0" w:space="0" w:color="auto"/>
            <w:right w:val="none" w:sz="0" w:space="0" w:color="auto"/>
          </w:divBdr>
          <w:divsChild>
            <w:div w:id="251397961">
              <w:marLeft w:val="0"/>
              <w:marRight w:val="0"/>
              <w:marTop w:val="0"/>
              <w:marBottom w:val="0"/>
              <w:divBdr>
                <w:top w:val="none" w:sz="0" w:space="0" w:color="auto"/>
                <w:left w:val="none" w:sz="0" w:space="0" w:color="auto"/>
                <w:bottom w:val="none" w:sz="0" w:space="0" w:color="auto"/>
                <w:right w:val="none" w:sz="0" w:space="0" w:color="auto"/>
              </w:divBdr>
              <w:divsChild>
                <w:div w:id="2038310785">
                  <w:marLeft w:val="0"/>
                  <w:marRight w:val="0"/>
                  <w:marTop w:val="0"/>
                  <w:marBottom w:val="0"/>
                  <w:divBdr>
                    <w:top w:val="none" w:sz="0" w:space="0" w:color="auto"/>
                    <w:left w:val="none" w:sz="0" w:space="0" w:color="auto"/>
                    <w:bottom w:val="none" w:sz="0" w:space="0" w:color="auto"/>
                    <w:right w:val="none" w:sz="0" w:space="0" w:color="auto"/>
                  </w:divBdr>
                  <w:divsChild>
                    <w:div w:id="182059602">
                      <w:marLeft w:val="0"/>
                      <w:marRight w:val="0"/>
                      <w:marTop w:val="0"/>
                      <w:marBottom w:val="0"/>
                      <w:divBdr>
                        <w:top w:val="none" w:sz="0" w:space="0" w:color="auto"/>
                        <w:left w:val="none" w:sz="0" w:space="0" w:color="auto"/>
                        <w:bottom w:val="none" w:sz="0" w:space="0" w:color="auto"/>
                        <w:right w:val="none" w:sz="0" w:space="0" w:color="auto"/>
                      </w:divBdr>
                      <w:divsChild>
                        <w:div w:id="2049643919">
                          <w:marLeft w:val="0"/>
                          <w:marRight w:val="0"/>
                          <w:marTop w:val="0"/>
                          <w:marBottom w:val="0"/>
                          <w:divBdr>
                            <w:top w:val="single" w:sz="6" w:space="0" w:color="828282"/>
                            <w:left w:val="single" w:sz="6" w:space="0" w:color="828282"/>
                            <w:bottom w:val="single" w:sz="6" w:space="0" w:color="828282"/>
                            <w:right w:val="single" w:sz="6" w:space="0" w:color="828282"/>
                          </w:divBdr>
                          <w:divsChild>
                            <w:div w:id="608702822">
                              <w:marLeft w:val="0"/>
                              <w:marRight w:val="0"/>
                              <w:marTop w:val="0"/>
                              <w:marBottom w:val="0"/>
                              <w:divBdr>
                                <w:top w:val="none" w:sz="0" w:space="0" w:color="auto"/>
                                <w:left w:val="none" w:sz="0" w:space="0" w:color="auto"/>
                                <w:bottom w:val="none" w:sz="0" w:space="0" w:color="auto"/>
                                <w:right w:val="none" w:sz="0" w:space="0" w:color="auto"/>
                              </w:divBdr>
                              <w:divsChild>
                                <w:div w:id="1021977173">
                                  <w:marLeft w:val="0"/>
                                  <w:marRight w:val="0"/>
                                  <w:marTop w:val="0"/>
                                  <w:marBottom w:val="0"/>
                                  <w:divBdr>
                                    <w:top w:val="none" w:sz="0" w:space="0" w:color="auto"/>
                                    <w:left w:val="none" w:sz="0" w:space="0" w:color="auto"/>
                                    <w:bottom w:val="none" w:sz="0" w:space="0" w:color="auto"/>
                                    <w:right w:val="none" w:sz="0" w:space="0" w:color="auto"/>
                                  </w:divBdr>
                                  <w:divsChild>
                                    <w:div w:id="297762643">
                                      <w:marLeft w:val="0"/>
                                      <w:marRight w:val="0"/>
                                      <w:marTop w:val="0"/>
                                      <w:marBottom w:val="0"/>
                                      <w:divBdr>
                                        <w:top w:val="none" w:sz="0" w:space="0" w:color="auto"/>
                                        <w:left w:val="none" w:sz="0" w:space="0" w:color="auto"/>
                                        <w:bottom w:val="none" w:sz="0" w:space="0" w:color="auto"/>
                                        <w:right w:val="none" w:sz="0" w:space="0" w:color="auto"/>
                                      </w:divBdr>
                                      <w:divsChild>
                                        <w:div w:id="1505365307">
                                          <w:marLeft w:val="0"/>
                                          <w:marRight w:val="0"/>
                                          <w:marTop w:val="0"/>
                                          <w:marBottom w:val="0"/>
                                          <w:divBdr>
                                            <w:top w:val="none" w:sz="0" w:space="0" w:color="auto"/>
                                            <w:left w:val="none" w:sz="0" w:space="0" w:color="auto"/>
                                            <w:bottom w:val="none" w:sz="0" w:space="0" w:color="auto"/>
                                            <w:right w:val="none" w:sz="0" w:space="0" w:color="auto"/>
                                          </w:divBdr>
                                          <w:divsChild>
                                            <w:div w:id="548614874">
                                              <w:marLeft w:val="0"/>
                                              <w:marRight w:val="0"/>
                                              <w:marTop w:val="0"/>
                                              <w:marBottom w:val="0"/>
                                              <w:divBdr>
                                                <w:top w:val="none" w:sz="0" w:space="0" w:color="auto"/>
                                                <w:left w:val="none" w:sz="0" w:space="0" w:color="auto"/>
                                                <w:bottom w:val="none" w:sz="0" w:space="0" w:color="auto"/>
                                                <w:right w:val="none" w:sz="0" w:space="0" w:color="auto"/>
                                              </w:divBdr>
                                              <w:divsChild>
                                                <w:div w:id="10378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139213">
      <w:bodyDiv w:val="1"/>
      <w:marLeft w:val="0"/>
      <w:marRight w:val="0"/>
      <w:marTop w:val="0"/>
      <w:marBottom w:val="0"/>
      <w:divBdr>
        <w:top w:val="none" w:sz="0" w:space="0" w:color="auto"/>
        <w:left w:val="none" w:sz="0" w:space="0" w:color="auto"/>
        <w:bottom w:val="none" w:sz="0" w:space="0" w:color="auto"/>
        <w:right w:val="none" w:sz="0" w:space="0" w:color="auto"/>
      </w:divBdr>
      <w:divsChild>
        <w:div w:id="1411196078">
          <w:marLeft w:val="0"/>
          <w:marRight w:val="0"/>
          <w:marTop w:val="0"/>
          <w:marBottom w:val="0"/>
          <w:divBdr>
            <w:top w:val="none" w:sz="0" w:space="0" w:color="auto"/>
            <w:left w:val="none" w:sz="0" w:space="0" w:color="auto"/>
            <w:bottom w:val="none" w:sz="0" w:space="0" w:color="auto"/>
            <w:right w:val="none" w:sz="0" w:space="0" w:color="auto"/>
          </w:divBdr>
          <w:divsChild>
            <w:div w:id="857815490">
              <w:marLeft w:val="0"/>
              <w:marRight w:val="0"/>
              <w:marTop w:val="0"/>
              <w:marBottom w:val="0"/>
              <w:divBdr>
                <w:top w:val="none" w:sz="0" w:space="0" w:color="auto"/>
                <w:left w:val="none" w:sz="0" w:space="0" w:color="auto"/>
                <w:bottom w:val="none" w:sz="0" w:space="0" w:color="auto"/>
                <w:right w:val="none" w:sz="0" w:space="0" w:color="auto"/>
              </w:divBdr>
              <w:divsChild>
                <w:div w:id="1889948529">
                  <w:marLeft w:val="0"/>
                  <w:marRight w:val="0"/>
                  <w:marTop w:val="0"/>
                  <w:marBottom w:val="0"/>
                  <w:divBdr>
                    <w:top w:val="none" w:sz="0" w:space="0" w:color="auto"/>
                    <w:left w:val="none" w:sz="0" w:space="0" w:color="auto"/>
                    <w:bottom w:val="none" w:sz="0" w:space="0" w:color="auto"/>
                    <w:right w:val="none" w:sz="0" w:space="0" w:color="auto"/>
                  </w:divBdr>
                  <w:divsChild>
                    <w:div w:id="2145081710">
                      <w:marLeft w:val="0"/>
                      <w:marRight w:val="0"/>
                      <w:marTop w:val="0"/>
                      <w:marBottom w:val="0"/>
                      <w:divBdr>
                        <w:top w:val="none" w:sz="0" w:space="0" w:color="auto"/>
                        <w:left w:val="none" w:sz="0" w:space="0" w:color="auto"/>
                        <w:bottom w:val="none" w:sz="0" w:space="0" w:color="auto"/>
                        <w:right w:val="none" w:sz="0" w:space="0" w:color="auto"/>
                      </w:divBdr>
                      <w:divsChild>
                        <w:div w:id="697507535">
                          <w:marLeft w:val="0"/>
                          <w:marRight w:val="0"/>
                          <w:marTop w:val="0"/>
                          <w:marBottom w:val="0"/>
                          <w:divBdr>
                            <w:top w:val="single" w:sz="6" w:space="0" w:color="828282"/>
                            <w:left w:val="single" w:sz="6" w:space="0" w:color="828282"/>
                            <w:bottom w:val="single" w:sz="6" w:space="0" w:color="828282"/>
                            <w:right w:val="single" w:sz="6" w:space="0" w:color="828282"/>
                          </w:divBdr>
                          <w:divsChild>
                            <w:div w:id="231156710">
                              <w:marLeft w:val="0"/>
                              <w:marRight w:val="0"/>
                              <w:marTop w:val="0"/>
                              <w:marBottom w:val="0"/>
                              <w:divBdr>
                                <w:top w:val="none" w:sz="0" w:space="0" w:color="auto"/>
                                <w:left w:val="none" w:sz="0" w:space="0" w:color="auto"/>
                                <w:bottom w:val="none" w:sz="0" w:space="0" w:color="auto"/>
                                <w:right w:val="none" w:sz="0" w:space="0" w:color="auto"/>
                              </w:divBdr>
                              <w:divsChild>
                                <w:div w:id="1692561546">
                                  <w:marLeft w:val="0"/>
                                  <w:marRight w:val="0"/>
                                  <w:marTop w:val="0"/>
                                  <w:marBottom w:val="0"/>
                                  <w:divBdr>
                                    <w:top w:val="none" w:sz="0" w:space="0" w:color="auto"/>
                                    <w:left w:val="none" w:sz="0" w:space="0" w:color="auto"/>
                                    <w:bottom w:val="none" w:sz="0" w:space="0" w:color="auto"/>
                                    <w:right w:val="none" w:sz="0" w:space="0" w:color="auto"/>
                                  </w:divBdr>
                                  <w:divsChild>
                                    <w:div w:id="1741250161">
                                      <w:marLeft w:val="0"/>
                                      <w:marRight w:val="0"/>
                                      <w:marTop w:val="0"/>
                                      <w:marBottom w:val="0"/>
                                      <w:divBdr>
                                        <w:top w:val="none" w:sz="0" w:space="0" w:color="auto"/>
                                        <w:left w:val="none" w:sz="0" w:space="0" w:color="auto"/>
                                        <w:bottom w:val="none" w:sz="0" w:space="0" w:color="auto"/>
                                        <w:right w:val="none" w:sz="0" w:space="0" w:color="auto"/>
                                      </w:divBdr>
                                      <w:divsChild>
                                        <w:div w:id="1445270545">
                                          <w:marLeft w:val="0"/>
                                          <w:marRight w:val="0"/>
                                          <w:marTop w:val="0"/>
                                          <w:marBottom w:val="0"/>
                                          <w:divBdr>
                                            <w:top w:val="none" w:sz="0" w:space="0" w:color="auto"/>
                                            <w:left w:val="none" w:sz="0" w:space="0" w:color="auto"/>
                                            <w:bottom w:val="none" w:sz="0" w:space="0" w:color="auto"/>
                                            <w:right w:val="none" w:sz="0" w:space="0" w:color="auto"/>
                                          </w:divBdr>
                                          <w:divsChild>
                                            <w:div w:id="709497082">
                                              <w:marLeft w:val="0"/>
                                              <w:marRight w:val="0"/>
                                              <w:marTop w:val="0"/>
                                              <w:marBottom w:val="0"/>
                                              <w:divBdr>
                                                <w:top w:val="none" w:sz="0" w:space="0" w:color="auto"/>
                                                <w:left w:val="none" w:sz="0" w:space="0" w:color="auto"/>
                                                <w:bottom w:val="none" w:sz="0" w:space="0" w:color="auto"/>
                                                <w:right w:val="none" w:sz="0" w:space="0" w:color="auto"/>
                                              </w:divBdr>
                                              <w:divsChild>
                                                <w:div w:id="1758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723083">
      <w:bodyDiv w:val="1"/>
      <w:marLeft w:val="0"/>
      <w:marRight w:val="0"/>
      <w:marTop w:val="0"/>
      <w:marBottom w:val="0"/>
      <w:divBdr>
        <w:top w:val="none" w:sz="0" w:space="0" w:color="auto"/>
        <w:left w:val="none" w:sz="0" w:space="0" w:color="auto"/>
        <w:bottom w:val="none" w:sz="0" w:space="0" w:color="auto"/>
        <w:right w:val="none" w:sz="0" w:space="0" w:color="auto"/>
      </w:divBdr>
    </w:div>
    <w:div w:id="1107045587">
      <w:bodyDiv w:val="1"/>
      <w:marLeft w:val="0"/>
      <w:marRight w:val="0"/>
      <w:marTop w:val="0"/>
      <w:marBottom w:val="0"/>
      <w:divBdr>
        <w:top w:val="none" w:sz="0" w:space="0" w:color="auto"/>
        <w:left w:val="none" w:sz="0" w:space="0" w:color="auto"/>
        <w:bottom w:val="none" w:sz="0" w:space="0" w:color="auto"/>
        <w:right w:val="none" w:sz="0" w:space="0" w:color="auto"/>
      </w:divBdr>
      <w:divsChild>
        <w:div w:id="190579544">
          <w:marLeft w:val="0"/>
          <w:marRight w:val="0"/>
          <w:marTop w:val="0"/>
          <w:marBottom w:val="0"/>
          <w:divBdr>
            <w:top w:val="none" w:sz="0" w:space="0" w:color="auto"/>
            <w:left w:val="none" w:sz="0" w:space="0" w:color="auto"/>
            <w:bottom w:val="none" w:sz="0" w:space="0" w:color="auto"/>
            <w:right w:val="none" w:sz="0" w:space="0" w:color="auto"/>
          </w:divBdr>
          <w:divsChild>
            <w:div w:id="1629242179">
              <w:marLeft w:val="0"/>
              <w:marRight w:val="0"/>
              <w:marTop w:val="0"/>
              <w:marBottom w:val="0"/>
              <w:divBdr>
                <w:top w:val="none" w:sz="0" w:space="0" w:color="auto"/>
                <w:left w:val="none" w:sz="0" w:space="0" w:color="auto"/>
                <w:bottom w:val="none" w:sz="0" w:space="0" w:color="auto"/>
                <w:right w:val="none" w:sz="0" w:space="0" w:color="auto"/>
              </w:divBdr>
              <w:divsChild>
                <w:div w:id="890504315">
                  <w:marLeft w:val="0"/>
                  <w:marRight w:val="0"/>
                  <w:marTop w:val="0"/>
                  <w:marBottom w:val="0"/>
                  <w:divBdr>
                    <w:top w:val="none" w:sz="0" w:space="0" w:color="auto"/>
                    <w:left w:val="none" w:sz="0" w:space="0" w:color="auto"/>
                    <w:bottom w:val="none" w:sz="0" w:space="0" w:color="auto"/>
                    <w:right w:val="none" w:sz="0" w:space="0" w:color="auto"/>
                  </w:divBdr>
                  <w:divsChild>
                    <w:div w:id="1302928547">
                      <w:marLeft w:val="0"/>
                      <w:marRight w:val="0"/>
                      <w:marTop w:val="0"/>
                      <w:marBottom w:val="0"/>
                      <w:divBdr>
                        <w:top w:val="none" w:sz="0" w:space="0" w:color="auto"/>
                        <w:left w:val="none" w:sz="0" w:space="0" w:color="auto"/>
                        <w:bottom w:val="none" w:sz="0" w:space="0" w:color="auto"/>
                        <w:right w:val="none" w:sz="0" w:space="0" w:color="auto"/>
                      </w:divBdr>
                      <w:divsChild>
                        <w:div w:id="1839078300">
                          <w:marLeft w:val="0"/>
                          <w:marRight w:val="0"/>
                          <w:marTop w:val="0"/>
                          <w:marBottom w:val="0"/>
                          <w:divBdr>
                            <w:top w:val="single" w:sz="6" w:space="0" w:color="828282"/>
                            <w:left w:val="single" w:sz="6" w:space="0" w:color="828282"/>
                            <w:bottom w:val="single" w:sz="6" w:space="0" w:color="828282"/>
                            <w:right w:val="single" w:sz="6" w:space="0" w:color="828282"/>
                          </w:divBdr>
                          <w:divsChild>
                            <w:div w:id="1018657693">
                              <w:marLeft w:val="0"/>
                              <w:marRight w:val="0"/>
                              <w:marTop w:val="0"/>
                              <w:marBottom w:val="0"/>
                              <w:divBdr>
                                <w:top w:val="none" w:sz="0" w:space="0" w:color="auto"/>
                                <w:left w:val="none" w:sz="0" w:space="0" w:color="auto"/>
                                <w:bottom w:val="none" w:sz="0" w:space="0" w:color="auto"/>
                                <w:right w:val="none" w:sz="0" w:space="0" w:color="auto"/>
                              </w:divBdr>
                              <w:divsChild>
                                <w:div w:id="677922225">
                                  <w:marLeft w:val="0"/>
                                  <w:marRight w:val="0"/>
                                  <w:marTop w:val="0"/>
                                  <w:marBottom w:val="0"/>
                                  <w:divBdr>
                                    <w:top w:val="none" w:sz="0" w:space="0" w:color="auto"/>
                                    <w:left w:val="none" w:sz="0" w:space="0" w:color="auto"/>
                                    <w:bottom w:val="none" w:sz="0" w:space="0" w:color="auto"/>
                                    <w:right w:val="none" w:sz="0" w:space="0" w:color="auto"/>
                                  </w:divBdr>
                                  <w:divsChild>
                                    <w:div w:id="1772815788">
                                      <w:marLeft w:val="0"/>
                                      <w:marRight w:val="0"/>
                                      <w:marTop w:val="0"/>
                                      <w:marBottom w:val="0"/>
                                      <w:divBdr>
                                        <w:top w:val="none" w:sz="0" w:space="0" w:color="auto"/>
                                        <w:left w:val="none" w:sz="0" w:space="0" w:color="auto"/>
                                        <w:bottom w:val="none" w:sz="0" w:space="0" w:color="auto"/>
                                        <w:right w:val="none" w:sz="0" w:space="0" w:color="auto"/>
                                      </w:divBdr>
                                      <w:divsChild>
                                        <w:div w:id="852304971">
                                          <w:marLeft w:val="0"/>
                                          <w:marRight w:val="0"/>
                                          <w:marTop w:val="0"/>
                                          <w:marBottom w:val="0"/>
                                          <w:divBdr>
                                            <w:top w:val="none" w:sz="0" w:space="0" w:color="auto"/>
                                            <w:left w:val="none" w:sz="0" w:space="0" w:color="auto"/>
                                            <w:bottom w:val="none" w:sz="0" w:space="0" w:color="auto"/>
                                            <w:right w:val="none" w:sz="0" w:space="0" w:color="auto"/>
                                          </w:divBdr>
                                          <w:divsChild>
                                            <w:div w:id="454643939">
                                              <w:marLeft w:val="0"/>
                                              <w:marRight w:val="0"/>
                                              <w:marTop w:val="0"/>
                                              <w:marBottom w:val="0"/>
                                              <w:divBdr>
                                                <w:top w:val="none" w:sz="0" w:space="0" w:color="auto"/>
                                                <w:left w:val="none" w:sz="0" w:space="0" w:color="auto"/>
                                                <w:bottom w:val="none" w:sz="0" w:space="0" w:color="auto"/>
                                                <w:right w:val="none" w:sz="0" w:space="0" w:color="auto"/>
                                              </w:divBdr>
                                              <w:divsChild>
                                                <w:div w:id="8840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905901">
      <w:bodyDiv w:val="1"/>
      <w:marLeft w:val="0"/>
      <w:marRight w:val="0"/>
      <w:marTop w:val="0"/>
      <w:marBottom w:val="0"/>
      <w:divBdr>
        <w:top w:val="none" w:sz="0" w:space="0" w:color="auto"/>
        <w:left w:val="none" w:sz="0" w:space="0" w:color="auto"/>
        <w:bottom w:val="none" w:sz="0" w:space="0" w:color="auto"/>
        <w:right w:val="none" w:sz="0" w:space="0" w:color="auto"/>
      </w:divBdr>
      <w:divsChild>
        <w:div w:id="1857770907">
          <w:marLeft w:val="0"/>
          <w:marRight w:val="0"/>
          <w:marTop w:val="0"/>
          <w:marBottom w:val="0"/>
          <w:divBdr>
            <w:top w:val="none" w:sz="0" w:space="0" w:color="auto"/>
            <w:left w:val="none" w:sz="0" w:space="0" w:color="auto"/>
            <w:bottom w:val="none" w:sz="0" w:space="0" w:color="auto"/>
            <w:right w:val="none" w:sz="0" w:space="0" w:color="auto"/>
          </w:divBdr>
          <w:divsChild>
            <w:div w:id="940991621">
              <w:marLeft w:val="0"/>
              <w:marRight w:val="0"/>
              <w:marTop w:val="0"/>
              <w:marBottom w:val="0"/>
              <w:divBdr>
                <w:top w:val="none" w:sz="0" w:space="0" w:color="auto"/>
                <w:left w:val="none" w:sz="0" w:space="0" w:color="auto"/>
                <w:bottom w:val="none" w:sz="0" w:space="0" w:color="auto"/>
                <w:right w:val="none" w:sz="0" w:space="0" w:color="auto"/>
              </w:divBdr>
              <w:divsChild>
                <w:div w:id="1204829456">
                  <w:marLeft w:val="0"/>
                  <w:marRight w:val="0"/>
                  <w:marTop w:val="0"/>
                  <w:marBottom w:val="0"/>
                  <w:divBdr>
                    <w:top w:val="none" w:sz="0" w:space="0" w:color="auto"/>
                    <w:left w:val="none" w:sz="0" w:space="0" w:color="auto"/>
                    <w:bottom w:val="none" w:sz="0" w:space="0" w:color="auto"/>
                    <w:right w:val="none" w:sz="0" w:space="0" w:color="auto"/>
                  </w:divBdr>
                  <w:divsChild>
                    <w:div w:id="1372152517">
                      <w:marLeft w:val="0"/>
                      <w:marRight w:val="0"/>
                      <w:marTop w:val="0"/>
                      <w:marBottom w:val="0"/>
                      <w:divBdr>
                        <w:top w:val="none" w:sz="0" w:space="0" w:color="auto"/>
                        <w:left w:val="none" w:sz="0" w:space="0" w:color="auto"/>
                        <w:bottom w:val="none" w:sz="0" w:space="0" w:color="auto"/>
                        <w:right w:val="none" w:sz="0" w:space="0" w:color="auto"/>
                      </w:divBdr>
                      <w:divsChild>
                        <w:div w:id="1612855372">
                          <w:marLeft w:val="0"/>
                          <w:marRight w:val="0"/>
                          <w:marTop w:val="0"/>
                          <w:marBottom w:val="0"/>
                          <w:divBdr>
                            <w:top w:val="single" w:sz="6" w:space="0" w:color="828282"/>
                            <w:left w:val="single" w:sz="6" w:space="0" w:color="828282"/>
                            <w:bottom w:val="single" w:sz="6" w:space="0" w:color="828282"/>
                            <w:right w:val="single" w:sz="6" w:space="0" w:color="828282"/>
                          </w:divBdr>
                          <w:divsChild>
                            <w:div w:id="607204158">
                              <w:marLeft w:val="0"/>
                              <w:marRight w:val="0"/>
                              <w:marTop w:val="0"/>
                              <w:marBottom w:val="0"/>
                              <w:divBdr>
                                <w:top w:val="none" w:sz="0" w:space="0" w:color="auto"/>
                                <w:left w:val="none" w:sz="0" w:space="0" w:color="auto"/>
                                <w:bottom w:val="none" w:sz="0" w:space="0" w:color="auto"/>
                                <w:right w:val="none" w:sz="0" w:space="0" w:color="auto"/>
                              </w:divBdr>
                              <w:divsChild>
                                <w:div w:id="765229636">
                                  <w:marLeft w:val="0"/>
                                  <w:marRight w:val="0"/>
                                  <w:marTop w:val="0"/>
                                  <w:marBottom w:val="0"/>
                                  <w:divBdr>
                                    <w:top w:val="none" w:sz="0" w:space="0" w:color="auto"/>
                                    <w:left w:val="none" w:sz="0" w:space="0" w:color="auto"/>
                                    <w:bottom w:val="none" w:sz="0" w:space="0" w:color="auto"/>
                                    <w:right w:val="none" w:sz="0" w:space="0" w:color="auto"/>
                                  </w:divBdr>
                                  <w:divsChild>
                                    <w:div w:id="1105031521">
                                      <w:marLeft w:val="0"/>
                                      <w:marRight w:val="0"/>
                                      <w:marTop w:val="0"/>
                                      <w:marBottom w:val="0"/>
                                      <w:divBdr>
                                        <w:top w:val="none" w:sz="0" w:space="0" w:color="auto"/>
                                        <w:left w:val="none" w:sz="0" w:space="0" w:color="auto"/>
                                        <w:bottom w:val="none" w:sz="0" w:space="0" w:color="auto"/>
                                        <w:right w:val="none" w:sz="0" w:space="0" w:color="auto"/>
                                      </w:divBdr>
                                      <w:divsChild>
                                        <w:div w:id="1258557439">
                                          <w:marLeft w:val="0"/>
                                          <w:marRight w:val="0"/>
                                          <w:marTop w:val="0"/>
                                          <w:marBottom w:val="0"/>
                                          <w:divBdr>
                                            <w:top w:val="none" w:sz="0" w:space="0" w:color="auto"/>
                                            <w:left w:val="none" w:sz="0" w:space="0" w:color="auto"/>
                                            <w:bottom w:val="none" w:sz="0" w:space="0" w:color="auto"/>
                                            <w:right w:val="none" w:sz="0" w:space="0" w:color="auto"/>
                                          </w:divBdr>
                                          <w:divsChild>
                                            <w:div w:id="1660888836">
                                              <w:marLeft w:val="0"/>
                                              <w:marRight w:val="0"/>
                                              <w:marTop w:val="0"/>
                                              <w:marBottom w:val="0"/>
                                              <w:divBdr>
                                                <w:top w:val="none" w:sz="0" w:space="0" w:color="auto"/>
                                                <w:left w:val="none" w:sz="0" w:space="0" w:color="auto"/>
                                                <w:bottom w:val="none" w:sz="0" w:space="0" w:color="auto"/>
                                                <w:right w:val="none" w:sz="0" w:space="0" w:color="auto"/>
                                              </w:divBdr>
                                              <w:divsChild>
                                                <w:div w:id="14663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143939">
      <w:bodyDiv w:val="1"/>
      <w:marLeft w:val="0"/>
      <w:marRight w:val="0"/>
      <w:marTop w:val="0"/>
      <w:marBottom w:val="0"/>
      <w:divBdr>
        <w:top w:val="none" w:sz="0" w:space="0" w:color="auto"/>
        <w:left w:val="none" w:sz="0" w:space="0" w:color="auto"/>
        <w:bottom w:val="none" w:sz="0" w:space="0" w:color="auto"/>
        <w:right w:val="none" w:sz="0" w:space="0" w:color="auto"/>
      </w:divBdr>
      <w:divsChild>
        <w:div w:id="633950029">
          <w:marLeft w:val="0"/>
          <w:marRight w:val="0"/>
          <w:marTop w:val="0"/>
          <w:marBottom w:val="0"/>
          <w:divBdr>
            <w:top w:val="none" w:sz="0" w:space="0" w:color="auto"/>
            <w:left w:val="none" w:sz="0" w:space="0" w:color="auto"/>
            <w:bottom w:val="none" w:sz="0" w:space="0" w:color="auto"/>
            <w:right w:val="none" w:sz="0" w:space="0" w:color="auto"/>
          </w:divBdr>
          <w:divsChild>
            <w:div w:id="174998924">
              <w:marLeft w:val="0"/>
              <w:marRight w:val="0"/>
              <w:marTop w:val="0"/>
              <w:marBottom w:val="0"/>
              <w:divBdr>
                <w:top w:val="none" w:sz="0" w:space="0" w:color="auto"/>
                <w:left w:val="none" w:sz="0" w:space="0" w:color="auto"/>
                <w:bottom w:val="none" w:sz="0" w:space="0" w:color="auto"/>
                <w:right w:val="none" w:sz="0" w:space="0" w:color="auto"/>
              </w:divBdr>
              <w:divsChild>
                <w:div w:id="933510746">
                  <w:marLeft w:val="0"/>
                  <w:marRight w:val="0"/>
                  <w:marTop w:val="0"/>
                  <w:marBottom w:val="0"/>
                  <w:divBdr>
                    <w:top w:val="none" w:sz="0" w:space="0" w:color="auto"/>
                    <w:left w:val="none" w:sz="0" w:space="0" w:color="auto"/>
                    <w:bottom w:val="none" w:sz="0" w:space="0" w:color="auto"/>
                    <w:right w:val="none" w:sz="0" w:space="0" w:color="auto"/>
                  </w:divBdr>
                  <w:divsChild>
                    <w:div w:id="427584387">
                      <w:marLeft w:val="0"/>
                      <w:marRight w:val="0"/>
                      <w:marTop w:val="0"/>
                      <w:marBottom w:val="0"/>
                      <w:divBdr>
                        <w:top w:val="none" w:sz="0" w:space="0" w:color="auto"/>
                        <w:left w:val="none" w:sz="0" w:space="0" w:color="auto"/>
                        <w:bottom w:val="none" w:sz="0" w:space="0" w:color="auto"/>
                        <w:right w:val="none" w:sz="0" w:space="0" w:color="auto"/>
                      </w:divBdr>
                      <w:divsChild>
                        <w:div w:id="712116722">
                          <w:marLeft w:val="0"/>
                          <w:marRight w:val="0"/>
                          <w:marTop w:val="0"/>
                          <w:marBottom w:val="0"/>
                          <w:divBdr>
                            <w:top w:val="single" w:sz="6" w:space="0" w:color="828282"/>
                            <w:left w:val="single" w:sz="6" w:space="0" w:color="828282"/>
                            <w:bottom w:val="single" w:sz="6" w:space="0" w:color="828282"/>
                            <w:right w:val="single" w:sz="6" w:space="0" w:color="828282"/>
                          </w:divBdr>
                          <w:divsChild>
                            <w:div w:id="1803687338">
                              <w:marLeft w:val="0"/>
                              <w:marRight w:val="0"/>
                              <w:marTop w:val="0"/>
                              <w:marBottom w:val="0"/>
                              <w:divBdr>
                                <w:top w:val="none" w:sz="0" w:space="0" w:color="auto"/>
                                <w:left w:val="none" w:sz="0" w:space="0" w:color="auto"/>
                                <w:bottom w:val="none" w:sz="0" w:space="0" w:color="auto"/>
                                <w:right w:val="none" w:sz="0" w:space="0" w:color="auto"/>
                              </w:divBdr>
                              <w:divsChild>
                                <w:div w:id="992412231">
                                  <w:marLeft w:val="0"/>
                                  <w:marRight w:val="0"/>
                                  <w:marTop w:val="0"/>
                                  <w:marBottom w:val="0"/>
                                  <w:divBdr>
                                    <w:top w:val="none" w:sz="0" w:space="0" w:color="auto"/>
                                    <w:left w:val="none" w:sz="0" w:space="0" w:color="auto"/>
                                    <w:bottom w:val="none" w:sz="0" w:space="0" w:color="auto"/>
                                    <w:right w:val="none" w:sz="0" w:space="0" w:color="auto"/>
                                  </w:divBdr>
                                  <w:divsChild>
                                    <w:div w:id="1224413761">
                                      <w:marLeft w:val="0"/>
                                      <w:marRight w:val="0"/>
                                      <w:marTop w:val="0"/>
                                      <w:marBottom w:val="0"/>
                                      <w:divBdr>
                                        <w:top w:val="none" w:sz="0" w:space="0" w:color="auto"/>
                                        <w:left w:val="none" w:sz="0" w:space="0" w:color="auto"/>
                                        <w:bottom w:val="none" w:sz="0" w:space="0" w:color="auto"/>
                                        <w:right w:val="none" w:sz="0" w:space="0" w:color="auto"/>
                                      </w:divBdr>
                                      <w:divsChild>
                                        <w:div w:id="730005809">
                                          <w:marLeft w:val="0"/>
                                          <w:marRight w:val="0"/>
                                          <w:marTop w:val="0"/>
                                          <w:marBottom w:val="0"/>
                                          <w:divBdr>
                                            <w:top w:val="none" w:sz="0" w:space="0" w:color="auto"/>
                                            <w:left w:val="none" w:sz="0" w:space="0" w:color="auto"/>
                                            <w:bottom w:val="none" w:sz="0" w:space="0" w:color="auto"/>
                                            <w:right w:val="none" w:sz="0" w:space="0" w:color="auto"/>
                                          </w:divBdr>
                                          <w:divsChild>
                                            <w:div w:id="2079327750">
                                              <w:marLeft w:val="0"/>
                                              <w:marRight w:val="0"/>
                                              <w:marTop w:val="0"/>
                                              <w:marBottom w:val="0"/>
                                              <w:divBdr>
                                                <w:top w:val="none" w:sz="0" w:space="0" w:color="auto"/>
                                                <w:left w:val="none" w:sz="0" w:space="0" w:color="auto"/>
                                                <w:bottom w:val="none" w:sz="0" w:space="0" w:color="auto"/>
                                                <w:right w:val="none" w:sz="0" w:space="0" w:color="auto"/>
                                              </w:divBdr>
                                              <w:divsChild>
                                                <w:div w:id="3252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293937">
      <w:bodyDiv w:val="1"/>
      <w:marLeft w:val="0"/>
      <w:marRight w:val="0"/>
      <w:marTop w:val="0"/>
      <w:marBottom w:val="0"/>
      <w:divBdr>
        <w:top w:val="none" w:sz="0" w:space="0" w:color="auto"/>
        <w:left w:val="none" w:sz="0" w:space="0" w:color="auto"/>
        <w:bottom w:val="none" w:sz="0" w:space="0" w:color="auto"/>
        <w:right w:val="none" w:sz="0" w:space="0" w:color="auto"/>
      </w:divBdr>
      <w:divsChild>
        <w:div w:id="622882632">
          <w:marLeft w:val="0"/>
          <w:marRight w:val="0"/>
          <w:marTop w:val="0"/>
          <w:marBottom w:val="0"/>
          <w:divBdr>
            <w:top w:val="none" w:sz="0" w:space="0" w:color="auto"/>
            <w:left w:val="none" w:sz="0" w:space="0" w:color="auto"/>
            <w:bottom w:val="none" w:sz="0" w:space="0" w:color="auto"/>
            <w:right w:val="none" w:sz="0" w:space="0" w:color="auto"/>
          </w:divBdr>
          <w:divsChild>
            <w:div w:id="1897928480">
              <w:marLeft w:val="0"/>
              <w:marRight w:val="0"/>
              <w:marTop w:val="0"/>
              <w:marBottom w:val="0"/>
              <w:divBdr>
                <w:top w:val="none" w:sz="0" w:space="0" w:color="auto"/>
                <w:left w:val="none" w:sz="0" w:space="0" w:color="auto"/>
                <w:bottom w:val="none" w:sz="0" w:space="0" w:color="auto"/>
                <w:right w:val="none" w:sz="0" w:space="0" w:color="auto"/>
              </w:divBdr>
              <w:divsChild>
                <w:div w:id="1206722081">
                  <w:marLeft w:val="0"/>
                  <w:marRight w:val="0"/>
                  <w:marTop w:val="0"/>
                  <w:marBottom w:val="0"/>
                  <w:divBdr>
                    <w:top w:val="none" w:sz="0" w:space="0" w:color="auto"/>
                    <w:left w:val="none" w:sz="0" w:space="0" w:color="auto"/>
                    <w:bottom w:val="none" w:sz="0" w:space="0" w:color="auto"/>
                    <w:right w:val="none" w:sz="0" w:space="0" w:color="auto"/>
                  </w:divBdr>
                  <w:divsChild>
                    <w:div w:id="245039419">
                      <w:marLeft w:val="0"/>
                      <w:marRight w:val="0"/>
                      <w:marTop w:val="0"/>
                      <w:marBottom w:val="0"/>
                      <w:divBdr>
                        <w:top w:val="none" w:sz="0" w:space="0" w:color="auto"/>
                        <w:left w:val="none" w:sz="0" w:space="0" w:color="auto"/>
                        <w:bottom w:val="none" w:sz="0" w:space="0" w:color="auto"/>
                        <w:right w:val="none" w:sz="0" w:space="0" w:color="auto"/>
                      </w:divBdr>
                      <w:divsChild>
                        <w:div w:id="456878892">
                          <w:marLeft w:val="0"/>
                          <w:marRight w:val="0"/>
                          <w:marTop w:val="0"/>
                          <w:marBottom w:val="0"/>
                          <w:divBdr>
                            <w:top w:val="single" w:sz="6" w:space="0" w:color="828282"/>
                            <w:left w:val="single" w:sz="6" w:space="0" w:color="828282"/>
                            <w:bottom w:val="single" w:sz="6" w:space="0" w:color="828282"/>
                            <w:right w:val="single" w:sz="6" w:space="0" w:color="828282"/>
                          </w:divBdr>
                          <w:divsChild>
                            <w:div w:id="1209492761">
                              <w:marLeft w:val="0"/>
                              <w:marRight w:val="0"/>
                              <w:marTop w:val="0"/>
                              <w:marBottom w:val="0"/>
                              <w:divBdr>
                                <w:top w:val="none" w:sz="0" w:space="0" w:color="auto"/>
                                <w:left w:val="none" w:sz="0" w:space="0" w:color="auto"/>
                                <w:bottom w:val="none" w:sz="0" w:space="0" w:color="auto"/>
                                <w:right w:val="none" w:sz="0" w:space="0" w:color="auto"/>
                              </w:divBdr>
                              <w:divsChild>
                                <w:div w:id="1165362985">
                                  <w:marLeft w:val="0"/>
                                  <w:marRight w:val="0"/>
                                  <w:marTop w:val="0"/>
                                  <w:marBottom w:val="0"/>
                                  <w:divBdr>
                                    <w:top w:val="none" w:sz="0" w:space="0" w:color="auto"/>
                                    <w:left w:val="none" w:sz="0" w:space="0" w:color="auto"/>
                                    <w:bottom w:val="none" w:sz="0" w:space="0" w:color="auto"/>
                                    <w:right w:val="none" w:sz="0" w:space="0" w:color="auto"/>
                                  </w:divBdr>
                                  <w:divsChild>
                                    <w:div w:id="331880292">
                                      <w:marLeft w:val="0"/>
                                      <w:marRight w:val="0"/>
                                      <w:marTop w:val="0"/>
                                      <w:marBottom w:val="0"/>
                                      <w:divBdr>
                                        <w:top w:val="none" w:sz="0" w:space="0" w:color="auto"/>
                                        <w:left w:val="none" w:sz="0" w:space="0" w:color="auto"/>
                                        <w:bottom w:val="none" w:sz="0" w:space="0" w:color="auto"/>
                                        <w:right w:val="none" w:sz="0" w:space="0" w:color="auto"/>
                                      </w:divBdr>
                                      <w:divsChild>
                                        <w:div w:id="859054229">
                                          <w:marLeft w:val="0"/>
                                          <w:marRight w:val="0"/>
                                          <w:marTop w:val="0"/>
                                          <w:marBottom w:val="0"/>
                                          <w:divBdr>
                                            <w:top w:val="none" w:sz="0" w:space="0" w:color="auto"/>
                                            <w:left w:val="none" w:sz="0" w:space="0" w:color="auto"/>
                                            <w:bottom w:val="none" w:sz="0" w:space="0" w:color="auto"/>
                                            <w:right w:val="none" w:sz="0" w:space="0" w:color="auto"/>
                                          </w:divBdr>
                                          <w:divsChild>
                                            <w:div w:id="1921937607">
                                              <w:marLeft w:val="0"/>
                                              <w:marRight w:val="0"/>
                                              <w:marTop w:val="0"/>
                                              <w:marBottom w:val="0"/>
                                              <w:divBdr>
                                                <w:top w:val="none" w:sz="0" w:space="0" w:color="auto"/>
                                                <w:left w:val="none" w:sz="0" w:space="0" w:color="auto"/>
                                                <w:bottom w:val="none" w:sz="0" w:space="0" w:color="auto"/>
                                                <w:right w:val="none" w:sz="0" w:space="0" w:color="auto"/>
                                              </w:divBdr>
                                              <w:divsChild>
                                                <w:div w:id="19447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426153">
      <w:bodyDiv w:val="1"/>
      <w:marLeft w:val="0"/>
      <w:marRight w:val="0"/>
      <w:marTop w:val="0"/>
      <w:marBottom w:val="0"/>
      <w:divBdr>
        <w:top w:val="none" w:sz="0" w:space="0" w:color="auto"/>
        <w:left w:val="none" w:sz="0" w:space="0" w:color="auto"/>
        <w:bottom w:val="none" w:sz="0" w:space="0" w:color="auto"/>
        <w:right w:val="none" w:sz="0" w:space="0" w:color="auto"/>
      </w:divBdr>
      <w:divsChild>
        <w:div w:id="447168622">
          <w:marLeft w:val="0"/>
          <w:marRight w:val="0"/>
          <w:marTop w:val="0"/>
          <w:marBottom w:val="0"/>
          <w:divBdr>
            <w:top w:val="none" w:sz="0" w:space="0" w:color="auto"/>
            <w:left w:val="none" w:sz="0" w:space="0" w:color="auto"/>
            <w:bottom w:val="none" w:sz="0" w:space="0" w:color="auto"/>
            <w:right w:val="none" w:sz="0" w:space="0" w:color="auto"/>
          </w:divBdr>
          <w:divsChild>
            <w:div w:id="644092273">
              <w:marLeft w:val="0"/>
              <w:marRight w:val="0"/>
              <w:marTop w:val="0"/>
              <w:marBottom w:val="0"/>
              <w:divBdr>
                <w:top w:val="none" w:sz="0" w:space="0" w:color="auto"/>
                <w:left w:val="none" w:sz="0" w:space="0" w:color="auto"/>
                <w:bottom w:val="none" w:sz="0" w:space="0" w:color="auto"/>
                <w:right w:val="none" w:sz="0" w:space="0" w:color="auto"/>
              </w:divBdr>
              <w:divsChild>
                <w:div w:id="1411268260">
                  <w:marLeft w:val="0"/>
                  <w:marRight w:val="0"/>
                  <w:marTop w:val="0"/>
                  <w:marBottom w:val="0"/>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sChild>
                        <w:div w:id="374962934">
                          <w:marLeft w:val="0"/>
                          <w:marRight w:val="0"/>
                          <w:marTop w:val="0"/>
                          <w:marBottom w:val="0"/>
                          <w:divBdr>
                            <w:top w:val="single" w:sz="6" w:space="0" w:color="828282"/>
                            <w:left w:val="single" w:sz="6" w:space="0" w:color="828282"/>
                            <w:bottom w:val="single" w:sz="6" w:space="0" w:color="828282"/>
                            <w:right w:val="single" w:sz="6" w:space="0" w:color="828282"/>
                          </w:divBdr>
                          <w:divsChild>
                            <w:div w:id="340357519">
                              <w:marLeft w:val="0"/>
                              <w:marRight w:val="0"/>
                              <w:marTop w:val="0"/>
                              <w:marBottom w:val="0"/>
                              <w:divBdr>
                                <w:top w:val="none" w:sz="0" w:space="0" w:color="auto"/>
                                <w:left w:val="none" w:sz="0" w:space="0" w:color="auto"/>
                                <w:bottom w:val="none" w:sz="0" w:space="0" w:color="auto"/>
                                <w:right w:val="none" w:sz="0" w:space="0" w:color="auto"/>
                              </w:divBdr>
                              <w:divsChild>
                                <w:div w:id="1215431500">
                                  <w:marLeft w:val="0"/>
                                  <w:marRight w:val="0"/>
                                  <w:marTop w:val="0"/>
                                  <w:marBottom w:val="0"/>
                                  <w:divBdr>
                                    <w:top w:val="none" w:sz="0" w:space="0" w:color="auto"/>
                                    <w:left w:val="none" w:sz="0" w:space="0" w:color="auto"/>
                                    <w:bottom w:val="none" w:sz="0" w:space="0" w:color="auto"/>
                                    <w:right w:val="none" w:sz="0" w:space="0" w:color="auto"/>
                                  </w:divBdr>
                                  <w:divsChild>
                                    <w:div w:id="1496724815">
                                      <w:marLeft w:val="0"/>
                                      <w:marRight w:val="0"/>
                                      <w:marTop w:val="0"/>
                                      <w:marBottom w:val="0"/>
                                      <w:divBdr>
                                        <w:top w:val="none" w:sz="0" w:space="0" w:color="auto"/>
                                        <w:left w:val="none" w:sz="0" w:space="0" w:color="auto"/>
                                        <w:bottom w:val="none" w:sz="0" w:space="0" w:color="auto"/>
                                        <w:right w:val="none" w:sz="0" w:space="0" w:color="auto"/>
                                      </w:divBdr>
                                      <w:divsChild>
                                        <w:div w:id="418454142">
                                          <w:marLeft w:val="0"/>
                                          <w:marRight w:val="0"/>
                                          <w:marTop w:val="0"/>
                                          <w:marBottom w:val="0"/>
                                          <w:divBdr>
                                            <w:top w:val="none" w:sz="0" w:space="0" w:color="auto"/>
                                            <w:left w:val="none" w:sz="0" w:space="0" w:color="auto"/>
                                            <w:bottom w:val="none" w:sz="0" w:space="0" w:color="auto"/>
                                            <w:right w:val="none" w:sz="0" w:space="0" w:color="auto"/>
                                          </w:divBdr>
                                          <w:divsChild>
                                            <w:div w:id="111214599">
                                              <w:marLeft w:val="0"/>
                                              <w:marRight w:val="0"/>
                                              <w:marTop w:val="0"/>
                                              <w:marBottom w:val="0"/>
                                              <w:divBdr>
                                                <w:top w:val="none" w:sz="0" w:space="0" w:color="auto"/>
                                                <w:left w:val="none" w:sz="0" w:space="0" w:color="auto"/>
                                                <w:bottom w:val="none" w:sz="0" w:space="0" w:color="auto"/>
                                                <w:right w:val="none" w:sz="0" w:space="0" w:color="auto"/>
                                              </w:divBdr>
                                              <w:divsChild>
                                                <w:div w:id="764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526735">
      <w:bodyDiv w:val="1"/>
      <w:marLeft w:val="0"/>
      <w:marRight w:val="0"/>
      <w:marTop w:val="0"/>
      <w:marBottom w:val="0"/>
      <w:divBdr>
        <w:top w:val="none" w:sz="0" w:space="0" w:color="auto"/>
        <w:left w:val="none" w:sz="0" w:space="0" w:color="auto"/>
        <w:bottom w:val="none" w:sz="0" w:space="0" w:color="auto"/>
        <w:right w:val="none" w:sz="0" w:space="0" w:color="auto"/>
      </w:divBdr>
      <w:divsChild>
        <w:div w:id="1724981646">
          <w:marLeft w:val="0"/>
          <w:marRight w:val="0"/>
          <w:marTop w:val="0"/>
          <w:marBottom w:val="0"/>
          <w:divBdr>
            <w:top w:val="none" w:sz="0" w:space="0" w:color="auto"/>
            <w:left w:val="none" w:sz="0" w:space="0" w:color="auto"/>
            <w:bottom w:val="none" w:sz="0" w:space="0" w:color="auto"/>
            <w:right w:val="none" w:sz="0" w:space="0" w:color="auto"/>
          </w:divBdr>
          <w:divsChild>
            <w:div w:id="2132168512">
              <w:marLeft w:val="0"/>
              <w:marRight w:val="0"/>
              <w:marTop w:val="0"/>
              <w:marBottom w:val="0"/>
              <w:divBdr>
                <w:top w:val="none" w:sz="0" w:space="0" w:color="auto"/>
                <w:left w:val="none" w:sz="0" w:space="0" w:color="auto"/>
                <w:bottom w:val="none" w:sz="0" w:space="0" w:color="auto"/>
                <w:right w:val="none" w:sz="0" w:space="0" w:color="auto"/>
              </w:divBdr>
              <w:divsChild>
                <w:div w:id="445514075">
                  <w:marLeft w:val="0"/>
                  <w:marRight w:val="0"/>
                  <w:marTop w:val="0"/>
                  <w:marBottom w:val="0"/>
                  <w:divBdr>
                    <w:top w:val="none" w:sz="0" w:space="0" w:color="auto"/>
                    <w:left w:val="none" w:sz="0" w:space="0" w:color="auto"/>
                    <w:bottom w:val="none" w:sz="0" w:space="0" w:color="auto"/>
                    <w:right w:val="none" w:sz="0" w:space="0" w:color="auto"/>
                  </w:divBdr>
                  <w:divsChild>
                    <w:div w:id="1980189228">
                      <w:marLeft w:val="0"/>
                      <w:marRight w:val="0"/>
                      <w:marTop w:val="0"/>
                      <w:marBottom w:val="0"/>
                      <w:divBdr>
                        <w:top w:val="none" w:sz="0" w:space="0" w:color="auto"/>
                        <w:left w:val="none" w:sz="0" w:space="0" w:color="auto"/>
                        <w:bottom w:val="none" w:sz="0" w:space="0" w:color="auto"/>
                        <w:right w:val="none" w:sz="0" w:space="0" w:color="auto"/>
                      </w:divBdr>
                      <w:divsChild>
                        <w:div w:id="308681112">
                          <w:marLeft w:val="0"/>
                          <w:marRight w:val="0"/>
                          <w:marTop w:val="0"/>
                          <w:marBottom w:val="0"/>
                          <w:divBdr>
                            <w:top w:val="single" w:sz="6" w:space="0" w:color="828282"/>
                            <w:left w:val="single" w:sz="6" w:space="0" w:color="828282"/>
                            <w:bottom w:val="single" w:sz="6" w:space="0" w:color="828282"/>
                            <w:right w:val="single" w:sz="6" w:space="0" w:color="828282"/>
                          </w:divBdr>
                          <w:divsChild>
                            <w:div w:id="563486012">
                              <w:marLeft w:val="0"/>
                              <w:marRight w:val="0"/>
                              <w:marTop w:val="0"/>
                              <w:marBottom w:val="0"/>
                              <w:divBdr>
                                <w:top w:val="none" w:sz="0" w:space="0" w:color="auto"/>
                                <w:left w:val="none" w:sz="0" w:space="0" w:color="auto"/>
                                <w:bottom w:val="none" w:sz="0" w:space="0" w:color="auto"/>
                                <w:right w:val="none" w:sz="0" w:space="0" w:color="auto"/>
                              </w:divBdr>
                              <w:divsChild>
                                <w:div w:id="1144467300">
                                  <w:marLeft w:val="0"/>
                                  <w:marRight w:val="0"/>
                                  <w:marTop w:val="0"/>
                                  <w:marBottom w:val="0"/>
                                  <w:divBdr>
                                    <w:top w:val="none" w:sz="0" w:space="0" w:color="auto"/>
                                    <w:left w:val="none" w:sz="0" w:space="0" w:color="auto"/>
                                    <w:bottom w:val="none" w:sz="0" w:space="0" w:color="auto"/>
                                    <w:right w:val="none" w:sz="0" w:space="0" w:color="auto"/>
                                  </w:divBdr>
                                  <w:divsChild>
                                    <w:div w:id="286814212">
                                      <w:marLeft w:val="0"/>
                                      <w:marRight w:val="0"/>
                                      <w:marTop w:val="0"/>
                                      <w:marBottom w:val="0"/>
                                      <w:divBdr>
                                        <w:top w:val="none" w:sz="0" w:space="0" w:color="auto"/>
                                        <w:left w:val="none" w:sz="0" w:space="0" w:color="auto"/>
                                        <w:bottom w:val="none" w:sz="0" w:space="0" w:color="auto"/>
                                        <w:right w:val="none" w:sz="0" w:space="0" w:color="auto"/>
                                      </w:divBdr>
                                      <w:divsChild>
                                        <w:div w:id="1977971">
                                          <w:marLeft w:val="0"/>
                                          <w:marRight w:val="0"/>
                                          <w:marTop w:val="0"/>
                                          <w:marBottom w:val="0"/>
                                          <w:divBdr>
                                            <w:top w:val="none" w:sz="0" w:space="0" w:color="auto"/>
                                            <w:left w:val="none" w:sz="0" w:space="0" w:color="auto"/>
                                            <w:bottom w:val="none" w:sz="0" w:space="0" w:color="auto"/>
                                            <w:right w:val="none" w:sz="0" w:space="0" w:color="auto"/>
                                          </w:divBdr>
                                          <w:divsChild>
                                            <w:div w:id="528449171">
                                              <w:marLeft w:val="0"/>
                                              <w:marRight w:val="0"/>
                                              <w:marTop w:val="0"/>
                                              <w:marBottom w:val="0"/>
                                              <w:divBdr>
                                                <w:top w:val="none" w:sz="0" w:space="0" w:color="auto"/>
                                                <w:left w:val="none" w:sz="0" w:space="0" w:color="auto"/>
                                                <w:bottom w:val="none" w:sz="0" w:space="0" w:color="auto"/>
                                                <w:right w:val="none" w:sz="0" w:space="0" w:color="auto"/>
                                              </w:divBdr>
                                              <w:divsChild>
                                                <w:div w:id="15377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853290">
      <w:bodyDiv w:val="1"/>
      <w:marLeft w:val="0"/>
      <w:marRight w:val="0"/>
      <w:marTop w:val="0"/>
      <w:marBottom w:val="0"/>
      <w:divBdr>
        <w:top w:val="none" w:sz="0" w:space="0" w:color="auto"/>
        <w:left w:val="none" w:sz="0" w:space="0" w:color="auto"/>
        <w:bottom w:val="none" w:sz="0" w:space="0" w:color="auto"/>
        <w:right w:val="none" w:sz="0" w:space="0" w:color="auto"/>
      </w:divBdr>
      <w:divsChild>
        <w:div w:id="53622657">
          <w:marLeft w:val="0"/>
          <w:marRight w:val="0"/>
          <w:marTop w:val="0"/>
          <w:marBottom w:val="0"/>
          <w:divBdr>
            <w:top w:val="none" w:sz="0" w:space="0" w:color="auto"/>
            <w:left w:val="none" w:sz="0" w:space="0" w:color="auto"/>
            <w:bottom w:val="none" w:sz="0" w:space="0" w:color="auto"/>
            <w:right w:val="none" w:sz="0" w:space="0" w:color="auto"/>
          </w:divBdr>
          <w:divsChild>
            <w:div w:id="728304781">
              <w:marLeft w:val="0"/>
              <w:marRight w:val="0"/>
              <w:marTop w:val="0"/>
              <w:marBottom w:val="0"/>
              <w:divBdr>
                <w:top w:val="none" w:sz="0" w:space="0" w:color="auto"/>
                <w:left w:val="none" w:sz="0" w:space="0" w:color="auto"/>
                <w:bottom w:val="none" w:sz="0" w:space="0" w:color="auto"/>
                <w:right w:val="none" w:sz="0" w:space="0" w:color="auto"/>
              </w:divBdr>
              <w:divsChild>
                <w:div w:id="1392078053">
                  <w:marLeft w:val="0"/>
                  <w:marRight w:val="0"/>
                  <w:marTop w:val="0"/>
                  <w:marBottom w:val="0"/>
                  <w:divBdr>
                    <w:top w:val="none" w:sz="0" w:space="0" w:color="auto"/>
                    <w:left w:val="none" w:sz="0" w:space="0" w:color="auto"/>
                    <w:bottom w:val="none" w:sz="0" w:space="0" w:color="auto"/>
                    <w:right w:val="none" w:sz="0" w:space="0" w:color="auto"/>
                  </w:divBdr>
                  <w:divsChild>
                    <w:div w:id="2017684773">
                      <w:marLeft w:val="0"/>
                      <w:marRight w:val="0"/>
                      <w:marTop w:val="0"/>
                      <w:marBottom w:val="0"/>
                      <w:divBdr>
                        <w:top w:val="none" w:sz="0" w:space="0" w:color="auto"/>
                        <w:left w:val="none" w:sz="0" w:space="0" w:color="auto"/>
                        <w:bottom w:val="none" w:sz="0" w:space="0" w:color="auto"/>
                        <w:right w:val="none" w:sz="0" w:space="0" w:color="auto"/>
                      </w:divBdr>
                      <w:divsChild>
                        <w:div w:id="38478940">
                          <w:marLeft w:val="0"/>
                          <w:marRight w:val="0"/>
                          <w:marTop w:val="0"/>
                          <w:marBottom w:val="0"/>
                          <w:divBdr>
                            <w:top w:val="single" w:sz="6" w:space="0" w:color="828282"/>
                            <w:left w:val="single" w:sz="6" w:space="0" w:color="828282"/>
                            <w:bottom w:val="single" w:sz="6" w:space="0" w:color="828282"/>
                            <w:right w:val="single" w:sz="6" w:space="0" w:color="828282"/>
                          </w:divBdr>
                          <w:divsChild>
                            <w:div w:id="435370805">
                              <w:marLeft w:val="0"/>
                              <w:marRight w:val="0"/>
                              <w:marTop w:val="0"/>
                              <w:marBottom w:val="0"/>
                              <w:divBdr>
                                <w:top w:val="none" w:sz="0" w:space="0" w:color="auto"/>
                                <w:left w:val="none" w:sz="0" w:space="0" w:color="auto"/>
                                <w:bottom w:val="none" w:sz="0" w:space="0" w:color="auto"/>
                                <w:right w:val="none" w:sz="0" w:space="0" w:color="auto"/>
                              </w:divBdr>
                              <w:divsChild>
                                <w:div w:id="1935820735">
                                  <w:marLeft w:val="0"/>
                                  <w:marRight w:val="0"/>
                                  <w:marTop w:val="0"/>
                                  <w:marBottom w:val="0"/>
                                  <w:divBdr>
                                    <w:top w:val="none" w:sz="0" w:space="0" w:color="auto"/>
                                    <w:left w:val="none" w:sz="0" w:space="0" w:color="auto"/>
                                    <w:bottom w:val="none" w:sz="0" w:space="0" w:color="auto"/>
                                    <w:right w:val="none" w:sz="0" w:space="0" w:color="auto"/>
                                  </w:divBdr>
                                  <w:divsChild>
                                    <w:div w:id="1120614114">
                                      <w:marLeft w:val="0"/>
                                      <w:marRight w:val="0"/>
                                      <w:marTop w:val="0"/>
                                      <w:marBottom w:val="0"/>
                                      <w:divBdr>
                                        <w:top w:val="none" w:sz="0" w:space="0" w:color="auto"/>
                                        <w:left w:val="none" w:sz="0" w:space="0" w:color="auto"/>
                                        <w:bottom w:val="none" w:sz="0" w:space="0" w:color="auto"/>
                                        <w:right w:val="none" w:sz="0" w:space="0" w:color="auto"/>
                                      </w:divBdr>
                                      <w:divsChild>
                                        <w:div w:id="1075319774">
                                          <w:marLeft w:val="0"/>
                                          <w:marRight w:val="0"/>
                                          <w:marTop w:val="0"/>
                                          <w:marBottom w:val="0"/>
                                          <w:divBdr>
                                            <w:top w:val="none" w:sz="0" w:space="0" w:color="auto"/>
                                            <w:left w:val="none" w:sz="0" w:space="0" w:color="auto"/>
                                            <w:bottom w:val="none" w:sz="0" w:space="0" w:color="auto"/>
                                            <w:right w:val="none" w:sz="0" w:space="0" w:color="auto"/>
                                          </w:divBdr>
                                          <w:divsChild>
                                            <w:div w:id="288556838">
                                              <w:marLeft w:val="0"/>
                                              <w:marRight w:val="0"/>
                                              <w:marTop w:val="0"/>
                                              <w:marBottom w:val="0"/>
                                              <w:divBdr>
                                                <w:top w:val="none" w:sz="0" w:space="0" w:color="auto"/>
                                                <w:left w:val="none" w:sz="0" w:space="0" w:color="auto"/>
                                                <w:bottom w:val="none" w:sz="0" w:space="0" w:color="auto"/>
                                                <w:right w:val="none" w:sz="0" w:space="0" w:color="auto"/>
                                              </w:divBdr>
                                              <w:divsChild>
                                                <w:div w:id="96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675708">
      <w:bodyDiv w:val="1"/>
      <w:marLeft w:val="0"/>
      <w:marRight w:val="0"/>
      <w:marTop w:val="0"/>
      <w:marBottom w:val="0"/>
      <w:divBdr>
        <w:top w:val="none" w:sz="0" w:space="0" w:color="auto"/>
        <w:left w:val="none" w:sz="0" w:space="0" w:color="auto"/>
        <w:bottom w:val="none" w:sz="0" w:space="0" w:color="auto"/>
        <w:right w:val="none" w:sz="0" w:space="0" w:color="auto"/>
      </w:divBdr>
      <w:divsChild>
        <w:div w:id="2090999673">
          <w:marLeft w:val="0"/>
          <w:marRight w:val="0"/>
          <w:marTop w:val="0"/>
          <w:marBottom w:val="0"/>
          <w:divBdr>
            <w:top w:val="none" w:sz="0" w:space="0" w:color="auto"/>
            <w:left w:val="none" w:sz="0" w:space="0" w:color="auto"/>
            <w:bottom w:val="none" w:sz="0" w:space="0" w:color="auto"/>
            <w:right w:val="none" w:sz="0" w:space="0" w:color="auto"/>
          </w:divBdr>
          <w:divsChild>
            <w:div w:id="1728409461">
              <w:marLeft w:val="0"/>
              <w:marRight w:val="0"/>
              <w:marTop w:val="0"/>
              <w:marBottom w:val="0"/>
              <w:divBdr>
                <w:top w:val="none" w:sz="0" w:space="0" w:color="auto"/>
                <w:left w:val="none" w:sz="0" w:space="0" w:color="auto"/>
                <w:bottom w:val="none" w:sz="0" w:space="0" w:color="auto"/>
                <w:right w:val="none" w:sz="0" w:space="0" w:color="auto"/>
              </w:divBdr>
              <w:divsChild>
                <w:div w:id="469641325">
                  <w:marLeft w:val="0"/>
                  <w:marRight w:val="0"/>
                  <w:marTop w:val="0"/>
                  <w:marBottom w:val="0"/>
                  <w:divBdr>
                    <w:top w:val="none" w:sz="0" w:space="0" w:color="auto"/>
                    <w:left w:val="none" w:sz="0" w:space="0" w:color="auto"/>
                    <w:bottom w:val="none" w:sz="0" w:space="0" w:color="auto"/>
                    <w:right w:val="none" w:sz="0" w:space="0" w:color="auto"/>
                  </w:divBdr>
                  <w:divsChild>
                    <w:div w:id="1037049772">
                      <w:marLeft w:val="0"/>
                      <w:marRight w:val="0"/>
                      <w:marTop w:val="0"/>
                      <w:marBottom w:val="0"/>
                      <w:divBdr>
                        <w:top w:val="none" w:sz="0" w:space="0" w:color="auto"/>
                        <w:left w:val="none" w:sz="0" w:space="0" w:color="auto"/>
                        <w:bottom w:val="none" w:sz="0" w:space="0" w:color="auto"/>
                        <w:right w:val="none" w:sz="0" w:space="0" w:color="auto"/>
                      </w:divBdr>
                      <w:divsChild>
                        <w:div w:id="210381118">
                          <w:marLeft w:val="0"/>
                          <w:marRight w:val="0"/>
                          <w:marTop w:val="0"/>
                          <w:marBottom w:val="0"/>
                          <w:divBdr>
                            <w:top w:val="single" w:sz="6" w:space="0" w:color="828282"/>
                            <w:left w:val="single" w:sz="6" w:space="0" w:color="828282"/>
                            <w:bottom w:val="single" w:sz="6" w:space="0" w:color="828282"/>
                            <w:right w:val="single" w:sz="6" w:space="0" w:color="828282"/>
                          </w:divBdr>
                          <w:divsChild>
                            <w:div w:id="1658415545">
                              <w:marLeft w:val="0"/>
                              <w:marRight w:val="0"/>
                              <w:marTop w:val="0"/>
                              <w:marBottom w:val="0"/>
                              <w:divBdr>
                                <w:top w:val="none" w:sz="0" w:space="0" w:color="auto"/>
                                <w:left w:val="none" w:sz="0" w:space="0" w:color="auto"/>
                                <w:bottom w:val="none" w:sz="0" w:space="0" w:color="auto"/>
                                <w:right w:val="none" w:sz="0" w:space="0" w:color="auto"/>
                              </w:divBdr>
                              <w:divsChild>
                                <w:div w:id="1985963965">
                                  <w:marLeft w:val="0"/>
                                  <w:marRight w:val="0"/>
                                  <w:marTop w:val="0"/>
                                  <w:marBottom w:val="0"/>
                                  <w:divBdr>
                                    <w:top w:val="none" w:sz="0" w:space="0" w:color="auto"/>
                                    <w:left w:val="none" w:sz="0" w:space="0" w:color="auto"/>
                                    <w:bottom w:val="none" w:sz="0" w:space="0" w:color="auto"/>
                                    <w:right w:val="none" w:sz="0" w:space="0" w:color="auto"/>
                                  </w:divBdr>
                                  <w:divsChild>
                                    <w:div w:id="451634236">
                                      <w:marLeft w:val="0"/>
                                      <w:marRight w:val="0"/>
                                      <w:marTop w:val="0"/>
                                      <w:marBottom w:val="0"/>
                                      <w:divBdr>
                                        <w:top w:val="none" w:sz="0" w:space="0" w:color="auto"/>
                                        <w:left w:val="none" w:sz="0" w:space="0" w:color="auto"/>
                                        <w:bottom w:val="none" w:sz="0" w:space="0" w:color="auto"/>
                                        <w:right w:val="none" w:sz="0" w:space="0" w:color="auto"/>
                                      </w:divBdr>
                                      <w:divsChild>
                                        <w:div w:id="1407800747">
                                          <w:marLeft w:val="0"/>
                                          <w:marRight w:val="0"/>
                                          <w:marTop w:val="0"/>
                                          <w:marBottom w:val="0"/>
                                          <w:divBdr>
                                            <w:top w:val="none" w:sz="0" w:space="0" w:color="auto"/>
                                            <w:left w:val="none" w:sz="0" w:space="0" w:color="auto"/>
                                            <w:bottom w:val="none" w:sz="0" w:space="0" w:color="auto"/>
                                            <w:right w:val="none" w:sz="0" w:space="0" w:color="auto"/>
                                          </w:divBdr>
                                          <w:divsChild>
                                            <w:div w:id="2109807370">
                                              <w:marLeft w:val="0"/>
                                              <w:marRight w:val="0"/>
                                              <w:marTop w:val="0"/>
                                              <w:marBottom w:val="0"/>
                                              <w:divBdr>
                                                <w:top w:val="none" w:sz="0" w:space="0" w:color="auto"/>
                                                <w:left w:val="none" w:sz="0" w:space="0" w:color="auto"/>
                                                <w:bottom w:val="none" w:sz="0" w:space="0" w:color="auto"/>
                                                <w:right w:val="none" w:sz="0" w:space="0" w:color="auto"/>
                                              </w:divBdr>
                                              <w:divsChild>
                                                <w:div w:id="5407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C39A-8421-4A7D-91F7-C66A0217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Maslaris Nicole</dc:creator>
  <cp:lastModifiedBy>Martin Yvette</cp:lastModifiedBy>
  <cp:revision>2</cp:revision>
  <cp:lastPrinted>2015-07-27T03:11:00Z</cp:lastPrinted>
  <dcterms:created xsi:type="dcterms:W3CDTF">2015-08-28T02:01:00Z</dcterms:created>
  <dcterms:modified xsi:type="dcterms:W3CDTF">2015-08-28T02:01:00Z</dcterms:modified>
</cp:coreProperties>
</file>