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C9BF2" w14:textId="77777777" w:rsidR="007802BA" w:rsidRPr="00582CF8" w:rsidRDefault="007802BA" w:rsidP="007802BA">
      <w:pPr>
        <w:keepNext/>
        <w:spacing w:before="240" w:after="240"/>
        <w:outlineLvl w:val="1"/>
        <w:rPr>
          <w:rFonts w:cs="Arial"/>
          <w:b/>
          <w:bCs/>
          <w:sz w:val="28"/>
        </w:rPr>
      </w:pPr>
      <w:bookmarkStart w:id="0" w:name="_Toc415572040"/>
      <w:r w:rsidRPr="00582CF8">
        <w:rPr>
          <w:rFonts w:cs="Arial"/>
          <w:b/>
          <w:bCs/>
          <w:sz w:val="28"/>
        </w:rPr>
        <w:t>Explanatory Statement</w:t>
      </w:r>
      <w:bookmarkEnd w:id="0"/>
    </w:p>
    <w:p w14:paraId="3AF7559A" w14:textId="77777777" w:rsidR="007802BA" w:rsidRPr="00582CF8" w:rsidRDefault="007802BA" w:rsidP="007802BA">
      <w:pPr>
        <w:rPr>
          <w:b/>
          <w:lang w:val="en-AU" w:eastAsia="en-GB"/>
        </w:rPr>
      </w:pPr>
      <w:r w:rsidRPr="00582CF8">
        <w:rPr>
          <w:b/>
          <w:lang w:val="en-AU" w:eastAsia="en-GB"/>
        </w:rPr>
        <w:t>1.</w:t>
      </w:r>
      <w:r w:rsidRPr="00582CF8">
        <w:rPr>
          <w:b/>
          <w:lang w:val="en-AU" w:eastAsia="en-GB"/>
        </w:rPr>
        <w:tab/>
        <w:t>Authority</w:t>
      </w:r>
    </w:p>
    <w:p w14:paraId="3D9BC1BF" w14:textId="77777777" w:rsidR="007802BA" w:rsidRPr="00582CF8" w:rsidRDefault="007802BA" w:rsidP="007802BA">
      <w:pPr>
        <w:rPr>
          <w:lang w:val="en-AU" w:eastAsia="en-GB"/>
        </w:rPr>
      </w:pPr>
    </w:p>
    <w:p w14:paraId="1B649D32" w14:textId="77777777" w:rsidR="007802BA" w:rsidRPr="00582CF8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  <w:r w:rsidRPr="00582CF8">
        <w:rPr>
          <w:rFonts w:eastAsia="Calibri" w:cs="Arial"/>
          <w:bCs/>
          <w:lang w:val="en-AU"/>
        </w:rPr>
        <w:t xml:space="preserve">Section 13 of the </w:t>
      </w:r>
      <w:r w:rsidRPr="00582CF8">
        <w:rPr>
          <w:rFonts w:eastAsia="Calibri" w:cs="Arial"/>
          <w:bCs/>
          <w:i/>
          <w:lang w:val="en-AU"/>
        </w:rPr>
        <w:t>Food Standards Australia New Zealand Act 1991</w:t>
      </w:r>
      <w:r w:rsidRPr="00582CF8">
        <w:rPr>
          <w:rFonts w:eastAsia="Calibri" w:cs="Arial"/>
          <w:bCs/>
          <w:lang w:val="en-AU"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582CF8">
        <w:rPr>
          <w:rFonts w:eastAsia="Calibri" w:cs="Arial"/>
          <w:bCs/>
          <w:i/>
          <w:lang w:val="en-AU"/>
        </w:rPr>
        <w:t>Australia New Zealand Food Standards Code</w:t>
      </w:r>
      <w:r w:rsidRPr="00582CF8">
        <w:rPr>
          <w:rFonts w:eastAsia="Calibri" w:cs="Arial"/>
          <w:bCs/>
          <w:lang w:val="en-AU"/>
        </w:rPr>
        <w:t xml:space="preserve"> (the Code).</w:t>
      </w:r>
    </w:p>
    <w:p w14:paraId="7DEF54B6" w14:textId="77777777" w:rsidR="007802BA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</w:p>
    <w:p w14:paraId="6191CA3E" w14:textId="77777777" w:rsidR="007802BA" w:rsidRPr="00C40D91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  <w:r w:rsidRPr="00C40D91">
        <w:rPr>
          <w:rFonts w:eastAsia="Calibri" w:cs="Arial"/>
          <w:bCs/>
          <w:lang w:val="en-AU"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14:paraId="31089D97" w14:textId="77777777" w:rsidR="007802BA" w:rsidRPr="007C46B8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</w:p>
    <w:p w14:paraId="3292875E" w14:textId="77777777" w:rsidR="007802BA" w:rsidRPr="009D73AD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  <w:r w:rsidRPr="007C46B8">
        <w:rPr>
          <w:rFonts w:eastAsia="Calibri" w:cs="Arial"/>
          <w:bCs/>
          <w:lang w:val="en-AU"/>
        </w:rPr>
        <w:t xml:space="preserve">The Authority prepared Proposal P1035 – Gluten Claims about Foods containing Alcohol to amend Standard 1.2.7 – Nutrition, Health and Related Claims to permit nutrition content claims about gluten in relation to food containing more than 1.15% alcohol by volume. The Authority considered the Proposal in accordance with Division 2 of Part 3 and has approved a draft variation of </w:t>
      </w:r>
      <w:r w:rsidRPr="00472BC2">
        <w:rPr>
          <w:rFonts w:eastAsia="Calibri" w:cs="Arial"/>
          <w:bCs/>
          <w:lang w:val="en-AU"/>
        </w:rPr>
        <w:t>Standards 1.2.7 and 1.2.8</w:t>
      </w:r>
      <w:r w:rsidRPr="009D73AD">
        <w:rPr>
          <w:rFonts w:eastAsia="Calibri" w:cs="Arial"/>
          <w:bCs/>
          <w:lang w:val="en-AU"/>
        </w:rPr>
        <w:t xml:space="preserve">. </w:t>
      </w:r>
    </w:p>
    <w:p w14:paraId="3A5FEF00" w14:textId="77777777" w:rsidR="007802BA" w:rsidRPr="00D13E34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</w:p>
    <w:p w14:paraId="0D60A247" w14:textId="77777777" w:rsidR="007802BA" w:rsidRPr="00582CF8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  <w:r w:rsidRPr="00582CF8">
        <w:rPr>
          <w:rFonts w:eastAsia="Calibri" w:cs="Arial"/>
          <w:bCs/>
          <w:lang w:val="en-AU"/>
        </w:rPr>
        <w:t xml:space="preserve">Following consideration by the </w:t>
      </w:r>
      <w:r w:rsidRPr="00582CF8">
        <w:rPr>
          <w:rFonts w:cs="Helvetica"/>
          <w:lang w:val="en-AU"/>
        </w:rPr>
        <w:t xml:space="preserve">Australia and New Zealand Ministerial Forum on Food </w:t>
      </w:r>
      <w:r w:rsidRPr="00582CF8">
        <w:rPr>
          <w:rFonts w:cs="Arial"/>
        </w:rPr>
        <w:t>Regulation</w:t>
      </w:r>
      <w:r w:rsidRPr="00582CF8">
        <w:rPr>
          <w:rFonts w:cs="Arial"/>
          <w:vertAlign w:val="superscript"/>
        </w:rPr>
        <w:footnoteReference w:id="1"/>
      </w:r>
      <w:r w:rsidRPr="00582CF8">
        <w:rPr>
          <w:rFonts w:eastAsia="Calibri" w:cs="Arial"/>
          <w:bCs/>
          <w:lang w:val="en-AU"/>
        </w:rPr>
        <w:t xml:space="preserve">, section 92 of the FSANZ Act stipulates that the Authority must publish a notice about the standard or draft variation of a standard. </w:t>
      </w:r>
    </w:p>
    <w:p w14:paraId="4F3E3803" w14:textId="77777777" w:rsidR="007802BA" w:rsidRPr="00582CF8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</w:p>
    <w:p w14:paraId="20F7AA1A" w14:textId="77777777" w:rsidR="007802BA" w:rsidRPr="00582CF8" w:rsidRDefault="007802BA" w:rsidP="007802BA">
      <w:pPr>
        <w:autoSpaceDE w:val="0"/>
        <w:autoSpaceDN w:val="0"/>
        <w:adjustRightInd w:val="0"/>
        <w:rPr>
          <w:rFonts w:eastAsia="Calibri" w:cs="Arial"/>
          <w:color w:val="000000"/>
          <w:lang w:val="en-AU"/>
        </w:rPr>
      </w:pPr>
      <w:r w:rsidRPr="00582CF8">
        <w:rPr>
          <w:rFonts w:eastAsia="Calibri" w:cs="Arial"/>
          <w:bCs/>
          <w:color w:val="000000"/>
          <w:lang w:val="en-AU"/>
        </w:rPr>
        <w:t>Section 94 of the FSANZ Act specifies that a</w:t>
      </w:r>
      <w:r w:rsidRPr="00582CF8">
        <w:rPr>
          <w:rFonts w:eastAsia="Calibri" w:cs="Arial"/>
          <w:color w:val="000000"/>
          <w:lang w:val="en-AU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582CF8">
        <w:rPr>
          <w:rFonts w:eastAsia="Calibri" w:cs="Arial"/>
          <w:i/>
          <w:color w:val="000000"/>
          <w:lang w:val="en-AU"/>
        </w:rPr>
        <w:t>Legislative Instruments Act 2003</w:t>
      </w:r>
      <w:r w:rsidRPr="00582CF8">
        <w:rPr>
          <w:rFonts w:eastAsia="Calibri" w:cs="Arial"/>
          <w:color w:val="000000"/>
          <w:lang w:val="en-AU"/>
        </w:rPr>
        <w:t>.</w:t>
      </w:r>
    </w:p>
    <w:p w14:paraId="58456735" w14:textId="77777777" w:rsidR="007802BA" w:rsidRPr="00582CF8" w:rsidRDefault="007802BA" w:rsidP="007802BA">
      <w:pPr>
        <w:rPr>
          <w:lang w:val="en-AU" w:eastAsia="en-GB"/>
        </w:rPr>
      </w:pPr>
    </w:p>
    <w:p w14:paraId="79954C32" w14:textId="77777777" w:rsidR="007802BA" w:rsidRPr="00582CF8" w:rsidRDefault="007802BA" w:rsidP="007802BA">
      <w:pPr>
        <w:rPr>
          <w:b/>
          <w:lang w:val="en-AU" w:eastAsia="en-GB"/>
        </w:rPr>
      </w:pPr>
      <w:r w:rsidRPr="00582CF8">
        <w:rPr>
          <w:b/>
          <w:lang w:val="en-AU" w:eastAsia="en-GB"/>
        </w:rPr>
        <w:t>2.</w:t>
      </w:r>
      <w:r w:rsidRPr="00582CF8">
        <w:rPr>
          <w:b/>
          <w:lang w:val="en-AU" w:eastAsia="en-GB"/>
        </w:rPr>
        <w:tab/>
        <w:t xml:space="preserve">Purpose </w:t>
      </w:r>
    </w:p>
    <w:p w14:paraId="6F99023D" w14:textId="77777777" w:rsidR="007802BA" w:rsidRPr="00582CF8" w:rsidRDefault="007802BA" w:rsidP="007802BA">
      <w:pPr>
        <w:rPr>
          <w:lang w:val="en-AU" w:eastAsia="en-GB"/>
        </w:rPr>
      </w:pPr>
    </w:p>
    <w:p w14:paraId="5BF7C389" w14:textId="77777777" w:rsidR="007802BA" w:rsidRPr="00E95E8F" w:rsidRDefault="007802BA" w:rsidP="007802BA">
      <w:pPr>
        <w:rPr>
          <w:lang w:val="en-AU" w:eastAsia="en-GB"/>
        </w:rPr>
      </w:pPr>
      <w:r w:rsidRPr="00E95E8F">
        <w:rPr>
          <w:lang w:val="en-AU" w:eastAsia="en-GB"/>
        </w:rPr>
        <w:t xml:space="preserve">The Authority has approved a draft variation to Standard 1.2.7 to permit nutrition content claims about gluten in relation to food containing more than 1.15% alcohol by volume. </w:t>
      </w:r>
    </w:p>
    <w:p w14:paraId="4B1555D5" w14:textId="77777777" w:rsidR="007802BA" w:rsidRPr="00E95E8F" w:rsidRDefault="007802BA" w:rsidP="007802BA">
      <w:pPr>
        <w:rPr>
          <w:lang w:val="en-AU" w:eastAsia="en-GB"/>
        </w:rPr>
      </w:pPr>
    </w:p>
    <w:p w14:paraId="0C8A97E9" w14:textId="77777777" w:rsidR="007802BA" w:rsidRPr="00582CF8" w:rsidRDefault="007802BA" w:rsidP="007802BA">
      <w:pPr>
        <w:rPr>
          <w:lang w:val="en-AU" w:eastAsia="en-GB"/>
        </w:rPr>
      </w:pPr>
      <w:r w:rsidRPr="00E95E8F">
        <w:rPr>
          <w:lang w:val="en-AU" w:eastAsia="en-GB"/>
        </w:rPr>
        <w:t>The Authority has also approved a draft variation to Standard</w:t>
      </w:r>
      <w:r>
        <w:rPr>
          <w:lang w:val="en-AU" w:eastAsia="en-GB"/>
        </w:rPr>
        <w:t xml:space="preserve">s </w:t>
      </w:r>
      <w:r>
        <w:rPr>
          <w:bCs/>
          <w:lang w:val="en-AU"/>
        </w:rPr>
        <w:t>1.1.2, and</w:t>
      </w:r>
      <w:r>
        <w:rPr>
          <w:lang w:val="en-AU" w:eastAsia="en-GB"/>
        </w:rPr>
        <w:t xml:space="preserve"> </w:t>
      </w:r>
      <w:r w:rsidRPr="00E95E8F">
        <w:rPr>
          <w:lang w:val="en-AU" w:eastAsia="en-GB"/>
        </w:rPr>
        <w:t>1.2.8 to provide an exemption from the requirement to provide nutrition information if a nutrition content claim about gluten content, using the descriptor ‘free’ or a similar descriptor, is made in relation to an alcoholic beverage standardised in Standards 2.7.2 to 2.7.5 or a beverage containing no less than 0.5% alcohol by volume.</w:t>
      </w:r>
    </w:p>
    <w:p w14:paraId="3BF27CB8" w14:textId="77777777" w:rsidR="007802BA" w:rsidRPr="00582CF8" w:rsidRDefault="007802BA" w:rsidP="007802BA">
      <w:pPr>
        <w:rPr>
          <w:lang w:val="en-AU" w:eastAsia="en-GB"/>
        </w:rPr>
      </w:pPr>
    </w:p>
    <w:p w14:paraId="60A765B9" w14:textId="77777777" w:rsidR="007802BA" w:rsidRPr="00582CF8" w:rsidRDefault="007802BA" w:rsidP="007802BA">
      <w:pPr>
        <w:rPr>
          <w:b/>
          <w:lang w:val="en-AU" w:eastAsia="en-GB"/>
        </w:rPr>
      </w:pPr>
      <w:r w:rsidRPr="00582CF8">
        <w:rPr>
          <w:b/>
          <w:lang w:val="en-AU" w:eastAsia="en-GB"/>
        </w:rPr>
        <w:t>3.</w:t>
      </w:r>
      <w:r w:rsidRPr="00582CF8">
        <w:rPr>
          <w:b/>
          <w:lang w:val="en-AU" w:eastAsia="en-GB"/>
        </w:rPr>
        <w:tab/>
        <w:t>Documents incorporated by reference</w:t>
      </w:r>
    </w:p>
    <w:p w14:paraId="10F663F8" w14:textId="77777777" w:rsidR="007802BA" w:rsidRPr="00582CF8" w:rsidRDefault="007802BA" w:rsidP="007802BA">
      <w:pPr>
        <w:rPr>
          <w:lang w:val="en-AU" w:eastAsia="en-GB"/>
        </w:rPr>
      </w:pPr>
    </w:p>
    <w:p w14:paraId="5765DAF0" w14:textId="77777777" w:rsidR="007802BA" w:rsidRPr="00582CF8" w:rsidRDefault="007802BA" w:rsidP="007802BA">
      <w:pPr>
        <w:autoSpaceDE w:val="0"/>
        <w:autoSpaceDN w:val="0"/>
        <w:adjustRightInd w:val="0"/>
        <w:rPr>
          <w:rFonts w:eastAsia="Calibri" w:cs="Arial"/>
          <w:bCs/>
          <w:lang w:val="en-AU"/>
        </w:rPr>
      </w:pPr>
      <w:r w:rsidRPr="00582CF8">
        <w:rPr>
          <w:rFonts w:eastAsia="Calibri" w:cs="Arial"/>
          <w:bCs/>
          <w:lang w:val="en-AU"/>
        </w:rPr>
        <w:t>The variations to food regulatory measures do not incorporate any documents by reference.</w:t>
      </w:r>
    </w:p>
    <w:p w14:paraId="798D0BB7" w14:textId="77777777" w:rsidR="007802BA" w:rsidRPr="00582CF8" w:rsidRDefault="007802BA" w:rsidP="007802BA">
      <w:pPr>
        <w:rPr>
          <w:lang w:val="en-AU" w:eastAsia="en-GB"/>
        </w:rPr>
      </w:pPr>
    </w:p>
    <w:p w14:paraId="33076637" w14:textId="77777777" w:rsidR="007802BA" w:rsidRPr="00582CF8" w:rsidRDefault="007802BA" w:rsidP="007802BA">
      <w:pPr>
        <w:rPr>
          <w:b/>
          <w:lang w:val="en-AU" w:eastAsia="en-GB"/>
        </w:rPr>
      </w:pPr>
      <w:r w:rsidRPr="00582CF8">
        <w:rPr>
          <w:b/>
          <w:lang w:val="en-AU" w:eastAsia="en-GB"/>
        </w:rPr>
        <w:t>4.</w:t>
      </w:r>
      <w:r w:rsidRPr="00582CF8">
        <w:rPr>
          <w:b/>
          <w:lang w:val="en-AU" w:eastAsia="en-GB"/>
        </w:rPr>
        <w:tab/>
        <w:t>Consultation</w:t>
      </w:r>
    </w:p>
    <w:p w14:paraId="3DE913B0" w14:textId="77777777" w:rsidR="007802BA" w:rsidRPr="00582CF8" w:rsidRDefault="007802BA" w:rsidP="007802BA">
      <w:pPr>
        <w:rPr>
          <w:lang w:val="en-AU" w:eastAsia="en-GB"/>
        </w:rPr>
      </w:pPr>
    </w:p>
    <w:p w14:paraId="31A51A42" w14:textId="77777777" w:rsidR="007802BA" w:rsidRPr="00E95E8F" w:rsidRDefault="007802BA" w:rsidP="007802BA">
      <w:pPr>
        <w:autoSpaceDE w:val="0"/>
        <w:autoSpaceDN w:val="0"/>
        <w:adjustRightInd w:val="0"/>
      </w:pPr>
      <w:r w:rsidRPr="00E95E8F">
        <w:t xml:space="preserve">In accordance with the procedure in Division 2 of Part 3 of the FSANZ Act, </w:t>
      </w:r>
      <w:r w:rsidRPr="00E95E8F">
        <w:rPr>
          <w:bCs/>
          <w:lang w:val="en-AU"/>
        </w:rPr>
        <w:t>the Authority</w:t>
      </w:r>
      <w:r w:rsidRPr="00E95E8F">
        <w:t xml:space="preserve">’s consideration of Proposal P1035 included one round of public consultation following an assessment and the preparation of a draft Standard and associated report. Submissions were called for on 14 November 2014 for a six-week consultation period. </w:t>
      </w:r>
    </w:p>
    <w:p w14:paraId="25ED2F38" w14:textId="77777777" w:rsidR="007802BA" w:rsidRPr="00E95E8F" w:rsidRDefault="007802BA" w:rsidP="007802BA">
      <w:pPr>
        <w:autoSpaceDE w:val="0"/>
        <w:autoSpaceDN w:val="0"/>
        <w:adjustRightInd w:val="0"/>
      </w:pPr>
    </w:p>
    <w:p w14:paraId="173937A3" w14:textId="77777777" w:rsidR="007802BA" w:rsidRDefault="007802BA" w:rsidP="007802BA">
      <w:pPr>
        <w:autoSpaceDE w:val="0"/>
        <w:autoSpaceDN w:val="0"/>
        <w:adjustRightInd w:val="0"/>
      </w:pPr>
      <w:r>
        <w:br w:type="page"/>
      </w:r>
    </w:p>
    <w:p w14:paraId="091815DA" w14:textId="77777777" w:rsidR="007802BA" w:rsidRPr="00E95E8F" w:rsidRDefault="007802BA" w:rsidP="007802BA">
      <w:pPr>
        <w:autoSpaceDE w:val="0"/>
        <w:autoSpaceDN w:val="0"/>
        <w:adjustRightInd w:val="0"/>
        <w:rPr>
          <w:lang w:val="en-AU"/>
        </w:rPr>
      </w:pPr>
      <w:r w:rsidRPr="00E95E8F">
        <w:lastRenderedPageBreak/>
        <w:t xml:space="preserve">Targeted consultation was also carried out with key stakeholders regarding an exemption from the requirement to declare a nutrition information panel if a gluten claim is made about a beverage containing alcohol. </w:t>
      </w:r>
    </w:p>
    <w:p w14:paraId="7C0AF10F" w14:textId="77777777" w:rsidR="007802BA" w:rsidRPr="00E95E8F" w:rsidRDefault="007802BA" w:rsidP="007802BA">
      <w:pPr>
        <w:autoSpaceDE w:val="0"/>
        <w:autoSpaceDN w:val="0"/>
        <w:adjustRightInd w:val="0"/>
        <w:rPr>
          <w:lang w:val="en-AU"/>
        </w:rPr>
      </w:pPr>
    </w:p>
    <w:p w14:paraId="4ACEB460" w14:textId="77777777" w:rsidR="007802BA" w:rsidRPr="00582CF8" w:rsidRDefault="007802BA" w:rsidP="007802BA">
      <w:pPr>
        <w:autoSpaceDE w:val="0"/>
        <w:autoSpaceDN w:val="0"/>
        <w:adjustRightInd w:val="0"/>
        <w:rPr>
          <w:rFonts w:cs="Arial"/>
        </w:rPr>
      </w:pPr>
      <w:r w:rsidRPr="00E95E8F">
        <w:rPr>
          <w:bCs/>
          <w:lang w:val="en-AU"/>
        </w:rPr>
        <w:t xml:space="preserve">A Regulation Impact Statement was not required because the proposed variations to Standards </w:t>
      </w:r>
      <w:r>
        <w:rPr>
          <w:bCs/>
          <w:lang w:val="en-AU"/>
        </w:rPr>
        <w:t xml:space="preserve">1.1.2, </w:t>
      </w:r>
      <w:r w:rsidRPr="00E95E8F">
        <w:rPr>
          <w:bCs/>
          <w:lang w:val="en-AU"/>
        </w:rPr>
        <w:t xml:space="preserve">1.2.7 and 1.2.8 </w:t>
      </w:r>
      <w:r w:rsidRPr="00E95E8F">
        <w:t xml:space="preserve">are likely to have a minor impact on business and individuals. </w:t>
      </w:r>
    </w:p>
    <w:p w14:paraId="76EA9E50" w14:textId="77777777" w:rsidR="007802BA" w:rsidRPr="00582CF8" w:rsidRDefault="007802BA" w:rsidP="007802BA">
      <w:pPr>
        <w:rPr>
          <w:lang w:val="en-AU" w:eastAsia="en-GB"/>
        </w:rPr>
      </w:pPr>
    </w:p>
    <w:p w14:paraId="21C8624B" w14:textId="77777777" w:rsidR="007802BA" w:rsidRPr="00582CF8" w:rsidRDefault="007802BA" w:rsidP="007802BA">
      <w:pPr>
        <w:rPr>
          <w:rFonts w:eastAsia="Calibri" w:cs="Arial"/>
          <w:b/>
          <w:bCs/>
          <w:lang w:val="en-AU"/>
        </w:rPr>
      </w:pPr>
      <w:r w:rsidRPr="00582CF8">
        <w:rPr>
          <w:rFonts w:eastAsia="Calibri" w:cs="Arial"/>
          <w:b/>
          <w:bCs/>
          <w:lang w:val="en-AU"/>
        </w:rPr>
        <w:t>5.</w:t>
      </w:r>
      <w:r w:rsidRPr="00582CF8">
        <w:rPr>
          <w:rFonts w:eastAsia="Calibri" w:cs="Arial"/>
          <w:b/>
          <w:bCs/>
          <w:lang w:val="en-AU"/>
        </w:rPr>
        <w:tab/>
        <w:t>Statement of compatibility with human rights</w:t>
      </w:r>
    </w:p>
    <w:p w14:paraId="1F6F9B0F" w14:textId="77777777" w:rsidR="007802BA" w:rsidRPr="00582CF8" w:rsidRDefault="007802BA" w:rsidP="007802BA">
      <w:pPr>
        <w:rPr>
          <w:rFonts w:eastAsia="Calibri"/>
          <w:lang w:val="en-AU"/>
        </w:rPr>
      </w:pPr>
    </w:p>
    <w:p w14:paraId="179C50B0" w14:textId="77777777" w:rsidR="007802BA" w:rsidRPr="00582CF8" w:rsidRDefault="007802BA" w:rsidP="007802BA">
      <w:pPr>
        <w:rPr>
          <w:rFonts w:eastAsia="Calibri"/>
          <w:lang w:val="en-AU"/>
        </w:rPr>
      </w:pPr>
      <w:r w:rsidRPr="00582CF8">
        <w:rPr>
          <w:rFonts w:eastAsia="Calibri"/>
          <w:lang w:val="en-AU"/>
        </w:rPr>
        <w:t>This instrument is exempt from the requirements for a statement of compatibility with human rights as it is a non-disallowable instrument under section 94 of the FSANZ Act.</w:t>
      </w:r>
    </w:p>
    <w:p w14:paraId="62D0394A" w14:textId="77777777" w:rsidR="007802BA" w:rsidRPr="00582CF8" w:rsidRDefault="007802BA" w:rsidP="007802BA">
      <w:pPr>
        <w:rPr>
          <w:rFonts w:eastAsia="Calibri"/>
          <w:lang w:val="en-AU"/>
        </w:rPr>
      </w:pPr>
    </w:p>
    <w:p w14:paraId="6932C56A" w14:textId="77777777" w:rsidR="007802BA" w:rsidRPr="00582CF8" w:rsidRDefault="007802BA" w:rsidP="007802BA">
      <w:pPr>
        <w:rPr>
          <w:b/>
          <w:lang w:val="en-AU" w:eastAsia="en-GB"/>
        </w:rPr>
      </w:pPr>
      <w:r w:rsidRPr="00582CF8">
        <w:rPr>
          <w:b/>
        </w:rPr>
        <w:t>6.</w:t>
      </w:r>
      <w:r w:rsidRPr="00582CF8">
        <w:rPr>
          <w:b/>
        </w:rPr>
        <w:tab/>
      </w:r>
      <w:r w:rsidRPr="00582CF8">
        <w:rPr>
          <w:b/>
          <w:lang w:val="en-AU" w:eastAsia="en-GB"/>
        </w:rPr>
        <w:t>Variation</w:t>
      </w:r>
    </w:p>
    <w:p w14:paraId="5BCC652C" w14:textId="77777777" w:rsidR="007802BA" w:rsidRDefault="007802BA" w:rsidP="007802BA"/>
    <w:p w14:paraId="4B5237E1" w14:textId="77777777" w:rsidR="007802BA" w:rsidRDefault="007802BA" w:rsidP="007802BA">
      <w:r>
        <w:t xml:space="preserve">Item [1] amends Standard 1.1.2. </w:t>
      </w:r>
    </w:p>
    <w:p w14:paraId="2C3685FC" w14:textId="77777777" w:rsidR="007802BA" w:rsidRDefault="007802BA" w:rsidP="007802BA"/>
    <w:p w14:paraId="42BEE6D1" w14:textId="77777777" w:rsidR="007802BA" w:rsidRPr="00582CF8" w:rsidRDefault="007802BA" w:rsidP="007802BA">
      <w:r>
        <w:t>Item [1.1]</w:t>
      </w:r>
      <w:r w:rsidRPr="00E95E8F">
        <w:t xml:space="preserve"> amends </w:t>
      </w:r>
      <w:r>
        <w:t>the definition of ‘claim requiring nutrition information’ in subsection 1.1.2</w:t>
      </w:r>
      <w:r w:rsidRPr="00791E36">
        <w:rPr>
          <w:sz w:val="20"/>
          <w:szCs w:val="20"/>
        </w:rPr>
        <w:t>—</w:t>
      </w:r>
      <w:r>
        <w:t>2(3)</w:t>
      </w:r>
      <w:r w:rsidRPr="00E95E8F">
        <w:t xml:space="preserve"> to provide that a prescribed beverage gluten free claim is not </w:t>
      </w:r>
      <w:proofErr w:type="gramStart"/>
      <w:r w:rsidRPr="00E95E8F">
        <w:t>a claim</w:t>
      </w:r>
      <w:proofErr w:type="gramEnd"/>
      <w:r w:rsidRPr="00E95E8F">
        <w:t xml:space="preserve"> requiring nutrition information. The effect of the amendment is to exempt prescribed beverages from the requirements for nutrition information when a prescribed beverage gluten free claim is made.</w:t>
      </w:r>
    </w:p>
    <w:p w14:paraId="30A9CAB3" w14:textId="77777777" w:rsidR="007802BA" w:rsidRDefault="007802BA" w:rsidP="007802BA"/>
    <w:p w14:paraId="7CD208A5" w14:textId="77777777" w:rsidR="007802BA" w:rsidRPr="00FD35AE" w:rsidRDefault="007802BA" w:rsidP="007802BA">
      <w:r>
        <w:t>Item [1.2</w:t>
      </w:r>
      <w:r w:rsidRPr="00FD35AE">
        <w:t xml:space="preserve">] adds definitions of the terms ‘prescribed beverage’ and ‘prescribed beverage gluten free claim’ to </w:t>
      </w:r>
      <w:r>
        <w:t>subsection 1.1.2</w:t>
      </w:r>
      <w:r w:rsidRPr="00791E36">
        <w:rPr>
          <w:sz w:val="20"/>
          <w:szCs w:val="20"/>
        </w:rPr>
        <w:t>—</w:t>
      </w:r>
      <w:r>
        <w:t xml:space="preserve">2(3). </w:t>
      </w:r>
      <w:r w:rsidRPr="00FD35AE">
        <w:t xml:space="preserve"> </w:t>
      </w:r>
    </w:p>
    <w:p w14:paraId="20A2970E" w14:textId="77777777" w:rsidR="007802BA" w:rsidRPr="00FD35AE" w:rsidRDefault="007802BA" w:rsidP="007802BA"/>
    <w:p w14:paraId="1889CA55" w14:textId="77777777" w:rsidR="007802BA" w:rsidRDefault="007802BA" w:rsidP="007802BA">
      <w:r w:rsidRPr="00FD35AE">
        <w:t xml:space="preserve">A prescribed beverage is </w:t>
      </w:r>
      <w:r>
        <w:t xml:space="preserve">a standardised </w:t>
      </w:r>
      <w:r w:rsidRPr="00FD35AE">
        <w:t xml:space="preserve">alcoholic beverage </w:t>
      </w:r>
      <w:r>
        <w:t>(</w:t>
      </w:r>
      <w:r w:rsidRPr="00FD35AE">
        <w:t>beer, brandy, cider, fruit wine, fruit wine product, liqueur, mead, perry, spirit, vegetable wine, vegetable wine product, wine or wine product</w:t>
      </w:r>
      <w:r>
        <w:t xml:space="preserve">) </w:t>
      </w:r>
      <w:r w:rsidRPr="00FD35AE">
        <w:t xml:space="preserve">or a beverage containing no less than 0.5% alcohol by volume. </w:t>
      </w:r>
    </w:p>
    <w:p w14:paraId="7923D4F9" w14:textId="77777777" w:rsidR="007802BA" w:rsidRDefault="007802BA" w:rsidP="007802BA"/>
    <w:p w14:paraId="6EAE5A34" w14:textId="77777777" w:rsidR="007802BA" w:rsidRPr="00FE6275" w:rsidRDefault="007802BA" w:rsidP="007802BA">
      <w:r w:rsidRPr="00FD35AE">
        <w:t xml:space="preserve">A prescribed beverage gluten free claim is a nutrition content claim in relation to the gluten </w:t>
      </w:r>
      <w:r w:rsidRPr="00FE6275">
        <w:t xml:space="preserve">content of a prescribed beverage that uses the descriptor ‘free’ or a synonym of such a descriptor. </w:t>
      </w:r>
    </w:p>
    <w:p w14:paraId="31C75F93" w14:textId="77777777" w:rsidR="007802BA" w:rsidRPr="00582CF8" w:rsidRDefault="007802BA" w:rsidP="007802BA"/>
    <w:p w14:paraId="48AA466B" w14:textId="77777777" w:rsidR="007802BA" w:rsidRPr="00FE6275" w:rsidRDefault="007802BA" w:rsidP="007802BA">
      <w:r w:rsidRPr="00FE6275">
        <w:t>Item [2] amends section 1.2.7</w:t>
      </w:r>
      <w:r w:rsidRPr="00791E36">
        <w:rPr>
          <w:sz w:val="20"/>
          <w:szCs w:val="20"/>
        </w:rPr>
        <w:t>—</w:t>
      </w:r>
      <w:r w:rsidRPr="00FE6275">
        <w:t>4 of Standard 1.2.7 by inserting a reference to gluten content in the section. The effect of the amendment is to permit nutrition content claims about gluten content to be made in relation to a food that contains more than 1.15% alcohol by volume.</w:t>
      </w:r>
    </w:p>
    <w:p w14:paraId="475C63AB" w14:textId="77777777" w:rsidR="007802BA" w:rsidRPr="00FE6275" w:rsidRDefault="007802BA" w:rsidP="007802BA"/>
    <w:p w14:paraId="3E686712" w14:textId="77777777" w:rsidR="007802BA" w:rsidRPr="00FE6275" w:rsidRDefault="007802BA" w:rsidP="007802BA">
      <w:r w:rsidRPr="00FE6275">
        <w:t xml:space="preserve">Any nutrition content claim made about the gluten content of a food would have to be made in accordance with the conditions specified in section </w:t>
      </w:r>
      <w:r>
        <w:t>1.2.7</w:t>
      </w:r>
      <w:r w:rsidRPr="00791E36">
        <w:rPr>
          <w:sz w:val="20"/>
          <w:szCs w:val="20"/>
        </w:rPr>
        <w:t>—</w:t>
      </w:r>
      <w:r w:rsidRPr="00FE6275">
        <w:t xml:space="preserve">12 and Schedule S4–3.  </w:t>
      </w:r>
    </w:p>
    <w:p w14:paraId="4646F01C" w14:textId="77777777" w:rsidR="007802BA" w:rsidRPr="00FE6275" w:rsidRDefault="007802BA" w:rsidP="007802BA"/>
    <w:p w14:paraId="2A764275" w14:textId="77777777" w:rsidR="007802BA" w:rsidRPr="00FE6275" w:rsidRDefault="007802BA" w:rsidP="007802BA">
      <w:r w:rsidRPr="00FE6275">
        <w:t>Item [3] omits the definition of claim requiring nutrition information from the first Note to section 1.2.8</w:t>
      </w:r>
      <w:r w:rsidRPr="00791E36">
        <w:rPr>
          <w:sz w:val="20"/>
          <w:szCs w:val="20"/>
        </w:rPr>
        <w:t>—</w:t>
      </w:r>
      <w:r w:rsidRPr="00FE6275">
        <w:t xml:space="preserve">4 and replaces it with a new definition, </w:t>
      </w:r>
      <w:r>
        <w:t>as a consequence of</w:t>
      </w:r>
      <w:r w:rsidRPr="00FE6275">
        <w:t xml:space="preserve"> the amendments made to this definition by item [1.1]. </w:t>
      </w:r>
    </w:p>
    <w:p w14:paraId="15E045A4" w14:textId="77777777" w:rsidR="007802BA" w:rsidRPr="00FE6275" w:rsidRDefault="007802BA" w:rsidP="007802BA"/>
    <w:p w14:paraId="57DC74D3" w14:textId="77777777" w:rsidR="00D5526B" w:rsidRPr="00184403" w:rsidRDefault="00D5526B" w:rsidP="00793DE6">
      <w:bookmarkStart w:id="1" w:name="_GoBack"/>
      <w:bookmarkEnd w:id="1"/>
    </w:p>
    <w:sectPr w:rsidR="00D5526B" w:rsidRPr="00184403" w:rsidSect="008E2339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C1E0B" w14:textId="77777777" w:rsidR="007802BA" w:rsidRDefault="007802BA" w:rsidP="007802BA">
      <w:r>
        <w:separator/>
      </w:r>
    </w:p>
  </w:endnote>
  <w:endnote w:type="continuationSeparator" w:id="0">
    <w:p w14:paraId="6AB31B06" w14:textId="77777777" w:rsidR="007802BA" w:rsidRDefault="007802BA" w:rsidP="0078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2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A5A12" w14:textId="77777777" w:rsidR="007802BA" w:rsidRDefault="007802BA" w:rsidP="007802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AB119" w14:textId="77777777" w:rsidR="007802BA" w:rsidRDefault="007802BA" w:rsidP="007802BA">
      <w:r>
        <w:separator/>
      </w:r>
    </w:p>
  </w:footnote>
  <w:footnote w:type="continuationSeparator" w:id="0">
    <w:p w14:paraId="604831BC" w14:textId="77777777" w:rsidR="007802BA" w:rsidRDefault="007802BA" w:rsidP="007802BA">
      <w:r>
        <w:continuationSeparator/>
      </w:r>
    </w:p>
  </w:footnote>
  <w:footnote w:id="1">
    <w:p w14:paraId="61A805CF" w14:textId="77777777" w:rsidR="007802BA" w:rsidRPr="00027D02" w:rsidRDefault="007802BA" w:rsidP="007802BA">
      <w:pPr>
        <w:pStyle w:val="FootnoteText"/>
        <w:rPr>
          <w:szCs w:val="18"/>
          <w:lang w:val="en-AU"/>
        </w:rPr>
      </w:pPr>
      <w:r w:rsidRPr="00027D02">
        <w:rPr>
          <w:rStyle w:val="FootnoteReference"/>
          <w:szCs w:val="18"/>
        </w:rPr>
        <w:footnoteRef/>
      </w:r>
      <w:r w:rsidRPr="00027D02">
        <w:rPr>
          <w:szCs w:val="18"/>
        </w:rPr>
        <w:t xml:space="preserve"> </w:t>
      </w:r>
      <w:r w:rsidRPr="00027D02">
        <w:rPr>
          <w:szCs w:val="18"/>
          <w:lang w:val="en-AU"/>
        </w:rPr>
        <w:t>convening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BA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802BA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0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802B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,FSFootnote Text"/>
    <w:basedOn w:val="Normal"/>
    <w:link w:val="FootnoteTextChar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,FSFootnote Text Char"/>
    <w:basedOn w:val="DefaultParagraphFont"/>
    <w:link w:val="FootnoteText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character" w:styleId="FootnoteReference">
    <w:name w:val="footnote reference"/>
    <w:basedOn w:val="DefaultParagraphFont"/>
    <w:rsid w:val="0078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802B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,FSFootnote Text"/>
    <w:basedOn w:val="Normal"/>
    <w:link w:val="FootnoteTextChar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,FSFootnote Text Char"/>
    <w:basedOn w:val="DefaultParagraphFont"/>
    <w:link w:val="FootnoteText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character" w:styleId="FootnoteReference">
    <w:name w:val="footnote reference"/>
    <w:basedOn w:val="DefaultParagraphFont"/>
    <w:rsid w:val="00780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MMF7YEMDTSDN-102-28114</_dlc_DocId>
    <_dlc_DocIdUrl xmlns="5759555f-5bed-45a4-a4c2-4e28e2623455">
      <Url>http://fsintranet/Sections/OLC/_layouts/15/DocIdRedir.aspx?ID=MMF7YEMDTSDN-102-28114</Url>
      <Description>MMF7YEMDTSDN-102-28114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4FE4-9382-4C77-AC8F-3C21ECA082EE}"/>
</file>

<file path=customXml/itemProps2.xml><?xml version="1.0" encoding="utf-8"?>
<ds:datastoreItem xmlns:ds="http://schemas.openxmlformats.org/officeDocument/2006/customXml" ds:itemID="{F1DD3924-D82D-4C6B-837B-B96C493DAA64}"/>
</file>

<file path=customXml/itemProps3.xml><?xml version="1.0" encoding="utf-8"?>
<ds:datastoreItem xmlns:ds="http://schemas.openxmlformats.org/officeDocument/2006/customXml" ds:itemID="{254AE71C-9D36-40BB-9ADB-F66579147B63}"/>
</file>

<file path=customXml/itemProps4.xml><?xml version="1.0" encoding="utf-8"?>
<ds:datastoreItem xmlns:ds="http://schemas.openxmlformats.org/officeDocument/2006/customXml" ds:itemID="{5EBD351B-C5D7-4281-AFCA-114E0CE4E311}"/>
</file>

<file path=customXml/itemProps5.xml><?xml version="1.0" encoding="utf-8"?>
<ds:datastoreItem xmlns:ds="http://schemas.openxmlformats.org/officeDocument/2006/customXml" ds:itemID="{9621B935-EB20-4928-98E5-AA414107D0F8}"/>
</file>

<file path=customXml/itemProps6.xml><?xml version="1.0" encoding="utf-8"?>
<ds:datastoreItem xmlns:ds="http://schemas.openxmlformats.org/officeDocument/2006/customXml" ds:itemID="{8FA33046-1688-48C0-AC0B-2DA29820CECF}"/>
</file>

<file path=customXml/itemProps7.xml><?xml version="1.0" encoding="utf-8"?>
<ds:datastoreItem xmlns:ds="http://schemas.openxmlformats.org/officeDocument/2006/customXml" ds:itemID="{4C1951C1-9E6B-4898-88FE-0FAB2FC962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4236</Characters>
  <Application>Microsoft Office Word</Application>
  <DocSecurity>0</DocSecurity>
  <Lines>35</Lines>
  <Paragraphs>9</Paragraphs>
  <ScaleCrop>false</ScaleCrop>
  <Company>Foodstandards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</cp:revision>
  <dcterms:created xsi:type="dcterms:W3CDTF">2015-06-30T23:35:00Z</dcterms:created>
  <dcterms:modified xsi:type="dcterms:W3CDTF">2015-06-30T23:36:00Z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3eb4f214-fb66-438c-a9f4-b44da9d572de</vt:lpwstr>
  </property>
</Properties>
</file>