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BC286" w14:textId="77777777" w:rsidR="00AE42C2" w:rsidRPr="000D0928" w:rsidRDefault="00AE42C2" w:rsidP="00AE42C2">
      <w:pPr>
        <w:pStyle w:val="Title"/>
        <w:rPr>
          <w:szCs w:val="24"/>
        </w:rPr>
      </w:pPr>
      <w:r w:rsidRPr="000D0928">
        <w:rPr>
          <w:szCs w:val="24"/>
        </w:rPr>
        <w:t>EXPLANATORY STATEMENT</w:t>
      </w:r>
    </w:p>
    <w:p w14:paraId="494BC287" w14:textId="77777777" w:rsidR="00AE42C2" w:rsidRPr="000D0928" w:rsidRDefault="00AE42C2" w:rsidP="00AE42C2">
      <w:pPr>
        <w:rPr>
          <w:sz w:val="24"/>
          <w:szCs w:val="24"/>
        </w:rPr>
      </w:pPr>
    </w:p>
    <w:p w14:paraId="494BC288" w14:textId="3A3E37DE" w:rsidR="00AE42C2" w:rsidRPr="002E06A8" w:rsidRDefault="00AE42C2" w:rsidP="00AE42C2">
      <w:pPr>
        <w:pStyle w:val="BodyText3"/>
        <w:jc w:val="center"/>
        <w:rPr>
          <w:b/>
          <w:szCs w:val="24"/>
        </w:rPr>
      </w:pPr>
      <w:r w:rsidRPr="002E06A8">
        <w:rPr>
          <w:b/>
          <w:szCs w:val="24"/>
        </w:rPr>
        <w:t xml:space="preserve">Select Legislative Instrument </w:t>
      </w:r>
      <w:r w:rsidR="008C29DE">
        <w:rPr>
          <w:b/>
          <w:szCs w:val="24"/>
        </w:rPr>
        <w:t xml:space="preserve">No. 139, </w:t>
      </w:r>
      <w:r w:rsidRPr="002E06A8">
        <w:rPr>
          <w:b/>
          <w:szCs w:val="24"/>
        </w:rPr>
        <w:t>201</w:t>
      </w:r>
      <w:r w:rsidR="005B095D">
        <w:rPr>
          <w:b/>
          <w:szCs w:val="24"/>
        </w:rPr>
        <w:t>5</w:t>
      </w:r>
    </w:p>
    <w:p w14:paraId="494BC289" w14:textId="77777777" w:rsidR="00AE42C2" w:rsidRPr="000D0928" w:rsidRDefault="00AE42C2" w:rsidP="00AE42C2">
      <w:pPr>
        <w:pStyle w:val="BodyText3"/>
        <w:jc w:val="center"/>
        <w:rPr>
          <w:szCs w:val="24"/>
        </w:rPr>
      </w:pPr>
    </w:p>
    <w:p w14:paraId="494BC28A" w14:textId="77777777" w:rsidR="00AE42C2" w:rsidRPr="000D0928" w:rsidRDefault="00AE42C2" w:rsidP="00AE42C2">
      <w:pPr>
        <w:pStyle w:val="BodyText"/>
        <w:rPr>
          <w:szCs w:val="24"/>
        </w:rPr>
      </w:pPr>
      <w:r w:rsidRPr="000D0928">
        <w:rPr>
          <w:szCs w:val="24"/>
        </w:rPr>
        <w:t xml:space="preserve">Issued by the Authority of the Minister for Communications </w:t>
      </w:r>
    </w:p>
    <w:p w14:paraId="494BC28B" w14:textId="77777777" w:rsidR="00AE42C2" w:rsidRPr="000D0928" w:rsidRDefault="00AE42C2" w:rsidP="00AE42C2">
      <w:pPr>
        <w:rPr>
          <w:sz w:val="24"/>
          <w:szCs w:val="24"/>
        </w:rPr>
      </w:pPr>
    </w:p>
    <w:p w14:paraId="494BC28C" w14:textId="77777777" w:rsidR="00AE42C2" w:rsidRDefault="009F3D6D" w:rsidP="00AE42C2">
      <w:pPr>
        <w:pStyle w:val="Heading1"/>
        <w:rPr>
          <w:szCs w:val="24"/>
        </w:rPr>
      </w:pPr>
      <w:bookmarkStart w:id="0" w:name="OLE_LINK11"/>
      <w:bookmarkStart w:id="1" w:name="OLE_LINK12"/>
      <w:r>
        <w:rPr>
          <w:szCs w:val="24"/>
        </w:rPr>
        <w:t xml:space="preserve">Telecommunications </w:t>
      </w:r>
      <w:r w:rsidR="00AE42C2" w:rsidRPr="000D0928">
        <w:rPr>
          <w:szCs w:val="24"/>
        </w:rPr>
        <w:t>Act 199</w:t>
      </w:r>
      <w:bookmarkEnd w:id="0"/>
      <w:bookmarkEnd w:id="1"/>
      <w:r w:rsidR="0056625E">
        <w:rPr>
          <w:szCs w:val="24"/>
        </w:rPr>
        <w:t>7</w:t>
      </w:r>
    </w:p>
    <w:p w14:paraId="494BC28D" w14:textId="77777777" w:rsidR="005B095D" w:rsidRDefault="005B095D" w:rsidP="00AE42C2">
      <w:pPr>
        <w:jc w:val="center"/>
        <w:rPr>
          <w:i/>
          <w:sz w:val="24"/>
          <w:szCs w:val="24"/>
          <w:lang w:val="en-US"/>
        </w:rPr>
      </w:pPr>
    </w:p>
    <w:p w14:paraId="494BC28E" w14:textId="77777777" w:rsidR="00AE42C2" w:rsidRPr="005B095D" w:rsidRDefault="005B095D" w:rsidP="00AE42C2">
      <w:pPr>
        <w:jc w:val="center"/>
        <w:rPr>
          <w:i/>
          <w:sz w:val="24"/>
          <w:szCs w:val="24"/>
          <w:lang w:val="en-US"/>
        </w:rPr>
      </w:pPr>
      <w:r w:rsidRPr="005B095D">
        <w:rPr>
          <w:i/>
          <w:sz w:val="24"/>
          <w:szCs w:val="24"/>
          <w:lang w:val="en-US"/>
        </w:rPr>
        <w:t>Acts Interpretation Act 1901</w:t>
      </w:r>
    </w:p>
    <w:p w14:paraId="494BC28F" w14:textId="77777777" w:rsidR="005B095D" w:rsidRPr="000D0928" w:rsidRDefault="005B095D" w:rsidP="00AE42C2">
      <w:pPr>
        <w:jc w:val="center"/>
        <w:rPr>
          <w:i/>
          <w:sz w:val="24"/>
          <w:szCs w:val="24"/>
        </w:rPr>
      </w:pPr>
    </w:p>
    <w:p w14:paraId="494BC291" w14:textId="10AF8C0B" w:rsidR="00AE42C2" w:rsidRPr="00CF12CC" w:rsidRDefault="007C6695" w:rsidP="00AE42C2">
      <w:pPr>
        <w:rPr>
          <w:b/>
          <w:sz w:val="24"/>
          <w:szCs w:val="24"/>
        </w:rPr>
      </w:pPr>
      <w:bookmarkStart w:id="2" w:name="_GoBack"/>
      <w:r w:rsidRPr="007C6695">
        <w:rPr>
          <w:i/>
          <w:sz w:val="24"/>
          <w:szCs w:val="24"/>
        </w:rPr>
        <w:t>Telecommunications Amendment (Designated Overhead Lines) Regulation 2015</w:t>
      </w:r>
      <w:bookmarkEnd w:id="2"/>
    </w:p>
    <w:p w14:paraId="494BC292" w14:textId="77777777" w:rsidR="00AE42C2" w:rsidRPr="00CF12CC" w:rsidRDefault="00AE42C2" w:rsidP="00AE42C2">
      <w:pPr>
        <w:tabs>
          <w:tab w:val="left" w:pos="5217"/>
        </w:tabs>
        <w:rPr>
          <w:b/>
          <w:sz w:val="24"/>
          <w:szCs w:val="24"/>
        </w:rPr>
      </w:pPr>
      <w:r w:rsidRPr="00CF12CC">
        <w:rPr>
          <w:b/>
          <w:sz w:val="24"/>
          <w:szCs w:val="24"/>
        </w:rPr>
        <w:tab/>
      </w:r>
    </w:p>
    <w:p w14:paraId="16E778BA" w14:textId="67C4E814" w:rsidR="00CF12CC" w:rsidRPr="006B41FF" w:rsidRDefault="00CF12CC" w:rsidP="00AE42C2">
      <w:pPr>
        <w:rPr>
          <w:b/>
          <w:sz w:val="24"/>
          <w:szCs w:val="24"/>
        </w:rPr>
      </w:pPr>
      <w:r w:rsidRPr="006B41FF">
        <w:rPr>
          <w:b/>
          <w:sz w:val="24"/>
          <w:szCs w:val="24"/>
        </w:rPr>
        <w:t xml:space="preserve">Authority </w:t>
      </w:r>
    </w:p>
    <w:p w14:paraId="08083796" w14:textId="77777777" w:rsidR="00CF12CC" w:rsidRDefault="00CF12CC" w:rsidP="00AE42C2">
      <w:pPr>
        <w:rPr>
          <w:sz w:val="24"/>
          <w:szCs w:val="24"/>
        </w:rPr>
      </w:pPr>
    </w:p>
    <w:p w14:paraId="494BC293" w14:textId="490F372F" w:rsidR="00AE42C2" w:rsidRDefault="004E740D" w:rsidP="00AE42C2">
      <w:pPr>
        <w:rPr>
          <w:sz w:val="24"/>
          <w:szCs w:val="24"/>
        </w:rPr>
      </w:pPr>
      <w:r>
        <w:rPr>
          <w:sz w:val="24"/>
          <w:szCs w:val="24"/>
        </w:rPr>
        <w:t>Subsection 594</w:t>
      </w:r>
      <w:r w:rsidR="00AE42C2" w:rsidRPr="00F65AEB">
        <w:rPr>
          <w:sz w:val="24"/>
          <w:szCs w:val="24"/>
        </w:rPr>
        <w:t xml:space="preserve">(1) of the </w:t>
      </w:r>
      <w:r w:rsidR="00AE42C2" w:rsidRPr="007F6C31">
        <w:rPr>
          <w:i/>
          <w:sz w:val="24"/>
          <w:szCs w:val="24"/>
        </w:rPr>
        <w:t>Telecommunications Act 199</w:t>
      </w:r>
      <w:r>
        <w:rPr>
          <w:i/>
          <w:sz w:val="24"/>
          <w:szCs w:val="24"/>
        </w:rPr>
        <w:t>7</w:t>
      </w:r>
      <w:r w:rsidR="00AE42C2" w:rsidRPr="00F65AEB">
        <w:rPr>
          <w:sz w:val="24"/>
          <w:szCs w:val="24"/>
        </w:rPr>
        <w:t xml:space="preserve"> (the Act) provides that the Governor-General may make regulations prescribing matters required or permitted by the Act</w:t>
      </w:r>
      <w:r w:rsidR="00DC5173" w:rsidRPr="00DC5173">
        <w:rPr>
          <w:sz w:val="24"/>
          <w:szCs w:val="24"/>
        </w:rPr>
        <w:t xml:space="preserve"> </w:t>
      </w:r>
      <w:r w:rsidR="00DC5173" w:rsidRPr="00F65AEB">
        <w:rPr>
          <w:sz w:val="24"/>
          <w:szCs w:val="24"/>
        </w:rPr>
        <w:t>to be prescribed</w:t>
      </w:r>
      <w:r w:rsidR="00AE42C2" w:rsidRPr="00F65AEB">
        <w:rPr>
          <w:sz w:val="24"/>
          <w:szCs w:val="24"/>
        </w:rPr>
        <w:t>, or necessary or convenient to be prescribed for carrying out or giving effect to the Act.</w:t>
      </w:r>
    </w:p>
    <w:p w14:paraId="494BC294" w14:textId="1B03D96F" w:rsidR="00DC5173" w:rsidRDefault="006421C8" w:rsidP="006421C8">
      <w:pPr>
        <w:tabs>
          <w:tab w:val="left" w:pos="5655"/>
        </w:tabs>
        <w:rPr>
          <w:sz w:val="24"/>
          <w:szCs w:val="24"/>
        </w:rPr>
      </w:pPr>
      <w:r>
        <w:rPr>
          <w:sz w:val="24"/>
          <w:szCs w:val="24"/>
        </w:rPr>
        <w:tab/>
      </w:r>
    </w:p>
    <w:p w14:paraId="494BC295" w14:textId="77777777" w:rsidR="005B095D" w:rsidRDefault="005B095D" w:rsidP="005B095D">
      <w:pPr>
        <w:rPr>
          <w:sz w:val="24"/>
          <w:szCs w:val="24"/>
          <w:lang w:val="en-US"/>
        </w:rPr>
      </w:pPr>
      <w:r w:rsidRPr="005B095D">
        <w:rPr>
          <w:sz w:val="24"/>
          <w:szCs w:val="24"/>
          <w:lang w:val="en-US"/>
        </w:rPr>
        <w:t xml:space="preserve">Under subsection 33 (3) of the </w:t>
      </w:r>
      <w:r w:rsidRPr="00A33E57">
        <w:rPr>
          <w:i/>
          <w:sz w:val="24"/>
          <w:szCs w:val="24"/>
          <w:lang w:val="en-US"/>
        </w:rPr>
        <w:t>Acts Interpretation Act 1901</w:t>
      </w:r>
      <w:r w:rsidRPr="005B095D">
        <w:rPr>
          <w:sz w:val="24"/>
          <w:szCs w:val="24"/>
          <w:lang w:val="en-US"/>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w:t>
      </w:r>
      <w:r>
        <w:rPr>
          <w:sz w:val="24"/>
          <w:szCs w:val="24"/>
          <w:lang w:val="en-US"/>
        </w:rPr>
        <w:t xml:space="preserve"> instrument.</w:t>
      </w:r>
    </w:p>
    <w:p w14:paraId="7C3BD29D" w14:textId="77777777" w:rsidR="00CF12CC" w:rsidRPr="006D6816" w:rsidRDefault="00CF12CC" w:rsidP="00CF12CC">
      <w:pPr>
        <w:rPr>
          <w:sz w:val="24"/>
          <w:szCs w:val="24"/>
        </w:rPr>
      </w:pPr>
    </w:p>
    <w:p w14:paraId="12714DD1" w14:textId="77777777" w:rsidR="00CF12CC" w:rsidRDefault="00CF12CC" w:rsidP="00CF12CC">
      <w:pPr>
        <w:rPr>
          <w:sz w:val="24"/>
          <w:szCs w:val="24"/>
        </w:rPr>
      </w:pPr>
      <w:r w:rsidRPr="006B41FF">
        <w:rPr>
          <w:b/>
          <w:sz w:val="24"/>
          <w:szCs w:val="24"/>
        </w:rPr>
        <w:t xml:space="preserve">Purpose </w:t>
      </w:r>
    </w:p>
    <w:p w14:paraId="1A275EBE" w14:textId="77777777" w:rsidR="00CF12CC" w:rsidRDefault="00CF12CC" w:rsidP="00CF12CC">
      <w:pPr>
        <w:rPr>
          <w:sz w:val="24"/>
          <w:szCs w:val="24"/>
        </w:rPr>
      </w:pPr>
    </w:p>
    <w:p w14:paraId="4748F45D" w14:textId="78EDD534" w:rsidR="00A7055B" w:rsidRPr="001D782F" w:rsidRDefault="00CF12CC" w:rsidP="00CF12CC">
      <w:pPr>
        <w:rPr>
          <w:color w:val="000000"/>
          <w:sz w:val="24"/>
          <w:szCs w:val="24"/>
        </w:rPr>
      </w:pPr>
      <w:r w:rsidRPr="001D782F">
        <w:rPr>
          <w:sz w:val="24"/>
          <w:szCs w:val="24"/>
        </w:rPr>
        <w:t xml:space="preserve">The </w:t>
      </w:r>
      <w:r w:rsidR="001D782F" w:rsidRPr="001D782F">
        <w:rPr>
          <w:sz w:val="24"/>
          <w:szCs w:val="24"/>
        </w:rPr>
        <w:t xml:space="preserve">purpose of the </w:t>
      </w:r>
      <w:r w:rsidRPr="001D782F">
        <w:rPr>
          <w:i/>
          <w:color w:val="000000"/>
          <w:sz w:val="24"/>
          <w:szCs w:val="24"/>
        </w:rPr>
        <w:t xml:space="preserve">Telecommunications Amendment (Designated Overhead Lines) Regulation 2015 </w:t>
      </w:r>
      <w:r w:rsidRPr="001D782F">
        <w:rPr>
          <w:color w:val="000000"/>
          <w:sz w:val="24"/>
          <w:szCs w:val="24"/>
        </w:rPr>
        <w:t>(the Amending Regu</w:t>
      </w:r>
      <w:r w:rsidR="00C246A5">
        <w:rPr>
          <w:color w:val="000000"/>
          <w:sz w:val="24"/>
          <w:szCs w:val="24"/>
        </w:rPr>
        <w:t>lation</w:t>
      </w:r>
      <w:r w:rsidRPr="001D782F">
        <w:rPr>
          <w:color w:val="000000"/>
          <w:sz w:val="24"/>
          <w:szCs w:val="24"/>
        </w:rPr>
        <w:t xml:space="preserve">) </w:t>
      </w:r>
      <w:r w:rsidR="001D782F" w:rsidRPr="001D782F">
        <w:rPr>
          <w:sz w:val="24"/>
          <w:szCs w:val="24"/>
        </w:rPr>
        <w:t xml:space="preserve">is to amend </w:t>
      </w:r>
      <w:r w:rsidR="001D782F" w:rsidRPr="001D782F">
        <w:rPr>
          <w:color w:val="000000"/>
          <w:sz w:val="24"/>
          <w:szCs w:val="24"/>
        </w:rPr>
        <w:t xml:space="preserve">the </w:t>
      </w:r>
      <w:r w:rsidR="001D782F" w:rsidRPr="001D782F">
        <w:rPr>
          <w:i/>
          <w:color w:val="000000"/>
          <w:sz w:val="24"/>
          <w:szCs w:val="24"/>
        </w:rPr>
        <w:t xml:space="preserve">Telecommunications Regulations 2001 </w:t>
      </w:r>
      <w:r w:rsidR="001D782F" w:rsidRPr="001D782F">
        <w:rPr>
          <w:color w:val="000000"/>
          <w:sz w:val="24"/>
          <w:szCs w:val="24"/>
        </w:rPr>
        <w:t xml:space="preserve">(the Principal Regulations) to enable the Minister to specify overhead lines with an external cross section not exceeding 48 millimetres (mm) as ‘low-impact facilities’ in the </w:t>
      </w:r>
      <w:r w:rsidR="001D782F" w:rsidRPr="001D782F">
        <w:rPr>
          <w:i/>
          <w:color w:val="000000"/>
          <w:sz w:val="24"/>
          <w:szCs w:val="24"/>
        </w:rPr>
        <w:t>Telecommunications (Low-impact Facilities) Determination 1997</w:t>
      </w:r>
      <w:r w:rsidR="001D782F" w:rsidRPr="001D782F">
        <w:rPr>
          <w:color w:val="000000"/>
          <w:sz w:val="24"/>
          <w:szCs w:val="24"/>
        </w:rPr>
        <w:t xml:space="preserve"> (the </w:t>
      </w:r>
      <w:proofErr w:type="spellStart"/>
      <w:r w:rsidR="001D782F" w:rsidRPr="001D782F">
        <w:rPr>
          <w:color w:val="000000"/>
          <w:sz w:val="24"/>
          <w:szCs w:val="24"/>
        </w:rPr>
        <w:t>LIFD</w:t>
      </w:r>
      <w:proofErr w:type="spellEnd"/>
      <w:r w:rsidR="001D782F" w:rsidRPr="001D782F">
        <w:rPr>
          <w:color w:val="000000"/>
          <w:sz w:val="24"/>
          <w:szCs w:val="24"/>
        </w:rPr>
        <w:t>). Low-impact facilities can be installed with benefit of the carrier powers and immunities set out in Schedule 3 to the Act.</w:t>
      </w:r>
    </w:p>
    <w:p w14:paraId="49F0E35D" w14:textId="77777777" w:rsidR="001D782F" w:rsidRDefault="001D782F" w:rsidP="00CF12CC">
      <w:pPr>
        <w:rPr>
          <w:b/>
          <w:sz w:val="24"/>
          <w:szCs w:val="24"/>
        </w:rPr>
      </w:pPr>
    </w:p>
    <w:p w14:paraId="42E1F5F5" w14:textId="5D00C125" w:rsidR="00CF12CC" w:rsidRPr="0091042B" w:rsidRDefault="00CF12CC" w:rsidP="00CF12CC">
      <w:pPr>
        <w:rPr>
          <w:b/>
          <w:sz w:val="24"/>
          <w:szCs w:val="24"/>
        </w:rPr>
      </w:pPr>
      <w:r>
        <w:rPr>
          <w:b/>
          <w:sz w:val="24"/>
          <w:szCs w:val="24"/>
        </w:rPr>
        <w:t xml:space="preserve">Background </w:t>
      </w:r>
    </w:p>
    <w:p w14:paraId="71A59570" w14:textId="77777777" w:rsidR="00CF12CC" w:rsidRDefault="00CF12CC" w:rsidP="005B095D">
      <w:pPr>
        <w:rPr>
          <w:sz w:val="24"/>
          <w:szCs w:val="24"/>
          <w:lang w:val="en-US"/>
        </w:rPr>
      </w:pPr>
    </w:p>
    <w:p w14:paraId="121A1425" w14:textId="40088119" w:rsidR="005A4D1C" w:rsidRPr="005A4D1C" w:rsidRDefault="005A4D1C" w:rsidP="005A4D1C">
      <w:pPr>
        <w:rPr>
          <w:sz w:val="24"/>
          <w:szCs w:val="24"/>
        </w:rPr>
      </w:pPr>
      <w:r w:rsidRPr="005A4D1C">
        <w:rPr>
          <w:sz w:val="24"/>
          <w:szCs w:val="24"/>
        </w:rPr>
        <w:t xml:space="preserve">Schedule 3 </w:t>
      </w:r>
      <w:r w:rsidR="00D532C5">
        <w:rPr>
          <w:sz w:val="24"/>
          <w:szCs w:val="24"/>
        </w:rPr>
        <w:t xml:space="preserve">to the Act </w:t>
      </w:r>
      <w:r w:rsidRPr="005A4D1C">
        <w:rPr>
          <w:sz w:val="24"/>
          <w:szCs w:val="24"/>
        </w:rPr>
        <w:t>provides carriers with power to inspect land to determine whether the land is suitable for the carrier’s purpose, install certain types of facilities (</w:t>
      </w:r>
      <w:r w:rsidR="00D532C5">
        <w:rPr>
          <w:sz w:val="24"/>
          <w:szCs w:val="24"/>
        </w:rPr>
        <w:t>such as</w:t>
      </w:r>
      <w:r w:rsidRPr="005A4D1C">
        <w:rPr>
          <w:sz w:val="24"/>
          <w:szCs w:val="24"/>
        </w:rPr>
        <w:t xml:space="preserve"> </w:t>
      </w:r>
      <w:r w:rsidR="00D532C5">
        <w:rPr>
          <w:sz w:val="24"/>
          <w:szCs w:val="24"/>
        </w:rPr>
        <w:t>‘</w:t>
      </w:r>
      <w:r w:rsidRPr="005A4D1C">
        <w:rPr>
          <w:sz w:val="24"/>
          <w:szCs w:val="24"/>
        </w:rPr>
        <w:t>low</w:t>
      </w:r>
      <w:r w:rsidRPr="005A4D1C">
        <w:rPr>
          <w:sz w:val="24"/>
          <w:szCs w:val="24"/>
        </w:rPr>
        <w:noBreakHyphen/>
        <w:t>impact facilities</w:t>
      </w:r>
      <w:r w:rsidR="00D532C5">
        <w:rPr>
          <w:sz w:val="24"/>
          <w:szCs w:val="24"/>
        </w:rPr>
        <w:t>’</w:t>
      </w:r>
      <w:r w:rsidRPr="005A4D1C">
        <w:rPr>
          <w:sz w:val="24"/>
          <w:szCs w:val="24"/>
        </w:rPr>
        <w:t xml:space="preserve">) on the land, and maintain a facility that is situated on the land, without seeking state, territory or local government planning approval or </w:t>
      </w:r>
      <w:r w:rsidR="00D532C5">
        <w:rPr>
          <w:sz w:val="24"/>
          <w:szCs w:val="24"/>
        </w:rPr>
        <w:t xml:space="preserve">the </w:t>
      </w:r>
      <w:r w:rsidRPr="005A4D1C">
        <w:rPr>
          <w:sz w:val="24"/>
          <w:szCs w:val="24"/>
        </w:rPr>
        <w:t>land owner</w:t>
      </w:r>
      <w:r w:rsidR="00D532C5">
        <w:rPr>
          <w:sz w:val="24"/>
          <w:szCs w:val="24"/>
        </w:rPr>
        <w:t xml:space="preserve">’s </w:t>
      </w:r>
      <w:r w:rsidRPr="005A4D1C">
        <w:rPr>
          <w:sz w:val="24"/>
          <w:szCs w:val="24"/>
        </w:rPr>
        <w:t xml:space="preserve">consent. </w:t>
      </w:r>
      <w:r w:rsidR="00D532C5">
        <w:rPr>
          <w:sz w:val="24"/>
          <w:szCs w:val="24"/>
        </w:rPr>
        <w:t>The broad p</w:t>
      </w:r>
      <w:r w:rsidRPr="005A4D1C">
        <w:rPr>
          <w:sz w:val="24"/>
          <w:szCs w:val="24"/>
        </w:rPr>
        <w:t xml:space="preserve">owers and immunities </w:t>
      </w:r>
      <w:r w:rsidR="00D532C5">
        <w:rPr>
          <w:sz w:val="24"/>
          <w:szCs w:val="24"/>
        </w:rPr>
        <w:t xml:space="preserve">available to carriers </w:t>
      </w:r>
      <w:r w:rsidRPr="005A4D1C">
        <w:rPr>
          <w:sz w:val="24"/>
          <w:szCs w:val="24"/>
        </w:rPr>
        <w:t xml:space="preserve">provide a nationally consistent regime that helps carriers roll out facilities to provide services to the community more quickly and at lower cost than would otherwise be the case. </w:t>
      </w:r>
    </w:p>
    <w:p w14:paraId="0D8387F1" w14:textId="77777777" w:rsidR="005A4D1C" w:rsidRPr="005A4D1C" w:rsidRDefault="005A4D1C" w:rsidP="005A4D1C">
      <w:pPr>
        <w:rPr>
          <w:color w:val="000000"/>
          <w:sz w:val="24"/>
          <w:szCs w:val="24"/>
          <w:highlight w:val="yellow"/>
        </w:rPr>
      </w:pPr>
    </w:p>
    <w:p w14:paraId="0A02DA62" w14:textId="214D7A92" w:rsidR="005A4D1C" w:rsidRPr="005A4D1C" w:rsidRDefault="005A4D1C" w:rsidP="005A4D1C">
      <w:pPr>
        <w:rPr>
          <w:color w:val="000000"/>
          <w:sz w:val="24"/>
          <w:szCs w:val="24"/>
        </w:rPr>
      </w:pPr>
      <w:r w:rsidRPr="005A4D1C">
        <w:rPr>
          <w:color w:val="000000"/>
          <w:sz w:val="24"/>
          <w:szCs w:val="24"/>
        </w:rPr>
        <w:t xml:space="preserve">Clause 6(3) of Schedule 3 to the Act provides that the Minister may, by written instrument, determine that a specified facility is a ‘low-impact facility’. The current low-impact facilities are set out in the </w:t>
      </w:r>
      <w:proofErr w:type="spellStart"/>
      <w:r w:rsidRPr="005A4D1C">
        <w:rPr>
          <w:color w:val="000000"/>
          <w:sz w:val="24"/>
          <w:szCs w:val="24"/>
        </w:rPr>
        <w:t>LIFD</w:t>
      </w:r>
      <w:proofErr w:type="spellEnd"/>
      <w:r w:rsidRPr="005A4D1C">
        <w:rPr>
          <w:color w:val="000000"/>
          <w:sz w:val="24"/>
          <w:szCs w:val="24"/>
        </w:rPr>
        <w:t xml:space="preserve">. However, under clause 6(4) of Schedule 3, an overhead line may not be added to the </w:t>
      </w:r>
      <w:proofErr w:type="spellStart"/>
      <w:r w:rsidRPr="005A4D1C">
        <w:rPr>
          <w:color w:val="000000"/>
          <w:sz w:val="24"/>
          <w:szCs w:val="24"/>
        </w:rPr>
        <w:t>LIFD</w:t>
      </w:r>
      <w:proofErr w:type="spellEnd"/>
      <w:r w:rsidRPr="005A4D1C">
        <w:rPr>
          <w:color w:val="000000"/>
          <w:sz w:val="24"/>
          <w:szCs w:val="24"/>
        </w:rPr>
        <w:t xml:space="preserve"> if the maximum external cross-</w:t>
      </w:r>
      <w:r w:rsidRPr="005A4D1C">
        <w:rPr>
          <w:color w:val="000000"/>
          <w:sz w:val="24"/>
          <w:szCs w:val="24"/>
        </w:rPr>
        <w:lastRenderedPageBreak/>
        <w:t xml:space="preserve">section of any part exceeds 13 mm, or another distance specified in the Regulations. The Regulations currently specify </w:t>
      </w:r>
      <w:r w:rsidR="00D532C5">
        <w:rPr>
          <w:color w:val="000000"/>
          <w:sz w:val="24"/>
          <w:szCs w:val="24"/>
        </w:rPr>
        <w:t xml:space="preserve">the distance of </w:t>
      </w:r>
      <w:r w:rsidRPr="005A4D1C">
        <w:rPr>
          <w:color w:val="000000"/>
          <w:sz w:val="24"/>
          <w:szCs w:val="24"/>
        </w:rPr>
        <w:t>30 mm.</w:t>
      </w:r>
    </w:p>
    <w:p w14:paraId="2A808D10" w14:textId="77777777" w:rsidR="005A4D1C" w:rsidRPr="005A4D1C" w:rsidRDefault="005A4D1C" w:rsidP="005A4D1C">
      <w:pPr>
        <w:rPr>
          <w:color w:val="000000"/>
          <w:sz w:val="24"/>
          <w:szCs w:val="24"/>
          <w:highlight w:val="yellow"/>
        </w:rPr>
      </w:pPr>
    </w:p>
    <w:p w14:paraId="20B05FC7" w14:textId="0E37E4DC" w:rsidR="005A4D1C" w:rsidRPr="005A4D1C" w:rsidRDefault="005A4D1C" w:rsidP="005A4D1C">
      <w:pPr>
        <w:rPr>
          <w:color w:val="000000"/>
          <w:sz w:val="24"/>
          <w:szCs w:val="24"/>
        </w:rPr>
      </w:pPr>
      <w:r w:rsidRPr="005A4D1C">
        <w:rPr>
          <w:sz w:val="24"/>
          <w:szCs w:val="24"/>
        </w:rPr>
        <w:t xml:space="preserve">The </w:t>
      </w:r>
      <w:r w:rsidR="00C246A5">
        <w:rPr>
          <w:sz w:val="24"/>
          <w:szCs w:val="24"/>
        </w:rPr>
        <w:t>Amending Regulation</w:t>
      </w:r>
      <w:r w:rsidRPr="005A4D1C">
        <w:rPr>
          <w:sz w:val="24"/>
          <w:szCs w:val="24"/>
        </w:rPr>
        <w:t xml:space="preserve"> </w:t>
      </w:r>
      <w:r w:rsidRPr="005A4D1C">
        <w:rPr>
          <w:color w:val="000000"/>
          <w:sz w:val="24"/>
          <w:szCs w:val="24"/>
        </w:rPr>
        <w:t>enable</w:t>
      </w:r>
      <w:r w:rsidR="00C246A5">
        <w:rPr>
          <w:color w:val="000000"/>
          <w:sz w:val="24"/>
          <w:szCs w:val="24"/>
        </w:rPr>
        <w:t>s</w:t>
      </w:r>
      <w:r w:rsidRPr="005A4D1C">
        <w:rPr>
          <w:color w:val="000000"/>
          <w:sz w:val="24"/>
          <w:szCs w:val="24"/>
        </w:rPr>
        <w:t xml:space="preserve"> overhead lines and bundles of overhead lines with an external cross-section not exceeding 48 mm to be specified by the Minister as ‘low-impact facilities’. This is achieved by amending existing Regulation 11.2 to specify 48 mm as the maximum external cross-section distance of any part of an overhead line or bundle of overhead lines.</w:t>
      </w:r>
    </w:p>
    <w:p w14:paraId="29571B47" w14:textId="77777777" w:rsidR="005A4D1C" w:rsidRPr="005A4D1C" w:rsidRDefault="005A4D1C" w:rsidP="005A4D1C">
      <w:pPr>
        <w:rPr>
          <w:sz w:val="24"/>
          <w:szCs w:val="24"/>
          <w:highlight w:val="yellow"/>
        </w:rPr>
      </w:pPr>
    </w:p>
    <w:p w14:paraId="48BAB188" w14:textId="374E1158" w:rsidR="005A4D1C" w:rsidRPr="005A4D1C" w:rsidRDefault="005A4D1C" w:rsidP="005A4D1C">
      <w:pPr>
        <w:rPr>
          <w:color w:val="000000"/>
          <w:sz w:val="24"/>
          <w:szCs w:val="24"/>
        </w:rPr>
      </w:pPr>
      <w:r w:rsidRPr="005A4D1C">
        <w:rPr>
          <w:color w:val="000000"/>
          <w:sz w:val="24"/>
          <w:szCs w:val="24"/>
        </w:rPr>
        <w:t xml:space="preserve">Following a Strategic Review in late 2013, </w:t>
      </w:r>
      <w:proofErr w:type="spellStart"/>
      <w:r w:rsidRPr="005A4D1C">
        <w:rPr>
          <w:color w:val="000000"/>
          <w:sz w:val="24"/>
          <w:szCs w:val="24"/>
        </w:rPr>
        <w:t>NBN</w:t>
      </w:r>
      <w:proofErr w:type="spellEnd"/>
      <w:r w:rsidRPr="005A4D1C">
        <w:rPr>
          <w:color w:val="000000"/>
          <w:sz w:val="24"/>
          <w:szCs w:val="24"/>
        </w:rPr>
        <w:t xml:space="preserve"> Co, the company established to build and operation the National Broadband Network (</w:t>
      </w:r>
      <w:proofErr w:type="spellStart"/>
      <w:r w:rsidRPr="005A4D1C">
        <w:rPr>
          <w:color w:val="000000"/>
          <w:sz w:val="24"/>
          <w:szCs w:val="24"/>
        </w:rPr>
        <w:t>NBN</w:t>
      </w:r>
      <w:proofErr w:type="spellEnd"/>
      <w:r w:rsidRPr="005A4D1C">
        <w:rPr>
          <w:color w:val="000000"/>
          <w:sz w:val="24"/>
          <w:szCs w:val="24"/>
        </w:rPr>
        <w:t xml:space="preserve">) advised the Australian Government that the </w:t>
      </w:r>
      <w:proofErr w:type="spellStart"/>
      <w:r w:rsidRPr="005A4D1C">
        <w:rPr>
          <w:color w:val="000000"/>
          <w:sz w:val="24"/>
          <w:szCs w:val="24"/>
        </w:rPr>
        <w:t>NBN</w:t>
      </w:r>
      <w:proofErr w:type="spellEnd"/>
      <w:r w:rsidRPr="005A4D1C">
        <w:rPr>
          <w:color w:val="000000"/>
          <w:sz w:val="24"/>
          <w:szCs w:val="24"/>
        </w:rPr>
        <w:t xml:space="preserve"> could be rolled out faster and at lower cost to taxpayers using a multi-technology mix (</w:t>
      </w:r>
      <w:proofErr w:type="spellStart"/>
      <w:r w:rsidRPr="005A4D1C">
        <w:rPr>
          <w:color w:val="000000"/>
          <w:sz w:val="24"/>
          <w:szCs w:val="24"/>
        </w:rPr>
        <w:t>MTM</w:t>
      </w:r>
      <w:proofErr w:type="spellEnd"/>
      <w:r w:rsidRPr="005A4D1C">
        <w:rPr>
          <w:color w:val="000000"/>
          <w:sz w:val="24"/>
          <w:szCs w:val="24"/>
        </w:rPr>
        <w:t xml:space="preserve">). The Australian Government agreed with this advice. The </w:t>
      </w:r>
      <w:proofErr w:type="spellStart"/>
      <w:r w:rsidRPr="005A4D1C">
        <w:rPr>
          <w:color w:val="000000"/>
          <w:sz w:val="24"/>
          <w:szCs w:val="24"/>
        </w:rPr>
        <w:t>MTM</w:t>
      </w:r>
      <w:proofErr w:type="spellEnd"/>
      <w:r w:rsidRPr="005A4D1C">
        <w:rPr>
          <w:color w:val="000000"/>
          <w:sz w:val="24"/>
          <w:szCs w:val="24"/>
        </w:rPr>
        <w:t xml:space="preserve"> employs the most cost-effective technology for each particular locality and makes use of pre-existing infrastructure such existing copper and hybrid-fibre coaxial (</w:t>
      </w:r>
      <w:proofErr w:type="spellStart"/>
      <w:r w:rsidRPr="005A4D1C">
        <w:rPr>
          <w:color w:val="000000"/>
          <w:sz w:val="24"/>
          <w:szCs w:val="24"/>
        </w:rPr>
        <w:t>HFC</w:t>
      </w:r>
      <w:proofErr w:type="spellEnd"/>
      <w:r w:rsidRPr="005A4D1C">
        <w:rPr>
          <w:color w:val="000000"/>
          <w:sz w:val="24"/>
          <w:szCs w:val="24"/>
        </w:rPr>
        <w:t xml:space="preserve">) cabling, some of which is deployed aerially. </w:t>
      </w:r>
    </w:p>
    <w:p w14:paraId="3D3986AC" w14:textId="77777777" w:rsidR="005A4D1C" w:rsidRPr="005A4D1C" w:rsidRDefault="005A4D1C" w:rsidP="005A4D1C">
      <w:pPr>
        <w:rPr>
          <w:color w:val="000000"/>
          <w:sz w:val="24"/>
          <w:szCs w:val="24"/>
        </w:rPr>
      </w:pPr>
    </w:p>
    <w:p w14:paraId="62F04D46" w14:textId="1463F875" w:rsidR="005A4D1C" w:rsidRPr="005A4D1C" w:rsidRDefault="005A4D1C" w:rsidP="005A4D1C">
      <w:pPr>
        <w:rPr>
          <w:sz w:val="24"/>
          <w:szCs w:val="24"/>
        </w:rPr>
      </w:pPr>
      <w:proofErr w:type="spellStart"/>
      <w:r w:rsidRPr="005A4D1C">
        <w:rPr>
          <w:sz w:val="24"/>
          <w:szCs w:val="24"/>
        </w:rPr>
        <w:t>NBN</w:t>
      </w:r>
      <w:proofErr w:type="spellEnd"/>
      <w:r w:rsidRPr="005A4D1C">
        <w:rPr>
          <w:sz w:val="24"/>
          <w:szCs w:val="24"/>
        </w:rPr>
        <w:t xml:space="preserve"> Co is expected to use</w:t>
      </w:r>
      <w:r w:rsidR="00D71CBD">
        <w:rPr>
          <w:sz w:val="24"/>
          <w:szCs w:val="24"/>
        </w:rPr>
        <w:t xml:space="preserve"> </w:t>
      </w:r>
      <w:r w:rsidRPr="005A4D1C">
        <w:rPr>
          <w:sz w:val="24"/>
          <w:szCs w:val="24"/>
        </w:rPr>
        <w:t xml:space="preserve">the smallest cable and cable bundles feasible for aerial cabling in an area. However, in some instances, </w:t>
      </w:r>
      <w:proofErr w:type="spellStart"/>
      <w:r w:rsidRPr="005A4D1C">
        <w:rPr>
          <w:sz w:val="24"/>
          <w:szCs w:val="24"/>
        </w:rPr>
        <w:t>NBN</w:t>
      </w:r>
      <w:proofErr w:type="spellEnd"/>
      <w:r w:rsidRPr="005A4D1C">
        <w:rPr>
          <w:sz w:val="24"/>
          <w:szCs w:val="24"/>
        </w:rPr>
        <w:t xml:space="preserve"> Co will need to deploy thicker copper cabling than is currently covered by the </w:t>
      </w:r>
      <w:proofErr w:type="spellStart"/>
      <w:r w:rsidRPr="005A4D1C">
        <w:rPr>
          <w:sz w:val="24"/>
          <w:szCs w:val="24"/>
        </w:rPr>
        <w:t>LIFD</w:t>
      </w:r>
      <w:proofErr w:type="spellEnd"/>
      <w:r w:rsidRPr="005A4D1C">
        <w:rPr>
          <w:sz w:val="24"/>
          <w:szCs w:val="24"/>
        </w:rPr>
        <w:t xml:space="preserve"> and will need to add additional cabling to existing </w:t>
      </w:r>
      <w:proofErr w:type="spellStart"/>
      <w:r w:rsidRPr="005A4D1C">
        <w:rPr>
          <w:sz w:val="24"/>
          <w:szCs w:val="24"/>
        </w:rPr>
        <w:t>HFC</w:t>
      </w:r>
      <w:proofErr w:type="spellEnd"/>
      <w:r w:rsidRPr="005A4D1C">
        <w:rPr>
          <w:sz w:val="24"/>
          <w:szCs w:val="24"/>
        </w:rPr>
        <w:t xml:space="preserve"> cable bundles, meaning they may have a diameter of up to 48 mm. For example, some new cabling will piggy-back on existing </w:t>
      </w:r>
      <w:proofErr w:type="spellStart"/>
      <w:r w:rsidRPr="005A4D1C">
        <w:rPr>
          <w:sz w:val="24"/>
          <w:szCs w:val="24"/>
        </w:rPr>
        <w:t>HFC</w:t>
      </w:r>
      <w:proofErr w:type="spellEnd"/>
      <w:r w:rsidRPr="005A4D1C">
        <w:rPr>
          <w:sz w:val="24"/>
          <w:szCs w:val="24"/>
        </w:rPr>
        <w:t xml:space="preserve"> cables and cable bundles in order to transit through existing coverage areas to reach areas that were missed during previous </w:t>
      </w:r>
      <w:proofErr w:type="spellStart"/>
      <w:r w:rsidRPr="005A4D1C">
        <w:rPr>
          <w:sz w:val="24"/>
          <w:szCs w:val="24"/>
        </w:rPr>
        <w:t>HFC</w:t>
      </w:r>
      <w:proofErr w:type="spellEnd"/>
      <w:r w:rsidRPr="005A4D1C">
        <w:rPr>
          <w:sz w:val="24"/>
          <w:szCs w:val="24"/>
        </w:rPr>
        <w:t xml:space="preserve"> network rollouts. </w:t>
      </w:r>
    </w:p>
    <w:p w14:paraId="37D159A3" w14:textId="77777777" w:rsidR="005A4D1C" w:rsidRPr="005A4D1C" w:rsidRDefault="005A4D1C" w:rsidP="005A4D1C">
      <w:pPr>
        <w:rPr>
          <w:sz w:val="24"/>
          <w:szCs w:val="24"/>
        </w:rPr>
      </w:pPr>
    </w:p>
    <w:p w14:paraId="75688892" w14:textId="22005420" w:rsidR="005A4D1C" w:rsidRPr="005A4D1C" w:rsidRDefault="005A4D1C" w:rsidP="005A4D1C">
      <w:pPr>
        <w:rPr>
          <w:sz w:val="24"/>
          <w:szCs w:val="24"/>
        </w:rPr>
      </w:pPr>
      <w:proofErr w:type="spellStart"/>
      <w:r w:rsidRPr="005A4D1C">
        <w:rPr>
          <w:sz w:val="24"/>
          <w:szCs w:val="24"/>
        </w:rPr>
        <w:t>NBN</w:t>
      </w:r>
      <w:proofErr w:type="spellEnd"/>
      <w:r w:rsidRPr="005A4D1C">
        <w:rPr>
          <w:sz w:val="24"/>
          <w:szCs w:val="24"/>
        </w:rPr>
        <w:t xml:space="preserve"> Co and other carriers operating national networks for the high-speed carriage of communications, on a wholesale-only and non-discriminatory basis, would be able to benefit from the change to the Regulation once the </w:t>
      </w:r>
      <w:r w:rsidR="00BC32BC">
        <w:rPr>
          <w:sz w:val="24"/>
          <w:szCs w:val="24"/>
        </w:rPr>
        <w:t xml:space="preserve">specification of aerial cabling in the </w:t>
      </w:r>
      <w:proofErr w:type="spellStart"/>
      <w:r w:rsidRPr="005A4D1C">
        <w:rPr>
          <w:sz w:val="24"/>
          <w:szCs w:val="24"/>
        </w:rPr>
        <w:t>LIFD</w:t>
      </w:r>
      <w:proofErr w:type="spellEnd"/>
      <w:r w:rsidR="00BC32BC">
        <w:rPr>
          <w:sz w:val="24"/>
          <w:szCs w:val="24"/>
        </w:rPr>
        <w:t xml:space="preserve"> is amended</w:t>
      </w:r>
      <w:r w:rsidRPr="005A4D1C">
        <w:rPr>
          <w:sz w:val="24"/>
          <w:szCs w:val="24"/>
        </w:rPr>
        <w:t>.</w:t>
      </w:r>
    </w:p>
    <w:p w14:paraId="464C3862" w14:textId="77777777" w:rsidR="005A4D1C" w:rsidRPr="005A4D1C" w:rsidRDefault="005A4D1C" w:rsidP="005A4D1C">
      <w:pPr>
        <w:rPr>
          <w:color w:val="000000"/>
          <w:sz w:val="24"/>
          <w:szCs w:val="24"/>
        </w:rPr>
      </w:pPr>
    </w:p>
    <w:p w14:paraId="494BC2A9" w14:textId="264C9E08" w:rsidR="000E21DD" w:rsidRPr="002301ED" w:rsidRDefault="005A4D1C" w:rsidP="000E21DD">
      <w:pPr>
        <w:pStyle w:val="BodyText2"/>
        <w:rPr>
          <w:szCs w:val="24"/>
        </w:rPr>
      </w:pPr>
      <w:r w:rsidRPr="005A4D1C">
        <w:rPr>
          <w:color w:val="000000"/>
          <w:szCs w:val="24"/>
        </w:rPr>
        <w:t>All facilities cover</w:t>
      </w:r>
      <w:r w:rsidR="002301ED">
        <w:rPr>
          <w:color w:val="000000"/>
          <w:szCs w:val="24"/>
        </w:rPr>
        <w:t>ed</w:t>
      </w:r>
      <w:r w:rsidRPr="005A4D1C">
        <w:rPr>
          <w:color w:val="000000"/>
          <w:szCs w:val="24"/>
        </w:rPr>
        <w:t xml:space="preserve"> by the </w:t>
      </w:r>
      <w:proofErr w:type="spellStart"/>
      <w:r w:rsidRPr="005A4D1C">
        <w:rPr>
          <w:color w:val="000000"/>
          <w:szCs w:val="24"/>
        </w:rPr>
        <w:t>LIFD</w:t>
      </w:r>
      <w:proofErr w:type="spellEnd"/>
      <w:r w:rsidRPr="005A4D1C">
        <w:rPr>
          <w:color w:val="000000"/>
          <w:szCs w:val="24"/>
        </w:rPr>
        <w:t xml:space="preserve"> are subject to requirements set out in the Act, </w:t>
      </w:r>
      <w:r w:rsidR="00BC32BC">
        <w:rPr>
          <w:color w:val="000000"/>
          <w:szCs w:val="24"/>
        </w:rPr>
        <w:t xml:space="preserve">any specifications in </w:t>
      </w:r>
      <w:r w:rsidRPr="005A4D1C">
        <w:rPr>
          <w:color w:val="000000"/>
          <w:szCs w:val="24"/>
        </w:rPr>
        <w:t xml:space="preserve">the </w:t>
      </w:r>
      <w:proofErr w:type="spellStart"/>
      <w:r w:rsidRPr="005A4D1C">
        <w:rPr>
          <w:color w:val="000000"/>
          <w:szCs w:val="24"/>
        </w:rPr>
        <w:t>LIFD</w:t>
      </w:r>
      <w:proofErr w:type="spellEnd"/>
      <w:r w:rsidRPr="005A4D1C">
        <w:rPr>
          <w:color w:val="000000"/>
          <w:szCs w:val="24"/>
        </w:rPr>
        <w:t xml:space="preserve"> itself, and </w:t>
      </w:r>
      <w:r w:rsidRPr="005A4D1C">
        <w:rPr>
          <w:szCs w:val="24"/>
        </w:rPr>
        <w:t xml:space="preserve">the </w:t>
      </w:r>
      <w:r w:rsidRPr="005A4D1C">
        <w:rPr>
          <w:i/>
          <w:szCs w:val="24"/>
        </w:rPr>
        <w:t xml:space="preserve">Telecommunications Code of Practice 1997. </w:t>
      </w:r>
      <w:r w:rsidRPr="005A4D1C">
        <w:rPr>
          <w:szCs w:val="24"/>
        </w:rPr>
        <w:t xml:space="preserve">These requirements include notification and objection processes for landowners and occupiers where a facility is proposed to be installed, doing as little damage as is practicable and restoring work sites. </w:t>
      </w:r>
      <w:r w:rsidR="000E21DD" w:rsidRPr="002301ED">
        <w:rPr>
          <w:szCs w:val="24"/>
        </w:rPr>
        <w:t>The Act specifies no conditions that need to be satisfied before the power to make the Amending Regulation may be exercised.</w:t>
      </w:r>
    </w:p>
    <w:p w14:paraId="494BC2AA" w14:textId="77777777" w:rsidR="000E21DD" w:rsidRPr="002301ED" w:rsidRDefault="000E21DD" w:rsidP="000E21DD">
      <w:pPr>
        <w:pStyle w:val="BodyText2"/>
        <w:rPr>
          <w:szCs w:val="24"/>
        </w:rPr>
      </w:pPr>
    </w:p>
    <w:p w14:paraId="494BC2B4" w14:textId="28C3177C" w:rsidR="00AE42C2" w:rsidRPr="003E06E2" w:rsidRDefault="00AE42C2" w:rsidP="00AE42C2">
      <w:pPr>
        <w:pStyle w:val="BodyText2"/>
        <w:rPr>
          <w:szCs w:val="24"/>
        </w:rPr>
      </w:pPr>
      <w:r w:rsidRPr="003E06E2">
        <w:rPr>
          <w:b/>
          <w:szCs w:val="24"/>
        </w:rPr>
        <w:t>Consultation</w:t>
      </w:r>
    </w:p>
    <w:p w14:paraId="41AAC527" w14:textId="5F68C17E" w:rsidR="00AF5271" w:rsidRPr="003E06E2" w:rsidRDefault="003D1B67" w:rsidP="00A11AC1">
      <w:pPr>
        <w:spacing w:before="100" w:beforeAutospacing="1" w:after="100" w:afterAutospacing="1"/>
        <w:rPr>
          <w:sz w:val="24"/>
          <w:szCs w:val="24"/>
        </w:rPr>
      </w:pPr>
      <w:r w:rsidRPr="003E06E2">
        <w:rPr>
          <w:sz w:val="24"/>
          <w:szCs w:val="24"/>
        </w:rPr>
        <w:t>O</w:t>
      </w:r>
      <w:r w:rsidR="00555F31" w:rsidRPr="003E06E2">
        <w:rPr>
          <w:sz w:val="24"/>
          <w:szCs w:val="24"/>
        </w:rPr>
        <w:t xml:space="preserve">n </w:t>
      </w:r>
      <w:r w:rsidR="005166D5" w:rsidRPr="003E06E2">
        <w:rPr>
          <w:sz w:val="24"/>
          <w:szCs w:val="24"/>
        </w:rPr>
        <w:t>Friday, 12 June 2015,</w:t>
      </w:r>
      <w:r w:rsidR="005B095D" w:rsidRPr="003E06E2">
        <w:rPr>
          <w:sz w:val="24"/>
          <w:szCs w:val="24"/>
        </w:rPr>
        <w:t xml:space="preserve"> </w:t>
      </w:r>
      <w:r w:rsidR="00555F31" w:rsidRPr="003E06E2">
        <w:rPr>
          <w:sz w:val="24"/>
          <w:szCs w:val="24"/>
        </w:rPr>
        <w:t xml:space="preserve">the Minister </w:t>
      </w:r>
      <w:r w:rsidR="006D59B8" w:rsidRPr="003E06E2">
        <w:rPr>
          <w:sz w:val="24"/>
          <w:szCs w:val="24"/>
        </w:rPr>
        <w:t xml:space="preserve">published a copy of the draft </w:t>
      </w:r>
      <w:r w:rsidR="005B095D" w:rsidRPr="003E06E2">
        <w:rPr>
          <w:sz w:val="24"/>
          <w:szCs w:val="24"/>
        </w:rPr>
        <w:t xml:space="preserve">Amending </w:t>
      </w:r>
      <w:r w:rsidR="006D59B8" w:rsidRPr="003E06E2">
        <w:rPr>
          <w:sz w:val="24"/>
          <w:szCs w:val="24"/>
        </w:rPr>
        <w:t xml:space="preserve">Regulation </w:t>
      </w:r>
      <w:r w:rsidR="004C03FB" w:rsidRPr="003E06E2">
        <w:rPr>
          <w:sz w:val="24"/>
          <w:szCs w:val="24"/>
        </w:rPr>
        <w:t xml:space="preserve">and related </w:t>
      </w:r>
      <w:r w:rsidR="00BC32BC">
        <w:rPr>
          <w:sz w:val="24"/>
          <w:szCs w:val="24"/>
        </w:rPr>
        <w:t xml:space="preserve">proposed </w:t>
      </w:r>
      <w:r w:rsidR="004C03FB" w:rsidRPr="003E06E2">
        <w:rPr>
          <w:sz w:val="24"/>
          <w:szCs w:val="24"/>
        </w:rPr>
        <w:t xml:space="preserve">amendments to the </w:t>
      </w:r>
      <w:proofErr w:type="spellStart"/>
      <w:r w:rsidR="004C03FB" w:rsidRPr="003E06E2">
        <w:rPr>
          <w:sz w:val="24"/>
          <w:szCs w:val="24"/>
        </w:rPr>
        <w:t>LIFD</w:t>
      </w:r>
      <w:proofErr w:type="spellEnd"/>
      <w:r w:rsidR="004C03FB" w:rsidRPr="003E06E2">
        <w:rPr>
          <w:sz w:val="24"/>
          <w:szCs w:val="24"/>
        </w:rPr>
        <w:t xml:space="preserve"> for public comment.</w:t>
      </w:r>
      <w:r w:rsidR="006D59B8" w:rsidRPr="003E06E2">
        <w:rPr>
          <w:sz w:val="24"/>
          <w:szCs w:val="24"/>
        </w:rPr>
        <w:t xml:space="preserve"> </w:t>
      </w:r>
      <w:r w:rsidR="000935FC" w:rsidRPr="003E06E2">
        <w:rPr>
          <w:sz w:val="24"/>
          <w:szCs w:val="24"/>
        </w:rPr>
        <w:t xml:space="preserve">The public consultation closed on Friday, 10 July 2015. </w:t>
      </w:r>
      <w:r w:rsidR="006D59B8" w:rsidRPr="003E06E2">
        <w:rPr>
          <w:sz w:val="24"/>
          <w:szCs w:val="24"/>
        </w:rPr>
        <w:t>F</w:t>
      </w:r>
      <w:r w:rsidR="000935FC" w:rsidRPr="003E06E2">
        <w:rPr>
          <w:sz w:val="24"/>
          <w:szCs w:val="24"/>
        </w:rPr>
        <w:t>ifteen submissions</w:t>
      </w:r>
      <w:r w:rsidR="006D59B8" w:rsidRPr="003E06E2">
        <w:rPr>
          <w:sz w:val="24"/>
          <w:szCs w:val="24"/>
        </w:rPr>
        <w:t xml:space="preserve"> were received</w:t>
      </w:r>
      <w:r w:rsidR="000935FC" w:rsidRPr="003E06E2">
        <w:rPr>
          <w:sz w:val="24"/>
          <w:szCs w:val="24"/>
        </w:rPr>
        <w:t xml:space="preserve">. </w:t>
      </w:r>
      <w:r w:rsidR="00FD0AF7" w:rsidRPr="003E06E2">
        <w:rPr>
          <w:sz w:val="24"/>
          <w:szCs w:val="24"/>
        </w:rPr>
        <w:t xml:space="preserve">The submissions were from electricity companies, state government agencies, local governments, community members and groups, the </w:t>
      </w:r>
      <w:proofErr w:type="spellStart"/>
      <w:r w:rsidR="00FD0AF7" w:rsidRPr="003E06E2">
        <w:rPr>
          <w:sz w:val="24"/>
          <w:szCs w:val="24"/>
        </w:rPr>
        <w:t>ACCC</w:t>
      </w:r>
      <w:proofErr w:type="spellEnd"/>
      <w:r w:rsidR="00FD0AF7" w:rsidRPr="003E06E2">
        <w:rPr>
          <w:sz w:val="24"/>
          <w:szCs w:val="24"/>
        </w:rPr>
        <w:t xml:space="preserve"> and Telstra. The submissions were mostly concerned about the greater use of overhead cabling, its visual impact, the use of electrically conductive overhead cabling, and the introduction of thicker overhead cabling. </w:t>
      </w:r>
    </w:p>
    <w:p w14:paraId="3AA6B1E5" w14:textId="4E513BDE" w:rsidR="0075207B" w:rsidRPr="003E06E2" w:rsidRDefault="00FD0AF7" w:rsidP="00A11AC1">
      <w:pPr>
        <w:spacing w:before="100" w:beforeAutospacing="1" w:after="100" w:afterAutospacing="1"/>
        <w:rPr>
          <w:sz w:val="24"/>
          <w:szCs w:val="24"/>
        </w:rPr>
      </w:pPr>
      <w:r w:rsidRPr="003E06E2">
        <w:rPr>
          <w:sz w:val="24"/>
          <w:szCs w:val="24"/>
        </w:rPr>
        <w:t xml:space="preserve">The engineering and safety concerns raised by electricity companies are similar to those previously raised during consultation on the temporary amendments to the </w:t>
      </w:r>
      <w:proofErr w:type="spellStart"/>
      <w:r w:rsidRPr="003E06E2">
        <w:rPr>
          <w:sz w:val="24"/>
          <w:szCs w:val="24"/>
        </w:rPr>
        <w:t>LIFD</w:t>
      </w:r>
      <w:proofErr w:type="spellEnd"/>
      <w:r w:rsidRPr="003E06E2">
        <w:rPr>
          <w:sz w:val="24"/>
          <w:szCs w:val="24"/>
        </w:rPr>
        <w:t xml:space="preserve"> </w:t>
      </w:r>
      <w:r w:rsidRPr="003E06E2">
        <w:rPr>
          <w:sz w:val="24"/>
          <w:szCs w:val="24"/>
        </w:rPr>
        <w:lastRenderedPageBreak/>
        <w:t xml:space="preserve">in March 2015. </w:t>
      </w:r>
      <w:r w:rsidR="006D59B8" w:rsidRPr="003E06E2">
        <w:rPr>
          <w:sz w:val="24"/>
          <w:szCs w:val="24"/>
        </w:rPr>
        <w:t>As t</w:t>
      </w:r>
      <w:r w:rsidRPr="003E06E2">
        <w:rPr>
          <w:sz w:val="24"/>
          <w:szCs w:val="24"/>
        </w:rPr>
        <w:t>he Act requires carriers to follow good engineering and health and safety practices</w:t>
      </w:r>
      <w:r w:rsidR="006D59B8" w:rsidRPr="003E06E2">
        <w:rPr>
          <w:sz w:val="24"/>
          <w:szCs w:val="24"/>
        </w:rPr>
        <w:t xml:space="preserve">, </w:t>
      </w:r>
      <w:r w:rsidR="00153481" w:rsidRPr="003E06E2">
        <w:rPr>
          <w:sz w:val="24"/>
          <w:szCs w:val="24"/>
        </w:rPr>
        <w:t>these</w:t>
      </w:r>
      <w:r w:rsidRPr="003E06E2">
        <w:rPr>
          <w:sz w:val="24"/>
          <w:szCs w:val="24"/>
        </w:rPr>
        <w:t xml:space="preserve"> </w:t>
      </w:r>
      <w:r w:rsidR="006D59B8" w:rsidRPr="003E06E2">
        <w:rPr>
          <w:sz w:val="24"/>
          <w:szCs w:val="24"/>
        </w:rPr>
        <w:t xml:space="preserve">does not </w:t>
      </w:r>
      <w:r w:rsidRPr="003E06E2">
        <w:rPr>
          <w:sz w:val="24"/>
          <w:szCs w:val="24"/>
        </w:rPr>
        <w:t xml:space="preserve">warrant </w:t>
      </w:r>
      <w:r w:rsidR="006D59B8" w:rsidRPr="003E06E2">
        <w:rPr>
          <w:sz w:val="24"/>
          <w:szCs w:val="24"/>
        </w:rPr>
        <w:t>an</w:t>
      </w:r>
      <w:r w:rsidR="00A71209" w:rsidRPr="003E06E2">
        <w:rPr>
          <w:sz w:val="24"/>
          <w:szCs w:val="24"/>
        </w:rPr>
        <w:t>y</w:t>
      </w:r>
      <w:r w:rsidR="006D59B8" w:rsidRPr="003E06E2">
        <w:rPr>
          <w:sz w:val="24"/>
          <w:szCs w:val="24"/>
        </w:rPr>
        <w:t xml:space="preserve"> </w:t>
      </w:r>
      <w:r w:rsidRPr="003E06E2">
        <w:rPr>
          <w:sz w:val="24"/>
          <w:szCs w:val="24"/>
        </w:rPr>
        <w:t>revisions</w:t>
      </w:r>
      <w:r w:rsidR="006D59B8" w:rsidRPr="003E06E2">
        <w:rPr>
          <w:sz w:val="24"/>
          <w:szCs w:val="24"/>
        </w:rPr>
        <w:t xml:space="preserve"> to the draft Amending Regulation</w:t>
      </w:r>
      <w:r w:rsidRPr="003E06E2">
        <w:rPr>
          <w:sz w:val="24"/>
          <w:szCs w:val="24"/>
        </w:rPr>
        <w:t>.</w:t>
      </w:r>
      <w:r w:rsidR="00153481" w:rsidRPr="003E06E2">
        <w:rPr>
          <w:sz w:val="24"/>
          <w:szCs w:val="24"/>
        </w:rPr>
        <w:t xml:space="preserve"> The Department of Communications will work with electricity companies and carriers to address these concerns.</w:t>
      </w:r>
    </w:p>
    <w:p w14:paraId="494BC2BD" w14:textId="70878F87" w:rsidR="00AE42C2" w:rsidRPr="000D0928" w:rsidRDefault="0075207B" w:rsidP="004D4709">
      <w:pPr>
        <w:spacing w:before="100" w:beforeAutospacing="1" w:after="100" w:afterAutospacing="1"/>
        <w:rPr>
          <w:sz w:val="24"/>
          <w:szCs w:val="24"/>
        </w:rPr>
      </w:pPr>
      <w:r w:rsidRPr="003E06E2">
        <w:rPr>
          <w:sz w:val="24"/>
          <w:szCs w:val="24"/>
        </w:rPr>
        <w:t xml:space="preserve">The concerns </w:t>
      </w:r>
      <w:r w:rsidR="004D4709" w:rsidRPr="003E06E2">
        <w:rPr>
          <w:sz w:val="24"/>
          <w:szCs w:val="24"/>
        </w:rPr>
        <w:t xml:space="preserve">raised </w:t>
      </w:r>
      <w:r w:rsidRPr="003E06E2">
        <w:rPr>
          <w:sz w:val="24"/>
          <w:szCs w:val="24"/>
        </w:rPr>
        <w:t>about the visual impact of thick</w:t>
      </w:r>
      <w:r w:rsidR="004D4709" w:rsidRPr="003E06E2">
        <w:rPr>
          <w:sz w:val="24"/>
          <w:szCs w:val="24"/>
        </w:rPr>
        <w:t xml:space="preserve">er </w:t>
      </w:r>
      <w:r w:rsidR="00AD2156" w:rsidRPr="003E06E2">
        <w:rPr>
          <w:sz w:val="24"/>
          <w:szCs w:val="24"/>
        </w:rPr>
        <w:t xml:space="preserve">aerial </w:t>
      </w:r>
      <w:r w:rsidR="004D4709" w:rsidRPr="003E06E2">
        <w:rPr>
          <w:sz w:val="24"/>
          <w:szCs w:val="24"/>
        </w:rPr>
        <w:t>cabling are expected to be mitigated by the Government’</w:t>
      </w:r>
      <w:r w:rsidR="00AD2156" w:rsidRPr="003E06E2">
        <w:rPr>
          <w:sz w:val="24"/>
          <w:szCs w:val="24"/>
        </w:rPr>
        <w:t xml:space="preserve">s expectation that </w:t>
      </w:r>
      <w:proofErr w:type="spellStart"/>
      <w:r w:rsidR="00AD2156" w:rsidRPr="003E06E2">
        <w:rPr>
          <w:sz w:val="24"/>
          <w:szCs w:val="24"/>
        </w:rPr>
        <w:t>NBN</w:t>
      </w:r>
      <w:proofErr w:type="spellEnd"/>
      <w:r w:rsidR="00AD2156" w:rsidRPr="003E06E2">
        <w:rPr>
          <w:sz w:val="24"/>
          <w:szCs w:val="24"/>
        </w:rPr>
        <w:t xml:space="preserve"> Co and comparable</w:t>
      </w:r>
      <w:r w:rsidR="004D4709" w:rsidRPr="003E06E2">
        <w:rPr>
          <w:sz w:val="24"/>
          <w:szCs w:val="24"/>
        </w:rPr>
        <w:t xml:space="preserve"> carriers use the smallest cable </w:t>
      </w:r>
      <w:r w:rsidR="00C55FAC" w:rsidRPr="003E06E2">
        <w:rPr>
          <w:sz w:val="24"/>
          <w:szCs w:val="24"/>
        </w:rPr>
        <w:t xml:space="preserve">and bundle </w:t>
      </w:r>
      <w:r w:rsidR="004D4709" w:rsidRPr="003E06E2">
        <w:rPr>
          <w:sz w:val="24"/>
          <w:szCs w:val="24"/>
        </w:rPr>
        <w:t>size feasible for each area. In addition, 48 mm cable bundles are only expected to be rolled out in areas with existing cable bundles, so the change to the visual amenity of affected areas is not expected to be significant.</w:t>
      </w:r>
    </w:p>
    <w:p w14:paraId="2EC7321D" w14:textId="46448812" w:rsidR="00BC32BC" w:rsidRPr="00462A0C" w:rsidRDefault="00BC32BC" w:rsidP="00BC32BC">
      <w:pPr>
        <w:pStyle w:val="BodyText2"/>
        <w:rPr>
          <w:b/>
          <w:szCs w:val="24"/>
        </w:rPr>
      </w:pPr>
      <w:r w:rsidRPr="00462A0C">
        <w:rPr>
          <w:b/>
          <w:szCs w:val="24"/>
        </w:rPr>
        <w:t>Other mat</w:t>
      </w:r>
      <w:r>
        <w:rPr>
          <w:b/>
          <w:szCs w:val="24"/>
        </w:rPr>
        <w:t>t</w:t>
      </w:r>
      <w:r w:rsidRPr="00462A0C">
        <w:rPr>
          <w:b/>
          <w:szCs w:val="24"/>
        </w:rPr>
        <w:t xml:space="preserve">ers </w:t>
      </w:r>
    </w:p>
    <w:p w14:paraId="144215A1" w14:textId="77777777" w:rsidR="00BC32BC" w:rsidRDefault="00BC32BC" w:rsidP="00BC32BC">
      <w:pPr>
        <w:pStyle w:val="BodyText2"/>
        <w:rPr>
          <w:szCs w:val="24"/>
        </w:rPr>
      </w:pPr>
    </w:p>
    <w:p w14:paraId="026AC1A8" w14:textId="06E89A9C" w:rsidR="00BC32BC" w:rsidRPr="002301ED" w:rsidRDefault="00BC32BC" w:rsidP="00BC32BC">
      <w:pPr>
        <w:pStyle w:val="BodyText2"/>
        <w:rPr>
          <w:szCs w:val="24"/>
        </w:rPr>
      </w:pPr>
      <w:r w:rsidRPr="002301ED">
        <w:rPr>
          <w:szCs w:val="24"/>
        </w:rPr>
        <w:t>The Amending Regulation commence</w:t>
      </w:r>
      <w:r w:rsidR="001D4003">
        <w:rPr>
          <w:szCs w:val="24"/>
        </w:rPr>
        <w:t>s</w:t>
      </w:r>
      <w:r w:rsidRPr="002301ED">
        <w:rPr>
          <w:szCs w:val="24"/>
        </w:rPr>
        <w:t xml:space="preserve"> on the day after </w:t>
      </w:r>
      <w:r w:rsidR="001D4003">
        <w:rPr>
          <w:szCs w:val="24"/>
        </w:rPr>
        <w:t>it is</w:t>
      </w:r>
      <w:r w:rsidRPr="002301ED">
        <w:rPr>
          <w:szCs w:val="24"/>
        </w:rPr>
        <w:t xml:space="preserve"> registered on the Federal Register of Legislative Instruments.</w:t>
      </w:r>
    </w:p>
    <w:p w14:paraId="5493F111" w14:textId="77777777" w:rsidR="00BC32BC" w:rsidRPr="002301ED" w:rsidRDefault="00BC32BC" w:rsidP="00BC32BC">
      <w:pPr>
        <w:pStyle w:val="BodyText2"/>
        <w:rPr>
          <w:szCs w:val="24"/>
        </w:rPr>
      </w:pPr>
    </w:p>
    <w:p w14:paraId="4A940B5E" w14:textId="77777777" w:rsidR="00BC32BC" w:rsidRPr="002301ED" w:rsidRDefault="00BC32BC" w:rsidP="00BC32BC">
      <w:pPr>
        <w:rPr>
          <w:sz w:val="24"/>
          <w:szCs w:val="24"/>
        </w:rPr>
      </w:pPr>
      <w:r w:rsidRPr="002301ED">
        <w:rPr>
          <w:sz w:val="24"/>
          <w:szCs w:val="24"/>
        </w:rPr>
        <w:t xml:space="preserve">The Amending Regulation </w:t>
      </w:r>
      <w:r>
        <w:rPr>
          <w:sz w:val="24"/>
          <w:szCs w:val="24"/>
        </w:rPr>
        <w:t xml:space="preserve">is </w:t>
      </w:r>
      <w:r w:rsidRPr="002301ED">
        <w:rPr>
          <w:sz w:val="24"/>
          <w:szCs w:val="24"/>
        </w:rPr>
        <w:t xml:space="preserve">a legislative instrument for the purposes of the </w:t>
      </w:r>
      <w:r w:rsidRPr="002301ED">
        <w:rPr>
          <w:i/>
          <w:sz w:val="24"/>
          <w:szCs w:val="24"/>
        </w:rPr>
        <w:t>Legislative Instruments Act 2003</w:t>
      </w:r>
      <w:r w:rsidRPr="002301ED">
        <w:rPr>
          <w:sz w:val="24"/>
          <w:szCs w:val="24"/>
        </w:rPr>
        <w:t xml:space="preserve"> (</w:t>
      </w:r>
      <w:proofErr w:type="spellStart"/>
      <w:r w:rsidRPr="002301ED">
        <w:rPr>
          <w:sz w:val="24"/>
          <w:szCs w:val="24"/>
        </w:rPr>
        <w:t>LIA</w:t>
      </w:r>
      <w:proofErr w:type="spellEnd"/>
      <w:r w:rsidRPr="002301ED">
        <w:rPr>
          <w:sz w:val="24"/>
          <w:szCs w:val="24"/>
        </w:rPr>
        <w:t xml:space="preserve">) (see paragraph 6(a) of the </w:t>
      </w:r>
      <w:proofErr w:type="spellStart"/>
      <w:r w:rsidRPr="002301ED">
        <w:rPr>
          <w:sz w:val="24"/>
          <w:szCs w:val="24"/>
        </w:rPr>
        <w:t>LIA</w:t>
      </w:r>
      <w:proofErr w:type="spellEnd"/>
      <w:r w:rsidRPr="002301ED">
        <w:rPr>
          <w:sz w:val="24"/>
          <w:szCs w:val="24"/>
        </w:rPr>
        <w:t>).</w:t>
      </w:r>
    </w:p>
    <w:p w14:paraId="2C84FF19" w14:textId="77777777" w:rsidR="00BC32BC" w:rsidRPr="002301ED" w:rsidRDefault="00BC32BC" w:rsidP="00BC32BC">
      <w:pPr>
        <w:rPr>
          <w:sz w:val="24"/>
          <w:szCs w:val="24"/>
        </w:rPr>
      </w:pPr>
    </w:p>
    <w:p w14:paraId="053B35C8" w14:textId="77777777" w:rsidR="00BC32BC" w:rsidRPr="002301ED" w:rsidRDefault="00BC32BC" w:rsidP="00BC32BC">
      <w:pPr>
        <w:pStyle w:val="BodyText2"/>
        <w:rPr>
          <w:szCs w:val="24"/>
          <w:u w:val="single"/>
        </w:rPr>
      </w:pPr>
      <w:r w:rsidRPr="002301ED">
        <w:rPr>
          <w:szCs w:val="24"/>
        </w:rPr>
        <w:t xml:space="preserve">Details of the accompanying Amending Regulation </w:t>
      </w:r>
      <w:r>
        <w:rPr>
          <w:szCs w:val="24"/>
        </w:rPr>
        <w:t xml:space="preserve">is </w:t>
      </w:r>
      <w:r w:rsidRPr="002301ED">
        <w:rPr>
          <w:szCs w:val="24"/>
        </w:rPr>
        <w:t xml:space="preserve">set out in the </w:t>
      </w:r>
      <w:r w:rsidRPr="002301ED">
        <w:rPr>
          <w:szCs w:val="24"/>
          <w:u w:val="single"/>
        </w:rPr>
        <w:t>Attachment 1</w:t>
      </w:r>
      <w:r>
        <w:rPr>
          <w:szCs w:val="24"/>
          <w:u w:val="single"/>
        </w:rPr>
        <w:t>.</w:t>
      </w:r>
    </w:p>
    <w:p w14:paraId="4B8AE903" w14:textId="77777777" w:rsidR="00BC32BC" w:rsidRPr="002301ED" w:rsidRDefault="00BC32BC" w:rsidP="00BC32BC">
      <w:pPr>
        <w:pStyle w:val="BodyText2"/>
        <w:rPr>
          <w:szCs w:val="24"/>
        </w:rPr>
      </w:pPr>
    </w:p>
    <w:p w14:paraId="2B19EA23" w14:textId="77777777" w:rsidR="00BC32BC" w:rsidRPr="002301ED" w:rsidRDefault="00BC32BC" w:rsidP="00BC32BC">
      <w:pPr>
        <w:pStyle w:val="BodyText2"/>
        <w:rPr>
          <w:szCs w:val="24"/>
        </w:rPr>
      </w:pPr>
      <w:r w:rsidRPr="002301ED">
        <w:rPr>
          <w:szCs w:val="24"/>
        </w:rPr>
        <w:t xml:space="preserve">The Statement of Compatibility with Human Rights for the Amending Regulation is set out in </w:t>
      </w:r>
      <w:r w:rsidRPr="002301ED">
        <w:rPr>
          <w:szCs w:val="24"/>
          <w:u w:val="single"/>
        </w:rPr>
        <w:t>Attachment 2</w:t>
      </w:r>
      <w:r w:rsidRPr="002301ED">
        <w:rPr>
          <w:szCs w:val="24"/>
        </w:rPr>
        <w:t>.</w:t>
      </w:r>
    </w:p>
    <w:p w14:paraId="1C381696" w14:textId="77777777" w:rsidR="00BC32BC" w:rsidRPr="004313CC" w:rsidRDefault="00BC32BC" w:rsidP="00BC32BC">
      <w:pPr>
        <w:pStyle w:val="BodyText2"/>
        <w:rPr>
          <w:szCs w:val="24"/>
          <w:highlight w:val="yellow"/>
        </w:rPr>
      </w:pPr>
    </w:p>
    <w:p w14:paraId="494BC2BE" w14:textId="77777777" w:rsidR="00AE42C2" w:rsidRPr="000D0928" w:rsidRDefault="00AE42C2" w:rsidP="00AE42C2">
      <w:pPr>
        <w:rPr>
          <w:sz w:val="24"/>
          <w:szCs w:val="24"/>
        </w:rPr>
      </w:pPr>
    </w:p>
    <w:p w14:paraId="494BC2BF" w14:textId="77777777" w:rsidR="00AE42C2" w:rsidRPr="000D0928" w:rsidRDefault="00AE42C2" w:rsidP="005B095D">
      <w:pPr>
        <w:ind w:left="5760" w:right="91"/>
        <w:rPr>
          <w:sz w:val="24"/>
          <w:szCs w:val="24"/>
          <w:u w:val="single"/>
        </w:rPr>
      </w:pPr>
      <w:r w:rsidRPr="000D0928">
        <w:rPr>
          <w:sz w:val="24"/>
          <w:szCs w:val="24"/>
        </w:rPr>
        <w:br w:type="page"/>
      </w:r>
      <w:r w:rsidR="005B095D">
        <w:rPr>
          <w:b/>
          <w:sz w:val="24"/>
          <w:szCs w:val="24"/>
          <w:u w:val="single"/>
        </w:rPr>
        <w:t>ATTACHMENT 1</w:t>
      </w:r>
    </w:p>
    <w:p w14:paraId="494BC2C0" w14:textId="77777777" w:rsidR="00AE42C2" w:rsidRPr="000D0928" w:rsidRDefault="00AE42C2" w:rsidP="00AE42C2">
      <w:pPr>
        <w:ind w:right="91"/>
        <w:jc w:val="right"/>
        <w:rPr>
          <w:sz w:val="24"/>
          <w:szCs w:val="24"/>
        </w:rPr>
      </w:pPr>
    </w:p>
    <w:p w14:paraId="494BC2C1" w14:textId="0F81E489" w:rsidR="00AE42C2" w:rsidRPr="00E721D3" w:rsidRDefault="00AE42C2" w:rsidP="00AE42C2">
      <w:pPr>
        <w:pStyle w:val="Heading1"/>
        <w:jc w:val="left"/>
        <w:rPr>
          <w:b/>
          <w:szCs w:val="24"/>
          <w:u w:val="single"/>
        </w:rPr>
      </w:pPr>
      <w:r w:rsidRPr="008C0474">
        <w:rPr>
          <w:b/>
          <w:i w:val="0"/>
          <w:szCs w:val="24"/>
          <w:u w:val="single"/>
        </w:rPr>
        <w:t>Details of the</w:t>
      </w:r>
      <w:r w:rsidRPr="008C0474">
        <w:rPr>
          <w:b/>
          <w:szCs w:val="24"/>
          <w:u w:val="single"/>
        </w:rPr>
        <w:t xml:space="preserve"> </w:t>
      </w:r>
      <w:r w:rsidR="007C6695" w:rsidRPr="007C6695">
        <w:rPr>
          <w:b/>
          <w:szCs w:val="24"/>
          <w:u w:val="single"/>
        </w:rPr>
        <w:t>Telecommunications Amendment (Designated Overhead Lines) Regulation 2015</w:t>
      </w:r>
    </w:p>
    <w:p w14:paraId="494BC2C2" w14:textId="77777777" w:rsidR="00AE42C2" w:rsidRDefault="00AE42C2" w:rsidP="00AE42C2">
      <w:pPr>
        <w:ind w:right="91"/>
        <w:rPr>
          <w:b/>
          <w:sz w:val="24"/>
          <w:szCs w:val="24"/>
        </w:rPr>
      </w:pPr>
    </w:p>
    <w:p w14:paraId="494BC2C3" w14:textId="6D237A9A" w:rsidR="00AE42C2" w:rsidRPr="00E17C58" w:rsidRDefault="00616BFF" w:rsidP="00AE42C2">
      <w:pPr>
        <w:ind w:right="91"/>
        <w:rPr>
          <w:b/>
          <w:sz w:val="24"/>
          <w:szCs w:val="24"/>
        </w:rPr>
      </w:pPr>
      <w:r>
        <w:rPr>
          <w:b/>
          <w:sz w:val="24"/>
          <w:szCs w:val="24"/>
        </w:rPr>
        <w:t xml:space="preserve">Section </w:t>
      </w:r>
      <w:r w:rsidR="00AE42C2" w:rsidRPr="00E17C58">
        <w:rPr>
          <w:b/>
          <w:sz w:val="24"/>
          <w:szCs w:val="24"/>
        </w:rPr>
        <w:t xml:space="preserve">1 – Name </w:t>
      </w:r>
    </w:p>
    <w:p w14:paraId="494BC2C4" w14:textId="77777777" w:rsidR="00AE42C2" w:rsidRPr="000D0928" w:rsidRDefault="00AE42C2" w:rsidP="00AE42C2">
      <w:pPr>
        <w:ind w:right="91"/>
        <w:rPr>
          <w:sz w:val="24"/>
          <w:szCs w:val="24"/>
        </w:rPr>
      </w:pPr>
    </w:p>
    <w:p w14:paraId="494BC2C5" w14:textId="23627D45" w:rsidR="00AE42C2" w:rsidRPr="000D0928" w:rsidRDefault="00AE42C2" w:rsidP="00AE42C2">
      <w:pPr>
        <w:pStyle w:val="Heading1"/>
        <w:jc w:val="left"/>
        <w:rPr>
          <w:szCs w:val="24"/>
        </w:rPr>
      </w:pPr>
      <w:r w:rsidRPr="00B57377">
        <w:rPr>
          <w:i w:val="0"/>
          <w:szCs w:val="24"/>
        </w:rPr>
        <w:t xml:space="preserve">This </w:t>
      </w:r>
      <w:r w:rsidR="00616BFF">
        <w:rPr>
          <w:i w:val="0"/>
          <w:szCs w:val="24"/>
        </w:rPr>
        <w:t xml:space="preserve">section </w:t>
      </w:r>
      <w:r w:rsidRPr="00B57377">
        <w:rPr>
          <w:i w:val="0"/>
          <w:szCs w:val="24"/>
        </w:rPr>
        <w:t xml:space="preserve">provides </w:t>
      </w:r>
      <w:r w:rsidR="007F3D1F">
        <w:rPr>
          <w:i w:val="0"/>
          <w:szCs w:val="24"/>
        </w:rPr>
        <w:t xml:space="preserve">that </w:t>
      </w:r>
      <w:r w:rsidRPr="00B57377">
        <w:rPr>
          <w:i w:val="0"/>
          <w:szCs w:val="24"/>
        </w:rPr>
        <w:t xml:space="preserve">the </w:t>
      </w:r>
      <w:r w:rsidR="007F3D1F">
        <w:rPr>
          <w:i w:val="0"/>
          <w:szCs w:val="24"/>
        </w:rPr>
        <w:t xml:space="preserve">title of the </w:t>
      </w:r>
      <w:r w:rsidRPr="00B57377">
        <w:rPr>
          <w:i w:val="0"/>
          <w:szCs w:val="24"/>
        </w:rPr>
        <w:t xml:space="preserve">Regulation </w:t>
      </w:r>
      <w:r w:rsidR="007F3D1F">
        <w:rPr>
          <w:i w:val="0"/>
          <w:szCs w:val="24"/>
        </w:rPr>
        <w:t xml:space="preserve">is the </w:t>
      </w:r>
      <w:r w:rsidR="007C6695" w:rsidRPr="007C6695">
        <w:rPr>
          <w:szCs w:val="24"/>
        </w:rPr>
        <w:t>Telecommunications Amendment (Designated Overhead Lines) Regulation 2015</w:t>
      </w:r>
      <w:r w:rsidR="007C6695">
        <w:rPr>
          <w:i w:val="0"/>
          <w:szCs w:val="24"/>
        </w:rPr>
        <w:t>.</w:t>
      </w:r>
    </w:p>
    <w:p w14:paraId="494BC2C6" w14:textId="77777777" w:rsidR="00AE42C2" w:rsidRPr="000D0928" w:rsidRDefault="00AE42C2" w:rsidP="00AE42C2">
      <w:pPr>
        <w:ind w:right="91"/>
        <w:rPr>
          <w:sz w:val="24"/>
          <w:szCs w:val="24"/>
        </w:rPr>
      </w:pPr>
    </w:p>
    <w:p w14:paraId="494BC2C7" w14:textId="55130328" w:rsidR="00AE42C2" w:rsidRPr="00E17C58" w:rsidRDefault="00616BFF" w:rsidP="00AE42C2">
      <w:pPr>
        <w:ind w:right="91"/>
        <w:rPr>
          <w:b/>
          <w:sz w:val="24"/>
          <w:szCs w:val="24"/>
        </w:rPr>
      </w:pPr>
      <w:r>
        <w:rPr>
          <w:b/>
          <w:sz w:val="24"/>
          <w:szCs w:val="24"/>
        </w:rPr>
        <w:t xml:space="preserve">Section </w:t>
      </w:r>
      <w:r w:rsidR="00AE42C2" w:rsidRPr="00E17C58">
        <w:rPr>
          <w:b/>
          <w:sz w:val="24"/>
          <w:szCs w:val="24"/>
        </w:rPr>
        <w:t>2 – Commencement</w:t>
      </w:r>
    </w:p>
    <w:p w14:paraId="494BC2C8" w14:textId="77777777" w:rsidR="00AE42C2" w:rsidRPr="000D0928" w:rsidRDefault="00AE42C2" w:rsidP="00AE42C2">
      <w:pPr>
        <w:ind w:right="91"/>
        <w:rPr>
          <w:sz w:val="24"/>
          <w:szCs w:val="24"/>
        </w:rPr>
      </w:pPr>
    </w:p>
    <w:p w14:paraId="494BC2C9" w14:textId="6DCBB2F8" w:rsidR="00AE42C2" w:rsidRPr="000D0928" w:rsidRDefault="00AE42C2" w:rsidP="00AE42C2">
      <w:pPr>
        <w:ind w:right="91"/>
        <w:rPr>
          <w:sz w:val="24"/>
          <w:szCs w:val="24"/>
        </w:rPr>
      </w:pPr>
      <w:r w:rsidRPr="000D0928">
        <w:rPr>
          <w:sz w:val="24"/>
          <w:szCs w:val="24"/>
        </w:rPr>
        <w:t xml:space="preserve">This </w:t>
      </w:r>
      <w:r w:rsidR="00616BFF">
        <w:rPr>
          <w:sz w:val="24"/>
          <w:szCs w:val="24"/>
        </w:rPr>
        <w:t xml:space="preserve">section </w:t>
      </w:r>
      <w:r>
        <w:rPr>
          <w:sz w:val="24"/>
          <w:szCs w:val="24"/>
        </w:rPr>
        <w:t xml:space="preserve">provides for </w:t>
      </w:r>
      <w:r w:rsidRPr="000D0928">
        <w:rPr>
          <w:sz w:val="24"/>
          <w:szCs w:val="24"/>
        </w:rPr>
        <w:t xml:space="preserve">the Regulation </w:t>
      </w:r>
      <w:r>
        <w:rPr>
          <w:sz w:val="24"/>
          <w:szCs w:val="24"/>
        </w:rPr>
        <w:t xml:space="preserve">to </w:t>
      </w:r>
      <w:r w:rsidRPr="000D0928">
        <w:rPr>
          <w:sz w:val="24"/>
          <w:szCs w:val="24"/>
        </w:rPr>
        <w:t>commence</w:t>
      </w:r>
      <w:r>
        <w:rPr>
          <w:sz w:val="24"/>
          <w:szCs w:val="24"/>
        </w:rPr>
        <w:t xml:space="preserve"> on the day after they are registered on the Federal Register of Legislative Instruments</w:t>
      </w:r>
      <w:r w:rsidRPr="000D0928">
        <w:rPr>
          <w:sz w:val="24"/>
          <w:szCs w:val="24"/>
        </w:rPr>
        <w:t>.</w:t>
      </w:r>
    </w:p>
    <w:p w14:paraId="494BC2CA" w14:textId="77777777" w:rsidR="00AE42C2" w:rsidRPr="000D0928" w:rsidRDefault="00AE42C2" w:rsidP="00AE42C2">
      <w:pPr>
        <w:ind w:right="91"/>
        <w:rPr>
          <w:sz w:val="24"/>
          <w:szCs w:val="24"/>
        </w:rPr>
      </w:pPr>
    </w:p>
    <w:p w14:paraId="6C7D518E" w14:textId="7C5EE3A3" w:rsidR="006608FD" w:rsidRDefault="00616BFF" w:rsidP="00AE42C2">
      <w:pPr>
        <w:ind w:right="91"/>
        <w:rPr>
          <w:b/>
          <w:sz w:val="24"/>
          <w:szCs w:val="24"/>
        </w:rPr>
      </w:pPr>
      <w:r>
        <w:rPr>
          <w:b/>
          <w:sz w:val="24"/>
          <w:szCs w:val="24"/>
        </w:rPr>
        <w:t xml:space="preserve">Section </w:t>
      </w:r>
      <w:r w:rsidR="00AE42C2" w:rsidRPr="00C23B5E">
        <w:rPr>
          <w:b/>
          <w:sz w:val="24"/>
          <w:szCs w:val="24"/>
        </w:rPr>
        <w:t xml:space="preserve">3 – </w:t>
      </w:r>
      <w:r w:rsidR="006608FD">
        <w:rPr>
          <w:b/>
          <w:sz w:val="24"/>
          <w:szCs w:val="24"/>
        </w:rPr>
        <w:t xml:space="preserve">Authority </w:t>
      </w:r>
    </w:p>
    <w:p w14:paraId="494BC2CC" w14:textId="77777777" w:rsidR="00066CAF" w:rsidRDefault="00066CAF" w:rsidP="00AE42C2">
      <w:pPr>
        <w:ind w:right="91"/>
        <w:rPr>
          <w:b/>
          <w:i/>
          <w:sz w:val="24"/>
          <w:szCs w:val="24"/>
        </w:rPr>
      </w:pPr>
    </w:p>
    <w:p w14:paraId="63C8B151" w14:textId="3A9DB487" w:rsidR="006608FD" w:rsidRDefault="006608FD" w:rsidP="006608FD">
      <w:pPr>
        <w:ind w:right="91"/>
        <w:rPr>
          <w:sz w:val="24"/>
          <w:szCs w:val="24"/>
        </w:rPr>
      </w:pPr>
      <w:r w:rsidRPr="006608FD">
        <w:rPr>
          <w:sz w:val="24"/>
          <w:szCs w:val="24"/>
        </w:rPr>
        <w:t xml:space="preserve">This </w:t>
      </w:r>
      <w:r w:rsidR="00616BFF">
        <w:rPr>
          <w:sz w:val="24"/>
          <w:szCs w:val="24"/>
        </w:rPr>
        <w:t xml:space="preserve">section </w:t>
      </w:r>
      <w:r w:rsidRPr="006608FD">
        <w:rPr>
          <w:sz w:val="24"/>
          <w:szCs w:val="24"/>
        </w:rPr>
        <w:t xml:space="preserve">provides that the authority for making the Regulation is the </w:t>
      </w:r>
      <w:r w:rsidRPr="006608FD">
        <w:rPr>
          <w:i/>
          <w:sz w:val="24"/>
          <w:szCs w:val="24"/>
        </w:rPr>
        <w:t>Telecommunications Act 1997</w:t>
      </w:r>
      <w:r w:rsidRPr="006608FD">
        <w:rPr>
          <w:sz w:val="24"/>
          <w:szCs w:val="24"/>
        </w:rPr>
        <w:t xml:space="preserve"> (the Act).</w:t>
      </w:r>
    </w:p>
    <w:p w14:paraId="4960C2AD" w14:textId="77777777" w:rsidR="006608FD" w:rsidRDefault="006608FD" w:rsidP="00AE42C2">
      <w:pPr>
        <w:ind w:right="91"/>
        <w:rPr>
          <w:b/>
          <w:sz w:val="24"/>
          <w:szCs w:val="24"/>
        </w:rPr>
      </w:pPr>
    </w:p>
    <w:p w14:paraId="4D08C6F0" w14:textId="41C45ECC" w:rsidR="006608FD" w:rsidRDefault="00616BFF" w:rsidP="006608FD">
      <w:pPr>
        <w:ind w:right="91"/>
        <w:rPr>
          <w:b/>
          <w:i/>
          <w:sz w:val="24"/>
          <w:szCs w:val="24"/>
        </w:rPr>
      </w:pPr>
      <w:r>
        <w:rPr>
          <w:b/>
          <w:sz w:val="24"/>
          <w:szCs w:val="24"/>
        </w:rPr>
        <w:t xml:space="preserve">Section </w:t>
      </w:r>
      <w:r w:rsidR="006608FD">
        <w:rPr>
          <w:b/>
          <w:sz w:val="24"/>
          <w:szCs w:val="24"/>
        </w:rPr>
        <w:t>4</w:t>
      </w:r>
      <w:r w:rsidR="006608FD" w:rsidRPr="00C23B5E">
        <w:rPr>
          <w:b/>
          <w:sz w:val="24"/>
          <w:szCs w:val="24"/>
        </w:rPr>
        <w:t xml:space="preserve"> – </w:t>
      </w:r>
      <w:r w:rsidR="006608FD">
        <w:rPr>
          <w:b/>
          <w:sz w:val="24"/>
          <w:szCs w:val="24"/>
        </w:rPr>
        <w:t xml:space="preserve">Schedules </w:t>
      </w:r>
    </w:p>
    <w:p w14:paraId="4F6BE318" w14:textId="77777777" w:rsidR="006608FD" w:rsidRDefault="006608FD" w:rsidP="00AE42C2">
      <w:pPr>
        <w:ind w:right="91"/>
        <w:rPr>
          <w:b/>
          <w:sz w:val="24"/>
          <w:szCs w:val="24"/>
        </w:rPr>
      </w:pPr>
    </w:p>
    <w:p w14:paraId="78F3EFD9" w14:textId="318066AE" w:rsidR="006608FD" w:rsidRDefault="006608FD" w:rsidP="006608FD">
      <w:pPr>
        <w:ind w:right="91"/>
        <w:rPr>
          <w:color w:val="000000"/>
          <w:sz w:val="24"/>
          <w:szCs w:val="24"/>
        </w:rPr>
      </w:pPr>
      <w:r>
        <w:rPr>
          <w:sz w:val="24"/>
          <w:szCs w:val="24"/>
        </w:rPr>
        <w:t xml:space="preserve">This </w:t>
      </w:r>
      <w:r w:rsidR="00616BFF">
        <w:rPr>
          <w:sz w:val="24"/>
          <w:szCs w:val="24"/>
        </w:rPr>
        <w:t xml:space="preserve">section </w:t>
      </w:r>
      <w:r>
        <w:rPr>
          <w:sz w:val="24"/>
          <w:szCs w:val="24"/>
        </w:rPr>
        <w:t xml:space="preserve">provides that the </w:t>
      </w:r>
      <w:r w:rsidRPr="0043221E">
        <w:rPr>
          <w:i/>
          <w:color w:val="000000"/>
          <w:sz w:val="24"/>
          <w:szCs w:val="24"/>
        </w:rPr>
        <w:t>Telecommunications Regulations 2001</w:t>
      </w:r>
      <w:r>
        <w:rPr>
          <w:i/>
          <w:color w:val="000000"/>
          <w:sz w:val="24"/>
          <w:szCs w:val="24"/>
        </w:rPr>
        <w:t xml:space="preserve"> </w:t>
      </w:r>
      <w:r>
        <w:rPr>
          <w:color w:val="000000"/>
          <w:sz w:val="24"/>
          <w:szCs w:val="24"/>
        </w:rPr>
        <w:t>(the Principal Regulations) are amended as set out in Schedule 1.</w:t>
      </w:r>
    </w:p>
    <w:p w14:paraId="0B55942C" w14:textId="77777777" w:rsidR="006608FD" w:rsidRDefault="006608FD" w:rsidP="00AE42C2">
      <w:pPr>
        <w:ind w:right="91"/>
        <w:rPr>
          <w:b/>
          <w:sz w:val="24"/>
          <w:szCs w:val="24"/>
        </w:rPr>
      </w:pPr>
    </w:p>
    <w:p w14:paraId="494BC2CF" w14:textId="77777777" w:rsidR="0043221E" w:rsidRDefault="00BB214D" w:rsidP="00AE42C2">
      <w:pPr>
        <w:ind w:right="91"/>
        <w:rPr>
          <w:b/>
          <w:sz w:val="24"/>
          <w:szCs w:val="24"/>
        </w:rPr>
      </w:pPr>
      <w:r>
        <w:rPr>
          <w:b/>
          <w:sz w:val="24"/>
          <w:szCs w:val="24"/>
        </w:rPr>
        <w:t>Schedule 1 – Amendments</w:t>
      </w:r>
    </w:p>
    <w:p w14:paraId="494BC2D0" w14:textId="77777777" w:rsidR="00BB214D" w:rsidRDefault="00BB214D" w:rsidP="00AE42C2">
      <w:pPr>
        <w:ind w:right="91"/>
        <w:rPr>
          <w:b/>
          <w:sz w:val="24"/>
          <w:szCs w:val="24"/>
        </w:rPr>
      </w:pPr>
    </w:p>
    <w:p w14:paraId="494BC2D1" w14:textId="77777777" w:rsidR="00BB214D" w:rsidRDefault="00BB214D" w:rsidP="00AE42C2">
      <w:pPr>
        <w:ind w:right="91"/>
        <w:rPr>
          <w:b/>
          <w:sz w:val="24"/>
          <w:szCs w:val="24"/>
        </w:rPr>
      </w:pPr>
      <w:r>
        <w:rPr>
          <w:b/>
          <w:sz w:val="24"/>
          <w:szCs w:val="24"/>
        </w:rPr>
        <w:t>Item [1] – After regulation 11.1</w:t>
      </w:r>
    </w:p>
    <w:p w14:paraId="494BC2D2" w14:textId="77777777" w:rsidR="00BB214D" w:rsidRDefault="00BB214D" w:rsidP="00AE42C2">
      <w:pPr>
        <w:ind w:right="91"/>
        <w:rPr>
          <w:b/>
          <w:sz w:val="24"/>
          <w:szCs w:val="24"/>
        </w:rPr>
      </w:pPr>
    </w:p>
    <w:p w14:paraId="494BC2D3" w14:textId="624A8D27" w:rsidR="00755CC8" w:rsidRDefault="00755CC8" w:rsidP="00AE42C2">
      <w:pPr>
        <w:ind w:right="91"/>
        <w:rPr>
          <w:sz w:val="24"/>
          <w:szCs w:val="24"/>
        </w:rPr>
      </w:pPr>
      <w:r>
        <w:rPr>
          <w:sz w:val="24"/>
          <w:szCs w:val="24"/>
        </w:rPr>
        <w:t xml:space="preserve">Part 11 of the Principal Regulation </w:t>
      </w:r>
      <w:r w:rsidR="002C3A28">
        <w:rPr>
          <w:sz w:val="24"/>
          <w:szCs w:val="24"/>
        </w:rPr>
        <w:t xml:space="preserve">currently </w:t>
      </w:r>
      <w:r>
        <w:rPr>
          <w:sz w:val="24"/>
          <w:szCs w:val="24"/>
        </w:rPr>
        <w:t xml:space="preserve">prescribes relevant matters for carriers’ powers and immunities under Schedule 3 </w:t>
      </w:r>
      <w:r w:rsidR="00D43E19">
        <w:rPr>
          <w:sz w:val="24"/>
          <w:szCs w:val="24"/>
        </w:rPr>
        <w:t xml:space="preserve">to </w:t>
      </w:r>
      <w:r>
        <w:rPr>
          <w:sz w:val="24"/>
          <w:szCs w:val="24"/>
        </w:rPr>
        <w:t>the Act.</w:t>
      </w:r>
    </w:p>
    <w:p w14:paraId="494BC2D4" w14:textId="77777777" w:rsidR="007F3D1F" w:rsidRDefault="007F3D1F" w:rsidP="00AE42C2">
      <w:pPr>
        <w:ind w:right="91"/>
        <w:rPr>
          <w:sz w:val="24"/>
          <w:szCs w:val="24"/>
        </w:rPr>
      </w:pPr>
    </w:p>
    <w:p w14:paraId="494BC2D6" w14:textId="777F3ED5" w:rsidR="00C17DFD" w:rsidRDefault="00BB214D">
      <w:pPr>
        <w:ind w:right="91"/>
      </w:pPr>
      <w:r>
        <w:rPr>
          <w:sz w:val="24"/>
          <w:szCs w:val="24"/>
        </w:rPr>
        <w:t xml:space="preserve">Item </w:t>
      </w:r>
      <w:r w:rsidR="009F7B38">
        <w:rPr>
          <w:sz w:val="24"/>
          <w:szCs w:val="24"/>
        </w:rPr>
        <w:t xml:space="preserve">1 </w:t>
      </w:r>
      <w:r w:rsidR="005B095D">
        <w:rPr>
          <w:sz w:val="24"/>
          <w:szCs w:val="24"/>
        </w:rPr>
        <w:t>amend</w:t>
      </w:r>
      <w:r w:rsidR="009F7B38">
        <w:rPr>
          <w:sz w:val="24"/>
          <w:szCs w:val="24"/>
        </w:rPr>
        <w:t>s</w:t>
      </w:r>
      <w:r w:rsidR="005B095D">
        <w:rPr>
          <w:sz w:val="24"/>
          <w:szCs w:val="24"/>
        </w:rPr>
        <w:t xml:space="preserve"> </w:t>
      </w:r>
      <w:r>
        <w:rPr>
          <w:sz w:val="24"/>
          <w:szCs w:val="24"/>
        </w:rPr>
        <w:t>reg</w:t>
      </w:r>
      <w:r w:rsidR="00755CC8">
        <w:rPr>
          <w:sz w:val="24"/>
          <w:szCs w:val="24"/>
        </w:rPr>
        <w:t>ulation 11.2</w:t>
      </w:r>
      <w:r w:rsidR="00F6450E">
        <w:rPr>
          <w:sz w:val="24"/>
          <w:szCs w:val="24"/>
        </w:rPr>
        <w:t xml:space="preserve"> </w:t>
      </w:r>
      <w:r w:rsidR="006608FD">
        <w:rPr>
          <w:sz w:val="24"/>
          <w:szCs w:val="24"/>
        </w:rPr>
        <w:t xml:space="preserve">of the Principal Regulation </w:t>
      </w:r>
      <w:r w:rsidR="005B095D">
        <w:rPr>
          <w:sz w:val="24"/>
          <w:szCs w:val="24"/>
        </w:rPr>
        <w:t>to specify</w:t>
      </w:r>
      <w:r w:rsidR="00CA66C3">
        <w:rPr>
          <w:sz w:val="24"/>
          <w:szCs w:val="24"/>
        </w:rPr>
        <w:t xml:space="preserve">, </w:t>
      </w:r>
      <w:r w:rsidR="00B56F18">
        <w:rPr>
          <w:sz w:val="24"/>
          <w:szCs w:val="24"/>
        </w:rPr>
        <w:t xml:space="preserve">for the purposes of </w:t>
      </w:r>
      <w:r w:rsidR="009F1290">
        <w:rPr>
          <w:sz w:val="24"/>
          <w:szCs w:val="24"/>
        </w:rPr>
        <w:t>subparagraph 3(b)(ii) of Schedule</w:t>
      </w:r>
      <w:r w:rsidR="000F4ADF">
        <w:rPr>
          <w:sz w:val="24"/>
          <w:szCs w:val="24"/>
        </w:rPr>
        <w:t> </w:t>
      </w:r>
      <w:r w:rsidR="009F1290">
        <w:rPr>
          <w:sz w:val="24"/>
          <w:szCs w:val="24"/>
        </w:rPr>
        <w:t xml:space="preserve">3 to the Act, the distance of </w:t>
      </w:r>
      <w:r w:rsidR="005B095D" w:rsidRPr="009F7B38">
        <w:rPr>
          <w:sz w:val="24"/>
          <w:szCs w:val="24"/>
        </w:rPr>
        <w:t>48</w:t>
      </w:r>
      <w:r w:rsidR="005B095D">
        <w:rPr>
          <w:sz w:val="24"/>
          <w:szCs w:val="24"/>
        </w:rPr>
        <w:t xml:space="preserve"> </w:t>
      </w:r>
      <w:r w:rsidR="002C3A28">
        <w:rPr>
          <w:sz w:val="24"/>
          <w:szCs w:val="24"/>
        </w:rPr>
        <w:t>millimetres (</w:t>
      </w:r>
      <w:r w:rsidR="00741093">
        <w:rPr>
          <w:sz w:val="24"/>
          <w:szCs w:val="24"/>
        </w:rPr>
        <w:t>mm</w:t>
      </w:r>
      <w:r w:rsidR="002C3A28">
        <w:rPr>
          <w:sz w:val="24"/>
          <w:szCs w:val="24"/>
        </w:rPr>
        <w:t>)</w:t>
      </w:r>
      <w:r w:rsidR="009F1290">
        <w:rPr>
          <w:sz w:val="24"/>
          <w:szCs w:val="24"/>
        </w:rPr>
        <w:t>.</w:t>
      </w:r>
      <w:r w:rsidR="00741093">
        <w:rPr>
          <w:sz w:val="24"/>
          <w:szCs w:val="24"/>
        </w:rPr>
        <w:t xml:space="preserve"> </w:t>
      </w:r>
      <w:r w:rsidR="00183A9B">
        <w:rPr>
          <w:sz w:val="24"/>
          <w:szCs w:val="24"/>
        </w:rPr>
        <w:t>This</w:t>
      </w:r>
      <w:r w:rsidR="00183A9B" w:rsidRPr="00183A9B">
        <w:rPr>
          <w:sz w:val="24"/>
          <w:szCs w:val="24"/>
        </w:rPr>
        <w:t xml:space="preserve"> </w:t>
      </w:r>
      <w:r w:rsidR="00BC32BC">
        <w:rPr>
          <w:sz w:val="24"/>
          <w:szCs w:val="24"/>
        </w:rPr>
        <w:t xml:space="preserve">amendment </w:t>
      </w:r>
      <w:r w:rsidR="00183A9B" w:rsidRPr="00183A9B">
        <w:rPr>
          <w:sz w:val="24"/>
          <w:szCs w:val="24"/>
        </w:rPr>
        <w:t>will enable overhead lines and bundles of overhe</w:t>
      </w:r>
      <w:r w:rsidR="00183A9B">
        <w:rPr>
          <w:sz w:val="24"/>
          <w:szCs w:val="24"/>
        </w:rPr>
        <w:t>ad lines with an external cross</w:t>
      </w:r>
      <w:r w:rsidR="00183A9B">
        <w:rPr>
          <w:sz w:val="24"/>
          <w:szCs w:val="24"/>
        </w:rPr>
        <w:noBreakHyphen/>
      </w:r>
      <w:r w:rsidR="00183A9B" w:rsidRPr="00183A9B">
        <w:rPr>
          <w:sz w:val="24"/>
          <w:szCs w:val="24"/>
        </w:rPr>
        <w:t xml:space="preserve">section not exceeding 48 mm to be specified by the Minister as ‘low-impact facilities’ for the purposes of Schedule 3 to the Act.  </w:t>
      </w:r>
    </w:p>
    <w:p w14:paraId="494BC2D7" w14:textId="77777777" w:rsidR="005B095D" w:rsidRDefault="005B095D" w:rsidP="005B095D">
      <w:pPr>
        <w:ind w:right="91"/>
        <w:jc w:val="right"/>
        <w:rPr>
          <w:sz w:val="24"/>
          <w:szCs w:val="24"/>
          <w:u w:val="single"/>
        </w:rPr>
      </w:pPr>
      <w:r>
        <w:br w:type="column"/>
      </w:r>
      <w:r>
        <w:rPr>
          <w:b/>
          <w:sz w:val="24"/>
          <w:szCs w:val="24"/>
          <w:u w:val="single"/>
        </w:rPr>
        <w:t>ATTACHMENT 2</w:t>
      </w:r>
    </w:p>
    <w:p w14:paraId="494BC2D8" w14:textId="77777777" w:rsidR="005B095D" w:rsidRDefault="005B095D" w:rsidP="005B095D">
      <w:pPr>
        <w:ind w:left="5760" w:firstLine="720"/>
        <w:jc w:val="center"/>
        <w:rPr>
          <w:b/>
          <w:bCs/>
        </w:rPr>
      </w:pPr>
    </w:p>
    <w:p w14:paraId="494BC2D9" w14:textId="77777777" w:rsidR="005B095D" w:rsidRDefault="005B095D" w:rsidP="005B095D">
      <w:pPr>
        <w:ind w:left="5760" w:firstLine="720"/>
        <w:jc w:val="center"/>
      </w:pPr>
    </w:p>
    <w:p w14:paraId="494BC2DA" w14:textId="77777777" w:rsidR="005B095D" w:rsidRDefault="005B095D" w:rsidP="005B095D">
      <w:pPr>
        <w:jc w:val="center"/>
        <w:rPr>
          <w:b/>
          <w:bCs/>
          <w:i/>
          <w:iCs/>
          <w:sz w:val="24"/>
          <w:szCs w:val="24"/>
        </w:rPr>
      </w:pPr>
      <w:r>
        <w:rPr>
          <w:b/>
          <w:bCs/>
          <w:i/>
          <w:iCs/>
          <w:sz w:val="24"/>
          <w:szCs w:val="24"/>
        </w:rPr>
        <w:t>Statement of Compatibility with Human Rights</w:t>
      </w:r>
    </w:p>
    <w:p w14:paraId="494BC2DB" w14:textId="77777777" w:rsidR="005B095D" w:rsidRDefault="005B095D" w:rsidP="005B095D">
      <w:pPr>
        <w:jc w:val="center"/>
        <w:rPr>
          <w:i/>
          <w:iCs/>
          <w:sz w:val="24"/>
          <w:szCs w:val="24"/>
        </w:rPr>
      </w:pPr>
    </w:p>
    <w:p w14:paraId="494BC2DC" w14:textId="77777777" w:rsidR="005B095D" w:rsidRDefault="005B095D" w:rsidP="005B095D">
      <w:pPr>
        <w:jc w:val="center"/>
        <w:rPr>
          <w:i/>
          <w:iCs/>
          <w:sz w:val="24"/>
          <w:szCs w:val="24"/>
        </w:rPr>
      </w:pPr>
      <w:r>
        <w:rPr>
          <w:i/>
          <w:iCs/>
          <w:sz w:val="24"/>
          <w:szCs w:val="24"/>
        </w:rPr>
        <w:t>Prepared in accordance with Part 3 of the Human Rights (Parliamentary Scrutiny) Act 2011</w:t>
      </w:r>
    </w:p>
    <w:p w14:paraId="494BC2DD" w14:textId="77777777" w:rsidR="005B095D" w:rsidRDefault="005B095D" w:rsidP="005B095D">
      <w:pPr>
        <w:jc w:val="center"/>
        <w:rPr>
          <w:i/>
          <w:iCs/>
          <w:sz w:val="24"/>
          <w:szCs w:val="24"/>
        </w:rPr>
      </w:pPr>
    </w:p>
    <w:p w14:paraId="494BC2DF" w14:textId="592AE102" w:rsidR="005B095D" w:rsidRDefault="00AD6547" w:rsidP="005B095D">
      <w:pPr>
        <w:jc w:val="center"/>
        <w:rPr>
          <w:b/>
          <w:i/>
          <w:sz w:val="24"/>
          <w:szCs w:val="24"/>
        </w:rPr>
      </w:pPr>
      <w:r w:rsidRPr="00AD6547">
        <w:rPr>
          <w:i/>
          <w:sz w:val="24"/>
          <w:szCs w:val="24"/>
        </w:rPr>
        <w:t>Telecommunications Amendment (Designated Overhead Lines) Regulation 2015</w:t>
      </w:r>
    </w:p>
    <w:p w14:paraId="494BC2E0" w14:textId="77777777" w:rsidR="005B095D" w:rsidRDefault="005B095D" w:rsidP="005B095D">
      <w:pPr>
        <w:rPr>
          <w:sz w:val="24"/>
          <w:szCs w:val="24"/>
        </w:rPr>
      </w:pPr>
    </w:p>
    <w:p w14:paraId="494BC2E1" w14:textId="5CD24976" w:rsidR="005B095D" w:rsidRDefault="005B095D" w:rsidP="005B095D">
      <w:pPr>
        <w:rPr>
          <w:sz w:val="24"/>
          <w:szCs w:val="24"/>
        </w:rPr>
      </w:pPr>
      <w:r>
        <w:rPr>
          <w:sz w:val="24"/>
          <w:szCs w:val="24"/>
        </w:rPr>
        <w:t>The</w:t>
      </w:r>
      <w:r>
        <w:rPr>
          <w:i/>
          <w:iCs/>
          <w:sz w:val="24"/>
          <w:szCs w:val="24"/>
        </w:rPr>
        <w:t xml:space="preserve"> </w:t>
      </w:r>
      <w:r w:rsidR="00AD6547" w:rsidRPr="00AD6547">
        <w:rPr>
          <w:i/>
          <w:iCs/>
          <w:sz w:val="24"/>
          <w:szCs w:val="24"/>
        </w:rPr>
        <w:t xml:space="preserve">Telecommunications Amendment (Designated Overhead Lines) Regulation 2015 </w:t>
      </w:r>
      <w:r>
        <w:rPr>
          <w:sz w:val="24"/>
          <w:szCs w:val="24"/>
        </w:rPr>
        <w:t xml:space="preserve">(the Amending Regulation) is compatible with the human rights and freedoms recognised or declared in the international instruments listed in section 3 of the </w:t>
      </w:r>
      <w:r>
        <w:rPr>
          <w:i/>
          <w:iCs/>
          <w:sz w:val="24"/>
          <w:szCs w:val="24"/>
        </w:rPr>
        <w:t>Human Rights (Parliamentary Scrutiny) Act 2011</w:t>
      </w:r>
      <w:r>
        <w:rPr>
          <w:sz w:val="24"/>
          <w:szCs w:val="24"/>
        </w:rPr>
        <w:t>.</w:t>
      </w:r>
    </w:p>
    <w:p w14:paraId="494BC2E2" w14:textId="77777777" w:rsidR="005B095D" w:rsidRDefault="005B095D" w:rsidP="005B095D">
      <w:pPr>
        <w:rPr>
          <w:sz w:val="24"/>
          <w:szCs w:val="24"/>
        </w:rPr>
      </w:pPr>
    </w:p>
    <w:p w14:paraId="494BC2E3" w14:textId="77777777" w:rsidR="005B095D" w:rsidRDefault="005B095D" w:rsidP="005B095D">
      <w:pPr>
        <w:rPr>
          <w:b/>
          <w:bCs/>
          <w:sz w:val="24"/>
          <w:szCs w:val="24"/>
        </w:rPr>
      </w:pPr>
      <w:r>
        <w:rPr>
          <w:b/>
          <w:bCs/>
          <w:sz w:val="24"/>
          <w:szCs w:val="24"/>
        </w:rPr>
        <w:t xml:space="preserve">Overview of the Amending Instrument </w:t>
      </w:r>
    </w:p>
    <w:p w14:paraId="494BC2E4" w14:textId="77777777" w:rsidR="005B095D" w:rsidRDefault="005B095D" w:rsidP="005B095D">
      <w:pPr>
        <w:rPr>
          <w:b/>
          <w:bCs/>
          <w:sz w:val="24"/>
          <w:szCs w:val="24"/>
        </w:rPr>
      </w:pPr>
    </w:p>
    <w:p w14:paraId="494BC2E5" w14:textId="049DBD77" w:rsidR="005B095D" w:rsidRDefault="005B095D" w:rsidP="005B095D">
      <w:pPr>
        <w:rPr>
          <w:sz w:val="24"/>
          <w:szCs w:val="24"/>
        </w:rPr>
      </w:pPr>
      <w:r>
        <w:rPr>
          <w:color w:val="000000" w:themeColor="text1"/>
          <w:sz w:val="24"/>
          <w:szCs w:val="24"/>
        </w:rPr>
        <w:t xml:space="preserve">The </w:t>
      </w:r>
      <w:r w:rsidR="00AD6547">
        <w:rPr>
          <w:color w:val="000000" w:themeColor="text1"/>
          <w:sz w:val="24"/>
          <w:szCs w:val="24"/>
        </w:rPr>
        <w:t xml:space="preserve">Amending </w:t>
      </w:r>
      <w:r>
        <w:rPr>
          <w:color w:val="000000" w:themeColor="text1"/>
          <w:sz w:val="24"/>
          <w:szCs w:val="24"/>
        </w:rPr>
        <w:t>Regulation</w:t>
      </w:r>
      <w:r w:rsidR="000D4D84">
        <w:rPr>
          <w:color w:val="000000" w:themeColor="text1"/>
          <w:sz w:val="24"/>
          <w:szCs w:val="24"/>
        </w:rPr>
        <w:t xml:space="preserve"> is </w:t>
      </w:r>
      <w:r>
        <w:rPr>
          <w:color w:val="000000" w:themeColor="text1"/>
          <w:sz w:val="24"/>
          <w:szCs w:val="24"/>
        </w:rPr>
        <w:t>made under s</w:t>
      </w:r>
      <w:r>
        <w:rPr>
          <w:sz w:val="24"/>
          <w:szCs w:val="24"/>
        </w:rPr>
        <w:t>ubsection 594</w:t>
      </w:r>
      <w:r w:rsidRPr="00F65AEB">
        <w:rPr>
          <w:sz w:val="24"/>
          <w:szCs w:val="24"/>
        </w:rPr>
        <w:t>(1) of the</w:t>
      </w:r>
      <w:r w:rsidR="000D4D84">
        <w:rPr>
          <w:sz w:val="24"/>
          <w:szCs w:val="24"/>
        </w:rPr>
        <w:t xml:space="preserve"> </w:t>
      </w:r>
      <w:r w:rsidRPr="007F6C31">
        <w:rPr>
          <w:i/>
          <w:sz w:val="24"/>
          <w:szCs w:val="24"/>
        </w:rPr>
        <w:t>Telecommunications Act 199</w:t>
      </w:r>
      <w:r>
        <w:rPr>
          <w:i/>
          <w:sz w:val="24"/>
          <w:szCs w:val="24"/>
        </w:rPr>
        <w:t>7</w:t>
      </w:r>
      <w:r>
        <w:rPr>
          <w:sz w:val="24"/>
          <w:szCs w:val="24"/>
        </w:rPr>
        <w:t xml:space="preserve"> (the Act). </w:t>
      </w:r>
    </w:p>
    <w:p w14:paraId="494BC2E6" w14:textId="77777777" w:rsidR="005B095D" w:rsidRDefault="005B095D" w:rsidP="005B095D">
      <w:pPr>
        <w:rPr>
          <w:sz w:val="24"/>
          <w:szCs w:val="24"/>
        </w:rPr>
      </w:pPr>
    </w:p>
    <w:p w14:paraId="6A03FA37" w14:textId="08D1DE82" w:rsidR="00CB1C4A" w:rsidRPr="003F476F" w:rsidRDefault="00CB1C4A" w:rsidP="00CB1C4A">
      <w:pPr>
        <w:rPr>
          <w:color w:val="000000"/>
          <w:sz w:val="24"/>
          <w:szCs w:val="24"/>
        </w:rPr>
      </w:pPr>
      <w:r>
        <w:rPr>
          <w:sz w:val="24"/>
          <w:szCs w:val="24"/>
        </w:rPr>
        <w:t>The Amending</w:t>
      </w:r>
      <w:r w:rsidRPr="00D04C62">
        <w:rPr>
          <w:sz w:val="24"/>
          <w:szCs w:val="24"/>
        </w:rPr>
        <w:t xml:space="preserve"> Regulation </w:t>
      </w:r>
      <w:r w:rsidRPr="00FE668E">
        <w:rPr>
          <w:sz w:val="24"/>
          <w:szCs w:val="24"/>
        </w:rPr>
        <w:t xml:space="preserve">will </w:t>
      </w:r>
      <w:r w:rsidR="00FE668E" w:rsidRPr="00FE668E">
        <w:rPr>
          <w:color w:val="000000"/>
          <w:sz w:val="24"/>
          <w:szCs w:val="24"/>
        </w:rPr>
        <w:t xml:space="preserve">enable the Minister to specify overhead lines with an external cross section not exceeding 48 millimetres (mm) as ‘low-impact facilities’ in the </w:t>
      </w:r>
      <w:r w:rsidR="00FE668E" w:rsidRPr="00FE668E">
        <w:rPr>
          <w:i/>
          <w:color w:val="000000"/>
          <w:sz w:val="24"/>
          <w:szCs w:val="24"/>
        </w:rPr>
        <w:t>Telecommunications (Low-impact Facilities) Determination 1997</w:t>
      </w:r>
      <w:r w:rsidR="00FE668E" w:rsidRPr="00FE668E">
        <w:rPr>
          <w:color w:val="000000"/>
          <w:sz w:val="24"/>
          <w:szCs w:val="24"/>
        </w:rPr>
        <w:t xml:space="preserve"> (the </w:t>
      </w:r>
      <w:proofErr w:type="spellStart"/>
      <w:r w:rsidR="00FE668E" w:rsidRPr="00FE668E">
        <w:rPr>
          <w:color w:val="000000"/>
          <w:sz w:val="24"/>
          <w:szCs w:val="24"/>
        </w:rPr>
        <w:t>LIFD</w:t>
      </w:r>
      <w:proofErr w:type="spellEnd"/>
      <w:r w:rsidR="00FE668E" w:rsidRPr="00FE668E">
        <w:rPr>
          <w:color w:val="000000"/>
          <w:sz w:val="24"/>
          <w:szCs w:val="24"/>
        </w:rPr>
        <w:t>). Low-impact facilities can be installed with benefit of the carrier powers and immunities set out in Schedule 3 to the Act.</w:t>
      </w:r>
      <w:r w:rsidR="00FE668E" w:rsidRPr="006D6816">
        <w:rPr>
          <w:color w:val="000000"/>
          <w:szCs w:val="24"/>
        </w:rPr>
        <w:t xml:space="preserve"> </w:t>
      </w:r>
      <w:r w:rsidRPr="00B22539">
        <w:rPr>
          <w:color w:val="000000"/>
          <w:sz w:val="24"/>
          <w:szCs w:val="24"/>
        </w:rPr>
        <w:t xml:space="preserve">This </w:t>
      </w:r>
      <w:r>
        <w:rPr>
          <w:color w:val="000000"/>
          <w:sz w:val="24"/>
          <w:szCs w:val="24"/>
        </w:rPr>
        <w:t>is</w:t>
      </w:r>
      <w:r w:rsidRPr="00B22539">
        <w:rPr>
          <w:color w:val="000000"/>
          <w:sz w:val="24"/>
          <w:szCs w:val="24"/>
        </w:rPr>
        <w:t xml:space="preserve"> achieve</w:t>
      </w:r>
      <w:r>
        <w:rPr>
          <w:color w:val="000000"/>
          <w:sz w:val="24"/>
          <w:szCs w:val="24"/>
        </w:rPr>
        <w:t xml:space="preserve">d by </w:t>
      </w:r>
      <w:r w:rsidR="00FE668E">
        <w:rPr>
          <w:color w:val="000000"/>
          <w:sz w:val="24"/>
          <w:szCs w:val="24"/>
        </w:rPr>
        <w:t xml:space="preserve">increasing </w:t>
      </w:r>
      <w:r w:rsidR="000D4D84">
        <w:rPr>
          <w:color w:val="000000"/>
          <w:sz w:val="24"/>
          <w:szCs w:val="24"/>
        </w:rPr>
        <w:t xml:space="preserve">the distance given at </w:t>
      </w:r>
      <w:r w:rsidR="00FE668E">
        <w:rPr>
          <w:color w:val="000000"/>
          <w:sz w:val="24"/>
          <w:szCs w:val="24"/>
        </w:rPr>
        <w:t>R</w:t>
      </w:r>
      <w:r>
        <w:rPr>
          <w:color w:val="000000"/>
          <w:sz w:val="24"/>
          <w:szCs w:val="24"/>
        </w:rPr>
        <w:t>egulation </w:t>
      </w:r>
      <w:r w:rsidRPr="00B22539">
        <w:rPr>
          <w:color w:val="000000"/>
          <w:sz w:val="24"/>
          <w:szCs w:val="24"/>
        </w:rPr>
        <w:t xml:space="preserve">11.2 </w:t>
      </w:r>
      <w:r w:rsidR="000D4D84">
        <w:rPr>
          <w:color w:val="000000"/>
          <w:sz w:val="24"/>
          <w:szCs w:val="24"/>
        </w:rPr>
        <w:t xml:space="preserve">for </w:t>
      </w:r>
      <w:r w:rsidR="00AF5271">
        <w:rPr>
          <w:color w:val="000000"/>
          <w:sz w:val="24"/>
          <w:szCs w:val="24"/>
        </w:rPr>
        <w:t>the maximum external cross</w:t>
      </w:r>
      <w:r w:rsidR="00AF5271">
        <w:rPr>
          <w:color w:val="000000"/>
          <w:sz w:val="24"/>
          <w:szCs w:val="24"/>
        </w:rPr>
        <w:noBreakHyphen/>
      </w:r>
      <w:r w:rsidR="000D4D84" w:rsidRPr="00B22539">
        <w:rPr>
          <w:color w:val="000000"/>
          <w:sz w:val="24"/>
          <w:szCs w:val="24"/>
        </w:rPr>
        <w:t>section distance of any part of an overhead line</w:t>
      </w:r>
      <w:r w:rsidR="000D4D84">
        <w:rPr>
          <w:color w:val="000000"/>
          <w:sz w:val="24"/>
          <w:szCs w:val="24"/>
        </w:rPr>
        <w:t xml:space="preserve"> or bundle of overhead lines</w:t>
      </w:r>
      <w:r w:rsidR="00FE668E">
        <w:rPr>
          <w:color w:val="000000"/>
          <w:sz w:val="24"/>
          <w:szCs w:val="24"/>
        </w:rPr>
        <w:t>,</w:t>
      </w:r>
      <w:r w:rsidR="000D4D84">
        <w:rPr>
          <w:color w:val="000000"/>
          <w:sz w:val="24"/>
          <w:szCs w:val="24"/>
        </w:rPr>
        <w:t xml:space="preserve"> </w:t>
      </w:r>
      <w:r w:rsidR="00A7055B">
        <w:rPr>
          <w:color w:val="000000"/>
          <w:sz w:val="24"/>
          <w:szCs w:val="24"/>
        </w:rPr>
        <w:t>from 30</w:t>
      </w:r>
      <w:r w:rsidR="000D4D84">
        <w:rPr>
          <w:color w:val="000000"/>
          <w:sz w:val="24"/>
          <w:szCs w:val="24"/>
        </w:rPr>
        <w:t> </w:t>
      </w:r>
      <w:r w:rsidR="00A7055B">
        <w:rPr>
          <w:color w:val="000000"/>
          <w:sz w:val="24"/>
          <w:szCs w:val="24"/>
        </w:rPr>
        <w:t>mm to 48</w:t>
      </w:r>
      <w:r w:rsidR="000D4D84">
        <w:rPr>
          <w:color w:val="000000"/>
          <w:sz w:val="24"/>
          <w:szCs w:val="24"/>
        </w:rPr>
        <w:t> </w:t>
      </w:r>
      <w:r w:rsidR="00A7055B">
        <w:rPr>
          <w:color w:val="000000"/>
          <w:sz w:val="24"/>
          <w:szCs w:val="24"/>
        </w:rPr>
        <w:t>mm</w:t>
      </w:r>
      <w:r w:rsidRPr="00B22539">
        <w:rPr>
          <w:color w:val="000000"/>
          <w:sz w:val="24"/>
          <w:szCs w:val="24"/>
        </w:rPr>
        <w:t>.</w:t>
      </w:r>
    </w:p>
    <w:p w14:paraId="494BC2EA" w14:textId="77777777" w:rsidR="005B095D" w:rsidRDefault="005B095D" w:rsidP="005B095D">
      <w:pPr>
        <w:rPr>
          <w:sz w:val="24"/>
          <w:szCs w:val="24"/>
        </w:rPr>
      </w:pPr>
    </w:p>
    <w:p w14:paraId="16C90ED6" w14:textId="74840072" w:rsidR="000D4D84" w:rsidRPr="00AD62A1" w:rsidRDefault="000D4D84" w:rsidP="000D4D84">
      <w:pPr>
        <w:rPr>
          <w:sz w:val="24"/>
          <w:szCs w:val="24"/>
          <w:highlight w:val="yellow"/>
        </w:rPr>
      </w:pPr>
      <w:r w:rsidRPr="006D6816">
        <w:rPr>
          <w:color w:val="000000"/>
          <w:sz w:val="24"/>
          <w:szCs w:val="24"/>
        </w:rPr>
        <w:t xml:space="preserve">Low-impact facilities are </w:t>
      </w:r>
      <w:r>
        <w:rPr>
          <w:color w:val="000000"/>
          <w:sz w:val="24"/>
          <w:szCs w:val="24"/>
        </w:rPr>
        <w:t>specifie</w:t>
      </w:r>
      <w:r w:rsidR="00AD62A1">
        <w:rPr>
          <w:color w:val="000000"/>
          <w:sz w:val="24"/>
          <w:szCs w:val="24"/>
        </w:rPr>
        <w:t>d</w:t>
      </w:r>
      <w:r>
        <w:rPr>
          <w:color w:val="000000"/>
          <w:sz w:val="24"/>
          <w:szCs w:val="24"/>
        </w:rPr>
        <w:t xml:space="preserve"> </w:t>
      </w:r>
      <w:r w:rsidR="00263210">
        <w:rPr>
          <w:sz w:val="24"/>
          <w:szCs w:val="24"/>
        </w:rPr>
        <w:t xml:space="preserve">in the </w:t>
      </w:r>
      <w:proofErr w:type="spellStart"/>
      <w:r w:rsidR="00263210">
        <w:rPr>
          <w:sz w:val="24"/>
          <w:szCs w:val="24"/>
        </w:rPr>
        <w:t>LIFD</w:t>
      </w:r>
      <w:proofErr w:type="spellEnd"/>
      <w:r w:rsidR="00263210">
        <w:rPr>
          <w:sz w:val="24"/>
          <w:szCs w:val="24"/>
        </w:rPr>
        <w:t>.</w:t>
      </w:r>
      <w:r>
        <w:rPr>
          <w:sz w:val="24"/>
          <w:szCs w:val="24"/>
        </w:rPr>
        <w:t xml:space="preserve"> The Amending Regulation together with any future amendment to the </w:t>
      </w:r>
      <w:r w:rsidR="00BC32BC">
        <w:rPr>
          <w:sz w:val="24"/>
          <w:szCs w:val="24"/>
        </w:rPr>
        <w:t xml:space="preserve">specification of aerial cabling in the </w:t>
      </w:r>
      <w:proofErr w:type="spellStart"/>
      <w:r>
        <w:rPr>
          <w:sz w:val="24"/>
          <w:szCs w:val="24"/>
        </w:rPr>
        <w:t>LIFD</w:t>
      </w:r>
      <w:proofErr w:type="spellEnd"/>
      <w:r>
        <w:rPr>
          <w:sz w:val="24"/>
          <w:szCs w:val="24"/>
        </w:rPr>
        <w:t xml:space="preserve"> will help </w:t>
      </w:r>
      <w:r w:rsidRPr="006242A2">
        <w:rPr>
          <w:sz w:val="24"/>
          <w:szCs w:val="24"/>
        </w:rPr>
        <w:t xml:space="preserve">expedite the aerial deployment of the </w:t>
      </w:r>
      <w:r w:rsidR="00535BB5">
        <w:rPr>
          <w:sz w:val="24"/>
          <w:szCs w:val="24"/>
        </w:rPr>
        <w:t>National Broadband Network</w:t>
      </w:r>
      <w:r>
        <w:rPr>
          <w:sz w:val="24"/>
          <w:szCs w:val="24"/>
        </w:rPr>
        <w:t xml:space="preserve"> and other networks for the </w:t>
      </w:r>
      <w:r w:rsidRPr="00ED74C3">
        <w:rPr>
          <w:sz w:val="24"/>
          <w:szCs w:val="24"/>
        </w:rPr>
        <w:t>high-speed carriage of communications, on a wholesale-only and non-discriminatory basis</w:t>
      </w:r>
      <w:r>
        <w:rPr>
          <w:sz w:val="24"/>
          <w:szCs w:val="24"/>
        </w:rPr>
        <w:t>, involving cables of up to 48</w:t>
      </w:r>
      <w:r w:rsidR="00AD62A1">
        <w:rPr>
          <w:sz w:val="24"/>
          <w:szCs w:val="24"/>
        </w:rPr>
        <w:t xml:space="preserve"> </w:t>
      </w:r>
      <w:r>
        <w:rPr>
          <w:sz w:val="24"/>
          <w:szCs w:val="24"/>
        </w:rPr>
        <w:t xml:space="preserve">mm in diameter. </w:t>
      </w:r>
      <w:r w:rsidR="00535BB5">
        <w:rPr>
          <w:sz w:val="24"/>
          <w:szCs w:val="24"/>
        </w:rPr>
        <w:t>Carriers are expected to</w:t>
      </w:r>
      <w:r>
        <w:rPr>
          <w:sz w:val="24"/>
          <w:szCs w:val="24"/>
        </w:rPr>
        <w:t xml:space="preserve"> </w:t>
      </w:r>
      <w:r w:rsidRPr="00ED74C3">
        <w:rPr>
          <w:sz w:val="24"/>
          <w:szCs w:val="24"/>
        </w:rPr>
        <w:t>use the smallest cable and cable bundle</w:t>
      </w:r>
      <w:r w:rsidR="00535BB5">
        <w:rPr>
          <w:sz w:val="24"/>
          <w:szCs w:val="24"/>
        </w:rPr>
        <w:t xml:space="preserve">s </w:t>
      </w:r>
      <w:r w:rsidRPr="00ED74C3">
        <w:rPr>
          <w:sz w:val="24"/>
          <w:szCs w:val="24"/>
        </w:rPr>
        <w:t xml:space="preserve">feasible for </w:t>
      </w:r>
      <w:r>
        <w:rPr>
          <w:sz w:val="24"/>
          <w:szCs w:val="24"/>
        </w:rPr>
        <w:t>aerial cabling</w:t>
      </w:r>
      <w:r w:rsidRPr="00ED74C3">
        <w:rPr>
          <w:sz w:val="24"/>
          <w:szCs w:val="24"/>
        </w:rPr>
        <w:t xml:space="preserve"> in an area.</w:t>
      </w:r>
    </w:p>
    <w:p w14:paraId="6259E389" w14:textId="77777777" w:rsidR="000D4D84" w:rsidRDefault="000D4D84" w:rsidP="005B095D">
      <w:pPr>
        <w:rPr>
          <w:sz w:val="24"/>
          <w:szCs w:val="24"/>
        </w:rPr>
      </w:pPr>
    </w:p>
    <w:p w14:paraId="494BC2EB" w14:textId="77777777" w:rsidR="005B095D" w:rsidRDefault="005B095D" w:rsidP="005B095D">
      <w:pPr>
        <w:rPr>
          <w:color w:val="000000" w:themeColor="text1"/>
          <w:sz w:val="24"/>
          <w:szCs w:val="24"/>
        </w:rPr>
      </w:pPr>
      <w:r>
        <w:rPr>
          <w:color w:val="000000" w:themeColor="text1"/>
          <w:sz w:val="24"/>
          <w:szCs w:val="24"/>
        </w:rPr>
        <w:t xml:space="preserve">No human rights issues were raised during consultation undertaken in developing the draft Amending Regulation </w:t>
      </w:r>
    </w:p>
    <w:p w14:paraId="494BC2EC" w14:textId="77777777" w:rsidR="005B095D" w:rsidRDefault="005B095D" w:rsidP="005B095D">
      <w:pPr>
        <w:keepNext/>
        <w:rPr>
          <w:b/>
          <w:bCs/>
          <w:sz w:val="24"/>
          <w:szCs w:val="24"/>
        </w:rPr>
      </w:pPr>
    </w:p>
    <w:p w14:paraId="494BC2ED" w14:textId="77777777" w:rsidR="005B095D" w:rsidRDefault="005B095D" w:rsidP="005B095D">
      <w:pPr>
        <w:keepNext/>
        <w:rPr>
          <w:b/>
          <w:bCs/>
          <w:sz w:val="24"/>
          <w:szCs w:val="24"/>
        </w:rPr>
      </w:pPr>
      <w:r>
        <w:rPr>
          <w:b/>
          <w:bCs/>
          <w:sz w:val="24"/>
          <w:szCs w:val="24"/>
        </w:rPr>
        <w:t>Human rights implications</w:t>
      </w:r>
    </w:p>
    <w:p w14:paraId="494BC2EE" w14:textId="77777777" w:rsidR="005B095D" w:rsidRDefault="005B095D" w:rsidP="005B095D">
      <w:pPr>
        <w:keepNext/>
        <w:rPr>
          <w:b/>
          <w:bCs/>
          <w:sz w:val="24"/>
          <w:szCs w:val="24"/>
        </w:rPr>
      </w:pPr>
    </w:p>
    <w:p w14:paraId="494BC2EF" w14:textId="77777777" w:rsidR="005B095D" w:rsidRDefault="005B095D" w:rsidP="005B095D">
      <w:pPr>
        <w:keepNext/>
        <w:rPr>
          <w:sz w:val="24"/>
          <w:szCs w:val="24"/>
        </w:rPr>
      </w:pPr>
      <w:r>
        <w:rPr>
          <w:sz w:val="24"/>
          <w:szCs w:val="24"/>
        </w:rPr>
        <w:t xml:space="preserve">The Amending Regulation does not engage any of the applicable rights or freedoms. </w:t>
      </w:r>
    </w:p>
    <w:p w14:paraId="494BC2F0" w14:textId="77777777" w:rsidR="005B095D" w:rsidRDefault="005B095D" w:rsidP="005B095D">
      <w:pPr>
        <w:rPr>
          <w:sz w:val="24"/>
          <w:szCs w:val="24"/>
        </w:rPr>
      </w:pPr>
    </w:p>
    <w:p w14:paraId="494BC2F1" w14:textId="77777777" w:rsidR="005B095D" w:rsidRDefault="005B095D" w:rsidP="005B095D">
      <w:pPr>
        <w:rPr>
          <w:b/>
          <w:bCs/>
          <w:sz w:val="24"/>
          <w:szCs w:val="24"/>
        </w:rPr>
      </w:pPr>
      <w:r>
        <w:rPr>
          <w:b/>
          <w:bCs/>
          <w:sz w:val="24"/>
          <w:szCs w:val="24"/>
        </w:rPr>
        <w:t>Conclusion</w:t>
      </w:r>
    </w:p>
    <w:p w14:paraId="494BC2F2" w14:textId="77777777" w:rsidR="005B095D" w:rsidRDefault="005B095D" w:rsidP="005B095D">
      <w:pPr>
        <w:rPr>
          <w:b/>
          <w:bCs/>
          <w:sz w:val="24"/>
          <w:szCs w:val="24"/>
        </w:rPr>
      </w:pPr>
    </w:p>
    <w:p w14:paraId="494BC2F3" w14:textId="77777777" w:rsidR="005B095D" w:rsidRDefault="005B095D" w:rsidP="005B095D">
      <w:pPr>
        <w:rPr>
          <w:sz w:val="24"/>
          <w:szCs w:val="24"/>
        </w:rPr>
      </w:pPr>
      <w:r>
        <w:rPr>
          <w:sz w:val="24"/>
          <w:szCs w:val="24"/>
        </w:rPr>
        <w:t>This Amending Regulation is compatible with human rights as it does not raise any human rights issues.</w:t>
      </w:r>
    </w:p>
    <w:p w14:paraId="494BC2F6" w14:textId="77777777" w:rsidR="005B095D" w:rsidRDefault="005B095D" w:rsidP="005B095D">
      <w:pPr>
        <w:ind w:right="91"/>
        <w:rPr>
          <w:sz w:val="24"/>
          <w:szCs w:val="24"/>
        </w:rPr>
      </w:pPr>
    </w:p>
    <w:p w14:paraId="494BC2F7" w14:textId="77777777" w:rsidR="005B095D" w:rsidRDefault="005B095D">
      <w:pPr>
        <w:ind w:right="91"/>
      </w:pPr>
    </w:p>
    <w:sectPr w:rsidR="005B095D" w:rsidSect="009E3069">
      <w:headerReference w:type="default" r:id="rId12"/>
      <w:footerReference w:type="default" r:id="rId13"/>
      <w:headerReference w:type="first" r:id="rId14"/>
      <w:pgSz w:w="11906" w:h="16838" w:code="9"/>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BC2FA" w14:textId="77777777" w:rsidR="00735D09" w:rsidRDefault="00735D09">
      <w:r>
        <w:separator/>
      </w:r>
    </w:p>
  </w:endnote>
  <w:endnote w:type="continuationSeparator" w:id="0">
    <w:p w14:paraId="494BC2FB" w14:textId="77777777" w:rsidR="00735D09" w:rsidRDefault="0073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BC2FF" w14:textId="77777777" w:rsidR="0071556E" w:rsidRDefault="0071556E">
    <w:pPr>
      <w:pStyle w:val="Footer"/>
      <w:jc w:val="center"/>
    </w:pPr>
  </w:p>
  <w:p w14:paraId="494BC300" w14:textId="77777777" w:rsidR="0071556E" w:rsidRDefault="00715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BC2F8" w14:textId="77777777" w:rsidR="00735D09" w:rsidRDefault="00735D09">
      <w:r>
        <w:separator/>
      </w:r>
    </w:p>
  </w:footnote>
  <w:footnote w:type="continuationSeparator" w:id="0">
    <w:p w14:paraId="494BC2F9" w14:textId="77777777" w:rsidR="00735D09" w:rsidRDefault="00735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BC2FD" w14:textId="7E76EE74" w:rsidR="0071556E" w:rsidRDefault="0071556E">
    <w:pPr>
      <w:pStyle w:val="Header"/>
    </w:pPr>
    <w:r>
      <w:tab/>
    </w:r>
    <w:r w:rsidR="00994C9A">
      <w:rPr>
        <w:rStyle w:val="PageNumber"/>
      </w:rPr>
      <w:fldChar w:fldCharType="begin"/>
    </w:r>
    <w:r>
      <w:rPr>
        <w:rStyle w:val="PageNumber"/>
      </w:rPr>
      <w:instrText xml:space="preserve"> PAGE </w:instrText>
    </w:r>
    <w:r w:rsidR="00994C9A">
      <w:rPr>
        <w:rStyle w:val="PageNumber"/>
      </w:rPr>
      <w:fldChar w:fldCharType="separate"/>
    </w:r>
    <w:r w:rsidR="00D0190A">
      <w:rPr>
        <w:rStyle w:val="PageNumber"/>
        <w:noProof/>
      </w:rPr>
      <w:t>2</w:t>
    </w:r>
    <w:r w:rsidR="00994C9A">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BC301" w14:textId="6D7196AF" w:rsidR="0071556E" w:rsidRDefault="00AD775C">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AFA"/>
    <w:multiLevelType w:val="hybridMultilevel"/>
    <w:tmpl w:val="74CAF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5B7353"/>
    <w:multiLevelType w:val="hybridMultilevel"/>
    <w:tmpl w:val="EEE20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2F297E"/>
    <w:multiLevelType w:val="hybridMultilevel"/>
    <w:tmpl w:val="0D8E5F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nsid w:val="20B215FE"/>
    <w:multiLevelType w:val="hybridMultilevel"/>
    <w:tmpl w:val="C9100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33156EC"/>
    <w:multiLevelType w:val="hybridMultilevel"/>
    <w:tmpl w:val="C232A52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nsid w:val="292238A9"/>
    <w:multiLevelType w:val="hybridMultilevel"/>
    <w:tmpl w:val="64081D74"/>
    <w:lvl w:ilvl="0" w:tplc="CD863BBE">
      <w:start w:val="59"/>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5B411D29"/>
    <w:multiLevelType w:val="hybridMultilevel"/>
    <w:tmpl w:val="02D60362"/>
    <w:lvl w:ilvl="0" w:tplc="D9D8BA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AFF787D"/>
    <w:multiLevelType w:val="hybridMultilevel"/>
    <w:tmpl w:val="51B88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2C2"/>
    <w:rsid w:val="000023B6"/>
    <w:rsid w:val="00003EA0"/>
    <w:rsid w:val="00006192"/>
    <w:rsid w:val="000200E9"/>
    <w:rsid w:val="00023BBD"/>
    <w:rsid w:val="0002556F"/>
    <w:rsid w:val="00041580"/>
    <w:rsid w:val="00044313"/>
    <w:rsid w:val="0005086D"/>
    <w:rsid w:val="00053A87"/>
    <w:rsid w:val="00060B54"/>
    <w:rsid w:val="00066CAF"/>
    <w:rsid w:val="000835F3"/>
    <w:rsid w:val="00085F3E"/>
    <w:rsid w:val="00086973"/>
    <w:rsid w:val="000935FC"/>
    <w:rsid w:val="000A16F7"/>
    <w:rsid w:val="000A3C54"/>
    <w:rsid w:val="000B03D3"/>
    <w:rsid w:val="000D4D84"/>
    <w:rsid w:val="000E21DD"/>
    <w:rsid w:val="000F4ADF"/>
    <w:rsid w:val="001317C1"/>
    <w:rsid w:val="00132106"/>
    <w:rsid w:val="00136285"/>
    <w:rsid w:val="001521CC"/>
    <w:rsid w:val="00153481"/>
    <w:rsid w:val="00175E65"/>
    <w:rsid w:val="001821BA"/>
    <w:rsid w:val="00183A9B"/>
    <w:rsid w:val="00186C51"/>
    <w:rsid w:val="001932E0"/>
    <w:rsid w:val="001935DF"/>
    <w:rsid w:val="001A2D7E"/>
    <w:rsid w:val="001B6D66"/>
    <w:rsid w:val="001C570F"/>
    <w:rsid w:val="001C76B5"/>
    <w:rsid w:val="001D3DF0"/>
    <w:rsid w:val="001D4003"/>
    <w:rsid w:val="001D782F"/>
    <w:rsid w:val="001E5557"/>
    <w:rsid w:val="00202CB7"/>
    <w:rsid w:val="002045FD"/>
    <w:rsid w:val="00210E31"/>
    <w:rsid w:val="00216CED"/>
    <w:rsid w:val="002170B7"/>
    <w:rsid w:val="002301ED"/>
    <w:rsid w:val="00237424"/>
    <w:rsid w:val="002465C3"/>
    <w:rsid w:val="00247878"/>
    <w:rsid w:val="002512F5"/>
    <w:rsid w:val="00263210"/>
    <w:rsid w:val="00267D2C"/>
    <w:rsid w:val="0027557E"/>
    <w:rsid w:val="002A4D50"/>
    <w:rsid w:val="002C3A28"/>
    <w:rsid w:val="002C51FA"/>
    <w:rsid w:val="002D5B69"/>
    <w:rsid w:val="002D6C7E"/>
    <w:rsid w:val="002E06A8"/>
    <w:rsid w:val="00313D16"/>
    <w:rsid w:val="00336928"/>
    <w:rsid w:val="00370A56"/>
    <w:rsid w:val="00377775"/>
    <w:rsid w:val="00386263"/>
    <w:rsid w:val="003B4580"/>
    <w:rsid w:val="003B751D"/>
    <w:rsid w:val="003D1430"/>
    <w:rsid w:val="003D1B67"/>
    <w:rsid w:val="003D563E"/>
    <w:rsid w:val="003E06E2"/>
    <w:rsid w:val="003F476F"/>
    <w:rsid w:val="003F693D"/>
    <w:rsid w:val="004109B1"/>
    <w:rsid w:val="00414502"/>
    <w:rsid w:val="00430695"/>
    <w:rsid w:val="004310F8"/>
    <w:rsid w:val="004313CC"/>
    <w:rsid w:val="0043221E"/>
    <w:rsid w:val="0043256A"/>
    <w:rsid w:val="004364E8"/>
    <w:rsid w:val="00444F81"/>
    <w:rsid w:val="00462A0C"/>
    <w:rsid w:val="004700D7"/>
    <w:rsid w:val="00477179"/>
    <w:rsid w:val="004B70E4"/>
    <w:rsid w:val="004C03FB"/>
    <w:rsid w:val="004C6A7E"/>
    <w:rsid w:val="004D4709"/>
    <w:rsid w:val="004E0A4E"/>
    <w:rsid w:val="004E740D"/>
    <w:rsid w:val="005166D5"/>
    <w:rsid w:val="005266B1"/>
    <w:rsid w:val="00535BB5"/>
    <w:rsid w:val="005451D3"/>
    <w:rsid w:val="00551496"/>
    <w:rsid w:val="00555F31"/>
    <w:rsid w:val="0056625E"/>
    <w:rsid w:val="00567288"/>
    <w:rsid w:val="00573CE3"/>
    <w:rsid w:val="00582550"/>
    <w:rsid w:val="005904B4"/>
    <w:rsid w:val="00595114"/>
    <w:rsid w:val="005A4D1C"/>
    <w:rsid w:val="005B095D"/>
    <w:rsid w:val="005B1FF2"/>
    <w:rsid w:val="005D277F"/>
    <w:rsid w:val="005D3D81"/>
    <w:rsid w:val="005D4AA7"/>
    <w:rsid w:val="00602BCC"/>
    <w:rsid w:val="00616BFF"/>
    <w:rsid w:val="0062347E"/>
    <w:rsid w:val="006242A2"/>
    <w:rsid w:val="00641AED"/>
    <w:rsid w:val="006421C8"/>
    <w:rsid w:val="00643A94"/>
    <w:rsid w:val="00656189"/>
    <w:rsid w:val="006608FD"/>
    <w:rsid w:val="00672507"/>
    <w:rsid w:val="0067364C"/>
    <w:rsid w:val="00684D65"/>
    <w:rsid w:val="0068770C"/>
    <w:rsid w:val="006906BB"/>
    <w:rsid w:val="006A003B"/>
    <w:rsid w:val="006B41FF"/>
    <w:rsid w:val="006B5375"/>
    <w:rsid w:val="006C1C87"/>
    <w:rsid w:val="006C482E"/>
    <w:rsid w:val="006C629B"/>
    <w:rsid w:val="006D59B8"/>
    <w:rsid w:val="006D6816"/>
    <w:rsid w:val="006D7644"/>
    <w:rsid w:val="006E775F"/>
    <w:rsid w:val="006E7F8C"/>
    <w:rsid w:val="007051FC"/>
    <w:rsid w:val="0071556E"/>
    <w:rsid w:val="00722C63"/>
    <w:rsid w:val="00723D67"/>
    <w:rsid w:val="007240FE"/>
    <w:rsid w:val="007277A2"/>
    <w:rsid w:val="00727D41"/>
    <w:rsid w:val="00731CBA"/>
    <w:rsid w:val="00735D09"/>
    <w:rsid w:val="00741093"/>
    <w:rsid w:val="007425EA"/>
    <w:rsid w:val="00745A48"/>
    <w:rsid w:val="00751222"/>
    <w:rsid w:val="0075207B"/>
    <w:rsid w:val="00755CC8"/>
    <w:rsid w:val="007800BE"/>
    <w:rsid w:val="007868F2"/>
    <w:rsid w:val="007964C8"/>
    <w:rsid w:val="007979CA"/>
    <w:rsid w:val="007C0E46"/>
    <w:rsid w:val="007C4175"/>
    <w:rsid w:val="007C6695"/>
    <w:rsid w:val="007D2671"/>
    <w:rsid w:val="007F0ECE"/>
    <w:rsid w:val="007F3D1F"/>
    <w:rsid w:val="0080453D"/>
    <w:rsid w:val="00827818"/>
    <w:rsid w:val="0084498A"/>
    <w:rsid w:val="00847602"/>
    <w:rsid w:val="00851666"/>
    <w:rsid w:val="008539C3"/>
    <w:rsid w:val="008573B3"/>
    <w:rsid w:val="00863BD7"/>
    <w:rsid w:val="008669DC"/>
    <w:rsid w:val="00877635"/>
    <w:rsid w:val="008917FA"/>
    <w:rsid w:val="008C0AE9"/>
    <w:rsid w:val="008C29DE"/>
    <w:rsid w:val="008F64A3"/>
    <w:rsid w:val="009158D6"/>
    <w:rsid w:val="009314E5"/>
    <w:rsid w:val="009521D3"/>
    <w:rsid w:val="009760E2"/>
    <w:rsid w:val="00992D55"/>
    <w:rsid w:val="00994C9A"/>
    <w:rsid w:val="009A1593"/>
    <w:rsid w:val="009A1611"/>
    <w:rsid w:val="009A18A1"/>
    <w:rsid w:val="009C54C0"/>
    <w:rsid w:val="009C7363"/>
    <w:rsid w:val="009D2D73"/>
    <w:rsid w:val="009E3069"/>
    <w:rsid w:val="009E328A"/>
    <w:rsid w:val="009F1290"/>
    <w:rsid w:val="009F3D6D"/>
    <w:rsid w:val="009F7B38"/>
    <w:rsid w:val="00A00707"/>
    <w:rsid w:val="00A05DD0"/>
    <w:rsid w:val="00A06675"/>
    <w:rsid w:val="00A11AC1"/>
    <w:rsid w:val="00A25400"/>
    <w:rsid w:val="00A33E57"/>
    <w:rsid w:val="00A5305C"/>
    <w:rsid w:val="00A7055B"/>
    <w:rsid w:val="00A71209"/>
    <w:rsid w:val="00AB2DAF"/>
    <w:rsid w:val="00AD2156"/>
    <w:rsid w:val="00AD2C0A"/>
    <w:rsid w:val="00AD62A1"/>
    <w:rsid w:val="00AD6547"/>
    <w:rsid w:val="00AD775C"/>
    <w:rsid w:val="00AE42C2"/>
    <w:rsid w:val="00AE4D59"/>
    <w:rsid w:val="00AF2D04"/>
    <w:rsid w:val="00AF5271"/>
    <w:rsid w:val="00B00384"/>
    <w:rsid w:val="00B276EE"/>
    <w:rsid w:val="00B33389"/>
    <w:rsid w:val="00B36A36"/>
    <w:rsid w:val="00B52C38"/>
    <w:rsid w:val="00B568FE"/>
    <w:rsid w:val="00B56F18"/>
    <w:rsid w:val="00B861F1"/>
    <w:rsid w:val="00BA620C"/>
    <w:rsid w:val="00BB214D"/>
    <w:rsid w:val="00BB681A"/>
    <w:rsid w:val="00BC32BC"/>
    <w:rsid w:val="00BE43B2"/>
    <w:rsid w:val="00BF1AAB"/>
    <w:rsid w:val="00C17DFD"/>
    <w:rsid w:val="00C246A5"/>
    <w:rsid w:val="00C26030"/>
    <w:rsid w:val="00C3342E"/>
    <w:rsid w:val="00C415B2"/>
    <w:rsid w:val="00C55FAC"/>
    <w:rsid w:val="00C56E34"/>
    <w:rsid w:val="00C57961"/>
    <w:rsid w:val="00C6129F"/>
    <w:rsid w:val="00C679BB"/>
    <w:rsid w:val="00C704A8"/>
    <w:rsid w:val="00C92583"/>
    <w:rsid w:val="00CA66C3"/>
    <w:rsid w:val="00CB1C4A"/>
    <w:rsid w:val="00CB46A5"/>
    <w:rsid w:val="00CF12CC"/>
    <w:rsid w:val="00D0190A"/>
    <w:rsid w:val="00D040B9"/>
    <w:rsid w:val="00D123D4"/>
    <w:rsid w:val="00D14406"/>
    <w:rsid w:val="00D414B1"/>
    <w:rsid w:val="00D42C45"/>
    <w:rsid w:val="00D43E19"/>
    <w:rsid w:val="00D50E54"/>
    <w:rsid w:val="00D5277C"/>
    <w:rsid w:val="00D5328A"/>
    <w:rsid w:val="00D532C5"/>
    <w:rsid w:val="00D71CBD"/>
    <w:rsid w:val="00D80EF9"/>
    <w:rsid w:val="00D85050"/>
    <w:rsid w:val="00D867FF"/>
    <w:rsid w:val="00D86A5B"/>
    <w:rsid w:val="00D908AC"/>
    <w:rsid w:val="00DA0AFC"/>
    <w:rsid w:val="00DA1B5D"/>
    <w:rsid w:val="00DC5173"/>
    <w:rsid w:val="00DE0AAE"/>
    <w:rsid w:val="00DF12AE"/>
    <w:rsid w:val="00E00B35"/>
    <w:rsid w:val="00E00D73"/>
    <w:rsid w:val="00E04F0C"/>
    <w:rsid w:val="00E05B5C"/>
    <w:rsid w:val="00E07DD3"/>
    <w:rsid w:val="00E2528B"/>
    <w:rsid w:val="00E3778F"/>
    <w:rsid w:val="00E762BC"/>
    <w:rsid w:val="00E77FCF"/>
    <w:rsid w:val="00EA034C"/>
    <w:rsid w:val="00EB50D4"/>
    <w:rsid w:val="00ED1E67"/>
    <w:rsid w:val="00ED74C3"/>
    <w:rsid w:val="00EE09BD"/>
    <w:rsid w:val="00F0453E"/>
    <w:rsid w:val="00F24BF3"/>
    <w:rsid w:val="00F373E1"/>
    <w:rsid w:val="00F44897"/>
    <w:rsid w:val="00F552AF"/>
    <w:rsid w:val="00F57837"/>
    <w:rsid w:val="00F60A8F"/>
    <w:rsid w:val="00F6450E"/>
    <w:rsid w:val="00F64BDA"/>
    <w:rsid w:val="00F65985"/>
    <w:rsid w:val="00F727EE"/>
    <w:rsid w:val="00FB3A3B"/>
    <w:rsid w:val="00FC2E0D"/>
    <w:rsid w:val="00FC476F"/>
    <w:rsid w:val="00FD0AF7"/>
    <w:rsid w:val="00FD14C7"/>
    <w:rsid w:val="00FE2047"/>
    <w:rsid w:val="00FE66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4B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2C2"/>
    <w:rPr>
      <w:rFonts w:ascii="Times New Roman" w:eastAsia="Times New Roman" w:hAnsi="Times New Roman"/>
    </w:rPr>
  </w:style>
  <w:style w:type="paragraph" w:styleId="Heading1">
    <w:name w:val="heading 1"/>
    <w:basedOn w:val="Normal"/>
    <w:next w:val="Normal"/>
    <w:link w:val="Heading1Char"/>
    <w:qFormat/>
    <w:rsid w:val="00AE42C2"/>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42C2"/>
    <w:rPr>
      <w:rFonts w:ascii="Times New Roman" w:eastAsia="Times New Roman" w:hAnsi="Times New Roman" w:cs="Times New Roman"/>
      <w:i/>
      <w:sz w:val="24"/>
      <w:szCs w:val="20"/>
      <w:lang w:eastAsia="en-AU"/>
    </w:rPr>
  </w:style>
  <w:style w:type="paragraph" w:styleId="Title">
    <w:name w:val="Title"/>
    <w:basedOn w:val="Normal"/>
    <w:link w:val="TitleChar"/>
    <w:qFormat/>
    <w:rsid w:val="00AE42C2"/>
    <w:pPr>
      <w:jc w:val="center"/>
    </w:pPr>
    <w:rPr>
      <w:b/>
      <w:sz w:val="24"/>
      <w:u w:val="single"/>
      <w:lang w:val="en-GB" w:eastAsia="en-US"/>
    </w:rPr>
  </w:style>
  <w:style w:type="character" w:customStyle="1" w:styleId="TitleChar">
    <w:name w:val="Title Char"/>
    <w:basedOn w:val="DefaultParagraphFont"/>
    <w:link w:val="Title"/>
    <w:rsid w:val="00AE42C2"/>
    <w:rPr>
      <w:rFonts w:ascii="Times New Roman" w:eastAsia="Times New Roman" w:hAnsi="Times New Roman" w:cs="Times New Roman"/>
      <w:b/>
      <w:sz w:val="24"/>
      <w:szCs w:val="20"/>
      <w:u w:val="single"/>
      <w:lang w:val="en-GB"/>
    </w:rPr>
  </w:style>
  <w:style w:type="paragraph" w:styleId="BodyText3">
    <w:name w:val="Body Text 3"/>
    <w:basedOn w:val="Normal"/>
    <w:link w:val="BodyText3Char"/>
    <w:rsid w:val="00AE42C2"/>
    <w:rPr>
      <w:sz w:val="24"/>
      <w:u w:val="single"/>
      <w:lang w:val="en-GB" w:eastAsia="en-US"/>
    </w:rPr>
  </w:style>
  <w:style w:type="character" w:customStyle="1" w:styleId="BodyText3Char">
    <w:name w:val="Body Text 3 Char"/>
    <w:basedOn w:val="DefaultParagraphFont"/>
    <w:link w:val="BodyText3"/>
    <w:rsid w:val="00AE42C2"/>
    <w:rPr>
      <w:rFonts w:ascii="Times New Roman" w:eastAsia="Times New Roman" w:hAnsi="Times New Roman" w:cs="Times New Roman"/>
      <w:sz w:val="24"/>
      <w:szCs w:val="20"/>
      <w:u w:val="single"/>
      <w:lang w:val="en-GB"/>
    </w:rPr>
  </w:style>
  <w:style w:type="paragraph" w:styleId="BodyText">
    <w:name w:val="Body Text"/>
    <w:basedOn w:val="Normal"/>
    <w:link w:val="BodyTextChar"/>
    <w:rsid w:val="00AE42C2"/>
    <w:pPr>
      <w:jc w:val="center"/>
    </w:pPr>
    <w:rPr>
      <w:sz w:val="24"/>
    </w:rPr>
  </w:style>
  <w:style w:type="character" w:customStyle="1" w:styleId="BodyTextChar">
    <w:name w:val="Body Text Char"/>
    <w:basedOn w:val="DefaultParagraphFont"/>
    <w:link w:val="BodyText"/>
    <w:rsid w:val="00AE42C2"/>
    <w:rPr>
      <w:rFonts w:ascii="Times New Roman" w:eastAsia="Times New Roman" w:hAnsi="Times New Roman" w:cs="Times New Roman"/>
      <w:sz w:val="24"/>
      <w:szCs w:val="20"/>
      <w:lang w:eastAsia="en-AU"/>
    </w:rPr>
  </w:style>
  <w:style w:type="paragraph" w:styleId="BodyText2">
    <w:name w:val="Body Text 2"/>
    <w:basedOn w:val="Normal"/>
    <w:link w:val="BodyText2Char"/>
    <w:rsid w:val="00AE42C2"/>
    <w:rPr>
      <w:snapToGrid w:val="0"/>
      <w:sz w:val="24"/>
      <w:lang w:eastAsia="en-US"/>
    </w:rPr>
  </w:style>
  <w:style w:type="character" w:customStyle="1" w:styleId="BodyText2Char">
    <w:name w:val="Body Text 2 Char"/>
    <w:basedOn w:val="DefaultParagraphFont"/>
    <w:link w:val="BodyText2"/>
    <w:rsid w:val="00AE42C2"/>
    <w:rPr>
      <w:rFonts w:ascii="Times New Roman" w:eastAsia="Times New Roman" w:hAnsi="Times New Roman" w:cs="Times New Roman"/>
      <w:snapToGrid w:val="0"/>
      <w:sz w:val="24"/>
      <w:szCs w:val="20"/>
    </w:rPr>
  </w:style>
  <w:style w:type="paragraph" w:styleId="Header">
    <w:name w:val="header"/>
    <w:basedOn w:val="Normal"/>
    <w:link w:val="HeaderChar"/>
    <w:rsid w:val="00AE42C2"/>
    <w:pPr>
      <w:tabs>
        <w:tab w:val="center" w:pos="4320"/>
        <w:tab w:val="right" w:pos="8640"/>
      </w:tabs>
    </w:pPr>
    <w:rPr>
      <w:sz w:val="24"/>
    </w:rPr>
  </w:style>
  <w:style w:type="character" w:customStyle="1" w:styleId="HeaderChar">
    <w:name w:val="Header Char"/>
    <w:basedOn w:val="DefaultParagraphFont"/>
    <w:link w:val="Header"/>
    <w:rsid w:val="00AE42C2"/>
    <w:rPr>
      <w:rFonts w:ascii="Times New Roman" w:eastAsia="Times New Roman" w:hAnsi="Times New Roman" w:cs="Times New Roman"/>
      <w:sz w:val="24"/>
      <w:szCs w:val="20"/>
      <w:lang w:eastAsia="en-AU"/>
    </w:rPr>
  </w:style>
  <w:style w:type="character" w:styleId="PageNumber">
    <w:name w:val="page number"/>
    <w:basedOn w:val="DefaultParagraphFont"/>
    <w:rsid w:val="00AE42C2"/>
  </w:style>
  <w:style w:type="character" w:styleId="CommentReference">
    <w:name w:val="annotation reference"/>
    <w:basedOn w:val="DefaultParagraphFont"/>
    <w:rsid w:val="00AE42C2"/>
    <w:rPr>
      <w:sz w:val="16"/>
      <w:szCs w:val="16"/>
    </w:rPr>
  </w:style>
  <w:style w:type="paragraph" w:styleId="CommentText">
    <w:name w:val="annotation text"/>
    <w:basedOn w:val="Normal"/>
    <w:link w:val="CommentTextChar"/>
    <w:rsid w:val="00AE42C2"/>
  </w:style>
  <w:style w:type="character" w:customStyle="1" w:styleId="CommentTextChar">
    <w:name w:val="Comment Text Char"/>
    <w:basedOn w:val="DefaultParagraphFont"/>
    <w:link w:val="CommentText"/>
    <w:rsid w:val="00AE42C2"/>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AE42C2"/>
    <w:pPr>
      <w:ind w:left="720"/>
    </w:pPr>
  </w:style>
  <w:style w:type="paragraph" w:styleId="Footer">
    <w:name w:val="footer"/>
    <w:basedOn w:val="Normal"/>
    <w:link w:val="FooterChar"/>
    <w:uiPriority w:val="99"/>
    <w:rsid w:val="00AE42C2"/>
    <w:pPr>
      <w:tabs>
        <w:tab w:val="center" w:pos="4513"/>
        <w:tab w:val="right" w:pos="9026"/>
      </w:tabs>
    </w:pPr>
  </w:style>
  <w:style w:type="character" w:customStyle="1" w:styleId="FooterChar">
    <w:name w:val="Footer Char"/>
    <w:basedOn w:val="DefaultParagraphFont"/>
    <w:link w:val="Footer"/>
    <w:uiPriority w:val="99"/>
    <w:rsid w:val="00AE42C2"/>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AE42C2"/>
    <w:rPr>
      <w:rFonts w:ascii="Tahoma" w:hAnsi="Tahoma" w:cs="Tahoma"/>
      <w:sz w:val="16"/>
      <w:szCs w:val="16"/>
    </w:rPr>
  </w:style>
  <w:style w:type="character" w:customStyle="1" w:styleId="BalloonTextChar">
    <w:name w:val="Balloon Text Char"/>
    <w:basedOn w:val="DefaultParagraphFont"/>
    <w:link w:val="BalloonText"/>
    <w:uiPriority w:val="99"/>
    <w:semiHidden/>
    <w:rsid w:val="00AE42C2"/>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E77FCF"/>
    <w:rPr>
      <w:b/>
      <w:bCs/>
    </w:rPr>
  </w:style>
  <w:style w:type="character" w:customStyle="1" w:styleId="CommentSubjectChar">
    <w:name w:val="Comment Subject Char"/>
    <w:basedOn w:val="CommentTextChar"/>
    <w:link w:val="CommentSubject"/>
    <w:uiPriority w:val="99"/>
    <w:semiHidden/>
    <w:rsid w:val="00E77FCF"/>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E04F0C"/>
    <w:pPr>
      <w:spacing w:before="100" w:beforeAutospacing="1" w:after="100" w:afterAutospacing="1"/>
    </w:pPr>
    <w:rPr>
      <w:sz w:val="24"/>
      <w:szCs w:val="24"/>
    </w:rPr>
  </w:style>
  <w:style w:type="character" w:styleId="Hyperlink">
    <w:name w:val="Hyperlink"/>
    <w:basedOn w:val="DefaultParagraphFont"/>
    <w:uiPriority w:val="99"/>
    <w:semiHidden/>
    <w:unhideWhenUsed/>
    <w:rsid w:val="00E04F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2C2"/>
    <w:rPr>
      <w:rFonts w:ascii="Times New Roman" w:eastAsia="Times New Roman" w:hAnsi="Times New Roman"/>
    </w:rPr>
  </w:style>
  <w:style w:type="paragraph" w:styleId="Heading1">
    <w:name w:val="heading 1"/>
    <w:basedOn w:val="Normal"/>
    <w:next w:val="Normal"/>
    <w:link w:val="Heading1Char"/>
    <w:qFormat/>
    <w:rsid w:val="00AE42C2"/>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42C2"/>
    <w:rPr>
      <w:rFonts w:ascii="Times New Roman" w:eastAsia="Times New Roman" w:hAnsi="Times New Roman" w:cs="Times New Roman"/>
      <w:i/>
      <w:sz w:val="24"/>
      <w:szCs w:val="20"/>
      <w:lang w:eastAsia="en-AU"/>
    </w:rPr>
  </w:style>
  <w:style w:type="paragraph" w:styleId="Title">
    <w:name w:val="Title"/>
    <w:basedOn w:val="Normal"/>
    <w:link w:val="TitleChar"/>
    <w:qFormat/>
    <w:rsid w:val="00AE42C2"/>
    <w:pPr>
      <w:jc w:val="center"/>
    </w:pPr>
    <w:rPr>
      <w:b/>
      <w:sz w:val="24"/>
      <w:u w:val="single"/>
      <w:lang w:val="en-GB" w:eastAsia="en-US"/>
    </w:rPr>
  </w:style>
  <w:style w:type="character" w:customStyle="1" w:styleId="TitleChar">
    <w:name w:val="Title Char"/>
    <w:basedOn w:val="DefaultParagraphFont"/>
    <w:link w:val="Title"/>
    <w:rsid w:val="00AE42C2"/>
    <w:rPr>
      <w:rFonts w:ascii="Times New Roman" w:eastAsia="Times New Roman" w:hAnsi="Times New Roman" w:cs="Times New Roman"/>
      <w:b/>
      <w:sz w:val="24"/>
      <w:szCs w:val="20"/>
      <w:u w:val="single"/>
      <w:lang w:val="en-GB"/>
    </w:rPr>
  </w:style>
  <w:style w:type="paragraph" w:styleId="BodyText3">
    <w:name w:val="Body Text 3"/>
    <w:basedOn w:val="Normal"/>
    <w:link w:val="BodyText3Char"/>
    <w:rsid w:val="00AE42C2"/>
    <w:rPr>
      <w:sz w:val="24"/>
      <w:u w:val="single"/>
      <w:lang w:val="en-GB" w:eastAsia="en-US"/>
    </w:rPr>
  </w:style>
  <w:style w:type="character" w:customStyle="1" w:styleId="BodyText3Char">
    <w:name w:val="Body Text 3 Char"/>
    <w:basedOn w:val="DefaultParagraphFont"/>
    <w:link w:val="BodyText3"/>
    <w:rsid w:val="00AE42C2"/>
    <w:rPr>
      <w:rFonts w:ascii="Times New Roman" w:eastAsia="Times New Roman" w:hAnsi="Times New Roman" w:cs="Times New Roman"/>
      <w:sz w:val="24"/>
      <w:szCs w:val="20"/>
      <w:u w:val="single"/>
      <w:lang w:val="en-GB"/>
    </w:rPr>
  </w:style>
  <w:style w:type="paragraph" w:styleId="BodyText">
    <w:name w:val="Body Text"/>
    <w:basedOn w:val="Normal"/>
    <w:link w:val="BodyTextChar"/>
    <w:rsid w:val="00AE42C2"/>
    <w:pPr>
      <w:jc w:val="center"/>
    </w:pPr>
    <w:rPr>
      <w:sz w:val="24"/>
    </w:rPr>
  </w:style>
  <w:style w:type="character" w:customStyle="1" w:styleId="BodyTextChar">
    <w:name w:val="Body Text Char"/>
    <w:basedOn w:val="DefaultParagraphFont"/>
    <w:link w:val="BodyText"/>
    <w:rsid w:val="00AE42C2"/>
    <w:rPr>
      <w:rFonts w:ascii="Times New Roman" w:eastAsia="Times New Roman" w:hAnsi="Times New Roman" w:cs="Times New Roman"/>
      <w:sz w:val="24"/>
      <w:szCs w:val="20"/>
      <w:lang w:eastAsia="en-AU"/>
    </w:rPr>
  </w:style>
  <w:style w:type="paragraph" w:styleId="BodyText2">
    <w:name w:val="Body Text 2"/>
    <w:basedOn w:val="Normal"/>
    <w:link w:val="BodyText2Char"/>
    <w:rsid w:val="00AE42C2"/>
    <w:rPr>
      <w:snapToGrid w:val="0"/>
      <w:sz w:val="24"/>
      <w:lang w:eastAsia="en-US"/>
    </w:rPr>
  </w:style>
  <w:style w:type="character" w:customStyle="1" w:styleId="BodyText2Char">
    <w:name w:val="Body Text 2 Char"/>
    <w:basedOn w:val="DefaultParagraphFont"/>
    <w:link w:val="BodyText2"/>
    <w:rsid w:val="00AE42C2"/>
    <w:rPr>
      <w:rFonts w:ascii="Times New Roman" w:eastAsia="Times New Roman" w:hAnsi="Times New Roman" w:cs="Times New Roman"/>
      <w:snapToGrid w:val="0"/>
      <w:sz w:val="24"/>
      <w:szCs w:val="20"/>
    </w:rPr>
  </w:style>
  <w:style w:type="paragraph" w:styleId="Header">
    <w:name w:val="header"/>
    <w:basedOn w:val="Normal"/>
    <w:link w:val="HeaderChar"/>
    <w:rsid w:val="00AE42C2"/>
    <w:pPr>
      <w:tabs>
        <w:tab w:val="center" w:pos="4320"/>
        <w:tab w:val="right" w:pos="8640"/>
      </w:tabs>
    </w:pPr>
    <w:rPr>
      <w:sz w:val="24"/>
    </w:rPr>
  </w:style>
  <w:style w:type="character" w:customStyle="1" w:styleId="HeaderChar">
    <w:name w:val="Header Char"/>
    <w:basedOn w:val="DefaultParagraphFont"/>
    <w:link w:val="Header"/>
    <w:rsid w:val="00AE42C2"/>
    <w:rPr>
      <w:rFonts w:ascii="Times New Roman" w:eastAsia="Times New Roman" w:hAnsi="Times New Roman" w:cs="Times New Roman"/>
      <w:sz w:val="24"/>
      <w:szCs w:val="20"/>
      <w:lang w:eastAsia="en-AU"/>
    </w:rPr>
  </w:style>
  <w:style w:type="character" w:styleId="PageNumber">
    <w:name w:val="page number"/>
    <w:basedOn w:val="DefaultParagraphFont"/>
    <w:rsid w:val="00AE42C2"/>
  </w:style>
  <w:style w:type="character" w:styleId="CommentReference">
    <w:name w:val="annotation reference"/>
    <w:basedOn w:val="DefaultParagraphFont"/>
    <w:rsid w:val="00AE42C2"/>
    <w:rPr>
      <w:sz w:val="16"/>
      <w:szCs w:val="16"/>
    </w:rPr>
  </w:style>
  <w:style w:type="paragraph" w:styleId="CommentText">
    <w:name w:val="annotation text"/>
    <w:basedOn w:val="Normal"/>
    <w:link w:val="CommentTextChar"/>
    <w:rsid w:val="00AE42C2"/>
  </w:style>
  <w:style w:type="character" w:customStyle="1" w:styleId="CommentTextChar">
    <w:name w:val="Comment Text Char"/>
    <w:basedOn w:val="DefaultParagraphFont"/>
    <w:link w:val="CommentText"/>
    <w:rsid w:val="00AE42C2"/>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AE42C2"/>
    <w:pPr>
      <w:ind w:left="720"/>
    </w:pPr>
  </w:style>
  <w:style w:type="paragraph" w:styleId="Footer">
    <w:name w:val="footer"/>
    <w:basedOn w:val="Normal"/>
    <w:link w:val="FooterChar"/>
    <w:uiPriority w:val="99"/>
    <w:rsid w:val="00AE42C2"/>
    <w:pPr>
      <w:tabs>
        <w:tab w:val="center" w:pos="4513"/>
        <w:tab w:val="right" w:pos="9026"/>
      </w:tabs>
    </w:pPr>
  </w:style>
  <w:style w:type="character" w:customStyle="1" w:styleId="FooterChar">
    <w:name w:val="Footer Char"/>
    <w:basedOn w:val="DefaultParagraphFont"/>
    <w:link w:val="Footer"/>
    <w:uiPriority w:val="99"/>
    <w:rsid w:val="00AE42C2"/>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AE42C2"/>
    <w:rPr>
      <w:rFonts w:ascii="Tahoma" w:hAnsi="Tahoma" w:cs="Tahoma"/>
      <w:sz w:val="16"/>
      <w:szCs w:val="16"/>
    </w:rPr>
  </w:style>
  <w:style w:type="character" w:customStyle="1" w:styleId="BalloonTextChar">
    <w:name w:val="Balloon Text Char"/>
    <w:basedOn w:val="DefaultParagraphFont"/>
    <w:link w:val="BalloonText"/>
    <w:uiPriority w:val="99"/>
    <w:semiHidden/>
    <w:rsid w:val="00AE42C2"/>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E77FCF"/>
    <w:rPr>
      <w:b/>
      <w:bCs/>
    </w:rPr>
  </w:style>
  <w:style w:type="character" w:customStyle="1" w:styleId="CommentSubjectChar">
    <w:name w:val="Comment Subject Char"/>
    <w:basedOn w:val="CommentTextChar"/>
    <w:link w:val="CommentSubject"/>
    <w:uiPriority w:val="99"/>
    <w:semiHidden/>
    <w:rsid w:val="00E77FCF"/>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E04F0C"/>
    <w:pPr>
      <w:spacing w:before="100" w:beforeAutospacing="1" w:after="100" w:afterAutospacing="1"/>
    </w:pPr>
    <w:rPr>
      <w:sz w:val="24"/>
      <w:szCs w:val="24"/>
    </w:rPr>
  </w:style>
  <w:style w:type="character" w:styleId="Hyperlink">
    <w:name w:val="Hyperlink"/>
    <w:basedOn w:val="DefaultParagraphFont"/>
    <w:uiPriority w:val="99"/>
    <w:semiHidden/>
    <w:unhideWhenUsed/>
    <w:rsid w:val="00E04F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6595">
      <w:bodyDiv w:val="1"/>
      <w:marLeft w:val="0"/>
      <w:marRight w:val="0"/>
      <w:marTop w:val="0"/>
      <w:marBottom w:val="0"/>
      <w:divBdr>
        <w:top w:val="none" w:sz="0" w:space="0" w:color="auto"/>
        <w:left w:val="none" w:sz="0" w:space="0" w:color="auto"/>
        <w:bottom w:val="none" w:sz="0" w:space="0" w:color="auto"/>
        <w:right w:val="none" w:sz="0" w:space="0" w:color="auto"/>
      </w:divBdr>
      <w:divsChild>
        <w:div w:id="940644834">
          <w:marLeft w:val="0"/>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993633710">
                  <w:marLeft w:val="0"/>
                  <w:marRight w:val="0"/>
                  <w:marTop w:val="0"/>
                  <w:marBottom w:val="0"/>
                  <w:divBdr>
                    <w:top w:val="none" w:sz="0" w:space="0" w:color="auto"/>
                    <w:left w:val="none" w:sz="0" w:space="0" w:color="auto"/>
                    <w:bottom w:val="none" w:sz="0" w:space="0" w:color="auto"/>
                    <w:right w:val="none" w:sz="0" w:space="0" w:color="auto"/>
                  </w:divBdr>
                  <w:divsChild>
                    <w:div w:id="1058168068">
                      <w:marLeft w:val="0"/>
                      <w:marRight w:val="0"/>
                      <w:marTop w:val="0"/>
                      <w:marBottom w:val="0"/>
                      <w:divBdr>
                        <w:top w:val="none" w:sz="0" w:space="0" w:color="auto"/>
                        <w:left w:val="none" w:sz="0" w:space="0" w:color="auto"/>
                        <w:bottom w:val="none" w:sz="0" w:space="0" w:color="auto"/>
                        <w:right w:val="none" w:sz="0" w:space="0" w:color="auto"/>
                      </w:divBdr>
                      <w:divsChild>
                        <w:div w:id="12720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0024">
      <w:bodyDiv w:val="1"/>
      <w:marLeft w:val="0"/>
      <w:marRight w:val="0"/>
      <w:marTop w:val="0"/>
      <w:marBottom w:val="0"/>
      <w:divBdr>
        <w:top w:val="none" w:sz="0" w:space="0" w:color="auto"/>
        <w:left w:val="none" w:sz="0" w:space="0" w:color="auto"/>
        <w:bottom w:val="none" w:sz="0" w:space="0" w:color="auto"/>
        <w:right w:val="none" w:sz="0" w:space="0" w:color="auto"/>
      </w:divBdr>
      <w:divsChild>
        <w:div w:id="1327590274">
          <w:marLeft w:val="0"/>
          <w:marRight w:val="0"/>
          <w:marTop w:val="0"/>
          <w:marBottom w:val="0"/>
          <w:divBdr>
            <w:top w:val="none" w:sz="0" w:space="0" w:color="auto"/>
            <w:left w:val="none" w:sz="0" w:space="0" w:color="auto"/>
            <w:bottom w:val="none" w:sz="0" w:space="0" w:color="auto"/>
            <w:right w:val="none" w:sz="0" w:space="0" w:color="auto"/>
          </w:divBdr>
          <w:divsChild>
            <w:div w:id="2085569886">
              <w:marLeft w:val="0"/>
              <w:marRight w:val="0"/>
              <w:marTop w:val="0"/>
              <w:marBottom w:val="0"/>
              <w:divBdr>
                <w:top w:val="none" w:sz="0" w:space="0" w:color="auto"/>
                <w:left w:val="none" w:sz="0" w:space="0" w:color="auto"/>
                <w:bottom w:val="none" w:sz="0" w:space="0" w:color="auto"/>
                <w:right w:val="none" w:sz="0" w:space="0" w:color="auto"/>
              </w:divBdr>
              <w:divsChild>
                <w:div w:id="853306676">
                  <w:marLeft w:val="0"/>
                  <w:marRight w:val="0"/>
                  <w:marTop w:val="0"/>
                  <w:marBottom w:val="0"/>
                  <w:divBdr>
                    <w:top w:val="none" w:sz="0" w:space="0" w:color="auto"/>
                    <w:left w:val="none" w:sz="0" w:space="0" w:color="auto"/>
                    <w:bottom w:val="none" w:sz="0" w:space="0" w:color="auto"/>
                    <w:right w:val="none" w:sz="0" w:space="0" w:color="auto"/>
                  </w:divBdr>
                  <w:divsChild>
                    <w:div w:id="1471048923">
                      <w:marLeft w:val="0"/>
                      <w:marRight w:val="0"/>
                      <w:marTop w:val="0"/>
                      <w:marBottom w:val="0"/>
                      <w:divBdr>
                        <w:top w:val="none" w:sz="0" w:space="0" w:color="auto"/>
                        <w:left w:val="none" w:sz="0" w:space="0" w:color="auto"/>
                        <w:bottom w:val="none" w:sz="0" w:space="0" w:color="auto"/>
                        <w:right w:val="none" w:sz="0" w:space="0" w:color="auto"/>
                      </w:divBdr>
                      <w:divsChild>
                        <w:div w:id="1151017208">
                          <w:marLeft w:val="0"/>
                          <w:marRight w:val="0"/>
                          <w:marTop w:val="0"/>
                          <w:marBottom w:val="0"/>
                          <w:divBdr>
                            <w:top w:val="none" w:sz="0" w:space="0" w:color="auto"/>
                            <w:left w:val="none" w:sz="0" w:space="0" w:color="auto"/>
                            <w:bottom w:val="none" w:sz="0" w:space="0" w:color="auto"/>
                            <w:right w:val="none" w:sz="0" w:space="0" w:color="auto"/>
                          </w:divBdr>
                          <w:divsChild>
                            <w:div w:id="1896506910">
                              <w:marLeft w:val="0"/>
                              <w:marRight w:val="0"/>
                              <w:marTop w:val="0"/>
                              <w:marBottom w:val="0"/>
                              <w:divBdr>
                                <w:top w:val="single" w:sz="6" w:space="0" w:color="828282"/>
                                <w:left w:val="single" w:sz="6" w:space="0" w:color="828282"/>
                                <w:bottom w:val="single" w:sz="6" w:space="0" w:color="828282"/>
                                <w:right w:val="single" w:sz="6" w:space="0" w:color="828282"/>
                              </w:divBdr>
                              <w:divsChild>
                                <w:div w:id="537477231">
                                  <w:marLeft w:val="0"/>
                                  <w:marRight w:val="0"/>
                                  <w:marTop w:val="0"/>
                                  <w:marBottom w:val="0"/>
                                  <w:divBdr>
                                    <w:top w:val="none" w:sz="0" w:space="0" w:color="auto"/>
                                    <w:left w:val="none" w:sz="0" w:space="0" w:color="auto"/>
                                    <w:bottom w:val="none" w:sz="0" w:space="0" w:color="auto"/>
                                    <w:right w:val="none" w:sz="0" w:space="0" w:color="auto"/>
                                  </w:divBdr>
                                  <w:divsChild>
                                    <w:div w:id="2052727664">
                                      <w:marLeft w:val="0"/>
                                      <w:marRight w:val="0"/>
                                      <w:marTop w:val="0"/>
                                      <w:marBottom w:val="0"/>
                                      <w:divBdr>
                                        <w:top w:val="none" w:sz="0" w:space="0" w:color="auto"/>
                                        <w:left w:val="none" w:sz="0" w:space="0" w:color="auto"/>
                                        <w:bottom w:val="none" w:sz="0" w:space="0" w:color="auto"/>
                                        <w:right w:val="none" w:sz="0" w:space="0" w:color="auto"/>
                                      </w:divBdr>
                                      <w:divsChild>
                                        <w:div w:id="520976652">
                                          <w:marLeft w:val="0"/>
                                          <w:marRight w:val="0"/>
                                          <w:marTop w:val="0"/>
                                          <w:marBottom w:val="0"/>
                                          <w:divBdr>
                                            <w:top w:val="none" w:sz="0" w:space="0" w:color="auto"/>
                                            <w:left w:val="none" w:sz="0" w:space="0" w:color="auto"/>
                                            <w:bottom w:val="none" w:sz="0" w:space="0" w:color="auto"/>
                                            <w:right w:val="none" w:sz="0" w:space="0" w:color="auto"/>
                                          </w:divBdr>
                                          <w:divsChild>
                                            <w:div w:id="1909684125">
                                              <w:marLeft w:val="0"/>
                                              <w:marRight w:val="0"/>
                                              <w:marTop w:val="0"/>
                                              <w:marBottom w:val="0"/>
                                              <w:divBdr>
                                                <w:top w:val="none" w:sz="0" w:space="0" w:color="auto"/>
                                                <w:left w:val="none" w:sz="0" w:space="0" w:color="auto"/>
                                                <w:bottom w:val="none" w:sz="0" w:space="0" w:color="auto"/>
                                                <w:right w:val="none" w:sz="0" w:space="0" w:color="auto"/>
                                              </w:divBdr>
                                              <w:divsChild>
                                                <w:div w:id="1976107208">
                                                  <w:marLeft w:val="0"/>
                                                  <w:marRight w:val="0"/>
                                                  <w:marTop w:val="0"/>
                                                  <w:marBottom w:val="0"/>
                                                  <w:divBdr>
                                                    <w:top w:val="none" w:sz="0" w:space="0" w:color="auto"/>
                                                    <w:left w:val="none" w:sz="0" w:space="0" w:color="auto"/>
                                                    <w:bottom w:val="none" w:sz="0" w:space="0" w:color="auto"/>
                                                    <w:right w:val="none" w:sz="0" w:space="0" w:color="auto"/>
                                                  </w:divBdr>
                                                  <w:divsChild>
                                                    <w:div w:id="1771392002">
                                                      <w:marLeft w:val="0"/>
                                                      <w:marRight w:val="0"/>
                                                      <w:marTop w:val="0"/>
                                                      <w:marBottom w:val="0"/>
                                                      <w:divBdr>
                                                        <w:top w:val="none" w:sz="0" w:space="0" w:color="auto"/>
                                                        <w:left w:val="none" w:sz="0" w:space="0" w:color="auto"/>
                                                        <w:bottom w:val="none" w:sz="0" w:space="0" w:color="auto"/>
                                                        <w:right w:val="none" w:sz="0" w:space="0" w:color="auto"/>
                                                      </w:divBdr>
                                                      <w:divsChild>
                                                        <w:div w:id="9652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3980483">
      <w:bodyDiv w:val="1"/>
      <w:marLeft w:val="0"/>
      <w:marRight w:val="0"/>
      <w:marTop w:val="0"/>
      <w:marBottom w:val="0"/>
      <w:divBdr>
        <w:top w:val="none" w:sz="0" w:space="0" w:color="auto"/>
        <w:left w:val="none" w:sz="0" w:space="0" w:color="auto"/>
        <w:bottom w:val="none" w:sz="0" w:space="0" w:color="auto"/>
        <w:right w:val="none" w:sz="0" w:space="0" w:color="auto"/>
      </w:divBdr>
    </w:div>
    <w:div w:id="752512616">
      <w:bodyDiv w:val="1"/>
      <w:marLeft w:val="0"/>
      <w:marRight w:val="0"/>
      <w:marTop w:val="0"/>
      <w:marBottom w:val="0"/>
      <w:divBdr>
        <w:top w:val="none" w:sz="0" w:space="0" w:color="auto"/>
        <w:left w:val="none" w:sz="0" w:space="0" w:color="auto"/>
        <w:bottom w:val="none" w:sz="0" w:space="0" w:color="auto"/>
        <w:right w:val="none" w:sz="0" w:space="0" w:color="auto"/>
      </w:divBdr>
    </w:div>
    <w:div w:id="822357168">
      <w:bodyDiv w:val="1"/>
      <w:marLeft w:val="0"/>
      <w:marRight w:val="0"/>
      <w:marTop w:val="0"/>
      <w:marBottom w:val="0"/>
      <w:divBdr>
        <w:top w:val="none" w:sz="0" w:space="0" w:color="auto"/>
        <w:left w:val="none" w:sz="0" w:space="0" w:color="auto"/>
        <w:bottom w:val="none" w:sz="0" w:space="0" w:color="auto"/>
        <w:right w:val="none" w:sz="0" w:space="0" w:color="auto"/>
      </w:divBdr>
    </w:div>
    <w:div w:id="1155298695">
      <w:bodyDiv w:val="1"/>
      <w:marLeft w:val="0"/>
      <w:marRight w:val="0"/>
      <w:marTop w:val="0"/>
      <w:marBottom w:val="0"/>
      <w:divBdr>
        <w:top w:val="none" w:sz="0" w:space="0" w:color="auto"/>
        <w:left w:val="none" w:sz="0" w:space="0" w:color="auto"/>
        <w:bottom w:val="none" w:sz="0" w:space="0" w:color="auto"/>
        <w:right w:val="none" w:sz="0" w:space="0" w:color="auto"/>
      </w:divBdr>
    </w:div>
    <w:div w:id="161100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85A364BC6364298AF17771C802905" ma:contentTypeVersion="0" ma:contentTypeDescription="Create a new document." ma:contentTypeScope="" ma:versionID="406b4cc83048e3902a68f12a217bcf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CEF7E-7820-47DC-80A9-1A98A15CA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652B73-1EC9-4807-8C84-AF6D005C2080}">
  <ds:schemaRefs>
    <ds:schemaRef ds:uri="http://schemas.microsoft.com/sharepoint/v3/contenttype/forms"/>
  </ds:schemaRefs>
</ds:datastoreItem>
</file>

<file path=customXml/itemProps3.xml><?xml version="1.0" encoding="utf-8"?>
<ds:datastoreItem xmlns:ds="http://schemas.openxmlformats.org/officeDocument/2006/customXml" ds:itemID="{B7927D76-C793-4BB4-B61C-23CDC1D53B77}">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8CF04AEE-D558-47CB-8819-4E94C16A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1524</Words>
  <Characters>8691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Mlittle</dc:creator>
  <cp:lastModifiedBy>Alabaster, John</cp:lastModifiedBy>
  <cp:revision>2</cp:revision>
  <cp:lastPrinted>2011-11-14T22:23:00Z</cp:lastPrinted>
  <dcterms:created xsi:type="dcterms:W3CDTF">2015-08-20T06:21:00Z</dcterms:created>
  <dcterms:modified xsi:type="dcterms:W3CDTF">2015-08-20T06:21:00Z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0x010100FA385A364BC6364298AF17771C802905</vt:lpwstr>
  </property>
  <property fmtid="{D5CDD505-2E9C-101B-9397-08002B2CF9AE}" pid="3" name="TrimRevisionNumber">
    <vt:i4>70</vt:i4>
  </property>
</Properties>
</file>