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F0" w:rsidRDefault="005E67E9" w:rsidP="00744E6B">
      <w:pPr>
        <w:pStyle w:val="Head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Banking </w:t>
      </w:r>
      <w:r w:rsidR="00F417F6">
        <w:rPr>
          <w:rFonts w:ascii="Times New Roman" w:hAnsi="Times New Roman" w:cs="Times New Roman"/>
          <w:sz w:val="24"/>
          <w:szCs w:val="24"/>
        </w:rPr>
        <w:t xml:space="preserve">(restricted word or expression) </w:t>
      </w:r>
      <w:r w:rsidR="00596EBA">
        <w:rPr>
          <w:rFonts w:ascii="Times New Roman" w:hAnsi="Times New Roman" w:cs="Times New Roman"/>
          <w:sz w:val="24"/>
          <w:szCs w:val="24"/>
        </w:rPr>
        <w:t xml:space="preserve">determination </w:t>
      </w:r>
      <w:r w:rsidR="00F86DAE">
        <w:rPr>
          <w:rFonts w:ascii="Times New Roman" w:hAnsi="Times New Roman" w:cs="Times New Roman"/>
          <w:sz w:val="24"/>
          <w:szCs w:val="24"/>
        </w:rPr>
        <w:t>No</w:t>
      </w:r>
      <w:r w:rsidR="00B92BA9">
        <w:rPr>
          <w:rFonts w:ascii="Times New Roman" w:hAnsi="Times New Roman" w:cs="Times New Roman"/>
          <w:sz w:val="24"/>
          <w:szCs w:val="24"/>
        </w:rPr>
        <w:t>.</w:t>
      </w:r>
      <w:r w:rsidR="002D165C">
        <w:rPr>
          <w:rFonts w:ascii="Times New Roman" w:hAnsi="Times New Roman" w:cs="Times New Roman"/>
          <w:sz w:val="24"/>
          <w:szCs w:val="24"/>
        </w:rPr>
        <w:t xml:space="preserve"> 1</w:t>
      </w:r>
      <w:r w:rsidR="0098417B">
        <w:rPr>
          <w:rFonts w:ascii="Times New Roman" w:hAnsi="Times New Roman" w:cs="Times New Roman"/>
          <w:sz w:val="24"/>
          <w:szCs w:val="24"/>
        </w:rPr>
        <w:t xml:space="preserve"> </w:t>
      </w:r>
      <w:r w:rsidR="00F86DAE">
        <w:rPr>
          <w:rFonts w:ascii="Times New Roman" w:hAnsi="Times New Roman" w:cs="Times New Roman"/>
          <w:sz w:val="24"/>
          <w:szCs w:val="24"/>
        </w:rPr>
        <w:t>of 20</w:t>
      </w:r>
      <w:r w:rsidR="00B331AE">
        <w:rPr>
          <w:rFonts w:ascii="Times New Roman" w:hAnsi="Times New Roman" w:cs="Times New Roman"/>
          <w:sz w:val="24"/>
          <w:szCs w:val="24"/>
        </w:rPr>
        <w:t>1</w:t>
      </w:r>
      <w:r w:rsidR="0098417B">
        <w:rPr>
          <w:rFonts w:ascii="Times New Roman" w:hAnsi="Times New Roman" w:cs="Times New Roman"/>
          <w:sz w:val="24"/>
          <w:szCs w:val="24"/>
        </w:rPr>
        <w:t>5</w:t>
      </w:r>
    </w:p>
    <w:p w:rsidR="005941E1" w:rsidRPr="008B7528" w:rsidRDefault="005941E1" w:rsidP="00D12FBD">
      <w:pPr>
        <w:pStyle w:val="Heading"/>
        <w:jc w:val="center"/>
        <w:rPr>
          <w:rFonts w:ascii="Times New Roman" w:hAnsi="Times New Roman" w:cs="Times New Roman"/>
          <w:sz w:val="24"/>
          <w:szCs w:val="24"/>
          <w:u w:val="single"/>
        </w:rPr>
      </w:pPr>
      <w:bookmarkStart w:id="1" w:name="bkInstrumentSubTitle"/>
      <w:bookmarkStart w:id="2" w:name="bkStart"/>
      <w:bookmarkEnd w:id="1"/>
      <w:bookmarkEnd w:id="2"/>
      <w:r w:rsidRPr="008B7528">
        <w:rPr>
          <w:rFonts w:ascii="Times New Roman" w:hAnsi="Times New Roman" w:cs="Times New Roman"/>
          <w:sz w:val="24"/>
          <w:szCs w:val="24"/>
          <w:u w:val="single"/>
        </w:rPr>
        <w:t>EXPLANATORY STATEMENT</w:t>
      </w:r>
    </w:p>
    <w:p w:rsidR="00102F9E" w:rsidRDefault="005941E1" w:rsidP="005941E1">
      <w:pPr>
        <w:pStyle w:val="Heading"/>
        <w:jc w:val="center"/>
        <w:rPr>
          <w:rFonts w:ascii="Times New Roman" w:hAnsi="Times New Roman" w:cs="Times New Roman"/>
          <w:sz w:val="24"/>
          <w:szCs w:val="24"/>
        </w:rPr>
      </w:pPr>
      <w:r>
        <w:rPr>
          <w:rFonts w:ascii="Times New Roman" w:hAnsi="Times New Roman" w:cs="Times New Roman"/>
          <w:sz w:val="24"/>
          <w:szCs w:val="24"/>
        </w:rPr>
        <w:t>Prepared by the Australian Prudential Regulation Authority</w:t>
      </w:r>
      <w:r w:rsidR="00102F9E">
        <w:rPr>
          <w:rFonts w:ascii="Times New Roman" w:hAnsi="Times New Roman" w:cs="Times New Roman"/>
          <w:sz w:val="24"/>
          <w:szCs w:val="24"/>
        </w:rPr>
        <w:t xml:space="preserve"> </w:t>
      </w:r>
      <w:r w:rsidR="005E67E9">
        <w:rPr>
          <w:rFonts w:ascii="Times New Roman" w:hAnsi="Times New Roman" w:cs="Times New Roman"/>
          <w:sz w:val="24"/>
          <w:szCs w:val="24"/>
        </w:rPr>
        <w:t>(APRA)</w:t>
      </w:r>
    </w:p>
    <w:p w:rsidR="005E67E9" w:rsidRDefault="005E67E9" w:rsidP="00D12FBD">
      <w:pPr>
        <w:pStyle w:val="Heading"/>
        <w:jc w:val="center"/>
        <w:rPr>
          <w:rFonts w:ascii="Times New Roman" w:hAnsi="Times New Roman" w:cs="Times New Roman"/>
          <w:b w:val="0"/>
          <w:color w:val="000000"/>
          <w:sz w:val="24"/>
          <w:szCs w:val="24"/>
        </w:rPr>
      </w:pPr>
      <w:r w:rsidRPr="005E67E9">
        <w:rPr>
          <w:rFonts w:ascii="Times New Roman" w:hAnsi="Times New Roman" w:cs="Times New Roman"/>
          <w:b w:val="0"/>
          <w:i/>
          <w:color w:val="000000"/>
          <w:sz w:val="24"/>
          <w:szCs w:val="24"/>
        </w:rPr>
        <w:t>Banking Act 1959</w:t>
      </w:r>
      <w:r w:rsidRPr="00F951AE">
        <w:rPr>
          <w:rFonts w:ascii="Times New Roman" w:hAnsi="Times New Roman" w:cs="Times New Roman"/>
          <w:b w:val="0"/>
          <w:color w:val="000000"/>
          <w:sz w:val="24"/>
          <w:szCs w:val="24"/>
        </w:rPr>
        <w:t>,</w:t>
      </w:r>
      <w:r w:rsidRPr="005E67E9">
        <w:rPr>
          <w:rFonts w:ascii="Times New Roman" w:hAnsi="Times New Roman" w:cs="Times New Roman"/>
          <w:b w:val="0"/>
          <w:i/>
          <w:color w:val="000000"/>
          <w:sz w:val="24"/>
          <w:szCs w:val="24"/>
        </w:rPr>
        <w:t xml:space="preserve"> </w:t>
      </w:r>
      <w:r w:rsidR="00DC7D90">
        <w:rPr>
          <w:rFonts w:ascii="Times New Roman" w:hAnsi="Times New Roman" w:cs="Times New Roman"/>
          <w:b w:val="0"/>
          <w:color w:val="000000"/>
          <w:sz w:val="24"/>
          <w:szCs w:val="24"/>
        </w:rPr>
        <w:t xml:space="preserve">subsection </w:t>
      </w:r>
      <w:r w:rsidR="00D7591D">
        <w:rPr>
          <w:rFonts w:ascii="Times New Roman" w:hAnsi="Times New Roman" w:cs="Times New Roman"/>
          <w:b w:val="0"/>
          <w:color w:val="000000"/>
          <w:sz w:val="24"/>
          <w:szCs w:val="24"/>
        </w:rPr>
        <w:t>66(</w:t>
      </w:r>
      <w:r w:rsidR="004D4887">
        <w:rPr>
          <w:rFonts w:ascii="Times New Roman" w:hAnsi="Times New Roman" w:cs="Times New Roman"/>
          <w:b w:val="0"/>
          <w:color w:val="000000"/>
          <w:sz w:val="24"/>
          <w:szCs w:val="24"/>
        </w:rPr>
        <w:t>5</w:t>
      </w:r>
      <w:r w:rsidR="00D7591D">
        <w:rPr>
          <w:rFonts w:ascii="Times New Roman" w:hAnsi="Times New Roman" w:cs="Times New Roman"/>
          <w:b w:val="0"/>
          <w:color w:val="000000"/>
          <w:sz w:val="24"/>
          <w:szCs w:val="24"/>
        </w:rPr>
        <w:t>)</w:t>
      </w:r>
    </w:p>
    <w:p w:rsidR="00C30670" w:rsidRPr="00C30670" w:rsidRDefault="00C30670" w:rsidP="00C30670">
      <w:pPr>
        <w:pStyle w:val="Heading"/>
        <w:spacing w:before="120"/>
        <w:jc w:val="center"/>
        <w:rPr>
          <w:rFonts w:ascii="Times New Roman" w:hAnsi="Times New Roman" w:cs="Times New Roman"/>
          <w:b w:val="0"/>
          <w:i/>
          <w:color w:val="000000"/>
          <w:sz w:val="24"/>
          <w:szCs w:val="24"/>
        </w:rPr>
      </w:pPr>
      <w:r w:rsidRPr="00C30670">
        <w:rPr>
          <w:rFonts w:ascii="Times New Roman" w:hAnsi="Times New Roman" w:cs="Times New Roman"/>
          <w:b w:val="0"/>
          <w:i/>
          <w:color w:val="000000"/>
          <w:sz w:val="24"/>
          <w:szCs w:val="24"/>
        </w:rPr>
        <w:t>Acts Interpretation Act 1901, section 33</w:t>
      </w:r>
    </w:p>
    <w:p w:rsidR="000C7682" w:rsidRDefault="000C7682" w:rsidP="001C001C">
      <w:pPr>
        <w:pStyle w:val="Heading"/>
        <w:jc w:val="both"/>
        <w:rPr>
          <w:rFonts w:ascii="Times New Roman" w:hAnsi="Times New Roman" w:cs="Times New Roman"/>
          <w:b w:val="0"/>
          <w:color w:val="000000"/>
          <w:sz w:val="24"/>
          <w:szCs w:val="24"/>
        </w:rPr>
      </w:pPr>
      <w:bookmarkStart w:id="3" w:name="bkAct"/>
      <w:bookmarkStart w:id="4" w:name="bkExplanatory"/>
      <w:bookmarkEnd w:id="3"/>
      <w:bookmarkEnd w:id="4"/>
      <w:r>
        <w:rPr>
          <w:rFonts w:ascii="Times New Roman" w:hAnsi="Times New Roman" w:cs="Times New Roman"/>
          <w:b w:val="0"/>
          <w:color w:val="000000"/>
          <w:sz w:val="24"/>
          <w:szCs w:val="24"/>
        </w:rPr>
        <w:t>Under s</w:t>
      </w:r>
      <w:r w:rsidR="00D7591D">
        <w:rPr>
          <w:rFonts w:ascii="Times New Roman" w:hAnsi="Times New Roman" w:cs="Times New Roman"/>
          <w:b w:val="0"/>
          <w:color w:val="000000"/>
          <w:sz w:val="24"/>
          <w:szCs w:val="24"/>
        </w:rPr>
        <w:t>ubsection 66(</w:t>
      </w:r>
      <w:r w:rsidR="004D4887">
        <w:rPr>
          <w:rFonts w:ascii="Times New Roman" w:hAnsi="Times New Roman" w:cs="Times New Roman"/>
          <w:b w:val="0"/>
          <w:color w:val="000000"/>
          <w:sz w:val="24"/>
          <w:szCs w:val="24"/>
        </w:rPr>
        <w:t>5</w:t>
      </w:r>
      <w:r w:rsidR="00D7591D">
        <w:rPr>
          <w:rFonts w:ascii="Times New Roman" w:hAnsi="Times New Roman" w:cs="Times New Roman"/>
          <w:b w:val="0"/>
          <w:color w:val="000000"/>
          <w:sz w:val="24"/>
          <w:szCs w:val="24"/>
        </w:rPr>
        <w:t xml:space="preserve">) of the </w:t>
      </w:r>
      <w:r w:rsidR="00D7591D" w:rsidRPr="00D7591D">
        <w:rPr>
          <w:rFonts w:ascii="Times New Roman" w:hAnsi="Times New Roman" w:cs="Times New Roman"/>
          <w:b w:val="0"/>
          <w:i/>
          <w:color w:val="000000"/>
          <w:sz w:val="24"/>
          <w:szCs w:val="24"/>
        </w:rPr>
        <w:t>Banking Act 1959</w:t>
      </w:r>
      <w:r w:rsidR="00D7591D">
        <w:rPr>
          <w:rFonts w:ascii="Times New Roman" w:hAnsi="Times New Roman" w:cs="Times New Roman"/>
          <w:b w:val="0"/>
          <w:color w:val="000000"/>
          <w:sz w:val="24"/>
          <w:szCs w:val="24"/>
        </w:rPr>
        <w:t xml:space="preserve"> </w:t>
      </w:r>
      <w:r w:rsidR="00D7591D" w:rsidRPr="00DC7D90">
        <w:rPr>
          <w:rFonts w:ascii="Times New Roman" w:hAnsi="Times New Roman" w:cs="Times New Roman"/>
          <w:b w:val="0"/>
          <w:color w:val="000000"/>
          <w:sz w:val="24"/>
          <w:szCs w:val="24"/>
        </w:rPr>
        <w:t>(</w:t>
      </w:r>
      <w:r w:rsidR="00D7591D" w:rsidRPr="007D50C2">
        <w:rPr>
          <w:rFonts w:ascii="Times New Roman" w:hAnsi="Times New Roman" w:cs="Times New Roman"/>
          <w:b w:val="0"/>
          <w:color w:val="000000"/>
          <w:sz w:val="24"/>
          <w:szCs w:val="24"/>
        </w:rPr>
        <w:t>the Act</w:t>
      </w:r>
      <w:r w:rsidR="00D7591D" w:rsidRPr="00DC7D90">
        <w:rPr>
          <w:rFonts w:ascii="Times New Roman" w:hAnsi="Times New Roman" w:cs="Times New Roman"/>
          <w:b w:val="0"/>
          <w:color w:val="000000"/>
          <w:sz w:val="24"/>
          <w:szCs w:val="24"/>
        </w:rPr>
        <w:t>)</w:t>
      </w:r>
      <w:r>
        <w:rPr>
          <w:rFonts w:ascii="Times New Roman" w:hAnsi="Times New Roman" w:cs="Times New Roman"/>
          <w:b w:val="0"/>
          <w:color w:val="000000"/>
          <w:sz w:val="24"/>
          <w:szCs w:val="24"/>
        </w:rPr>
        <w:t>,</w:t>
      </w:r>
      <w:r w:rsidR="00D7591D">
        <w:rPr>
          <w:rFonts w:ascii="Times New Roman" w:hAnsi="Times New Roman" w:cs="Times New Roman"/>
          <w:b w:val="0"/>
          <w:color w:val="000000"/>
          <w:sz w:val="24"/>
          <w:szCs w:val="24"/>
        </w:rPr>
        <w:t xml:space="preserve"> </w:t>
      </w:r>
      <w:r w:rsidR="004D4887">
        <w:rPr>
          <w:rFonts w:ascii="Times New Roman" w:hAnsi="Times New Roman" w:cs="Times New Roman"/>
          <w:b w:val="0"/>
          <w:color w:val="000000"/>
          <w:sz w:val="24"/>
          <w:szCs w:val="24"/>
        </w:rPr>
        <w:t xml:space="preserve">APRA </w:t>
      </w:r>
      <w:r>
        <w:rPr>
          <w:rFonts w:ascii="Times New Roman" w:hAnsi="Times New Roman" w:cs="Times New Roman"/>
          <w:b w:val="0"/>
          <w:color w:val="000000"/>
          <w:sz w:val="24"/>
          <w:szCs w:val="24"/>
        </w:rPr>
        <w:t xml:space="preserve">has the power </w:t>
      </w:r>
      <w:r w:rsidR="004D4887">
        <w:rPr>
          <w:rFonts w:ascii="Times New Roman" w:hAnsi="Times New Roman" w:cs="Times New Roman"/>
          <w:b w:val="0"/>
          <w:color w:val="000000"/>
          <w:sz w:val="24"/>
          <w:szCs w:val="24"/>
        </w:rPr>
        <w:t xml:space="preserve">to </w:t>
      </w:r>
      <w:r w:rsidR="004D4887" w:rsidRPr="004D4887">
        <w:rPr>
          <w:rFonts w:ascii="Times New Roman" w:hAnsi="Times New Roman" w:cs="Times New Roman"/>
          <w:b w:val="0"/>
          <w:color w:val="000000"/>
          <w:sz w:val="24"/>
          <w:szCs w:val="24"/>
        </w:rPr>
        <w:t>determine that a specified word or expression is to be a restricted word or expression for the purposes of section</w:t>
      </w:r>
      <w:r w:rsidR="00DE2E9E">
        <w:rPr>
          <w:rFonts w:ascii="Times New Roman" w:hAnsi="Times New Roman" w:cs="Times New Roman"/>
          <w:b w:val="0"/>
          <w:color w:val="000000"/>
          <w:sz w:val="24"/>
          <w:szCs w:val="24"/>
        </w:rPr>
        <w:t xml:space="preserve"> 66 of the Act</w:t>
      </w:r>
      <w:r w:rsidR="00D7591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Subsection 33(3) of the </w:t>
      </w:r>
      <w:r w:rsidRPr="000C7682">
        <w:rPr>
          <w:rFonts w:ascii="Times New Roman" w:hAnsi="Times New Roman" w:cs="Times New Roman"/>
          <w:b w:val="0"/>
          <w:i/>
          <w:color w:val="000000"/>
          <w:sz w:val="24"/>
          <w:szCs w:val="24"/>
        </w:rPr>
        <w:t>Acts Interpretation Act 1901</w:t>
      </w:r>
      <w:r>
        <w:rPr>
          <w:rFonts w:ascii="Times New Roman" w:hAnsi="Times New Roman" w:cs="Times New Roman"/>
          <w:b w:val="0"/>
          <w:color w:val="000000"/>
          <w:sz w:val="24"/>
          <w:szCs w:val="24"/>
        </w:rPr>
        <w:t xml:space="preserve"> confers power to revoke an instrument made under an enactment.</w:t>
      </w:r>
    </w:p>
    <w:p w:rsidR="0064159D" w:rsidRDefault="00F951AE" w:rsidP="001C001C">
      <w:pPr>
        <w:pStyle w:val="Heading"/>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This Explanatory Statement relates to</w:t>
      </w:r>
      <w:r w:rsidR="00113D41">
        <w:rPr>
          <w:rFonts w:ascii="Times New Roman" w:hAnsi="Times New Roman" w:cs="Times New Roman"/>
          <w:b w:val="0"/>
          <w:color w:val="000000"/>
          <w:sz w:val="24"/>
          <w:szCs w:val="24"/>
        </w:rPr>
        <w:t xml:space="preserve"> Banking (restricted word or expression) </w:t>
      </w:r>
      <w:r w:rsidR="00D96E80">
        <w:rPr>
          <w:rFonts w:ascii="Times New Roman" w:hAnsi="Times New Roman" w:cs="Times New Roman"/>
          <w:b w:val="0"/>
          <w:color w:val="000000"/>
          <w:sz w:val="24"/>
          <w:szCs w:val="24"/>
        </w:rPr>
        <w:t xml:space="preserve">determination </w:t>
      </w:r>
      <w:r w:rsidR="00113D41">
        <w:rPr>
          <w:rFonts w:ascii="Times New Roman" w:hAnsi="Times New Roman" w:cs="Times New Roman"/>
          <w:b w:val="0"/>
          <w:color w:val="000000"/>
          <w:sz w:val="24"/>
          <w:szCs w:val="24"/>
        </w:rPr>
        <w:t>No</w:t>
      </w:r>
      <w:r w:rsidR="00113D41" w:rsidRPr="00612F66">
        <w:rPr>
          <w:rFonts w:ascii="Times New Roman" w:hAnsi="Times New Roman" w:cs="Times New Roman"/>
          <w:b w:val="0"/>
          <w:sz w:val="24"/>
          <w:szCs w:val="24"/>
        </w:rPr>
        <w:t xml:space="preserve">. </w:t>
      </w:r>
      <w:r w:rsidR="002D165C" w:rsidRPr="00612F66">
        <w:rPr>
          <w:rFonts w:ascii="Times New Roman" w:hAnsi="Times New Roman" w:cs="Times New Roman"/>
          <w:b w:val="0"/>
          <w:sz w:val="24"/>
          <w:szCs w:val="24"/>
        </w:rPr>
        <w:t>1</w:t>
      </w:r>
      <w:r w:rsidR="00113D41" w:rsidRPr="00612F66">
        <w:rPr>
          <w:rFonts w:ascii="Times New Roman" w:hAnsi="Times New Roman" w:cs="Times New Roman"/>
          <w:b w:val="0"/>
          <w:sz w:val="24"/>
          <w:szCs w:val="24"/>
        </w:rPr>
        <w:t xml:space="preserve"> </w:t>
      </w:r>
      <w:r w:rsidR="00113D41">
        <w:rPr>
          <w:rFonts w:ascii="Times New Roman" w:hAnsi="Times New Roman" w:cs="Times New Roman"/>
          <w:b w:val="0"/>
          <w:color w:val="000000"/>
          <w:sz w:val="24"/>
          <w:szCs w:val="24"/>
        </w:rPr>
        <w:t xml:space="preserve">of 2015 </w:t>
      </w:r>
      <w:r w:rsidR="00113D41" w:rsidRPr="00DC7D90">
        <w:rPr>
          <w:rFonts w:ascii="Times New Roman" w:hAnsi="Times New Roman" w:cs="Times New Roman"/>
          <w:b w:val="0"/>
          <w:color w:val="000000"/>
          <w:sz w:val="24"/>
          <w:szCs w:val="24"/>
        </w:rPr>
        <w:t>(</w:t>
      </w:r>
      <w:r w:rsidR="00C43CB8" w:rsidRPr="007D50C2">
        <w:rPr>
          <w:rFonts w:ascii="Times New Roman" w:hAnsi="Times New Roman" w:cs="Times New Roman"/>
          <w:b w:val="0"/>
          <w:color w:val="000000"/>
          <w:sz w:val="24"/>
          <w:szCs w:val="24"/>
        </w:rPr>
        <w:t>2015</w:t>
      </w:r>
      <w:r w:rsidR="004D4887" w:rsidRPr="007D50C2">
        <w:rPr>
          <w:rFonts w:ascii="Times New Roman" w:hAnsi="Times New Roman" w:cs="Times New Roman"/>
          <w:b w:val="0"/>
          <w:color w:val="000000"/>
          <w:sz w:val="24"/>
          <w:szCs w:val="24"/>
        </w:rPr>
        <w:t xml:space="preserve"> Determination</w:t>
      </w:r>
      <w:r w:rsidR="00113D41" w:rsidRPr="00DC7D90">
        <w:rPr>
          <w:rFonts w:ascii="Times New Roman" w:hAnsi="Times New Roman" w:cs="Times New Roman"/>
          <w:b w:val="0"/>
          <w:color w:val="000000"/>
          <w:sz w:val="24"/>
          <w:szCs w:val="24"/>
        </w:rPr>
        <w:t>)</w:t>
      </w:r>
      <w:r w:rsidR="00113D41">
        <w:rPr>
          <w:rFonts w:ascii="Times New Roman" w:hAnsi="Times New Roman" w:cs="Times New Roman"/>
          <w:b w:val="0"/>
          <w:color w:val="000000"/>
          <w:sz w:val="24"/>
          <w:szCs w:val="24"/>
        </w:rPr>
        <w:t>, which</w:t>
      </w:r>
      <w:r w:rsidR="0064159D">
        <w:rPr>
          <w:rFonts w:ascii="Times New Roman" w:hAnsi="Times New Roman" w:cs="Times New Roman"/>
          <w:b w:val="0"/>
          <w:color w:val="000000"/>
          <w:sz w:val="24"/>
          <w:szCs w:val="24"/>
        </w:rPr>
        <w:t>:</w:t>
      </w:r>
      <w:r w:rsidR="00113D41">
        <w:rPr>
          <w:rFonts w:ascii="Times New Roman" w:hAnsi="Times New Roman" w:cs="Times New Roman"/>
          <w:b w:val="0"/>
          <w:color w:val="000000"/>
          <w:sz w:val="24"/>
          <w:szCs w:val="24"/>
        </w:rPr>
        <w:t xml:space="preserve"> </w:t>
      </w:r>
    </w:p>
    <w:p w:rsidR="00C164BE" w:rsidRDefault="00C164BE" w:rsidP="00C164BE">
      <w:pPr>
        <w:pStyle w:val="Heading"/>
        <w:numPr>
          <w:ilvl w:val="0"/>
          <w:numId w:val="13"/>
        </w:num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revokes Banking (restricted word or expression) determination No. 1 of 2006</w:t>
      </w:r>
      <w:r w:rsidR="000C7682">
        <w:rPr>
          <w:rFonts w:ascii="Times New Roman" w:hAnsi="Times New Roman" w:cs="Times New Roman"/>
          <w:b w:val="0"/>
          <w:color w:val="000000"/>
          <w:sz w:val="24"/>
          <w:szCs w:val="24"/>
        </w:rPr>
        <w:t xml:space="preserve"> </w:t>
      </w:r>
      <w:r w:rsidRPr="00DC7D90">
        <w:rPr>
          <w:rFonts w:ascii="Times New Roman" w:hAnsi="Times New Roman" w:cs="Times New Roman"/>
          <w:b w:val="0"/>
          <w:color w:val="000000"/>
          <w:sz w:val="24"/>
          <w:szCs w:val="24"/>
        </w:rPr>
        <w:t>(</w:t>
      </w:r>
      <w:r w:rsidRPr="007D50C2">
        <w:rPr>
          <w:rFonts w:ascii="Times New Roman" w:hAnsi="Times New Roman" w:cs="Times New Roman"/>
          <w:b w:val="0"/>
          <w:color w:val="000000"/>
          <w:sz w:val="24"/>
          <w:szCs w:val="24"/>
        </w:rPr>
        <w:t>2006 Determination</w:t>
      </w:r>
      <w:r w:rsidRPr="00DC7D90">
        <w:rPr>
          <w:rFonts w:ascii="Times New Roman" w:hAnsi="Times New Roman" w:cs="Times New Roman"/>
          <w:b w:val="0"/>
          <w:color w:val="000000"/>
          <w:sz w:val="24"/>
          <w:szCs w:val="24"/>
        </w:rPr>
        <w:t>)</w:t>
      </w:r>
      <w:r w:rsidR="000C7682">
        <w:rPr>
          <w:rFonts w:ascii="Times New Roman" w:hAnsi="Times New Roman" w:cs="Times New Roman"/>
          <w:b w:val="0"/>
          <w:color w:val="000000"/>
          <w:sz w:val="24"/>
          <w:szCs w:val="24"/>
        </w:rPr>
        <w:t xml:space="preserve"> made on 18 January 2006</w:t>
      </w:r>
      <w:r w:rsidRPr="00DC7D90">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which determined the expressions ‘specialist credit card institution’ and ‘SCCI’ to be restricted expressions for the purposes of section 66 of the Act; and </w:t>
      </w:r>
    </w:p>
    <w:p w:rsidR="00136DEC" w:rsidRPr="00D96A3A" w:rsidRDefault="004D4887" w:rsidP="00C164BE">
      <w:pPr>
        <w:pStyle w:val="Heading"/>
        <w:numPr>
          <w:ilvl w:val="0"/>
          <w:numId w:val="13"/>
        </w:numPr>
        <w:jc w:val="both"/>
        <w:rPr>
          <w:rFonts w:ascii="Times New Roman" w:hAnsi="Times New Roman" w:cs="Times New Roman"/>
          <w:b w:val="0"/>
          <w:color w:val="000000"/>
          <w:sz w:val="24"/>
          <w:szCs w:val="24"/>
        </w:rPr>
      </w:pPr>
      <w:proofErr w:type="gramStart"/>
      <w:r>
        <w:rPr>
          <w:rFonts w:ascii="Times New Roman" w:hAnsi="Times New Roman" w:cs="Times New Roman"/>
          <w:b w:val="0"/>
          <w:color w:val="000000"/>
          <w:sz w:val="24"/>
          <w:szCs w:val="24"/>
        </w:rPr>
        <w:t>determines</w:t>
      </w:r>
      <w:proofErr w:type="gramEnd"/>
      <w:r>
        <w:rPr>
          <w:rFonts w:ascii="Times New Roman" w:hAnsi="Times New Roman" w:cs="Times New Roman"/>
          <w:b w:val="0"/>
          <w:color w:val="000000"/>
          <w:sz w:val="24"/>
          <w:szCs w:val="24"/>
        </w:rPr>
        <w:t xml:space="preserve"> the expression ‘credit co-operative’ to be a restricted expression for the purposes of section 66 of the Act</w:t>
      </w:r>
      <w:r w:rsidR="00113D41" w:rsidRPr="001D5502">
        <w:rPr>
          <w:rFonts w:ascii="Times New Roman" w:hAnsi="Times New Roman" w:cs="Times New Roman"/>
          <w:b w:val="0"/>
          <w:color w:val="000000"/>
          <w:sz w:val="24"/>
          <w:szCs w:val="24"/>
        </w:rPr>
        <w:t>.</w:t>
      </w:r>
      <w:r w:rsidR="00136DEC" w:rsidRPr="00D96A3A">
        <w:rPr>
          <w:rFonts w:ascii="Times New Roman" w:hAnsi="Times New Roman" w:cs="Times New Roman"/>
          <w:b w:val="0"/>
          <w:color w:val="000000"/>
          <w:sz w:val="24"/>
          <w:szCs w:val="24"/>
        </w:rPr>
        <w:t xml:space="preserve"> </w:t>
      </w:r>
    </w:p>
    <w:p w:rsidR="005E67E9" w:rsidRPr="00BC7834" w:rsidRDefault="006A1A1E" w:rsidP="001C001C">
      <w:pPr>
        <w:pStyle w:val="Heading"/>
        <w:jc w:val="both"/>
        <w:rPr>
          <w:rFonts w:ascii="Times New Roman" w:hAnsi="Times New Roman" w:cs="Times New Roman"/>
          <w:b w:val="0"/>
          <w:sz w:val="24"/>
          <w:szCs w:val="24"/>
        </w:rPr>
      </w:pPr>
      <w:r>
        <w:rPr>
          <w:rFonts w:ascii="Times New Roman" w:hAnsi="Times New Roman" w:cs="Times New Roman"/>
          <w:b w:val="0"/>
          <w:sz w:val="24"/>
          <w:szCs w:val="24"/>
        </w:rPr>
        <w:t xml:space="preserve">The </w:t>
      </w:r>
      <w:r w:rsidR="00535B71">
        <w:rPr>
          <w:rFonts w:ascii="Times New Roman" w:hAnsi="Times New Roman" w:cs="Times New Roman"/>
          <w:b w:val="0"/>
          <w:sz w:val="24"/>
          <w:szCs w:val="24"/>
        </w:rPr>
        <w:t xml:space="preserve">2015 </w:t>
      </w:r>
      <w:r w:rsidR="004D4887">
        <w:rPr>
          <w:rFonts w:ascii="Times New Roman" w:hAnsi="Times New Roman" w:cs="Times New Roman"/>
          <w:b w:val="0"/>
          <w:sz w:val="24"/>
          <w:szCs w:val="24"/>
        </w:rPr>
        <w:t>Determination</w:t>
      </w:r>
      <w:r>
        <w:rPr>
          <w:rFonts w:ascii="Times New Roman" w:hAnsi="Times New Roman" w:cs="Times New Roman"/>
          <w:b w:val="0"/>
          <w:sz w:val="24"/>
          <w:szCs w:val="24"/>
        </w:rPr>
        <w:t xml:space="preserve"> </w:t>
      </w:r>
      <w:r w:rsidR="00535B71">
        <w:rPr>
          <w:rFonts w:ascii="Times New Roman" w:hAnsi="Times New Roman" w:cs="Times New Roman"/>
          <w:b w:val="0"/>
          <w:sz w:val="24"/>
          <w:szCs w:val="24"/>
        </w:rPr>
        <w:t xml:space="preserve">commences </w:t>
      </w:r>
      <w:r w:rsidR="00A62AE1">
        <w:rPr>
          <w:rFonts w:ascii="Times New Roman" w:hAnsi="Times New Roman" w:cs="Times New Roman"/>
          <w:b w:val="0"/>
          <w:sz w:val="24"/>
          <w:szCs w:val="24"/>
        </w:rPr>
        <w:t>on</w:t>
      </w:r>
      <w:r w:rsidR="00A62AE1" w:rsidRPr="005E67E9">
        <w:rPr>
          <w:rFonts w:ascii="Times New Roman" w:hAnsi="Times New Roman" w:cs="Times New Roman"/>
          <w:b w:val="0"/>
          <w:sz w:val="24"/>
          <w:szCs w:val="24"/>
        </w:rPr>
        <w:t xml:space="preserve"> the day </w:t>
      </w:r>
      <w:r w:rsidR="00A62AE1">
        <w:rPr>
          <w:rFonts w:ascii="Times New Roman" w:hAnsi="Times New Roman" w:cs="Times New Roman"/>
          <w:b w:val="0"/>
          <w:sz w:val="24"/>
          <w:szCs w:val="24"/>
        </w:rPr>
        <w:t>that</w:t>
      </w:r>
      <w:r w:rsidR="00A62AE1" w:rsidRPr="005E67E9">
        <w:rPr>
          <w:rFonts w:ascii="Times New Roman" w:hAnsi="Times New Roman" w:cs="Times New Roman"/>
          <w:b w:val="0"/>
          <w:sz w:val="24"/>
          <w:szCs w:val="24"/>
        </w:rPr>
        <w:t xml:space="preserve"> </w:t>
      </w:r>
      <w:r w:rsidR="00A62AE1">
        <w:rPr>
          <w:rFonts w:ascii="Times New Roman" w:hAnsi="Times New Roman" w:cs="Times New Roman"/>
          <w:b w:val="0"/>
          <w:sz w:val="24"/>
          <w:szCs w:val="24"/>
        </w:rPr>
        <w:t xml:space="preserve">it is </w:t>
      </w:r>
      <w:r w:rsidR="00A62AE1" w:rsidRPr="005E67E9">
        <w:rPr>
          <w:rFonts w:ascii="Times New Roman" w:hAnsi="Times New Roman" w:cs="Times New Roman"/>
          <w:b w:val="0"/>
          <w:sz w:val="24"/>
          <w:szCs w:val="24"/>
        </w:rPr>
        <w:t>registered on the Federal Register of Legislative Instruments</w:t>
      </w:r>
      <w:r w:rsidR="00A62AE1" w:rsidRPr="00A62AE1">
        <w:rPr>
          <w:rFonts w:ascii="Times New Roman" w:hAnsi="Times New Roman" w:cs="Times New Roman"/>
          <w:sz w:val="24"/>
          <w:szCs w:val="24"/>
        </w:rPr>
        <w:t>.</w:t>
      </w:r>
    </w:p>
    <w:p w:rsidR="005941E1" w:rsidRPr="00BC7834" w:rsidRDefault="005941E1" w:rsidP="001C001C">
      <w:pPr>
        <w:pStyle w:val="Heading"/>
        <w:numPr>
          <w:ilvl w:val="0"/>
          <w:numId w:val="1"/>
        </w:numPr>
        <w:tabs>
          <w:tab w:val="clear" w:pos="360"/>
        </w:tabs>
        <w:ind w:left="0" w:firstLine="0"/>
        <w:jc w:val="both"/>
        <w:rPr>
          <w:rFonts w:ascii="Times New Roman" w:hAnsi="Times New Roman" w:cs="Times New Roman"/>
          <w:sz w:val="24"/>
          <w:szCs w:val="24"/>
        </w:rPr>
      </w:pPr>
      <w:r w:rsidRPr="00BC7834">
        <w:rPr>
          <w:rFonts w:ascii="Times New Roman" w:hAnsi="Times New Roman" w:cs="Times New Roman"/>
          <w:sz w:val="24"/>
          <w:szCs w:val="24"/>
        </w:rPr>
        <w:t>Background</w:t>
      </w:r>
    </w:p>
    <w:p w:rsidR="00083967" w:rsidRDefault="00BE6718" w:rsidP="0083563E">
      <w:pPr>
        <w:pStyle w:val="Heading"/>
        <w:spacing w:before="0" w:after="120"/>
        <w:jc w:val="both"/>
        <w:rPr>
          <w:rFonts w:ascii="Times New Roman" w:hAnsi="Times New Roman" w:cs="Times New Roman"/>
          <w:b w:val="0"/>
          <w:sz w:val="24"/>
          <w:szCs w:val="24"/>
        </w:rPr>
      </w:pPr>
      <w:bookmarkStart w:id="5" w:name="bkBackground"/>
      <w:bookmarkEnd w:id="5"/>
      <w:r w:rsidRPr="00BE6718">
        <w:rPr>
          <w:rFonts w:ascii="Times New Roman" w:hAnsi="Times New Roman" w:cs="Times New Roman"/>
          <w:b w:val="0"/>
          <w:sz w:val="24"/>
          <w:szCs w:val="24"/>
        </w:rPr>
        <w:t>Under sections 66 and 66A of the Act</w:t>
      </w:r>
      <w:r w:rsidR="00606DDA">
        <w:rPr>
          <w:rFonts w:ascii="Times New Roman" w:hAnsi="Times New Roman" w:cs="Times New Roman"/>
          <w:b w:val="0"/>
          <w:sz w:val="24"/>
          <w:szCs w:val="24"/>
        </w:rPr>
        <w:t>,</w:t>
      </w:r>
      <w:r w:rsidRPr="00BE6718">
        <w:rPr>
          <w:rFonts w:ascii="Times New Roman" w:hAnsi="Times New Roman" w:cs="Times New Roman"/>
          <w:b w:val="0"/>
          <w:sz w:val="24"/>
          <w:szCs w:val="24"/>
        </w:rPr>
        <w:t xml:space="preserve"> it is an offence for a person to use or assume in Australia certain restricted words and expressions in relation to a financial business</w:t>
      </w:r>
      <w:r w:rsidR="000D4617">
        <w:rPr>
          <w:rFonts w:ascii="Times New Roman" w:hAnsi="Times New Roman" w:cs="Times New Roman"/>
          <w:b w:val="0"/>
          <w:sz w:val="24"/>
          <w:szCs w:val="24"/>
        </w:rPr>
        <w:t>.</w:t>
      </w:r>
    </w:p>
    <w:p w:rsidR="00477C73" w:rsidRDefault="0062525B" w:rsidP="0083563E">
      <w:pPr>
        <w:pStyle w:val="Heading"/>
        <w:spacing w:before="0" w:after="120"/>
        <w:jc w:val="both"/>
        <w:rPr>
          <w:rFonts w:ascii="Times New Roman" w:hAnsi="Times New Roman" w:cs="Times New Roman"/>
          <w:b w:val="0"/>
          <w:sz w:val="24"/>
          <w:szCs w:val="24"/>
        </w:rPr>
      </w:pPr>
      <w:r>
        <w:rPr>
          <w:rFonts w:ascii="Times New Roman" w:hAnsi="Times New Roman" w:cs="Times New Roman"/>
          <w:b w:val="0"/>
          <w:sz w:val="24"/>
          <w:szCs w:val="24"/>
        </w:rPr>
        <w:t xml:space="preserve">The Act provides for the regulation of banking </w:t>
      </w:r>
      <w:r w:rsidR="0039113B">
        <w:rPr>
          <w:rFonts w:ascii="Times New Roman" w:hAnsi="Times New Roman" w:cs="Times New Roman"/>
          <w:b w:val="0"/>
          <w:sz w:val="24"/>
          <w:szCs w:val="24"/>
        </w:rPr>
        <w:t>business</w:t>
      </w:r>
      <w:r>
        <w:rPr>
          <w:rFonts w:ascii="Times New Roman" w:hAnsi="Times New Roman" w:cs="Times New Roman"/>
          <w:b w:val="0"/>
          <w:sz w:val="24"/>
          <w:szCs w:val="24"/>
        </w:rPr>
        <w:t xml:space="preserve"> in Australia.  </w:t>
      </w:r>
      <w:r w:rsidR="0039113B">
        <w:rPr>
          <w:rFonts w:ascii="Times New Roman" w:hAnsi="Times New Roman" w:cs="Times New Roman"/>
          <w:b w:val="0"/>
          <w:sz w:val="24"/>
          <w:szCs w:val="24"/>
        </w:rPr>
        <w:t>O</w:t>
      </w:r>
      <w:r>
        <w:rPr>
          <w:rFonts w:ascii="Times New Roman" w:hAnsi="Times New Roman" w:cs="Times New Roman"/>
          <w:b w:val="0"/>
          <w:sz w:val="24"/>
          <w:szCs w:val="24"/>
        </w:rPr>
        <w:t xml:space="preserve">n 17 July 2003, </w:t>
      </w:r>
      <w:r w:rsidR="0039113B">
        <w:rPr>
          <w:rFonts w:ascii="Times New Roman" w:hAnsi="Times New Roman" w:cs="Times New Roman"/>
          <w:b w:val="0"/>
          <w:sz w:val="24"/>
          <w:szCs w:val="24"/>
        </w:rPr>
        <w:t xml:space="preserve">the </w:t>
      </w:r>
      <w:r w:rsidR="0039113B" w:rsidRPr="0039113B">
        <w:rPr>
          <w:rFonts w:ascii="Times New Roman" w:hAnsi="Times New Roman" w:cs="Times New Roman"/>
          <w:b w:val="0"/>
          <w:i/>
          <w:sz w:val="24"/>
          <w:szCs w:val="24"/>
        </w:rPr>
        <w:t>Banking Regulations 1966</w:t>
      </w:r>
      <w:r w:rsidR="0039113B">
        <w:rPr>
          <w:rFonts w:ascii="Times New Roman" w:hAnsi="Times New Roman" w:cs="Times New Roman"/>
          <w:b w:val="0"/>
          <w:sz w:val="24"/>
          <w:szCs w:val="24"/>
        </w:rPr>
        <w:t xml:space="preserve"> </w:t>
      </w:r>
      <w:r w:rsidR="0039113B" w:rsidRPr="00DC7D90">
        <w:rPr>
          <w:rFonts w:ascii="Times New Roman" w:hAnsi="Times New Roman" w:cs="Times New Roman"/>
          <w:b w:val="0"/>
          <w:sz w:val="24"/>
          <w:szCs w:val="24"/>
        </w:rPr>
        <w:t>(</w:t>
      </w:r>
      <w:r w:rsidR="0039113B" w:rsidRPr="007D50C2">
        <w:rPr>
          <w:rFonts w:ascii="Times New Roman" w:hAnsi="Times New Roman" w:cs="Times New Roman"/>
          <w:b w:val="0"/>
          <w:sz w:val="24"/>
          <w:szCs w:val="24"/>
        </w:rPr>
        <w:t>Banking Regulations</w:t>
      </w:r>
      <w:r w:rsidR="0039113B" w:rsidRPr="00DC7D90">
        <w:rPr>
          <w:rFonts w:ascii="Times New Roman" w:hAnsi="Times New Roman" w:cs="Times New Roman"/>
          <w:b w:val="0"/>
          <w:sz w:val="24"/>
          <w:szCs w:val="24"/>
        </w:rPr>
        <w:t xml:space="preserve">) </w:t>
      </w:r>
      <w:r w:rsidR="0039113B">
        <w:rPr>
          <w:rFonts w:ascii="Times New Roman" w:hAnsi="Times New Roman" w:cs="Times New Roman"/>
          <w:b w:val="0"/>
          <w:sz w:val="24"/>
          <w:szCs w:val="24"/>
        </w:rPr>
        <w:t xml:space="preserve">were amended to extend the definition of ‘banking business’ under the Act to include </w:t>
      </w:r>
      <w:r w:rsidR="0083293F">
        <w:rPr>
          <w:rFonts w:ascii="Times New Roman" w:hAnsi="Times New Roman" w:cs="Times New Roman"/>
          <w:b w:val="0"/>
          <w:sz w:val="24"/>
          <w:szCs w:val="24"/>
        </w:rPr>
        <w:t xml:space="preserve">certain credit card acquiring and credit card issuing </w:t>
      </w:r>
      <w:r w:rsidR="0039113B">
        <w:rPr>
          <w:rFonts w:ascii="Times New Roman" w:hAnsi="Times New Roman" w:cs="Times New Roman"/>
          <w:b w:val="0"/>
          <w:sz w:val="24"/>
          <w:szCs w:val="24"/>
        </w:rPr>
        <w:t>activities</w:t>
      </w:r>
      <w:r w:rsidR="002C3871">
        <w:rPr>
          <w:rFonts w:ascii="Times New Roman" w:hAnsi="Times New Roman" w:cs="Times New Roman"/>
          <w:b w:val="0"/>
          <w:sz w:val="24"/>
          <w:szCs w:val="24"/>
        </w:rPr>
        <w:t>.  Subsequently, APRA established a regulatory regime for the acquirers and issuers, who were referred to as ‘specialist credit card institutions’</w:t>
      </w:r>
      <w:r w:rsidR="002A5924">
        <w:rPr>
          <w:rFonts w:ascii="Times New Roman" w:hAnsi="Times New Roman" w:cs="Times New Roman"/>
          <w:b w:val="0"/>
          <w:sz w:val="24"/>
          <w:szCs w:val="24"/>
        </w:rPr>
        <w:t xml:space="preserve"> </w:t>
      </w:r>
      <w:r w:rsidR="002A5924" w:rsidRPr="00DC7D90">
        <w:rPr>
          <w:rFonts w:ascii="Times New Roman" w:hAnsi="Times New Roman" w:cs="Times New Roman"/>
          <w:b w:val="0"/>
          <w:sz w:val="24"/>
          <w:szCs w:val="24"/>
        </w:rPr>
        <w:t>(</w:t>
      </w:r>
      <w:r w:rsidR="002A5924" w:rsidRPr="007D50C2">
        <w:rPr>
          <w:rFonts w:ascii="Times New Roman" w:hAnsi="Times New Roman" w:cs="Times New Roman"/>
          <w:b w:val="0"/>
          <w:sz w:val="24"/>
          <w:szCs w:val="24"/>
        </w:rPr>
        <w:t>SCCI regime</w:t>
      </w:r>
      <w:r w:rsidR="002A5924" w:rsidRPr="00DC7D90">
        <w:rPr>
          <w:rFonts w:ascii="Times New Roman" w:hAnsi="Times New Roman" w:cs="Times New Roman"/>
          <w:b w:val="0"/>
          <w:sz w:val="24"/>
          <w:szCs w:val="24"/>
        </w:rPr>
        <w:t>)</w:t>
      </w:r>
      <w:r>
        <w:rPr>
          <w:rFonts w:ascii="Times New Roman" w:hAnsi="Times New Roman" w:cs="Times New Roman"/>
          <w:b w:val="0"/>
          <w:sz w:val="24"/>
          <w:szCs w:val="24"/>
        </w:rPr>
        <w:t xml:space="preserve">.  </w:t>
      </w:r>
      <w:r w:rsidR="0039113B">
        <w:rPr>
          <w:rFonts w:ascii="Times New Roman" w:hAnsi="Times New Roman" w:cs="Times New Roman"/>
          <w:b w:val="0"/>
          <w:sz w:val="24"/>
          <w:szCs w:val="24"/>
        </w:rPr>
        <w:t>On 18 January 2006, APRA made t</w:t>
      </w:r>
      <w:r>
        <w:rPr>
          <w:rFonts w:ascii="Times New Roman" w:hAnsi="Times New Roman" w:cs="Times New Roman"/>
          <w:b w:val="0"/>
          <w:sz w:val="24"/>
          <w:szCs w:val="24"/>
        </w:rPr>
        <w:t xml:space="preserve">he 2006 Determination </w:t>
      </w:r>
      <w:r w:rsidR="0039113B">
        <w:rPr>
          <w:rFonts w:ascii="Times New Roman" w:hAnsi="Times New Roman" w:cs="Times New Roman"/>
          <w:b w:val="0"/>
          <w:sz w:val="24"/>
          <w:szCs w:val="24"/>
        </w:rPr>
        <w:t xml:space="preserve">to determine </w:t>
      </w:r>
      <w:r>
        <w:rPr>
          <w:rFonts w:ascii="Times New Roman" w:hAnsi="Times New Roman" w:cs="Times New Roman"/>
          <w:b w:val="0"/>
          <w:sz w:val="24"/>
          <w:szCs w:val="24"/>
        </w:rPr>
        <w:t>the expressions ‘specialist credit card institution’ and ‘SCCI’ to be restricted expressions for the purposes of section 66 of the Act.</w:t>
      </w:r>
      <w:r w:rsidR="002C3871">
        <w:rPr>
          <w:rFonts w:ascii="Times New Roman" w:hAnsi="Times New Roman" w:cs="Times New Roman"/>
          <w:b w:val="0"/>
          <w:sz w:val="24"/>
          <w:szCs w:val="24"/>
        </w:rPr>
        <w:t xml:space="preserve">  On 11 December 2014, the Banking Regulations were amended to remove </w:t>
      </w:r>
      <w:r w:rsidR="002A5924">
        <w:rPr>
          <w:rFonts w:ascii="Times New Roman" w:hAnsi="Times New Roman" w:cs="Times New Roman"/>
          <w:b w:val="0"/>
          <w:sz w:val="24"/>
          <w:szCs w:val="24"/>
        </w:rPr>
        <w:t xml:space="preserve">provisions setting out </w:t>
      </w:r>
      <w:r w:rsidR="002C3871">
        <w:rPr>
          <w:rFonts w:ascii="Times New Roman" w:hAnsi="Times New Roman" w:cs="Times New Roman"/>
          <w:b w:val="0"/>
          <w:sz w:val="24"/>
          <w:szCs w:val="24"/>
        </w:rPr>
        <w:t xml:space="preserve">the </w:t>
      </w:r>
      <w:r w:rsidR="002A5924">
        <w:rPr>
          <w:rFonts w:ascii="Times New Roman" w:hAnsi="Times New Roman" w:cs="Times New Roman"/>
          <w:b w:val="0"/>
          <w:sz w:val="24"/>
          <w:szCs w:val="24"/>
        </w:rPr>
        <w:t>SCCI regime, such that the activities of credit card acquiring and credit card issuing are no longer regulated under the Banking Act.  APRA considers that it is no longer appropriate to restrict the use of the expressions ‘specialist credit card institution’ and ‘SCCI’.</w:t>
      </w:r>
      <w:r w:rsidR="002C3871">
        <w:rPr>
          <w:rFonts w:ascii="Times New Roman" w:hAnsi="Times New Roman" w:cs="Times New Roman"/>
          <w:b w:val="0"/>
          <w:sz w:val="24"/>
          <w:szCs w:val="24"/>
        </w:rPr>
        <w:t xml:space="preserve"> </w:t>
      </w:r>
    </w:p>
    <w:p w:rsidR="00C43CB8" w:rsidRDefault="00083967" w:rsidP="0083563E">
      <w:pPr>
        <w:pStyle w:val="Heading"/>
        <w:spacing w:before="0" w:after="120"/>
        <w:jc w:val="both"/>
        <w:rPr>
          <w:rFonts w:ascii="Times New Roman" w:hAnsi="Times New Roman" w:cs="Times New Roman"/>
          <w:b w:val="0"/>
          <w:sz w:val="24"/>
          <w:szCs w:val="24"/>
        </w:rPr>
      </w:pPr>
      <w:r>
        <w:rPr>
          <w:rFonts w:ascii="Times New Roman" w:hAnsi="Times New Roman" w:cs="Times New Roman"/>
          <w:b w:val="0"/>
          <w:sz w:val="24"/>
          <w:szCs w:val="24"/>
        </w:rPr>
        <w:t>APRA ha</w:t>
      </w:r>
      <w:r w:rsidR="00C43CB8">
        <w:rPr>
          <w:rFonts w:ascii="Times New Roman" w:hAnsi="Times New Roman" w:cs="Times New Roman"/>
          <w:b w:val="0"/>
          <w:sz w:val="24"/>
          <w:szCs w:val="24"/>
        </w:rPr>
        <w:t>d</w:t>
      </w:r>
      <w:r>
        <w:rPr>
          <w:rFonts w:ascii="Times New Roman" w:hAnsi="Times New Roman" w:cs="Times New Roman"/>
          <w:b w:val="0"/>
          <w:sz w:val="24"/>
          <w:szCs w:val="24"/>
        </w:rPr>
        <w:t xml:space="preserve"> previously </w:t>
      </w:r>
      <w:r w:rsidR="00C43CB8">
        <w:rPr>
          <w:rFonts w:ascii="Times New Roman" w:hAnsi="Times New Roman" w:cs="Times New Roman"/>
          <w:b w:val="0"/>
          <w:sz w:val="24"/>
          <w:szCs w:val="24"/>
        </w:rPr>
        <w:t xml:space="preserve">determined </w:t>
      </w:r>
      <w:r>
        <w:rPr>
          <w:rFonts w:ascii="Times New Roman" w:hAnsi="Times New Roman" w:cs="Times New Roman"/>
          <w:b w:val="0"/>
          <w:sz w:val="24"/>
          <w:szCs w:val="24"/>
        </w:rPr>
        <w:t xml:space="preserve">the expression ‘credit co-operative’ </w:t>
      </w:r>
      <w:r w:rsidR="00C43CB8">
        <w:rPr>
          <w:rFonts w:ascii="Times New Roman" w:hAnsi="Times New Roman" w:cs="Times New Roman"/>
          <w:b w:val="0"/>
          <w:sz w:val="24"/>
          <w:szCs w:val="24"/>
        </w:rPr>
        <w:t xml:space="preserve">to be </w:t>
      </w:r>
      <w:r w:rsidR="00EF7736">
        <w:rPr>
          <w:rFonts w:ascii="Times New Roman" w:hAnsi="Times New Roman" w:cs="Times New Roman"/>
          <w:b w:val="0"/>
          <w:sz w:val="24"/>
          <w:szCs w:val="24"/>
        </w:rPr>
        <w:t xml:space="preserve">a </w:t>
      </w:r>
      <w:r w:rsidR="00C43CB8">
        <w:rPr>
          <w:rFonts w:ascii="Times New Roman" w:hAnsi="Times New Roman" w:cs="Times New Roman"/>
          <w:b w:val="0"/>
          <w:sz w:val="24"/>
          <w:szCs w:val="24"/>
        </w:rPr>
        <w:t xml:space="preserve">restricted expression for the purposes of section 66 of the Act </w:t>
      </w:r>
      <w:r w:rsidR="00E37476">
        <w:rPr>
          <w:rFonts w:ascii="Times New Roman" w:hAnsi="Times New Roman" w:cs="Times New Roman"/>
          <w:b w:val="0"/>
          <w:sz w:val="24"/>
          <w:szCs w:val="24"/>
        </w:rPr>
        <w:t xml:space="preserve">through a determination </w:t>
      </w:r>
      <w:r w:rsidR="00C54A48">
        <w:rPr>
          <w:rFonts w:ascii="Times New Roman" w:hAnsi="Times New Roman" w:cs="Times New Roman"/>
          <w:b w:val="0"/>
          <w:sz w:val="24"/>
          <w:szCs w:val="24"/>
        </w:rPr>
        <w:t>made on</w:t>
      </w:r>
      <w:r w:rsidR="00E37476">
        <w:rPr>
          <w:rFonts w:ascii="Times New Roman" w:hAnsi="Times New Roman" w:cs="Times New Roman"/>
          <w:b w:val="0"/>
          <w:sz w:val="24"/>
          <w:szCs w:val="24"/>
        </w:rPr>
        <w:t xml:space="preserve"> 28 June 1999</w:t>
      </w:r>
      <w:r w:rsidR="00C54A48">
        <w:rPr>
          <w:rFonts w:ascii="Times New Roman" w:hAnsi="Times New Roman" w:cs="Times New Roman"/>
          <w:b w:val="0"/>
          <w:sz w:val="24"/>
          <w:szCs w:val="24"/>
        </w:rPr>
        <w:t>, which took effect on 1 July 1999</w:t>
      </w:r>
      <w:r w:rsidR="00C43CB8">
        <w:rPr>
          <w:rFonts w:ascii="Times New Roman" w:hAnsi="Times New Roman" w:cs="Times New Roman"/>
          <w:b w:val="0"/>
          <w:sz w:val="24"/>
          <w:szCs w:val="24"/>
        </w:rPr>
        <w:t xml:space="preserve"> </w:t>
      </w:r>
      <w:r w:rsidR="00C43CB8" w:rsidRPr="00DC7D90">
        <w:rPr>
          <w:rFonts w:ascii="Times New Roman" w:hAnsi="Times New Roman" w:cs="Times New Roman"/>
          <w:b w:val="0"/>
          <w:sz w:val="24"/>
          <w:szCs w:val="24"/>
        </w:rPr>
        <w:t>(</w:t>
      </w:r>
      <w:r w:rsidR="00C43CB8" w:rsidRPr="007D50C2">
        <w:rPr>
          <w:rFonts w:ascii="Times New Roman" w:hAnsi="Times New Roman" w:cs="Times New Roman"/>
          <w:b w:val="0"/>
          <w:sz w:val="24"/>
          <w:szCs w:val="24"/>
        </w:rPr>
        <w:t>1999 Determination</w:t>
      </w:r>
      <w:r w:rsidR="00C43CB8" w:rsidRPr="00DC7D90">
        <w:rPr>
          <w:rFonts w:ascii="Times New Roman" w:hAnsi="Times New Roman" w:cs="Times New Roman"/>
          <w:b w:val="0"/>
          <w:sz w:val="24"/>
          <w:szCs w:val="24"/>
        </w:rPr>
        <w:t>)</w:t>
      </w:r>
      <w:r w:rsidR="00A542CF">
        <w:rPr>
          <w:rFonts w:ascii="Times New Roman" w:hAnsi="Times New Roman" w:cs="Times New Roman"/>
          <w:b w:val="0"/>
          <w:sz w:val="24"/>
          <w:szCs w:val="24"/>
        </w:rPr>
        <w:t xml:space="preserve">. </w:t>
      </w:r>
      <w:r w:rsidR="00EF7736">
        <w:rPr>
          <w:rFonts w:ascii="Times New Roman" w:hAnsi="Times New Roman" w:cs="Times New Roman"/>
          <w:b w:val="0"/>
          <w:sz w:val="24"/>
          <w:szCs w:val="24"/>
        </w:rPr>
        <w:t xml:space="preserve"> On 19 May 2000, APRA consented to the use of the expression ‘credit co-operative’ by a credit union and its related bodies corporate in relation to the financial business </w:t>
      </w:r>
      <w:r w:rsidR="00EF7736">
        <w:rPr>
          <w:rFonts w:ascii="Times New Roman" w:hAnsi="Times New Roman" w:cs="Times New Roman"/>
          <w:b w:val="0"/>
          <w:sz w:val="24"/>
          <w:szCs w:val="24"/>
        </w:rPr>
        <w:lastRenderedPageBreak/>
        <w:t>carried on by the credit union</w:t>
      </w:r>
      <w:r w:rsidR="00BD3181">
        <w:rPr>
          <w:rFonts w:ascii="Times New Roman" w:hAnsi="Times New Roman" w:cs="Times New Roman"/>
          <w:b w:val="0"/>
          <w:sz w:val="24"/>
          <w:szCs w:val="24"/>
        </w:rPr>
        <w:t xml:space="preserve"> </w:t>
      </w:r>
      <w:r w:rsidR="00BD3181" w:rsidRPr="00DC7D90">
        <w:rPr>
          <w:rFonts w:ascii="Times New Roman" w:hAnsi="Times New Roman" w:cs="Times New Roman"/>
          <w:b w:val="0"/>
          <w:sz w:val="24"/>
          <w:szCs w:val="24"/>
        </w:rPr>
        <w:t>(</w:t>
      </w:r>
      <w:r w:rsidR="00BD3181" w:rsidRPr="007D50C2">
        <w:rPr>
          <w:rFonts w:ascii="Times New Roman" w:hAnsi="Times New Roman" w:cs="Times New Roman"/>
          <w:b w:val="0"/>
          <w:sz w:val="24"/>
          <w:szCs w:val="24"/>
        </w:rPr>
        <w:t>2000 Consent</w:t>
      </w:r>
      <w:r w:rsidR="00BD3181" w:rsidRPr="00DC7D90">
        <w:rPr>
          <w:rFonts w:ascii="Times New Roman" w:hAnsi="Times New Roman" w:cs="Times New Roman"/>
          <w:b w:val="0"/>
          <w:sz w:val="24"/>
          <w:szCs w:val="24"/>
        </w:rPr>
        <w:t>)</w:t>
      </w:r>
      <w:r w:rsidR="00EF7736">
        <w:rPr>
          <w:rFonts w:ascii="Times New Roman" w:hAnsi="Times New Roman" w:cs="Times New Roman"/>
          <w:b w:val="0"/>
          <w:sz w:val="24"/>
          <w:szCs w:val="24"/>
        </w:rPr>
        <w:t xml:space="preserve">.  The </w:t>
      </w:r>
      <w:r w:rsidR="00BD3181">
        <w:rPr>
          <w:rFonts w:ascii="Times New Roman" w:hAnsi="Times New Roman" w:cs="Times New Roman"/>
          <w:b w:val="0"/>
          <w:sz w:val="24"/>
          <w:szCs w:val="24"/>
        </w:rPr>
        <w:t>2000 C</w:t>
      </w:r>
      <w:r w:rsidR="00EF7736">
        <w:rPr>
          <w:rFonts w:ascii="Times New Roman" w:hAnsi="Times New Roman" w:cs="Times New Roman"/>
          <w:b w:val="0"/>
          <w:sz w:val="24"/>
          <w:szCs w:val="24"/>
        </w:rPr>
        <w:t xml:space="preserve">onsent also permitted the trustee of a superannuation entity whose members are all </w:t>
      </w:r>
      <w:r w:rsidR="00BD3181">
        <w:rPr>
          <w:rFonts w:ascii="Times New Roman" w:hAnsi="Times New Roman" w:cs="Times New Roman"/>
          <w:b w:val="0"/>
          <w:sz w:val="24"/>
          <w:szCs w:val="24"/>
        </w:rPr>
        <w:t>current or former officers or employees of a credit union to use the expression ‘credit co-operative’ in the context of using the name of the credit union in the name of the trustee or superannuation entity.</w:t>
      </w:r>
      <w:r w:rsidR="00EF7736">
        <w:rPr>
          <w:rFonts w:ascii="Times New Roman" w:hAnsi="Times New Roman" w:cs="Times New Roman"/>
          <w:b w:val="0"/>
          <w:sz w:val="24"/>
          <w:szCs w:val="24"/>
        </w:rPr>
        <w:t xml:space="preserve">  </w:t>
      </w:r>
    </w:p>
    <w:p w:rsidR="00A62AE1" w:rsidRDefault="00BD3181" w:rsidP="0083563E">
      <w:pPr>
        <w:pStyle w:val="Heading"/>
        <w:spacing w:before="0" w:after="120"/>
        <w:jc w:val="both"/>
        <w:rPr>
          <w:rFonts w:ascii="Times New Roman" w:hAnsi="Times New Roman" w:cs="Times New Roman"/>
          <w:b w:val="0"/>
          <w:sz w:val="24"/>
          <w:szCs w:val="24"/>
        </w:rPr>
      </w:pPr>
      <w:r>
        <w:rPr>
          <w:rFonts w:ascii="Times New Roman" w:hAnsi="Times New Roman" w:cs="Times New Roman"/>
          <w:b w:val="0"/>
          <w:sz w:val="24"/>
          <w:szCs w:val="24"/>
        </w:rPr>
        <w:t xml:space="preserve">Upon the commencement of the </w:t>
      </w:r>
      <w:r w:rsidRPr="00BD3181">
        <w:rPr>
          <w:rFonts w:ascii="Times New Roman" w:hAnsi="Times New Roman" w:cs="Times New Roman"/>
          <w:b w:val="0"/>
          <w:i/>
          <w:sz w:val="24"/>
          <w:szCs w:val="24"/>
        </w:rPr>
        <w:t>Legislative Instruments Act 2003</w:t>
      </w:r>
      <w:r w:rsidR="00503014">
        <w:rPr>
          <w:rFonts w:ascii="Times New Roman" w:hAnsi="Times New Roman" w:cs="Times New Roman"/>
          <w:b w:val="0"/>
          <w:i/>
          <w:sz w:val="24"/>
          <w:szCs w:val="24"/>
        </w:rPr>
        <w:t xml:space="preserve"> </w:t>
      </w:r>
      <w:r w:rsidR="00503014" w:rsidRPr="00DC7D90">
        <w:rPr>
          <w:rFonts w:ascii="Times New Roman" w:hAnsi="Times New Roman" w:cs="Times New Roman"/>
          <w:b w:val="0"/>
          <w:sz w:val="24"/>
          <w:szCs w:val="24"/>
        </w:rPr>
        <w:t>(</w:t>
      </w:r>
      <w:r w:rsidR="00503014" w:rsidRPr="007D50C2">
        <w:rPr>
          <w:rFonts w:ascii="Times New Roman" w:hAnsi="Times New Roman" w:cs="Times New Roman"/>
          <w:b w:val="0"/>
          <w:sz w:val="24"/>
          <w:szCs w:val="24"/>
        </w:rPr>
        <w:t>LIA</w:t>
      </w:r>
      <w:r w:rsidR="00503014" w:rsidRPr="00DC7D90">
        <w:rPr>
          <w:rFonts w:ascii="Times New Roman" w:hAnsi="Times New Roman" w:cs="Times New Roman"/>
          <w:b w:val="0"/>
          <w:sz w:val="24"/>
          <w:szCs w:val="24"/>
        </w:rPr>
        <w:t>)</w:t>
      </w:r>
      <w:r w:rsidRPr="00591FD1">
        <w:rPr>
          <w:rFonts w:ascii="Times New Roman" w:hAnsi="Times New Roman" w:cs="Times New Roman"/>
          <w:b w:val="0"/>
          <w:sz w:val="24"/>
          <w:szCs w:val="24"/>
        </w:rPr>
        <w:t xml:space="preserve">, </w:t>
      </w:r>
      <w:r>
        <w:rPr>
          <w:rFonts w:ascii="Times New Roman" w:hAnsi="Times New Roman" w:cs="Times New Roman"/>
          <w:b w:val="0"/>
          <w:sz w:val="24"/>
          <w:szCs w:val="24"/>
        </w:rPr>
        <w:t>legislative instruments made before 1 January 2005 were generally required to be registered on the Federal Register of Legislative Instruments</w:t>
      </w:r>
      <w:r w:rsidR="00503014">
        <w:rPr>
          <w:rFonts w:ascii="Times New Roman" w:hAnsi="Times New Roman" w:cs="Times New Roman"/>
          <w:b w:val="0"/>
          <w:sz w:val="24"/>
          <w:szCs w:val="24"/>
        </w:rPr>
        <w:t xml:space="preserve"> </w:t>
      </w:r>
      <w:r w:rsidR="00503014" w:rsidRPr="00591FD1">
        <w:rPr>
          <w:rFonts w:ascii="Times New Roman" w:hAnsi="Times New Roman" w:cs="Times New Roman"/>
          <w:b w:val="0"/>
          <w:sz w:val="24"/>
          <w:szCs w:val="24"/>
        </w:rPr>
        <w:t>(</w:t>
      </w:r>
      <w:r w:rsidR="00503014" w:rsidRPr="007D50C2">
        <w:rPr>
          <w:rFonts w:ascii="Times New Roman" w:hAnsi="Times New Roman" w:cs="Times New Roman"/>
          <w:b w:val="0"/>
          <w:sz w:val="24"/>
          <w:szCs w:val="24"/>
        </w:rPr>
        <w:t>FRLI</w:t>
      </w:r>
      <w:r w:rsidR="00503014" w:rsidRPr="00591FD1">
        <w:rPr>
          <w:rFonts w:ascii="Times New Roman" w:hAnsi="Times New Roman" w:cs="Times New Roman"/>
          <w:b w:val="0"/>
          <w:sz w:val="24"/>
          <w:szCs w:val="24"/>
        </w:rPr>
        <w:t>)</w:t>
      </w:r>
      <w:r>
        <w:rPr>
          <w:rFonts w:ascii="Times New Roman" w:hAnsi="Times New Roman" w:cs="Times New Roman"/>
          <w:b w:val="0"/>
          <w:sz w:val="24"/>
          <w:szCs w:val="24"/>
        </w:rPr>
        <w:t xml:space="preserve">.  </w:t>
      </w:r>
      <w:r w:rsidR="00A77B0D">
        <w:rPr>
          <w:rFonts w:ascii="Times New Roman" w:hAnsi="Times New Roman" w:cs="Times New Roman"/>
          <w:b w:val="0"/>
          <w:sz w:val="24"/>
          <w:szCs w:val="24"/>
        </w:rPr>
        <w:t>D</w:t>
      </w:r>
      <w:r w:rsidR="00A542CF">
        <w:rPr>
          <w:rFonts w:ascii="Times New Roman" w:hAnsi="Times New Roman" w:cs="Times New Roman"/>
          <w:b w:val="0"/>
          <w:sz w:val="24"/>
          <w:szCs w:val="24"/>
        </w:rPr>
        <w:t xml:space="preserve">ue to an oversight, </w:t>
      </w:r>
      <w:r w:rsidR="0085690B">
        <w:rPr>
          <w:rFonts w:ascii="Times New Roman" w:hAnsi="Times New Roman" w:cs="Times New Roman"/>
          <w:b w:val="0"/>
          <w:sz w:val="24"/>
          <w:szCs w:val="24"/>
        </w:rPr>
        <w:t xml:space="preserve">the 1999 </w:t>
      </w:r>
      <w:r w:rsidR="00EF7736">
        <w:rPr>
          <w:rFonts w:ascii="Times New Roman" w:hAnsi="Times New Roman" w:cs="Times New Roman"/>
          <w:b w:val="0"/>
          <w:sz w:val="24"/>
          <w:szCs w:val="24"/>
        </w:rPr>
        <w:t>D</w:t>
      </w:r>
      <w:r w:rsidR="00A542CF">
        <w:rPr>
          <w:rFonts w:ascii="Times New Roman" w:hAnsi="Times New Roman" w:cs="Times New Roman"/>
          <w:b w:val="0"/>
          <w:sz w:val="24"/>
          <w:szCs w:val="24"/>
        </w:rPr>
        <w:t xml:space="preserve">etermination was not </w:t>
      </w:r>
      <w:r w:rsidR="00C54A48">
        <w:rPr>
          <w:rFonts w:ascii="Times New Roman" w:hAnsi="Times New Roman" w:cs="Times New Roman"/>
          <w:b w:val="0"/>
          <w:sz w:val="24"/>
          <w:szCs w:val="24"/>
        </w:rPr>
        <w:t xml:space="preserve">registered </w:t>
      </w:r>
      <w:r w:rsidR="00503014">
        <w:rPr>
          <w:rFonts w:ascii="Times New Roman" w:hAnsi="Times New Roman" w:cs="Times New Roman"/>
          <w:b w:val="0"/>
          <w:sz w:val="24"/>
          <w:szCs w:val="24"/>
        </w:rPr>
        <w:t>on FRLI before 1 January 2008 as required under section 29</w:t>
      </w:r>
      <w:r w:rsidR="00F90EB7">
        <w:rPr>
          <w:rFonts w:ascii="Times New Roman" w:hAnsi="Times New Roman" w:cs="Times New Roman"/>
          <w:b w:val="0"/>
          <w:sz w:val="24"/>
          <w:szCs w:val="24"/>
        </w:rPr>
        <w:t xml:space="preserve"> of the LIA</w:t>
      </w:r>
      <w:r w:rsidR="00A542CF">
        <w:rPr>
          <w:rFonts w:ascii="Times New Roman" w:hAnsi="Times New Roman" w:cs="Times New Roman"/>
          <w:b w:val="0"/>
          <w:sz w:val="24"/>
          <w:szCs w:val="24"/>
        </w:rPr>
        <w:t>.</w:t>
      </w:r>
      <w:r w:rsidR="0001211F">
        <w:rPr>
          <w:rFonts w:ascii="Times New Roman" w:hAnsi="Times New Roman" w:cs="Times New Roman"/>
          <w:b w:val="0"/>
          <w:sz w:val="24"/>
          <w:szCs w:val="24"/>
        </w:rPr>
        <w:t xml:space="preserve">  Accordingly, under section 31 of the LIA, the 1999 Determination is not enforceable by or against any person.  </w:t>
      </w:r>
      <w:r w:rsidR="00606DDA">
        <w:rPr>
          <w:rFonts w:ascii="Times New Roman" w:hAnsi="Times New Roman" w:cs="Times New Roman"/>
          <w:b w:val="0"/>
          <w:sz w:val="24"/>
          <w:szCs w:val="24"/>
        </w:rPr>
        <w:t xml:space="preserve">Nevertheless, </w:t>
      </w:r>
      <w:r w:rsidR="00C25B0C">
        <w:rPr>
          <w:rFonts w:ascii="Times New Roman" w:hAnsi="Times New Roman" w:cs="Times New Roman"/>
          <w:b w:val="0"/>
          <w:sz w:val="24"/>
          <w:szCs w:val="24"/>
        </w:rPr>
        <w:t xml:space="preserve">it is arguable that ‘credit co-operative’ continued to be a restricted expression for the purposes of section 66 of the Act because the meaning of a restricted expression under paragraph 66(4) of the Act includes an expression that is of like import to the expression </w:t>
      </w:r>
      <w:r w:rsidR="00DA67FE">
        <w:rPr>
          <w:rFonts w:ascii="Times New Roman" w:hAnsi="Times New Roman" w:cs="Times New Roman"/>
          <w:b w:val="0"/>
          <w:sz w:val="24"/>
          <w:szCs w:val="24"/>
        </w:rPr>
        <w:t xml:space="preserve">‘credit union’ </w:t>
      </w:r>
      <w:r w:rsidR="00C25B0C">
        <w:rPr>
          <w:rFonts w:ascii="Times New Roman" w:hAnsi="Times New Roman" w:cs="Times New Roman"/>
          <w:b w:val="0"/>
          <w:sz w:val="24"/>
          <w:szCs w:val="24"/>
        </w:rPr>
        <w:t xml:space="preserve">or </w:t>
      </w:r>
      <w:r w:rsidR="00DA67FE">
        <w:rPr>
          <w:rFonts w:ascii="Times New Roman" w:hAnsi="Times New Roman" w:cs="Times New Roman"/>
          <w:b w:val="0"/>
          <w:sz w:val="24"/>
          <w:szCs w:val="24"/>
        </w:rPr>
        <w:t>‘credit society’</w:t>
      </w:r>
      <w:r w:rsidR="00C25B0C">
        <w:rPr>
          <w:rFonts w:ascii="Times New Roman" w:hAnsi="Times New Roman" w:cs="Times New Roman"/>
          <w:b w:val="0"/>
          <w:sz w:val="24"/>
          <w:szCs w:val="24"/>
        </w:rPr>
        <w:t>.</w:t>
      </w:r>
      <w:r w:rsidR="00DA67FE">
        <w:rPr>
          <w:rFonts w:ascii="Times New Roman" w:hAnsi="Times New Roman" w:cs="Times New Roman"/>
          <w:b w:val="0"/>
          <w:sz w:val="24"/>
          <w:szCs w:val="24"/>
        </w:rPr>
        <w:t xml:space="preserve"> </w:t>
      </w:r>
      <w:r w:rsidR="00A77B0D">
        <w:rPr>
          <w:rFonts w:ascii="Times New Roman" w:hAnsi="Times New Roman" w:cs="Times New Roman"/>
          <w:b w:val="0"/>
          <w:sz w:val="24"/>
          <w:szCs w:val="24"/>
        </w:rPr>
        <w:t xml:space="preserve">The 2000 Consent was registered on FRLI on 24 January 2007, and has </w:t>
      </w:r>
      <w:r w:rsidR="000D4617">
        <w:rPr>
          <w:rFonts w:ascii="Times New Roman" w:hAnsi="Times New Roman" w:cs="Times New Roman"/>
          <w:b w:val="0"/>
          <w:sz w:val="24"/>
          <w:szCs w:val="24"/>
        </w:rPr>
        <w:t>remained in effect</w:t>
      </w:r>
      <w:r w:rsidR="00A77B0D">
        <w:rPr>
          <w:rFonts w:ascii="Times New Roman" w:hAnsi="Times New Roman" w:cs="Times New Roman"/>
          <w:b w:val="0"/>
          <w:sz w:val="24"/>
          <w:szCs w:val="24"/>
        </w:rPr>
        <w:t xml:space="preserve">.  </w:t>
      </w:r>
      <w:r w:rsidR="00A542CF">
        <w:rPr>
          <w:rFonts w:ascii="Times New Roman" w:hAnsi="Times New Roman" w:cs="Times New Roman"/>
          <w:b w:val="0"/>
          <w:sz w:val="24"/>
          <w:szCs w:val="24"/>
        </w:rPr>
        <w:t xml:space="preserve">The </w:t>
      </w:r>
      <w:r w:rsidR="00C044B6">
        <w:rPr>
          <w:rFonts w:ascii="Times New Roman" w:hAnsi="Times New Roman" w:cs="Times New Roman"/>
          <w:b w:val="0"/>
          <w:sz w:val="24"/>
          <w:szCs w:val="24"/>
        </w:rPr>
        <w:t xml:space="preserve">2015 </w:t>
      </w:r>
      <w:r w:rsidR="00A542CF">
        <w:rPr>
          <w:rFonts w:ascii="Times New Roman" w:hAnsi="Times New Roman" w:cs="Times New Roman"/>
          <w:b w:val="0"/>
          <w:sz w:val="24"/>
          <w:szCs w:val="24"/>
        </w:rPr>
        <w:t xml:space="preserve">Determination </w:t>
      </w:r>
      <w:r w:rsidR="00F410D2">
        <w:rPr>
          <w:rFonts w:ascii="Times New Roman" w:hAnsi="Times New Roman" w:cs="Times New Roman"/>
          <w:b w:val="0"/>
          <w:sz w:val="24"/>
          <w:szCs w:val="24"/>
        </w:rPr>
        <w:t>puts beyond doubt that ‘credit co-operative’ is a restricted expression</w:t>
      </w:r>
      <w:r w:rsidR="00E37476">
        <w:rPr>
          <w:rFonts w:ascii="Times New Roman" w:hAnsi="Times New Roman" w:cs="Times New Roman"/>
          <w:b w:val="0"/>
          <w:sz w:val="24"/>
          <w:szCs w:val="24"/>
        </w:rPr>
        <w:t xml:space="preserve">. </w:t>
      </w:r>
      <w:r w:rsidR="005808B2">
        <w:rPr>
          <w:rFonts w:ascii="Times New Roman" w:hAnsi="Times New Roman" w:cs="Times New Roman"/>
          <w:b w:val="0"/>
          <w:sz w:val="24"/>
          <w:szCs w:val="24"/>
        </w:rPr>
        <w:t xml:space="preserve"> </w:t>
      </w:r>
    </w:p>
    <w:p w:rsidR="005E67E9" w:rsidRPr="00BC7834" w:rsidRDefault="008B7528" w:rsidP="001C001C">
      <w:pPr>
        <w:pStyle w:val="Heading"/>
        <w:numPr>
          <w:ilvl w:val="0"/>
          <w:numId w:val="1"/>
        </w:numPr>
        <w:tabs>
          <w:tab w:val="clear" w:pos="360"/>
          <w:tab w:val="num" w:pos="0"/>
        </w:tabs>
        <w:ind w:left="0" w:firstLine="0"/>
        <w:jc w:val="both"/>
        <w:rPr>
          <w:rFonts w:ascii="Times New Roman" w:hAnsi="Times New Roman" w:cs="Times New Roman"/>
          <w:sz w:val="24"/>
          <w:szCs w:val="24"/>
        </w:rPr>
      </w:pPr>
      <w:r w:rsidRPr="00BC7834">
        <w:rPr>
          <w:rFonts w:ascii="Times New Roman" w:hAnsi="Times New Roman" w:cs="Times New Roman"/>
          <w:sz w:val="24"/>
          <w:szCs w:val="24"/>
        </w:rPr>
        <w:t>Purpose of the instrument</w:t>
      </w:r>
      <w:bookmarkStart w:id="6" w:name="bkPurpose"/>
      <w:bookmarkStart w:id="7" w:name="bkoperation"/>
      <w:bookmarkStart w:id="8" w:name="bkConsultationNo"/>
      <w:bookmarkEnd w:id="6"/>
      <w:bookmarkEnd w:id="7"/>
      <w:bookmarkEnd w:id="8"/>
    </w:p>
    <w:p w:rsidR="00887B96" w:rsidRDefault="00A62AE1" w:rsidP="00A62AE1">
      <w:pPr>
        <w:pStyle w:val="Heading"/>
        <w:jc w:val="both"/>
        <w:rPr>
          <w:rFonts w:ascii="Times New Roman" w:hAnsi="Times New Roman" w:cs="Times New Roman"/>
          <w:b w:val="0"/>
          <w:sz w:val="24"/>
          <w:szCs w:val="24"/>
        </w:rPr>
      </w:pPr>
      <w:r>
        <w:rPr>
          <w:rFonts w:ascii="Times New Roman" w:hAnsi="Times New Roman" w:cs="Times New Roman"/>
          <w:b w:val="0"/>
          <w:sz w:val="24"/>
          <w:szCs w:val="24"/>
        </w:rPr>
        <w:t xml:space="preserve">The purpose of </w:t>
      </w:r>
      <w:r w:rsidR="009231DE">
        <w:rPr>
          <w:rFonts w:ascii="Times New Roman" w:hAnsi="Times New Roman" w:cs="Times New Roman"/>
          <w:b w:val="0"/>
          <w:sz w:val="24"/>
          <w:szCs w:val="24"/>
        </w:rPr>
        <w:t xml:space="preserve">the </w:t>
      </w:r>
      <w:r w:rsidR="004D4887">
        <w:rPr>
          <w:rFonts w:ascii="Times New Roman" w:hAnsi="Times New Roman" w:cs="Times New Roman"/>
          <w:b w:val="0"/>
          <w:sz w:val="24"/>
          <w:szCs w:val="24"/>
        </w:rPr>
        <w:t>Determination is to</w:t>
      </w:r>
      <w:r w:rsidR="00714DE9">
        <w:rPr>
          <w:rFonts w:ascii="Times New Roman" w:hAnsi="Times New Roman" w:cs="Times New Roman"/>
          <w:b w:val="0"/>
          <w:sz w:val="24"/>
          <w:szCs w:val="24"/>
        </w:rPr>
        <w:t xml:space="preserve"> </w:t>
      </w:r>
      <w:r w:rsidR="002A5924">
        <w:rPr>
          <w:rFonts w:ascii="Times New Roman" w:hAnsi="Times New Roman" w:cs="Times New Roman"/>
          <w:b w:val="0"/>
          <w:sz w:val="24"/>
          <w:szCs w:val="24"/>
        </w:rPr>
        <w:t xml:space="preserve">revoke the 2006 Determination and to </w:t>
      </w:r>
      <w:r w:rsidR="00BA157C">
        <w:rPr>
          <w:rFonts w:ascii="Times New Roman" w:hAnsi="Times New Roman" w:cs="Times New Roman"/>
          <w:b w:val="0"/>
          <w:sz w:val="24"/>
          <w:szCs w:val="24"/>
        </w:rPr>
        <w:t>determine that the expression ‘credit co-operative’ is a restricted expression for the purposes of section 66 of the Act.</w:t>
      </w:r>
    </w:p>
    <w:p w:rsidR="008B7528" w:rsidRPr="00BC7834" w:rsidRDefault="005E67E9" w:rsidP="001C001C">
      <w:pPr>
        <w:pStyle w:val="Heading"/>
        <w:tabs>
          <w:tab w:val="left" w:pos="0"/>
        </w:tabs>
        <w:jc w:val="both"/>
        <w:rPr>
          <w:rFonts w:ascii="Times New Roman" w:hAnsi="Times New Roman" w:cs="Times New Roman"/>
          <w:sz w:val="24"/>
          <w:szCs w:val="24"/>
        </w:rPr>
      </w:pPr>
      <w:r w:rsidRPr="00BC7834">
        <w:rPr>
          <w:rFonts w:ascii="Times New Roman" w:hAnsi="Times New Roman" w:cs="Times New Roman"/>
          <w:sz w:val="24"/>
          <w:szCs w:val="24"/>
        </w:rPr>
        <w:t>3</w:t>
      </w:r>
      <w:r w:rsidR="00056DFC" w:rsidRPr="00BC7834">
        <w:rPr>
          <w:rFonts w:ascii="Times New Roman" w:hAnsi="Times New Roman" w:cs="Times New Roman"/>
          <w:sz w:val="24"/>
          <w:szCs w:val="24"/>
        </w:rPr>
        <w:t>.</w:t>
      </w:r>
      <w:r w:rsidR="00056DFC" w:rsidRPr="00BC7834">
        <w:rPr>
          <w:rFonts w:ascii="Times New Roman" w:hAnsi="Times New Roman" w:cs="Times New Roman"/>
          <w:sz w:val="24"/>
          <w:szCs w:val="24"/>
        </w:rPr>
        <w:tab/>
      </w:r>
      <w:r w:rsidR="008B7528" w:rsidRPr="00BC7834">
        <w:rPr>
          <w:rFonts w:ascii="Times New Roman" w:hAnsi="Times New Roman" w:cs="Times New Roman"/>
          <w:sz w:val="24"/>
          <w:szCs w:val="24"/>
        </w:rPr>
        <w:t>Consultation</w:t>
      </w:r>
    </w:p>
    <w:p w:rsidR="001A3F83" w:rsidRDefault="001A3F83" w:rsidP="005614FC">
      <w:pPr>
        <w:pStyle w:val="Heading1"/>
        <w:jc w:val="both"/>
        <w:rPr>
          <w:rFonts w:ascii="Times New Roman" w:hAnsi="Times New Roman" w:cs="Times New Roman"/>
          <w:b w:val="0"/>
          <w:sz w:val="24"/>
          <w:szCs w:val="24"/>
        </w:rPr>
      </w:pPr>
      <w:bookmarkStart w:id="9" w:name="bkConsultation"/>
      <w:bookmarkStart w:id="10" w:name="bkRISNO"/>
      <w:bookmarkEnd w:id="9"/>
      <w:bookmarkEnd w:id="10"/>
      <w:r>
        <w:rPr>
          <w:rFonts w:ascii="Times New Roman" w:hAnsi="Times New Roman" w:cs="Times New Roman"/>
          <w:b w:val="0"/>
          <w:sz w:val="24"/>
          <w:szCs w:val="24"/>
        </w:rPr>
        <w:t>The Reserve Bank of Australia conducted 2 rounds of consultation in May and December 2013 on policy options for changes to the SCCI regime</w:t>
      </w:r>
      <w:r w:rsidR="00D14850">
        <w:rPr>
          <w:rFonts w:ascii="Times New Roman" w:hAnsi="Times New Roman" w:cs="Times New Roman"/>
          <w:b w:val="0"/>
          <w:sz w:val="24"/>
          <w:szCs w:val="24"/>
        </w:rPr>
        <w:t xml:space="preserve">, which culminated in </w:t>
      </w:r>
      <w:r>
        <w:rPr>
          <w:rFonts w:ascii="Times New Roman" w:hAnsi="Times New Roman" w:cs="Times New Roman"/>
          <w:b w:val="0"/>
          <w:sz w:val="24"/>
          <w:szCs w:val="24"/>
        </w:rPr>
        <w:t>amendments to the Banking Regulation</w:t>
      </w:r>
      <w:r w:rsidR="00C2115B">
        <w:rPr>
          <w:rFonts w:ascii="Times New Roman" w:hAnsi="Times New Roman" w:cs="Times New Roman"/>
          <w:b w:val="0"/>
          <w:sz w:val="24"/>
          <w:szCs w:val="24"/>
        </w:rPr>
        <w:t>s</w:t>
      </w:r>
      <w:r>
        <w:rPr>
          <w:rFonts w:ascii="Times New Roman" w:hAnsi="Times New Roman" w:cs="Times New Roman"/>
          <w:b w:val="0"/>
          <w:sz w:val="24"/>
          <w:szCs w:val="24"/>
        </w:rPr>
        <w:t xml:space="preserve"> to remove provisions setting out the SCCI regime.  The Treasury also engaged with key stakeholders, including MasterCard, Visa, SCCIs and potential entrants.</w:t>
      </w:r>
      <w:r w:rsidR="006C6DD0">
        <w:rPr>
          <w:rFonts w:ascii="Times New Roman" w:hAnsi="Times New Roman" w:cs="Times New Roman"/>
          <w:b w:val="0"/>
          <w:sz w:val="24"/>
          <w:szCs w:val="24"/>
        </w:rPr>
        <w:t xml:space="preserve">  In view of the extensive consultation conducted </w:t>
      </w:r>
      <w:r w:rsidR="005B283C">
        <w:rPr>
          <w:rFonts w:ascii="Times New Roman" w:hAnsi="Times New Roman" w:cs="Times New Roman"/>
          <w:b w:val="0"/>
          <w:sz w:val="24"/>
          <w:szCs w:val="24"/>
        </w:rPr>
        <w:t xml:space="preserve">prior to </w:t>
      </w:r>
      <w:r w:rsidR="006C6DD0">
        <w:rPr>
          <w:rFonts w:ascii="Times New Roman" w:hAnsi="Times New Roman" w:cs="Times New Roman"/>
          <w:b w:val="0"/>
          <w:sz w:val="24"/>
          <w:szCs w:val="24"/>
        </w:rPr>
        <w:t xml:space="preserve">the </w:t>
      </w:r>
      <w:r w:rsidR="00C2115B">
        <w:rPr>
          <w:rFonts w:ascii="Times New Roman" w:hAnsi="Times New Roman" w:cs="Times New Roman"/>
          <w:b w:val="0"/>
          <w:sz w:val="24"/>
          <w:szCs w:val="24"/>
        </w:rPr>
        <w:t>amendments to the Banking Regulations</w:t>
      </w:r>
      <w:r w:rsidR="006C6DD0">
        <w:rPr>
          <w:rFonts w:ascii="Times New Roman" w:hAnsi="Times New Roman" w:cs="Times New Roman"/>
          <w:b w:val="0"/>
          <w:sz w:val="24"/>
          <w:szCs w:val="24"/>
        </w:rPr>
        <w:t xml:space="preserve">, and </w:t>
      </w:r>
      <w:r w:rsidR="00D14850">
        <w:rPr>
          <w:rFonts w:ascii="Times New Roman" w:hAnsi="Times New Roman" w:cs="Times New Roman"/>
          <w:b w:val="0"/>
          <w:sz w:val="24"/>
          <w:szCs w:val="24"/>
        </w:rPr>
        <w:t>the fact that removal of the restricted expression</w:t>
      </w:r>
      <w:r w:rsidR="0011782C">
        <w:rPr>
          <w:rFonts w:ascii="Times New Roman" w:hAnsi="Times New Roman" w:cs="Times New Roman"/>
          <w:b w:val="0"/>
          <w:sz w:val="24"/>
          <w:szCs w:val="24"/>
        </w:rPr>
        <w:t>s ‘specialist credit card institution’ and</w:t>
      </w:r>
      <w:r w:rsidR="00D14850">
        <w:rPr>
          <w:rFonts w:ascii="Times New Roman" w:hAnsi="Times New Roman" w:cs="Times New Roman"/>
          <w:b w:val="0"/>
          <w:sz w:val="24"/>
          <w:szCs w:val="24"/>
        </w:rPr>
        <w:t xml:space="preserve"> </w:t>
      </w:r>
      <w:r w:rsidR="0011782C">
        <w:rPr>
          <w:rFonts w:ascii="Times New Roman" w:hAnsi="Times New Roman" w:cs="Times New Roman"/>
          <w:b w:val="0"/>
          <w:sz w:val="24"/>
          <w:szCs w:val="24"/>
        </w:rPr>
        <w:t>‘</w:t>
      </w:r>
      <w:r w:rsidR="00D14850">
        <w:rPr>
          <w:rFonts w:ascii="Times New Roman" w:hAnsi="Times New Roman" w:cs="Times New Roman"/>
          <w:b w:val="0"/>
          <w:sz w:val="24"/>
          <w:szCs w:val="24"/>
        </w:rPr>
        <w:t>SCCI</w:t>
      </w:r>
      <w:r w:rsidR="0011782C">
        <w:rPr>
          <w:rFonts w:ascii="Times New Roman" w:hAnsi="Times New Roman" w:cs="Times New Roman"/>
          <w:b w:val="0"/>
          <w:sz w:val="24"/>
          <w:szCs w:val="24"/>
        </w:rPr>
        <w:t>’</w:t>
      </w:r>
      <w:r w:rsidR="00D14850">
        <w:rPr>
          <w:rFonts w:ascii="Times New Roman" w:hAnsi="Times New Roman" w:cs="Times New Roman"/>
          <w:b w:val="0"/>
          <w:sz w:val="24"/>
          <w:szCs w:val="24"/>
        </w:rPr>
        <w:t xml:space="preserve"> is a natural consequence of the cessation of the SCCI regime</w:t>
      </w:r>
      <w:r w:rsidR="006C6DD0">
        <w:rPr>
          <w:rFonts w:ascii="Times New Roman" w:hAnsi="Times New Roman" w:cs="Times New Roman"/>
          <w:b w:val="0"/>
          <w:sz w:val="24"/>
          <w:szCs w:val="24"/>
        </w:rPr>
        <w:t xml:space="preserve">, APRA </w:t>
      </w:r>
      <w:r w:rsidR="00B65B04">
        <w:rPr>
          <w:rFonts w:ascii="Times New Roman" w:hAnsi="Times New Roman" w:cs="Times New Roman"/>
          <w:b w:val="0"/>
          <w:sz w:val="24"/>
          <w:szCs w:val="24"/>
        </w:rPr>
        <w:t xml:space="preserve">considers that it is </w:t>
      </w:r>
      <w:r w:rsidR="00D14850">
        <w:rPr>
          <w:rFonts w:ascii="Times New Roman" w:hAnsi="Times New Roman" w:cs="Times New Roman"/>
          <w:b w:val="0"/>
          <w:sz w:val="24"/>
          <w:szCs w:val="24"/>
        </w:rPr>
        <w:t xml:space="preserve">unnecessary </w:t>
      </w:r>
      <w:r w:rsidR="00B65B04">
        <w:rPr>
          <w:rFonts w:ascii="Times New Roman" w:hAnsi="Times New Roman" w:cs="Times New Roman"/>
          <w:b w:val="0"/>
          <w:sz w:val="24"/>
          <w:szCs w:val="24"/>
        </w:rPr>
        <w:t xml:space="preserve">to undertake </w:t>
      </w:r>
      <w:r w:rsidR="005B283C">
        <w:rPr>
          <w:rFonts w:ascii="Times New Roman" w:hAnsi="Times New Roman" w:cs="Times New Roman"/>
          <w:b w:val="0"/>
          <w:sz w:val="24"/>
          <w:szCs w:val="24"/>
        </w:rPr>
        <w:t xml:space="preserve">further </w:t>
      </w:r>
      <w:r w:rsidR="00B65B04">
        <w:rPr>
          <w:rFonts w:ascii="Times New Roman" w:hAnsi="Times New Roman" w:cs="Times New Roman"/>
          <w:b w:val="0"/>
          <w:sz w:val="24"/>
          <w:szCs w:val="24"/>
        </w:rPr>
        <w:t xml:space="preserve">consultation on the </w:t>
      </w:r>
      <w:r w:rsidR="00C2115B">
        <w:rPr>
          <w:rFonts w:ascii="Times New Roman" w:hAnsi="Times New Roman" w:cs="Times New Roman"/>
          <w:b w:val="0"/>
          <w:sz w:val="24"/>
          <w:szCs w:val="24"/>
        </w:rPr>
        <w:t xml:space="preserve">revocation of the determination of </w:t>
      </w:r>
      <w:r w:rsidR="00B65B04">
        <w:rPr>
          <w:rFonts w:ascii="Times New Roman" w:hAnsi="Times New Roman" w:cs="Times New Roman"/>
          <w:b w:val="0"/>
          <w:sz w:val="24"/>
          <w:szCs w:val="24"/>
        </w:rPr>
        <w:t xml:space="preserve">these </w:t>
      </w:r>
      <w:r w:rsidR="00C2115B">
        <w:rPr>
          <w:rFonts w:ascii="Times New Roman" w:hAnsi="Times New Roman" w:cs="Times New Roman"/>
          <w:b w:val="0"/>
          <w:sz w:val="24"/>
          <w:szCs w:val="24"/>
        </w:rPr>
        <w:t xml:space="preserve">expressions </w:t>
      </w:r>
      <w:r w:rsidR="00B65B04">
        <w:rPr>
          <w:rFonts w:ascii="Times New Roman" w:hAnsi="Times New Roman" w:cs="Times New Roman"/>
          <w:b w:val="0"/>
          <w:sz w:val="24"/>
          <w:szCs w:val="24"/>
        </w:rPr>
        <w:t xml:space="preserve">as restricted expressions </w:t>
      </w:r>
      <w:r w:rsidR="00C2115B">
        <w:rPr>
          <w:rFonts w:ascii="Times New Roman" w:hAnsi="Times New Roman" w:cs="Times New Roman"/>
          <w:b w:val="0"/>
          <w:sz w:val="24"/>
          <w:szCs w:val="24"/>
        </w:rPr>
        <w:t xml:space="preserve">for the purposes of section 66 of </w:t>
      </w:r>
      <w:r w:rsidR="00942C18">
        <w:rPr>
          <w:rFonts w:ascii="Times New Roman" w:hAnsi="Times New Roman" w:cs="Times New Roman"/>
          <w:b w:val="0"/>
          <w:sz w:val="24"/>
          <w:szCs w:val="24"/>
        </w:rPr>
        <w:t>the Banking Act.</w:t>
      </w:r>
    </w:p>
    <w:p w:rsidR="00D22D14" w:rsidRDefault="00A62AE1" w:rsidP="005614FC">
      <w:pPr>
        <w:pStyle w:val="Heading1"/>
        <w:jc w:val="both"/>
        <w:rPr>
          <w:rFonts w:ascii="Times New Roman" w:hAnsi="Times New Roman" w:cs="Times New Roman"/>
          <w:b w:val="0"/>
          <w:sz w:val="24"/>
          <w:szCs w:val="24"/>
        </w:rPr>
      </w:pPr>
      <w:r w:rsidRPr="005E083F">
        <w:rPr>
          <w:rFonts w:ascii="Times New Roman" w:hAnsi="Times New Roman" w:cs="Times New Roman"/>
          <w:b w:val="0"/>
          <w:sz w:val="24"/>
          <w:szCs w:val="24"/>
        </w:rPr>
        <w:t xml:space="preserve">APRA consulted </w:t>
      </w:r>
      <w:r w:rsidR="00C76592">
        <w:rPr>
          <w:rFonts w:ascii="Times New Roman" w:hAnsi="Times New Roman" w:cs="Times New Roman"/>
          <w:b w:val="0"/>
          <w:sz w:val="24"/>
          <w:szCs w:val="24"/>
        </w:rPr>
        <w:t xml:space="preserve">on proposed changes to the </w:t>
      </w:r>
      <w:r w:rsidR="00C76592" w:rsidRPr="00C76592">
        <w:rPr>
          <w:rFonts w:ascii="Times New Roman" w:hAnsi="Times New Roman" w:cs="Times New Roman"/>
          <w:b w:val="0"/>
          <w:i/>
          <w:sz w:val="24"/>
          <w:szCs w:val="24"/>
        </w:rPr>
        <w:t>Guidelines on Implementation of section 66 of the Banking Act 1959</w:t>
      </w:r>
      <w:r w:rsidR="00C76592">
        <w:rPr>
          <w:rFonts w:ascii="Times New Roman" w:hAnsi="Times New Roman" w:cs="Times New Roman"/>
          <w:b w:val="0"/>
          <w:sz w:val="24"/>
          <w:szCs w:val="24"/>
        </w:rPr>
        <w:t xml:space="preserve"> (the Guidelines) in April 2013. </w:t>
      </w:r>
      <w:r w:rsidR="00675153">
        <w:rPr>
          <w:rFonts w:ascii="Times New Roman" w:hAnsi="Times New Roman" w:cs="Times New Roman"/>
          <w:b w:val="0"/>
          <w:sz w:val="24"/>
          <w:szCs w:val="24"/>
        </w:rPr>
        <w:t>The Guidelines include reference to the restriction on the expression ‘credit co-operative</w:t>
      </w:r>
      <w:r w:rsidR="000D4617">
        <w:rPr>
          <w:rFonts w:ascii="Times New Roman" w:hAnsi="Times New Roman" w:cs="Times New Roman"/>
          <w:b w:val="0"/>
          <w:sz w:val="24"/>
          <w:szCs w:val="24"/>
        </w:rPr>
        <w:t>’, including reference to the 2000 Consent</w:t>
      </w:r>
      <w:r w:rsidR="00675153">
        <w:rPr>
          <w:rFonts w:ascii="Times New Roman" w:hAnsi="Times New Roman" w:cs="Times New Roman"/>
          <w:b w:val="0"/>
          <w:sz w:val="24"/>
          <w:szCs w:val="24"/>
        </w:rPr>
        <w:t xml:space="preserve">. No submissions were received in relation to the restriction on the use of the expression ‘credit co-operative’. </w:t>
      </w:r>
      <w:r w:rsidR="00C76592">
        <w:rPr>
          <w:rFonts w:ascii="Times New Roman" w:hAnsi="Times New Roman" w:cs="Times New Roman"/>
          <w:b w:val="0"/>
          <w:sz w:val="24"/>
          <w:szCs w:val="24"/>
        </w:rPr>
        <w:t xml:space="preserve"> </w:t>
      </w:r>
    </w:p>
    <w:p w:rsidR="008565C8" w:rsidRPr="008565C8" w:rsidRDefault="008565C8" w:rsidP="008565C8"/>
    <w:p w:rsidR="00A6762A" w:rsidRPr="004C651D" w:rsidRDefault="00A6762A" w:rsidP="00A6762A">
      <w:pPr>
        <w:pStyle w:val="Heading"/>
        <w:numPr>
          <w:ilvl w:val="0"/>
          <w:numId w:val="12"/>
        </w:numPr>
        <w:spacing w:before="0" w:after="240"/>
        <w:ind w:hanging="720"/>
        <w:jc w:val="both"/>
        <w:rPr>
          <w:rFonts w:ascii="Times New Roman" w:hAnsi="Times New Roman" w:cs="Times New Roman"/>
          <w:sz w:val="24"/>
          <w:szCs w:val="24"/>
        </w:rPr>
      </w:pPr>
      <w:bookmarkStart w:id="11" w:name="bkRIS"/>
      <w:r w:rsidRPr="004C651D">
        <w:rPr>
          <w:rFonts w:ascii="Times New Roman" w:hAnsi="Times New Roman" w:cs="Times New Roman"/>
          <w:sz w:val="24"/>
          <w:szCs w:val="24"/>
        </w:rPr>
        <w:t>Regulation Impact Statement</w:t>
      </w:r>
    </w:p>
    <w:bookmarkEnd w:id="11"/>
    <w:p w:rsidR="00A6762A" w:rsidRDefault="00A6762A" w:rsidP="00A6762A">
      <w:pPr>
        <w:pStyle w:val="BodyText"/>
        <w:spacing w:after="0"/>
        <w:jc w:val="both"/>
        <w:rPr>
          <w:b/>
          <w:szCs w:val="24"/>
        </w:rPr>
      </w:pPr>
      <w:r w:rsidRPr="00E26859">
        <w:rPr>
          <w:szCs w:val="24"/>
        </w:rPr>
        <w:t xml:space="preserve">A Preliminary Assessment </w:t>
      </w:r>
      <w:r w:rsidR="00DE2E9E">
        <w:rPr>
          <w:szCs w:val="24"/>
        </w:rPr>
        <w:t xml:space="preserve">in relation to the Guidelines </w:t>
      </w:r>
      <w:r w:rsidRPr="00E26859">
        <w:rPr>
          <w:szCs w:val="24"/>
        </w:rPr>
        <w:t>was submitted the Office of Best Practice Regulation who confirmed that a Regulation Impact Statement was not required</w:t>
      </w:r>
      <w:r w:rsidR="0024602F">
        <w:rPr>
          <w:szCs w:val="24"/>
        </w:rPr>
        <w:t>.</w:t>
      </w:r>
      <w:r>
        <w:rPr>
          <w:b/>
          <w:szCs w:val="24"/>
        </w:rPr>
        <w:t xml:space="preserve"> </w:t>
      </w:r>
    </w:p>
    <w:p w:rsidR="00A6762A" w:rsidRDefault="00A6762A" w:rsidP="00A9578D">
      <w:pPr>
        <w:pStyle w:val="BodyText"/>
        <w:spacing w:after="0"/>
        <w:ind w:left="720" w:hanging="720"/>
        <w:rPr>
          <w:b/>
          <w:szCs w:val="24"/>
        </w:rPr>
      </w:pPr>
    </w:p>
    <w:p w:rsidR="00A9578D" w:rsidRPr="00350E53" w:rsidRDefault="00A9578D" w:rsidP="00350E53">
      <w:pPr>
        <w:pStyle w:val="Heading"/>
        <w:numPr>
          <w:ilvl w:val="0"/>
          <w:numId w:val="12"/>
        </w:numPr>
        <w:spacing w:before="0" w:after="240"/>
        <w:ind w:hanging="720"/>
        <w:jc w:val="both"/>
        <w:rPr>
          <w:rFonts w:ascii="Times New Roman" w:hAnsi="Times New Roman" w:cs="Times New Roman"/>
          <w:sz w:val="24"/>
          <w:szCs w:val="24"/>
        </w:rPr>
      </w:pPr>
      <w:r w:rsidRPr="00350E53">
        <w:rPr>
          <w:rFonts w:ascii="Times New Roman" w:hAnsi="Times New Roman" w:cs="Times New Roman"/>
          <w:sz w:val="24"/>
          <w:szCs w:val="24"/>
        </w:rPr>
        <w:lastRenderedPageBreak/>
        <w:t xml:space="preserve">Statement of compatibility prepared in accordance with Part 3 of the </w:t>
      </w:r>
      <w:r w:rsidRPr="00350E53">
        <w:rPr>
          <w:rFonts w:ascii="Times New Roman" w:hAnsi="Times New Roman" w:cs="Times New Roman"/>
          <w:i/>
          <w:sz w:val="24"/>
          <w:szCs w:val="24"/>
        </w:rPr>
        <w:t>Human Rights (Parliamentary Scrutiny) Act 2011</w:t>
      </w:r>
    </w:p>
    <w:p w:rsidR="00970EB9" w:rsidRDefault="00970EB9" w:rsidP="00A9578D">
      <w:pPr>
        <w:pStyle w:val="BodyText"/>
        <w:spacing w:after="0"/>
        <w:rPr>
          <w:szCs w:val="24"/>
        </w:rPr>
      </w:pPr>
      <w:r w:rsidRPr="0030506B">
        <w:rPr>
          <w:szCs w:val="24"/>
        </w:rPr>
        <w:t xml:space="preserve">A Statement of compatibility prepared in accordance with Part 3 of the </w:t>
      </w:r>
      <w:r w:rsidRPr="0030506B">
        <w:rPr>
          <w:i/>
          <w:szCs w:val="24"/>
        </w:rPr>
        <w:t>Human Rights (Parliamentary Scrutiny) Act 2011</w:t>
      </w:r>
      <w:r w:rsidRPr="0030506B">
        <w:rPr>
          <w:szCs w:val="24"/>
        </w:rPr>
        <w:t xml:space="preserve"> is provided at Attachment A to this Explanatory Statement.</w:t>
      </w:r>
    </w:p>
    <w:p w:rsidR="00970EB9" w:rsidRDefault="00970EB9">
      <w:pPr>
        <w:rPr>
          <w:rFonts w:ascii="Times New Roman" w:hAnsi="Times New Roman"/>
          <w:sz w:val="24"/>
          <w:lang w:eastAsia="en-AU"/>
        </w:rPr>
      </w:pPr>
      <w:r>
        <w:br w:type="page"/>
      </w:r>
    </w:p>
    <w:p w:rsidR="00970EB9" w:rsidRPr="00D8647B" w:rsidRDefault="00970EB9" w:rsidP="00970EB9">
      <w:pPr>
        <w:rPr>
          <w:rFonts w:ascii="Times New Roman" w:hAnsi="Times New Roman"/>
          <w:b/>
          <w:sz w:val="24"/>
        </w:rPr>
      </w:pPr>
      <w:r w:rsidRPr="00D8647B">
        <w:rPr>
          <w:rFonts w:ascii="Times New Roman" w:hAnsi="Times New Roman"/>
          <w:b/>
          <w:sz w:val="24"/>
        </w:rPr>
        <w:lastRenderedPageBreak/>
        <w:t xml:space="preserve">Attachment A </w:t>
      </w:r>
    </w:p>
    <w:p w:rsidR="00970EB9" w:rsidRDefault="00970EB9" w:rsidP="00970EB9">
      <w:pPr>
        <w:autoSpaceDE w:val="0"/>
        <w:autoSpaceDN w:val="0"/>
        <w:adjustRightInd w:val="0"/>
        <w:jc w:val="center"/>
        <w:rPr>
          <w:rFonts w:ascii="Times New Roman" w:hAnsi="Times New Roman"/>
          <w:b/>
          <w:sz w:val="24"/>
        </w:rPr>
      </w:pPr>
    </w:p>
    <w:p w:rsidR="00970EB9" w:rsidRDefault="00970EB9" w:rsidP="00970EB9">
      <w:pPr>
        <w:autoSpaceDE w:val="0"/>
        <w:autoSpaceDN w:val="0"/>
        <w:adjustRightInd w:val="0"/>
        <w:jc w:val="center"/>
        <w:rPr>
          <w:rFonts w:ascii="Times New Roman" w:hAnsi="Times New Roman"/>
          <w:b/>
          <w:sz w:val="24"/>
        </w:rPr>
      </w:pPr>
    </w:p>
    <w:p w:rsidR="00970EB9" w:rsidRPr="00DA192B" w:rsidRDefault="00970EB9" w:rsidP="00970EB9">
      <w:pPr>
        <w:autoSpaceDE w:val="0"/>
        <w:autoSpaceDN w:val="0"/>
        <w:adjustRightInd w:val="0"/>
        <w:jc w:val="center"/>
        <w:rPr>
          <w:rFonts w:ascii="Times New Roman" w:hAnsi="Times New Roman"/>
          <w:b/>
          <w:sz w:val="24"/>
        </w:rPr>
      </w:pPr>
      <w:r w:rsidRPr="00DA192B">
        <w:rPr>
          <w:rFonts w:ascii="Times New Roman" w:hAnsi="Times New Roman"/>
          <w:b/>
          <w:sz w:val="24"/>
        </w:rPr>
        <w:t>Statement of Compatibility with Human Rights</w:t>
      </w:r>
    </w:p>
    <w:p w:rsidR="00970EB9" w:rsidRPr="00DA192B" w:rsidRDefault="00970EB9" w:rsidP="00970EB9">
      <w:pPr>
        <w:autoSpaceDE w:val="0"/>
        <w:autoSpaceDN w:val="0"/>
        <w:adjustRightInd w:val="0"/>
        <w:jc w:val="center"/>
        <w:rPr>
          <w:rFonts w:ascii="Times New Roman" w:hAnsi="Times New Roman"/>
          <w:b/>
          <w:sz w:val="24"/>
        </w:rPr>
      </w:pPr>
    </w:p>
    <w:p w:rsidR="00970EB9" w:rsidRPr="00DA192B" w:rsidRDefault="00970EB9" w:rsidP="00970EB9">
      <w:pPr>
        <w:autoSpaceDE w:val="0"/>
        <w:autoSpaceDN w:val="0"/>
        <w:adjustRightInd w:val="0"/>
        <w:rPr>
          <w:rFonts w:ascii="Times New Roman" w:hAnsi="Times New Roman"/>
          <w:i/>
          <w:sz w:val="24"/>
        </w:rPr>
      </w:pPr>
      <w:r w:rsidRPr="00DA192B">
        <w:rPr>
          <w:rFonts w:ascii="Times New Roman" w:hAnsi="Times New Roman"/>
          <w:i/>
          <w:sz w:val="24"/>
        </w:rPr>
        <w:t>Prepared in accordance with Part 3 of the Human Rights (Parliamentary Scrutiny) Act 2011</w:t>
      </w:r>
    </w:p>
    <w:p w:rsidR="00970EB9" w:rsidRPr="00DA192B" w:rsidRDefault="00970EB9" w:rsidP="00970EB9">
      <w:pPr>
        <w:pStyle w:val="Title"/>
        <w:jc w:val="left"/>
        <w:rPr>
          <w:szCs w:val="24"/>
        </w:rPr>
      </w:pPr>
    </w:p>
    <w:p w:rsidR="00970EB9" w:rsidRPr="00970EB9" w:rsidRDefault="00970EB9" w:rsidP="00970EB9">
      <w:pPr>
        <w:pStyle w:val="BodyText"/>
        <w:spacing w:after="0"/>
        <w:jc w:val="center"/>
        <w:rPr>
          <w:b/>
          <w:szCs w:val="24"/>
        </w:rPr>
      </w:pPr>
      <w:r w:rsidRPr="00970EB9">
        <w:rPr>
          <w:b/>
          <w:szCs w:val="24"/>
        </w:rPr>
        <w:t xml:space="preserve">Banking (restricted word or expression) </w:t>
      </w:r>
      <w:r w:rsidR="00A822BB">
        <w:rPr>
          <w:b/>
          <w:szCs w:val="24"/>
        </w:rPr>
        <w:t>determination</w:t>
      </w:r>
      <w:r w:rsidR="00A822BB" w:rsidRPr="00970EB9">
        <w:rPr>
          <w:b/>
          <w:szCs w:val="24"/>
        </w:rPr>
        <w:t xml:space="preserve"> </w:t>
      </w:r>
      <w:r w:rsidRPr="00970EB9">
        <w:rPr>
          <w:b/>
          <w:szCs w:val="24"/>
        </w:rPr>
        <w:t>No.</w:t>
      </w:r>
      <w:r w:rsidR="00C41052">
        <w:rPr>
          <w:b/>
          <w:szCs w:val="24"/>
        </w:rPr>
        <w:t xml:space="preserve"> </w:t>
      </w:r>
      <w:r w:rsidR="004D4887">
        <w:rPr>
          <w:b/>
          <w:szCs w:val="24"/>
        </w:rPr>
        <w:t>1</w:t>
      </w:r>
      <w:r w:rsidR="001D5502">
        <w:rPr>
          <w:b/>
          <w:color w:val="FF0000"/>
          <w:szCs w:val="24"/>
        </w:rPr>
        <w:t xml:space="preserve"> </w:t>
      </w:r>
      <w:r w:rsidRPr="00970EB9">
        <w:rPr>
          <w:b/>
          <w:szCs w:val="24"/>
        </w:rPr>
        <w:t>of 2015</w:t>
      </w:r>
    </w:p>
    <w:p w:rsidR="00970EB9" w:rsidRPr="00DA192B" w:rsidRDefault="00970EB9" w:rsidP="00970EB9">
      <w:pPr>
        <w:pStyle w:val="BodyText"/>
        <w:spacing w:after="0"/>
        <w:rPr>
          <w:szCs w:val="24"/>
        </w:rPr>
      </w:pPr>
    </w:p>
    <w:p w:rsidR="00970EB9" w:rsidRPr="00DA192B" w:rsidRDefault="00970EB9" w:rsidP="00970EB9">
      <w:pPr>
        <w:pStyle w:val="BodyText"/>
        <w:spacing w:after="0"/>
        <w:rPr>
          <w:i/>
          <w:szCs w:val="24"/>
        </w:rPr>
      </w:pPr>
      <w:r w:rsidRPr="00DA192B">
        <w:rPr>
          <w:szCs w:val="24"/>
        </w:rPr>
        <w:t xml:space="preserve">This Legislative Instrument is compatible with the human rights and freedoms recognised or declared in the international instruments listed in section 3 of the </w:t>
      </w:r>
      <w:r w:rsidRPr="00DA192B">
        <w:rPr>
          <w:i/>
          <w:szCs w:val="24"/>
        </w:rPr>
        <w:t>Human Rights (Parliamentary Scrutiny) Act 2011.</w:t>
      </w:r>
    </w:p>
    <w:p w:rsidR="00970EB9" w:rsidRPr="00DA192B" w:rsidRDefault="00970EB9" w:rsidP="00970EB9">
      <w:pPr>
        <w:pStyle w:val="BodyText"/>
        <w:spacing w:after="0"/>
        <w:rPr>
          <w:i/>
          <w:szCs w:val="24"/>
        </w:rPr>
      </w:pPr>
    </w:p>
    <w:p w:rsidR="00970EB9" w:rsidRDefault="00970EB9" w:rsidP="00970EB9">
      <w:pPr>
        <w:pStyle w:val="BodyText"/>
        <w:spacing w:after="0"/>
        <w:rPr>
          <w:b/>
          <w:szCs w:val="24"/>
        </w:rPr>
      </w:pPr>
      <w:r w:rsidRPr="00740541">
        <w:rPr>
          <w:b/>
          <w:szCs w:val="24"/>
        </w:rPr>
        <w:t>Overview of the Legislative Instrument</w:t>
      </w:r>
    </w:p>
    <w:p w:rsidR="00970EB9" w:rsidRDefault="00970EB9" w:rsidP="00970EB9">
      <w:pPr>
        <w:pStyle w:val="BodyText"/>
        <w:spacing w:after="0"/>
        <w:rPr>
          <w:b/>
          <w:szCs w:val="24"/>
        </w:rPr>
      </w:pPr>
    </w:p>
    <w:p w:rsidR="004C7677" w:rsidRDefault="004C7677" w:rsidP="00970EB9">
      <w:pPr>
        <w:pStyle w:val="BodyText"/>
        <w:rPr>
          <w:szCs w:val="24"/>
        </w:rPr>
      </w:pPr>
      <w:r>
        <w:rPr>
          <w:szCs w:val="24"/>
        </w:rPr>
        <w:t xml:space="preserve">Under section 66 of the </w:t>
      </w:r>
      <w:r w:rsidRPr="007D50C2">
        <w:rPr>
          <w:szCs w:val="24"/>
        </w:rPr>
        <w:t>Act</w:t>
      </w:r>
      <w:r>
        <w:rPr>
          <w:szCs w:val="24"/>
        </w:rPr>
        <w:t xml:space="preserve">, it is an offence for a person to assume or use a restricted word or expression in Australia in relation to a financial business.  </w:t>
      </w:r>
    </w:p>
    <w:p w:rsidR="00FF684D" w:rsidRDefault="008D718A" w:rsidP="00970EB9">
      <w:pPr>
        <w:pStyle w:val="BodyText"/>
        <w:rPr>
          <w:szCs w:val="24"/>
        </w:rPr>
      </w:pPr>
      <w:r w:rsidRPr="007D50C2">
        <w:rPr>
          <w:szCs w:val="24"/>
        </w:rPr>
        <w:t xml:space="preserve">The </w:t>
      </w:r>
      <w:r w:rsidR="004C7677" w:rsidRPr="007D50C2">
        <w:rPr>
          <w:szCs w:val="24"/>
        </w:rPr>
        <w:t>2015 Determination</w:t>
      </w:r>
      <w:r w:rsidR="004C7677">
        <w:rPr>
          <w:szCs w:val="24"/>
        </w:rPr>
        <w:t xml:space="preserve"> revokes </w:t>
      </w:r>
      <w:r w:rsidRPr="007D50C2">
        <w:rPr>
          <w:szCs w:val="24"/>
        </w:rPr>
        <w:t>the</w:t>
      </w:r>
      <w:r w:rsidR="004C7677" w:rsidRPr="007D50C2">
        <w:rPr>
          <w:szCs w:val="24"/>
        </w:rPr>
        <w:t xml:space="preserve"> 2006</w:t>
      </w:r>
      <w:r w:rsidRPr="007D50C2">
        <w:rPr>
          <w:szCs w:val="24"/>
        </w:rPr>
        <w:t xml:space="preserve"> Determination</w:t>
      </w:r>
      <w:r w:rsidR="004C7677" w:rsidRPr="008D718A">
        <w:rPr>
          <w:szCs w:val="24"/>
        </w:rPr>
        <w:t>.</w:t>
      </w:r>
      <w:r w:rsidR="004C7677">
        <w:rPr>
          <w:szCs w:val="24"/>
        </w:rPr>
        <w:t xml:space="preserve"> The effect of this revocation is that the expressions ‘specialist credit card institution’ and ‘SCCI’ will no longer be restricted expressions under section 66 of the </w:t>
      </w:r>
      <w:r w:rsidR="004C7677" w:rsidRPr="004C7677">
        <w:rPr>
          <w:szCs w:val="24"/>
        </w:rPr>
        <w:t>Act</w:t>
      </w:r>
      <w:r w:rsidR="004C7677">
        <w:rPr>
          <w:szCs w:val="24"/>
        </w:rPr>
        <w:t xml:space="preserve">. </w:t>
      </w:r>
    </w:p>
    <w:p w:rsidR="00970EB9" w:rsidRPr="00A6762A" w:rsidRDefault="004C7677" w:rsidP="00970EB9">
      <w:pPr>
        <w:pStyle w:val="BodyText"/>
        <w:rPr>
          <w:color w:val="FF0000"/>
          <w:szCs w:val="24"/>
        </w:rPr>
      </w:pPr>
      <w:r>
        <w:rPr>
          <w:szCs w:val="24"/>
        </w:rPr>
        <w:t xml:space="preserve">The 2015 Determination further </w:t>
      </w:r>
      <w:r w:rsidR="001E3E02">
        <w:rPr>
          <w:szCs w:val="24"/>
        </w:rPr>
        <w:t xml:space="preserve">determines the expression ‘credit co-operative’ to be a restricted expression for the purposes of section 66 of the </w:t>
      </w:r>
      <w:r w:rsidR="008D718A">
        <w:rPr>
          <w:szCs w:val="24"/>
        </w:rPr>
        <w:t>A</w:t>
      </w:r>
      <w:r w:rsidR="00A822BB">
        <w:rPr>
          <w:szCs w:val="24"/>
        </w:rPr>
        <w:t>ct</w:t>
      </w:r>
      <w:r w:rsidR="001E3E02">
        <w:rPr>
          <w:szCs w:val="24"/>
        </w:rPr>
        <w:t>.</w:t>
      </w:r>
      <w:r w:rsidR="00B073CB" w:rsidRPr="00B073CB">
        <w:rPr>
          <w:szCs w:val="24"/>
        </w:rPr>
        <w:t xml:space="preserve"> </w:t>
      </w:r>
      <w:r w:rsidR="00A822BB">
        <w:rPr>
          <w:szCs w:val="24"/>
        </w:rPr>
        <w:t xml:space="preserve"> </w:t>
      </w:r>
      <w:r w:rsidR="00B248CC">
        <w:rPr>
          <w:szCs w:val="24"/>
        </w:rPr>
        <w:t>Under s</w:t>
      </w:r>
      <w:r w:rsidR="00040A96">
        <w:rPr>
          <w:szCs w:val="24"/>
        </w:rPr>
        <w:t>ubsection 66(4)</w:t>
      </w:r>
      <w:r w:rsidR="00B248CC">
        <w:rPr>
          <w:szCs w:val="24"/>
        </w:rPr>
        <w:t xml:space="preserve">, </w:t>
      </w:r>
      <w:r w:rsidR="00040A96">
        <w:rPr>
          <w:szCs w:val="24"/>
        </w:rPr>
        <w:t>a restricted expression</w:t>
      </w:r>
      <w:r w:rsidR="00A822BB">
        <w:rPr>
          <w:szCs w:val="24"/>
        </w:rPr>
        <w:t xml:space="preserve"> </w:t>
      </w:r>
      <w:r w:rsidR="00B248CC">
        <w:rPr>
          <w:szCs w:val="24"/>
        </w:rPr>
        <w:t xml:space="preserve">includes </w:t>
      </w:r>
      <w:r w:rsidR="00040A96">
        <w:rPr>
          <w:szCs w:val="24"/>
        </w:rPr>
        <w:t xml:space="preserve">the expression </w:t>
      </w:r>
      <w:r w:rsidR="00A822BB">
        <w:rPr>
          <w:szCs w:val="24"/>
        </w:rPr>
        <w:t>‘credit union’</w:t>
      </w:r>
      <w:r w:rsidR="00040A96">
        <w:rPr>
          <w:szCs w:val="24"/>
        </w:rPr>
        <w:t xml:space="preserve"> </w:t>
      </w:r>
      <w:r w:rsidR="00B248CC">
        <w:rPr>
          <w:szCs w:val="24"/>
        </w:rPr>
        <w:t xml:space="preserve">or </w:t>
      </w:r>
      <w:r w:rsidR="00040A96">
        <w:rPr>
          <w:szCs w:val="24"/>
        </w:rPr>
        <w:t xml:space="preserve">‘credit society’, </w:t>
      </w:r>
      <w:r w:rsidR="00B248CC">
        <w:rPr>
          <w:szCs w:val="24"/>
        </w:rPr>
        <w:t>or words of like import.  This determination puts beyond doubt that the expression ‘credit co-operative’ is a restricted expression</w:t>
      </w:r>
      <w:r w:rsidR="00040A96">
        <w:rPr>
          <w:szCs w:val="24"/>
        </w:rPr>
        <w:t>.</w:t>
      </w:r>
      <w:r w:rsidR="00B248CC">
        <w:rPr>
          <w:szCs w:val="24"/>
        </w:rPr>
        <w:t xml:space="preserve">  </w:t>
      </w:r>
    </w:p>
    <w:p w:rsidR="00970EB9" w:rsidRDefault="00970EB9" w:rsidP="00970EB9">
      <w:pPr>
        <w:pStyle w:val="BodyText"/>
        <w:rPr>
          <w:b/>
        </w:rPr>
      </w:pPr>
      <w:r>
        <w:rPr>
          <w:b/>
        </w:rPr>
        <w:t>Human rights implications</w:t>
      </w:r>
    </w:p>
    <w:p w:rsidR="00970EB9" w:rsidRDefault="00970EB9" w:rsidP="00970EB9">
      <w:pPr>
        <w:pStyle w:val="BodyText"/>
      </w:pPr>
      <w:r>
        <w:t xml:space="preserve">APRA has assessed this Legislative Instrument and is of the view that it does not engage any of the applicable rights or freedoms recognised or declared in the international instruments listed in section 3 of the </w:t>
      </w:r>
      <w:r w:rsidRPr="00792245">
        <w:rPr>
          <w:i/>
        </w:rPr>
        <w:t>Human Rights (Parliamentary Scrutiny) Act 2011</w:t>
      </w:r>
      <w:r>
        <w:t>.  Accordingly, in APRA’s assessment, the instrument i</w:t>
      </w:r>
      <w:r w:rsidR="0063389F">
        <w:t>s compatible with human rights.</w:t>
      </w:r>
    </w:p>
    <w:p w:rsidR="00970EB9" w:rsidRDefault="00970EB9" w:rsidP="00970EB9">
      <w:pPr>
        <w:pStyle w:val="BodyText"/>
        <w:rPr>
          <w:b/>
        </w:rPr>
      </w:pPr>
      <w:r>
        <w:rPr>
          <w:b/>
        </w:rPr>
        <w:t>Conclusion</w:t>
      </w:r>
    </w:p>
    <w:p w:rsidR="00A9578D" w:rsidRPr="000E529A" w:rsidRDefault="00970EB9" w:rsidP="00970EB9">
      <w:pPr>
        <w:pStyle w:val="BodyText"/>
        <w:spacing w:after="0"/>
        <w:rPr>
          <w:rFonts w:ascii="Trebuchet MS" w:hAnsi="Trebuchet MS"/>
        </w:rPr>
      </w:pPr>
      <w:r>
        <w:t>This Legislative Instrument is compatible with human rights as it does not raise any human rights issues</w:t>
      </w:r>
      <w:r w:rsidR="006D54C1">
        <w:t>.</w:t>
      </w:r>
      <w:r w:rsidR="00A9578D" w:rsidRPr="000E529A">
        <w:t xml:space="preserve"> </w:t>
      </w:r>
    </w:p>
    <w:p w:rsidR="00A9578D" w:rsidRPr="00A9578D" w:rsidRDefault="00A9578D" w:rsidP="00A9578D"/>
    <w:sectPr w:rsidR="00A9578D" w:rsidRPr="00A9578D" w:rsidSect="002330A5">
      <w:footerReference w:type="even" r:id="rId9"/>
      <w:footerReference w:type="defaul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EEC" w:rsidRDefault="00CC5EEC">
      <w:r>
        <w:separator/>
      </w:r>
    </w:p>
  </w:endnote>
  <w:endnote w:type="continuationSeparator" w:id="0">
    <w:p w:rsidR="00CC5EEC" w:rsidRDefault="00CC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E1" w:rsidRDefault="00A62AE1"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9EF">
      <w:rPr>
        <w:rStyle w:val="PageNumber"/>
        <w:noProof/>
      </w:rPr>
      <w:t>4</w:t>
    </w:r>
    <w:r>
      <w:rPr>
        <w:rStyle w:val="PageNumber"/>
      </w:rPr>
      <w:fldChar w:fldCharType="end"/>
    </w:r>
  </w:p>
  <w:p w:rsidR="00A62AE1" w:rsidRDefault="00A62AE1"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E1" w:rsidRPr="0063389F" w:rsidRDefault="00A62AE1" w:rsidP="00000AE6">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EEC" w:rsidRDefault="00CC5EEC">
      <w:r>
        <w:separator/>
      </w:r>
    </w:p>
  </w:footnote>
  <w:footnote w:type="continuationSeparator" w:id="0">
    <w:p w:rsidR="00CC5EEC" w:rsidRDefault="00CC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6B51"/>
    <w:multiLevelType w:val="hybridMultilevel"/>
    <w:tmpl w:val="802465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1667112E"/>
    <w:multiLevelType w:val="hybridMultilevel"/>
    <w:tmpl w:val="BBC043F0"/>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C41022"/>
    <w:multiLevelType w:val="hybridMultilevel"/>
    <w:tmpl w:val="26A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815E5A"/>
    <w:multiLevelType w:val="hybridMultilevel"/>
    <w:tmpl w:val="5DF0323C"/>
    <w:lvl w:ilvl="0" w:tplc="54B4133E">
      <w:start w:val="1"/>
      <w:numFmt w:val="lowerRoman"/>
      <w:lvlText w:val="(%1)"/>
      <w:lvlJc w:val="left"/>
      <w:pPr>
        <w:ind w:left="2421" w:hanging="1854"/>
      </w:pPr>
      <w:rPr>
        <w:rFonts w:hint="default"/>
        <w:b w:val="0"/>
        <w:i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3A9A72C6"/>
    <w:multiLevelType w:val="hybridMultilevel"/>
    <w:tmpl w:val="DD00FE2C"/>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0"/>
  </w:num>
  <w:num w:numId="3">
    <w:abstractNumId w:val="11"/>
  </w:num>
  <w:num w:numId="4">
    <w:abstractNumId w:val="7"/>
  </w:num>
  <w:num w:numId="5">
    <w:abstractNumId w:val="5"/>
  </w:num>
  <w:num w:numId="6">
    <w:abstractNumId w:val="12"/>
  </w:num>
  <w:num w:numId="7">
    <w:abstractNumId w:val="4"/>
  </w:num>
  <w:num w:numId="8">
    <w:abstractNumId w:val="2"/>
  </w:num>
  <w:num w:numId="9">
    <w:abstractNumId w:val="9"/>
  </w:num>
  <w:num w:numId="10">
    <w:abstractNumId w:val="0"/>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97"/>
    <w:rsid w:val="00000AE6"/>
    <w:rsid w:val="0001211F"/>
    <w:rsid w:val="00012695"/>
    <w:rsid w:val="000201AE"/>
    <w:rsid w:val="000218B6"/>
    <w:rsid w:val="00026726"/>
    <w:rsid w:val="0002731C"/>
    <w:rsid w:val="00027386"/>
    <w:rsid w:val="00030BD8"/>
    <w:rsid w:val="000324C9"/>
    <w:rsid w:val="00032E46"/>
    <w:rsid w:val="00033B73"/>
    <w:rsid w:val="00040A96"/>
    <w:rsid w:val="0004147D"/>
    <w:rsid w:val="000425FF"/>
    <w:rsid w:val="00043838"/>
    <w:rsid w:val="00055C1B"/>
    <w:rsid w:val="00056C6C"/>
    <w:rsid w:val="00056DFC"/>
    <w:rsid w:val="000631DA"/>
    <w:rsid w:val="00063B11"/>
    <w:rsid w:val="000653AC"/>
    <w:rsid w:val="00076969"/>
    <w:rsid w:val="00080B55"/>
    <w:rsid w:val="00083967"/>
    <w:rsid w:val="000A4452"/>
    <w:rsid w:val="000A579A"/>
    <w:rsid w:val="000B22C3"/>
    <w:rsid w:val="000B244A"/>
    <w:rsid w:val="000B24F3"/>
    <w:rsid w:val="000B3626"/>
    <w:rsid w:val="000B5532"/>
    <w:rsid w:val="000B59FF"/>
    <w:rsid w:val="000C3A21"/>
    <w:rsid w:val="000C5542"/>
    <w:rsid w:val="000C6F92"/>
    <w:rsid w:val="000C7682"/>
    <w:rsid w:val="000D046E"/>
    <w:rsid w:val="000D4617"/>
    <w:rsid w:val="000D6AC0"/>
    <w:rsid w:val="000E055A"/>
    <w:rsid w:val="000E17D8"/>
    <w:rsid w:val="000E71FC"/>
    <w:rsid w:val="000F0A45"/>
    <w:rsid w:val="000F2451"/>
    <w:rsid w:val="000F309E"/>
    <w:rsid w:val="000F3E1E"/>
    <w:rsid w:val="000F6592"/>
    <w:rsid w:val="00100961"/>
    <w:rsid w:val="00102F9E"/>
    <w:rsid w:val="0010495D"/>
    <w:rsid w:val="00105F5C"/>
    <w:rsid w:val="00110071"/>
    <w:rsid w:val="00112443"/>
    <w:rsid w:val="00113D41"/>
    <w:rsid w:val="0011782C"/>
    <w:rsid w:val="0012491A"/>
    <w:rsid w:val="00124EE2"/>
    <w:rsid w:val="001255D5"/>
    <w:rsid w:val="00126BDF"/>
    <w:rsid w:val="00126F51"/>
    <w:rsid w:val="001271A7"/>
    <w:rsid w:val="00130B14"/>
    <w:rsid w:val="00134372"/>
    <w:rsid w:val="00136DEC"/>
    <w:rsid w:val="00145963"/>
    <w:rsid w:val="00145A8A"/>
    <w:rsid w:val="00146362"/>
    <w:rsid w:val="00147418"/>
    <w:rsid w:val="0016350A"/>
    <w:rsid w:val="001636BF"/>
    <w:rsid w:val="00163AE4"/>
    <w:rsid w:val="001735C0"/>
    <w:rsid w:val="001736CC"/>
    <w:rsid w:val="00175D8A"/>
    <w:rsid w:val="00176630"/>
    <w:rsid w:val="0018329E"/>
    <w:rsid w:val="00183A1C"/>
    <w:rsid w:val="00191382"/>
    <w:rsid w:val="0019482E"/>
    <w:rsid w:val="001A0790"/>
    <w:rsid w:val="001A3F83"/>
    <w:rsid w:val="001A5B87"/>
    <w:rsid w:val="001B2ADC"/>
    <w:rsid w:val="001B2E2A"/>
    <w:rsid w:val="001B5A23"/>
    <w:rsid w:val="001B6E91"/>
    <w:rsid w:val="001B7226"/>
    <w:rsid w:val="001C001C"/>
    <w:rsid w:val="001C0BC5"/>
    <w:rsid w:val="001D16A9"/>
    <w:rsid w:val="001D1DC0"/>
    <w:rsid w:val="001D2B23"/>
    <w:rsid w:val="001D5502"/>
    <w:rsid w:val="001D7020"/>
    <w:rsid w:val="001E06CB"/>
    <w:rsid w:val="001E2DB0"/>
    <w:rsid w:val="001E3E02"/>
    <w:rsid w:val="001E54DD"/>
    <w:rsid w:val="001E623B"/>
    <w:rsid w:val="001E6EA4"/>
    <w:rsid w:val="001E781D"/>
    <w:rsid w:val="001F4FB6"/>
    <w:rsid w:val="00203601"/>
    <w:rsid w:val="00210D96"/>
    <w:rsid w:val="002114F1"/>
    <w:rsid w:val="00217AF7"/>
    <w:rsid w:val="00223C69"/>
    <w:rsid w:val="00225921"/>
    <w:rsid w:val="002330A5"/>
    <w:rsid w:val="002341A1"/>
    <w:rsid w:val="00236BB8"/>
    <w:rsid w:val="002430F8"/>
    <w:rsid w:val="0024602F"/>
    <w:rsid w:val="002504E2"/>
    <w:rsid w:val="002529DB"/>
    <w:rsid w:val="00254ED3"/>
    <w:rsid w:val="00262CCD"/>
    <w:rsid w:val="002642DC"/>
    <w:rsid w:val="002651E0"/>
    <w:rsid w:val="00265913"/>
    <w:rsid w:val="002773F5"/>
    <w:rsid w:val="00282B1D"/>
    <w:rsid w:val="002843C7"/>
    <w:rsid w:val="00285041"/>
    <w:rsid w:val="002962EE"/>
    <w:rsid w:val="002A0F36"/>
    <w:rsid w:val="002A47FA"/>
    <w:rsid w:val="002A5924"/>
    <w:rsid w:val="002A6100"/>
    <w:rsid w:val="002B2A6A"/>
    <w:rsid w:val="002B6511"/>
    <w:rsid w:val="002B6780"/>
    <w:rsid w:val="002B6E99"/>
    <w:rsid w:val="002B6FE5"/>
    <w:rsid w:val="002C3824"/>
    <w:rsid w:val="002C3871"/>
    <w:rsid w:val="002C3F98"/>
    <w:rsid w:val="002C7D5C"/>
    <w:rsid w:val="002D003A"/>
    <w:rsid w:val="002D15B6"/>
    <w:rsid w:val="002D165C"/>
    <w:rsid w:val="002D5680"/>
    <w:rsid w:val="002D628A"/>
    <w:rsid w:val="002D7440"/>
    <w:rsid w:val="002E68FA"/>
    <w:rsid w:val="002F7201"/>
    <w:rsid w:val="00300114"/>
    <w:rsid w:val="003033E4"/>
    <w:rsid w:val="00314F61"/>
    <w:rsid w:val="003168CC"/>
    <w:rsid w:val="00323DBD"/>
    <w:rsid w:val="0034386A"/>
    <w:rsid w:val="00347FCC"/>
    <w:rsid w:val="00350E53"/>
    <w:rsid w:val="0036074D"/>
    <w:rsid w:val="00361A51"/>
    <w:rsid w:val="003664C9"/>
    <w:rsid w:val="003671DF"/>
    <w:rsid w:val="003751D6"/>
    <w:rsid w:val="00385EBA"/>
    <w:rsid w:val="0039113B"/>
    <w:rsid w:val="003957B3"/>
    <w:rsid w:val="003A0FB4"/>
    <w:rsid w:val="003A551B"/>
    <w:rsid w:val="003B047E"/>
    <w:rsid w:val="003B6B84"/>
    <w:rsid w:val="003C08CC"/>
    <w:rsid w:val="003C1F4C"/>
    <w:rsid w:val="003C3568"/>
    <w:rsid w:val="003D14AA"/>
    <w:rsid w:val="003D671F"/>
    <w:rsid w:val="003E1487"/>
    <w:rsid w:val="003E2F84"/>
    <w:rsid w:val="003E399F"/>
    <w:rsid w:val="003E7F89"/>
    <w:rsid w:val="003F2D0E"/>
    <w:rsid w:val="00403EA8"/>
    <w:rsid w:val="0040568B"/>
    <w:rsid w:val="00414E21"/>
    <w:rsid w:val="00416296"/>
    <w:rsid w:val="004249A8"/>
    <w:rsid w:val="00426F46"/>
    <w:rsid w:val="00427335"/>
    <w:rsid w:val="00436690"/>
    <w:rsid w:val="00443B03"/>
    <w:rsid w:val="00446793"/>
    <w:rsid w:val="004525D2"/>
    <w:rsid w:val="00452BFF"/>
    <w:rsid w:val="0045393C"/>
    <w:rsid w:val="00455CFD"/>
    <w:rsid w:val="00456B13"/>
    <w:rsid w:val="00463269"/>
    <w:rsid w:val="00465637"/>
    <w:rsid w:val="00466BE1"/>
    <w:rsid w:val="00477C73"/>
    <w:rsid w:val="00480AB5"/>
    <w:rsid w:val="00485359"/>
    <w:rsid w:val="00485782"/>
    <w:rsid w:val="004913BF"/>
    <w:rsid w:val="00491AD1"/>
    <w:rsid w:val="004974E6"/>
    <w:rsid w:val="00497A10"/>
    <w:rsid w:val="004A7EF8"/>
    <w:rsid w:val="004B004C"/>
    <w:rsid w:val="004B0CCB"/>
    <w:rsid w:val="004B621D"/>
    <w:rsid w:val="004C0ADD"/>
    <w:rsid w:val="004C12C3"/>
    <w:rsid w:val="004C7677"/>
    <w:rsid w:val="004C79A4"/>
    <w:rsid w:val="004D4887"/>
    <w:rsid w:val="004E4F67"/>
    <w:rsid w:val="004F0124"/>
    <w:rsid w:val="004F0E6C"/>
    <w:rsid w:val="004F2537"/>
    <w:rsid w:val="004F3053"/>
    <w:rsid w:val="004F4CCA"/>
    <w:rsid w:val="00503014"/>
    <w:rsid w:val="00505C2A"/>
    <w:rsid w:val="00514E54"/>
    <w:rsid w:val="0051573E"/>
    <w:rsid w:val="00523E14"/>
    <w:rsid w:val="00524594"/>
    <w:rsid w:val="005323E9"/>
    <w:rsid w:val="00535B71"/>
    <w:rsid w:val="005378DF"/>
    <w:rsid w:val="00544186"/>
    <w:rsid w:val="00544768"/>
    <w:rsid w:val="0054724E"/>
    <w:rsid w:val="00554D51"/>
    <w:rsid w:val="00561055"/>
    <w:rsid w:val="005614FC"/>
    <w:rsid w:val="00562B07"/>
    <w:rsid w:val="00565315"/>
    <w:rsid w:val="00567A9A"/>
    <w:rsid w:val="005718A5"/>
    <w:rsid w:val="00573178"/>
    <w:rsid w:val="00574616"/>
    <w:rsid w:val="005748FE"/>
    <w:rsid w:val="00575F38"/>
    <w:rsid w:val="005808B2"/>
    <w:rsid w:val="005833B9"/>
    <w:rsid w:val="00583E07"/>
    <w:rsid w:val="00587962"/>
    <w:rsid w:val="00591630"/>
    <w:rsid w:val="00591FD1"/>
    <w:rsid w:val="005921C6"/>
    <w:rsid w:val="00592576"/>
    <w:rsid w:val="00593BF7"/>
    <w:rsid w:val="005941E1"/>
    <w:rsid w:val="00596EBA"/>
    <w:rsid w:val="0059763C"/>
    <w:rsid w:val="00597FDD"/>
    <w:rsid w:val="005A1220"/>
    <w:rsid w:val="005A3ABE"/>
    <w:rsid w:val="005A743A"/>
    <w:rsid w:val="005B283C"/>
    <w:rsid w:val="005C37A6"/>
    <w:rsid w:val="005C3C75"/>
    <w:rsid w:val="005C701A"/>
    <w:rsid w:val="005C7AB3"/>
    <w:rsid w:val="005D0304"/>
    <w:rsid w:val="005D435B"/>
    <w:rsid w:val="005D7020"/>
    <w:rsid w:val="005E42E4"/>
    <w:rsid w:val="005E67E9"/>
    <w:rsid w:val="005F0577"/>
    <w:rsid w:val="005F5DF4"/>
    <w:rsid w:val="005F6BAC"/>
    <w:rsid w:val="005F7292"/>
    <w:rsid w:val="00606DDA"/>
    <w:rsid w:val="00611A4D"/>
    <w:rsid w:val="0061258F"/>
    <w:rsid w:val="00612904"/>
    <w:rsid w:val="00612F66"/>
    <w:rsid w:val="00614857"/>
    <w:rsid w:val="0062024E"/>
    <w:rsid w:val="006208F9"/>
    <w:rsid w:val="006210C2"/>
    <w:rsid w:val="006223C3"/>
    <w:rsid w:val="00624A78"/>
    <w:rsid w:val="0062525B"/>
    <w:rsid w:val="00625D6C"/>
    <w:rsid w:val="0063389F"/>
    <w:rsid w:val="00634354"/>
    <w:rsid w:val="00634FF0"/>
    <w:rsid w:val="00635A7C"/>
    <w:rsid w:val="0064159D"/>
    <w:rsid w:val="00644F26"/>
    <w:rsid w:val="00645119"/>
    <w:rsid w:val="00647B94"/>
    <w:rsid w:val="00650642"/>
    <w:rsid w:val="00652397"/>
    <w:rsid w:val="006549FC"/>
    <w:rsid w:val="006639EF"/>
    <w:rsid w:val="00663C9A"/>
    <w:rsid w:val="00673E01"/>
    <w:rsid w:val="00675153"/>
    <w:rsid w:val="00684401"/>
    <w:rsid w:val="00685CF1"/>
    <w:rsid w:val="00694F60"/>
    <w:rsid w:val="006967C8"/>
    <w:rsid w:val="006A05FB"/>
    <w:rsid w:val="006A078D"/>
    <w:rsid w:val="006A1A1E"/>
    <w:rsid w:val="006B4444"/>
    <w:rsid w:val="006B6285"/>
    <w:rsid w:val="006C0777"/>
    <w:rsid w:val="006C0888"/>
    <w:rsid w:val="006C6A19"/>
    <w:rsid w:val="006C6DD0"/>
    <w:rsid w:val="006D1265"/>
    <w:rsid w:val="006D54C1"/>
    <w:rsid w:val="006D7C69"/>
    <w:rsid w:val="006E15EA"/>
    <w:rsid w:val="006E222F"/>
    <w:rsid w:val="006E5332"/>
    <w:rsid w:val="006F26DC"/>
    <w:rsid w:val="006F6C05"/>
    <w:rsid w:val="0070194B"/>
    <w:rsid w:val="00702EF7"/>
    <w:rsid w:val="00704E26"/>
    <w:rsid w:val="00705996"/>
    <w:rsid w:val="007060F0"/>
    <w:rsid w:val="00707A6A"/>
    <w:rsid w:val="00712E3F"/>
    <w:rsid w:val="00714DE9"/>
    <w:rsid w:val="007172F7"/>
    <w:rsid w:val="00717A79"/>
    <w:rsid w:val="007339DE"/>
    <w:rsid w:val="00733B48"/>
    <w:rsid w:val="00740016"/>
    <w:rsid w:val="00743617"/>
    <w:rsid w:val="00744E6B"/>
    <w:rsid w:val="00754B88"/>
    <w:rsid w:val="00760CF4"/>
    <w:rsid w:val="00770264"/>
    <w:rsid w:val="0077470A"/>
    <w:rsid w:val="0078005E"/>
    <w:rsid w:val="00780C75"/>
    <w:rsid w:val="00785B77"/>
    <w:rsid w:val="00796DE0"/>
    <w:rsid w:val="007A380A"/>
    <w:rsid w:val="007B093E"/>
    <w:rsid w:val="007B2E50"/>
    <w:rsid w:val="007B47AD"/>
    <w:rsid w:val="007B49C0"/>
    <w:rsid w:val="007B5A2E"/>
    <w:rsid w:val="007C0EEC"/>
    <w:rsid w:val="007C3113"/>
    <w:rsid w:val="007C3365"/>
    <w:rsid w:val="007C453A"/>
    <w:rsid w:val="007C5B42"/>
    <w:rsid w:val="007D3BDD"/>
    <w:rsid w:val="007D50C2"/>
    <w:rsid w:val="007D7456"/>
    <w:rsid w:val="007E3C59"/>
    <w:rsid w:val="007F3766"/>
    <w:rsid w:val="007F50A4"/>
    <w:rsid w:val="008015D2"/>
    <w:rsid w:val="0080552D"/>
    <w:rsid w:val="00806B31"/>
    <w:rsid w:val="00807B3F"/>
    <w:rsid w:val="00810CB3"/>
    <w:rsid w:val="008124F3"/>
    <w:rsid w:val="0082354F"/>
    <w:rsid w:val="00826B4E"/>
    <w:rsid w:val="00830C54"/>
    <w:rsid w:val="00830E90"/>
    <w:rsid w:val="0083293F"/>
    <w:rsid w:val="0083482E"/>
    <w:rsid w:val="0083563E"/>
    <w:rsid w:val="00837FB3"/>
    <w:rsid w:val="00843940"/>
    <w:rsid w:val="00844445"/>
    <w:rsid w:val="0084490C"/>
    <w:rsid w:val="0084495C"/>
    <w:rsid w:val="00844AF8"/>
    <w:rsid w:val="00853398"/>
    <w:rsid w:val="008539E3"/>
    <w:rsid w:val="008565C8"/>
    <w:rsid w:val="0085690B"/>
    <w:rsid w:val="00860DC0"/>
    <w:rsid w:val="008713A5"/>
    <w:rsid w:val="00881B57"/>
    <w:rsid w:val="008825C2"/>
    <w:rsid w:val="0088539F"/>
    <w:rsid w:val="00885D7C"/>
    <w:rsid w:val="00887B96"/>
    <w:rsid w:val="00894E12"/>
    <w:rsid w:val="008A1A5F"/>
    <w:rsid w:val="008A2D7D"/>
    <w:rsid w:val="008A3AAB"/>
    <w:rsid w:val="008A7848"/>
    <w:rsid w:val="008B1DD5"/>
    <w:rsid w:val="008B5B9B"/>
    <w:rsid w:val="008B7528"/>
    <w:rsid w:val="008C0F09"/>
    <w:rsid w:val="008C228A"/>
    <w:rsid w:val="008D0E01"/>
    <w:rsid w:val="008D718A"/>
    <w:rsid w:val="008E1C9F"/>
    <w:rsid w:val="008E25C7"/>
    <w:rsid w:val="008E445F"/>
    <w:rsid w:val="008F07CE"/>
    <w:rsid w:val="008F6AA0"/>
    <w:rsid w:val="009107DF"/>
    <w:rsid w:val="00910F17"/>
    <w:rsid w:val="00911779"/>
    <w:rsid w:val="00915A33"/>
    <w:rsid w:val="00922097"/>
    <w:rsid w:val="009231DE"/>
    <w:rsid w:val="0092360F"/>
    <w:rsid w:val="00932D57"/>
    <w:rsid w:val="009403D0"/>
    <w:rsid w:val="00942C18"/>
    <w:rsid w:val="00950CA8"/>
    <w:rsid w:val="00953841"/>
    <w:rsid w:val="00956A1C"/>
    <w:rsid w:val="00957450"/>
    <w:rsid w:val="00970EB9"/>
    <w:rsid w:val="009732D4"/>
    <w:rsid w:val="00976C9C"/>
    <w:rsid w:val="0098417B"/>
    <w:rsid w:val="00985A96"/>
    <w:rsid w:val="00997B46"/>
    <w:rsid w:val="009C19B4"/>
    <w:rsid w:val="009C54D9"/>
    <w:rsid w:val="009D3619"/>
    <w:rsid w:val="009D7212"/>
    <w:rsid w:val="009E216B"/>
    <w:rsid w:val="009F2DFF"/>
    <w:rsid w:val="009F5554"/>
    <w:rsid w:val="00A03AB9"/>
    <w:rsid w:val="00A047B5"/>
    <w:rsid w:val="00A04F3C"/>
    <w:rsid w:val="00A15209"/>
    <w:rsid w:val="00A17D9E"/>
    <w:rsid w:val="00A208EB"/>
    <w:rsid w:val="00A32B98"/>
    <w:rsid w:val="00A40D5C"/>
    <w:rsid w:val="00A43FF9"/>
    <w:rsid w:val="00A51D19"/>
    <w:rsid w:val="00A542CF"/>
    <w:rsid w:val="00A55057"/>
    <w:rsid w:val="00A56D75"/>
    <w:rsid w:val="00A62AE1"/>
    <w:rsid w:val="00A66958"/>
    <w:rsid w:val="00A66DF3"/>
    <w:rsid w:val="00A6762A"/>
    <w:rsid w:val="00A74C60"/>
    <w:rsid w:val="00A77B0D"/>
    <w:rsid w:val="00A822BB"/>
    <w:rsid w:val="00A82561"/>
    <w:rsid w:val="00A9578D"/>
    <w:rsid w:val="00A96F6A"/>
    <w:rsid w:val="00AA08EC"/>
    <w:rsid w:val="00AA14B6"/>
    <w:rsid w:val="00AA2735"/>
    <w:rsid w:val="00AA2B95"/>
    <w:rsid w:val="00AB0A7D"/>
    <w:rsid w:val="00AB1A55"/>
    <w:rsid w:val="00AB1F92"/>
    <w:rsid w:val="00AB3FCB"/>
    <w:rsid w:val="00AB533D"/>
    <w:rsid w:val="00AC031B"/>
    <w:rsid w:val="00AC07A7"/>
    <w:rsid w:val="00AC2996"/>
    <w:rsid w:val="00AC3F07"/>
    <w:rsid w:val="00AC7BE8"/>
    <w:rsid w:val="00AD31BC"/>
    <w:rsid w:val="00AD56A7"/>
    <w:rsid w:val="00AD62C5"/>
    <w:rsid w:val="00AE287A"/>
    <w:rsid w:val="00AE2D97"/>
    <w:rsid w:val="00AE7E64"/>
    <w:rsid w:val="00AF3144"/>
    <w:rsid w:val="00AF4946"/>
    <w:rsid w:val="00AF6116"/>
    <w:rsid w:val="00B02043"/>
    <w:rsid w:val="00B073CB"/>
    <w:rsid w:val="00B12376"/>
    <w:rsid w:val="00B248CC"/>
    <w:rsid w:val="00B27510"/>
    <w:rsid w:val="00B331AE"/>
    <w:rsid w:val="00B458A3"/>
    <w:rsid w:val="00B46846"/>
    <w:rsid w:val="00B52C31"/>
    <w:rsid w:val="00B57341"/>
    <w:rsid w:val="00B65B04"/>
    <w:rsid w:val="00B71A97"/>
    <w:rsid w:val="00B77BD4"/>
    <w:rsid w:val="00B84194"/>
    <w:rsid w:val="00B92BA9"/>
    <w:rsid w:val="00B97B6E"/>
    <w:rsid w:val="00BA0BC1"/>
    <w:rsid w:val="00BA157C"/>
    <w:rsid w:val="00BA3189"/>
    <w:rsid w:val="00BB27C5"/>
    <w:rsid w:val="00BB387D"/>
    <w:rsid w:val="00BC2BFB"/>
    <w:rsid w:val="00BC6A8D"/>
    <w:rsid w:val="00BC7834"/>
    <w:rsid w:val="00BD3181"/>
    <w:rsid w:val="00BE1348"/>
    <w:rsid w:val="00BE49EF"/>
    <w:rsid w:val="00BE5F98"/>
    <w:rsid w:val="00BE6718"/>
    <w:rsid w:val="00C007F6"/>
    <w:rsid w:val="00C03925"/>
    <w:rsid w:val="00C044B6"/>
    <w:rsid w:val="00C047E7"/>
    <w:rsid w:val="00C04A63"/>
    <w:rsid w:val="00C06282"/>
    <w:rsid w:val="00C112EB"/>
    <w:rsid w:val="00C164BE"/>
    <w:rsid w:val="00C16BD6"/>
    <w:rsid w:val="00C17ED3"/>
    <w:rsid w:val="00C2115B"/>
    <w:rsid w:val="00C2447B"/>
    <w:rsid w:val="00C25B0C"/>
    <w:rsid w:val="00C30670"/>
    <w:rsid w:val="00C3551A"/>
    <w:rsid w:val="00C41052"/>
    <w:rsid w:val="00C41329"/>
    <w:rsid w:val="00C42380"/>
    <w:rsid w:val="00C43CB8"/>
    <w:rsid w:val="00C464F8"/>
    <w:rsid w:val="00C54A48"/>
    <w:rsid w:val="00C57B96"/>
    <w:rsid w:val="00C62FA1"/>
    <w:rsid w:val="00C64AC1"/>
    <w:rsid w:val="00C66F5F"/>
    <w:rsid w:val="00C72F5E"/>
    <w:rsid w:val="00C76592"/>
    <w:rsid w:val="00C802C1"/>
    <w:rsid w:val="00C90010"/>
    <w:rsid w:val="00C94DCF"/>
    <w:rsid w:val="00C9694D"/>
    <w:rsid w:val="00C96E5E"/>
    <w:rsid w:val="00C97019"/>
    <w:rsid w:val="00CA29DB"/>
    <w:rsid w:val="00CC1195"/>
    <w:rsid w:val="00CC4BE4"/>
    <w:rsid w:val="00CC5EEC"/>
    <w:rsid w:val="00CC793B"/>
    <w:rsid w:val="00CD0116"/>
    <w:rsid w:val="00CD519A"/>
    <w:rsid w:val="00CD6965"/>
    <w:rsid w:val="00CD7E66"/>
    <w:rsid w:val="00CF6510"/>
    <w:rsid w:val="00CF7B05"/>
    <w:rsid w:val="00D04EA3"/>
    <w:rsid w:val="00D100D6"/>
    <w:rsid w:val="00D11F1D"/>
    <w:rsid w:val="00D12FBD"/>
    <w:rsid w:val="00D14850"/>
    <w:rsid w:val="00D161B4"/>
    <w:rsid w:val="00D16D75"/>
    <w:rsid w:val="00D2126B"/>
    <w:rsid w:val="00D22D14"/>
    <w:rsid w:val="00D27DE1"/>
    <w:rsid w:val="00D3515D"/>
    <w:rsid w:val="00D4290F"/>
    <w:rsid w:val="00D4387C"/>
    <w:rsid w:val="00D44DB1"/>
    <w:rsid w:val="00D56C0A"/>
    <w:rsid w:val="00D617D8"/>
    <w:rsid w:val="00D6328A"/>
    <w:rsid w:val="00D63690"/>
    <w:rsid w:val="00D66CB2"/>
    <w:rsid w:val="00D7240A"/>
    <w:rsid w:val="00D724D7"/>
    <w:rsid w:val="00D7591D"/>
    <w:rsid w:val="00D77584"/>
    <w:rsid w:val="00D80BBF"/>
    <w:rsid w:val="00D8796B"/>
    <w:rsid w:val="00D94F65"/>
    <w:rsid w:val="00D96744"/>
    <w:rsid w:val="00D96A3A"/>
    <w:rsid w:val="00D96A48"/>
    <w:rsid w:val="00D96E80"/>
    <w:rsid w:val="00DA3F2E"/>
    <w:rsid w:val="00DA5D0D"/>
    <w:rsid w:val="00DA67FE"/>
    <w:rsid w:val="00DB2DC5"/>
    <w:rsid w:val="00DC2B2A"/>
    <w:rsid w:val="00DC7D90"/>
    <w:rsid w:val="00DD3416"/>
    <w:rsid w:val="00DE2E9E"/>
    <w:rsid w:val="00DE6BEB"/>
    <w:rsid w:val="00DF05AE"/>
    <w:rsid w:val="00DF6C34"/>
    <w:rsid w:val="00DF716C"/>
    <w:rsid w:val="00E07112"/>
    <w:rsid w:val="00E13541"/>
    <w:rsid w:val="00E14859"/>
    <w:rsid w:val="00E14D72"/>
    <w:rsid w:val="00E14D9D"/>
    <w:rsid w:val="00E21E01"/>
    <w:rsid w:val="00E23EB3"/>
    <w:rsid w:val="00E3555B"/>
    <w:rsid w:val="00E37476"/>
    <w:rsid w:val="00E53839"/>
    <w:rsid w:val="00E5633B"/>
    <w:rsid w:val="00E566E4"/>
    <w:rsid w:val="00E60B70"/>
    <w:rsid w:val="00E60C03"/>
    <w:rsid w:val="00E65CBA"/>
    <w:rsid w:val="00E67C6B"/>
    <w:rsid w:val="00E70136"/>
    <w:rsid w:val="00E8014D"/>
    <w:rsid w:val="00E829A2"/>
    <w:rsid w:val="00E83ADE"/>
    <w:rsid w:val="00E854D2"/>
    <w:rsid w:val="00E866D6"/>
    <w:rsid w:val="00E87CE6"/>
    <w:rsid w:val="00E90876"/>
    <w:rsid w:val="00E9434C"/>
    <w:rsid w:val="00EA0357"/>
    <w:rsid w:val="00EA4787"/>
    <w:rsid w:val="00EA6BF0"/>
    <w:rsid w:val="00EB2024"/>
    <w:rsid w:val="00EB366B"/>
    <w:rsid w:val="00EC0016"/>
    <w:rsid w:val="00ED1A15"/>
    <w:rsid w:val="00ED64E9"/>
    <w:rsid w:val="00ED70BA"/>
    <w:rsid w:val="00EF4430"/>
    <w:rsid w:val="00EF6A2F"/>
    <w:rsid w:val="00EF7736"/>
    <w:rsid w:val="00F0354E"/>
    <w:rsid w:val="00F101EC"/>
    <w:rsid w:val="00F1272D"/>
    <w:rsid w:val="00F221C2"/>
    <w:rsid w:val="00F378B4"/>
    <w:rsid w:val="00F410D2"/>
    <w:rsid w:val="00F417F6"/>
    <w:rsid w:val="00F4269A"/>
    <w:rsid w:val="00F53DE9"/>
    <w:rsid w:val="00F56AC9"/>
    <w:rsid w:val="00F579EC"/>
    <w:rsid w:val="00F62BE0"/>
    <w:rsid w:val="00F62FDB"/>
    <w:rsid w:val="00F662DB"/>
    <w:rsid w:val="00F70A13"/>
    <w:rsid w:val="00F71B7F"/>
    <w:rsid w:val="00F757CF"/>
    <w:rsid w:val="00F86DAE"/>
    <w:rsid w:val="00F90584"/>
    <w:rsid w:val="00F90EB7"/>
    <w:rsid w:val="00F951AE"/>
    <w:rsid w:val="00F977E1"/>
    <w:rsid w:val="00FA5216"/>
    <w:rsid w:val="00FB6997"/>
    <w:rsid w:val="00FC1DCC"/>
    <w:rsid w:val="00FD1524"/>
    <w:rsid w:val="00FD30EE"/>
    <w:rsid w:val="00FD5583"/>
    <w:rsid w:val="00FE0073"/>
    <w:rsid w:val="00FF111E"/>
    <w:rsid w:val="00FF19E9"/>
    <w:rsid w:val="00FF4047"/>
    <w:rsid w:val="00FF472B"/>
    <w:rsid w:val="00FF68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41"/>
    <w:rPr>
      <w:rFonts w:ascii="Trebuchet MS" w:hAnsi="Trebuchet MS"/>
      <w:sz w:val="22"/>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BalloonText">
    <w:name w:val="Balloon Text"/>
    <w:basedOn w:val="Normal"/>
    <w:semiHidden/>
    <w:rsid w:val="00F86DAE"/>
    <w:rPr>
      <w:rFonts w:ascii="Tahoma" w:hAnsi="Tahoma" w:cs="Tahoma"/>
      <w:sz w:val="16"/>
      <w:szCs w:val="16"/>
    </w:rPr>
  </w:style>
  <w:style w:type="paragraph" w:styleId="ListParagraph">
    <w:name w:val="List Paragraph"/>
    <w:basedOn w:val="Normal"/>
    <w:uiPriority w:val="34"/>
    <w:qFormat/>
    <w:rsid w:val="00B92BA9"/>
    <w:pPr>
      <w:spacing w:before="240" w:after="240"/>
      <w:ind w:left="720"/>
      <w:jc w:val="both"/>
    </w:pPr>
    <w:rPr>
      <w:rFonts w:ascii="Garamond" w:hAnsi="Garamond"/>
      <w:sz w:val="24"/>
      <w:lang w:eastAsia="en-AU"/>
    </w:rPr>
  </w:style>
  <w:style w:type="character" w:styleId="CommentReference">
    <w:name w:val="annotation reference"/>
    <w:basedOn w:val="DefaultParagraphFont"/>
    <w:uiPriority w:val="99"/>
    <w:semiHidden/>
    <w:unhideWhenUsed/>
    <w:rsid w:val="00A9578D"/>
    <w:rPr>
      <w:sz w:val="16"/>
      <w:szCs w:val="16"/>
    </w:rPr>
  </w:style>
  <w:style w:type="paragraph" w:styleId="CommentText">
    <w:name w:val="annotation text"/>
    <w:basedOn w:val="Normal"/>
    <w:link w:val="CommentTextChar"/>
    <w:unhideWhenUsed/>
    <w:rsid w:val="00A9578D"/>
    <w:rPr>
      <w:sz w:val="20"/>
      <w:szCs w:val="20"/>
    </w:rPr>
  </w:style>
  <w:style w:type="character" w:customStyle="1" w:styleId="CommentTextChar">
    <w:name w:val="Comment Text Char"/>
    <w:basedOn w:val="DefaultParagraphFont"/>
    <w:link w:val="CommentText"/>
    <w:rsid w:val="00A9578D"/>
    <w:rPr>
      <w:rFonts w:ascii="Trebuchet MS" w:hAnsi="Trebuchet MS"/>
      <w:lang w:eastAsia="en-US"/>
    </w:rPr>
  </w:style>
  <w:style w:type="paragraph" w:styleId="BodyText">
    <w:name w:val="Body Text"/>
    <w:basedOn w:val="Normal"/>
    <w:link w:val="BodyTextChar"/>
    <w:rsid w:val="00A9578D"/>
    <w:pPr>
      <w:spacing w:after="240"/>
    </w:pPr>
    <w:rPr>
      <w:rFonts w:ascii="Times New Roman" w:hAnsi="Times New Roman"/>
      <w:sz w:val="24"/>
      <w:szCs w:val="20"/>
      <w:lang w:eastAsia="en-AU"/>
    </w:rPr>
  </w:style>
  <w:style w:type="character" w:customStyle="1" w:styleId="BodyTextChar">
    <w:name w:val="Body Text Char"/>
    <w:basedOn w:val="DefaultParagraphFont"/>
    <w:link w:val="BodyText"/>
    <w:rsid w:val="00A9578D"/>
    <w:rPr>
      <w:sz w:val="24"/>
    </w:rPr>
  </w:style>
  <w:style w:type="paragraph" w:styleId="CommentSubject">
    <w:name w:val="annotation subject"/>
    <w:basedOn w:val="CommentText"/>
    <w:next w:val="CommentText"/>
    <w:link w:val="CommentSubjectChar"/>
    <w:uiPriority w:val="99"/>
    <w:semiHidden/>
    <w:unhideWhenUsed/>
    <w:rsid w:val="00A9578D"/>
    <w:rPr>
      <w:b/>
      <w:bCs/>
    </w:rPr>
  </w:style>
  <w:style w:type="character" w:customStyle="1" w:styleId="CommentSubjectChar">
    <w:name w:val="Comment Subject Char"/>
    <w:basedOn w:val="CommentTextChar"/>
    <w:link w:val="CommentSubject"/>
    <w:uiPriority w:val="99"/>
    <w:semiHidden/>
    <w:rsid w:val="00A9578D"/>
    <w:rPr>
      <w:rFonts w:ascii="Trebuchet MS" w:hAnsi="Trebuchet MS"/>
      <w:b/>
      <w:bCs/>
      <w:lang w:eastAsia="en-US"/>
    </w:rPr>
  </w:style>
  <w:style w:type="paragraph" w:customStyle="1" w:styleId="IntroTo">
    <w:name w:val="IntroTo:"/>
    <w:basedOn w:val="Normal"/>
    <w:rsid w:val="00E14859"/>
    <w:pPr>
      <w:ind w:left="720" w:hanging="720"/>
    </w:pPr>
    <w:rPr>
      <w:rFonts w:ascii="Times New Roman" w:hAnsi="Times New Roman"/>
      <w:sz w:val="24"/>
      <w:szCs w:val="20"/>
    </w:rPr>
  </w:style>
  <w:style w:type="paragraph" w:styleId="Title">
    <w:name w:val="Title"/>
    <w:basedOn w:val="Normal"/>
    <w:link w:val="TitleChar"/>
    <w:qFormat/>
    <w:rsid w:val="00970EB9"/>
    <w:pPr>
      <w:jc w:val="center"/>
    </w:pPr>
    <w:rPr>
      <w:rFonts w:ascii="Times New Roman" w:hAnsi="Times New Roman"/>
      <w:b/>
      <w:sz w:val="24"/>
      <w:szCs w:val="20"/>
      <w:lang w:val="en-US" w:eastAsia="en-AU"/>
    </w:rPr>
  </w:style>
  <w:style w:type="character" w:customStyle="1" w:styleId="TitleChar">
    <w:name w:val="Title Char"/>
    <w:basedOn w:val="DefaultParagraphFont"/>
    <w:link w:val="Title"/>
    <w:rsid w:val="00970EB9"/>
    <w:rPr>
      <w:b/>
      <w:sz w:val="24"/>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41"/>
    <w:rPr>
      <w:rFonts w:ascii="Trebuchet MS" w:hAnsi="Trebuchet MS"/>
      <w:sz w:val="22"/>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BalloonText">
    <w:name w:val="Balloon Text"/>
    <w:basedOn w:val="Normal"/>
    <w:semiHidden/>
    <w:rsid w:val="00F86DAE"/>
    <w:rPr>
      <w:rFonts w:ascii="Tahoma" w:hAnsi="Tahoma" w:cs="Tahoma"/>
      <w:sz w:val="16"/>
      <w:szCs w:val="16"/>
    </w:rPr>
  </w:style>
  <w:style w:type="paragraph" w:styleId="ListParagraph">
    <w:name w:val="List Paragraph"/>
    <w:basedOn w:val="Normal"/>
    <w:uiPriority w:val="34"/>
    <w:qFormat/>
    <w:rsid w:val="00B92BA9"/>
    <w:pPr>
      <w:spacing w:before="240" w:after="240"/>
      <w:ind w:left="720"/>
      <w:jc w:val="both"/>
    </w:pPr>
    <w:rPr>
      <w:rFonts w:ascii="Garamond" w:hAnsi="Garamond"/>
      <w:sz w:val="24"/>
      <w:lang w:eastAsia="en-AU"/>
    </w:rPr>
  </w:style>
  <w:style w:type="character" w:styleId="CommentReference">
    <w:name w:val="annotation reference"/>
    <w:basedOn w:val="DefaultParagraphFont"/>
    <w:uiPriority w:val="99"/>
    <w:semiHidden/>
    <w:unhideWhenUsed/>
    <w:rsid w:val="00A9578D"/>
    <w:rPr>
      <w:sz w:val="16"/>
      <w:szCs w:val="16"/>
    </w:rPr>
  </w:style>
  <w:style w:type="paragraph" w:styleId="CommentText">
    <w:name w:val="annotation text"/>
    <w:basedOn w:val="Normal"/>
    <w:link w:val="CommentTextChar"/>
    <w:unhideWhenUsed/>
    <w:rsid w:val="00A9578D"/>
    <w:rPr>
      <w:sz w:val="20"/>
      <w:szCs w:val="20"/>
    </w:rPr>
  </w:style>
  <w:style w:type="character" w:customStyle="1" w:styleId="CommentTextChar">
    <w:name w:val="Comment Text Char"/>
    <w:basedOn w:val="DefaultParagraphFont"/>
    <w:link w:val="CommentText"/>
    <w:rsid w:val="00A9578D"/>
    <w:rPr>
      <w:rFonts w:ascii="Trebuchet MS" w:hAnsi="Trebuchet MS"/>
      <w:lang w:eastAsia="en-US"/>
    </w:rPr>
  </w:style>
  <w:style w:type="paragraph" w:styleId="BodyText">
    <w:name w:val="Body Text"/>
    <w:basedOn w:val="Normal"/>
    <w:link w:val="BodyTextChar"/>
    <w:rsid w:val="00A9578D"/>
    <w:pPr>
      <w:spacing w:after="240"/>
    </w:pPr>
    <w:rPr>
      <w:rFonts w:ascii="Times New Roman" w:hAnsi="Times New Roman"/>
      <w:sz w:val="24"/>
      <w:szCs w:val="20"/>
      <w:lang w:eastAsia="en-AU"/>
    </w:rPr>
  </w:style>
  <w:style w:type="character" w:customStyle="1" w:styleId="BodyTextChar">
    <w:name w:val="Body Text Char"/>
    <w:basedOn w:val="DefaultParagraphFont"/>
    <w:link w:val="BodyText"/>
    <w:rsid w:val="00A9578D"/>
    <w:rPr>
      <w:sz w:val="24"/>
    </w:rPr>
  </w:style>
  <w:style w:type="paragraph" w:styleId="CommentSubject">
    <w:name w:val="annotation subject"/>
    <w:basedOn w:val="CommentText"/>
    <w:next w:val="CommentText"/>
    <w:link w:val="CommentSubjectChar"/>
    <w:uiPriority w:val="99"/>
    <w:semiHidden/>
    <w:unhideWhenUsed/>
    <w:rsid w:val="00A9578D"/>
    <w:rPr>
      <w:b/>
      <w:bCs/>
    </w:rPr>
  </w:style>
  <w:style w:type="character" w:customStyle="1" w:styleId="CommentSubjectChar">
    <w:name w:val="Comment Subject Char"/>
    <w:basedOn w:val="CommentTextChar"/>
    <w:link w:val="CommentSubject"/>
    <w:uiPriority w:val="99"/>
    <w:semiHidden/>
    <w:rsid w:val="00A9578D"/>
    <w:rPr>
      <w:rFonts w:ascii="Trebuchet MS" w:hAnsi="Trebuchet MS"/>
      <w:b/>
      <w:bCs/>
      <w:lang w:eastAsia="en-US"/>
    </w:rPr>
  </w:style>
  <w:style w:type="paragraph" w:customStyle="1" w:styleId="IntroTo">
    <w:name w:val="IntroTo:"/>
    <w:basedOn w:val="Normal"/>
    <w:rsid w:val="00E14859"/>
    <w:pPr>
      <w:ind w:left="720" w:hanging="720"/>
    </w:pPr>
    <w:rPr>
      <w:rFonts w:ascii="Times New Roman" w:hAnsi="Times New Roman"/>
      <w:sz w:val="24"/>
      <w:szCs w:val="20"/>
    </w:rPr>
  </w:style>
  <w:style w:type="paragraph" w:styleId="Title">
    <w:name w:val="Title"/>
    <w:basedOn w:val="Normal"/>
    <w:link w:val="TitleChar"/>
    <w:qFormat/>
    <w:rsid w:val="00970EB9"/>
    <w:pPr>
      <w:jc w:val="center"/>
    </w:pPr>
    <w:rPr>
      <w:rFonts w:ascii="Times New Roman" w:hAnsi="Times New Roman"/>
      <w:b/>
      <w:sz w:val="24"/>
      <w:szCs w:val="20"/>
      <w:lang w:val="en-US" w:eastAsia="en-AU"/>
    </w:rPr>
  </w:style>
  <w:style w:type="character" w:customStyle="1" w:styleId="TitleChar">
    <w:name w:val="Title Char"/>
    <w:basedOn w:val="DefaultParagraphFont"/>
    <w:link w:val="Title"/>
    <w:rsid w:val="00970EB9"/>
    <w:rPr>
      <w:b/>
      <w:sz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B83525BD-7733-4790-8660-83612C37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6649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&lt;&lt;enter title of instrument, including subtitle (if any)&gt;&gt;</vt:lpstr>
    </vt:vector>
  </TitlesOfParts>
  <Company>APRA</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&lt;&lt;enter title of instrument, including subtitle (if any)&gt;&gt;</dc:title>
  <dc:creator>Shum, Letitia</dc:creator>
  <cp:lastModifiedBy>Watson, Jill</cp:lastModifiedBy>
  <cp:revision>2</cp:revision>
  <cp:lastPrinted>2015-08-05T23:17:00Z</cp:lastPrinted>
  <dcterms:created xsi:type="dcterms:W3CDTF">2015-08-07T02:09:00Z</dcterms:created>
  <dcterms:modified xsi:type="dcterms:W3CDTF">2015-08-07T02:09:00Z</dcterms:modified>
</cp:coreProperties>
</file>