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E318F7" w:rsidRDefault="00703828" w:rsidP="00357621">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60E39EBD">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E73FD9C" w:rsidR="00703828" w:rsidRPr="007F0442" w:rsidRDefault="003F3B64" w:rsidP="00357621">
      <w:pPr>
        <w:spacing w:after="0" w:line="240" w:lineRule="auto"/>
        <w:rPr>
          <w:rFonts w:ascii="Arial" w:hAnsi="Arial" w:cs="Arial"/>
          <w:b/>
          <w:bCs/>
          <w:sz w:val="40"/>
          <w:szCs w:val="40"/>
        </w:rPr>
      </w:pPr>
      <w:r w:rsidRPr="007F0442">
        <w:rPr>
          <w:rFonts w:ascii="Arial" w:hAnsi="Arial" w:cs="Arial"/>
          <w:b/>
          <w:bCs/>
          <w:sz w:val="40"/>
          <w:szCs w:val="40"/>
        </w:rPr>
        <w:t xml:space="preserve">Radiocommunications (Limitation of Authorisation of </w:t>
      </w:r>
      <w:proofErr w:type="gramStart"/>
      <w:r w:rsidRPr="007F0442">
        <w:rPr>
          <w:rFonts w:ascii="Arial" w:hAnsi="Arial" w:cs="Arial"/>
          <w:b/>
          <w:bCs/>
          <w:sz w:val="40"/>
          <w:szCs w:val="40"/>
        </w:rPr>
        <w:t>Third Party</w:t>
      </w:r>
      <w:proofErr w:type="gramEnd"/>
      <w:r w:rsidRPr="007F0442">
        <w:rPr>
          <w:rFonts w:ascii="Arial" w:hAnsi="Arial" w:cs="Arial"/>
          <w:b/>
          <w:bCs/>
          <w:sz w:val="40"/>
          <w:szCs w:val="40"/>
        </w:rPr>
        <w:t xml:space="preserve"> Users and Transfer of Apparatus Licences) Determination 2015</w:t>
      </w:r>
    </w:p>
    <w:p w14:paraId="65784851" w14:textId="77777777" w:rsidR="00703828" w:rsidRPr="00E318F7" w:rsidRDefault="00703828" w:rsidP="00FE79D6">
      <w:pPr>
        <w:pStyle w:val="SignCoverPageStart"/>
        <w:spacing w:before="0" w:line="240" w:lineRule="auto"/>
        <w:jc w:val="left"/>
        <w:rPr>
          <w:szCs w:val="22"/>
        </w:rPr>
      </w:pPr>
    </w:p>
    <w:p w14:paraId="41C311A6" w14:textId="6D667CCB" w:rsidR="001C18B9" w:rsidRPr="00B81D48" w:rsidRDefault="001C18B9" w:rsidP="00357621">
      <w:pPr>
        <w:pStyle w:val="MadeunderText"/>
      </w:pPr>
      <w:r w:rsidRPr="00B81D48">
        <w:t>made under</w:t>
      </w:r>
      <w:r w:rsidR="00EF3D21">
        <w:t xml:space="preserve"> </w:t>
      </w:r>
      <w:r w:rsidR="00F72E06">
        <w:t>sections115 and 131AC</w:t>
      </w:r>
      <w:r w:rsidR="009F0016">
        <w:t xml:space="preserve"> </w:t>
      </w:r>
      <w:r w:rsidR="00EF3D21">
        <w:t>of</w:t>
      </w:r>
      <w:r w:rsidRPr="00B81D48">
        <w:t xml:space="preserve"> the</w:t>
      </w:r>
    </w:p>
    <w:p w14:paraId="7388DFB9" w14:textId="15A849D0" w:rsidR="001C18B9" w:rsidRDefault="009F0016" w:rsidP="00357621">
      <w:pPr>
        <w:pStyle w:val="CompiledMadeUnder"/>
        <w:spacing w:before="240"/>
      </w:pPr>
      <w:r>
        <w:t>Radiocommunications Act 1992</w:t>
      </w:r>
    </w:p>
    <w:p w14:paraId="64FBB4EA" w14:textId="77777777" w:rsidR="001C18B9" w:rsidRPr="00DF44E2" w:rsidRDefault="001C18B9" w:rsidP="00357621">
      <w:pPr>
        <w:rPr>
          <w:rFonts w:ascii="Times New Roman" w:hAnsi="Times New Roman" w:cs="Times New Roman"/>
          <w:lang w:eastAsia="en-AU"/>
        </w:rPr>
      </w:pPr>
    </w:p>
    <w:p w14:paraId="275866D3" w14:textId="77777777" w:rsidR="001C18B9" w:rsidRPr="00DF44E2" w:rsidRDefault="001C18B9" w:rsidP="00357621">
      <w:pPr>
        <w:rPr>
          <w:rFonts w:ascii="Times New Roman" w:hAnsi="Times New Roman" w:cs="Times New Roman"/>
          <w:lang w:eastAsia="en-AU"/>
        </w:rPr>
      </w:pPr>
    </w:p>
    <w:p w14:paraId="056D8320" w14:textId="2BD009BD" w:rsidR="001C18B9" w:rsidRPr="00DF44E2" w:rsidRDefault="001C18B9" w:rsidP="00357621">
      <w:pPr>
        <w:spacing w:before="1000"/>
        <w:rPr>
          <w:rFonts w:ascii="Times New Roman" w:hAnsi="Times New Roman" w:cs="Times New Roman"/>
          <w:b/>
          <w:sz w:val="32"/>
          <w:szCs w:val="32"/>
        </w:rPr>
      </w:pPr>
      <w:r w:rsidRPr="00DF44E2">
        <w:rPr>
          <w:rFonts w:ascii="Times New Roman" w:hAnsi="Times New Roman" w:cs="Times New Roman"/>
          <w:b/>
          <w:sz w:val="32"/>
          <w:szCs w:val="32"/>
        </w:rPr>
        <w:t>Compilation No.</w:t>
      </w:r>
      <w:r w:rsidR="00D33952">
        <w:rPr>
          <w:rFonts w:ascii="Times New Roman" w:hAnsi="Times New Roman" w:cs="Times New Roman"/>
          <w:b/>
          <w:sz w:val="32"/>
          <w:szCs w:val="32"/>
        </w:rPr>
        <w:t> </w:t>
      </w:r>
      <w:r w:rsidRPr="00DF44E2">
        <w:rPr>
          <w:rFonts w:ascii="Times New Roman" w:hAnsi="Times New Roman" w:cs="Times New Roman"/>
          <w:b/>
          <w:sz w:val="32"/>
          <w:szCs w:val="32"/>
        </w:rPr>
        <w:t xml:space="preserve"> </w:t>
      </w:r>
      <w:r w:rsidR="009F0016">
        <w:rPr>
          <w:rFonts w:ascii="Times New Roman" w:hAnsi="Times New Roman" w:cs="Times New Roman"/>
          <w:b/>
          <w:sz w:val="32"/>
          <w:szCs w:val="32"/>
        </w:rPr>
        <w:t>1</w:t>
      </w:r>
    </w:p>
    <w:p w14:paraId="554C0744" w14:textId="56DBD6E4" w:rsidR="001C18B9" w:rsidRPr="00DF44E2" w:rsidRDefault="001C18B9" w:rsidP="00357621">
      <w:pPr>
        <w:spacing w:before="480"/>
        <w:rPr>
          <w:rFonts w:ascii="Times New Roman" w:hAnsi="Times New Roman" w:cs="Times New Roman"/>
          <w:sz w:val="24"/>
        </w:rPr>
      </w:pPr>
      <w:r w:rsidRPr="00DF44E2">
        <w:rPr>
          <w:rFonts w:ascii="Times New Roman" w:hAnsi="Times New Roman" w:cs="Times New Roman"/>
          <w:b/>
          <w:sz w:val="24"/>
        </w:rPr>
        <w:t xml:space="preserve">Compilation date: </w:t>
      </w:r>
      <w:r w:rsidRPr="00DF44E2">
        <w:rPr>
          <w:rFonts w:ascii="Times New Roman" w:hAnsi="Times New Roman" w:cs="Times New Roman"/>
          <w:b/>
          <w:sz w:val="24"/>
        </w:rPr>
        <w:tab/>
      </w:r>
      <w:r w:rsidRPr="00DF44E2">
        <w:rPr>
          <w:rFonts w:ascii="Times New Roman" w:hAnsi="Times New Roman" w:cs="Times New Roman"/>
          <w:b/>
          <w:sz w:val="24"/>
        </w:rPr>
        <w:tab/>
      </w:r>
      <w:r w:rsidR="00D51DA8">
        <w:rPr>
          <w:rFonts w:ascii="Times New Roman" w:hAnsi="Times New Roman" w:cs="Times New Roman"/>
          <w:b/>
          <w:sz w:val="24"/>
        </w:rPr>
        <w:t>4 February 2025</w:t>
      </w:r>
    </w:p>
    <w:p w14:paraId="4182E99B" w14:textId="308039B0" w:rsidR="00703828" w:rsidRPr="00DF44E2" w:rsidRDefault="001C18B9" w:rsidP="00357621">
      <w:pPr>
        <w:spacing w:before="240"/>
        <w:rPr>
          <w:rFonts w:ascii="Times New Roman" w:hAnsi="Times New Roman" w:cs="Times New Roman"/>
          <w:sz w:val="24"/>
        </w:rPr>
      </w:pPr>
      <w:r w:rsidRPr="00DF44E2">
        <w:rPr>
          <w:rFonts w:ascii="Times New Roman" w:hAnsi="Times New Roman" w:cs="Times New Roman"/>
          <w:b/>
          <w:sz w:val="24"/>
        </w:rPr>
        <w:t>Includes amendments:</w:t>
      </w:r>
      <w:r w:rsidRPr="00DF44E2">
        <w:rPr>
          <w:rFonts w:ascii="Times New Roman" w:hAnsi="Times New Roman" w:cs="Times New Roman"/>
          <w:b/>
          <w:sz w:val="24"/>
        </w:rPr>
        <w:tab/>
      </w:r>
      <w:r w:rsidR="00FB49C0" w:rsidRPr="00FB49C0">
        <w:rPr>
          <w:rFonts w:ascii="Times New Roman" w:hAnsi="Times New Roman" w:cs="Times New Roman"/>
          <w:b/>
          <w:sz w:val="24"/>
        </w:rPr>
        <w:t>F2025L00056</w:t>
      </w:r>
    </w:p>
    <w:p w14:paraId="5648B028" w14:textId="77777777" w:rsidR="0017734A" w:rsidRPr="00DF44E2" w:rsidRDefault="0017734A" w:rsidP="00357621">
      <w:pPr>
        <w:rPr>
          <w:rFonts w:ascii="Times New Roman" w:hAnsi="Times New Roman" w:cs="Times New Roman"/>
        </w:rPr>
      </w:pPr>
    </w:p>
    <w:p w14:paraId="2A09EE8C" w14:textId="77777777" w:rsidR="00F4431E" w:rsidRDefault="00F4431E" w:rsidP="00357621">
      <w:pPr>
        <w:rPr>
          <w:rFonts w:ascii="Times New Roman" w:hAnsi="Times New Roman" w:cs="Times New Roman"/>
        </w:rPr>
      </w:pPr>
    </w:p>
    <w:p w14:paraId="714AE3AB" w14:textId="77777777" w:rsidR="005555CC" w:rsidRDefault="005555CC" w:rsidP="00357621">
      <w:pPr>
        <w:rPr>
          <w:rFonts w:ascii="Times New Roman" w:hAnsi="Times New Roman" w:cs="Times New Roman"/>
        </w:rPr>
      </w:pPr>
    </w:p>
    <w:p w14:paraId="5A112CBA" w14:textId="77777777" w:rsidR="00F4431E" w:rsidRDefault="00F4431E" w:rsidP="00357621">
      <w:pPr>
        <w:rPr>
          <w:rFonts w:ascii="Times New Roman" w:hAnsi="Times New Roman" w:cs="Times New Roman"/>
        </w:rPr>
      </w:pPr>
    </w:p>
    <w:p w14:paraId="5FEDBA6E" w14:textId="7D43844F" w:rsidR="00F4431E" w:rsidRDefault="00F4431E" w:rsidP="00357621">
      <w:pPr>
        <w:rPr>
          <w:rFonts w:ascii="Times New Roman" w:hAnsi="Times New Roman" w:cs="Times New Roman"/>
        </w:rPr>
      </w:pPr>
    </w:p>
    <w:p w14:paraId="3E15E627" w14:textId="77777777" w:rsidR="00F4431E" w:rsidRDefault="00F4431E" w:rsidP="00357621">
      <w:pPr>
        <w:rPr>
          <w:rFonts w:ascii="Times New Roman" w:hAnsi="Times New Roman" w:cs="Times New Roman"/>
        </w:rPr>
      </w:pPr>
    </w:p>
    <w:p w14:paraId="692B37FD" w14:textId="77777777" w:rsidR="00F4431E" w:rsidRDefault="00F4431E" w:rsidP="00357621">
      <w:pPr>
        <w:rPr>
          <w:rFonts w:ascii="Times New Roman" w:hAnsi="Times New Roman" w:cs="Times New Roman"/>
        </w:rPr>
      </w:pPr>
    </w:p>
    <w:p w14:paraId="3A0FCC3D" w14:textId="77777777" w:rsidR="00F4431E" w:rsidRDefault="00F4431E" w:rsidP="00357621">
      <w:pPr>
        <w:rPr>
          <w:rFonts w:ascii="Times New Roman" w:hAnsi="Times New Roman" w:cs="Times New Roman"/>
        </w:rPr>
      </w:pPr>
    </w:p>
    <w:p w14:paraId="0B1B0626" w14:textId="77777777" w:rsidR="00F4431E" w:rsidRDefault="00F4431E" w:rsidP="00357621">
      <w:pPr>
        <w:rPr>
          <w:rFonts w:ascii="Times New Roman" w:hAnsi="Times New Roman" w:cs="Times New Roman"/>
        </w:rPr>
      </w:pPr>
    </w:p>
    <w:p w14:paraId="3D9AC7FF" w14:textId="1DF1D5DC" w:rsidR="0017734A" w:rsidRPr="00E318F7" w:rsidRDefault="00F4431E" w:rsidP="00357621">
      <w:pPr>
        <w:rPr>
          <w:rFonts w:ascii="Times New Roman" w:hAnsi="Times New Roman" w:cs="Times New Roman"/>
        </w:rPr>
      </w:pPr>
      <w:r>
        <w:rPr>
          <w:rFonts w:ascii="Times New Roman" w:hAnsi="Times New Roman" w:cs="Times New Roman"/>
        </w:rPr>
        <w:t>Prepared by the Australian Communications and Media Authority</w:t>
      </w:r>
      <w:r w:rsidR="00D159CA">
        <w:rPr>
          <w:rFonts w:ascii="Times New Roman" w:hAnsi="Times New Roman" w:cs="Times New Roman"/>
        </w:rPr>
        <w:t xml:space="preserve">, </w:t>
      </w:r>
      <w:r w:rsidR="0039766B">
        <w:rPr>
          <w:rFonts w:ascii="Times New Roman" w:hAnsi="Times New Roman" w:cs="Times New Roman"/>
        </w:rPr>
        <w:t>Melbourne</w:t>
      </w:r>
    </w:p>
    <w:p w14:paraId="75F756D4" w14:textId="77777777" w:rsidR="0017734A" w:rsidRDefault="0017734A" w:rsidP="00357621">
      <w:pPr>
        <w:rPr>
          <w:rFonts w:ascii="Times New Roman" w:hAnsi="Times New Roman" w:cs="Times New Roman"/>
        </w:rPr>
      </w:pPr>
    </w:p>
    <w:p w14:paraId="2BE7384E" w14:textId="77777777" w:rsidR="0039766B" w:rsidRDefault="0039766B" w:rsidP="00357621">
      <w:pPr>
        <w:rPr>
          <w:rFonts w:ascii="Times New Roman" w:hAnsi="Times New Roman" w:cs="Times New Roman"/>
          <w:b/>
          <w:sz w:val="32"/>
          <w:szCs w:val="32"/>
        </w:rPr>
      </w:pPr>
      <w:r>
        <w:rPr>
          <w:rFonts w:ascii="Times New Roman" w:hAnsi="Times New Roman" w:cs="Times New Roman"/>
          <w:b/>
          <w:sz w:val="32"/>
          <w:szCs w:val="32"/>
        </w:rPr>
        <w:br w:type="page"/>
      </w:r>
    </w:p>
    <w:p w14:paraId="085912EA" w14:textId="2290E67E" w:rsidR="005555CC" w:rsidRDefault="005555CC" w:rsidP="00357621">
      <w:pPr>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1AD87898" w14:textId="77777777" w:rsidR="00CC2BDB" w:rsidRPr="00CC2BDB" w:rsidRDefault="00CC2BDB" w:rsidP="00357621">
      <w:pPr>
        <w:spacing w:before="240" w:after="0" w:line="260" w:lineRule="atLeast"/>
        <w:rPr>
          <w:rFonts w:ascii="Times New Roman" w:eastAsia="Calibri" w:hAnsi="Times New Roman" w:cs="Arial"/>
          <w:szCs w:val="20"/>
        </w:rPr>
      </w:pPr>
      <w:r w:rsidRPr="00CC2BDB">
        <w:rPr>
          <w:rFonts w:ascii="Times New Roman" w:eastAsia="Calibri" w:hAnsi="Times New Roman" w:cs="Arial"/>
          <w:b/>
        </w:rPr>
        <w:t>This compilation</w:t>
      </w:r>
    </w:p>
    <w:p w14:paraId="7D971DB5" w14:textId="260F1121" w:rsidR="00CC2BDB" w:rsidRPr="00CC2BDB" w:rsidRDefault="00CC2BDB" w:rsidP="00357621">
      <w:pPr>
        <w:spacing w:before="120" w:after="120" w:line="260" w:lineRule="atLeast"/>
        <w:rPr>
          <w:rFonts w:ascii="Times New Roman" w:eastAsia="Calibri" w:hAnsi="Times New Roman" w:cs="Arial"/>
        </w:rPr>
      </w:pPr>
      <w:r w:rsidRPr="00CC2BDB">
        <w:rPr>
          <w:rFonts w:ascii="Times New Roman" w:eastAsia="Calibri" w:hAnsi="Times New Roman" w:cs="Arial"/>
        </w:rPr>
        <w:t>This is a compilation of the</w:t>
      </w:r>
      <w:r w:rsidR="004B2F4D">
        <w:rPr>
          <w:rFonts w:ascii="Times New Roman" w:eastAsia="Calibri" w:hAnsi="Times New Roman" w:cs="Arial"/>
        </w:rPr>
        <w:t xml:space="preserve"> </w:t>
      </w:r>
      <w:r w:rsidR="00864001" w:rsidRPr="00864001">
        <w:rPr>
          <w:rFonts w:ascii="Times New Roman" w:eastAsia="Calibri" w:hAnsi="Times New Roman" w:cs="Arial"/>
          <w:i/>
          <w:iCs/>
        </w:rPr>
        <w:t xml:space="preserve">Radiocommunications (Limitation of Authorisation of </w:t>
      </w:r>
      <w:proofErr w:type="gramStart"/>
      <w:r w:rsidR="00864001" w:rsidRPr="00864001">
        <w:rPr>
          <w:rFonts w:ascii="Times New Roman" w:eastAsia="Calibri" w:hAnsi="Times New Roman" w:cs="Arial"/>
          <w:i/>
          <w:iCs/>
        </w:rPr>
        <w:t>Third Party</w:t>
      </w:r>
      <w:proofErr w:type="gramEnd"/>
      <w:r w:rsidR="00864001" w:rsidRPr="00864001">
        <w:rPr>
          <w:rFonts w:ascii="Times New Roman" w:eastAsia="Calibri" w:hAnsi="Times New Roman" w:cs="Arial"/>
          <w:i/>
          <w:iCs/>
        </w:rPr>
        <w:t xml:space="preserve"> Users and Transfer of Apparatus Licences) Determination 2015</w:t>
      </w:r>
      <w:r w:rsidR="00864001">
        <w:rPr>
          <w:rFonts w:ascii="Times New Roman" w:eastAsia="Calibri" w:hAnsi="Times New Roman" w:cs="Arial"/>
          <w:i/>
          <w:iCs/>
        </w:rPr>
        <w:t xml:space="preserve"> </w:t>
      </w:r>
      <w:r w:rsidRPr="004B2F4D">
        <w:rPr>
          <w:rFonts w:ascii="Times New Roman" w:eastAsia="Calibri" w:hAnsi="Times New Roman" w:cs="Arial"/>
        </w:rPr>
        <w:t xml:space="preserve">that shows the text of the law as amended and in force on </w:t>
      </w:r>
      <w:r w:rsidR="00864001">
        <w:rPr>
          <w:rFonts w:ascii="Times New Roman" w:eastAsia="Calibri" w:hAnsi="Times New Roman" w:cs="Arial"/>
        </w:rPr>
        <w:t>4 February 2025</w:t>
      </w:r>
      <w:r w:rsidRPr="00CC2BDB">
        <w:rPr>
          <w:rFonts w:ascii="Times New Roman" w:eastAsia="Calibri" w:hAnsi="Times New Roman" w:cs="Arial"/>
        </w:rPr>
        <w:t xml:space="preserve"> (the </w:t>
      </w:r>
      <w:r w:rsidRPr="00CC2BDB">
        <w:rPr>
          <w:rFonts w:ascii="Times New Roman" w:eastAsia="Calibri" w:hAnsi="Times New Roman" w:cs="Arial"/>
          <w:b/>
          <w:i/>
        </w:rPr>
        <w:t>compilation date</w:t>
      </w:r>
      <w:r w:rsidRPr="00CC2BDB">
        <w:rPr>
          <w:rFonts w:ascii="Times New Roman" w:eastAsia="Calibri" w:hAnsi="Times New Roman" w:cs="Arial"/>
        </w:rPr>
        <w:t>).</w:t>
      </w:r>
    </w:p>
    <w:p w14:paraId="295B9554" w14:textId="77777777" w:rsidR="00CC2BDB" w:rsidRPr="00CC2BDB" w:rsidRDefault="00CC2BDB" w:rsidP="00357621">
      <w:pPr>
        <w:spacing w:after="120" w:line="260" w:lineRule="atLeast"/>
        <w:rPr>
          <w:rFonts w:ascii="Times New Roman" w:eastAsia="Calibri" w:hAnsi="Times New Roman" w:cs="Arial"/>
        </w:rPr>
      </w:pPr>
      <w:r w:rsidRPr="00CC2BDB">
        <w:rPr>
          <w:rFonts w:ascii="Times New Roman" w:eastAsia="Calibri" w:hAnsi="Times New Roman" w:cs="Arial"/>
        </w:rPr>
        <w:t xml:space="preserve">The notes at the end of this compilation (the </w:t>
      </w:r>
      <w:r w:rsidRPr="00CC2BDB">
        <w:rPr>
          <w:rFonts w:ascii="Times New Roman" w:eastAsia="Calibri" w:hAnsi="Times New Roman" w:cs="Arial"/>
          <w:b/>
          <w:i/>
        </w:rPr>
        <w:t>endnotes</w:t>
      </w:r>
      <w:r w:rsidRPr="00CC2BDB">
        <w:rPr>
          <w:rFonts w:ascii="Times New Roman" w:eastAsia="Calibri" w:hAnsi="Times New Roman" w:cs="Arial"/>
        </w:rPr>
        <w:t>) include information about amending laws and the amendment history of provisions of the compiled law.</w:t>
      </w:r>
    </w:p>
    <w:p w14:paraId="397C72A3" w14:textId="77777777" w:rsidR="00CC2BDB" w:rsidRPr="00CC2BDB" w:rsidRDefault="00CC2BDB" w:rsidP="00357621">
      <w:pPr>
        <w:tabs>
          <w:tab w:val="left" w:pos="5640"/>
        </w:tabs>
        <w:spacing w:before="120" w:after="120" w:line="260" w:lineRule="atLeast"/>
        <w:rPr>
          <w:rFonts w:ascii="Times New Roman" w:eastAsia="Calibri" w:hAnsi="Times New Roman" w:cs="Arial"/>
          <w:b/>
        </w:rPr>
      </w:pPr>
      <w:proofErr w:type="spellStart"/>
      <w:r w:rsidRPr="00CC2BDB">
        <w:rPr>
          <w:rFonts w:ascii="Times New Roman" w:eastAsia="Calibri" w:hAnsi="Times New Roman" w:cs="Arial"/>
          <w:b/>
        </w:rPr>
        <w:t>Uncommenced</w:t>
      </w:r>
      <w:proofErr w:type="spellEnd"/>
      <w:r w:rsidRPr="00CC2BDB">
        <w:rPr>
          <w:rFonts w:ascii="Times New Roman" w:eastAsia="Calibri" w:hAnsi="Times New Roman" w:cs="Arial"/>
          <w:b/>
        </w:rPr>
        <w:t xml:space="preserve"> amendments</w:t>
      </w:r>
    </w:p>
    <w:p w14:paraId="764696C0" w14:textId="77777777" w:rsidR="00CC2BDB" w:rsidRPr="00CC2BDB" w:rsidRDefault="00CC2BDB" w:rsidP="00357621">
      <w:pPr>
        <w:spacing w:after="120" w:line="260" w:lineRule="atLeast"/>
        <w:rPr>
          <w:rFonts w:ascii="Times New Roman" w:eastAsia="Calibri" w:hAnsi="Times New Roman" w:cs="Arial"/>
        </w:rPr>
      </w:pPr>
      <w:r w:rsidRPr="00CC2BDB">
        <w:rPr>
          <w:rFonts w:ascii="Times New Roman" w:eastAsia="Calibri" w:hAnsi="Times New Roman" w:cs="Arial"/>
        </w:rPr>
        <w:t xml:space="preserve">The effect of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is not shown in the text of the compiled law. Any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affecting the law are accessible on the Register (www.legislation.gov.au). The details of amendments made up to, but not commenced at, the compilation date </w:t>
      </w:r>
      <w:proofErr w:type="gramStart"/>
      <w:r w:rsidRPr="00CC2BDB">
        <w:rPr>
          <w:rFonts w:ascii="Times New Roman" w:eastAsia="Calibri" w:hAnsi="Times New Roman" w:cs="Arial"/>
        </w:rPr>
        <w:t>are</w:t>
      </w:r>
      <w:proofErr w:type="gramEnd"/>
      <w:r w:rsidRPr="00CC2BDB">
        <w:rPr>
          <w:rFonts w:ascii="Times New Roman" w:eastAsia="Calibri" w:hAnsi="Times New Roman" w:cs="Arial"/>
        </w:rPr>
        <w:t xml:space="preserve"> underlined in the endnotes. For more information on any </w:t>
      </w:r>
      <w:proofErr w:type="spellStart"/>
      <w:r w:rsidRPr="00CC2BDB">
        <w:rPr>
          <w:rFonts w:ascii="Times New Roman" w:eastAsia="Calibri" w:hAnsi="Times New Roman" w:cs="Arial"/>
        </w:rPr>
        <w:t>uncommenced</w:t>
      </w:r>
      <w:proofErr w:type="spellEnd"/>
      <w:r w:rsidRPr="00CC2BDB">
        <w:rPr>
          <w:rFonts w:ascii="Times New Roman" w:eastAsia="Calibri" w:hAnsi="Times New Roman" w:cs="Arial"/>
        </w:rPr>
        <w:t xml:space="preserve"> amendments, see the Register for the compiled law.</w:t>
      </w:r>
    </w:p>
    <w:p w14:paraId="0D124528" w14:textId="77777777" w:rsidR="00CC2BDB" w:rsidRPr="00CC2BDB" w:rsidRDefault="00CC2BDB" w:rsidP="00357621">
      <w:pPr>
        <w:spacing w:before="120" w:after="120" w:line="260" w:lineRule="atLeast"/>
        <w:rPr>
          <w:rFonts w:ascii="Times New Roman" w:eastAsia="Calibri" w:hAnsi="Times New Roman" w:cs="Arial"/>
          <w:b/>
        </w:rPr>
      </w:pPr>
      <w:r w:rsidRPr="00CC2BDB">
        <w:rPr>
          <w:rFonts w:ascii="Times New Roman" w:eastAsia="Calibri" w:hAnsi="Times New Roman" w:cs="Arial"/>
          <w:b/>
        </w:rPr>
        <w:t>Application, saving and transitional provisions for provisions and amendments</w:t>
      </w:r>
    </w:p>
    <w:p w14:paraId="10F3B752" w14:textId="77777777" w:rsidR="00CC2BDB" w:rsidRPr="00CC2BDB" w:rsidRDefault="00CC2BDB" w:rsidP="00357621">
      <w:pPr>
        <w:spacing w:after="120" w:line="260" w:lineRule="atLeast"/>
        <w:rPr>
          <w:rFonts w:ascii="Times New Roman" w:eastAsia="Calibri" w:hAnsi="Times New Roman" w:cs="Arial"/>
        </w:rPr>
      </w:pPr>
      <w:r w:rsidRPr="00CC2BDB">
        <w:rPr>
          <w:rFonts w:ascii="Times New Roman" w:eastAsia="Calibri" w:hAnsi="Times New Roman" w:cs="Arial"/>
        </w:rPr>
        <w:t>If the operation of a provision or amendment of the compiled law is affected by an application, saving or transitional provision that is not included in this compilation, details are included in the endnotes.</w:t>
      </w:r>
    </w:p>
    <w:p w14:paraId="70CC8992" w14:textId="77777777" w:rsidR="00CC2BDB" w:rsidRPr="00CC2BDB" w:rsidRDefault="00CC2BDB" w:rsidP="00357621">
      <w:pPr>
        <w:spacing w:before="120" w:after="120" w:line="260" w:lineRule="atLeast"/>
        <w:rPr>
          <w:rFonts w:ascii="Times New Roman" w:eastAsia="Calibri" w:hAnsi="Times New Roman" w:cs="Arial"/>
          <w:b/>
        </w:rPr>
      </w:pPr>
      <w:r w:rsidRPr="00CC2BDB">
        <w:rPr>
          <w:rFonts w:ascii="Times New Roman" w:eastAsia="Calibri" w:hAnsi="Times New Roman" w:cs="Arial"/>
          <w:b/>
        </w:rPr>
        <w:t>Modifications</w:t>
      </w:r>
    </w:p>
    <w:p w14:paraId="71C69C7F" w14:textId="77777777" w:rsidR="00CC2BDB" w:rsidRPr="00CC2BDB" w:rsidRDefault="00CC2BDB" w:rsidP="00357621">
      <w:pPr>
        <w:spacing w:after="120" w:line="260" w:lineRule="atLeast"/>
        <w:rPr>
          <w:rFonts w:ascii="Times New Roman" w:eastAsia="Calibri" w:hAnsi="Times New Roman" w:cs="Arial"/>
        </w:rPr>
      </w:pPr>
      <w:r w:rsidRPr="00CC2BDB">
        <w:rPr>
          <w:rFonts w:ascii="Times New Roman" w:eastAsia="Calibri"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B6EBB15" w14:textId="77777777" w:rsidR="00CC2BDB" w:rsidRPr="00CC2BDB" w:rsidRDefault="00CC2BDB" w:rsidP="00357621">
      <w:pPr>
        <w:spacing w:before="80" w:after="120" w:line="260" w:lineRule="atLeast"/>
        <w:rPr>
          <w:rFonts w:ascii="Times New Roman" w:eastAsia="Calibri" w:hAnsi="Times New Roman" w:cs="Arial"/>
          <w:b/>
        </w:rPr>
      </w:pPr>
      <w:r w:rsidRPr="00CC2BDB">
        <w:rPr>
          <w:rFonts w:ascii="Times New Roman" w:eastAsia="Calibri" w:hAnsi="Times New Roman" w:cs="Arial"/>
          <w:b/>
        </w:rPr>
        <w:t>Self</w:t>
      </w:r>
      <w:r w:rsidRPr="00CC2BDB">
        <w:rPr>
          <w:rFonts w:ascii="Times New Roman" w:eastAsia="Calibri" w:hAnsi="Times New Roman" w:cs="Arial"/>
          <w:b/>
        </w:rPr>
        <w:noBreakHyphen/>
        <w:t>repealing provisions</w:t>
      </w:r>
    </w:p>
    <w:p w14:paraId="18C4413D" w14:textId="77777777" w:rsidR="0017734A" w:rsidRDefault="00CC2BDB" w:rsidP="00357621">
      <w:pPr>
        <w:rPr>
          <w:rFonts w:ascii="Times New Roman" w:eastAsia="Calibri" w:hAnsi="Times New Roman" w:cs="Arial"/>
        </w:rPr>
      </w:pPr>
      <w:r w:rsidRPr="00CC2BDB">
        <w:rPr>
          <w:rFonts w:ascii="Times New Roman" w:eastAsia="Calibri" w:hAnsi="Times New Roman" w:cs="Arial"/>
        </w:rPr>
        <w:t>If a provision of the compiled law has been repealed in accordance with a provision of the law, details are included in the endnotes.</w:t>
      </w:r>
    </w:p>
    <w:p w14:paraId="1479DFE6" w14:textId="77777777" w:rsidR="00CC2BDB" w:rsidRDefault="00CC2BDB" w:rsidP="00357621">
      <w:pPr>
        <w:rPr>
          <w:rFonts w:ascii="Times New Roman" w:eastAsia="Calibri" w:hAnsi="Times New Roman" w:cs="Arial"/>
        </w:rPr>
      </w:pPr>
    </w:p>
    <w:p w14:paraId="2CCAF103" w14:textId="05792B2C" w:rsidR="00CC2BDB" w:rsidRPr="00633ED4" w:rsidRDefault="00CC2BDB" w:rsidP="00357621">
      <w:pPr>
        <w:rPr>
          <w:rFonts w:ascii="Times New Roman" w:hAnsi="Times New Roman" w:cs="Times New Roman"/>
        </w:rPr>
        <w:sectPr w:rsidR="00CC2BDB" w:rsidRPr="00633ED4" w:rsidSect="002F0E3F">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699E5139" w14:textId="77777777" w:rsidR="001707AD" w:rsidRPr="001707AD" w:rsidRDefault="001707AD" w:rsidP="00357621">
      <w:pPr>
        <w:keepNext/>
        <w:keepLines/>
        <w:spacing w:after="0" w:line="240" w:lineRule="auto"/>
        <w:ind w:left="964" w:hanging="964"/>
        <w:rPr>
          <w:rFonts w:ascii="Arial" w:eastAsia="Times New Roman" w:hAnsi="Arial" w:cs="Times New Roman"/>
          <w:sz w:val="18"/>
          <w:szCs w:val="24"/>
        </w:rPr>
      </w:pPr>
      <w:bookmarkStart w:id="0" w:name="_Toc289783524"/>
      <w:r w:rsidRPr="001707AD">
        <w:rPr>
          <w:rStyle w:val="CharSectno"/>
          <w:rFonts w:eastAsiaTheme="minorHAnsi"/>
        </w:rPr>
        <w:lastRenderedPageBreak/>
        <w:t>1</w:t>
      </w:r>
      <w:r w:rsidRPr="001707AD">
        <w:rPr>
          <w:rFonts w:ascii="Arial" w:eastAsia="Times New Roman" w:hAnsi="Arial" w:cs="Times New Roman"/>
          <w:b/>
          <w:sz w:val="24"/>
          <w:szCs w:val="24"/>
        </w:rPr>
        <w:tab/>
        <w:t>Name of Determination</w:t>
      </w:r>
      <w:bookmarkEnd w:id="0"/>
    </w:p>
    <w:p w14:paraId="799EF788" w14:textId="77777777" w:rsidR="001707AD" w:rsidRPr="001707AD" w:rsidRDefault="001707AD" w:rsidP="00FE79D6">
      <w:pPr>
        <w:keepNext/>
        <w:keepLines/>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r>
      <w:r w:rsidRPr="001707AD">
        <w:rPr>
          <w:rFonts w:ascii="Times New Roman" w:eastAsia="Times New Roman" w:hAnsi="Times New Roman" w:cs="Times New Roman"/>
          <w:sz w:val="24"/>
          <w:szCs w:val="24"/>
        </w:rPr>
        <w:tab/>
        <w:t xml:space="preserve">This Determination is the </w:t>
      </w:r>
      <w:r w:rsidRPr="001707AD">
        <w:rPr>
          <w:rFonts w:ascii="Times New Roman" w:eastAsia="Times New Roman" w:hAnsi="Times New Roman" w:cs="Times New Roman"/>
          <w:i/>
          <w:iCs/>
          <w:sz w:val="24"/>
          <w:szCs w:val="24"/>
        </w:rPr>
        <w:t xml:space="preserve">Radiocommunications (Limitation of Authorisation of </w:t>
      </w:r>
      <w:proofErr w:type="gramStart"/>
      <w:r w:rsidRPr="001707AD">
        <w:rPr>
          <w:rFonts w:ascii="Times New Roman" w:eastAsia="Times New Roman" w:hAnsi="Times New Roman" w:cs="Times New Roman"/>
          <w:i/>
          <w:iCs/>
          <w:sz w:val="24"/>
          <w:szCs w:val="24"/>
        </w:rPr>
        <w:t>Third Party</w:t>
      </w:r>
      <w:proofErr w:type="gramEnd"/>
      <w:r w:rsidRPr="001707AD">
        <w:rPr>
          <w:rFonts w:ascii="Times New Roman" w:eastAsia="Times New Roman" w:hAnsi="Times New Roman" w:cs="Times New Roman"/>
          <w:i/>
          <w:iCs/>
          <w:sz w:val="24"/>
          <w:szCs w:val="24"/>
        </w:rPr>
        <w:t xml:space="preserve"> Users and Transfer of Apparatus Licences) Determination 2015</w:t>
      </w:r>
      <w:r w:rsidRPr="001707AD">
        <w:rPr>
          <w:rFonts w:ascii="Times New Roman" w:eastAsia="Times New Roman" w:hAnsi="Times New Roman" w:cs="Times New Roman"/>
          <w:iCs/>
          <w:sz w:val="24"/>
          <w:szCs w:val="24"/>
        </w:rPr>
        <w:t>.</w:t>
      </w:r>
    </w:p>
    <w:p w14:paraId="51063CC7" w14:textId="77777777" w:rsidR="001707AD" w:rsidRPr="001707AD" w:rsidRDefault="001707AD" w:rsidP="00357621">
      <w:pPr>
        <w:keepNext/>
        <w:spacing w:before="360" w:after="0" w:line="240" w:lineRule="auto"/>
        <w:ind w:left="964" w:hanging="964"/>
        <w:rPr>
          <w:rFonts w:ascii="Arial" w:eastAsia="Times New Roman" w:hAnsi="Arial" w:cs="Times New Roman"/>
          <w:b/>
          <w:sz w:val="24"/>
          <w:szCs w:val="24"/>
        </w:rPr>
      </w:pPr>
      <w:bookmarkStart w:id="1" w:name="_Toc289783527"/>
      <w:r w:rsidRPr="001707AD">
        <w:rPr>
          <w:rFonts w:ascii="Arial" w:eastAsia="Times New Roman" w:hAnsi="Arial" w:cs="Times New Roman"/>
          <w:b/>
          <w:sz w:val="24"/>
          <w:szCs w:val="24"/>
        </w:rPr>
        <w:t>4</w:t>
      </w:r>
      <w:r w:rsidRPr="001707AD">
        <w:rPr>
          <w:rFonts w:ascii="Arial" w:eastAsia="Times New Roman" w:hAnsi="Arial" w:cs="Times New Roman"/>
          <w:b/>
          <w:sz w:val="24"/>
          <w:szCs w:val="24"/>
        </w:rPr>
        <w:tab/>
        <w:t>Definitions</w:t>
      </w:r>
      <w:bookmarkEnd w:id="1"/>
    </w:p>
    <w:p w14:paraId="7756726F" w14:textId="77777777" w:rsidR="001707AD" w:rsidRPr="001707AD" w:rsidRDefault="001707AD" w:rsidP="00FE79D6">
      <w:pPr>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(1)</w:t>
      </w:r>
      <w:r w:rsidRPr="001707AD">
        <w:rPr>
          <w:rFonts w:ascii="Times New Roman" w:eastAsia="Times New Roman" w:hAnsi="Times New Roman" w:cs="Times New Roman"/>
          <w:sz w:val="24"/>
          <w:szCs w:val="24"/>
        </w:rPr>
        <w:tab/>
        <w:t>In this Determination, unless the contrary intention appears:</w:t>
      </w:r>
    </w:p>
    <w:p w14:paraId="4A710BDA" w14:textId="77777777" w:rsidR="001707AD" w:rsidRPr="001707AD" w:rsidRDefault="001707AD" w:rsidP="00FE79D6">
      <w:pPr>
        <w:spacing w:before="80" w:after="0" w:line="260" w:lineRule="exact"/>
        <w:ind w:left="964"/>
        <w:rPr>
          <w:rFonts w:ascii="Times New Roman" w:eastAsia="Times New Roman" w:hAnsi="Times New Roman" w:cs="Times New Roman"/>
          <w:sz w:val="24"/>
          <w:szCs w:val="24"/>
        </w:rPr>
      </w:pPr>
      <w:r w:rsidRPr="001707AD">
        <w:rPr>
          <w:rFonts w:ascii="Times New Roman" w:eastAsia="Times New Roman" w:hAnsi="Times New Roman" w:cs="Times New Roman"/>
          <w:b/>
          <w:bCs/>
          <w:i/>
          <w:iCs/>
          <w:sz w:val="24"/>
          <w:szCs w:val="24"/>
        </w:rPr>
        <w:t>ABC</w:t>
      </w:r>
      <w:r w:rsidRPr="001707AD">
        <w:rPr>
          <w:rFonts w:ascii="Times New Roman" w:eastAsia="Times New Roman" w:hAnsi="Times New Roman" w:cs="Times New Roman"/>
          <w:sz w:val="24"/>
          <w:szCs w:val="24"/>
        </w:rPr>
        <w:t xml:space="preserve"> means the Australian Broadcasting Corporation established under subsection 5 (1) of the </w:t>
      </w:r>
      <w:r w:rsidRPr="001707AD">
        <w:rPr>
          <w:rFonts w:ascii="Times New Roman" w:eastAsia="Times New Roman" w:hAnsi="Times New Roman" w:cs="Times New Roman"/>
          <w:i/>
          <w:iCs/>
          <w:sz w:val="24"/>
          <w:szCs w:val="24"/>
        </w:rPr>
        <w:t>Australian Broadcasting Corporation Act 1983</w:t>
      </w:r>
      <w:r w:rsidRPr="001707AD">
        <w:rPr>
          <w:rFonts w:ascii="Times New Roman" w:eastAsia="Times New Roman" w:hAnsi="Times New Roman" w:cs="Times New Roman"/>
          <w:sz w:val="24"/>
          <w:szCs w:val="24"/>
        </w:rPr>
        <w:t>.</w:t>
      </w:r>
    </w:p>
    <w:p w14:paraId="6DE08A07" w14:textId="77777777" w:rsidR="001707AD" w:rsidRPr="001707AD" w:rsidRDefault="001707AD" w:rsidP="00FE79D6">
      <w:pPr>
        <w:spacing w:before="80" w:after="0" w:line="260" w:lineRule="exact"/>
        <w:ind w:left="964"/>
        <w:rPr>
          <w:rFonts w:ascii="Times New Roman" w:eastAsia="Times New Roman" w:hAnsi="Times New Roman" w:cs="Times New Roman"/>
          <w:b/>
          <w:bCs/>
          <w:i/>
          <w:iCs/>
          <w:sz w:val="24"/>
          <w:szCs w:val="24"/>
        </w:rPr>
      </w:pPr>
      <w:r w:rsidRPr="001707AD">
        <w:rPr>
          <w:rFonts w:ascii="Times New Roman" w:eastAsia="Times New Roman" w:hAnsi="Times New Roman" w:cs="Times New Roman"/>
          <w:b/>
          <w:bCs/>
          <w:i/>
          <w:iCs/>
          <w:sz w:val="24"/>
          <w:szCs w:val="24"/>
        </w:rPr>
        <w:t>broadcasting service</w:t>
      </w:r>
      <w:r w:rsidRPr="001707AD">
        <w:rPr>
          <w:rFonts w:ascii="Times New Roman" w:eastAsia="Times New Roman" w:hAnsi="Times New Roman" w:cs="Times New Roman"/>
          <w:sz w:val="24"/>
          <w:szCs w:val="24"/>
        </w:rPr>
        <w:t xml:space="preserve"> has the meaning given by subsection 6 (1) of the </w:t>
      </w:r>
      <w:r w:rsidRPr="001707AD">
        <w:rPr>
          <w:rFonts w:ascii="Times New Roman" w:eastAsia="Times New Roman" w:hAnsi="Times New Roman" w:cs="Times New Roman"/>
          <w:i/>
          <w:iCs/>
          <w:sz w:val="24"/>
          <w:szCs w:val="24"/>
        </w:rPr>
        <w:t>Broadcasting Services Act 1992</w:t>
      </w:r>
      <w:r w:rsidRPr="001707AD">
        <w:rPr>
          <w:rFonts w:ascii="Times New Roman" w:eastAsia="Times New Roman" w:hAnsi="Times New Roman" w:cs="Times New Roman"/>
          <w:iCs/>
          <w:sz w:val="24"/>
          <w:szCs w:val="24"/>
        </w:rPr>
        <w:t>.</w:t>
      </w:r>
    </w:p>
    <w:p w14:paraId="497E9891" w14:textId="77777777" w:rsidR="00357621" w:rsidRPr="00FE79D6" w:rsidRDefault="001707AD" w:rsidP="00FE79D6">
      <w:pPr>
        <w:spacing w:before="80" w:line="260" w:lineRule="exact"/>
        <w:ind w:left="964"/>
        <w:rPr>
          <w:rFonts w:ascii="Times New Roman" w:eastAsia="Times New Roman" w:hAnsi="Times New Roman" w:cs="Times New Roman"/>
          <w:sz w:val="24"/>
          <w:szCs w:val="24"/>
        </w:rPr>
      </w:pPr>
      <w:r w:rsidRPr="001707AD">
        <w:rPr>
          <w:rFonts w:ascii="Times New Roman" w:eastAsia="Times New Roman" w:hAnsi="Times New Roman" w:cs="Times New Roman"/>
          <w:b/>
          <w:bCs/>
          <w:i/>
          <w:iCs/>
          <w:sz w:val="24"/>
          <w:szCs w:val="24"/>
        </w:rPr>
        <w:t xml:space="preserve">eligible person </w:t>
      </w:r>
      <w:r w:rsidRPr="001707AD">
        <w:rPr>
          <w:rFonts w:ascii="Times New Roman" w:eastAsia="Times New Roman" w:hAnsi="Times New Roman" w:cs="Times New Roman"/>
          <w:sz w:val="24"/>
          <w:szCs w:val="24"/>
        </w:rPr>
        <w:t>has the meaning</w:t>
      </w:r>
      <w:r w:rsidR="00357621">
        <w:rPr>
          <w:rFonts w:ascii="Times New Roman" w:eastAsia="Times New Roman" w:hAnsi="Times New Roman" w:cs="Times New Roman"/>
          <w:sz w:val="24"/>
          <w:szCs w:val="24"/>
        </w:rPr>
        <w:t xml:space="preserve"> </w:t>
      </w:r>
      <w:r w:rsidR="00357621" w:rsidRPr="00FE79D6">
        <w:rPr>
          <w:rFonts w:ascii="Times New Roman" w:eastAsia="Times New Roman" w:hAnsi="Times New Roman" w:cs="Times New Roman"/>
          <w:sz w:val="24"/>
          <w:szCs w:val="24"/>
        </w:rPr>
        <w:t>given by:</w:t>
      </w:r>
    </w:p>
    <w:p w14:paraId="18AFE04C" w14:textId="1025C5D2" w:rsidR="00357621" w:rsidRPr="00357621" w:rsidRDefault="00357621" w:rsidP="00FE79D6">
      <w:pPr>
        <w:spacing w:before="80" w:after="0" w:line="260" w:lineRule="exact"/>
        <w:ind w:left="2160" w:hanging="716"/>
        <w:rPr>
          <w:rFonts w:ascii="Times New Roman" w:eastAsia="Times New Roman" w:hAnsi="Times New Roman" w:cs="Times New Roman"/>
          <w:bCs/>
          <w:iCs/>
          <w:sz w:val="24"/>
          <w:szCs w:val="24"/>
        </w:rPr>
      </w:pPr>
      <w:r w:rsidRPr="00357621">
        <w:rPr>
          <w:rFonts w:ascii="Times New Roman" w:eastAsia="Times New Roman" w:hAnsi="Times New Roman" w:cs="Times New Roman"/>
          <w:bCs/>
          <w:iCs/>
          <w:sz w:val="24"/>
          <w:szCs w:val="24"/>
        </w:rPr>
        <w:t>(a)</w:t>
      </w:r>
      <w:r w:rsidRPr="00357621">
        <w:rPr>
          <w:rFonts w:ascii="Times New Roman" w:eastAsia="Times New Roman" w:hAnsi="Times New Roman" w:cs="Times New Roman"/>
          <w:bCs/>
          <w:iCs/>
          <w:sz w:val="24"/>
          <w:szCs w:val="24"/>
        </w:rPr>
        <w:tab/>
        <w:t xml:space="preserve">the </w:t>
      </w:r>
      <w:r w:rsidRPr="00357621">
        <w:rPr>
          <w:rFonts w:ascii="Times New Roman" w:eastAsia="Times New Roman" w:hAnsi="Times New Roman" w:cs="Times New Roman"/>
          <w:bCs/>
          <w:i/>
          <w:sz w:val="24"/>
          <w:szCs w:val="24"/>
        </w:rPr>
        <w:t>Radiocommunications (Transmitter Licence Tax) Determination 2025</w:t>
      </w:r>
      <w:r w:rsidRPr="00357621">
        <w:rPr>
          <w:rFonts w:ascii="Times New Roman" w:eastAsia="Times New Roman" w:hAnsi="Times New Roman" w:cs="Times New Roman"/>
          <w:bCs/>
          <w:iCs/>
          <w:sz w:val="24"/>
          <w:szCs w:val="24"/>
        </w:rPr>
        <w:t>; or</w:t>
      </w:r>
    </w:p>
    <w:p w14:paraId="2E3C937C" w14:textId="2CF418D9" w:rsidR="00357621" w:rsidRPr="00357621" w:rsidRDefault="00357621" w:rsidP="00FE79D6">
      <w:pPr>
        <w:spacing w:before="80" w:after="0" w:line="260" w:lineRule="exact"/>
        <w:ind w:left="2160" w:hanging="716"/>
        <w:rPr>
          <w:rFonts w:ascii="Times New Roman" w:eastAsia="Times New Roman" w:hAnsi="Times New Roman" w:cs="Times New Roman"/>
          <w:bCs/>
          <w:iCs/>
          <w:sz w:val="24"/>
          <w:szCs w:val="24"/>
        </w:rPr>
      </w:pPr>
      <w:r w:rsidRPr="00357621">
        <w:rPr>
          <w:rFonts w:ascii="Times New Roman" w:eastAsia="Times New Roman" w:hAnsi="Times New Roman" w:cs="Times New Roman"/>
          <w:bCs/>
          <w:iCs/>
          <w:sz w:val="24"/>
          <w:szCs w:val="24"/>
        </w:rPr>
        <w:t>(b)</w:t>
      </w:r>
      <w:r w:rsidRPr="00357621">
        <w:rPr>
          <w:rFonts w:ascii="Times New Roman" w:eastAsia="Times New Roman" w:hAnsi="Times New Roman" w:cs="Times New Roman"/>
          <w:bCs/>
          <w:iCs/>
          <w:sz w:val="24"/>
          <w:szCs w:val="24"/>
        </w:rPr>
        <w:tab/>
        <w:t>if a later instrument replaces that determination and defines the expression – the later instrument.</w:t>
      </w:r>
    </w:p>
    <w:p w14:paraId="64F2C7A6" w14:textId="1DD93E42" w:rsidR="00357621" w:rsidRPr="00FE79D6" w:rsidRDefault="00357621" w:rsidP="00FE79D6">
      <w:pPr>
        <w:spacing w:before="80" w:after="0" w:line="260" w:lineRule="exact"/>
        <w:ind w:left="2160" w:hanging="742"/>
        <w:rPr>
          <w:rFonts w:ascii="Times New Roman" w:eastAsia="Times New Roman" w:hAnsi="Times New Roman" w:cs="Times New Roman"/>
          <w:bCs/>
          <w:iCs/>
          <w:sz w:val="20"/>
          <w:szCs w:val="20"/>
        </w:rPr>
      </w:pPr>
      <w:r w:rsidRPr="00FE79D6">
        <w:rPr>
          <w:rFonts w:ascii="Times New Roman" w:eastAsia="Times New Roman" w:hAnsi="Times New Roman" w:cs="Times New Roman"/>
          <w:bCs/>
          <w:iCs/>
          <w:sz w:val="20"/>
          <w:szCs w:val="20"/>
        </w:rPr>
        <w:t>Note:</w:t>
      </w:r>
      <w:r w:rsidRPr="00FE79D6">
        <w:rPr>
          <w:rFonts w:ascii="Times New Roman" w:eastAsia="Times New Roman" w:hAnsi="Times New Roman" w:cs="Times New Roman"/>
          <w:bCs/>
          <w:iCs/>
          <w:sz w:val="20"/>
          <w:szCs w:val="20"/>
        </w:rPr>
        <w:tab/>
        <w:t xml:space="preserve">The </w:t>
      </w:r>
      <w:r w:rsidRPr="00FE79D6">
        <w:rPr>
          <w:rFonts w:ascii="Times New Roman" w:eastAsia="Times New Roman" w:hAnsi="Times New Roman" w:cs="Times New Roman"/>
          <w:bCs/>
          <w:i/>
          <w:sz w:val="20"/>
          <w:szCs w:val="20"/>
        </w:rPr>
        <w:t>Radiocommunications (Transmitter Licence Tax) Determination 2025</w:t>
      </w:r>
      <w:r w:rsidRPr="00FE79D6">
        <w:rPr>
          <w:rFonts w:ascii="Times New Roman" w:eastAsia="Times New Roman" w:hAnsi="Times New Roman" w:cs="Times New Roman"/>
          <w:bCs/>
          <w:iCs/>
          <w:sz w:val="20"/>
          <w:szCs w:val="20"/>
        </w:rPr>
        <w:t xml:space="preserve"> is a legislative instrument and is available, free of charge, from the Federal Register of Legislation at </w:t>
      </w:r>
      <w:r w:rsidRPr="00FE79D6">
        <w:rPr>
          <w:rFonts w:ascii="Times New Roman" w:eastAsia="Times New Roman" w:hAnsi="Times New Roman" w:cs="Times New Roman"/>
          <w:sz w:val="20"/>
          <w:szCs w:val="20"/>
        </w:rPr>
        <w:t>www.legislation.gov.au</w:t>
      </w:r>
      <w:r w:rsidRPr="00FE79D6">
        <w:rPr>
          <w:rFonts w:ascii="Times New Roman" w:eastAsia="Times New Roman" w:hAnsi="Times New Roman" w:cs="Times New Roman"/>
          <w:bCs/>
          <w:iCs/>
          <w:sz w:val="20"/>
          <w:szCs w:val="20"/>
        </w:rPr>
        <w:t xml:space="preserve">. </w:t>
      </w:r>
    </w:p>
    <w:p w14:paraId="024EF459" w14:textId="77777777" w:rsidR="001707AD" w:rsidRPr="001707AD" w:rsidRDefault="001707AD" w:rsidP="00FE79D6">
      <w:pPr>
        <w:spacing w:before="80" w:after="0" w:line="260" w:lineRule="exact"/>
        <w:ind w:left="964"/>
        <w:rPr>
          <w:rFonts w:ascii="Times New Roman" w:eastAsia="Times New Roman" w:hAnsi="Times New Roman" w:cs="Times New Roman"/>
          <w:sz w:val="24"/>
          <w:szCs w:val="24"/>
        </w:rPr>
      </w:pPr>
      <w:r w:rsidRPr="001707AD">
        <w:rPr>
          <w:rFonts w:ascii="Times New Roman" w:eastAsia="Times New Roman" w:hAnsi="Times New Roman" w:cs="Times New Roman"/>
          <w:b/>
          <w:bCs/>
          <w:i/>
          <w:iCs/>
          <w:sz w:val="24"/>
          <w:szCs w:val="24"/>
        </w:rPr>
        <w:t>exempt broadcasting service</w:t>
      </w:r>
      <w:r w:rsidRPr="001707AD">
        <w:rPr>
          <w:rFonts w:ascii="Times New Roman" w:eastAsia="Times New Roman" w:hAnsi="Times New Roman" w:cs="Times New Roman"/>
          <w:sz w:val="24"/>
          <w:szCs w:val="24"/>
        </w:rPr>
        <w:t xml:space="preserve"> has the meaning given by subsection 18A (3) of the </w:t>
      </w:r>
      <w:r w:rsidRPr="001707AD">
        <w:rPr>
          <w:rFonts w:ascii="Times New Roman" w:eastAsia="Times New Roman" w:hAnsi="Times New Roman" w:cs="Times New Roman"/>
          <w:i/>
          <w:iCs/>
          <w:sz w:val="24"/>
          <w:szCs w:val="24"/>
        </w:rPr>
        <w:t>Broadcasting Services Act 1992</w:t>
      </w:r>
      <w:r w:rsidRPr="001707AD">
        <w:rPr>
          <w:rFonts w:ascii="Times New Roman" w:eastAsia="Times New Roman" w:hAnsi="Times New Roman" w:cs="Times New Roman"/>
          <w:sz w:val="24"/>
          <w:szCs w:val="24"/>
        </w:rPr>
        <w:t>.</w:t>
      </w:r>
    </w:p>
    <w:p w14:paraId="2A00A7BE" w14:textId="29D8AE96" w:rsidR="001707AD" w:rsidRPr="001707AD" w:rsidRDefault="001707AD" w:rsidP="00FE79D6">
      <w:pPr>
        <w:spacing w:before="80" w:after="0" w:line="260" w:lineRule="exact"/>
        <w:ind w:left="964"/>
        <w:rPr>
          <w:rFonts w:ascii="Times New Roman" w:eastAsia="Times New Roman" w:hAnsi="Times New Roman" w:cs="Times New Roman"/>
          <w:sz w:val="24"/>
          <w:szCs w:val="24"/>
        </w:rPr>
      </w:pPr>
      <w:r w:rsidRPr="001707AD">
        <w:rPr>
          <w:rFonts w:ascii="Times New Roman" w:eastAsia="Times New Roman" w:hAnsi="Times New Roman" w:cs="Times New Roman"/>
          <w:b/>
          <w:bCs/>
          <w:i/>
          <w:iCs/>
          <w:sz w:val="24"/>
          <w:szCs w:val="24"/>
        </w:rPr>
        <w:t xml:space="preserve">exempt person </w:t>
      </w:r>
      <w:r w:rsidRPr="001707AD">
        <w:rPr>
          <w:rFonts w:ascii="Times New Roman" w:eastAsia="Times New Roman" w:hAnsi="Times New Roman" w:cs="Times New Roman"/>
          <w:sz w:val="24"/>
          <w:szCs w:val="24"/>
        </w:rPr>
        <w:t>means a person who is exempt</w:t>
      </w:r>
      <w:r w:rsidRPr="005620D1">
        <w:rPr>
          <w:rFonts w:ascii="Times New Roman" w:eastAsia="Times New Roman" w:hAnsi="Times New Roman" w:cs="Times New Roman"/>
          <w:sz w:val="24"/>
          <w:szCs w:val="24"/>
        </w:rPr>
        <w:t>, under</w:t>
      </w:r>
      <w:r w:rsidR="005620D1" w:rsidRPr="005620D1">
        <w:rPr>
          <w:rFonts w:ascii="Times New Roman" w:eastAsia="Times New Roman" w:hAnsi="Times New Roman" w:cs="Times New Roman"/>
          <w:sz w:val="24"/>
          <w:szCs w:val="24"/>
        </w:rPr>
        <w:t xml:space="preserve"> </w:t>
      </w:r>
      <w:r w:rsidR="005620D1" w:rsidRPr="00FE79D6">
        <w:rPr>
          <w:rFonts w:ascii="Times New Roman" w:hAnsi="Times New Roman" w:cs="Times New Roman"/>
        </w:rPr>
        <w:t xml:space="preserve">regulations made for the purpose of subsection 8(1) of the </w:t>
      </w:r>
      <w:r w:rsidR="005620D1" w:rsidRPr="00FE79D6">
        <w:rPr>
          <w:rFonts w:ascii="Times New Roman" w:hAnsi="Times New Roman" w:cs="Times New Roman"/>
          <w:i/>
          <w:iCs/>
        </w:rPr>
        <w:t>Radiocommunications Taxes Collection Act 1983</w:t>
      </w:r>
      <w:r w:rsidRPr="005620D1">
        <w:rPr>
          <w:rFonts w:ascii="Times New Roman" w:eastAsia="Times New Roman" w:hAnsi="Times New Roman" w:cs="Times New Roman"/>
          <w:sz w:val="24"/>
          <w:szCs w:val="24"/>
        </w:rPr>
        <w:t>, from</w:t>
      </w:r>
      <w:r w:rsidRPr="001707AD">
        <w:rPr>
          <w:rFonts w:ascii="Times New Roman" w:eastAsia="Times New Roman" w:hAnsi="Times New Roman" w:cs="Times New Roman"/>
          <w:sz w:val="24"/>
          <w:szCs w:val="24"/>
        </w:rPr>
        <w:t xml:space="preserve"> the payment of apparatus licence tax.</w:t>
      </w:r>
    </w:p>
    <w:p w14:paraId="762FDA59" w14:textId="77777777" w:rsidR="001707AD" w:rsidRPr="001707AD" w:rsidRDefault="001707AD" w:rsidP="00FE79D6">
      <w:pPr>
        <w:spacing w:before="80" w:after="0" w:line="260" w:lineRule="exact"/>
        <w:ind w:left="964"/>
        <w:rPr>
          <w:rFonts w:ascii="Times New Roman" w:eastAsia="Times New Roman" w:hAnsi="Times New Roman" w:cs="Times New Roman"/>
          <w:sz w:val="24"/>
          <w:szCs w:val="24"/>
        </w:rPr>
      </w:pPr>
      <w:r w:rsidRPr="001707AD">
        <w:rPr>
          <w:rFonts w:ascii="Times New Roman" w:eastAsia="Times New Roman" w:hAnsi="Times New Roman" w:cs="Times New Roman"/>
          <w:b/>
          <w:bCs/>
          <w:i/>
          <w:iCs/>
          <w:sz w:val="24"/>
          <w:szCs w:val="24"/>
        </w:rPr>
        <w:t>SBS</w:t>
      </w:r>
      <w:r w:rsidRPr="001707AD">
        <w:rPr>
          <w:rFonts w:ascii="Times New Roman" w:eastAsia="Times New Roman" w:hAnsi="Times New Roman" w:cs="Times New Roman"/>
          <w:sz w:val="24"/>
          <w:szCs w:val="24"/>
        </w:rPr>
        <w:t xml:space="preserve"> means the Special Broadcasting Service Corporation established under subsection 5 (1) of the </w:t>
      </w:r>
      <w:r w:rsidRPr="001707AD">
        <w:rPr>
          <w:rFonts w:ascii="Times New Roman" w:eastAsia="Times New Roman" w:hAnsi="Times New Roman" w:cs="Times New Roman"/>
          <w:i/>
          <w:iCs/>
          <w:sz w:val="24"/>
          <w:szCs w:val="24"/>
        </w:rPr>
        <w:t>Special Broadcasting Service Act 1991</w:t>
      </w:r>
      <w:r w:rsidRPr="001707AD">
        <w:rPr>
          <w:rFonts w:ascii="Times New Roman" w:eastAsia="Times New Roman" w:hAnsi="Times New Roman" w:cs="Times New Roman"/>
          <w:sz w:val="24"/>
          <w:szCs w:val="24"/>
        </w:rPr>
        <w:t>.</w:t>
      </w:r>
    </w:p>
    <w:p w14:paraId="24D86D43" w14:textId="77777777" w:rsidR="001707AD" w:rsidRPr="001707AD" w:rsidRDefault="001707AD" w:rsidP="00FE79D6">
      <w:pPr>
        <w:spacing w:before="120" w:after="0" w:line="220" w:lineRule="exact"/>
        <w:ind w:left="964"/>
        <w:rPr>
          <w:rFonts w:ascii="Times New Roman" w:eastAsia="Times New Roman" w:hAnsi="Times New Roman" w:cs="Times New Roman"/>
          <w:sz w:val="20"/>
          <w:szCs w:val="24"/>
          <w:lang w:eastAsia="en-AU"/>
        </w:rPr>
      </w:pPr>
      <w:r w:rsidRPr="001707AD">
        <w:rPr>
          <w:rFonts w:ascii="Times New Roman" w:eastAsia="Times New Roman" w:hAnsi="Times New Roman" w:cs="Times New Roman"/>
          <w:i/>
          <w:sz w:val="20"/>
          <w:szCs w:val="24"/>
          <w:lang w:eastAsia="en-AU"/>
        </w:rPr>
        <w:t>Note</w:t>
      </w:r>
      <w:r w:rsidRPr="001707AD">
        <w:rPr>
          <w:rFonts w:ascii="Times New Roman" w:eastAsia="Times New Roman" w:hAnsi="Times New Roman" w:cs="Times New Roman"/>
          <w:sz w:val="20"/>
          <w:szCs w:val="24"/>
          <w:lang w:eastAsia="en-AU"/>
        </w:rPr>
        <w:t> </w:t>
      </w:r>
      <w:proofErr w:type="gramStart"/>
      <w:r w:rsidRPr="001707AD">
        <w:rPr>
          <w:rFonts w:ascii="Times New Roman" w:eastAsia="Times New Roman" w:hAnsi="Times New Roman" w:cs="Times New Roman"/>
          <w:i/>
          <w:sz w:val="20"/>
          <w:szCs w:val="24"/>
          <w:lang w:eastAsia="en-AU"/>
        </w:rPr>
        <w:t>1</w:t>
      </w:r>
      <w:r w:rsidRPr="001707AD">
        <w:rPr>
          <w:rFonts w:ascii="Times New Roman" w:eastAsia="Times New Roman" w:hAnsi="Times New Roman" w:cs="Times New Roman"/>
          <w:sz w:val="20"/>
          <w:szCs w:val="24"/>
          <w:lang w:eastAsia="en-AU"/>
        </w:rPr>
        <w:t>  In</w:t>
      </w:r>
      <w:proofErr w:type="gramEnd"/>
      <w:r w:rsidRPr="001707AD">
        <w:rPr>
          <w:rFonts w:ascii="Times New Roman" w:eastAsia="Times New Roman" w:hAnsi="Times New Roman" w:cs="Times New Roman"/>
          <w:sz w:val="20"/>
          <w:szCs w:val="24"/>
          <w:lang w:eastAsia="en-AU"/>
        </w:rPr>
        <w:t xml:space="preserve"> accordance with paragraph 13(1)(b) of the </w:t>
      </w:r>
      <w:r w:rsidRPr="001707AD">
        <w:rPr>
          <w:rFonts w:ascii="Times New Roman" w:eastAsia="Times New Roman" w:hAnsi="Times New Roman" w:cs="Times New Roman"/>
          <w:i/>
          <w:sz w:val="20"/>
          <w:szCs w:val="24"/>
          <w:lang w:eastAsia="en-AU"/>
        </w:rPr>
        <w:t xml:space="preserve">Legislative Instruments Act </w:t>
      </w:r>
      <w:r w:rsidRPr="001707AD">
        <w:rPr>
          <w:rFonts w:ascii="Times New Roman" w:eastAsia="Times New Roman" w:hAnsi="Times New Roman" w:cs="Times New Roman"/>
          <w:sz w:val="20"/>
          <w:szCs w:val="24"/>
          <w:lang w:eastAsia="en-AU"/>
        </w:rPr>
        <w:t>2003, other expressions in this Determination have the same meaning as in the Act, including:</w:t>
      </w:r>
    </w:p>
    <w:p w14:paraId="1DE47098"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ACMA</w:t>
      </w:r>
    </w:p>
    <w:p w14:paraId="5FC0351C"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apparatus licence</w:t>
      </w:r>
    </w:p>
    <w:p w14:paraId="6BC24E5B"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apparatus licence tax</w:t>
      </w:r>
    </w:p>
    <w:p w14:paraId="1844FB70"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Australia</w:t>
      </w:r>
    </w:p>
    <w:p w14:paraId="296EAD43"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international broadcasting licence</w:t>
      </w:r>
    </w:p>
    <w:p w14:paraId="15F9B850"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international broadcasting service</w:t>
      </w:r>
    </w:p>
    <w:p w14:paraId="282087CA" w14:textId="77777777" w:rsidR="001707AD" w:rsidRPr="001707AD" w:rsidRDefault="001707AD" w:rsidP="00FE79D6">
      <w:pPr>
        <w:spacing w:before="120" w:after="0" w:line="220" w:lineRule="exact"/>
        <w:ind w:left="964"/>
        <w:rPr>
          <w:rFonts w:ascii="Times New Roman" w:eastAsia="Times New Roman" w:hAnsi="Times New Roman" w:cs="Times New Roman"/>
          <w:sz w:val="20"/>
          <w:szCs w:val="24"/>
          <w:lang w:eastAsia="en-AU"/>
        </w:rPr>
      </w:pPr>
      <w:bookmarkStart w:id="2" w:name="_Toc289783528"/>
      <w:r w:rsidRPr="001707AD">
        <w:rPr>
          <w:rFonts w:ascii="Times New Roman" w:eastAsia="Times New Roman" w:hAnsi="Times New Roman" w:cs="Times New Roman"/>
          <w:i/>
          <w:sz w:val="20"/>
          <w:szCs w:val="24"/>
          <w:lang w:eastAsia="en-AU"/>
        </w:rPr>
        <w:t>Note</w:t>
      </w:r>
      <w:r w:rsidRPr="001707AD">
        <w:rPr>
          <w:rFonts w:ascii="Times New Roman" w:eastAsia="Times New Roman" w:hAnsi="Times New Roman" w:cs="Times New Roman"/>
          <w:sz w:val="20"/>
          <w:szCs w:val="24"/>
          <w:lang w:eastAsia="en-AU"/>
        </w:rPr>
        <w:t> </w:t>
      </w:r>
      <w:proofErr w:type="gramStart"/>
      <w:r w:rsidRPr="001707AD">
        <w:rPr>
          <w:rFonts w:ascii="Times New Roman" w:eastAsia="Times New Roman" w:hAnsi="Times New Roman" w:cs="Times New Roman"/>
          <w:i/>
          <w:sz w:val="20"/>
          <w:szCs w:val="24"/>
          <w:lang w:eastAsia="en-AU"/>
        </w:rPr>
        <w:t>2</w:t>
      </w:r>
      <w:r w:rsidRPr="001707AD">
        <w:rPr>
          <w:rFonts w:ascii="Times New Roman" w:eastAsia="Times New Roman" w:hAnsi="Times New Roman" w:cs="Times New Roman"/>
          <w:sz w:val="20"/>
          <w:szCs w:val="24"/>
          <w:lang w:eastAsia="en-AU"/>
        </w:rPr>
        <w:t>  In</w:t>
      </w:r>
      <w:proofErr w:type="gramEnd"/>
      <w:r w:rsidRPr="001707AD">
        <w:rPr>
          <w:rFonts w:ascii="Times New Roman" w:eastAsia="Times New Roman" w:hAnsi="Times New Roman" w:cs="Times New Roman"/>
          <w:sz w:val="20"/>
          <w:szCs w:val="24"/>
          <w:lang w:eastAsia="en-AU"/>
        </w:rPr>
        <w:t xml:space="preserve"> accordance with section 64 of the </w:t>
      </w:r>
      <w:r w:rsidRPr="001707AD">
        <w:rPr>
          <w:rFonts w:ascii="Times New Roman" w:eastAsia="Times New Roman" w:hAnsi="Times New Roman" w:cs="Times New Roman"/>
          <w:i/>
          <w:sz w:val="20"/>
          <w:szCs w:val="24"/>
          <w:lang w:eastAsia="en-AU"/>
        </w:rPr>
        <w:t>Australian Communications and Media Authority Act 2005</w:t>
      </w:r>
      <w:r w:rsidRPr="001707AD">
        <w:rPr>
          <w:rFonts w:ascii="Times New Roman" w:eastAsia="Times New Roman" w:hAnsi="Times New Roman" w:cs="Times New Roman"/>
          <w:sz w:val="20"/>
          <w:szCs w:val="24"/>
          <w:lang w:eastAsia="en-AU"/>
        </w:rPr>
        <w:t xml:space="preserve">, other expressions in this Determination have the same meaning as in the </w:t>
      </w:r>
      <w:r w:rsidRPr="001707AD">
        <w:rPr>
          <w:rFonts w:ascii="Times New Roman" w:eastAsia="Times New Roman" w:hAnsi="Times New Roman" w:cs="Times New Roman"/>
          <w:i/>
          <w:sz w:val="20"/>
          <w:szCs w:val="24"/>
          <w:lang w:eastAsia="en-AU"/>
        </w:rPr>
        <w:t>Radiocommunications (Interpretation) Determination 2015</w:t>
      </w:r>
      <w:r w:rsidRPr="001707AD">
        <w:rPr>
          <w:rFonts w:ascii="Times New Roman" w:eastAsia="Times New Roman" w:hAnsi="Times New Roman" w:cs="Times New Roman"/>
          <w:sz w:val="20"/>
          <w:szCs w:val="24"/>
          <w:lang w:eastAsia="en-AU"/>
        </w:rPr>
        <w:t>, including:</w:t>
      </w:r>
    </w:p>
    <w:p w14:paraId="0306291A" w14:textId="77777777" w:rsidR="001707AD" w:rsidRPr="001707AD" w:rsidRDefault="001707AD" w:rsidP="00FE79D6">
      <w:pPr>
        <w:spacing w:before="60" w:after="0" w:line="220" w:lineRule="exact"/>
        <w:ind w:left="960"/>
        <w:rPr>
          <w:rFonts w:ascii="Times New Roman" w:eastAsia="Times New Roman" w:hAnsi="Times New Roman" w:cs="Times New Roman"/>
          <w:sz w:val="20"/>
          <w:szCs w:val="24"/>
        </w:rPr>
      </w:pPr>
      <w:r w:rsidRPr="001707AD">
        <w:rPr>
          <w:rFonts w:ascii="Times New Roman" w:eastAsia="Times New Roman" w:hAnsi="Times New Roman" w:cs="Times New Roman"/>
          <w:sz w:val="20"/>
          <w:szCs w:val="24"/>
        </w:rPr>
        <w:sym w:font="Symbol" w:char="F0B7"/>
      </w:r>
      <w:r w:rsidRPr="001707AD">
        <w:rPr>
          <w:rFonts w:ascii="Times New Roman" w:eastAsia="Times New Roman" w:hAnsi="Times New Roman" w:cs="Times New Roman"/>
          <w:sz w:val="20"/>
          <w:szCs w:val="24"/>
        </w:rPr>
        <w:tab/>
        <w:t>Act</w:t>
      </w:r>
    </w:p>
    <w:p w14:paraId="1E638052" w14:textId="77777777" w:rsidR="001707AD" w:rsidRPr="001707AD" w:rsidRDefault="001707AD" w:rsidP="00FE79D6">
      <w:pPr>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(2)</w:t>
      </w:r>
      <w:r w:rsidRPr="001707AD">
        <w:rPr>
          <w:rFonts w:ascii="Times New Roman" w:eastAsia="Times New Roman" w:hAnsi="Times New Roman" w:cs="Times New Roman"/>
          <w:sz w:val="24"/>
          <w:szCs w:val="24"/>
        </w:rPr>
        <w:tab/>
        <w:t>In this Determination, unless the contrary intention appears, a reference to another legislative instrument is a reference to that other legislative instrument as in force from time to time.</w:t>
      </w:r>
    </w:p>
    <w:p w14:paraId="6A3E9445" w14:textId="77777777" w:rsidR="001707AD" w:rsidRPr="001707AD" w:rsidRDefault="001707AD" w:rsidP="00FE79D6">
      <w:pPr>
        <w:spacing w:before="120" w:after="0" w:line="220" w:lineRule="exact"/>
        <w:ind w:left="964"/>
        <w:rPr>
          <w:rFonts w:ascii="Times New Roman" w:eastAsia="Times New Roman" w:hAnsi="Times New Roman" w:cs="Times New Roman"/>
          <w:i/>
          <w:sz w:val="20"/>
          <w:szCs w:val="24"/>
          <w:lang w:eastAsia="en-AU"/>
        </w:rPr>
      </w:pPr>
      <w:r w:rsidRPr="001707AD">
        <w:rPr>
          <w:rFonts w:ascii="Times New Roman" w:eastAsia="Times New Roman" w:hAnsi="Times New Roman" w:cs="Times New Roman"/>
          <w:i/>
          <w:sz w:val="20"/>
          <w:szCs w:val="24"/>
          <w:lang w:eastAsia="en-AU"/>
        </w:rPr>
        <w:t>Note</w:t>
      </w:r>
      <w:r w:rsidRPr="001707AD">
        <w:rPr>
          <w:rFonts w:ascii="Times New Roman" w:eastAsia="Times New Roman" w:hAnsi="Times New Roman" w:cs="Times New Roman"/>
          <w:i/>
          <w:sz w:val="20"/>
          <w:szCs w:val="20"/>
        </w:rPr>
        <w:t> </w:t>
      </w:r>
      <w:proofErr w:type="gramStart"/>
      <w:r w:rsidRPr="001707AD">
        <w:rPr>
          <w:rFonts w:ascii="Times New Roman" w:eastAsia="Times New Roman" w:hAnsi="Times New Roman" w:cs="Times New Roman"/>
          <w:i/>
          <w:sz w:val="20"/>
          <w:szCs w:val="20"/>
        </w:rPr>
        <w:t>1</w:t>
      </w:r>
      <w:r w:rsidRPr="001707AD">
        <w:rPr>
          <w:rFonts w:ascii="Times New Roman" w:eastAsia="Times New Roman" w:hAnsi="Times New Roman" w:cs="Times New Roman"/>
          <w:sz w:val="20"/>
          <w:szCs w:val="20"/>
        </w:rPr>
        <w:t>  For</w:t>
      </w:r>
      <w:proofErr w:type="gramEnd"/>
      <w:r w:rsidRPr="001707AD">
        <w:rPr>
          <w:rFonts w:ascii="Times New Roman" w:eastAsia="Times New Roman" w:hAnsi="Times New Roman" w:cs="Times New Roman"/>
          <w:sz w:val="20"/>
          <w:szCs w:val="20"/>
        </w:rPr>
        <w:t xml:space="preserve"> references to Commonwealth Acts, see section 10 of the </w:t>
      </w:r>
      <w:r w:rsidRPr="001707AD">
        <w:rPr>
          <w:rFonts w:ascii="Times New Roman" w:eastAsia="Times New Roman" w:hAnsi="Times New Roman" w:cs="Times New Roman"/>
          <w:i/>
          <w:sz w:val="20"/>
          <w:szCs w:val="20"/>
        </w:rPr>
        <w:t>Acts Interpretation Act 1901</w:t>
      </w:r>
      <w:r w:rsidRPr="001707AD">
        <w:rPr>
          <w:rFonts w:ascii="Times New Roman" w:eastAsia="Times New Roman" w:hAnsi="Times New Roman" w:cs="Times New Roman"/>
          <w:sz w:val="20"/>
          <w:szCs w:val="20"/>
        </w:rPr>
        <w:t xml:space="preserve">; and see also subsection 13(1) of the </w:t>
      </w:r>
      <w:r w:rsidRPr="001707AD">
        <w:rPr>
          <w:rFonts w:ascii="Times New Roman" w:eastAsia="Times New Roman" w:hAnsi="Times New Roman" w:cs="Times New Roman"/>
          <w:i/>
          <w:sz w:val="20"/>
          <w:szCs w:val="20"/>
        </w:rPr>
        <w:t>Legislative Instruments Act 2003</w:t>
      </w:r>
      <w:r w:rsidRPr="001707AD">
        <w:rPr>
          <w:rFonts w:ascii="Times New Roman" w:eastAsia="Times New Roman" w:hAnsi="Times New Roman" w:cs="Times New Roman"/>
          <w:sz w:val="20"/>
          <w:szCs w:val="20"/>
        </w:rPr>
        <w:t xml:space="preserve"> for the application of the </w:t>
      </w:r>
      <w:r w:rsidRPr="001707AD">
        <w:rPr>
          <w:rFonts w:ascii="Times New Roman" w:eastAsia="Times New Roman" w:hAnsi="Times New Roman" w:cs="Times New Roman"/>
          <w:i/>
          <w:sz w:val="20"/>
          <w:szCs w:val="20"/>
        </w:rPr>
        <w:t xml:space="preserve">Acts Interpretation Act 1901 </w:t>
      </w:r>
      <w:r w:rsidRPr="001707AD">
        <w:rPr>
          <w:rFonts w:ascii="Times New Roman" w:eastAsia="Times New Roman" w:hAnsi="Times New Roman" w:cs="Times New Roman"/>
          <w:sz w:val="20"/>
          <w:szCs w:val="20"/>
        </w:rPr>
        <w:t>to legislative instruments.</w:t>
      </w:r>
    </w:p>
    <w:p w14:paraId="7DCAFAAC" w14:textId="66E5E457" w:rsidR="001707AD" w:rsidRPr="001707AD" w:rsidRDefault="001707AD" w:rsidP="00FE79D6">
      <w:pPr>
        <w:spacing w:before="120" w:after="0" w:line="220" w:lineRule="exact"/>
        <w:ind w:left="964"/>
        <w:rPr>
          <w:rFonts w:ascii="Times New Roman" w:eastAsia="Times New Roman" w:hAnsi="Times New Roman" w:cs="Times New Roman"/>
          <w:sz w:val="20"/>
          <w:szCs w:val="24"/>
          <w:lang w:eastAsia="en-AU"/>
        </w:rPr>
      </w:pPr>
      <w:r w:rsidRPr="001707AD">
        <w:rPr>
          <w:rFonts w:ascii="Times New Roman" w:eastAsia="Times New Roman" w:hAnsi="Times New Roman" w:cs="Times New Roman"/>
          <w:i/>
          <w:sz w:val="20"/>
          <w:szCs w:val="24"/>
          <w:lang w:eastAsia="en-AU"/>
        </w:rPr>
        <w:t>Note </w:t>
      </w:r>
      <w:proofErr w:type="gramStart"/>
      <w:r w:rsidRPr="001707AD">
        <w:rPr>
          <w:rFonts w:ascii="Times New Roman" w:eastAsia="Times New Roman" w:hAnsi="Times New Roman" w:cs="Times New Roman"/>
          <w:i/>
          <w:sz w:val="20"/>
          <w:szCs w:val="24"/>
          <w:lang w:eastAsia="en-AU"/>
        </w:rPr>
        <w:t>2  </w:t>
      </w:r>
      <w:r w:rsidR="00D516E5" w:rsidRPr="00D516E5">
        <w:rPr>
          <w:rFonts w:ascii="Times New Roman" w:eastAsia="Times New Roman" w:hAnsi="Times New Roman" w:cs="Times New Roman"/>
          <w:sz w:val="20"/>
          <w:szCs w:val="24"/>
          <w:lang w:eastAsia="en-AU"/>
        </w:rPr>
        <w:t>All</w:t>
      </w:r>
      <w:proofErr w:type="gramEnd"/>
      <w:r w:rsidR="00D516E5" w:rsidRPr="00D516E5">
        <w:rPr>
          <w:rFonts w:ascii="Times New Roman" w:eastAsia="Times New Roman" w:hAnsi="Times New Roman" w:cs="Times New Roman"/>
          <w:sz w:val="20"/>
          <w:szCs w:val="24"/>
          <w:lang w:eastAsia="en-AU"/>
        </w:rPr>
        <w:t xml:space="preserve"> Commonwealth Acts and legislative instruments are available on the </w:t>
      </w:r>
      <w:proofErr w:type="spellStart"/>
      <w:r w:rsidR="00D516E5" w:rsidRPr="00D516E5">
        <w:rPr>
          <w:rFonts w:ascii="Times New Roman" w:eastAsia="Times New Roman" w:hAnsi="Times New Roman" w:cs="Times New Roman"/>
          <w:sz w:val="20"/>
          <w:szCs w:val="24"/>
          <w:lang w:eastAsia="en-AU"/>
        </w:rPr>
        <w:t>ComLaw</w:t>
      </w:r>
      <w:proofErr w:type="spellEnd"/>
      <w:r w:rsidR="00D516E5" w:rsidRPr="00D516E5">
        <w:rPr>
          <w:rFonts w:ascii="Times New Roman" w:eastAsia="Times New Roman" w:hAnsi="Times New Roman" w:cs="Times New Roman"/>
          <w:sz w:val="20"/>
          <w:szCs w:val="24"/>
          <w:lang w:eastAsia="en-AU"/>
        </w:rPr>
        <w:t xml:space="preserve"> website at http://www.comlaw.gov.au.</w:t>
      </w:r>
    </w:p>
    <w:p w14:paraId="6EFF8FFE" w14:textId="77777777" w:rsidR="001707AD" w:rsidRPr="001707AD" w:rsidRDefault="001707AD" w:rsidP="00357621">
      <w:pPr>
        <w:keepNext/>
        <w:spacing w:before="360" w:after="0" w:line="240" w:lineRule="auto"/>
        <w:ind w:left="964" w:hanging="964"/>
        <w:rPr>
          <w:rFonts w:ascii="Arial" w:eastAsia="Times New Roman" w:hAnsi="Arial" w:cs="Times New Roman"/>
          <w:b/>
          <w:sz w:val="24"/>
          <w:szCs w:val="24"/>
        </w:rPr>
      </w:pPr>
      <w:r w:rsidRPr="001707AD">
        <w:rPr>
          <w:rStyle w:val="CharSectno"/>
          <w:rFonts w:eastAsiaTheme="minorHAnsi"/>
        </w:rPr>
        <w:lastRenderedPageBreak/>
        <w:t>5</w:t>
      </w:r>
      <w:r w:rsidRPr="001707AD">
        <w:rPr>
          <w:rFonts w:ascii="Arial" w:eastAsia="Times New Roman" w:hAnsi="Arial" w:cs="Times New Roman"/>
          <w:b/>
          <w:sz w:val="24"/>
          <w:szCs w:val="24"/>
        </w:rPr>
        <w:tab/>
        <w:t>Circumstances in persons must not be authorised to operate radiocommunications devices (paragraph 115(c) of the Act)</w:t>
      </w:r>
    </w:p>
    <w:bookmarkEnd w:id="2"/>
    <w:p w14:paraId="5D43F8AF" w14:textId="77777777" w:rsidR="001707AD" w:rsidRPr="001707AD" w:rsidRDefault="001707AD" w:rsidP="00FE79D6">
      <w:pPr>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(1)</w:t>
      </w:r>
      <w:r w:rsidRPr="001707AD">
        <w:rPr>
          <w:rFonts w:ascii="Times New Roman" w:eastAsia="Times New Roman" w:hAnsi="Times New Roman" w:cs="Times New Roman"/>
          <w:sz w:val="24"/>
          <w:szCs w:val="24"/>
        </w:rPr>
        <w:tab/>
        <w:t>For paragraph 115 (c) of the Act, a licensee of an apparatus licence must not authorise another person to operate a radiocommunications device under the licence if:</w:t>
      </w:r>
    </w:p>
    <w:p w14:paraId="13A843B1"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licensee is an exempt person; and</w:t>
      </w:r>
    </w:p>
    <w:p w14:paraId="3939A947"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other person is not an exempt person.</w:t>
      </w:r>
    </w:p>
    <w:p w14:paraId="741FE9AC" w14:textId="77777777" w:rsidR="001707AD" w:rsidRPr="001707AD" w:rsidRDefault="001707AD" w:rsidP="00FE79D6">
      <w:pPr>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(2)</w:t>
      </w:r>
      <w:r w:rsidRPr="001707AD">
        <w:rPr>
          <w:rFonts w:ascii="Times New Roman" w:eastAsia="Times New Roman" w:hAnsi="Times New Roman" w:cs="Times New Roman"/>
          <w:sz w:val="24"/>
          <w:szCs w:val="24"/>
        </w:rPr>
        <w:tab/>
        <w:t>For paragraph 115 (c) of the Act, a licensee of an apparatus licence must not authorise another person to operate a radiocommunications device under the licence if:</w:t>
      </w:r>
    </w:p>
    <w:p w14:paraId="0754665F"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licensee is an eligible person; and</w:t>
      </w:r>
    </w:p>
    <w:p w14:paraId="4BE7F9CB"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other person is not:</w:t>
      </w:r>
    </w:p>
    <w:p w14:paraId="1D66ABD4" w14:textId="77777777" w:rsidR="001707AD" w:rsidRPr="001707AD" w:rsidRDefault="001707AD" w:rsidP="00357621">
      <w:pPr>
        <w:tabs>
          <w:tab w:val="right" w:pos="2410"/>
        </w:tabs>
        <w:spacing w:before="40" w:after="0" w:line="240" w:lineRule="auto"/>
        <w:ind w:left="2694" w:hanging="2694"/>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(i)</w:t>
      </w:r>
      <w:r w:rsidRPr="001707AD">
        <w:rPr>
          <w:rFonts w:ascii="Times New Roman" w:eastAsia="Times New Roman" w:hAnsi="Times New Roman" w:cs="Times New Roman"/>
          <w:sz w:val="24"/>
          <w:szCs w:val="24"/>
          <w:lang w:eastAsia="en-AU"/>
        </w:rPr>
        <w:tab/>
        <w:t>an eligible person; or</w:t>
      </w:r>
    </w:p>
    <w:p w14:paraId="06DA97A5" w14:textId="77777777" w:rsidR="001707AD" w:rsidRPr="001707AD" w:rsidRDefault="001707AD" w:rsidP="00357621">
      <w:pPr>
        <w:tabs>
          <w:tab w:val="right" w:pos="2410"/>
        </w:tabs>
        <w:spacing w:before="40" w:after="0" w:line="240" w:lineRule="auto"/>
        <w:ind w:left="2694" w:hanging="2694"/>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(ii)</w:t>
      </w:r>
      <w:r w:rsidRPr="001707AD">
        <w:rPr>
          <w:rFonts w:ascii="Times New Roman" w:eastAsia="Times New Roman" w:hAnsi="Times New Roman" w:cs="Times New Roman"/>
          <w:sz w:val="24"/>
          <w:szCs w:val="24"/>
          <w:lang w:eastAsia="en-AU"/>
        </w:rPr>
        <w:tab/>
        <w:t>an exempt person.</w:t>
      </w:r>
    </w:p>
    <w:p w14:paraId="0AF84E31" w14:textId="77777777" w:rsidR="001707AD" w:rsidRPr="001707AD" w:rsidRDefault="001707AD" w:rsidP="00FE79D6">
      <w:pPr>
        <w:keepNext/>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(3)</w:t>
      </w:r>
      <w:r w:rsidRPr="001707AD">
        <w:rPr>
          <w:rFonts w:ascii="Times New Roman" w:eastAsia="Times New Roman" w:hAnsi="Times New Roman" w:cs="Times New Roman"/>
          <w:sz w:val="24"/>
          <w:szCs w:val="24"/>
        </w:rPr>
        <w:tab/>
        <w:t>For paragraph 115 (c) of the Act, a licensee of an apparatus licence must not authorise another person to operate a radiocommunications device under the licence if:</w:t>
      </w:r>
    </w:p>
    <w:p w14:paraId="72DC5895"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apparatus licence authorises the operation of a radiocommunications device for the provision of an international broadcasting service; and</w:t>
      </w:r>
    </w:p>
    <w:p w14:paraId="0A3F4178"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there is no international broadcasting licence in force that authorises the provision of that service.</w:t>
      </w:r>
    </w:p>
    <w:p w14:paraId="37BF5D74" w14:textId="77777777" w:rsidR="001707AD" w:rsidRPr="001707AD" w:rsidRDefault="001707AD" w:rsidP="00FE79D6">
      <w:pPr>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(4)</w:t>
      </w:r>
      <w:r w:rsidRPr="001707AD">
        <w:rPr>
          <w:rFonts w:ascii="Times New Roman" w:eastAsia="Times New Roman" w:hAnsi="Times New Roman" w:cs="Times New Roman"/>
          <w:sz w:val="24"/>
          <w:szCs w:val="24"/>
        </w:rPr>
        <w:tab/>
        <w:t>For paragraph 115 (c) of the Act, the ABC or the SBS, as licensee of an apparatus licence providing a broadcasting service to locations outside Australia, must not authorise another person to operate a radiocommunications device under the licence if:</w:t>
      </w:r>
    </w:p>
    <w:p w14:paraId="43710235"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person intends to provide an international broadcasting service using the device; or</w:t>
      </w:r>
    </w:p>
    <w:p w14:paraId="616E87A4"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person intends to provide a broadcasting service within Australia using the device.</w:t>
      </w:r>
    </w:p>
    <w:p w14:paraId="685676FE" w14:textId="77777777" w:rsidR="001707AD" w:rsidRPr="001707AD" w:rsidRDefault="001707AD" w:rsidP="00FE79D6">
      <w:pPr>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(5)</w:t>
      </w:r>
      <w:r w:rsidRPr="001707AD">
        <w:rPr>
          <w:rFonts w:ascii="Times New Roman" w:eastAsia="Times New Roman" w:hAnsi="Times New Roman" w:cs="Times New Roman"/>
          <w:sz w:val="24"/>
          <w:szCs w:val="24"/>
        </w:rPr>
        <w:tab/>
        <w:t>For paragraph 115 (c) of the Act, a licensee of an apparatus licence must not authorise another person to operate a radiocommunications device under the licence if:</w:t>
      </w:r>
    </w:p>
    <w:p w14:paraId="581FD500"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licence authorises the licensee to operate a radiocommunications device that is used in the provision of an exempt broadcasting service; and</w:t>
      </w:r>
    </w:p>
    <w:p w14:paraId="583B3BF6"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person intends to use the device for a purpose other than the provision of an exempt broadcasting service.</w:t>
      </w:r>
    </w:p>
    <w:p w14:paraId="737839D6" w14:textId="77777777" w:rsidR="001707AD" w:rsidRPr="001707AD" w:rsidRDefault="001707AD" w:rsidP="00357621">
      <w:pPr>
        <w:keepNext/>
        <w:spacing w:before="360" w:after="0" w:line="240" w:lineRule="auto"/>
        <w:ind w:left="964" w:hanging="964"/>
        <w:rPr>
          <w:rFonts w:ascii="Arial" w:eastAsia="Times New Roman" w:hAnsi="Arial" w:cs="Times New Roman"/>
          <w:b/>
          <w:sz w:val="24"/>
          <w:szCs w:val="24"/>
        </w:rPr>
      </w:pPr>
      <w:r w:rsidRPr="001707AD">
        <w:rPr>
          <w:rStyle w:val="CharSectno"/>
          <w:rFonts w:eastAsiaTheme="minorHAnsi"/>
        </w:rPr>
        <w:t>6</w:t>
      </w:r>
      <w:r w:rsidRPr="001707AD">
        <w:rPr>
          <w:rFonts w:ascii="Arial" w:eastAsia="Times New Roman" w:hAnsi="Arial" w:cs="Times New Roman"/>
          <w:b/>
          <w:sz w:val="24"/>
          <w:szCs w:val="24"/>
        </w:rPr>
        <w:tab/>
        <w:t>Circumstances in which apparatus licences are not transferable (paragraph 131AC(b) of the Act)</w:t>
      </w:r>
    </w:p>
    <w:p w14:paraId="664FAF0A" w14:textId="77777777" w:rsidR="001707AD" w:rsidRPr="001707AD" w:rsidRDefault="001707AD" w:rsidP="00FE79D6">
      <w:pPr>
        <w:keepLines/>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(1)</w:t>
      </w:r>
      <w:r w:rsidRPr="001707AD">
        <w:rPr>
          <w:rFonts w:ascii="Times New Roman" w:eastAsia="Times New Roman" w:hAnsi="Times New Roman" w:cs="Times New Roman"/>
          <w:sz w:val="24"/>
          <w:szCs w:val="24"/>
        </w:rPr>
        <w:tab/>
        <w:t>For paragraph 131AC (b) of the Act, an apparatus licence is not transferable under Division 8 of Part 3.3 of the Act if:</w:t>
      </w:r>
    </w:p>
    <w:p w14:paraId="19FB0CD8"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licensee is an exempt person; and</w:t>
      </w:r>
    </w:p>
    <w:p w14:paraId="4F2877C2"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lastRenderedPageBreak/>
        <w:tab/>
        <w:t>(b)</w:t>
      </w:r>
      <w:r w:rsidRPr="001707AD">
        <w:rPr>
          <w:rFonts w:ascii="Times New Roman" w:eastAsia="Times New Roman" w:hAnsi="Times New Roman" w:cs="Times New Roman"/>
          <w:sz w:val="24"/>
          <w:szCs w:val="24"/>
          <w:lang w:eastAsia="en-AU"/>
        </w:rPr>
        <w:tab/>
        <w:t>the proposed transferee is not an exempt person.</w:t>
      </w:r>
    </w:p>
    <w:p w14:paraId="5E873DA5" w14:textId="77777777" w:rsidR="001707AD" w:rsidRPr="001707AD" w:rsidRDefault="001707AD" w:rsidP="00FE79D6">
      <w:pPr>
        <w:keepLines/>
        <w:tabs>
          <w:tab w:val="right" w:pos="794"/>
        </w:tabs>
        <w:spacing w:before="12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(2)</w:t>
      </w:r>
      <w:r w:rsidRPr="001707AD">
        <w:rPr>
          <w:rFonts w:ascii="Times New Roman" w:eastAsia="Times New Roman" w:hAnsi="Times New Roman" w:cs="Times New Roman"/>
          <w:sz w:val="24"/>
          <w:szCs w:val="24"/>
        </w:rPr>
        <w:tab/>
        <w:t>For paragraph 131AC (b) of the Act, an apparatus licence is not transferable under Division 8 of Part 3.3 of the Act if:</w:t>
      </w:r>
    </w:p>
    <w:p w14:paraId="0554B990"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licensee is an eligible person; and</w:t>
      </w:r>
    </w:p>
    <w:p w14:paraId="1E5F7BE4"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proposed transferee is not:</w:t>
      </w:r>
    </w:p>
    <w:p w14:paraId="5020A49B" w14:textId="77777777" w:rsidR="001707AD" w:rsidRPr="001707AD" w:rsidRDefault="001707AD" w:rsidP="00357621">
      <w:pPr>
        <w:tabs>
          <w:tab w:val="right" w:pos="2410"/>
        </w:tabs>
        <w:spacing w:before="40" w:after="0" w:line="240" w:lineRule="auto"/>
        <w:ind w:left="2694" w:hanging="2694"/>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(i)</w:t>
      </w:r>
      <w:r w:rsidRPr="001707AD">
        <w:rPr>
          <w:rFonts w:ascii="Times New Roman" w:eastAsia="Times New Roman" w:hAnsi="Times New Roman" w:cs="Times New Roman"/>
          <w:sz w:val="24"/>
          <w:szCs w:val="24"/>
          <w:lang w:eastAsia="en-AU"/>
        </w:rPr>
        <w:tab/>
        <w:t>an eligible person; or</w:t>
      </w:r>
    </w:p>
    <w:p w14:paraId="0F57B2CA" w14:textId="77777777" w:rsidR="001707AD" w:rsidRPr="001707AD" w:rsidRDefault="001707AD" w:rsidP="00357621">
      <w:pPr>
        <w:tabs>
          <w:tab w:val="right" w:pos="2410"/>
        </w:tabs>
        <w:spacing w:before="40" w:after="0" w:line="240" w:lineRule="auto"/>
        <w:ind w:left="2694" w:hanging="2694"/>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(ii)</w:t>
      </w:r>
      <w:r w:rsidRPr="001707AD">
        <w:rPr>
          <w:rFonts w:ascii="Times New Roman" w:eastAsia="Times New Roman" w:hAnsi="Times New Roman" w:cs="Times New Roman"/>
          <w:sz w:val="24"/>
          <w:szCs w:val="24"/>
          <w:lang w:eastAsia="en-AU"/>
        </w:rPr>
        <w:tab/>
        <w:t>an exempt person.</w:t>
      </w:r>
    </w:p>
    <w:p w14:paraId="3272B91D" w14:textId="77777777" w:rsidR="001707AD" w:rsidRPr="001707AD" w:rsidRDefault="001707AD" w:rsidP="00FE79D6">
      <w:pPr>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(3)</w:t>
      </w:r>
      <w:r w:rsidRPr="001707AD">
        <w:rPr>
          <w:rFonts w:ascii="Times New Roman" w:eastAsia="Times New Roman" w:hAnsi="Times New Roman" w:cs="Times New Roman"/>
          <w:sz w:val="24"/>
          <w:szCs w:val="24"/>
        </w:rPr>
        <w:tab/>
        <w:t>For paragraph 131AC (b) of the Act, an apparatus licence is not transferable under Division 8 of Part 3.3 of the Act if:</w:t>
      </w:r>
    </w:p>
    <w:p w14:paraId="76345D2E"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licence authorises the operation of a radiocommunications device for the provision of an international broadcasting service; and</w:t>
      </w:r>
    </w:p>
    <w:p w14:paraId="51E7B122"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there is no international broadcasting licence in force that authorises the provision of that service.</w:t>
      </w:r>
    </w:p>
    <w:p w14:paraId="40835645" w14:textId="77777777" w:rsidR="001707AD" w:rsidRPr="001707AD" w:rsidRDefault="001707AD" w:rsidP="00FE79D6">
      <w:pPr>
        <w:keepNext/>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(4)</w:t>
      </w:r>
      <w:r w:rsidRPr="001707AD">
        <w:rPr>
          <w:rFonts w:ascii="Times New Roman" w:eastAsia="Times New Roman" w:hAnsi="Times New Roman" w:cs="Times New Roman"/>
          <w:sz w:val="24"/>
          <w:szCs w:val="24"/>
        </w:rPr>
        <w:tab/>
        <w:t>For paragraph 131AC (b) of the Act, an apparatus licence that authorises the ABC or the SBS to operate a radiocommunications device to provide a broadcasting service to locations outside Australia is not transferable under Division 8 of Part 3.3 of the Act if:</w:t>
      </w:r>
    </w:p>
    <w:p w14:paraId="099164A5"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proposed transferee intends to operate a radiocommunications device under the licence to provide an international broadcasting service; or</w:t>
      </w:r>
    </w:p>
    <w:p w14:paraId="29CEBDAC"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proposed transferee intends to operate a radiocommunications device under the licence to provide a broadcasting service within Australia.</w:t>
      </w:r>
    </w:p>
    <w:p w14:paraId="7B4F3E02" w14:textId="77777777" w:rsidR="001707AD" w:rsidRPr="001707AD" w:rsidRDefault="001707AD" w:rsidP="00FE79D6">
      <w:pPr>
        <w:keepLines/>
        <w:tabs>
          <w:tab w:val="right" w:pos="794"/>
        </w:tabs>
        <w:spacing w:before="180" w:after="0" w:line="260" w:lineRule="exact"/>
        <w:ind w:left="964" w:hanging="964"/>
        <w:rPr>
          <w:rFonts w:ascii="Times New Roman" w:eastAsia="Times New Roman" w:hAnsi="Times New Roman" w:cs="Times New Roman"/>
          <w:sz w:val="24"/>
          <w:szCs w:val="24"/>
        </w:rPr>
      </w:pPr>
      <w:r w:rsidRPr="001707AD">
        <w:rPr>
          <w:rFonts w:ascii="Times New Roman" w:eastAsia="Times New Roman" w:hAnsi="Times New Roman" w:cs="Times New Roman"/>
          <w:sz w:val="24"/>
          <w:szCs w:val="24"/>
        </w:rPr>
        <w:tab/>
        <w:t>(5)</w:t>
      </w:r>
      <w:r w:rsidRPr="001707AD">
        <w:rPr>
          <w:rFonts w:ascii="Times New Roman" w:eastAsia="Times New Roman" w:hAnsi="Times New Roman" w:cs="Times New Roman"/>
          <w:sz w:val="24"/>
          <w:szCs w:val="24"/>
        </w:rPr>
        <w:tab/>
        <w:t>For paragraph 131AC (b) of the Act, an apparatus licence is not transferable under Division 8 of Part 3.3 of the Act if:</w:t>
      </w:r>
    </w:p>
    <w:p w14:paraId="2A0ABA5B" w14:textId="77777777"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sz w:val="24"/>
          <w:szCs w:val="24"/>
          <w:lang w:eastAsia="en-AU"/>
        </w:rPr>
      </w:pPr>
      <w:r w:rsidRPr="001707AD">
        <w:rPr>
          <w:rFonts w:ascii="Times New Roman" w:eastAsia="Times New Roman" w:hAnsi="Times New Roman" w:cs="Times New Roman"/>
          <w:sz w:val="24"/>
          <w:szCs w:val="24"/>
          <w:lang w:eastAsia="en-AU"/>
        </w:rPr>
        <w:tab/>
        <w:t>(a)</w:t>
      </w:r>
      <w:r w:rsidRPr="001707AD">
        <w:rPr>
          <w:rFonts w:ascii="Times New Roman" w:eastAsia="Times New Roman" w:hAnsi="Times New Roman" w:cs="Times New Roman"/>
          <w:sz w:val="24"/>
          <w:szCs w:val="24"/>
          <w:lang w:eastAsia="en-AU"/>
        </w:rPr>
        <w:tab/>
        <w:t>the licence authorises the licensee to operate a radiocommunications device that is used in an exempt broadcasting service; and</w:t>
      </w:r>
    </w:p>
    <w:p w14:paraId="53D6F1C8" w14:textId="2EACEE04" w:rsidR="001707AD" w:rsidRPr="001707AD" w:rsidRDefault="001707AD" w:rsidP="00357621">
      <w:pPr>
        <w:tabs>
          <w:tab w:val="right" w:pos="1701"/>
        </w:tabs>
        <w:spacing w:before="40" w:after="0" w:line="240" w:lineRule="auto"/>
        <w:ind w:left="2160" w:hanging="2160"/>
        <w:rPr>
          <w:rFonts w:ascii="Times New Roman" w:eastAsia="Times New Roman" w:hAnsi="Times New Roman" w:cs="Times New Roman"/>
          <w:lang w:eastAsia="en-AU"/>
        </w:rPr>
      </w:pPr>
      <w:r w:rsidRPr="001707AD">
        <w:rPr>
          <w:rFonts w:ascii="Times New Roman" w:eastAsia="Times New Roman" w:hAnsi="Times New Roman" w:cs="Times New Roman"/>
          <w:sz w:val="24"/>
          <w:szCs w:val="24"/>
          <w:lang w:eastAsia="en-AU"/>
        </w:rPr>
        <w:tab/>
        <w:t>(b)</w:t>
      </w:r>
      <w:r w:rsidRPr="001707AD">
        <w:rPr>
          <w:rFonts w:ascii="Times New Roman" w:eastAsia="Times New Roman" w:hAnsi="Times New Roman" w:cs="Times New Roman"/>
          <w:sz w:val="24"/>
          <w:szCs w:val="24"/>
          <w:lang w:eastAsia="en-AU"/>
        </w:rPr>
        <w:tab/>
        <w:t>the proposed transferee intends to use the device for a purpose other than the provision of an exempt broadcasting service.</w:t>
      </w:r>
    </w:p>
    <w:p w14:paraId="7673EDD7" w14:textId="77777777" w:rsidR="00241289" w:rsidRDefault="00241289" w:rsidP="00357621">
      <w:pPr>
        <w:pStyle w:val="Schedulepara"/>
        <w:tabs>
          <w:tab w:val="clear" w:pos="567"/>
          <w:tab w:val="right" w:pos="709"/>
        </w:tabs>
        <w:spacing w:line="240" w:lineRule="auto"/>
        <w:ind w:left="426" w:hanging="426"/>
        <w:jc w:val="left"/>
      </w:pPr>
    </w:p>
    <w:p w14:paraId="752AEAA2" w14:textId="77777777" w:rsidR="00097890" w:rsidRPr="00AB74ED" w:rsidRDefault="00097890" w:rsidP="00357621">
      <w:pPr>
        <w:rPr>
          <w:lang w:eastAsia="en-AU"/>
        </w:rPr>
        <w:sectPr w:rsidR="00097890" w:rsidRPr="00AB74ED" w:rsidSect="0074750F">
          <w:headerReference w:type="default" r:id="rId15"/>
          <w:pgSz w:w="11906" w:h="16838"/>
          <w:pgMar w:top="1440" w:right="1440" w:bottom="1440" w:left="1440" w:header="708" w:footer="708" w:gutter="0"/>
          <w:cols w:space="708"/>
          <w:docGrid w:linePitch="360"/>
        </w:sectPr>
      </w:pPr>
    </w:p>
    <w:p w14:paraId="36CDDBC7" w14:textId="2B5D410D" w:rsidR="00097890" w:rsidRDefault="00553BCD" w:rsidP="00357621">
      <w:pPr>
        <w:pStyle w:val="ActHead5"/>
        <w:spacing w:before="0" w:after="120"/>
        <w:ind w:left="0" w:firstLine="0"/>
        <w:rPr>
          <w:rStyle w:val="CharSectno"/>
          <w:sz w:val="32"/>
          <w:szCs w:val="32"/>
        </w:rPr>
      </w:pPr>
      <w:r w:rsidRPr="00D95A71">
        <w:rPr>
          <w:rStyle w:val="CharSectno"/>
          <w:sz w:val="32"/>
          <w:szCs w:val="32"/>
        </w:rPr>
        <w:lastRenderedPageBreak/>
        <w:t xml:space="preserve">Endnotes </w:t>
      </w:r>
    </w:p>
    <w:p w14:paraId="747232FB" w14:textId="77777777" w:rsidR="00C96702" w:rsidRPr="00C96702" w:rsidRDefault="00C96702" w:rsidP="00357621">
      <w:pPr>
        <w:spacing w:after="120" w:line="240" w:lineRule="auto"/>
        <w:outlineLvl w:val="2"/>
        <w:rPr>
          <w:rFonts w:ascii="Times New Roman" w:eastAsia="Times New Roman" w:hAnsi="Times New Roman" w:cs="Times New Roman"/>
          <w:b/>
          <w:sz w:val="24"/>
          <w:szCs w:val="28"/>
          <w:lang w:eastAsia="en-AU"/>
        </w:rPr>
      </w:pPr>
      <w:r w:rsidRPr="00C96702">
        <w:rPr>
          <w:rFonts w:ascii="Times New Roman" w:eastAsia="Times New Roman" w:hAnsi="Times New Roman" w:cs="Times New Roman"/>
          <w:b/>
          <w:sz w:val="24"/>
          <w:szCs w:val="28"/>
          <w:lang w:eastAsia="en-AU"/>
        </w:rPr>
        <w:t>Endnote 1—About the endnotes</w:t>
      </w:r>
    </w:p>
    <w:p w14:paraId="5C1AC2BD"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endnotes provide information about this compilation and the compiled law.</w:t>
      </w:r>
    </w:p>
    <w:p w14:paraId="09ADBABC"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following endnotes are included in every compilation:</w:t>
      </w:r>
    </w:p>
    <w:p w14:paraId="68E16B40"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1—About the endnotes</w:t>
      </w:r>
    </w:p>
    <w:p w14:paraId="2ADC75DB"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2—Abbreviation key</w:t>
      </w:r>
    </w:p>
    <w:p w14:paraId="66A212D8"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3—Legislation history</w:t>
      </w:r>
    </w:p>
    <w:p w14:paraId="72B9E2D3"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4—Amendment history</w:t>
      </w:r>
    </w:p>
    <w:p w14:paraId="603FAA3E"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Abbreviation key—Endnote 2</w:t>
      </w:r>
    </w:p>
    <w:p w14:paraId="0572F474"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abbreviation key sets out abbreviations that may be used in the endnotes.</w:t>
      </w:r>
    </w:p>
    <w:p w14:paraId="2618B725" w14:textId="77777777" w:rsidR="00C96702" w:rsidRPr="00C96702" w:rsidRDefault="00C96702" w:rsidP="00357621">
      <w:pPr>
        <w:spacing w:after="120" w:line="260" w:lineRule="atLeast"/>
        <w:rPr>
          <w:rFonts w:ascii="Times New Roman" w:eastAsia="Calibri" w:hAnsi="Times New Roman" w:cs="Times New Roman"/>
          <w:b/>
          <w:szCs w:val="20"/>
        </w:rPr>
      </w:pPr>
      <w:r w:rsidRPr="00C96702">
        <w:rPr>
          <w:rFonts w:ascii="Times New Roman" w:eastAsia="Calibri" w:hAnsi="Times New Roman" w:cs="Times New Roman"/>
          <w:b/>
          <w:szCs w:val="20"/>
        </w:rPr>
        <w:t>Legislation history and amendment history—Endnotes 3 and 4</w:t>
      </w:r>
    </w:p>
    <w:p w14:paraId="1D36D857"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Amending laws are annotated in the legislation history and amendment history.</w:t>
      </w:r>
    </w:p>
    <w:p w14:paraId="5C164989"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E0FF4FE"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536A784" w14:textId="77777777" w:rsidR="00C96702" w:rsidRPr="00C96702" w:rsidRDefault="00C96702" w:rsidP="00357621">
      <w:pPr>
        <w:keepNext/>
        <w:spacing w:after="12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Misdescribed amendments</w:t>
      </w:r>
    </w:p>
    <w:p w14:paraId="3CC5345E"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6702">
        <w:rPr>
          <w:rFonts w:ascii="Times New Roman" w:eastAsia="Calibri" w:hAnsi="Times New Roman" w:cs="Times New Roman"/>
          <w:i/>
          <w:szCs w:val="20"/>
        </w:rPr>
        <w:t>Legislation Act 2003</w:t>
      </w:r>
      <w:r w:rsidRPr="00C96702">
        <w:rPr>
          <w:rFonts w:ascii="Times New Roman" w:eastAsia="Calibri" w:hAnsi="Times New Roman" w:cs="Times New Roman"/>
          <w:szCs w:val="20"/>
        </w:rPr>
        <w:t>.</w:t>
      </w:r>
    </w:p>
    <w:p w14:paraId="7476C393" w14:textId="77777777" w:rsidR="00C96702" w:rsidRPr="00C96702" w:rsidRDefault="00C96702" w:rsidP="00357621">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If a misdescribed amendment cannot be given effect as intended, the amendment is not incorporated and “(md not incorp)” is added to the amendment history.</w:t>
      </w:r>
    </w:p>
    <w:p w14:paraId="637271BB" w14:textId="77777777" w:rsidR="001C52FC" w:rsidRDefault="001C52FC" w:rsidP="00357621">
      <w:pPr>
        <w:spacing w:before="120" w:after="120" w:line="260" w:lineRule="atLeast"/>
        <w:rPr>
          <w:rFonts w:ascii="Times New Roman" w:eastAsia="Times New Roman" w:hAnsi="Times New Roman" w:cs="Times New Roman"/>
          <w:b/>
          <w:sz w:val="24"/>
          <w:szCs w:val="28"/>
          <w:lang w:eastAsia="en-AU"/>
        </w:rPr>
      </w:pPr>
      <w:r>
        <w:rPr>
          <w:rFonts w:ascii="Times New Roman" w:eastAsia="Times New Roman" w:hAnsi="Times New Roman" w:cs="Times New Roman"/>
          <w:b/>
          <w:sz w:val="24"/>
          <w:szCs w:val="28"/>
          <w:lang w:eastAsia="en-AU"/>
        </w:rPr>
        <w:br w:type="page"/>
      </w:r>
    </w:p>
    <w:p w14:paraId="0E35E8C7" w14:textId="69BBC49C" w:rsidR="00D917BD" w:rsidRPr="00D917BD" w:rsidRDefault="00D917BD" w:rsidP="00357621">
      <w:pPr>
        <w:spacing w:before="120" w:after="120" w:line="260" w:lineRule="atLeast"/>
        <w:rPr>
          <w:rFonts w:ascii="Times New Roman" w:eastAsia="Times New Roman" w:hAnsi="Times New Roman" w:cs="Times New Roman"/>
          <w:b/>
          <w:sz w:val="24"/>
          <w:szCs w:val="28"/>
          <w:lang w:eastAsia="en-AU"/>
        </w:rPr>
      </w:pPr>
      <w:r w:rsidRPr="00D917BD">
        <w:rPr>
          <w:rFonts w:ascii="Times New Roman" w:eastAsia="Times New Roman" w:hAnsi="Times New Roman" w:cs="Times New Roman"/>
          <w:b/>
          <w:sz w:val="24"/>
          <w:szCs w:val="28"/>
          <w:lang w:eastAsia="en-AU"/>
        </w:rPr>
        <w:lastRenderedPageBreak/>
        <w:t>Endnote 2—Abbreviation key</w:t>
      </w:r>
    </w:p>
    <w:tbl>
      <w:tblPr>
        <w:tblW w:w="5000" w:type="pct"/>
        <w:tblLook w:val="0000" w:firstRow="0" w:lastRow="0" w:firstColumn="0" w:lastColumn="0" w:noHBand="0" w:noVBand="0"/>
      </w:tblPr>
      <w:tblGrid>
        <w:gridCol w:w="4836"/>
        <w:gridCol w:w="4190"/>
      </w:tblGrid>
      <w:tr w:rsidR="00D917BD" w:rsidRPr="00D917BD" w14:paraId="4A480E91" w14:textId="77777777" w:rsidTr="005C452B">
        <w:tc>
          <w:tcPr>
            <w:tcW w:w="2679" w:type="pct"/>
            <w:shd w:val="clear" w:color="auto" w:fill="auto"/>
          </w:tcPr>
          <w:p w14:paraId="581237ED"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ad = added or inserted</w:t>
            </w:r>
          </w:p>
        </w:tc>
        <w:tc>
          <w:tcPr>
            <w:tcW w:w="2321" w:type="pct"/>
            <w:shd w:val="clear" w:color="auto" w:fill="auto"/>
          </w:tcPr>
          <w:p w14:paraId="4DF850FE"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orig</w:t>
            </w:r>
            <w:proofErr w:type="spellEnd"/>
            <w:r w:rsidRPr="00D917BD">
              <w:rPr>
                <w:rFonts w:ascii="Times New Roman" w:eastAsia="Calibri" w:hAnsi="Times New Roman" w:cs="Times New Roman"/>
                <w:sz w:val="20"/>
                <w:szCs w:val="20"/>
              </w:rPr>
              <w:t xml:space="preserve"> = original</w:t>
            </w:r>
          </w:p>
        </w:tc>
      </w:tr>
      <w:tr w:rsidR="00D917BD" w:rsidRPr="00D917BD" w14:paraId="0B444D86" w14:textId="77777777" w:rsidTr="005C452B">
        <w:tc>
          <w:tcPr>
            <w:tcW w:w="2679" w:type="pct"/>
            <w:shd w:val="clear" w:color="auto" w:fill="auto"/>
          </w:tcPr>
          <w:p w14:paraId="4963B8E7"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 = amended</w:t>
            </w:r>
          </w:p>
        </w:tc>
        <w:tc>
          <w:tcPr>
            <w:tcW w:w="2321" w:type="pct"/>
            <w:shd w:val="clear" w:color="auto" w:fill="auto"/>
          </w:tcPr>
          <w:p w14:paraId="11B942CC"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par = paragraph(s)/subparagraph(s)</w:t>
            </w:r>
          </w:p>
        </w:tc>
      </w:tr>
      <w:tr w:rsidR="00D917BD" w:rsidRPr="00D917BD" w14:paraId="3643EF3F" w14:textId="77777777" w:rsidTr="005C452B">
        <w:tc>
          <w:tcPr>
            <w:tcW w:w="2679" w:type="pct"/>
            <w:shd w:val="clear" w:color="auto" w:fill="auto"/>
          </w:tcPr>
          <w:p w14:paraId="565ED71C"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amdt</w:t>
            </w:r>
            <w:proofErr w:type="spellEnd"/>
            <w:r w:rsidRPr="00D917BD">
              <w:rPr>
                <w:rFonts w:ascii="Times New Roman" w:eastAsia="Calibri" w:hAnsi="Times New Roman" w:cs="Times New Roman"/>
                <w:sz w:val="20"/>
                <w:szCs w:val="20"/>
              </w:rPr>
              <w:t xml:space="preserve"> = amendment</w:t>
            </w:r>
          </w:p>
        </w:tc>
        <w:tc>
          <w:tcPr>
            <w:tcW w:w="2321" w:type="pct"/>
            <w:shd w:val="clear" w:color="auto" w:fill="auto"/>
          </w:tcPr>
          <w:p w14:paraId="0F6F2750" w14:textId="77777777" w:rsidR="00D917BD" w:rsidRPr="00D917BD" w:rsidRDefault="00D917BD" w:rsidP="00357621">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w:t>
            </w:r>
            <w:proofErr w:type="gramStart"/>
            <w:r w:rsidRPr="00D917BD">
              <w:rPr>
                <w:rFonts w:ascii="Times New Roman" w:eastAsia="Calibri" w:hAnsi="Times New Roman" w:cs="Times New Roman"/>
                <w:sz w:val="20"/>
                <w:szCs w:val="20"/>
              </w:rPr>
              <w:t>sub</w:t>
            </w:r>
            <w:proofErr w:type="gramEnd"/>
            <w:r w:rsidRPr="00D917BD">
              <w:rPr>
                <w:rFonts w:ascii="Times New Roman" w:eastAsia="Calibri" w:hAnsi="Times New Roman" w:cs="Times New Roman"/>
                <w:sz w:val="20"/>
                <w:szCs w:val="20"/>
              </w:rPr>
              <w:noBreakHyphen/>
              <w:t>subparagraph(s)</w:t>
            </w:r>
          </w:p>
        </w:tc>
      </w:tr>
      <w:tr w:rsidR="00D917BD" w:rsidRPr="00D917BD" w14:paraId="3728BAA0" w14:textId="77777777" w:rsidTr="005C452B">
        <w:tc>
          <w:tcPr>
            <w:tcW w:w="2679" w:type="pct"/>
            <w:shd w:val="clear" w:color="auto" w:fill="auto"/>
          </w:tcPr>
          <w:p w14:paraId="673E0CCA"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 = clause(s)</w:t>
            </w:r>
          </w:p>
        </w:tc>
        <w:tc>
          <w:tcPr>
            <w:tcW w:w="2321" w:type="pct"/>
            <w:shd w:val="clear" w:color="auto" w:fill="auto"/>
          </w:tcPr>
          <w:p w14:paraId="527D9778"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pres</w:t>
            </w:r>
            <w:proofErr w:type="spellEnd"/>
            <w:r w:rsidRPr="00D917BD">
              <w:rPr>
                <w:rFonts w:ascii="Times New Roman" w:eastAsia="Calibri" w:hAnsi="Times New Roman" w:cs="Times New Roman"/>
                <w:sz w:val="20"/>
                <w:szCs w:val="20"/>
              </w:rPr>
              <w:t xml:space="preserve"> = present</w:t>
            </w:r>
          </w:p>
        </w:tc>
      </w:tr>
      <w:tr w:rsidR="00D917BD" w:rsidRPr="00D917BD" w14:paraId="13D70159" w14:textId="77777777" w:rsidTr="005C452B">
        <w:tc>
          <w:tcPr>
            <w:tcW w:w="2679" w:type="pct"/>
            <w:shd w:val="clear" w:color="auto" w:fill="auto"/>
          </w:tcPr>
          <w:p w14:paraId="308C5269"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C[x] = Compilation No. x</w:t>
            </w:r>
          </w:p>
        </w:tc>
        <w:tc>
          <w:tcPr>
            <w:tcW w:w="2321" w:type="pct"/>
            <w:shd w:val="clear" w:color="auto" w:fill="auto"/>
          </w:tcPr>
          <w:p w14:paraId="12424829"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prev</w:t>
            </w:r>
            <w:proofErr w:type="spellEnd"/>
            <w:r w:rsidRPr="00D917BD">
              <w:rPr>
                <w:rFonts w:ascii="Times New Roman" w:eastAsia="Calibri" w:hAnsi="Times New Roman" w:cs="Times New Roman"/>
                <w:sz w:val="20"/>
                <w:szCs w:val="20"/>
              </w:rPr>
              <w:t xml:space="preserve"> = previous</w:t>
            </w:r>
          </w:p>
        </w:tc>
      </w:tr>
      <w:tr w:rsidR="00D917BD" w:rsidRPr="00D917BD" w14:paraId="1ED78818" w14:textId="77777777" w:rsidTr="005C452B">
        <w:tc>
          <w:tcPr>
            <w:tcW w:w="2679" w:type="pct"/>
            <w:shd w:val="clear" w:color="auto" w:fill="auto"/>
          </w:tcPr>
          <w:p w14:paraId="3A5B6C81"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Ch = Chapter(s)</w:t>
            </w:r>
          </w:p>
        </w:tc>
        <w:tc>
          <w:tcPr>
            <w:tcW w:w="2321" w:type="pct"/>
            <w:shd w:val="clear" w:color="auto" w:fill="auto"/>
          </w:tcPr>
          <w:p w14:paraId="605E5B0A"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w:t>
            </w:r>
            <w:proofErr w:type="spellStart"/>
            <w:r w:rsidRPr="00D917BD">
              <w:rPr>
                <w:rFonts w:ascii="Times New Roman" w:eastAsia="Calibri" w:hAnsi="Times New Roman" w:cs="Times New Roman"/>
                <w:sz w:val="20"/>
                <w:szCs w:val="20"/>
              </w:rPr>
              <w:t>prev</w:t>
            </w:r>
            <w:proofErr w:type="spellEnd"/>
            <w:r w:rsidRPr="00D917BD">
              <w:rPr>
                <w:rFonts w:ascii="Times New Roman" w:eastAsia="Calibri" w:hAnsi="Times New Roman" w:cs="Times New Roman"/>
                <w:sz w:val="20"/>
                <w:szCs w:val="20"/>
              </w:rPr>
              <w:t>…) = previously</w:t>
            </w:r>
          </w:p>
        </w:tc>
      </w:tr>
      <w:tr w:rsidR="00D917BD" w:rsidRPr="00D917BD" w14:paraId="71880387" w14:textId="77777777" w:rsidTr="005C452B">
        <w:tc>
          <w:tcPr>
            <w:tcW w:w="2679" w:type="pct"/>
            <w:shd w:val="clear" w:color="auto" w:fill="auto"/>
          </w:tcPr>
          <w:p w14:paraId="4D8CC50E"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def = definition(s)</w:t>
            </w:r>
          </w:p>
        </w:tc>
        <w:tc>
          <w:tcPr>
            <w:tcW w:w="2321" w:type="pct"/>
            <w:shd w:val="clear" w:color="auto" w:fill="auto"/>
          </w:tcPr>
          <w:p w14:paraId="2C7076BD"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Pt = Part(s)</w:t>
            </w:r>
          </w:p>
        </w:tc>
      </w:tr>
      <w:tr w:rsidR="00D917BD" w:rsidRPr="00D917BD" w14:paraId="4AD32D1D" w14:textId="77777777" w:rsidTr="005C452B">
        <w:tc>
          <w:tcPr>
            <w:tcW w:w="2679" w:type="pct"/>
            <w:shd w:val="clear" w:color="auto" w:fill="auto"/>
          </w:tcPr>
          <w:p w14:paraId="09FC4E34"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Dict</w:t>
            </w:r>
            <w:proofErr w:type="spellEnd"/>
            <w:r w:rsidRPr="00D917BD">
              <w:rPr>
                <w:rFonts w:ascii="Times New Roman" w:eastAsia="Calibri" w:hAnsi="Times New Roman" w:cs="Times New Roman"/>
                <w:sz w:val="20"/>
                <w:szCs w:val="20"/>
              </w:rPr>
              <w:t xml:space="preserve"> = Dictionary</w:t>
            </w:r>
          </w:p>
        </w:tc>
        <w:tc>
          <w:tcPr>
            <w:tcW w:w="2321" w:type="pct"/>
            <w:shd w:val="clear" w:color="auto" w:fill="auto"/>
          </w:tcPr>
          <w:p w14:paraId="2F50D39E"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 = regulation(s)/rule(s)</w:t>
            </w:r>
          </w:p>
        </w:tc>
      </w:tr>
      <w:tr w:rsidR="00D917BD" w:rsidRPr="00D917BD" w14:paraId="0F3B17C1" w14:textId="77777777" w:rsidTr="005C452B">
        <w:tc>
          <w:tcPr>
            <w:tcW w:w="2679" w:type="pct"/>
            <w:shd w:val="clear" w:color="auto" w:fill="auto"/>
          </w:tcPr>
          <w:p w14:paraId="22768DC6"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disallowed = disallowed by Parliament</w:t>
            </w:r>
          </w:p>
        </w:tc>
        <w:tc>
          <w:tcPr>
            <w:tcW w:w="2321" w:type="pct"/>
            <w:shd w:val="clear" w:color="auto" w:fill="auto"/>
          </w:tcPr>
          <w:p w14:paraId="3929AF69"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reloc</w:t>
            </w:r>
            <w:proofErr w:type="spellEnd"/>
            <w:r w:rsidRPr="00D917BD">
              <w:rPr>
                <w:rFonts w:ascii="Times New Roman" w:eastAsia="Calibri" w:hAnsi="Times New Roman" w:cs="Times New Roman"/>
                <w:sz w:val="20"/>
                <w:szCs w:val="20"/>
              </w:rPr>
              <w:t xml:space="preserve"> = relocated</w:t>
            </w:r>
          </w:p>
        </w:tc>
      </w:tr>
      <w:tr w:rsidR="00D917BD" w:rsidRPr="00D917BD" w14:paraId="7B7DD9E2" w14:textId="77777777" w:rsidTr="005C452B">
        <w:tc>
          <w:tcPr>
            <w:tcW w:w="2679" w:type="pct"/>
            <w:shd w:val="clear" w:color="auto" w:fill="auto"/>
          </w:tcPr>
          <w:p w14:paraId="690AFAF6"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Div = Division(s)</w:t>
            </w:r>
          </w:p>
        </w:tc>
        <w:tc>
          <w:tcPr>
            <w:tcW w:w="2321" w:type="pct"/>
            <w:shd w:val="clear" w:color="auto" w:fill="auto"/>
          </w:tcPr>
          <w:p w14:paraId="654AA3E1"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renum</w:t>
            </w:r>
            <w:proofErr w:type="spellEnd"/>
            <w:r w:rsidRPr="00D917BD">
              <w:rPr>
                <w:rFonts w:ascii="Times New Roman" w:eastAsia="Calibri" w:hAnsi="Times New Roman" w:cs="Times New Roman"/>
                <w:sz w:val="20"/>
                <w:szCs w:val="20"/>
              </w:rPr>
              <w:t xml:space="preserve"> = renumbered</w:t>
            </w:r>
          </w:p>
        </w:tc>
      </w:tr>
      <w:tr w:rsidR="00D917BD" w:rsidRPr="00D917BD" w14:paraId="40310533" w14:textId="77777777" w:rsidTr="005C452B">
        <w:tc>
          <w:tcPr>
            <w:tcW w:w="2679" w:type="pct"/>
            <w:shd w:val="clear" w:color="auto" w:fill="auto"/>
          </w:tcPr>
          <w:p w14:paraId="261CA991"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exp = expires/expired or ceases/ceased to have</w:t>
            </w:r>
          </w:p>
        </w:tc>
        <w:tc>
          <w:tcPr>
            <w:tcW w:w="2321" w:type="pct"/>
            <w:shd w:val="clear" w:color="auto" w:fill="auto"/>
          </w:tcPr>
          <w:p w14:paraId="34A1D9E5"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rep = repealed</w:t>
            </w:r>
          </w:p>
        </w:tc>
      </w:tr>
      <w:tr w:rsidR="00D917BD" w:rsidRPr="00D917BD" w14:paraId="295219C0" w14:textId="77777777" w:rsidTr="005C452B">
        <w:tc>
          <w:tcPr>
            <w:tcW w:w="2679" w:type="pct"/>
            <w:shd w:val="clear" w:color="auto" w:fill="auto"/>
          </w:tcPr>
          <w:p w14:paraId="33A15BA8" w14:textId="77777777" w:rsidR="00D917BD" w:rsidRPr="00D917BD" w:rsidRDefault="00D917BD" w:rsidP="00357621">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effect</w:t>
            </w:r>
          </w:p>
        </w:tc>
        <w:tc>
          <w:tcPr>
            <w:tcW w:w="2321" w:type="pct"/>
            <w:shd w:val="clear" w:color="auto" w:fill="auto"/>
          </w:tcPr>
          <w:p w14:paraId="5046059C"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rs</w:t>
            </w:r>
            <w:proofErr w:type="spellEnd"/>
            <w:r w:rsidRPr="00D917BD">
              <w:rPr>
                <w:rFonts w:ascii="Times New Roman" w:eastAsia="Calibri" w:hAnsi="Times New Roman" w:cs="Times New Roman"/>
                <w:sz w:val="20"/>
                <w:szCs w:val="20"/>
              </w:rPr>
              <w:t xml:space="preserve"> = repealed and substituted</w:t>
            </w:r>
          </w:p>
        </w:tc>
      </w:tr>
      <w:tr w:rsidR="00D917BD" w:rsidRPr="00D917BD" w14:paraId="516253AF" w14:textId="77777777" w:rsidTr="005C452B">
        <w:tc>
          <w:tcPr>
            <w:tcW w:w="2679" w:type="pct"/>
            <w:shd w:val="clear" w:color="auto" w:fill="auto"/>
          </w:tcPr>
          <w:p w14:paraId="4DB299B0"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F = Federal Register of Legislation</w:t>
            </w:r>
          </w:p>
        </w:tc>
        <w:tc>
          <w:tcPr>
            <w:tcW w:w="2321" w:type="pct"/>
            <w:shd w:val="clear" w:color="auto" w:fill="auto"/>
          </w:tcPr>
          <w:p w14:paraId="57BEE4F4"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 = section(s)/subsection(s)</w:t>
            </w:r>
          </w:p>
        </w:tc>
      </w:tr>
      <w:tr w:rsidR="00D917BD" w:rsidRPr="00D917BD" w14:paraId="16A63563" w14:textId="77777777" w:rsidTr="005C452B">
        <w:tc>
          <w:tcPr>
            <w:tcW w:w="2679" w:type="pct"/>
            <w:shd w:val="clear" w:color="auto" w:fill="auto"/>
          </w:tcPr>
          <w:p w14:paraId="443141C2"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gaz</w:t>
            </w:r>
            <w:proofErr w:type="spellEnd"/>
            <w:r w:rsidRPr="00D917BD">
              <w:rPr>
                <w:rFonts w:ascii="Times New Roman" w:eastAsia="Calibri" w:hAnsi="Times New Roman" w:cs="Times New Roman"/>
                <w:sz w:val="20"/>
                <w:szCs w:val="20"/>
              </w:rPr>
              <w:t xml:space="preserve"> = gazette</w:t>
            </w:r>
          </w:p>
        </w:tc>
        <w:tc>
          <w:tcPr>
            <w:tcW w:w="2321" w:type="pct"/>
            <w:shd w:val="clear" w:color="auto" w:fill="auto"/>
          </w:tcPr>
          <w:p w14:paraId="30B47982"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Sch = Schedule(s)</w:t>
            </w:r>
          </w:p>
        </w:tc>
      </w:tr>
      <w:tr w:rsidR="00D917BD" w:rsidRPr="00D917BD" w14:paraId="7B067DF7" w14:textId="77777777" w:rsidTr="005C452B">
        <w:tc>
          <w:tcPr>
            <w:tcW w:w="2679" w:type="pct"/>
            <w:shd w:val="clear" w:color="auto" w:fill="auto"/>
          </w:tcPr>
          <w:p w14:paraId="015AE38C"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LA = </w:t>
            </w:r>
            <w:r w:rsidRPr="00D917BD">
              <w:rPr>
                <w:rFonts w:ascii="Times New Roman" w:eastAsia="Calibri" w:hAnsi="Times New Roman" w:cs="Times New Roman"/>
                <w:i/>
                <w:sz w:val="20"/>
                <w:szCs w:val="20"/>
              </w:rPr>
              <w:t>Legislation Act 2003</w:t>
            </w:r>
          </w:p>
        </w:tc>
        <w:tc>
          <w:tcPr>
            <w:tcW w:w="2321" w:type="pct"/>
            <w:shd w:val="clear" w:color="auto" w:fill="auto"/>
          </w:tcPr>
          <w:p w14:paraId="16D81767"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Sdiv</w:t>
            </w:r>
            <w:proofErr w:type="spellEnd"/>
            <w:r w:rsidRPr="00D917BD">
              <w:rPr>
                <w:rFonts w:ascii="Times New Roman" w:eastAsia="Calibri" w:hAnsi="Times New Roman" w:cs="Times New Roman"/>
                <w:sz w:val="20"/>
                <w:szCs w:val="20"/>
              </w:rPr>
              <w:t xml:space="preserve"> = Subdivision(s)</w:t>
            </w:r>
          </w:p>
        </w:tc>
      </w:tr>
      <w:tr w:rsidR="00D917BD" w:rsidRPr="00D917BD" w14:paraId="71F0B74C" w14:textId="77777777" w:rsidTr="005C452B">
        <w:tc>
          <w:tcPr>
            <w:tcW w:w="2679" w:type="pct"/>
            <w:shd w:val="clear" w:color="auto" w:fill="auto"/>
          </w:tcPr>
          <w:p w14:paraId="431B773C"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LIA = </w:t>
            </w:r>
            <w:r w:rsidRPr="00D917BD">
              <w:rPr>
                <w:rFonts w:ascii="Times New Roman" w:eastAsia="Calibri" w:hAnsi="Times New Roman" w:cs="Times New Roman"/>
                <w:i/>
                <w:sz w:val="20"/>
                <w:szCs w:val="20"/>
              </w:rPr>
              <w:t>Legislative Instruments Act 2003</w:t>
            </w:r>
          </w:p>
        </w:tc>
        <w:tc>
          <w:tcPr>
            <w:tcW w:w="2321" w:type="pct"/>
            <w:shd w:val="clear" w:color="auto" w:fill="auto"/>
          </w:tcPr>
          <w:p w14:paraId="0FBA1CD4"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SLI = Select Legislative Instrument</w:t>
            </w:r>
          </w:p>
        </w:tc>
      </w:tr>
      <w:tr w:rsidR="00D917BD" w:rsidRPr="00D917BD" w14:paraId="481264D3" w14:textId="77777777" w:rsidTr="005C452B">
        <w:tc>
          <w:tcPr>
            <w:tcW w:w="2679" w:type="pct"/>
            <w:shd w:val="clear" w:color="auto" w:fill="auto"/>
          </w:tcPr>
          <w:p w14:paraId="3AB4C6FC"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(md not incorp) = misdescribed amendment</w:t>
            </w:r>
          </w:p>
        </w:tc>
        <w:tc>
          <w:tcPr>
            <w:tcW w:w="2321" w:type="pct"/>
            <w:shd w:val="clear" w:color="auto" w:fill="auto"/>
          </w:tcPr>
          <w:p w14:paraId="44428C6F"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SR = Statutory Rules</w:t>
            </w:r>
          </w:p>
        </w:tc>
      </w:tr>
      <w:tr w:rsidR="00D917BD" w:rsidRPr="00D917BD" w14:paraId="6368B6B0" w14:textId="77777777" w:rsidTr="005C452B">
        <w:tc>
          <w:tcPr>
            <w:tcW w:w="2679" w:type="pct"/>
            <w:shd w:val="clear" w:color="auto" w:fill="auto"/>
          </w:tcPr>
          <w:p w14:paraId="04B2DF14" w14:textId="77777777" w:rsidR="00D917BD" w:rsidRPr="00D917BD" w:rsidRDefault="00D917BD" w:rsidP="00357621">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cannot be given effect</w:t>
            </w:r>
          </w:p>
        </w:tc>
        <w:tc>
          <w:tcPr>
            <w:tcW w:w="2321" w:type="pct"/>
            <w:shd w:val="clear" w:color="auto" w:fill="auto"/>
          </w:tcPr>
          <w:p w14:paraId="5D24AF5F"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Ch = Sub</w:t>
            </w:r>
            <w:r w:rsidRPr="00D917BD">
              <w:rPr>
                <w:rFonts w:ascii="Times New Roman" w:eastAsia="Calibri" w:hAnsi="Times New Roman" w:cs="Times New Roman"/>
                <w:sz w:val="20"/>
                <w:szCs w:val="20"/>
              </w:rPr>
              <w:noBreakHyphen/>
              <w:t>Chapter(s)</w:t>
            </w:r>
          </w:p>
        </w:tc>
      </w:tr>
      <w:tr w:rsidR="00D917BD" w:rsidRPr="00D917BD" w14:paraId="23C49E74" w14:textId="77777777" w:rsidTr="005C452B">
        <w:tc>
          <w:tcPr>
            <w:tcW w:w="2679" w:type="pct"/>
            <w:shd w:val="clear" w:color="auto" w:fill="auto"/>
          </w:tcPr>
          <w:p w14:paraId="43355C59"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mod = modified/modification</w:t>
            </w:r>
          </w:p>
        </w:tc>
        <w:tc>
          <w:tcPr>
            <w:tcW w:w="2321" w:type="pct"/>
            <w:shd w:val="clear" w:color="auto" w:fill="auto"/>
          </w:tcPr>
          <w:p w14:paraId="71249713" w14:textId="77777777" w:rsidR="00D917BD" w:rsidRPr="00D917BD" w:rsidRDefault="00D917BD" w:rsidP="00357621">
            <w:pPr>
              <w:spacing w:after="0" w:line="260" w:lineRule="atLeast"/>
              <w:ind w:left="34"/>
              <w:rPr>
                <w:rFonts w:ascii="Times New Roman" w:eastAsia="Calibri" w:hAnsi="Times New Roman" w:cs="Times New Roman"/>
                <w:sz w:val="20"/>
                <w:szCs w:val="20"/>
              </w:rPr>
            </w:pPr>
            <w:proofErr w:type="spellStart"/>
            <w:r w:rsidRPr="00D917BD">
              <w:rPr>
                <w:rFonts w:ascii="Times New Roman" w:eastAsia="Calibri" w:hAnsi="Times New Roman" w:cs="Times New Roman"/>
                <w:sz w:val="20"/>
                <w:szCs w:val="20"/>
              </w:rPr>
              <w:t>SubPt</w:t>
            </w:r>
            <w:proofErr w:type="spellEnd"/>
            <w:r w:rsidRPr="00D917BD">
              <w:rPr>
                <w:rFonts w:ascii="Times New Roman" w:eastAsia="Calibri" w:hAnsi="Times New Roman" w:cs="Times New Roman"/>
                <w:sz w:val="20"/>
                <w:szCs w:val="20"/>
              </w:rPr>
              <w:t xml:space="preserve"> = Subpart(s)</w:t>
            </w:r>
          </w:p>
        </w:tc>
      </w:tr>
      <w:tr w:rsidR="00D917BD" w:rsidRPr="00D917BD" w14:paraId="0F612150" w14:textId="77777777" w:rsidTr="005C452B">
        <w:tc>
          <w:tcPr>
            <w:tcW w:w="2679" w:type="pct"/>
            <w:shd w:val="clear" w:color="auto" w:fill="auto"/>
          </w:tcPr>
          <w:p w14:paraId="48FF8701"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No. = Number(s)</w:t>
            </w:r>
          </w:p>
        </w:tc>
        <w:tc>
          <w:tcPr>
            <w:tcW w:w="2321" w:type="pct"/>
            <w:shd w:val="clear" w:color="auto" w:fill="auto"/>
          </w:tcPr>
          <w:p w14:paraId="0DEB1A6B"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u w:val="single"/>
              </w:rPr>
              <w:t>underlining</w:t>
            </w:r>
            <w:r w:rsidRPr="00D917BD">
              <w:rPr>
                <w:rFonts w:ascii="Times New Roman" w:eastAsia="Calibri" w:hAnsi="Times New Roman" w:cs="Times New Roman"/>
                <w:sz w:val="20"/>
                <w:szCs w:val="20"/>
              </w:rPr>
              <w:t xml:space="preserve"> = whole or part not</w:t>
            </w:r>
          </w:p>
        </w:tc>
      </w:tr>
      <w:tr w:rsidR="00D917BD" w:rsidRPr="00D917BD" w14:paraId="30C5280F" w14:textId="77777777" w:rsidTr="005C452B">
        <w:tc>
          <w:tcPr>
            <w:tcW w:w="2679" w:type="pct"/>
            <w:shd w:val="clear" w:color="auto" w:fill="auto"/>
          </w:tcPr>
          <w:p w14:paraId="1C47B482"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 = order(s)</w:t>
            </w:r>
          </w:p>
        </w:tc>
        <w:tc>
          <w:tcPr>
            <w:tcW w:w="2321" w:type="pct"/>
            <w:shd w:val="clear" w:color="auto" w:fill="auto"/>
          </w:tcPr>
          <w:p w14:paraId="05E4ACC8" w14:textId="77777777" w:rsidR="00D917BD" w:rsidRPr="00D917BD" w:rsidRDefault="00D917BD" w:rsidP="00357621">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commenced or to be commenced</w:t>
            </w:r>
          </w:p>
        </w:tc>
      </w:tr>
      <w:tr w:rsidR="00D917BD" w:rsidRPr="00D917BD" w14:paraId="7A1B440F" w14:textId="77777777" w:rsidTr="005C452B">
        <w:tc>
          <w:tcPr>
            <w:tcW w:w="2679" w:type="pct"/>
            <w:shd w:val="clear" w:color="auto" w:fill="auto"/>
          </w:tcPr>
          <w:p w14:paraId="169E9228" w14:textId="77777777" w:rsidR="00D917BD" w:rsidRPr="00D917BD" w:rsidRDefault="00D917BD" w:rsidP="00357621">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Ord = Ordinance</w:t>
            </w:r>
          </w:p>
        </w:tc>
        <w:tc>
          <w:tcPr>
            <w:tcW w:w="2321" w:type="pct"/>
            <w:shd w:val="clear" w:color="auto" w:fill="auto"/>
          </w:tcPr>
          <w:p w14:paraId="5C59BFAD" w14:textId="77777777" w:rsidR="00D917BD" w:rsidRPr="00D917BD" w:rsidRDefault="00D917BD" w:rsidP="00357621">
            <w:pPr>
              <w:spacing w:after="0" w:line="260" w:lineRule="atLeast"/>
              <w:ind w:left="34"/>
              <w:rPr>
                <w:rFonts w:ascii="Times New Roman" w:eastAsia="Calibri" w:hAnsi="Times New Roman" w:cs="Times New Roman"/>
                <w:sz w:val="20"/>
                <w:szCs w:val="20"/>
              </w:rPr>
            </w:pPr>
          </w:p>
        </w:tc>
      </w:tr>
    </w:tbl>
    <w:p w14:paraId="3AA39E75" w14:textId="77777777" w:rsidR="008F4636" w:rsidRPr="00E0410D" w:rsidRDefault="008F4636" w:rsidP="00357621">
      <w:pPr>
        <w:pageBreakBefore/>
        <w:spacing w:before="280" w:after="120" w:line="240" w:lineRule="atLeast"/>
        <w:rPr>
          <w:rFonts w:ascii="Times New Roman" w:hAnsi="Times New Roman" w:cs="Times New Roman"/>
          <w:b/>
          <w:sz w:val="24"/>
          <w:szCs w:val="28"/>
        </w:rPr>
      </w:pPr>
      <w:r w:rsidRPr="00E0410D">
        <w:rPr>
          <w:rFonts w:ascii="Times New Roman" w:hAnsi="Times New Roman" w:cs="Times New Roman"/>
          <w:b/>
          <w:sz w:val="24"/>
          <w:szCs w:val="28"/>
        </w:rPr>
        <w:lastRenderedPageBreak/>
        <w:t>Endnote 3—Legislation history</w:t>
      </w:r>
    </w:p>
    <w:p w14:paraId="3202C246" w14:textId="77777777" w:rsidR="008F4636" w:rsidRPr="00FC70A7" w:rsidRDefault="008F4636" w:rsidP="00357621">
      <w:pPr>
        <w:pStyle w:val="ENotesText"/>
        <w:spacing w:before="60" w:line="240" w:lineRule="atLeas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195"/>
        <w:gridCol w:w="1944"/>
        <w:gridCol w:w="1946"/>
        <w:gridCol w:w="1941"/>
      </w:tblGrid>
      <w:tr w:rsidR="008F4636" w:rsidRPr="00FC70A7" w14:paraId="5087C2EC" w14:textId="77777777" w:rsidTr="00F24948">
        <w:trPr>
          <w:cantSplit/>
          <w:tblHeader/>
        </w:trPr>
        <w:tc>
          <w:tcPr>
            <w:tcW w:w="1770" w:type="pct"/>
            <w:tcBorders>
              <w:top w:val="single" w:sz="12" w:space="0" w:color="auto"/>
              <w:bottom w:val="single" w:sz="12" w:space="0" w:color="auto"/>
            </w:tcBorders>
            <w:shd w:val="clear" w:color="auto" w:fill="auto"/>
          </w:tcPr>
          <w:p w14:paraId="2EE3D41E" w14:textId="4C5BE82B" w:rsidR="008F4636" w:rsidRPr="00FC70A7" w:rsidRDefault="008C0552" w:rsidP="00357621">
            <w:pPr>
              <w:pStyle w:val="ENoteTableHeading"/>
              <w:rPr>
                <w:rFonts w:cs="Arial"/>
              </w:rPr>
            </w:pPr>
            <w:r>
              <w:rPr>
                <w:rFonts w:cs="Arial"/>
              </w:rPr>
              <w:t>Name</w:t>
            </w:r>
          </w:p>
        </w:tc>
        <w:tc>
          <w:tcPr>
            <w:tcW w:w="1077" w:type="pct"/>
            <w:tcBorders>
              <w:top w:val="single" w:sz="12" w:space="0" w:color="auto"/>
              <w:bottom w:val="single" w:sz="12" w:space="0" w:color="auto"/>
            </w:tcBorders>
            <w:shd w:val="clear" w:color="auto" w:fill="auto"/>
          </w:tcPr>
          <w:p w14:paraId="754D50D2" w14:textId="77777777" w:rsidR="008F4636" w:rsidRPr="00FC70A7" w:rsidRDefault="008F4636" w:rsidP="00357621">
            <w:pPr>
              <w:pStyle w:val="ENoteTableHeading"/>
              <w:rPr>
                <w:rFonts w:cs="Arial"/>
              </w:rPr>
            </w:pPr>
            <w:r w:rsidRPr="00FC70A7">
              <w:rPr>
                <w:rFonts w:cs="Arial"/>
              </w:rPr>
              <w:t>Registration</w:t>
            </w:r>
          </w:p>
        </w:tc>
        <w:tc>
          <w:tcPr>
            <w:tcW w:w="1078" w:type="pct"/>
            <w:tcBorders>
              <w:top w:val="single" w:sz="12" w:space="0" w:color="auto"/>
              <w:bottom w:val="single" w:sz="12" w:space="0" w:color="auto"/>
            </w:tcBorders>
            <w:shd w:val="clear" w:color="auto" w:fill="auto"/>
          </w:tcPr>
          <w:p w14:paraId="322284E5" w14:textId="77777777" w:rsidR="008F4636" w:rsidRPr="00FC70A7" w:rsidRDefault="008F4636" w:rsidP="00357621">
            <w:pPr>
              <w:pStyle w:val="ENoteTableHeading"/>
              <w:rPr>
                <w:rFonts w:cs="Arial"/>
              </w:rPr>
            </w:pPr>
            <w:r w:rsidRPr="00FC70A7">
              <w:rPr>
                <w:rFonts w:cs="Arial"/>
              </w:rPr>
              <w:t>Commencement</w:t>
            </w:r>
          </w:p>
        </w:tc>
        <w:tc>
          <w:tcPr>
            <w:tcW w:w="1075" w:type="pct"/>
            <w:tcBorders>
              <w:top w:val="single" w:sz="12" w:space="0" w:color="auto"/>
              <w:bottom w:val="single" w:sz="12" w:space="0" w:color="auto"/>
            </w:tcBorders>
            <w:shd w:val="clear" w:color="auto" w:fill="auto"/>
          </w:tcPr>
          <w:p w14:paraId="715121BA" w14:textId="77777777" w:rsidR="008F4636" w:rsidRPr="00FC70A7" w:rsidRDefault="008F4636" w:rsidP="00357621">
            <w:pPr>
              <w:pStyle w:val="ENoteTableHeading"/>
              <w:rPr>
                <w:rFonts w:cs="Arial"/>
              </w:rPr>
            </w:pPr>
            <w:r w:rsidRPr="00FC70A7">
              <w:rPr>
                <w:rFonts w:cs="Arial"/>
              </w:rPr>
              <w:t>Application, saving and transitional provisions</w:t>
            </w:r>
          </w:p>
        </w:tc>
      </w:tr>
      <w:tr w:rsidR="008F4636" w:rsidRPr="00FC70A7" w14:paraId="579D048A" w14:textId="77777777" w:rsidTr="00F24948">
        <w:trPr>
          <w:cantSplit/>
        </w:trPr>
        <w:tc>
          <w:tcPr>
            <w:tcW w:w="1770" w:type="pct"/>
            <w:tcBorders>
              <w:top w:val="single" w:sz="12" w:space="0" w:color="auto"/>
              <w:bottom w:val="single" w:sz="4" w:space="0" w:color="auto"/>
            </w:tcBorders>
            <w:shd w:val="clear" w:color="auto" w:fill="auto"/>
          </w:tcPr>
          <w:p w14:paraId="034DB65F" w14:textId="7CF268DC" w:rsidR="008F4636" w:rsidRPr="007D15BE" w:rsidRDefault="007D15BE" w:rsidP="00357621">
            <w:pPr>
              <w:pStyle w:val="ENoteTableText"/>
              <w:rPr>
                <w:i/>
                <w:iCs/>
              </w:rPr>
            </w:pPr>
            <w:r w:rsidRPr="007D15BE">
              <w:rPr>
                <w:i/>
                <w:iCs/>
              </w:rPr>
              <w:t xml:space="preserve">Radiocommunications (Limitation of Authorisation of </w:t>
            </w:r>
            <w:proofErr w:type="gramStart"/>
            <w:r w:rsidRPr="007D15BE">
              <w:rPr>
                <w:i/>
                <w:iCs/>
              </w:rPr>
              <w:t>Third Party</w:t>
            </w:r>
            <w:proofErr w:type="gramEnd"/>
            <w:r w:rsidRPr="007D15BE">
              <w:rPr>
                <w:i/>
                <w:iCs/>
              </w:rPr>
              <w:t xml:space="preserve"> Users and Transfer of Apparatus Licences) Determination 2015</w:t>
            </w:r>
          </w:p>
        </w:tc>
        <w:tc>
          <w:tcPr>
            <w:tcW w:w="1077" w:type="pct"/>
            <w:tcBorders>
              <w:top w:val="single" w:sz="12" w:space="0" w:color="auto"/>
              <w:bottom w:val="single" w:sz="4" w:space="0" w:color="auto"/>
            </w:tcBorders>
            <w:shd w:val="clear" w:color="auto" w:fill="auto"/>
          </w:tcPr>
          <w:p w14:paraId="3735F94C" w14:textId="029429A7" w:rsidR="008F4636" w:rsidRPr="00FC70A7" w:rsidRDefault="00B24CEA" w:rsidP="00357621">
            <w:pPr>
              <w:pStyle w:val="ENoteTableText"/>
            </w:pPr>
            <w:r>
              <w:t xml:space="preserve">4 August 2015 (see </w:t>
            </w:r>
            <w:r w:rsidR="00633C7D" w:rsidRPr="00633C7D">
              <w:t>F2015L01218</w:t>
            </w:r>
            <w:r w:rsidR="00633C7D">
              <w:t>)</w:t>
            </w:r>
          </w:p>
        </w:tc>
        <w:tc>
          <w:tcPr>
            <w:tcW w:w="1078" w:type="pct"/>
            <w:tcBorders>
              <w:top w:val="single" w:sz="12" w:space="0" w:color="auto"/>
              <w:bottom w:val="single" w:sz="4" w:space="0" w:color="auto"/>
            </w:tcBorders>
            <w:shd w:val="clear" w:color="auto" w:fill="auto"/>
          </w:tcPr>
          <w:p w14:paraId="2CA9AF74" w14:textId="3A9951C4" w:rsidR="008F4636" w:rsidRPr="00FC70A7" w:rsidRDefault="00B24CEA" w:rsidP="00357621">
            <w:pPr>
              <w:pStyle w:val="ENoteTableText"/>
            </w:pPr>
            <w:r>
              <w:t>5 August 2015</w:t>
            </w:r>
          </w:p>
        </w:tc>
        <w:tc>
          <w:tcPr>
            <w:tcW w:w="1075" w:type="pct"/>
            <w:tcBorders>
              <w:top w:val="single" w:sz="12" w:space="0" w:color="auto"/>
              <w:bottom w:val="single" w:sz="4" w:space="0" w:color="auto"/>
            </w:tcBorders>
            <w:shd w:val="clear" w:color="auto" w:fill="auto"/>
          </w:tcPr>
          <w:p w14:paraId="04BCBCA0" w14:textId="153A8AF1" w:rsidR="008F4636" w:rsidRPr="00FC70A7" w:rsidRDefault="008F4636" w:rsidP="00357621">
            <w:pPr>
              <w:pStyle w:val="ENoteTableText"/>
            </w:pPr>
          </w:p>
        </w:tc>
      </w:tr>
      <w:tr w:rsidR="00C72D74" w:rsidRPr="00FC70A7" w14:paraId="52CB8573" w14:textId="77777777" w:rsidTr="00F24948">
        <w:trPr>
          <w:cantSplit/>
        </w:trPr>
        <w:tc>
          <w:tcPr>
            <w:tcW w:w="1770" w:type="pct"/>
            <w:tcBorders>
              <w:top w:val="single" w:sz="4" w:space="0" w:color="auto"/>
              <w:bottom w:val="single" w:sz="4" w:space="0" w:color="auto"/>
            </w:tcBorders>
            <w:shd w:val="clear" w:color="auto" w:fill="auto"/>
          </w:tcPr>
          <w:p w14:paraId="55C292DD" w14:textId="1DD97634" w:rsidR="00C72D74" w:rsidRPr="00633C7D" w:rsidRDefault="00633C7D" w:rsidP="00357621">
            <w:pPr>
              <w:pStyle w:val="ENoteTableText"/>
              <w:rPr>
                <w:i/>
                <w:iCs/>
              </w:rPr>
            </w:pPr>
            <w:r w:rsidRPr="00633C7D">
              <w:rPr>
                <w:i/>
                <w:iCs/>
              </w:rPr>
              <w:t>Radiocommunications (Transmitter Licence Tax) (Consequential Amendments) Instrument 2025</w:t>
            </w:r>
          </w:p>
        </w:tc>
        <w:tc>
          <w:tcPr>
            <w:tcW w:w="1077" w:type="pct"/>
            <w:tcBorders>
              <w:top w:val="single" w:sz="4" w:space="0" w:color="auto"/>
              <w:bottom w:val="single" w:sz="4" w:space="0" w:color="auto"/>
            </w:tcBorders>
            <w:shd w:val="clear" w:color="auto" w:fill="auto"/>
          </w:tcPr>
          <w:p w14:paraId="24890DAA" w14:textId="11581F03" w:rsidR="00C72D74" w:rsidRDefault="00633C7D" w:rsidP="00357621">
            <w:pPr>
              <w:pStyle w:val="ENoteTableText"/>
            </w:pPr>
            <w:r>
              <w:t xml:space="preserve">3 February 2025 (see </w:t>
            </w:r>
            <w:r w:rsidR="00DE3313">
              <w:t>F2025L00056)</w:t>
            </w:r>
          </w:p>
        </w:tc>
        <w:tc>
          <w:tcPr>
            <w:tcW w:w="1078" w:type="pct"/>
            <w:tcBorders>
              <w:top w:val="single" w:sz="4" w:space="0" w:color="auto"/>
              <w:bottom w:val="single" w:sz="4" w:space="0" w:color="auto"/>
            </w:tcBorders>
            <w:shd w:val="clear" w:color="auto" w:fill="auto"/>
          </w:tcPr>
          <w:p w14:paraId="38DE0362" w14:textId="59A23F2B" w:rsidR="00C72D74" w:rsidRDefault="00215691" w:rsidP="00357621">
            <w:pPr>
              <w:pStyle w:val="ENoteTableText"/>
            </w:pPr>
            <w:r>
              <w:t>4 February 2025</w:t>
            </w:r>
          </w:p>
        </w:tc>
        <w:tc>
          <w:tcPr>
            <w:tcW w:w="1075" w:type="pct"/>
            <w:tcBorders>
              <w:top w:val="single" w:sz="4" w:space="0" w:color="auto"/>
              <w:bottom w:val="single" w:sz="4" w:space="0" w:color="auto"/>
            </w:tcBorders>
            <w:shd w:val="clear" w:color="auto" w:fill="auto"/>
          </w:tcPr>
          <w:p w14:paraId="38348B29" w14:textId="77777777" w:rsidR="00C72D74" w:rsidRDefault="00C72D74" w:rsidP="00357621">
            <w:pPr>
              <w:pStyle w:val="ENoteTableText"/>
            </w:pPr>
          </w:p>
        </w:tc>
      </w:tr>
      <w:tr w:rsidR="00C72D74" w:rsidRPr="00FC70A7" w14:paraId="7468A81F" w14:textId="77777777" w:rsidTr="00F24948">
        <w:trPr>
          <w:cantSplit/>
        </w:trPr>
        <w:tc>
          <w:tcPr>
            <w:tcW w:w="1770" w:type="pct"/>
            <w:tcBorders>
              <w:bottom w:val="single" w:sz="12" w:space="0" w:color="auto"/>
            </w:tcBorders>
            <w:shd w:val="clear" w:color="auto" w:fill="auto"/>
          </w:tcPr>
          <w:p w14:paraId="4A00A4CF" w14:textId="77777777" w:rsidR="00C72D74" w:rsidRPr="00FC70A7" w:rsidRDefault="00C72D74" w:rsidP="00357621">
            <w:pPr>
              <w:pStyle w:val="ENoteTableText"/>
            </w:pPr>
          </w:p>
        </w:tc>
        <w:tc>
          <w:tcPr>
            <w:tcW w:w="1077" w:type="pct"/>
            <w:tcBorders>
              <w:bottom w:val="single" w:sz="12" w:space="0" w:color="auto"/>
            </w:tcBorders>
            <w:shd w:val="clear" w:color="auto" w:fill="auto"/>
          </w:tcPr>
          <w:p w14:paraId="15BF77E9" w14:textId="77777777" w:rsidR="00C72D74" w:rsidRPr="00FC70A7" w:rsidRDefault="00C72D74" w:rsidP="00357621">
            <w:pPr>
              <w:pStyle w:val="ENoteTableText"/>
            </w:pPr>
          </w:p>
        </w:tc>
        <w:tc>
          <w:tcPr>
            <w:tcW w:w="1078" w:type="pct"/>
            <w:tcBorders>
              <w:bottom w:val="single" w:sz="12" w:space="0" w:color="auto"/>
            </w:tcBorders>
            <w:shd w:val="clear" w:color="auto" w:fill="auto"/>
          </w:tcPr>
          <w:p w14:paraId="6D67EFE5" w14:textId="77777777" w:rsidR="00C72D74" w:rsidRPr="00FC70A7" w:rsidRDefault="00C72D74" w:rsidP="00357621">
            <w:pPr>
              <w:pStyle w:val="ENoteTableText"/>
            </w:pPr>
          </w:p>
        </w:tc>
        <w:tc>
          <w:tcPr>
            <w:tcW w:w="1075" w:type="pct"/>
            <w:tcBorders>
              <w:bottom w:val="single" w:sz="12" w:space="0" w:color="auto"/>
            </w:tcBorders>
            <w:shd w:val="clear" w:color="auto" w:fill="auto"/>
          </w:tcPr>
          <w:p w14:paraId="476B249E" w14:textId="77777777" w:rsidR="00C72D74" w:rsidRPr="00FC70A7" w:rsidRDefault="00C72D74" w:rsidP="00357621">
            <w:pPr>
              <w:pStyle w:val="ENoteTableText"/>
            </w:pPr>
          </w:p>
        </w:tc>
      </w:tr>
    </w:tbl>
    <w:p w14:paraId="46EF1ACC" w14:textId="77777777" w:rsidR="008F4636" w:rsidRPr="00FC70A7" w:rsidRDefault="008F4636" w:rsidP="00357621">
      <w:pPr>
        <w:pStyle w:val="ENotesHeading2"/>
        <w:spacing w:before="280" w:line="240" w:lineRule="atLeast"/>
        <w:outlineLvl w:val="9"/>
      </w:pPr>
      <w:r>
        <w:t>Endn</w:t>
      </w:r>
      <w:r w:rsidRPr="00FC70A7">
        <w:t>ote 4—Amendment history</w:t>
      </w:r>
    </w:p>
    <w:p w14:paraId="5DE3D9FA" w14:textId="77777777" w:rsidR="008F4636" w:rsidRPr="00FC70A7" w:rsidRDefault="008F4636" w:rsidP="00357621">
      <w:pPr>
        <w:pStyle w:val="Tabletext"/>
      </w:pPr>
    </w:p>
    <w:tbl>
      <w:tblPr>
        <w:tblW w:w="5000" w:type="pct"/>
        <w:tblLook w:val="0000" w:firstRow="0" w:lastRow="0" w:firstColumn="0" w:lastColumn="0" w:noHBand="0" w:noVBand="0"/>
      </w:tblPr>
      <w:tblGrid>
        <w:gridCol w:w="3091"/>
        <w:gridCol w:w="7"/>
        <w:gridCol w:w="5928"/>
      </w:tblGrid>
      <w:tr w:rsidR="008F4636" w:rsidRPr="00FC70A7" w14:paraId="5582CE99" w14:textId="77777777" w:rsidTr="00745DF1">
        <w:trPr>
          <w:cantSplit/>
          <w:tblHeader/>
        </w:trPr>
        <w:tc>
          <w:tcPr>
            <w:tcW w:w="1712" w:type="pct"/>
            <w:tcBorders>
              <w:top w:val="single" w:sz="12" w:space="0" w:color="auto"/>
              <w:bottom w:val="single" w:sz="12" w:space="0" w:color="auto"/>
            </w:tcBorders>
            <w:shd w:val="clear" w:color="auto" w:fill="auto"/>
          </w:tcPr>
          <w:p w14:paraId="092E2BCF" w14:textId="77777777" w:rsidR="008F4636" w:rsidRPr="00FC70A7" w:rsidRDefault="008F4636" w:rsidP="00357621">
            <w:pPr>
              <w:pStyle w:val="ENoteTableHeading"/>
              <w:rPr>
                <w:rFonts w:cs="Arial"/>
              </w:rPr>
            </w:pPr>
            <w:r w:rsidRPr="00FC70A7">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FC70A7" w:rsidRDefault="008F4636" w:rsidP="00357621">
            <w:pPr>
              <w:pStyle w:val="ENoteTableHeading"/>
              <w:rPr>
                <w:rFonts w:cs="Arial"/>
              </w:rPr>
            </w:pPr>
            <w:r w:rsidRPr="00FC70A7">
              <w:rPr>
                <w:rFonts w:cs="Arial"/>
              </w:rPr>
              <w:t>How affected</w:t>
            </w:r>
          </w:p>
        </w:tc>
      </w:tr>
      <w:tr w:rsidR="00215691" w:rsidRPr="00FC70A7" w14:paraId="67B08C3E" w14:textId="77777777" w:rsidTr="00DB706C">
        <w:tc>
          <w:tcPr>
            <w:tcW w:w="1716" w:type="pct"/>
            <w:gridSpan w:val="2"/>
          </w:tcPr>
          <w:p w14:paraId="5FA93F42" w14:textId="77777777" w:rsidR="00215691" w:rsidRPr="00FC70A7" w:rsidRDefault="00215691" w:rsidP="00DB706C">
            <w:pPr>
              <w:pStyle w:val="ENoteTableText"/>
              <w:tabs>
                <w:tab w:val="center" w:leader="dot" w:pos="2268"/>
              </w:tabs>
            </w:pPr>
            <w:r>
              <w:t>s.2</w:t>
            </w:r>
            <w:r>
              <w:tab/>
            </w:r>
          </w:p>
        </w:tc>
        <w:tc>
          <w:tcPr>
            <w:tcW w:w="3284" w:type="pct"/>
          </w:tcPr>
          <w:p w14:paraId="7AECC0E2" w14:textId="77777777" w:rsidR="00215691" w:rsidRPr="00FC70A7" w:rsidRDefault="00215691" w:rsidP="00DB706C">
            <w:pPr>
              <w:pStyle w:val="ENoteTableText"/>
            </w:pPr>
            <w:r>
              <w:t>rep. LA 48D</w:t>
            </w:r>
          </w:p>
        </w:tc>
      </w:tr>
      <w:tr w:rsidR="008F4636" w:rsidRPr="00FC70A7" w14:paraId="2B300A5E" w14:textId="77777777" w:rsidTr="00745DF1">
        <w:tc>
          <w:tcPr>
            <w:tcW w:w="1716" w:type="pct"/>
            <w:gridSpan w:val="2"/>
          </w:tcPr>
          <w:p w14:paraId="60E51340" w14:textId="0D215F35" w:rsidR="008F4636" w:rsidRPr="00FE79D6" w:rsidRDefault="00215691" w:rsidP="00357621">
            <w:pPr>
              <w:pStyle w:val="ENoteTableText"/>
              <w:tabs>
                <w:tab w:val="center" w:leader="dot" w:pos="2268"/>
              </w:tabs>
              <w:rPr>
                <w:bCs/>
              </w:rPr>
            </w:pPr>
            <w:r w:rsidRPr="00FE79D6">
              <w:rPr>
                <w:bCs/>
              </w:rPr>
              <w:t>s.3</w:t>
            </w:r>
            <w:r w:rsidR="00447621" w:rsidRPr="00FE79D6">
              <w:rPr>
                <w:bCs/>
              </w:rPr>
              <w:tab/>
            </w:r>
          </w:p>
        </w:tc>
        <w:tc>
          <w:tcPr>
            <w:tcW w:w="3284" w:type="pct"/>
          </w:tcPr>
          <w:p w14:paraId="4F2074DC" w14:textId="29B9D93B" w:rsidR="008F4636" w:rsidRPr="00FE79D6" w:rsidRDefault="00447621" w:rsidP="00357621">
            <w:pPr>
              <w:pStyle w:val="ENoteTableText"/>
            </w:pPr>
            <w:r w:rsidRPr="00FE79D6">
              <w:t>rep. LA 48C</w:t>
            </w:r>
          </w:p>
        </w:tc>
      </w:tr>
      <w:tr w:rsidR="00D540B0" w:rsidRPr="00FC70A7" w14:paraId="4E7D1A2D" w14:textId="77777777" w:rsidTr="00745DF1">
        <w:tc>
          <w:tcPr>
            <w:tcW w:w="1716" w:type="pct"/>
            <w:gridSpan w:val="2"/>
          </w:tcPr>
          <w:p w14:paraId="2C5BAF11" w14:textId="33A77AA8" w:rsidR="00D540B0" w:rsidRPr="00FE79D6" w:rsidRDefault="00447621" w:rsidP="00357621">
            <w:pPr>
              <w:pStyle w:val="ENoteTableText"/>
              <w:tabs>
                <w:tab w:val="center" w:leader="dot" w:pos="2268"/>
              </w:tabs>
              <w:rPr>
                <w:bCs/>
              </w:rPr>
            </w:pPr>
            <w:r w:rsidRPr="00FE79D6">
              <w:rPr>
                <w:bCs/>
              </w:rPr>
              <w:t>s.4</w:t>
            </w:r>
            <w:r w:rsidRPr="00FE79D6">
              <w:rPr>
                <w:bCs/>
              </w:rPr>
              <w:tab/>
            </w:r>
          </w:p>
        </w:tc>
        <w:tc>
          <w:tcPr>
            <w:tcW w:w="3284" w:type="pct"/>
          </w:tcPr>
          <w:p w14:paraId="5457FC76" w14:textId="4DE36CCF" w:rsidR="00D540B0" w:rsidRPr="00FE79D6" w:rsidRDefault="00447621" w:rsidP="00357621">
            <w:pPr>
              <w:pStyle w:val="ENoteTableText"/>
            </w:pPr>
            <w:r w:rsidRPr="00FE79D6">
              <w:t>am. F2025L00056</w:t>
            </w:r>
          </w:p>
        </w:tc>
      </w:tr>
      <w:tr w:rsidR="00D540B0" w:rsidRPr="00FC70A7" w14:paraId="6EA29FD6" w14:textId="77777777" w:rsidTr="00745DF1">
        <w:tc>
          <w:tcPr>
            <w:tcW w:w="1716" w:type="pct"/>
            <w:gridSpan w:val="2"/>
          </w:tcPr>
          <w:p w14:paraId="1A9538A9" w14:textId="4CF290D0" w:rsidR="00D540B0" w:rsidRPr="00D540B0" w:rsidRDefault="00D540B0" w:rsidP="00357621">
            <w:pPr>
              <w:pStyle w:val="ENoteTableText"/>
              <w:tabs>
                <w:tab w:val="center" w:leader="dot" w:pos="2268"/>
              </w:tabs>
              <w:rPr>
                <w:b/>
                <w:bCs/>
                <w:highlight w:val="yellow"/>
              </w:rPr>
            </w:pPr>
          </w:p>
        </w:tc>
        <w:tc>
          <w:tcPr>
            <w:tcW w:w="3284" w:type="pct"/>
          </w:tcPr>
          <w:p w14:paraId="69AB6084" w14:textId="2C5ED3DD" w:rsidR="00D540B0" w:rsidRDefault="00D540B0" w:rsidP="00357621">
            <w:pPr>
              <w:pStyle w:val="ENoteTableText"/>
              <w:rPr>
                <w:highlight w:val="yellow"/>
              </w:rPr>
            </w:pPr>
          </w:p>
        </w:tc>
      </w:tr>
      <w:tr w:rsidR="00D540B0" w:rsidRPr="00FC70A7" w14:paraId="35A124A5" w14:textId="77777777" w:rsidTr="00745DF1">
        <w:tc>
          <w:tcPr>
            <w:tcW w:w="1716" w:type="pct"/>
            <w:gridSpan w:val="2"/>
            <w:tcBorders>
              <w:bottom w:val="single" w:sz="12" w:space="0" w:color="auto"/>
            </w:tcBorders>
          </w:tcPr>
          <w:p w14:paraId="5D1FCC72" w14:textId="77777777" w:rsidR="00D540B0" w:rsidRPr="00FC70A7" w:rsidRDefault="00D540B0" w:rsidP="00357621">
            <w:pPr>
              <w:rPr>
                <w:rFonts w:ascii="Arial" w:hAnsi="Arial" w:cs="Arial"/>
              </w:rPr>
            </w:pPr>
          </w:p>
        </w:tc>
        <w:tc>
          <w:tcPr>
            <w:tcW w:w="3284" w:type="pct"/>
            <w:tcBorders>
              <w:bottom w:val="single" w:sz="12" w:space="0" w:color="auto"/>
            </w:tcBorders>
          </w:tcPr>
          <w:p w14:paraId="27F32362" w14:textId="77777777" w:rsidR="00D540B0" w:rsidRPr="00FC70A7" w:rsidRDefault="00D540B0" w:rsidP="00357621">
            <w:pPr>
              <w:pStyle w:val="ENoteTableText"/>
            </w:pPr>
          </w:p>
        </w:tc>
      </w:tr>
    </w:tbl>
    <w:p w14:paraId="0E3E76AF" w14:textId="77777777" w:rsidR="00097890" w:rsidRPr="00097890" w:rsidRDefault="00097890" w:rsidP="00357621">
      <w:pPr>
        <w:rPr>
          <w:lang w:eastAsia="en-AU"/>
        </w:rPr>
      </w:pPr>
    </w:p>
    <w:sectPr w:rsidR="00097890" w:rsidRPr="00097890" w:rsidSect="00FE7B51">
      <w:head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3ACF" w14:textId="77777777" w:rsidR="00DC69D9" w:rsidRDefault="00DC69D9" w:rsidP="0017734A">
      <w:pPr>
        <w:spacing w:after="0" w:line="240" w:lineRule="auto"/>
      </w:pPr>
      <w:r>
        <w:separator/>
      </w:r>
    </w:p>
  </w:endnote>
  <w:endnote w:type="continuationSeparator" w:id="0">
    <w:p w14:paraId="02E2F629" w14:textId="77777777" w:rsidR="00DC69D9" w:rsidRDefault="00DC69D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48F3" w14:textId="379ECD97" w:rsidR="00864001" w:rsidRPr="00864001" w:rsidRDefault="00864001" w:rsidP="00864001">
    <w:pPr>
      <w:pStyle w:val="Footer"/>
      <w:pBdr>
        <w:top w:val="single" w:sz="4" w:space="1" w:color="auto"/>
      </w:pBdr>
      <w:spacing w:before="120"/>
      <w:jc w:val="center"/>
      <w:rPr>
        <w:rFonts w:ascii="Times New Roman" w:hAnsi="Times New Roman" w:cs="Times New Roman"/>
        <w:i/>
        <w:iCs/>
        <w:sz w:val="20"/>
        <w:szCs w:val="20"/>
      </w:rPr>
    </w:pPr>
    <w:r w:rsidRPr="00864001">
      <w:rPr>
        <w:rFonts w:ascii="Times New Roman" w:hAnsi="Times New Roman" w:cs="Times New Roman"/>
        <w:i/>
        <w:iCs/>
        <w:sz w:val="20"/>
        <w:szCs w:val="20"/>
      </w:rPr>
      <w:t xml:space="preserve">Radiocommunications (Limitation of Authorisation of </w:t>
    </w:r>
    <w:proofErr w:type="gramStart"/>
    <w:r w:rsidRPr="00864001">
      <w:rPr>
        <w:rFonts w:ascii="Times New Roman" w:hAnsi="Times New Roman" w:cs="Times New Roman"/>
        <w:i/>
        <w:iCs/>
        <w:sz w:val="20"/>
        <w:szCs w:val="20"/>
      </w:rPr>
      <w:t>Third Party</w:t>
    </w:r>
    <w:proofErr w:type="gramEnd"/>
    <w:r w:rsidRPr="00864001">
      <w:rPr>
        <w:rFonts w:ascii="Times New Roman" w:hAnsi="Times New Roman" w:cs="Times New Roman"/>
        <w:i/>
        <w:iCs/>
        <w:sz w:val="20"/>
        <w:szCs w:val="20"/>
      </w:rPr>
      <w:t xml:space="preserve"> Users and Transfer of Apparatus Licences) Determination 2015</w:t>
    </w:r>
  </w:p>
  <w:p w14:paraId="080FBA20" w14:textId="59FB92CD" w:rsidR="0017734A" w:rsidRPr="004B2F4D" w:rsidRDefault="0074750F" w:rsidP="0074750F">
    <w:pPr>
      <w:pStyle w:val="Footer"/>
      <w:spacing w:before="120"/>
      <w:rPr>
        <w:rFonts w:ascii="Times New Roman" w:hAnsi="Times New Roman" w:cs="Times New Roman"/>
        <w:i/>
        <w:iCs/>
        <w:sz w:val="20"/>
        <w:szCs w:val="20"/>
      </w:rPr>
    </w:pPr>
    <w:r w:rsidRPr="0074750F">
      <w:rPr>
        <w:rFonts w:ascii="Times New Roman" w:hAnsi="Times New Roman" w:cs="Times New Roman"/>
        <w:sz w:val="20"/>
        <w:szCs w:val="20"/>
      </w:rPr>
      <w:t xml:space="preserve">Compilation No. </w:t>
    </w:r>
    <w:r w:rsidR="009C5154">
      <w:rPr>
        <w:rFonts w:ascii="Times New Roman" w:hAnsi="Times New Roman" w:cs="Times New Roman"/>
        <w:sz w:val="20"/>
        <w:szCs w:val="20"/>
      </w:rPr>
      <w:t>1</w:t>
    </w:r>
    <w:r w:rsidRPr="0074750F">
      <w:rPr>
        <w:rFonts w:ascii="Times New Roman" w:hAnsi="Times New Roman" w:cs="Times New Roman"/>
        <w:sz w:val="20"/>
        <w:szCs w:val="20"/>
      </w:rPr>
      <w:tab/>
      <w:t xml:space="preserve">Compilation date: </w:t>
    </w:r>
    <w:r w:rsidR="001C52FC">
      <w:rPr>
        <w:rFonts w:ascii="Times New Roman" w:hAnsi="Times New Roman" w:cs="Times New Roman"/>
        <w:sz w:val="20"/>
        <w:szCs w:val="20"/>
      </w:rPr>
      <w:t>4 February 2025</w:t>
    </w:r>
    <w:r w:rsidRPr="0074750F">
      <w:rPr>
        <w:rFonts w:ascii="Times New Roman" w:hAnsi="Times New Roman" w:cs="Times New Roman"/>
        <w:sz w:val="20"/>
        <w:szCs w:val="20"/>
      </w:rPr>
      <w:tab/>
    </w:r>
    <w:r w:rsidRPr="0074750F">
      <w:rPr>
        <w:rFonts w:ascii="Times New Roman" w:hAnsi="Times New Roman" w:cs="Times New Roman"/>
        <w:sz w:val="20"/>
        <w:szCs w:val="20"/>
      </w:rPr>
      <w:fldChar w:fldCharType="begin"/>
    </w:r>
    <w:r w:rsidRPr="0074750F">
      <w:rPr>
        <w:rFonts w:ascii="Times New Roman" w:hAnsi="Times New Roman" w:cs="Times New Roman"/>
        <w:sz w:val="20"/>
        <w:szCs w:val="20"/>
      </w:rPr>
      <w:instrText xml:space="preserve"> PAGE   \* MERGEFORMAT </w:instrText>
    </w:r>
    <w:r w:rsidRPr="0074750F">
      <w:rPr>
        <w:rFonts w:ascii="Times New Roman" w:hAnsi="Times New Roman" w:cs="Times New Roman"/>
        <w:sz w:val="20"/>
        <w:szCs w:val="20"/>
      </w:rPr>
      <w:fldChar w:fldCharType="separate"/>
    </w:r>
    <w:r w:rsidRPr="0074750F">
      <w:rPr>
        <w:rFonts w:ascii="Times New Roman" w:hAnsi="Times New Roman" w:cs="Times New Roman"/>
        <w:noProof/>
        <w:sz w:val="20"/>
        <w:szCs w:val="20"/>
      </w:rPr>
      <w:t>1</w:t>
    </w:r>
    <w:r w:rsidRPr="0074750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66EA" w14:textId="77777777" w:rsidR="00DC69D9" w:rsidRDefault="00DC69D9" w:rsidP="0017734A">
      <w:pPr>
        <w:spacing w:after="0" w:line="240" w:lineRule="auto"/>
      </w:pPr>
      <w:r>
        <w:separator/>
      </w:r>
    </w:p>
  </w:footnote>
  <w:footnote w:type="continuationSeparator" w:id="0">
    <w:p w14:paraId="72EC1EC8" w14:textId="77777777" w:rsidR="00DC69D9" w:rsidRDefault="00DC69D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2AC6" w14:textId="77777777" w:rsidR="00633ED4" w:rsidRDefault="00633ED4">
    <w:pPr>
      <w:pStyle w:val="Header"/>
    </w:pPr>
  </w:p>
  <w:p w14:paraId="12661DDE" w14:textId="77777777" w:rsidR="0017734A" w:rsidRDefault="0017734A" w:rsidP="005555CC">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70A2" w14:textId="2D0BE574" w:rsidR="0074750F" w:rsidRPr="00C12E38" w:rsidRDefault="0074750F" w:rsidP="0074750F">
    <w:pPr>
      <w:pStyle w:val="Header"/>
      <w:pBdr>
        <w:bottom w:val="single" w:sz="4" w:space="1" w:color="auto"/>
      </w:pBdr>
      <w:rPr>
        <w:rFonts w:ascii="Times New Roman" w:hAnsi="Times New Roman" w:cs="Times New Roman"/>
      </w:rPr>
    </w:pPr>
    <w:r>
      <w:rPr>
        <w:rFonts w:ascii="Times New Roman" w:hAnsi="Times New Roman" w:cs="Times New Roman"/>
        <w:sz w:val="20"/>
        <w:szCs w:val="20"/>
      </w:rPr>
      <w:t>Section</w:t>
    </w:r>
    <w:r w:rsidR="001707AD">
      <w:rPr>
        <w:rFonts w:ascii="Times New Roman" w:hAnsi="Times New Roman" w:cs="Times New Roman"/>
        <w:sz w:val="20"/>
        <w:szCs w:val="20"/>
      </w:rPr>
      <w:t xml:space="preserve"> </w:t>
    </w:r>
    <w:r w:rsidR="001707AD">
      <w:rPr>
        <w:rFonts w:ascii="Times New Roman" w:hAnsi="Times New Roman" w:cs="Times New Roman"/>
        <w:sz w:val="20"/>
        <w:szCs w:val="20"/>
      </w:rPr>
      <w:fldChar w:fldCharType="begin"/>
    </w:r>
    <w:r w:rsidR="001707AD">
      <w:rPr>
        <w:rFonts w:ascii="Times New Roman" w:hAnsi="Times New Roman" w:cs="Times New Roman"/>
        <w:sz w:val="20"/>
        <w:szCs w:val="20"/>
      </w:rPr>
      <w:instrText xml:space="preserve"> STYLEREF  CharSectno  \* MERGEFORMAT </w:instrText>
    </w:r>
    <w:r w:rsidR="001707AD">
      <w:rPr>
        <w:rFonts w:ascii="Times New Roman" w:hAnsi="Times New Roman" w:cs="Times New Roman"/>
        <w:sz w:val="20"/>
        <w:szCs w:val="20"/>
      </w:rPr>
      <w:fldChar w:fldCharType="separate"/>
    </w:r>
    <w:r w:rsidR="00CF088B">
      <w:rPr>
        <w:rFonts w:ascii="Times New Roman" w:hAnsi="Times New Roman" w:cs="Times New Roman"/>
        <w:noProof/>
        <w:sz w:val="20"/>
        <w:szCs w:val="20"/>
      </w:rPr>
      <w:t>6</w:t>
    </w:r>
    <w:r w:rsidR="001707AD">
      <w:rPr>
        <w:rFonts w:ascii="Times New Roman" w:hAnsi="Times New Roman" w:cs="Times New Roman"/>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034" w14:textId="03187BB9" w:rsidR="008F4636" w:rsidRPr="00D917BD" w:rsidRDefault="00D917BD" w:rsidP="00892659">
    <w:pPr>
      <w:pStyle w:val="Header"/>
      <w:pBdr>
        <w:bottom w:val="single" w:sz="4" w:space="1" w:color="auto"/>
      </w:pBdr>
      <w:rPr>
        <w:rFonts w:ascii="Times New Roman" w:hAnsi="Times New Roman" w:cs="Times New Roman"/>
        <w:sz w:val="24"/>
        <w:szCs w:val="24"/>
        <w:lang w:val="en-US"/>
      </w:rPr>
    </w:pPr>
    <w:r>
      <w:rPr>
        <w:rFonts w:ascii="Times New Roman" w:hAnsi="Times New Roman" w:cs="Times New Roman"/>
        <w:sz w:val="24"/>
        <w:szCs w:val="24"/>
        <w:lang w:val="en-US"/>
      </w:rPr>
      <w:t>Endnotes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A0F9D8"/>
    <w:lvl w:ilvl="0">
      <w:start w:val="1"/>
      <w:numFmt w:val="decimal"/>
      <w:pStyle w:val="ListNumber"/>
      <w:lvlText w:val="%1."/>
      <w:lvlJc w:val="left"/>
      <w:pPr>
        <w:tabs>
          <w:tab w:val="num" w:pos="360"/>
        </w:tabs>
        <w:ind w:left="360" w:hanging="360"/>
      </w:pPr>
      <w:rPr>
        <w:b w:val="0"/>
        <w:bCs w:val="0"/>
        <w:color w:val="auto"/>
      </w:rPr>
    </w:lvl>
  </w:abstractNum>
  <w:abstractNum w:abstractNumId="1"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8"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731758">
    <w:abstractNumId w:val="4"/>
  </w:num>
  <w:num w:numId="2" w16cid:durableId="865559796">
    <w:abstractNumId w:val="11"/>
  </w:num>
  <w:num w:numId="3" w16cid:durableId="1100218372">
    <w:abstractNumId w:val="6"/>
  </w:num>
  <w:num w:numId="4" w16cid:durableId="88282203">
    <w:abstractNumId w:val="9"/>
  </w:num>
  <w:num w:numId="5" w16cid:durableId="823396035">
    <w:abstractNumId w:val="5"/>
  </w:num>
  <w:num w:numId="6" w16cid:durableId="1007053737">
    <w:abstractNumId w:val="1"/>
  </w:num>
  <w:num w:numId="7" w16cid:durableId="209727868">
    <w:abstractNumId w:val="8"/>
  </w:num>
  <w:num w:numId="8" w16cid:durableId="1842428244">
    <w:abstractNumId w:val="0"/>
    <w:lvlOverride w:ilvl="0">
      <w:startOverride w:val="1"/>
    </w:lvlOverride>
  </w:num>
  <w:num w:numId="9" w16cid:durableId="393503104">
    <w:abstractNumId w:val="3"/>
  </w:num>
  <w:num w:numId="10" w16cid:durableId="1448427195">
    <w:abstractNumId w:val="2"/>
  </w:num>
  <w:num w:numId="11" w16cid:durableId="253362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1701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407251">
    <w:abstractNumId w:val="7"/>
  </w:num>
  <w:num w:numId="14" w16cid:durableId="2020427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4E65"/>
    <w:rsid w:val="0003387F"/>
    <w:rsid w:val="000340E0"/>
    <w:rsid w:val="00036552"/>
    <w:rsid w:val="00041196"/>
    <w:rsid w:val="00044178"/>
    <w:rsid w:val="000447C6"/>
    <w:rsid w:val="00063F87"/>
    <w:rsid w:val="0006420D"/>
    <w:rsid w:val="00074B5A"/>
    <w:rsid w:val="00097890"/>
    <w:rsid w:val="000A10BC"/>
    <w:rsid w:val="000A1917"/>
    <w:rsid w:val="000A3F81"/>
    <w:rsid w:val="000C02DC"/>
    <w:rsid w:val="000D279D"/>
    <w:rsid w:val="000D426E"/>
    <w:rsid w:val="000D4888"/>
    <w:rsid w:val="00107E03"/>
    <w:rsid w:val="0011555B"/>
    <w:rsid w:val="001439D4"/>
    <w:rsid w:val="001525BB"/>
    <w:rsid w:val="00161600"/>
    <w:rsid w:val="00165F20"/>
    <w:rsid w:val="0016699A"/>
    <w:rsid w:val="001707AD"/>
    <w:rsid w:val="0017734A"/>
    <w:rsid w:val="001C18B9"/>
    <w:rsid w:val="001C212E"/>
    <w:rsid w:val="001C3C1C"/>
    <w:rsid w:val="001C3EF0"/>
    <w:rsid w:val="001C52FC"/>
    <w:rsid w:val="001D733D"/>
    <w:rsid w:val="00215691"/>
    <w:rsid w:val="002214C1"/>
    <w:rsid w:val="00241289"/>
    <w:rsid w:val="0025510A"/>
    <w:rsid w:val="002670B0"/>
    <w:rsid w:val="0027217D"/>
    <w:rsid w:val="0028098F"/>
    <w:rsid w:val="00293B5D"/>
    <w:rsid w:val="002B0B27"/>
    <w:rsid w:val="002B38E4"/>
    <w:rsid w:val="002B73D8"/>
    <w:rsid w:val="002E4569"/>
    <w:rsid w:val="002E7DF4"/>
    <w:rsid w:val="002F0E3F"/>
    <w:rsid w:val="002F27AA"/>
    <w:rsid w:val="00357621"/>
    <w:rsid w:val="00363607"/>
    <w:rsid w:val="003829D5"/>
    <w:rsid w:val="0039766B"/>
    <w:rsid w:val="003A1853"/>
    <w:rsid w:val="003C2DB5"/>
    <w:rsid w:val="003E55FA"/>
    <w:rsid w:val="003F3B64"/>
    <w:rsid w:val="003F5C7A"/>
    <w:rsid w:val="004361D9"/>
    <w:rsid w:val="00447621"/>
    <w:rsid w:val="00460FD9"/>
    <w:rsid w:val="00466750"/>
    <w:rsid w:val="00490C5B"/>
    <w:rsid w:val="004B2F4D"/>
    <w:rsid w:val="004B3596"/>
    <w:rsid w:val="004D6B79"/>
    <w:rsid w:val="00510EC0"/>
    <w:rsid w:val="00553BCD"/>
    <w:rsid w:val="005555CC"/>
    <w:rsid w:val="005620D1"/>
    <w:rsid w:val="00570AB2"/>
    <w:rsid w:val="00572A28"/>
    <w:rsid w:val="00581EF8"/>
    <w:rsid w:val="005957A6"/>
    <w:rsid w:val="00595A27"/>
    <w:rsid w:val="005C08AB"/>
    <w:rsid w:val="005D3ADF"/>
    <w:rsid w:val="005F2E36"/>
    <w:rsid w:val="006133DD"/>
    <w:rsid w:val="0062744F"/>
    <w:rsid w:val="00633C7D"/>
    <w:rsid w:val="00633ED4"/>
    <w:rsid w:val="006476A6"/>
    <w:rsid w:val="00652E03"/>
    <w:rsid w:val="00677001"/>
    <w:rsid w:val="006878BA"/>
    <w:rsid w:val="00693F99"/>
    <w:rsid w:val="0069529B"/>
    <w:rsid w:val="006A0FAE"/>
    <w:rsid w:val="006C0251"/>
    <w:rsid w:val="006C7332"/>
    <w:rsid w:val="006D4951"/>
    <w:rsid w:val="006E17A3"/>
    <w:rsid w:val="006F5CF2"/>
    <w:rsid w:val="006F6397"/>
    <w:rsid w:val="006F7A5F"/>
    <w:rsid w:val="00703828"/>
    <w:rsid w:val="0071302E"/>
    <w:rsid w:val="00721966"/>
    <w:rsid w:val="00733FB0"/>
    <w:rsid w:val="00735492"/>
    <w:rsid w:val="0074750F"/>
    <w:rsid w:val="00795DC9"/>
    <w:rsid w:val="007963F6"/>
    <w:rsid w:val="007B66D5"/>
    <w:rsid w:val="007C3091"/>
    <w:rsid w:val="007C37F3"/>
    <w:rsid w:val="007D15BE"/>
    <w:rsid w:val="007D7D46"/>
    <w:rsid w:val="007F0442"/>
    <w:rsid w:val="007F39E9"/>
    <w:rsid w:val="007F7C3E"/>
    <w:rsid w:val="00800926"/>
    <w:rsid w:val="00864001"/>
    <w:rsid w:val="00884605"/>
    <w:rsid w:val="00891F23"/>
    <w:rsid w:val="00892659"/>
    <w:rsid w:val="00893908"/>
    <w:rsid w:val="00896A23"/>
    <w:rsid w:val="008C02DC"/>
    <w:rsid w:val="008C0552"/>
    <w:rsid w:val="008D642E"/>
    <w:rsid w:val="008D6862"/>
    <w:rsid w:val="008F4636"/>
    <w:rsid w:val="00910C86"/>
    <w:rsid w:val="0091792E"/>
    <w:rsid w:val="00923A7B"/>
    <w:rsid w:val="00957210"/>
    <w:rsid w:val="00962B1B"/>
    <w:rsid w:val="00977586"/>
    <w:rsid w:val="0098427F"/>
    <w:rsid w:val="009842CB"/>
    <w:rsid w:val="00987A5F"/>
    <w:rsid w:val="009C5154"/>
    <w:rsid w:val="009E3DC6"/>
    <w:rsid w:val="009F0016"/>
    <w:rsid w:val="009F454B"/>
    <w:rsid w:val="00A349EF"/>
    <w:rsid w:val="00A533E4"/>
    <w:rsid w:val="00A965A3"/>
    <w:rsid w:val="00AB74ED"/>
    <w:rsid w:val="00AD14AA"/>
    <w:rsid w:val="00AD1EEA"/>
    <w:rsid w:val="00AE50D5"/>
    <w:rsid w:val="00B02813"/>
    <w:rsid w:val="00B22FA4"/>
    <w:rsid w:val="00B24CEA"/>
    <w:rsid w:val="00B6143B"/>
    <w:rsid w:val="00B66EE3"/>
    <w:rsid w:val="00B72FCA"/>
    <w:rsid w:val="00B7359B"/>
    <w:rsid w:val="00B90F17"/>
    <w:rsid w:val="00B9360E"/>
    <w:rsid w:val="00B97AE1"/>
    <w:rsid w:val="00BA4496"/>
    <w:rsid w:val="00BA7DAD"/>
    <w:rsid w:val="00BD159C"/>
    <w:rsid w:val="00BD77C9"/>
    <w:rsid w:val="00BE3B20"/>
    <w:rsid w:val="00BF3C0C"/>
    <w:rsid w:val="00C16D76"/>
    <w:rsid w:val="00C36DD1"/>
    <w:rsid w:val="00C42293"/>
    <w:rsid w:val="00C60401"/>
    <w:rsid w:val="00C72D74"/>
    <w:rsid w:val="00C87BBB"/>
    <w:rsid w:val="00C96702"/>
    <w:rsid w:val="00CA193D"/>
    <w:rsid w:val="00CC2BDB"/>
    <w:rsid w:val="00CC64DD"/>
    <w:rsid w:val="00CE1231"/>
    <w:rsid w:val="00CF088B"/>
    <w:rsid w:val="00D159CA"/>
    <w:rsid w:val="00D16BE5"/>
    <w:rsid w:val="00D30F20"/>
    <w:rsid w:val="00D33952"/>
    <w:rsid w:val="00D516E5"/>
    <w:rsid w:val="00D51DA8"/>
    <w:rsid w:val="00D540B0"/>
    <w:rsid w:val="00D917BD"/>
    <w:rsid w:val="00D95A71"/>
    <w:rsid w:val="00DC69D9"/>
    <w:rsid w:val="00DD2798"/>
    <w:rsid w:val="00DE3313"/>
    <w:rsid w:val="00DF44E2"/>
    <w:rsid w:val="00E0410D"/>
    <w:rsid w:val="00E115C4"/>
    <w:rsid w:val="00E1191F"/>
    <w:rsid w:val="00E318F7"/>
    <w:rsid w:val="00E33338"/>
    <w:rsid w:val="00E415A7"/>
    <w:rsid w:val="00E7332E"/>
    <w:rsid w:val="00E85769"/>
    <w:rsid w:val="00EB4ECA"/>
    <w:rsid w:val="00EB65BF"/>
    <w:rsid w:val="00EC4ADA"/>
    <w:rsid w:val="00EC54C3"/>
    <w:rsid w:val="00EF3D21"/>
    <w:rsid w:val="00F0668B"/>
    <w:rsid w:val="00F24948"/>
    <w:rsid w:val="00F3064A"/>
    <w:rsid w:val="00F31EC9"/>
    <w:rsid w:val="00F34881"/>
    <w:rsid w:val="00F37B8C"/>
    <w:rsid w:val="00F4431E"/>
    <w:rsid w:val="00F61F76"/>
    <w:rsid w:val="00F72E06"/>
    <w:rsid w:val="00F77DB5"/>
    <w:rsid w:val="00F856A6"/>
    <w:rsid w:val="00F85ED9"/>
    <w:rsid w:val="00F90642"/>
    <w:rsid w:val="00FB49C0"/>
    <w:rsid w:val="00FB59C1"/>
    <w:rsid w:val="00FD6D86"/>
    <w:rsid w:val="00FE6B62"/>
    <w:rsid w:val="00FE79D6"/>
    <w:rsid w:val="00FE7B51"/>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ctHead5"/>
    <w:next w:val="Normal"/>
    <w:link w:val="Heading1Char"/>
    <w:uiPriority w:val="9"/>
    <w:qFormat/>
    <w:rsid w:val="0024128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1707AD"/>
    <w:rPr>
      <w:rFonts w:ascii="Arial" w:eastAsia="Times New Roman" w:hAnsi="Arial" w:cs="Times New Roman"/>
      <w:b/>
      <w:sz w:val="24"/>
      <w:szCs w:val="24"/>
    </w:rPr>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paragraphChar">
    <w:name w:val="paragraph Char"/>
    <w:aliases w:val="a Char"/>
    <w:basedOn w:val="DefaultParagraphFont"/>
    <w:link w:val="paragraph"/>
    <w:rsid w:val="0074750F"/>
    <w:rPr>
      <w:rFonts w:ascii="Times New Roman" w:eastAsia="Times New Roman" w:hAnsi="Times New Roman" w:cs="Times New Roman"/>
      <w:szCs w:val="20"/>
      <w:lang w:eastAsia="en-AU"/>
    </w:rPr>
  </w:style>
  <w:style w:type="paragraph" w:customStyle="1" w:styleId="notetext0">
    <w:name w:val="notetext"/>
    <w:basedOn w:val="Normal"/>
    <w:rsid w:val="007475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74750F"/>
    <w:pPr>
      <w:numPr>
        <w:numId w:val="8"/>
      </w:numPr>
      <w:spacing w:after="30" w:line="240" w:lineRule="atLeast"/>
    </w:pPr>
    <w:rPr>
      <w:rFonts w:ascii="Arial" w:hAnsi="Arial" w:cs="Arial"/>
      <w:color w:val="4D4D4F"/>
      <w:sz w:val="21"/>
      <w:szCs w:val="21"/>
      <w:lang w:eastAsia="en-AU"/>
    </w:rPr>
  </w:style>
  <w:style w:type="table" w:styleId="TableGrid">
    <w:name w:val="Table Grid"/>
    <w:basedOn w:val="TableNormal"/>
    <w:uiPriority w:val="39"/>
    <w:rsid w:val="0074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1289"/>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241289"/>
    <w:pPr>
      <w:spacing w:after="0" w:line="240" w:lineRule="auto"/>
    </w:pPr>
  </w:style>
  <w:style w:type="paragraph" w:customStyle="1" w:styleId="Default">
    <w:name w:val="Default"/>
    <w:rsid w:val="002412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241289"/>
    <w:pPr>
      <w:numPr>
        <w:numId w:val="9"/>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41289"/>
    <w:pPr>
      <w:numPr>
        <w:ilvl w:val="1"/>
        <w:numId w:val="9"/>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41289"/>
    <w:pPr>
      <w:numPr>
        <w:ilvl w:val="2"/>
        <w:numId w:val="9"/>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41289"/>
    <w:pPr>
      <w:numPr>
        <w:ilvl w:val="3"/>
        <w:numId w:val="9"/>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41289"/>
    <w:pPr>
      <w:numPr>
        <w:numId w:val="9"/>
      </w:numPr>
    </w:pPr>
  </w:style>
  <w:style w:type="character" w:styleId="UnresolvedMention">
    <w:name w:val="Unresolved Mention"/>
    <w:basedOn w:val="DefaultParagraphFont"/>
    <w:uiPriority w:val="99"/>
    <w:semiHidden/>
    <w:unhideWhenUsed/>
    <w:rsid w:val="00241289"/>
    <w:rPr>
      <w:color w:val="605E5C"/>
      <w:shd w:val="clear" w:color="auto" w:fill="E1DFDD"/>
    </w:rPr>
  </w:style>
  <w:style w:type="character" w:customStyle="1" w:styleId="DefinitionChar">
    <w:name w:val="Definition Char"/>
    <w:aliases w:val="dd Char"/>
    <w:link w:val="Definition"/>
    <w:rsid w:val="00241289"/>
    <w:rPr>
      <w:rFonts w:ascii="Times New Roman" w:eastAsia="Times New Roman" w:hAnsi="Times New Roman" w:cs="Times New Roman"/>
      <w:szCs w:val="20"/>
      <w:lang w:eastAsia="en-AU"/>
    </w:rPr>
  </w:style>
  <w:style w:type="paragraph" w:customStyle="1" w:styleId="Note">
    <w:name w:val="Note"/>
    <w:basedOn w:val="Normal"/>
    <w:rsid w:val="00241289"/>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2412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2412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para">
    <w:name w:val="Schedule para"/>
    <w:basedOn w:val="Normal"/>
    <w:rsid w:val="00241289"/>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241289"/>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241289"/>
    <w:rPr>
      <w:color w:val="808080"/>
    </w:rPr>
  </w:style>
  <w:style w:type="paragraph" w:customStyle="1" w:styleId="listlevel1">
    <w:name w:val="list level 1"/>
    <w:rsid w:val="00241289"/>
    <w:pPr>
      <w:spacing w:after="0" w:line="240" w:lineRule="auto"/>
      <w:ind w:left="1699" w:hanging="562"/>
    </w:pPr>
    <w:rPr>
      <w:rFonts w:ascii="Arial" w:eastAsia="Times New Roman" w:hAnsi="Arial" w:cs="Times New Roman"/>
      <w:szCs w:val="20"/>
      <w:lang w:eastAsia="en-AU"/>
    </w:rPr>
  </w:style>
  <w:style w:type="character" w:styleId="FollowedHyperlink">
    <w:name w:val="FollowedHyperlink"/>
    <w:basedOn w:val="DefaultParagraphFont"/>
    <w:uiPriority w:val="99"/>
    <w:semiHidden/>
    <w:unhideWhenUsed/>
    <w:rsid w:val="00241289"/>
    <w:rPr>
      <w:color w:val="954F72" w:themeColor="followedHyperlink"/>
      <w:u w:val="single"/>
    </w:rPr>
  </w:style>
  <w:style w:type="paragraph" w:customStyle="1" w:styleId="acthead50">
    <w:name w:val="acthead5"/>
    <w:basedOn w:val="Normal"/>
    <w:rsid w:val="002412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41289"/>
  </w:style>
  <w:style w:type="paragraph" w:customStyle="1" w:styleId="subsection2">
    <w:name w:val="subsection2"/>
    <w:basedOn w:val="Normal"/>
    <w:rsid w:val="002412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Citation">
    <w:name w:val="FooterCitation"/>
    <w:basedOn w:val="Footer"/>
    <w:rsid w:val="001707AD"/>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Even">
    <w:name w:val="HeaderBoldEven"/>
    <w:basedOn w:val="Normal"/>
    <w:rsid w:val="001707AD"/>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1707AD"/>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1707AD"/>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1707AD"/>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FooterPageOdd">
    <w:name w:val="FooterPageOdd"/>
    <w:basedOn w:val="Footer"/>
    <w:rsid w:val="001707AD"/>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FooterPageEven">
    <w:name w:val="FooterPageEven"/>
    <w:basedOn w:val="FooterPageOdd"/>
    <w:rsid w:val="001707AD"/>
    <w:pPr>
      <w:jc w:val="left"/>
    </w:pPr>
  </w:style>
  <w:style w:type="paragraph" w:customStyle="1" w:styleId="Footerinfo">
    <w:name w:val="Footerinfo"/>
    <w:basedOn w:val="Footer"/>
    <w:rsid w:val="001707AD"/>
    <w:pPr>
      <w:tabs>
        <w:tab w:val="clear" w:pos="4513"/>
        <w:tab w:val="clear" w:pos="9026"/>
        <w:tab w:val="center" w:pos="3600"/>
        <w:tab w:val="right" w:pos="7201"/>
      </w:tabs>
    </w:pPr>
    <w:rPr>
      <w:rFonts w:ascii="Arial" w:eastAsia="Times New Roman" w:hAnsi="Arial" w:cs="Times New Roman"/>
      <w:sz w:val="1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9252991E47F4BBB80A1A6BA49B26B" ma:contentTypeVersion="8" ma:contentTypeDescription="Create a new document." ma:contentTypeScope="" ma:versionID="cfd8955515388acec1aca4b1fa8e6e17">
  <xsd:schema xmlns:xsd="http://www.w3.org/2001/XMLSchema" xmlns:xs="http://www.w3.org/2001/XMLSchema" xmlns:p="http://schemas.microsoft.com/office/2006/metadata/properties" xmlns:ns2="15facfb0-f078-428d-8c79-7c4acc7fe54f" xmlns:ns3="09b0419b-d431-4754-8c5c-522eb6afa1c7" targetNamespace="http://schemas.microsoft.com/office/2006/metadata/properties" ma:root="true" ma:fieldsID="fcb568b6e07fe16ac5aa50a1c6af7179" ns2:_="" ns3:_="">
    <xsd:import namespace="15facfb0-f078-428d-8c79-7c4acc7fe54f"/>
    <xsd:import namespace="09b0419b-d431-4754-8c5c-522eb6afa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acfb0-f078-428d-8c79-7c4acc7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0419b-d431-4754-8c5c-522eb6afa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2CC1-A8F6-4711-B3E4-F0A23FA6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acfb0-f078-428d-8c79-7c4acc7fe54f"/>
    <ds:schemaRef ds:uri="09b0419b-d431-4754-8c5c-522eb6afa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28D0E-0D72-4A0A-BFE1-24D115E5EF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4.xml><?xml version="1.0" encoding="utf-8"?>
<ds:datastoreItem xmlns:ds="http://schemas.openxmlformats.org/officeDocument/2006/customXml" ds:itemID="{218170F9-CAAA-4AF7-8051-63FD9B6D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9</cp:revision>
  <cp:lastPrinted>2018-04-06T06:34:00Z</cp:lastPrinted>
  <dcterms:created xsi:type="dcterms:W3CDTF">2025-02-05T05:54:00Z</dcterms:created>
  <dcterms:modified xsi:type="dcterms:W3CDTF">2025-02-11T00:01:00Z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0x01010017E9252991E47F4BBB80A1A6BA49B26B</vt:lpwstr>
  </property>
  <property fmtid="{D5CDD505-2E9C-101B-9397-08002B2CF9AE}" pid="3" name="_dlc_DocIdItemGuid">
    <vt:lpwstr>3aa44ec1-fc5d-401f-b008-ed34178c1423</vt:lpwstr>
  </property>
</Properties>
</file>