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02C2" w:rsidRDefault="00AC02C2">
      <w:pPr>
        <w:pStyle w:val="Title"/>
      </w:pPr>
    </w:p>
    <w:p w:rsidR="00AC02C2" w:rsidRDefault="00AC02C2">
      <w:pPr>
        <w:pStyle w:val="Title"/>
      </w:pPr>
    </w:p>
    <w:p w:rsidR="005B0E3A" w:rsidRDefault="005B0E3A" w:rsidP="005B0E3A">
      <w:pPr>
        <w:spacing w:before="63" w:line="479" w:lineRule="auto"/>
        <w:jc w:val="center"/>
        <w:rPr>
          <w:sz w:val="28"/>
          <w:szCs w:val="28"/>
        </w:rPr>
      </w:pPr>
      <w:r>
        <w:rPr>
          <w:b/>
          <w:color w:val="000000"/>
          <w:sz w:val="28"/>
        </w:rPr>
        <w:t>EXPLANATORY</w:t>
      </w:r>
      <w:r>
        <w:rPr>
          <w:b/>
          <w:color w:val="000000"/>
          <w:spacing w:val="-39"/>
          <w:sz w:val="28"/>
        </w:rPr>
        <w:t xml:space="preserve"> </w:t>
      </w:r>
      <w:r>
        <w:rPr>
          <w:b/>
          <w:color w:val="000000"/>
          <w:spacing w:val="-1"/>
          <w:sz w:val="28"/>
        </w:rPr>
        <w:t xml:space="preserve">STATEMENT for </w:t>
      </w:r>
      <w:r>
        <w:rPr>
          <w:b/>
          <w:color w:val="000000"/>
          <w:spacing w:val="-1"/>
          <w:sz w:val="28"/>
        </w:rPr>
        <w:br/>
      </w:r>
      <w:r w:rsidR="002615F4" w:rsidRPr="002615F4">
        <w:rPr>
          <w:b/>
          <w:color w:val="000000"/>
          <w:spacing w:val="-1"/>
          <w:sz w:val="28"/>
        </w:rPr>
        <w:t>ASIC Corporations (</w:t>
      </w:r>
      <w:r w:rsidR="008C0868" w:rsidRPr="008C0868">
        <w:rPr>
          <w:b/>
          <w:color w:val="000000"/>
          <w:spacing w:val="-1"/>
          <w:sz w:val="28"/>
        </w:rPr>
        <w:t>Deposit Product Disclosure</w:t>
      </w:r>
      <w:r w:rsidR="002615F4">
        <w:rPr>
          <w:b/>
          <w:color w:val="000000"/>
          <w:spacing w:val="-1"/>
          <w:sz w:val="28"/>
        </w:rPr>
        <w:t xml:space="preserve">) Instrument </w:t>
      </w:r>
      <w:r w:rsidR="002615F4" w:rsidRPr="002615F4">
        <w:rPr>
          <w:b/>
          <w:color w:val="000000"/>
          <w:spacing w:val="-1"/>
          <w:sz w:val="28"/>
        </w:rPr>
        <w:t>201</w:t>
      </w:r>
      <w:r w:rsidR="00CD599D">
        <w:rPr>
          <w:b/>
          <w:color w:val="000000"/>
          <w:spacing w:val="-1"/>
          <w:sz w:val="28"/>
        </w:rPr>
        <w:t>5</w:t>
      </w:r>
      <w:r w:rsidR="00787FCD">
        <w:rPr>
          <w:b/>
          <w:color w:val="000000"/>
          <w:spacing w:val="-1"/>
          <w:sz w:val="28"/>
        </w:rPr>
        <w:t>/</w:t>
      </w:r>
      <w:r w:rsidR="00B45464">
        <w:rPr>
          <w:b/>
          <w:color w:val="000000"/>
          <w:spacing w:val="-1"/>
          <w:sz w:val="28"/>
        </w:rPr>
        <w:t>683</w:t>
      </w:r>
    </w:p>
    <w:p w:rsidR="005B0E3A" w:rsidRDefault="005B0E3A" w:rsidP="005B0E3A">
      <w:pPr>
        <w:pStyle w:val="BodyText"/>
        <w:jc w:val="center"/>
      </w:pPr>
      <w:r>
        <w:t>Prepared by the Australian Securities and Investments Commission</w:t>
      </w:r>
    </w:p>
    <w:p w:rsidR="005B0E3A" w:rsidRDefault="005B0E3A" w:rsidP="005B0E3A">
      <w:pPr>
        <w:spacing w:before="4" w:line="220" w:lineRule="exact"/>
        <w:jc w:val="center"/>
      </w:pPr>
    </w:p>
    <w:p w:rsidR="005B0E3A" w:rsidRDefault="005B0E3A" w:rsidP="005B0E3A">
      <w:pPr>
        <w:jc w:val="center"/>
        <w:rPr>
          <w:sz w:val="24"/>
          <w:szCs w:val="24"/>
        </w:rPr>
      </w:pPr>
      <w:r>
        <w:rPr>
          <w:i/>
          <w:sz w:val="24"/>
        </w:rPr>
        <w:t>Corporations Act 2001</w:t>
      </w:r>
    </w:p>
    <w:p w:rsidR="005B0E3A" w:rsidRDefault="005B0E3A" w:rsidP="005B0E3A">
      <w:pPr>
        <w:spacing w:before="3" w:line="220" w:lineRule="exact"/>
      </w:pPr>
    </w:p>
    <w:p w:rsidR="00D52DB4" w:rsidRDefault="005B0E3A" w:rsidP="005B0E3A">
      <w:pPr>
        <w:pStyle w:val="BodyText"/>
        <w:spacing w:line="261" w:lineRule="auto"/>
        <w:rPr>
          <w:color w:val="000000" w:themeColor="text1"/>
          <w:spacing w:val="-1"/>
        </w:rPr>
      </w:pPr>
      <w:r>
        <w:t xml:space="preserve">The Australian Securities and </w:t>
      </w:r>
      <w:r>
        <w:rPr>
          <w:spacing w:val="-1"/>
        </w:rPr>
        <w:t>Investments</w:t>
      </w:r>
      <w:r>
        <w:t xml:space="preserve"> </w:t>
      </w:r>
      <w:r>
        <w:rPr>
          <w:spacing w:val="-1"/>
        </w:rPr>
        <w:t>Commission</w:t>
      </w:r>
      <w:r>
        <w:t xml:space="preserve"> (ASIC) </w:t>
      </w:r>
      <w:r>
        <w:rPr>
          <w:spacing w:val="-1"/>
        </w:rPr>
        <w:t>ma</w:t>
      </w:r>
      <w:r w:rsidRPr="002615F4">
        <w:rPr>
          <w:color w:val="000000" w:themeColor="text1"/>
          <w:spacing w:val="-1"/>
        </w:rPr>
        <w:t>kes</w:t>
      </w:r>
      <w:r w:rsidR="002615F4" w:rsidRPr="002615F4">
        <w:rPr>
          <w:color w:val="000000" w:themeColor="text1"/>
          <w:spacing w:val="-1"/>
        </w:rPr>
        <w:t xml:space="preserve"> the</w:t>
      </w:r>
      <w:r w:rsidRPr="002615F4">
        <w:rPr>
          <w:color w:val="000000" w:themeColor="text1"/>
        </w:rPr>
        <w:t xml:space="preserve"> </w:t>
      </w:r>
      <w:r w:rsidR="002615F4" w:rsidRPr="002615F4">
        <w:rPr>
          <w:i/>
          <w:color w:val="000000" w:themeColor="text1"/>
        </w:rPr>
        <w:t>ASIC Corporations (</w:t>
      </w:r>
      <w:r w:rsidR="008C0868" w:rsidRPr="008C0868">
        <w:rPr>
          <w:i/>
          <w:color w:val="000000" w:themeColor="text1"/>
        </w:rPr>
        <w:t>Deposit Product Disclosure</w:t>
      </w:r>
      <w:r w:rsidR="002615F4" w:rsidRPr="002615F4">
        <w:rPr>
          <w:i/>
          <w:color w:val="000000" w:themeColor="text1"/>
        </w:rPr>
        <w:t>) Instrument 201</w:t>
      </w:r>
      <w:r w:rsidR="00CD599D">
        <w:rPr>
          <w:i/>
          <w:color w:val="000000" w:themeColor="text1"/>
        </w:rPr>
        <w:t>5</w:t>
      </w:r>
      <w:r w:rsidR="00787FCD">
        <w:rPr>
          <w:i/>
          <w:color w:val="000000" w:themeColor="text1"/>
        </w:rPr>
        <w:t>/</w:t>
      </w:r>
      <w:bookmarkStart w:id="0" w:name="_GoBack"/>
      <w:bookmarkEnd w:id="0"/>
      <w:r w:rsidR="00B45464">
        <w:rPr>
          <w:i/>
          <w:color w:val="000000" w:themeColor="text1"/>
        </w:rPr>
        <w:t>683</w:t>
      </w:r>
      <w:r w:rsidRPr="002615F4">
        <w:rPr>
          <w:color w:val="000000" w:themeColor="text1"/>
          <w:spacing w:val="-1"/>
        </w:rPr>
        <w:t xml:space="preserve"> under </w:t>
      </w:r>
      <w:r w:rsidR="00CD599D">
        <w:rPr>
          <w:color w:val="000000" w:themeColor="text1"/>
        </w:rPr>
        <w:t>paragraph</w:t>
      </w:r>
      <w:r w:rsidR="002615F4" w:rsidRPr="002615F4">
        <w:rPr>
          <w:color w:val="000000" w:themeColor="text1"/>
        </w:rPr>
        <w:t xml:space="preserve"> </w:t>
      </w:r>
      <w:r w:rsidR="00CD599D">
        <w:rPr>
          <w:color w:val="000000" w:themeColor="text1"/>
        </w:rPr>
        <w:t>1020F(1)(a</w:t>
      </w:r>
      <w:r w:rsidR="002615F4" w:rsidRPr="002615F4">
        <w:rPr>
          <w:color w:val="000000" w:themeColor="text1"/>
        </w:rPr>
        <w:t xml:space="preserve">) of the </w:t>
      </w:r>
      <w:r w:rsidR="002615F4" w:rsidRPr="002615F4">
        <w:rPr>
          <w:i/>
          <w:color w:val="000000" w:themeColor="text1"/>
        </w:rPr>
        <w:t xml:space="preserve">Corporations Act 2001 </w:t>
      </w:r>
      <w:r w:rsidR="002615F4" w:rsidRPr="002615F4">
        <w:rPr>
          <w:color w:val="000000" w:themeColor="text1"/>
        </w:rPr>
        <w:t>(</w:t>
      </w:r>
      <w:r w:rsidR="002615F4">
        <w:rPr>
          <w:color w:val="000000" w:themeColor="text1"/>
        </w:rPr>
        <w:t>the</w:t>
      </w:r>
      <w:r w:rsidR="002615F4" w:rsidRPr="002615F4">
        <w:rPr>
          <w:color w:val="000000" w:themeColor="text1"/>
        </w:rPr>
        <w:t xml:space="preserve"> Act)</w:t>
      </w:r>
      <w:r w:rsidRPr="002615F4">
        <w:rPr>
          <w:color w:val="000000" w:themeColor="text1"/>
          <w:spacing w:val="-1"/>
        </w:rPr>
        <w:t>.</w:t>
      </w:r>
    </w:p>
    <w:p w:rsidR="005B0E3A" w:rsidRDefault="002615F4" w:rsidP="005B0E3A">
      <w:pPr>
        <w:pStyle w:val="BodyText"/>
        <w:spacing w:line="261" w:lineRule="auto"/>
      </w:pPr>
      <w:r w:rsidRPr="002615F4">
        <w:rPr>
          <w:color w:val="000000" w:themeColor="text1"/>
        </w:rPr>
        <w:t>Paragraph 1020F(1)(</w:t>
      </w:r>
      <w:r w:rsidR="00CD599D">
        <w:rPr>
          <w:color w:val="000000" w:themeColor="text1"/>
        </w:rPr>
        <w:t>a</w:t>
      </w:r>
      <w:r w:rsidRPr="002615F4">
        <w:rPr>
          <w:color w:val="000000" w:themeColor="text1"/>
        </w:rPr>
        <w:t xml:space="preserve">) provides that ASIC may </w:t>
      </w:r>
      <w:r w:rsidR="00CD599D">
        <w:rPr>
          <w:color w:val="000000" w:themeColor="text1"/>
        </w:rPr>
        <w:t>exempt a person or class of persons from</w:t>
      </w:r>
      <w:r w:rsidRPr="002615F4">
        <w:rPr>
          <w:color w:val="000000" w:themeColor="text1"/>
        </w:rPr>
        <w:t xml:space="preserve"> Part 7.9 of the Act </w:t>
      </w:r>
      <w:r w:rsidR="00CD599D">
        <w:rPr>
          <w:color w:val="000000" w:themeColor="text1"/>
        </w:rPr>
        <w:t>or specified provisions in that Part.</w:t>
      </w:r>
    </w:p>
    <w:p w:rsidR="005B0E3A" w:rsidRDefault="005B0E3A" w:rsidP="005B0E3A">
      <w:pPr>
        <w:spacing w:before="6" w:line="220" w:lineRule="exact"/>
      </w:pPr>
    </w:p>
    <w:p w:rsidR="005B0E3A" w:rsidRDefault="005B0E3A" w:rsidP="005B0E3A">
      <w:pPr>
        <w:widowControl w:val="0"/>
        <w:numPr>
          <w:ilvl w:val="0"/>
          <w:numId w:val="7"/>
        </w:numPr>
        <w:tabs>
          <w:tab w:val="left" w:pos="1592"/>
        </w:tabs>
        <w:spacing w:before="145" w:after="0"/>
        <w:ind w:left="0" w:firstLine="0"/>
        <w:rPr>
          <w:rFonts w:ascii="Arial" w:eastAsia="Arial" w:hAnsi="Arial" w:cs="Arial"/>
          <w:sz w:val="24"/>
          <w:szCs w:val="24"/>
        </w:rPr>
      </w:pPr>
      <w:bookmarkStart w:id="1" w:name="1._Background"/>
      <w:bookmarkEnd w:id="1"/>
      <w:r>
        <w:rPr>
          <w:rFonts w:ascii="Arial"/>
          <w:b/>
          <w:spacing w:val="-1"/>
          <w:sz w:val="24"/>
        </w:rPr>
        <w:t>Background</w:t>
      </w:r>
    </w:p>
    <w:p w:rsidR="00CD599D" w:rsidRDefault="00CD599D" w:rsidP="00CD599D">
      <w:pPr>
        <w:rPr>
          <w:i/>
        </w:rPr>
      </w:pPr>
    </w:p>
    <w:p w:rsidR="00CD599D" w:rsidRPr="00B45464" w:rsidRDefault="00CD599D" w:rsidP="00CD599D">
      <w:pPr>
        <w:rPr>
          <w:i/>
          <w:sz w:val="24"/>
          <w:szCs w:val="24"/>
        </w:rPr>
      </w:pPr>
      <w:r w:rsidRPr="00B45464">
        <w:rPr>
          <w:i/>
          <w:sz w:val="24"/>
          <w:szCs w:val="24"/>
        </w:rPr>
        <w:t>Disclosure of interest rates in Product Disclosure Statements</w:t>
      </w:r>
    </w:p>
    <w:p w:rsidR="00CD599D" w:rsidRDefault="00CD599D" w:rsidP="00CD599D">
      <w:pPr>
        <w:pStyle w:val="BodyText"/>
        <w:spacing w:before="199"/>
      </w:pPr>
      <w:r>
        <w:t>Generally issuers of financial products (such as deposit products) must prepare a Product Disclosure Statement (PDS) that contains the information described in s</w:t>
      </w:r>
      <w:r w:rsidR="00704C0C">
        <w:t xml:space="preserve">ection </w:t>
      </w:r>
      <w:r>
        <w:t xml:space="preserve">1013D of the Act. </w:t>
      </w:r>
    </w:p>
    <w:p w:rsidR="00CD599D" w:rsidRDefault="00CD599D" w:rsidP="00CD599D">
      <w:pPr>
        <w:pStyle w:val="BodyText"/>
        <w:spacing w:before="199"/>
      </w:pPr>
      <w:r>
        <w:t>Section 1013D requires product issuers to include information about significant benefits to which the person acquiring the product may or will become entitled. Information containe</w:t>
      </w:r>
      <w:r w:rsidR="00B928F5">
        <w:t>d in the PDS must be up-to-date: see s</w:t>
      </w:r>
      <w:r w:rsidR="00704C0C">
        <w:t xml:space="preserve">ection </w:t>
      </w:r>
      <w:r w:rsidR="00B928F5">
        <w:t>1012J.</w:t>
      </w:r>
    </w:p>
    <w:p w:rsidR="00B928F5" w:rsidRDefault="00B928F5" w:rsidP="00B928F5">
      <w:pPr>
        <w:pStyle w:val="BodyText"/>
        <w:spacing w:before="199"/>
      </w:pPr>
      <w:r>
        <w:t>These obligations would normally require a PDS for a deposit product to include the interest rate payable on deposits. Changes to applicable interest rates would then need to be reflected in updated information, either by replacing the PDS or issuing a supplementary PDS. This requirement is likely to:</w:t>
      </w:r>
    </w:p>
    <w:p w:rsidR="00B928F5" w:rsidRDefault="00B928F5" w:rsidP="00B928F5">
      <w:pPr>
        <w:pStyle w:val="BodyText"/>
        <w:numPr>
          <w:ilvl w:val="1"/>
          <w:numId w:val="16"/>
        </w:numPr>
        <w:tabs>
          <w:tab w:val="clear" w:pos="567"/>
          <w:tab w:val="clear" w:pos="680"/>
          <w:tab w:val="left" w:pos="1134"/>
        </w:tabs>
        <w:spacing w:before="199"/>
        <w:ind w:left="1134" w:hanging="567"/>
      </w:pPr>
      <w:r>
        <w:t>be burdensome, because the cost for product providers to update interest rate information in PDSs would be substantial; and</w:t>
      </w:r>
    </w:p>
    <w:p w:rsidR="00B928F5" w:rsidRDefault="00B928F5" w:rsidP="00B928F5">
      <w:pPr>
        <w:pStyle w:val="BodyText"/>
        <w:numPr>
          <w:ilvl w:val="1"/>
          <w:numId w:val="16"/>
        </w:numPr>
        <w:tabs>
          <w:tab w:val="clear" w:pos="567"/>
          <w:tab w:val="clear" w:pos="680"/>
          <w:tab w:val="left" w:pos="1134"/>
        </w:tabs>
        <w:spacing w:before="199"/>
        <w:ind w:left="1134" w:hanging="567"/>
      </w:pPr>
      <w:r>
        <w:t>act as a disincentive to product changes, such as interest rate increases, that would benefit consumers.</w:t>
      </w:r>
    </w:p>
    <w:p w:rsidR="00704C0C" w:rsidRDefault="00787FCD" w:rsidP="00787FCD">
      <w:pPr>
        <w:pStyle w:val="BodyText"/>
        <w:tabs>
          <w:tab w:val="clear" w:pos="567"/>
          <w:tab w:val="clear" w:pos="680"/>
          <w:tab w:val="left" w:pos="1134"/>
        </w:tabs>
        <w:spacing w:before="199"/>
      </w:pPr>
      <w:r>
        <w:lastRenderedPageBreak/>
        <w:t>A PDS does not have to be prepared for m</w:t>
      </w:r>
      <w:r w:rsidR="00704C0C">
        <w:t>any basic deposit products because of an exemption from the requirement to give a PDS for those products</w:t>
      </w:r>
      <w:r w:rsidR="00D770AA">
        <w:t xml:space="preserve"> (s</w:t>
      </w:r>
      <w:r w:rsidR="00201704">
        <w:t xml:space="preserve">ubsection </w:t>
      </w:r>
      <w:r w:rsidR="00D770AA">
        <w:t>1012D(7A</w:t>
      </w:r>
      <w:r w:rsidR="00201704">
        <w:t xml:space="preserve">), as inserted </w:t>
      </w:r>
      <w:r w:rsidR="00D770AA">
        <w:t>by reg</w:t>
      </w:r>
      <w:r w:rsidR="00077A9C">
        <w:t>ulation</w:t>
      </w:r>
      <w:r w:rsidR="00D770AA">
        <w:t xml:space="preserve"> 7.9.07FA of the Corporations Regulations 2001)</w:t>
      </w:r>
      <w:r w:rsidR="00704C0C">
        <w:t xml:space="preserve">. </w:t>
      </w:r>
    </w:p>
    <w:p w:rsidR="00B928F5" w:rsidRPr="00B45464" w:rsidRDefault="00B928F5" w:rsidP="00CD599D">
      <w:pPr>
        <w:rPr>
          <w:i/>
          <w:sz w:val="24"/>
          <w:szCs w:val="24"/>
        </w:rPr>
      </w:pPr>
    </w:p>
    <w:p w:rsidR="00CD599D" w:rsidRPr="00B45464" w:rsidRDefault="00CD599D" w:rsidP="00CD599D">
      <w:pPr>
        <w:rPr>
          <w:i/>
          <w:sz w:val="24"/>
          <w:szCs w:val="24"/>
        </w:rPr>
      </w:pPr>
      <w:r w:rsidRPr="00B45464">
        <w:rPr>
          <w:i/>
          <w:sz w:val="24"/>
          <w:szCs w:val="24"/>
        </w:rPr>
        <w:t>Disclosure of termination values in periodic statements</w:t>
      </w:r>
    </w:p>
    <w:p w:rsidR="00B928F5" w:rsidRDefault="00B928F5" w:rsidP="00B928F5">
      <w:pPr>
        <w:pStyle w:val="BodyText"/>
        <w:spacing w:before="199"/>
      </w:pPr>
      <w:r>
        <w:t>Section 1017D requires issuers of deposit products to give their retail clients periodic statements that contain specified information. Periodic statements must include the termination value of the investment (in dollars) at the end of the statement period. A termination value is the amount that would be paid to the consumer if they closed their account at that time. The statement must also include the closing balance of the deposit account.</w:t>
      </w:r>
    </w:p>
    <w:p w:rsidR="00CD599D" w:rsidRDefault="00B928F5" w:rsidP="00B928F5">
      <w:pPr>
        <w:pStyle w:val="BodyText"/>
        <w:spacing w:before="199"/>
      </w:pPr>
      <w:r>
        <w:t>There has been uncertainty about whether a periodic statement for a deposit product must include both a closing balance and a termination value. In the context of this uncertainty, the requirement to include a termination value in periodic statements for deposit products would be unduly burdensome because:</w:t>
      </w:r>
    </w:p>
    <w:p w:rsidR="00CD599D" w:rsidRDefault="00790B7F" w:rsidP="00CD599D">
      <w:pPr>
        <w:pStyle w:val="BodyText"/>
        <w:numPr>
          <w:ilvl w:val="1"/>
          <w:numId w:val="16"/>
        </w:numPr>
        <w:tabs>
          <w:tab w:val="clear" w:pos="567"/>
          <w:tab w:val="clear" w:pos="680"/>
          <w:tab w:val="left" w:pos="1134"/>
        </w:tabs>
        <w:spacing w:before="199"/>
        <w:ind w:left="1134" w:hanging="567"/>
      </w:pPr>
      <w:r>
        <w:t>t</w:t>
      </w:r>
      <w:r w:rsidR="00CD599D">
        <w:t>here is often no difference between the closing balance and the termination value and the additional disclosure may be confusing; and</w:t>
      </w:r>
    </w:p>
    <w:p w:rsidR="00CD599D" w:rsidRDefault="00790B7F" w:rsidP="00CD599D">
      <w:pPr>
        <w:pStyle w:val="BodyText"/>
        <w:numPr>
          <w:ilvl w:val="1"/>
          <w:numId w:val="16"/>
        </w:numPr>
        <w:tabs>
          <w:tab w:val="clear" w:pos="567"/>
          <w:tab w:val="clear" w:pos="680"/>
          <w:tab w:val="left" w:pos="1134"/>
        </w:tabs>
        <w:spacing w:before="199"/>
        <w:ind w:left="1134" w:hanging="567"/>
      </w:pPr>
      <w:r>
        <w:t>t</w:t>
      </w:r>
      <w:r w:rsidR="00CD599D">
        <w:t>he PDS would include information about whether there are any restrictions on termination and if any early termination costs may apply.</w:t>
      </w:r>
    </w:p>
    <w:p w:rsidR="00CD599D" w:rsidRDefault="002615F4" w:rsidP="007C2047">
      <w:pPr>
        <w:pStyle w:val="BodyText"/>
        <w:spacing w:before="199"/>
      </w:pPr>
      <w:r>
        <w:t>ASIC</w:t>
      </w:r>
      <w:r w:rsidR="002B7536">
        <w:t xml:space="preserve"> previously addressed these issue</w:t>
      </w:r>
      <w:r w:rsidR="007C2047">
        <w:t>s</w:t>
      </w:r>
      <w:r w:rsidR="002B7536">
        <w:t xml:space="preserve"> by making </w:t>
      </w:r>
      <w:r w:rsidR="00CC3EC5">
        <w:t xml:space="preserve">ASIC </w:t>
      </w:r>
      <w:r w:rsidR="002B7536" w:rsidRPr="002B7536">
        <w:t>Class Order [CO 0</w:t>
      </w:r>
      <w:r w:rsidR="00CD599D">
        <w:t>5</w:t>
      </w:r>
      <w:r w:rsidR="002B7536" w:rsidRPr="002B7536">
        <w:t>/6</w:t>
      </w:r>
      <w:r w:rsidR="00CD599D">
        <w:t>81</w:t>
      </w:r>
      <w:r w:rsidR="002B7536" w:rsidRPr="002B7536">
        <w:t>]</w:t>
      </w:r>
      <w:r w:rsidR="00CC3EC5">
        <w:t xml:space="preserve"> ([</w:t>
      </w:r>
      <w:r w:rsidR="00D770AA">
        <w:t xml:space="preserve">CO </w:t>
      </w:r>
      <w:r w:rsidR="00CC3EC5">
        <w:t>05/681])</w:t>
      </w:r>
      <w:r w:rsidR="002B7536" w:rsidRPr="002B7536">
        <w:t xml:space="preserve"> </w:t>
      </w:r>
      <w:r w:rsidR="00CD599D" w:rsidRPr="00CD599D">
        <w:rPr>
          <w:i/>
        </w:rPr>
        <w:t>Transitional relief for deposit product providers — PDSs and periodic statements</w:t>
      </w:r>
      <w:r w:rsidR="002B7536" w:rsidRPr="002B7536">
        <w:t xml:space="preserve">. </w:t>
      </w:r>
      <w:r w:rsidR="00CD599D">
        <w:t xml:space="preserve">[CO 05/681] initially addressed these issues until 30 June 2006. ASIC subsequently </w:t>
      </w:r>
      <w:r w:rsidR="00391B9C">
        <w:t xml:space="preserve">amended </w:t>
      </w:r>
      <w:r w:rsidR="00B928F5">
        <w:t xml:space="preserve">[CO 05/681] </w:t>
      </w:r>
      <w:r w:rsidR="00391B9C">
        <w:t>to mak</w:t>
      </w:r>
      <w:r w:rsidR="00CD599D">
        <w:t xml:space="preserve">e the relief </w:t>
      </w:r>
      <w:r w:rsidR="00391B9C">
        <w:t>it provides from Part 7.9</w:t>
      </w:r>
      <w:r w:rsidR="00CD599D">
        <w:t xml:space="preserve"> ongoing.</w:t>
      </w:r>
    </w:p>
    <w:p w:rsidR="002615F4" w:rsidRPr="002B7536" w:rsidRDefault="002B7536" w:rsidP="007C2047">
      <w:pPr>
        <w:pStyle w:val="BodyText"/>
        <w:spacing w:before="199"/>
      </w:pPr>
      <w:r w:rsidRPr="002B7536">
        <w:t xml:space="preserve">[CO </w:t>
      </w:r>
      <w:r w:rsidR="00CD599D">
        <w:t>05/681</w:t>
      </w:r>
      <w:r w:rsidRPr="002B7536">
        <w:t xml:space="preserve">] sunsets on </w:t>
      </w:r>
      <w:r w:rsidR="00EB301E">
        <w:t>1 October 201</w:t>
      </w:r>
      <w:r w:rsidR="00CD599D">
        <w:t>5</w:t>
      </w:r>
      <w:r w:rsidR="00391B9C">
        <w:t xml:space="preserve">. </w:t>
      </w:r>
      <w:r w:rsidRPr="002B7536">
        <w:t>ASIC has reviewed its operation and, as a result, made the</w:t>
      </w:r>
      <w:r>
        <w:rPr>
          <w:b/>
        </w:rPr>
        <w:t xml:space="preserve"> </w:t>
      </w:r>
      <w:r w:rsidR="00B928F5" w:rsidRPr="002615F4">
        <w:rPr>
          <w:i/>
          <w:color w:val="000000" w:themeColor="text1"/>
        </w:rPr>
        <w:t>ASIC Corporations (</w:t>
      </w:r>
      <w:r w:rsidR="008C0868" w:rsidRPr="008C0868">
        <w:rPr>
          <w:i/>
          <w:color w:val="000000" w:themeColor="text1"/>
        </w:rPr>
        <w:t>Deposit Product Disclosure</w:t>
      </w:r>
      <w:r w:rsidR="00B928F5" w:rsidRPr="002615F4">
        <w:rPr>
          <w:i/>
          <w:color w:val="000000" w:themeColor="text1"/>
        </w:rPr>
        <w:t>) Instrument 201</w:t>
      </w:r>
      <w:r w:rsidR="00B928F5">
        <w:rPr>
          <w:i/>
          <w:color w:val="000000" w:themeColor="text1"/>
        </w:rPr>
        <w:t>5</w:t>
      </w:r>
      <w:r w:rsidR="00787FCD">
        <w:rPr>
          <w:i/>
          <w:color w:val="000000" w:themeColor="text1"/>
        </w:rPr>
        <w:t>/</w:t>
      </w:r>
      <w:r w:rsidR="00B45464">
        <w:rPr>
          <w:i/>
          <w:color w:val="000000" w:themeColor="text1"/>
        </w:rPr>
        <w:t>683</w:t>
      </w:r>
      <w:r w:rsidR="00B928F5">
        <w:rPr>
          <w:i/>
          <w:color w:val="000000" w:themeColor="text1"/>
        </w:rPr>
        <w:t>.</w:t>
      </w:r>
    </w:p>
    <w:p w:rsidR="005B0E3A" w:rsidRDefault="005B0E3A" w:rsidP="005B0E3A">
      <w:pPr>
        <w:spacing w:line="240" w:lineRule="exact"/>
        <w:rPr>
          <w:sz w:val="24"/>
          <w:szCs w:val="24"/>
        </w:rPr>
      </w:pPr>
    </w:p>
    <w:p w:rsidR="005B0E3A" w:rsidRPr="002B7536" w:rsidRDefault="005B0E3A" w:rsidP="002B7536">
      <w:pPr>
        <w:widowControl w:val="0"/>
        <w:numPr>
          <w:ilvl w:val="0"/>
          <w:numId w:val="7"/>
        </w:numPr>
        <w:tabs>
          <w:tab w:val="left" w:pos="1592"/>
        </w:tabs>
        <w:spacing w:before="145" w:after="0"/>
        <w:ind w:left="0" w:firstLine="0"/>
        <w:rPr>
          <w:rFonts w:ascii="Arial"/>
          <w:b/>
          <w:spacing w:val="-1"/>
          <w:sz w:val="24"/>
        </w:rPr>
      </w:pPr>
      <w:bookmarkStart w:id="2" w:name="2._Purpose_of_the_class_order_"/>
      <w:bookmarkEnd w:id="2"/>
      <w:r w:rsidRPr="002B7536">
        <w:rPr>
          <w:rFonts w:ascii="Arial"/>
          <w:b/>
          <w:spacing w:val="-1"/>
          <w:sz w:val="24"/>
        </w:rPr>
        <w:t>Purpose of the instrument</w:t>
      </w:r>
    </w:p>
    <w:p w:rsidR="005B0E3A" w:rsidRPr="00B45464" w:rsidRDefault="002B7536" w:rsidP="00493158">
      <w:pPr>
        <w:pStyle w:val="BodyText"/>
        <w:spacing w:before="199"/>
        <w:rPr>
          <w:szCs w:val="24"/>
        </w:rPr>
      </w:pPr>
      <w:bookmarkStart w:id="3" w:name="Insert_a_level_3_heading_"/>
      <w:bookmarkEnd w:id="3"/>
      <w:r w:rsidRPr="00B45464">
        <w:rPr>
          <w:szCs w:val="24"/>
        </w:rPr>
        <w:t xml:space="preserve">The purpose of the </w:t>
      </w:r>
      <w:r w:rsidRPr="00B45464">
        <w:rPr>
          <w:i/>
          <w:szCs w:val="24"/>
        </w:rPr>
        <w:t>ASIC Corporations (</w:t>
      </w:r>
      <w:r w:rsidR="008C0868" w:rsidRPr="00B45464">
        <w:rPr>
          <w:i/>
          <w:color w:val="000000" w:themeColor="text1"/>
          <w:szCs w:val="24"/>
        </w:rPr>
        <w:t>Deposit Product Disclosure</w:t>
      </w:r>
      <w:r w:rsidR="00CD599D" w:rsidRPr="00B45464">
        <w:rPr>
          <w:i/>
          <w:szCs w:val="24"/>
        </w:rPr>
        <w:t>) Instrument 2015</w:t>
      </w:r>
      <w:r w:rsidR="00B45464" w:rsidRPr="00B45464">
        <w:rPr>
          <w:i/>
          <w:szCs w:val="24"/>
        </w:rPr>
        <w:t>/683</w:t>
      </w:r>
      <w:r w:rsidRPr="00B45464">
        <w:rPr>
          <w:szCs w:val="24"/>
        </w:rPr>
        <w:t xml:space="preserve"> is to </w:t>
      </w:r>
      <w:r w:rsidR="007814B5" w:rsidRPr="00B45464">
        <w:rPr>
          <w:szCs w:val="24"/>
        </w:rPr>
        <w:t>remove the unnecessary burden of:</w:t>
      </w:r>
    </w:p>
    <w:p w:rsidR="007814B5" w:rsidRPr="00B45464" w:rsidRDefault="007814B5" w:rsidP="007814B5">
      <w:pPr>
        <w:pStyle w:val="BodyText"/>
        <w:numPr>
          <w:ilvl w:val="1"/>
          <w:numId w:val="16"/>
        </w:numPr>
        <w:tabs>
          <w:tab w:val="clear" w:pos="567"/>
          <w:tab w:val="clear" w:pos="680"/>
          <w:tab w:val="left" w:pos="1134"/>
        </w:tabs>
        <w:spacing w:before="199"/>
        <w:ind w:left="1134" w:hanging="567"/>
        <w:rPr>
          <w:szCs w:val="24"/>
        </w:rPr>
      </w:pPr>
      <w:r w:rsidRPr="00B45464">
        <w:rPr>
          <w:szCs w:val="24"/>
        </w:rPr>
        <w:t>disclosing interest rates in a PDS for a deposit product; and</w:t>
      </w:r>
    </w:p>
    <w:p w:rsidR="007814B5" w:rsidRPr="00B45464" w:rsidRDefault="007814B5" w:rsidP="007814B5">
      <w:pPr>
        <w:pStyle w:val="BodyText"/>
        <w:numPr>
          <w:ilvl w:val="1"/>
          <w:numId w:val="16"/>
        </w:numPr>
        <w:tabs>
          <w:tab w:val="clear" w:pos="567"/>
          <w:tab w:val="clear" w:pos="680"/>
          <w:tab w:val="left" w:pos="1134"/>
        </w:tabs>
        <w:spacing w:before="199"/>
        <w:ind w:left="1134" w:hanging="567"/>
        <w:rPr>
          <w:szCs w:val="24"/>
        </w:rPr>
      </w:pPr>
      <w:r w:rsidRPr="00B45464">
        <w:rPr>
          <w:szCs w:val="24"/>
        </w:rPr>
        <w:t>disclosing a termination value in a periodic statement for a deposit product.</w:t>
      </w:r>
    </w:p>
    <w:p w:rsidR="00493158" w:rsidRPr="00493158" w:rsidRDefault="00493158" w:rsidP="00493158">
      <w:pPr>
        <w:spacing w:line="240" w:lineRule="exact"/>
        <w:rPr>
          <w:sz w:val="24"/>
          <w:szCs w:val="24"/>
        </w:rPr>
      </w:pPr>
    </w:p>
    <w:p w:rsidR="005B0E3A" w:rsidRPr="00493158" w:rsidRDefault="005B0E3A" w:rsidP="00493158">
      <w:pPr>
        <w:widowControl w:val="0"/>
        <w:numPr>
          <w:ilvl w:val="0"/>
          <w:numId w:val="7"/>
        </w:numPr>
        <w:tabs>
          <w:tab w:val="left" w:pos="1592"/>
        </w:tabs>
        <w:spacing w:before="145" w:after="0"/>
        <w:ind w:left="0" w:firstLine="0"/>
        <w:rPr>
          <w:rFonts w:ascii="Arial"/>
          <w:b/>
          <w:spacing w:val="-1"/>
          <w:sz w:val="24"/>
        </w:rPr>
      </w:pPr>
      <w:bookmarkStart w:id="4" w:name="3._Operation_of_the_class_order_"/>
      <w:bookmarkEnd w:id="4"/>
      <w:r w:rsidRPr="00493158">
        <w:rPr>
          <w:rFonts w:ascii="Arial"/>
          <w:b/>
          <w:spacing w:val="-1"/>
          <w:sz w:val="24"/>
        </w:rPr>
        <w:t>Operation of the instrument</w:t>
      </w:r>
    </w:p>
    <w:p w:rsidR="00493158" w:rsidRDefault="00493158" w:rsidP="00493158">
      <w:pPr>
        <w:pStyle w:val="BodyText"/>
        <w:spacing w:before="199"/>
      </w:pPr>
      <w:r>
        <w:t xml:space="preserve">Clause 5 of the instrument </w:t>
      </w:r>
      <w:r w:rsidR="007814B5">
        <w:t>provide</w:t>
      </w:r>
      <w:r w:rsidR="00B928F5">
        <w:t>s</w:t>
      </w:r>
      <w:r w:rsidR="007814B5">
        <w:t xml:space="preserve"> that a responsibl</w:t>
      </w:r>
      <w:r w:rsidR="007814B5" w:rsidRPr="00B45464">
        <w:rPr>
          <w:szCs w:val="24"/>
        </w:rPr>
        <w:t>e person does not need to comply with Division 2 of Part 7.9 to the extent that those provisions require a PDS for a deposit product to include the interest rate that applies to that product.</w:t>
      </w:r>
    </w:p>
    <w:p w:rsidR="007814B5" w:rsidRDefault="007814B5" w:rsidP="00493158">
      <w:pPr>
        <w:pStyle w:val="BodyText"/>
        <w:spacing w:before="199"/>
      </w:pPr>
      <w:r>
        <w:lastRenderedPageBreak/>
        <w:t>Consumers will continue to receive clear, appropriate disclosure because the exemption is only available where the responsible person takes steps to ensure that:</w:t>
      </w:r>
    </w:p>
    <w:p w:rsidR="00493158" w:rsidRDefault="00790B7F" w:rsidP="00D52DB4">
      <w:pPr>
        <w:pStyle w:val="BodyText"/>
        <w:numPr>
          <w:ilvl w:val="1"/>
          <w:numId w:val="16"/>
        </w:numPr>
        <w:tabs>
          <w:tab w:val="clear" w:pos="567"/>
          <w:tab w:val="clear" w:pos="680"/>
          <w:tab w:val="left" w:pos="1134"/>
        </w:tabs>
        <w:spacing w:before="199"/>
        <w:ind w:left="1134" w:hanging="567"/>
      </w:pPr>
      <w:r>
        <w:t>t</w:t>
      </w:r>
      <w:r w:rsidR="007814B5">
        <w:t>he PDS describe</w:t>
      </w:r>
      <w:r w:rsidR="00704C0C">
        <w:t>s</w:t>
      </w:r>
      <w:r w:rsidR="007814B5">
        <w:t xml:space="preserve"> how a person may find out what interest rate applies to the product; and</w:t>
      </w:r>
    </w:p>
    <w:p w:rsidR="007814B5" w:rsidRDefault="00790B7F" w:rsidP="00D52DB4">
      <w:pPr>
        <w:pStyle w:val="BodyText"/>
        <w:numPr>
          <w:ilvl w:val="1"/>
          <w:numId w:val="16"/>
        </w:numPr>
        <w:tabs>
          <w:tab w:val="clear" w:pos="567"/>
          <w:tab w:val="clear" w:pos="680"/>
          <w:tab w:val="left" w:pos="1134"/>
        </w:tabs>
        <w:spacing w:before="199"/>
        <w:ind w:left="1134" w:hanging="567"/>
      </w:pPr>
      <w:r>
        <w:t>t</w:t>
      </w:r>
      <w:r w:rsidR="007814B5">
        <w:t>he person may find out the interest rate in a free, simple and convenient way.</w:t>
      </w:r>
    </w:p>
    <w:p w:rsidR="007814B5" w:rsidRDefault="007814B5" w:rsidP="007814B5">
      <w:pPr>
        <w:pStyle w:val="BodyText"/>
        <w:spacing w:before="199"/>
      </w:pPr>
      <w:r>
        <w:t>Clause 6 of the instrument provide</w:t>
      </w:r>
      <w:r w:rsidR="00B928F5">
        <w:t>s</w:t>
      </w:r>
      <w:r>
        <w:t xml:space="preserve"> that the issuer of a deposit product does not need to include a termination value of the kind described in paragraph 1017D(5)(b) in the periodic statements it is required to give its retail clients under subsection 1017D(1).</w:t>
      </w:r>
    </w:p>
    <w:p w:rsidR="005B0E3A" w:rsidRDefault="005B0E3A" w:rsidP="005B0E3A">
      <w:pPr>
        <w:spacing w:line="240" w:lineRule="exact"/>
        <w:rPr>
          <w:sz w:val="24"/>
          <w:szCs w:val="24"/>
        </w:rPr>
      </w:pPr>
    </w:p>
    <w:p w:rsidR="005B0E3A" w:rsidRPr="00D52DB4" w:rsidRDefault="005B0E3A" w:rsidP="005B0E3A">
      <w:pPr>
        <w:pStyle w:val="Heading3"/>
        <w:keepNext w:val="0"/>
        <w:widowControl w:val="0"/>
        <w:numPr>
          <w:ilvl w:val="0"/>
          <w:numId w:val="7"/>
        </w:numPr>
        <w:tabs>
          <w:tab w:val="left" w:pos="1593"/>
        </w:tabs>
        <w:spacing w:after="0" w:line="240" w:lineRule="auto"/>
        <w:ind w:left="0" w:firstLine="0"/>
        <w:jc w:val="left"/>
        <w:rPr>
          <w:rFonts w:ascii="Arial"/>
          <w:b/>
          <w:spacing w:val="-1"/>
          <w:sz w:val="24"/>
        </w:rPr>
      </w:pPr>
      <w:bookmarkStart w:id="5" w:name="5._Consultation"/>
      <w:bookmarkEnd w:id="5"/>
      <w:r w:rsidRPr="00D52DB4">
        <w:rPr>
          <w:rFonts w:ascii="Arial"/>
          <w:b/>
          <w:spacing w:val="-1"/>
          <w:sz w:val="24"/>
        </w:rPr>
        <w:t>Consultation</w:t>
      </w:r>
    </w:p>
    <w:p w:rsidR="00B928F5" w:rsidRPr="00D770AA" w:rsidRDefault="00B928F5" w:rsidP="00B928F5">
      <w:pPr>
        <w:pStyle w:val="Bodytextplain"/>
        <w:ind w:left="0"/>
        <w:rPr>
          <w:sz w:val="24"/>
          <w:szCs w:val="24"/>
        </w:rPr>
      </w:pPr>
      <w:r w:rsidRPr="00D770AA">
        <w:rPr>
          <w:sz w:val="24"/>
          <w:szCs w:val="24"/>
        </w:rPr>
        <w:t xml:space="preserve">As part of its review of [CO 05/681], ASIC released </w:t>
      </w:r>
      <w:r w:rsidRPr="00B45464">
        <w:rPr>
          <w:sz w:val="24"/>
          <w:szCs w:val="24"/>
        </w:rPr>
        <w:t xml:space="preserve">Consultation Paper 230 </w:t>
      </w:r>
      <w:r w:rsidRPr="00B45464">
        <w:rPr>
          <w:i/>
          <w:sz w:val="24"/>
          <w:szCs w:val="24"/>
        </w:rPr>
        <w:t xml:space="preserve">Remaking ASIC class orders on banking and insurance </w:t>
      </w:r>
      <w:r w:rsidRPr="00B45464">
        <w:rPr>
          <w:sz w:val="24"/>
          <w:szCs w:val="24"/>
        </w:rPr>
        <w:t xml:space="preserve">(CP 230). A draft of </w:t>
      </w:r>
      <w:r w:rsidR="00B45464" w:rsidRPr="00B45464">
        <w:rPr>
          <w:sz w:val="24"/>
          <w:szCs w:val="24"/>
        </w:rPr>
        <w:t>the</w:t>
      </w:r>
      <w:r w:rsidR="00B45464" w:rsidRPr="00B45464">
        <w:rPr>
          <w:b/>
          <w:sz w:val="24"/>
          <w:szCs w:val="24"/>
        </w:rPr>
        <w:t xml:space="preserve"> </w:t>
      </w:r>
      <w:r w:rsidR="00B45464" w:rsidRPr="00B45464">
        <w:rPr>
          <w:i/>
          <w:color w:val="000000" w:themeColor="text1"/>
          <w:sz w:val="24"/>
          <w:szCs w:val="24"/>
        </w:rPr>
        <w:t>ASIC Corporations (Deposit Product Disclosure) Instrument 2015/683</w:t>
      </w:r>
      <w:r w:rsidR="00B45464">
        <w:rPr>
          <w:i/>
          <w:color w:val="000000" w:themeColor="text1"/>
          <w:sz w:val="24"/>
          <w:szCs w:val="24"/>
        </w:rPr>
        <w:t xml:space="preserve"> </w:t>
      </w:r>
      <w:r w:rsidRPr="00B45464">
        <w:rPr>
          <w:sz w:val="24"/>
          <w:szCs w:val="24"/>
        </w:rPr>
        <w:t>was attached to CP 230.</w:t>
      </w:r>
    </w:p>
    <w:p w:rsidR="00B928F5" w:rsidRPr="00D770AA" w:rsidRDefault="00B928F5" w:rsidP="00B928F5">
      <w:pPr>
        <w:pStyle w:val="Bodytextplain"/>
        <w:ind w:left="0"/>
        <w:rPr>
          <w:sz w:val="24"/>
          <w:szCs w:val="24"/>
        </w:rPr>
        <w:sectPr w:rsidR="00B928F5" w:rsidRPr="00D770AA" w:rsidSect="00A33EB8">
          <w:headerReference w:type="even" r:id="rId9"/>
          <w:headerReference w:type="default" r:id="rId10"/>
          <w:footerReference w:type="even" r:id="rId11"/>
          <w:footerReference w:type="default" r:id="rId12"/>
          <w:headerReference w:type="first" r:id="rId13"/>
          <w:pgSz w:w="11906" w:h="16838" w:code="9"/>
          <w:pgMar w:top="1644" w:right="1418" w:bottom="1418" w:left="1418" w:header="567" w:footer="567" w:gutter="0"/>
          <w:cols w:space="720"/>
          <w:docGrid w:linePitch="299"/>
        </w:sectPr>
      </w:pPr>
      <w:r w:rsidRPr="00D770AA">
        <w:rPr>
          <w:sz w:val="24"/>
          <w:szCs w:val="24"/>
        </w:rPr>
        <w:t xml:space="preserve">ASIC received </w:t>
      </w:r>
      <w:r w:rsidR="00787FCD" w:rsidRPr="00D770AA">
        <w:rPr>
          <w:sz w:val="24"/>
          <w:szCs w:val="24"/>
        </w:rPr>
        <w:t xml:space="preserve">3 </w:t>
      </w:r>
      <w:r w:rsidRPr="00D770AA">
        <w:rPr>
          <w:sz w:val="24"/>
          <w:szCs w:val="24"/>
        </w:rPr>
        <w:t xml:space="preserve">submissions in response to CP 230. </w:t>
      </w:r>
      <w:r w:rsidR="00787FCD" w:rsidRPr="00D770AA">
        <w:rPr>
          <w:sz w:val="24"/>
          <w:szCs w:val="24"/>
        </w:rPr>
        <w:t>No submissions received raised any concerns with ASIC’s proposal to remake [CO 05/681] in the form outlined in CP230.</w:t>
      </w:r>
    </w:p>
    <w:p w:rsidR="000076D6" w:rsidRDefault="000076D6">
      <w:r>
        <w:rPr>
          <w:noProof/>
        </w:rPr>
        <w:lastRenderedPageBreak/>
        <mc:AlternateContent>
          <mc:Choice Requires="wps">
            <w:drawing>
              <wp:anchor distT="0" distB="0" distL="114300" distR="114300" simplePos="0" relativeHeight="251659264" behindDoc="0" locked="0" layoutInCell="1" allowOverlap="1">
                <wp:simplePos x="0" y="0"/>
                <wp:positionH relativeFrom="column">
                  <wp:posOffset>19050</wp:posOffset>
                </wp:positionH>
                <wp:positionV relativeFrom="paragraph">
                  <wp:posOffset>492760</wp:posOffset>
                </wp:positionV>
                <wp:extent cx="5311140" cy="6791325"/>
                <wp:effectExtent l="38100" t="38100" r="41910" b="4762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11140" cy="6791325"/>
                        </a:xfrm>
                        <a:prstGeom prst="rect">
                          <a:avLst/>
                        </a:prstGeom>
                        <a:solidFill>
                          <a:srgbClr val="FFFFFF"/>
                        </a:solidFill>
                        <a:ln w="76200" cmpd="tri">
                          <a:solidFill>
                            <a:srgbClr val="000000"/>
                          </a:solidFill>
                          <a:miter lim="800000"/>
                          <a:headEnd/>
                          <a:tailEnd/>
                        </a:ln>
                      </wps:spPr>
                      <wps:txbx>
                        <w:txbxContent>
                          <w:p w:rsidR="000076D6" w:rsidRPr="00834797" w:rsidRDefault="000076D6" w:rsidP="000076D6">
                            <w:pPr>
                              <w:spacing w:before="360" w:after="120"/>
                              <w:jc w:val="center"/>
                              <w:rPr>
                                <w:b/>
                              </w:rPr>
                            </w:pPr>
                            <w:r w:rsidRPr="00834797">
                              <w:rPr>
                                <w:b/>
                              </w:rPr>
                              <w:t>Statement of Compatibility with Human Rights</w:t>
                            </w:r>
                          </w:p>
                          <w:p w:rsidR="000076D6" w:rsidRPr="00247F54" w:rsidRDefault="000076D6" w:rsidP="000076D6">
                            <w:pPr>
                              <w:spacing w:before="120" w:after="120"/>
                              <w:jc w:val="center"/>
                            </w:pPr>
                            <w:r w:rsidRPr="00247F54">
                              <w:rPr>
                                <w:i/>
                              </w:rPr>
                              <w:t>Prepared in accordance with Part 3 of the Human Rights (Parliamentary Scrutiny) Act 2011</w:t>
                            </w:r>
                          </w:p>
                          <w:p w:rsidR="000076D6" w:rsidRPr="00247F54" w:rsidRDefault="000076D6" w:rsidP="000076D6">
                            <w:pPr>
                              <w:spacing w:before="120" w:after="120"/>
                              <w:jc w:val="center"/>
                            </w:pPr>
                          </w:p>
                          <w:p w:rsidR="000076D6" w:rsidRPr="00247F54" w:rsidRDefault="002B7536" w:rsidP="000076D6">
                            <w:pPr>
                              <w:spacing w:before="120" w:after="120"/>
                              <w:jc w:val="center"/>
                            </w:pPr>
                            <w:r w:rsidRPr="002B7536">
                              <w:rPr>
                                <w:b/>
                              </w:rPr>
                              <w:t xml:space="preserve">ASIC Corporations </w:t>
                            </w:r>
                            <w:r w:rsidR="00B928F5" w:rsidRPr="00B928F5">
                              <w:rPr>
                                <w:b/>
                              </w:rPr>
                              <w:t>(</w:t>
                            </w:r>
                            <w:r w:rsidR="00B928F5" w:rsidRPr="00B928F5">
                              <w:rPr>
                                <w:b/>
                                <w:color w:val="000000" w:themeColor="text1"/>
                              </w:rPr>
                              <w:t>Deposit Product</w:t>
                            </w:r>
                            <w:r w:rsidR="00D770AA">
                              <w:rPr>
                                <w:b/>
                                <w:color w:val="000000" w:themeColor="text1"/>
                              </w:rPr>
                              <w:t xml:space="preserve"> Disclosure</w:t>
                            </w:r>
                            <w:r w:rsidR="00B928F5" w:rsidRPr="00B928F5">
                              <w:rPr>
                                <w:b/>
                              </w:rPr>
                              <w:t>)</w:t>
                            </w:r>
                            <w:r w:rsidR="00B928F5" w:rsidRPr="002B7536">
                              <w:rPr>
                                <w:i/>
                              </w:rPr>
                              <w:t xml:space="preserve"> </w:t>
                            </w:r>
                            <w:r w:rsidRPr="002B7536">
                              <w:rPr>
                                <w:b/>
                              </w:rPr>
                              <w:t>Instrument 201</w:t>
                            </w:r>
                            <w:r w:rsidR="007814B5">
                              <w:rPr>
                                <w:b/>
                              </w:rPr>
                              <w:t>5</w:t>
                            </w:r>
                            <w:r w:rsidR="00787FCD">
                              <w:rPr>
                                <w:b/>
                              </w:rPr>
                              <w:t>/</w:t>
                            </w:r>
                            <w:r w:rsidR="00B45464">
                              <w:rPr>
                                <w:b/>
                              </w:rPr>
                              <w:t>683</w:t>
                            </w:r>
                          </w:p>
                          <w:p w:rsidR="000076D6" w:rsidRPr="00247F54" w:rsidRDefault="002B7536" w:rsidP="000076D6">
                            <w:pPr>
                              <w:spacing w:before="120" w:after="120"/>
                              <w:jc w:val="center"/>
                            </w:pPr>
                            <w:r w:rsidRPr="002B7536">
                              <w:rPr>
                                <w:i/>
                              </w:rPr>
                              <w:t>ASIC Corporations (</w:t>
                            </w:r>
                            <w:r w:rsidR="008C0868" w:rsidRPr="008C0868">
                              <w:rPr>
                                <w:i/>
                                <w:color w:val="000000" w:themeColor="text1"/>
                              </w:rPr>
                              <w:t>Deposit Product Disclosure</w:t>
                            </w:r>
                            <w:r w:rsidRPr="002B7536">
                              <w:rPr>
                                <w:i/>
                              </w:rPr>
                              <w:t>) Instrument 201</w:t>
                            </w:r>
                            <w:r w:rsidR="007814B5">
                              <w:rPr>
                                <w:i/>
                              </w:rPr>
                              <w:t>5</w:t>
                            </w:r>
                            <w:r w:rsidR="00787FCD">
                              <w:rPr>
                                <w:i/>
                              </w:rPr>
                              <w:t>/</w:t>
                            </w:r>
                            <w:r w:rsidR="00B45464">
                              <w:rPr>
                                <w:i/>
                              </w:rPr>
                              <w:t xml:space="preserve">683 </w:t>
                            </w:r>
                            <w:r w:rsidR="000076D6" w:rsidRPr="00247F54">
                              <w:t xml:space="preserve">is compatible with the human rights and freedoms recognised or declared in the international instruments listed in section 3 of the </w:t>
                            </w:r>
                            <w:r w:rsidR="000076D6" w:rsidRPr="00247F54">
                              <w:rPr>
                                <w:i/>
                              </w:rPr>
                              <w:t>Human Rights (Parliamentary Scrutiny) Act 2011</w:t>
                            </w:r>
                            <w:r w:rsidR="000076D6" w:rsidRPr="00247F54">
                              <w:t>.</w:t>
                            </w:r>
                          </w:p>
                          <w:p w:rsidR="000076D6" w:rsidRPr="00247F54" w:rsidRDefault="000076D6" w:rsidP="000076D6">
                            <w:pPr>
                              <w:spacing w:before="120" w:after="120"/>
                              <w:jc w:val="center"/>
                            </w:pPr>
                          </w:p>
                          <w:p w:rsidR="000076D6" w:rsidRPr="00247F54" w:rsidRDefault="000076D6" w:rsidP="000076D6">
                            <w:pPr>
                              <w:spacing w:before="120" w:after="120"/>
                              <w:jc w:val="both"/>
                              <w:rPr>
                                <w:b/>
                              </w:rPr>
                            </w:pPr>
                            <w:r w:rsidRPr="00247F54">
                              <w:rPr>
                                <w:b/>
                              </w:rPr>
                              <w:t>Overview</w:t>
                            </w:r>
                          </w:p>
                          <w:p w:rsidR="000076D6" w:rsidRDefault="00EB301E" w:rsidP="000076D6">
                            <w:pPr>
                              <w:spacing w:before="120" w:after="120"/>
                            </w:pPr>
                            <w:r w:rsidRPr="002B7536">
                              <w:rPr>
                                <w:i/>
                              </w:rPr>
                              <w:t xml:space="preserve">ASIC Corporations </w:t>
                            </w:r>
                            <w:r w:rsidR="00B928F5" w:rsidRPr="002B7536">
                              <w:rPr>
                                <w:i/>
                              </w:rPr>
                              <w:t>(</w:t>
                            </w:r>
                            <w:r w:rsidR="008C0868" w:rsidRPr="008C0868">
                              <w:rPr>
                                <w:i/>
                                <w:color w:val="000000" w:themeColor="text1"/>
                              </w:rPr>
                              <w:t>Deposit Product Disclosure</w:t>
                            </w:r>
                            <w:r w:rsidR="00B928F5" w:rsidRPr="002B7536">
                              <w:rPr>
                                <w:i/>
                              </w:rPr>
                              <w:t xml:space="preserve">) </w:t>
                            </w:r>
                            <w:r w:rsidRPr="002B7536">
                              <w:rPr>
                                <w:i/>
                              </w:rPr>
                              <w:t>Instrument 201</w:t>
                            </w:r>
                            <w:r w:rsidR="007814B5">
                              <w:rPr>
                                <w:i/>
                              </w:rPr>
                              <w:t>5</w:t>
                            </w:r>
                            <w:r w:rsidR="00787FCD">
                              <w:rPr>
                                <w:i/>
                              </w:rPr>
                              <w:t>/</w:t>
                            </w:r>
                            <w:r w:rsidR="00B45464">
                              <w:rPr>
                                <w:i/>
                              </w:rPr>
                              <w:t>683</w:t>
                            </w:r>
                            <w:r>
                              <w:t xml:space="preserve"> </w:t>
                            </w:r>
                            <w:r w:rsidR="007814B5">
                              <w:t>provides exemptions from the requirements to:</w:t>
                            </w:r>
                          </w:p>
                          <w:p w:rsidR="007814B5" w:rsidRDefault="007814B5" w:rsidP="007814B5">
                            <w:pPr>
                              <w:pStyle w:val="ListParagraph"/>
                              <w:numPr>
                                <w:ilvl w:val="0"/>
                                <w:numId w:val="17"/>
                              </w:numPr>
                              <w:spacing w:before="120" w:after="120"/>
                            </w:pPr>
                            <w:r>
                              <w:t xml:space="preserve">disclose an interest rate in a </w:t>
                            </w:r>
                            <w:r w:rsidR="00B928F5">
                              <w:t>P</w:t>
                            </w:r>
                            <w:r>
                              <w:t xml:space="preserve">roduct </w:t>
                            </w:r>
                            <w:r w:rsidR="00B928F5">
                              <w:t>D</w:t>
                            </w:r>
                            <w:r>
                              <w:t xml:space="preserve">isclosure </w:t>
                            </w:r>
                            <w:r w:rsidR="00B928F5">
                              <w:t>S</w:t>
                            </w:r>
                            <w:r>
                              <w:t>tatement for a deposit product; and</w:t>
                            </w:r>
                          </w:p>
                          <w:p w:rsidR="007814B5" w:rsidRDefault="007814B5" w:rsidP="007814B5">
                            <w:pPr>
                              <w:pStyle w:val="ListParagraph"/>
                              <w:numPr>
                                <w:ilvl w:val="0"/>
                                <w:numId w:val="17"/>
                              </w:numPr>
                              <w:spacing w:before="120" w:after="120"/>
                            </w:pPr>
                            <w:r>
                              <w:t>disclose a termination value in a periodic statement for a deposit product.</w:t>
                            </w:r>
                          </w:p>
                          <w:p w:rsidR="007814B5" w:rsidRPr="00EB301E" w:rsidRDefault="007814B5" w:rsidP="000076D6">
                            <w:pPr>
                              <w:spacing w:before="120" w:after="120"/>
                            </w:pPr>
                            <w:r>
                              <w:t>The first exemption listed above is conditional on other disclosure requirements being satisfied.</w:t>
                            </w:r>
                          </w:p>
                          <w:p w:rsidR="000076D6" w:rsidRPr="00247F54" w:rsidRDefault="000076D6" w:rsidP="000076D6">
                            <w:pPr>
                              <w:spacing w:before="120" w:after="120"/>
                              <w:rPr>
                                <w:b/>
                              </w:rPr>
                            </w:pPr>
                            <w:r w:rsidRPr="00247F54">
                              <w:rPr>
                                <w:b/>
                              </w:rPr>
                              <w:t>Human rights implications</w:t>
                            </w:r>
                          </w:p>
                          <w:p w:rsidR="000076D6" w:rsidRPr="00247F54" w:rsidRDefault="000076D6" w:rsidP="000076D6">
                            <w:pPr>
                              <w:spacing w:before="120" w:after="120"/>
                            </w:pPr>
                            <w:r w:rsidRPr="00247F54">
                              <w:t xml:space="preserve">This </w:t>
                            </w:r>
                            <w:r>
                              <w:t>l</w:t>
                            </w:r>
                            <w:r w:rsidRPr="00247F54">
                              <w:t xml:space="preserve">egislative </w:t>
                            </w:r>
                            <w:r>
                              <w:t>i</w:t>
                            </w:r>
                            <w:r w:rsidRPr="00247F54">
                              <w:t>nstrument does not engage any of the applicable rights or freedoms.</w:t>
                            </w:r>
                          </w:p>
                          <w:p w:rsidR="002B7536" w:rsidRDefault="002B7536" w:rsidP="000076D6">
                            <w:pPr>
                              <w:spacing w:before="120" w:after="120"/>
                              <w:rPr>
                                <w:b/>
                              </w:rPr>
                            </w:pPr>
                          </w:p>
                          <w:p w:rsidR="000076D6" w:rsidRPr="00247F54" w:rsidRDefault="000076D6" w:rsidP="000076D6">
                            <w:pPr>
                              <w:spacing w:before="120" w:after="120"/>
                              <w:rPr>
                                <w:b/>
                              </w:rPr>
                            </w:pPr>
                            <w:r w:rsidRPr="00247F54">
                              <w:rPr>
                                <w:b/>
                              </w:rPr>
                              <w:t>Conclusion</w:t>
                            </w:r>
                          </w:p>
                          <w:p w:rsidR="000076D6" w:rsidRPr="00247F54" w:rsidRDefault="000076D6" w:rsidP="000076D6">
                            <w:pPr>
                              <w:spacing w:before="120" w:after="120"/>
                            </w:pPr>
                            <w:r w:rsidRPr="00247F54">
                              <w:t xml:space="preserve">This </w:t>
                            </w:r>
                            <w:r>
                              <w:t>l</w:t>
                            </w:r>
                            <w:r w:rsidRPr="00247F54">
                              <w:t xml:space="preserve">egislative </w:t>
                            </w:r>
                            <w:r>
                              <w:t>i</w:t>
                            </w:r>
                            <w:r w:rsidRPr="00247F54">
                              <w:t>nstrument is compatible with human rights as it does not raise any human rights issues.</w:t>
                            </w:r>
                          </w:p>
                          <w:p w:rsidR="000076D6" w:rsidRPr="00E4135E" w:rsidRDefault="000076D6" w:rsidP="000076D6">
                            <w:pPr>
                              <w:spacing w:before="120" w:after="120"/>
                              <w:jc w:val="center"/>
                            </w:pPr>
                          </w:p>
                          <w:p w:rsidR="000076D6" w:rsidRPr="00E4135E" w:rsidRDefault="00B45464" w:rsidP="000076D6">
                            <w:pPr>
                              <w:spacing w:before="120" w:after="120"/>
                              <w:jc w:val="center"/>
                            </w:pPr>
                            <w:r>
                              <w:rPr>
                                <w:b/>
                              </w:rPr>
                              <w:t>Stephen Yen PSM, Special Counsel</w:t>
                            </w:r>
                          </w:p>
                        </w:txbxContent>
                      </wps:txbx>
                      <wps:bodyPr rot="0" vert="horz" wrap="square" lIns="180000" tIns="45720" rIns="180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5pt;margin-top:38.8pt;width:418.2pt;height:53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" strokeweight="6pt">
                <v:stroke linestyle="thickBetweenThin"/>
                <v:textbox inset="5mm,,5mm">
                  <w:txbxContent>
                    <w:p w:rsidR="000076D6" w:rsidRPr="00834797" w:rsidRDefault="000076D6" w:rsidP="000076D6">
                      <w:pPr>
                        <w:spacing w:before="360" w:after="120"/>
                        <w:jc w:val="center"/>
                        <w:rPr>
                          <w:b/>
                        </w:rPr>
                      </w:pPr>
                      <w:r w:rsidRPr="00834797">
                        <w:rPr>
                          <w:b/>
                        </w:rPr>
                        <w:t>Statement of Compatibility with Human Rights</w:t>
                      </w:r>
                    </w:p>
                    <w:p w:rsidR="000076D6" w:rsidRPr="00247F54" w:rsidRDefault="000076D6" w:rsidP="000076D6">
                      <w:pPr>
                        <w:spacing w:before="120" w:after="120"/>
                        <w:jc w:val="center"/>
                      </w:pPr>
                      <w:r w:rsidRPr="00247F54">
                        <w:rPr>
                          <w:i/>
                        </w:rPr>
                        <w:t>Prepared in accordance with Part 3 of the Human Rights (Parliamentary Scrutiny) Act 2011</w:t>
                      </w:r>
                    </w:p>
                    <w:p w:rsidR="000076D6" w:rsidRPr="00247F54" w:rsidRDefault="000076D6" w:rsidP="000076D6">
                      <w:pPr>
                        <w:spacing w:before="120" w:after="120"/>
                        <w:jc w:val="center"/>
                      </w:pPr>
                    </w:p>
                    <w:p w:rsidR="000076D6" w:rsidRPr="00247F54" w:rsidRDefault="002B7536" w:rsidP="000076D6">
                      <w:pPr>
                        <w:spacing w:before="120" w:after="120"/>
                        <w:jc w:val="center"/>
                      </w:pPr>
                      <w:r w:rsidRPr="002B7536">
                        <w:rPr>
                          <w:b/>
                        </w:rPr>
                        <w:t xml:space="preserve">ASIC Corporations </w:t>
                      </w:r>
                      <w:r w:rsidR="00B928F5" w:rsidRPr="00B928F5">
                        <w:rPr>
                          <w:b/>
                        </w:rPr>
                        <w:t>(</w:t>
                      </w:r>
                      <w:r w:rsidR="00B928F5" w:rsidRPr="00B928F5">
                        <w:rPr>
                          <w:b/>
                          <w:color w:val="000000" w:themeColor="text1"/>
                        </w:rPr>
                        <w:t>Deposit Product</w:t>
                      </w:r>
                      <w:r w:rsidR="00D770AA">
                        <w:rPr>
                          <w:b/>
                          <w:color w:val="000000" w:themeColor="text1"/>
                        </w:rPr>
                        <w:t xml:space="preserve"> Disclosure</w:t>
                      </w:r>
                      <w:r w:rsidR="00B928F5" w:rsidRPr="00B928F5">
                        <w:rPr>
                          <w:b/>
                        </w:rPr>
                        <w:t>)</w:t>
                      </w:r>
                      <w:r w:rsidR="00B928F5" w:rsidRPr="002B7536">
                        <w:rPr>
                          <w:i/>
                        </w:rPr>
                        <w:t xml:space="preserve"> </w:t>
                      </w:r>
                      <w:r w:rsidRPr="002B7536">
                        <w:rPr>
                          <w:b/>
                        </w:rPr>
                        <w:t>Instrument 201</w:t>
                      </w:r>
                      <w:r w:rsidR="007814B5">
                        <w:rPr>
                          <w:b/>
                        </w:rPr>
                        <w:t>5</w:t>
                      </w:r>
                      <w:r w:rsidR="00787FCD">
                        <w:rPr>
                          <w:b/>
                        </w:rPr>
                        <w:t>/</w:t>
                      </w:r>
                      <w:r w:rsidR="00B45464">
                        <w:rPr>
                          <w:b/>
                        </w:rPr>
                        <w:t>683</w:t>
                      </w:r>
                    </w:p>
                    <w:p w:rsidR="000076D6" w:rsidRPr="00247F54" w:rsidRDefault="002B7536" w:rsidP="000076D6">
                      <w:pPr>
                        <w:spacing w:before="120" w:after="120"/>
                        <w:jc w:val="center"/>
                      </w:pPr>
                      <w:r w:rsidRPr="002B7536">
                        <w:rPr>
                          <w:i/>
                        </w:rPr>
                        <w:t>ASIC Corporations (</w:t>
                      </w:r>
                      <w:r w:rsidR="008C0868" w:rsidRPr="008C0868">
                        <w:rPr>
                          <w:i/>
                          <w:color w:val="000000" w:themeColor="text1"/>
                        </w:rPr>
                        <w:t>Deposit Product Disclosure</w:t>
                      </w:r>
                      <w:r w:rsidRPr="002B7536">
                        <w:rPr>
                          <w:i/>
                        </w:rPr>
                        <w:t>) Instrument 201</w:t>
                      </w:r>
                      <w:r w:rsidR="007814B5">
                        <w:rPr>
                          <w:i/>
                        </w:rPr>
                        <w:t>5</w:t>
                      </w:r>
                      <w:r w:rsidR="00787FCD">
                        <w:rPr>
                          <w:i/>
                        </w:rPr>
                        <w:t>/</w:t>
                      </w:r>
                      <w:r w:rsidR="00B45464">
                        <w:rPr>
                          <w:i/>
                        </w:rPr>
                        <w:t xml:space="preserve">683 </w:t>
                      </w:r>
                      <w:r w:rsidR="000076D6" w:rsidRPr="00247F54">
                        <w:t xml:space="preserve">is compatible with the human rights and freedoms recognised or declared in the international instruments listed in section 3 of the </w:t>
                      </w:r>
                      <w:r w:rsidR="000076D6" w:rsidRPr="00247F54">
                        <w:rPr>
                          <w:i/>
                        </w:rPr>
                        <w:t>Human Rights (Parliamentary Scrutiny) Act 2011</w:t>
                      </w:r>
                      <w:r w:rsidR="000076D6" w:rsidRPr="00247F54">
                        <w:t>.</w:t>
                      </w:r>
                    </w:p>
                    <w:p w:rsidR="000076D6" w:rsidRPr="00247F54" w:rsidRDefault="000076D6" w:rsidP="000076D6">
                      <w:pPr>
                        <w:spacing w:before="120" w:after="120"/>
                        <w:jc w:val="center"/>
                      </w:pPr>
                    </w:p>
                    <w:p w:rsidR="000076D6" w:rsidRPr="00247F54" w:rsidRDefault="000076D6" w:rsidP="000076D6">
                      <w:pPr>
                        <w:spacing w:before="120" w:after="120"/>
                        <w:jc w:val="both"/>
                        <w:rPr>
                          <w:b/>
                        </w:rPr>
                      </w:pPr>
                      <w:r w:rsidRPr="00247F54">
                        <w:rPr>
                          <w:b/>
                        </w:rPr>
                        <w:t>Overview</w:t>
                      </w:r>
                    </w:p>
                    <w:p w:rsidR="000076D6" w:rsidRDefault="00EB301E" w:rsidP="000076D6">
                      <w:pPr>
                        <w:spacing w:before="120" w:after="120"/>
                      </w:pPr>
                      <w:r w:rsidRPr="002B7536">
                        <w:rPr>
                          <w:i/>
                        </w:rPr>
                        <w:t xml:space="preserve">ASIC Corporations </w:t>
                      </w:r>
                      <w:r w:rsidR="00B928F5" w:rsidRPr="002B7536">
                        <w:rPr>
                          <w:i/>
                        </w:rPr>
                        <w:t>(</w:t>
                      </w:r>
                      <w:r w:rsidR="008C0868" w:rsidRPr="008C0868">
                        <w:rPr>
                          <w:i/>
                          <w:color w:val="000000" w:themeColor="text1"/>
                        </w:rPr>
                        <w:t>Deposit Product Disclosure</w:t>
                      </w:r>
                      <w:r w:rsidR="00B928F5" w:rsidRPr="002B7536">
                        <w:rPr>
                          <w:i/>
                        </w:rPr>
                        <w:t xml:space="preserve">) </w:t>
                      </w:r>
                      <w:r w:rsidRPr="002B7536">
                        <w:rPr>
                          <w:i/>
                        </w:rPr>
                        <w:t>Instrument 201</w:t>
                      </w:r>
                      <w:r w:rsidR="007814B5">
                        <w:rPr>
                          <w:i/>
                        </w:rPr>
                        <w:t>5</w:t>
                      </w:r>
                      <w:r w:rsidR="00787FCD">
                        <w:rPr>
                          <w:i/>
                        </w:rPr>
                        <w:t>/</w:t>
                      </w:r>
                      <w:r w:rsidR="00B45464">
                        <w:rPr>
                          <w:i/>
                        </w:rPr>
                        <w:t>683</w:t>
                      </w:r>
                      <w:r>
                        <w:t xml:space="preserve"> </w:t>
                      </w:r>
                      <w:r w:rsidR="007814B5">
                        <w:t>provides exemptions from the requirements to:</w:t>
                      </w:r>
                    </w:p>
                    <w:p w:rsidR="007814B5" w:rsidRDefault="007814B5" w:rsidP="007814B5">
                      <w:pPr>
                        <w:pStyle w:val="ListParagraph"/>
                        <w:numPr>
                          <w:ilvl w:val="0"/>
                          <w:numId w:val="17"/>
                        </w:numPr>
                        <w:spacing w:before="120" w:after="120"/>
                      </w:pPr>
                      <w:r>
                        <w:t xml:space="preserve">disclose an interest rate in a </w:t>
                      </w:r>
                      <w:r w:rsidR="00B928F5">
                        <w:t>P</w:t>
                      </w:r>
                      <w:r>
                        <w:t xml:space="preserve">roduct </w:t>
                      </w:r>
                      <w:r w:rsidR="00B928F5">
                        <w:t>D</w:t>
                      </w:r>
                      <w:r>
                        <w:t xml:space="preserve">isclosure </w:t>
                      </w:r>
                      <w:r w:rsidR="00B928F5">
                        <w:t>S</w:t>
                      </w:r>
                      <w:r>
                        <w:t>tatement for a deposit product; and</w:t>
                      </w:r>
                    </w:p>
                    <w:p w:rsidR="007814B5" w:rsidRDefault="007814B5" w:rsidP="007814B5">
                      <w:pPr>
                        <w:pStyle w:val="ListParagraph"/>
                        <w:numPr>
                          <w:ilvl w:val="0"/>
                          <w:numId w:val="17"/>
                        </w:numPr>
                        <w:spacing w:before="120" w:after="120"/>
                      </w:pPr>
                      <w:proofErr w:type="gramStart"/>
                      <w:r>
                        <w:t>disclose</w:t>
                      </w:r>
                      <w:proofErr w:type="gramEnd"/>
                      <w:r>
                        <w:t xml:space="preserve"> a termination value in a periodic statement for a deposit product.</w:t>
                      </w:r>
                    </w:p>
                    <w:p w:rsidR="007814B5" w:rsidRPr="00EB301E" w:rsidRDefault="007814B5" w:rsidP="000076D6">
                      <w:pPr>
                        <w:spacing w:before="120" w:after="120"/>
                      </w:pPr>
                      <w:r>
                        <w:t>The first exemption listed above is conditional on other disclosure requirements being satisfied.</w:t>
                      </w:r>
                    </w:p>
                    <w:p w:rsidR="000076D6" w:rsidRPr="00247F54" w:rsidRDefault="000076D6" w:rsidP="000076D6">
                      <w:pPr>
                        <w:spacing w:before="120" w:after="120"/>
                        <w:rPr>
                          <w:b/>
                        </w:rPr>
                      </w:pPr>
                      <w:r w:rsidRPr="00247F54">
                        <w:rPr>
                          <w:b/>
                        </w:rPr>
                        <w:t>Human rights implications</w:t>
                      </w:r>
                    </w:p>
                    <w:p w:rsidR="000076D6" w:rsidRPr="00247F54" w:rsidRDefault="000076D6" w:rsidP="000076D6">
                      <w:pPr>
                        <w:spacing w:before="120" w:after="120"/>
                      </w:pPr>
                      <w:r w:rsidRPr="00247F54">
                        <w:t xml:space="preserve">This </w:t>
                      </w:r>
                      <w:r>
                        <w:t>l</w:t>
                      </w:r>
                      <w:r w:rsidRPr="00247F54">
                        <w:t xml:space="preserve">egislative </w:t>
                      </w:r>
                      <w:r>
                        <w:t>i</w:t>
                      </w:r>
                      <w:r w:rsidRPr="00247F54">
                        <w:t>nstrument does not engage any of the applicable rights or freedoms.</w:t>
                      </w:r>
                    </w:p>
                    <w:p w:rsidR="002B7536" w:rsidRDefault="002B7536" w:rsidP="000076D6">
                      <w:pPr>
                        <w:spacing w:before="120" w:after="120"/>
                        <w:rPr>
                          <w:b/>
                        </w:rPr>
                      </w:pPr>
                    </w:p>
                    <w:p w:rsidR="000076D6" w:rsidRPr="00247F54" w:rsidRDefault="000076D6" w:rsidP="000076D6">
                      <w:pPr>
                        <w:spacing w:before="120" w:after="120"/>
                        <w:rPr>
                          <w:b/>
                        </w:rPr>
                      </w:pPr>
                      <w:r w:rsidRPr="00247F54">
                        <w:rPr>
                          <w:b/>
                        </w:rPr>
                        <w:t>Conclusion</w:t>
                      </w:r>
                    </w:p>
                    <w:p w:rsidR="000076D6" w:rsidRPr="00247F54" w:rsidRDefault="000076D6" w:rsidP="000076D6">
                      <w:pPr>
                        <w:spacing w:before="120" w:after="120"/>
                      </w:pPr>
                      <w:r w:rsidRPr="00247F54">
                        <w:t xml:space="preserve">This </w:t>
                      </w:r>
                      <w:r>
                        <w:t>l</w:t>
                      </w:r>
                      <w:r w:rsidRPr="00247F54">
                        <w:t xml:space="preserve">egislative </w:t>
                      </w:r>
                      <w:r>
                        <w:t>i</w:t>
                      </w:r>
                      <w:r w:rsidRPr="00247F54">
                        <w:t>nstrument is compatible with human rights as it does not raise any human rights issues.</w:t>
                      </w:r>
                    </w:p>
                    <w:p w:rsidR="000076D6" w:rsidRPr="00E4135E" w:rsidRDefault="000076D6" w:rsidP="000076D6">
                      <w:pPr>
                        <w:spacing w:before="120" w:after="120"/>
                        <w:jc w:val="center"/>
                      </w:pPr>
                    </w:p>
                    <w:p w:rsidR="000076D6" w:rsidRPr="00E4135E" w:rsidRDefault="00B45464" w:rsidP="000076D6">
                      <w:pPr>
                        <w:spacing w:before="120" w:after="120"/>
                        <w:jc w:val="center"/>
                      </w:pPr>
                      <w:r>
                        <w:rPr>
                          <w:b/>
                        </w:rPr>
                        <w:t>Stephen Yen PSM, Special Counsel</w:t>
                      </w:r>
                    </w:p>
                  </w:txbxContent>
                </v:textbox>
              </v:rect>
            </w:pict>
          </mc:Fallback>
        </mc:AlternateContent>
      </w:r>
    </w:p>
    <w:sectPr w:rsidR="000076D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3C75" w:rsidRDefault="006F3C75">
      <w:pPr>
        <w:spacing w:after="0"/>
      </w:pPr>
      <w:r>
        <w:separator/>
      </w:r>
    </w:p>
  </w:endnote>
  <w:endnote w:type="continuationSeparator" w:id="0">
    <w:p w:rsidR="006F3C75" w:rsidRDefault="006F3C7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A4B" w:rsidRDefault="005B0E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w:t>
    </w:r>
    <w:r>
      <w:rPr>
        <w:rStyle w:val="PageNumber"/>
      </w:rPr>
      <w:fldChar w:fldCharType="end"/>
    </w:r>
  </w:p>
  <w:p w:rsidR="00C27A4B" w:rsidRDefault="0014361B">
    <w:pPr>
      <w:pStyle w:val="Footer"/>
      <w:ind w:right="360"/>
    </w:pPr>
  </w:p>
  <w:p w:rsidR="00C27A4B" w:rsidRDefault="0014361B"/>
  <w:p w:rsidR="00C27A4B" w:rsidRDefault="0014361B"/>
  <w:p w:rsidR="00C27A4B" w:rsidRDefault="0014361B"/>
  <w:p w:rsidR="00C27A4B" w:rsidRDefault="0014361B"/>
  <w:p w:rsidR="00C27A4B" w:rsidRDefault="0014361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A4B" w:rsidRDefault="005B0E3A">
    <w:pPr>
      <w:pStyle w:val="Footer"/>
      <w:pBdr>
        <w:top w:val="single" w:sz="4" w:space="1" w:color="117DC7"/>
      </w:pBdr>
      <w:rPr>
        <w:b/>
        <w:color w:val="117DC7"/>
      </w:rPr>
    </w:pPr>
    <w:r>
      <w:rPr>
        <w:noProof/>
        <w:color w:val="117DC7"/>
        <w:sz w:val="20"/>
      </w:rPr>
      <mc:AlternateContent>
        <mc:Choice Requires="wps">
          <w:drawing>
            <wp:anchor distT="0" distB="0" distL="114300" distR="114300" simplePos="0" relativeHeight="251657216" behindDoc="0" locked="1" layoutInCell="1" allowOverlap="1" wp14:anchorId="1251A406" wp14:editId="610E3812">
              <wp:simplePos x="0" y="0"/>
              <wp:positionH relativeFrom="rightMargin">
                <wp:posOffset>-648335</wp:posOffset>
              </wp:positionH>
              <wp:positionV relativeFrom="paragraph">
                <wp:posOffset>36195</wp:posOffset>
              </wp:positionV>
              <wp:extent cx="657860" cy="158750"/>
              <wp:effectExtent l="1270" t="2540" r="0" b="635"/>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860" cy="158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27A4B" w:rsidRPr="008F541E" w:rsidRDefault="005B0E3A" w:rsidP="009E142C">
                          <w:pPr>
                            <w:jc w:val="right"/>
                            <w:rPr>
                              <w:rFonts w:ascii="Arial" w:hAnsi="Arial" w:cs="Arial"/>
                              <w:sz w:val="16"/>
                              <w:szCs w:val="16"/>
                            </w:rPr>
                          </w:pPr>
                          <w:r w:rsidRPr="008F541E">
                            <w:rPr>
                              <w:rFonts w:ascii="Arial" w:hAnsi="Arial" w:cs="Arial"/>
                              <w:color w:val="117DC7"/>
                              <w:sz w:val="16"/>
                              <w:szCs w:val="16"/>
                            </w:rPr>
                            <w:t xml:space="preserve">Page </w:t>
                          </w:r>
                          <w:r w:rsidRPr="008F541E">
                            <w:rPr>
                              <w:rStyle w:val="PageNumber"/>
                              <w:rFonts w:ascii="Arial" w:hAnsi="Arial" w:cs="Arial"/>
                              <w:color w:val="117DC7"/>
                              <w:sz w:val="16"/>
                              <w:szCs w:val="16"/>
                            </w:rPr>
                            <w:fldChar w:fldCharType="begin"/>
                          </w:r>
                          <w:r w:rsidRPr="008F541E">
                            <w:rPr>
                              <w:rStyle w:val="PageNumber"/>
                              <w:rFonts w:ascii="Arial" w:hAnsi="Arial" w:cs="Arial"/>
                              <w:color w:val="117DC7"/>
                              <w:sz w:val="16"/>
                              <w:szCs w:val="16"/>
                            </w:rPr>
                            <w:instrText xml:space="preserve"> PAGE </w:instrText>
                          </w:r>
                          <w:r w:rsidRPr="008F541E">
                            <w:rPr>
                              <w:rStyle w:val="PageNumber"/>
                              <w:rFonts w:ascii="Arial" w:hAnsi="Arial" w:cs="Arial"/>
                              <w:color w:val="117DC7"/>
                              <w:sz w:val="16"/>
                              <w:szCs w:val="16"/>
                            </w:rPr>
                            <w:fldChar w:fldCharType="separate"/>
                          </w:r>
                          <w:r w:rsidR="0014361B">
                            <w:rPr>
                              <w:rStyle w:val="PageNumber"/>
                              <w:rFonts w:ascii="Arial" w:hAnsi="Arial" w:cs="Arial"/>
                              <w:noProof/>
                              <w:color w:val="117DC7"/>
                              <w:sz w:val="16"/>
                              <w:szCs w:val="16"/>
                            </w:rPr>
                            <w:t>2</w:t>
                          </w:r>
                          <w:r w:rsidRPr="008F541E">
                            <w:rPr>
                              <w:rStyle w:val="PageNumber"/>
                              <w:rFonts w:ascii="Arial" w:hAnsi="Arial" w:cs="Arial"/>
                              <w:color w:val="117DC7"/>
                              <w:sz w:val="16"/>
                              <w:szCs w:val="16"/>
                            </w:rPr>
                            <w:fldChar w:fldCharType="end"/>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2" o:spid="_x0000_s1027" type="#_x0000_t202" style="position:absolute;margin-left:-51.05pt;margin-top:2.85pt;width:51.8pt;height:12.5pt;z-index:25165721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" stroked="f">
              <v:textbox inset="0,0,0,0">
                <w:txbxContent>
                  <w:p w:rsidR="00C27A4B" w:rsidRPr="008F541E" w:rsidRDefault="005B0E3A" w:rsidP="009E142C">
                    <w:pPr>
                      <w:jc w:val="right"/>
                      <w:rPr>
                        <w:rFonts w:ascii="Arial" w:hAnsi="Arial" w:cs="Arial"/>
                        <w:sz w:val="16"/>
                        <w:szCs w:val="16"/>
                      </w:rPr>
                    </w:pPr>
                    <w:r w:rsidRPr="008F541E">
                      <w:rPr>
                        <w:rFonts w:ascii="Arial" w:hAnsi="Arial" w:cs="Arial"/>
                        <w:color w:val="117DC7"/>
                        <w:sz w:val="16"/>
                        <w:szCs w:val="16"/>
                      </w:rPr>
                      <w:t xml:space="preserve">Page </w:t>
                    </w:r>
                    <w:r w:rsidRPr="008F541E">
                      <w:rPr>
                        <w:rStyle w:val="PageNumber"/>
                        <w:rFonts w:ascii="Arial" w:hAnsi="Arial" w:cs="Arial"/>
                        <w:color w:val="117DC7"/>
                        <w:sz w:val="16"/>
                        <w:szCs w:val="16"/>
                      </w:rPr>
                      <w:fldChar w:fldCharType="begin"/>
                    </w:r>
                    <w:r w:rsidRPr="008F541E">
                      <w:rPr>
                        <w:rStyle w:val="PageNumber"/>
                        <w:rFonts w:ascii="Arial" w:hAnsi="Arial" w:cs="Arial"/>
                        <w:color w:val="117DC7"/>
                        <w:sz w:val="16"/>
                        <w:szCs w:val="16"/>
                      </w:rPr>
                      <w:instrText xml:space="preserve"> PAGE </w:instrText>
                    </w:r>
                    <w:r w:rsidRPr="008F541E">
                      <w:rPr>
                        <w:rStyle w:val="PageNumber"/>
                        <w:rFonts w:ascii="Arial" w:hAnsi="Arial" w:cs="Arial"/>
                        <w:color w:val="117DC7"/>
                        <w:sz w:val="16"/>
                        <w:szCs w:val="16"/>
                      </w:rPr>
                      <w:fldChar w:fldCharType="separate"/>
                    </w:r>
                    <w:r w:rsidR="0014361B">
                      <w:rPr>
                        <w:rStyle w:val="PageNumber"/>
                        <w:rFonts w:ascii="Arial" w:hAnsi="Arial" w:cs="Arial"/>
                        <w:noProof/>
                        <w:color w:val="117DC7"/>
                        <w:sz w:val="16"/>
                        <w:szCs w:val="16"/>
                      </w:rPr>
                      <w:t>2</w:t>
                    </w:r>
                    <w:r w:rsidRPr="008F541E">
                      <w:rPr>
                        <w:rStyle w:val="PageNumber"/>
                        <w:rFonts w:ascii="Arial" w:hAnsi="Arial" w:cs="Arial"/>
                        <w:color w:val="117DC7"/>
                        <w:sz w:val="16"/>
                        <w:szCs w:val="16"/>
                      </w:rPr>
                      <w:fldChar w:fldCharType="end"/>
                    </w:r>
                  </w:p>
                </w:txbxContent>
              </v:textbox>
              <w10:wrap anchorx="margin"/>
              <w10:anchorlock/>
            </v:shape>
          </w:pict>
        </mc:Fallback>
      </mc:AlternateContent>
    </w:r>
    <w:r>
      <w:rPr>
        <w:color w:val="117DC7"/>
      </w:rPr>
      <w:t>© Australian Securities and Investments Commission</w:t>
    </w:r>
    <w:r>
      <w:rPr>
        <w:color w:val="117DC7"/>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3C75" w:rsidRDefault="006F3C75">
      <w:pPr>
        <w:spacing w:after="0"/>
      </w:pPr>
      <w:r>
        <w:separator/>
      </w:r>
    </w:p>
  </w:footnote>
  <w:footnote w:type="continuationSeparator" w:id="0">
    <w:p w:rsidR="006F3C75" w:rsidRDefault="006F3C7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A4B" w:rsidRDefault="0014361B"/>
  <w:p w:rsidR="00C27A4B" w:rsidRDefault="0014361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A4B" w:rsidRDefault="005B0E3A">
    <w:pPr>
      <w:pStyle w:val="Footer"/>
      <w:pBdr>
        <w:bottom w:val="single" w:sz="4" w:space="1" w:color="117DC7"/>
      </w:pBdr>
      <w:jc w:val="right"/>
      <w:rPr>
        <w:color w:val="117DC7"/>
      </w:rPr>
    </w:pPr>
    <w:r>
      <w:tab/>
    </w:r>
  </w:p>
  <w:p w:rsidR="00C27A4B" w:rsidRDefault="0014361B"/>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A4B" w:rsidRDefault="005B0E3A">
    <w:pPr>
      <w:pStyle w:val="Header"/>
      <w:pBdr>
        <w:bottom w:val="none" w:sz="0" w:space="0" w:color="auto"/>
      </w:pBdr>
      <w:jc w:val="center"/>
      <w:rPr>
        <w:b/>
        <w:bCs/>
        <w:color w:val="C0C0C0"/>
        <w:sz w:val="48"/>
        <w:lang w:val="en-US"/>
      </w:rPr>
    </w:pPr>
    <w:r>
      <w:rPr>
        <w:b/>
        <w:bCs/>
        <w:color w:val="C0C0C0"/>
        <w:sz w:val="48"/>
        <w:lang w:val="en-US"/>
      </w:rPr>
      <w:t>DRAFT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166FB"/>
    <w:multiLevelType w:val="hybridMultilevel"/>
    <w:tmpl w:val="0914AE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B957CCC"/>
    <w:multiLevelType w:val="hybridMultilevel"/>
    <w:tmpl w:val="DC38FDD0"/>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5953580"/>
    <w:multiLevelType w:val="hybridMultilevel"/>
    <w:tmpl w:val="6F36FAF8"/>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59D5EBF"/>
    <w:multiLevelType w:val="hybridMultilevel"/>
    <w:tmpl w:val="02AE4EDA"/>
    <w:lvl w:ilvl="0" w:tplc="4DAE7A48">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E0C6808"/>
    <w:multiLevelType w:val="multilevel"/>
    <w:tmpl w:val="A044F19C"/>
    <w:lvl w:ilvl="0">
      <w:start w:val="1"/>
      <w:numFmt w:val="decimal"/>
      <w:lvlText w:val="%1"/>
      <w:lvlJc w:val="left"/>
      <w:pPr>
        <w:tabs>
          <w:tab w:val="num" w:pos="1134"/>
        </w:tabs>
        <w:ind w:left="1134" w:hanging="1134"/>
      </w:pPr>
      <w:rPr>
        <w:rFonts w:hint="default"/>
        <w:b w:val="0"/>
        <w:i w:val="0"/>
        <w:color w:val="auto"/>
        <w:sz w:val="18"/>
        <w:szCs w:val="18"/>
      </w:rPr>
    </w:lvl>
    <w:lvl w:ilvl="1">
      <w:start w:val="1"/>
      <w:numFmt w:val="lowerLetter"/>
      <w:lvlText w:val="(%2)"/>
      <w:lvlJc w:val="left"/>
      <w:pPr>
        <w:tabs>
          <w:tab w:val="num" w:pos="2693"/>
        </w:tabs>
        <w:ind w:left="2693" w:hanging="425"/>
      </w:pPr>
      <w:rPr>
        <w:rFonts w:hint="default"/>
        <w:b w:val="0"/>
        <w:i w:val="0"/>
        <w:color w:val="auto"/>
        <w:sz w:val="18"/>
        <w:szCs w:val="18"/>
      </w:rPr>
    </w:lvl>
    <w:lvl w:ilvl="2">
      <w:start w:val="1"/>
      <w:numFmt w:val="lowerRoman"/>
      <w:lvlText w:val="(%3)"/>
      <w:lvlJc w:val="left"/>
      <w:pPr>
        <w:tabs>
          <w:tab w:val="num" w:pos="3119"/>
        </w:tabs>
        <w:ind w:left="3119" w:hanging="426"/>
      </w:pPr>
      <w:rPr>
        <w:rFonts w:cs="Times New Roman" w:hint="default"/>
        <w:b w:val="0"/>
        <w:bCs w:val="0"/>
        <w:i w:val="0"/>
        <w:iCs w:val="0"/>
        <w:caps w:val="0"/>
        <w:strike w:val="0"/>
        <w:dstrike w:val="0"/>
        <w:vanish w:val="0"/>
        <w:color w:val="auto"/>
        <w:spacing w:val="0"/>
        <w:kern w:val="0"/>
        <w:position w:val="0"/>
        <w:sz w:val="18"/>
        <w:szCs w:val="1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lvlText w:val="(%4)"/>
      <w:lvlJc w:val="left"/>
      <w:pPr>
        <w:tabs>
          <w:tab w:val="num" w:pos="3544"/>
        </w:tabs>
        <w:ind w:left="3544" w:hanging="425"/>
      </w:pPr>
      <w:rPr>
        <w:rFonts w:hint="default"/>
        <w:sz w:val="16"/>
        <w:szCs w:val="16"/>
      </w:rPr>
    </w:lvl>
    <w:lvl w:ilvl="4">
      <w:start w:val="1"/>
      <w:numFmt w:val="upperRoman"/>
      <w:lvlText w:val="(%5)"/>
      <w:lvlJc w:val="left"/>
      <w:pPr>
        <w:tabs>
          <w:tab w:val="num" w:pos="3969"/>
        </w:tabs>
        <w:ind w:left="3969" w:hanging="425"/>
      </w:pPr>
      <w:rPr>
        <w:rFonts w:hint="default"/>
        <w:sz w:val="16"/>
        <w:szCs w:val="16"/>
      </w:rPr>
    </w:lvl>
    <w:lvl w:ilvl="5">
      <w:start w:val="1"/>
      <w:numFmt w:val="none"/>
      <w:lvlText w:val=""/>
      <w:lvlJc w:val="left"/>
      <w:pPr>
        <w:tabs>
          <w:tab w:val="num" w:pos="3960"/>
        </w:tabs>
        <w:ind w:left="2736" w:hanging="936"/>
      </w:pPr>
      <w:rPr>
        <w:rFonts w:hint="default"/>
      </w:rPr>
    </w:lvl>
    <w:lvl w:ilvl="6">
      <w:start w:val="1"/>
      <w:numFmt w:val="none"/>
      <w:lvlText w:val=""/>
      <w:lvlJc w:val="left"/>
      <w:pPr>
        <w:tabs>
          <w:tab w:val="num" w:pos="4320"/>
        </w:tabs>
        <w:ind w:left="3240" w:hanging="1080"/>
      </w:pPr>
      <w:rPr>
        <w:rFonts w:hint="default"/>
      </w:rPr>
    </w:lvl>
    <w:lvl w:ilvl="7">
      <w:start w:val="1"/>
      <w:numFmt w:val="none"/>
      <w:lvlText w:val=""/>
      <w:lvlJc w:val="left"/>
      <w:pPr>
        <w:tabs>
          <w:tab w:val="num" w:pos="5040"/>
        </w:tabs>
        <w:ind w:left="3744" w:hanging="1224"/>
      </w:pPr>
      <w:rPr>
        <w:rFonts w:hint="default"/>
      </w:rPr>
    </w:lvl>
    <w:lvl w:ilvl="8">
      <w:start w:val="1"/>
      <w:numFmt w:val="none"/>
      <w:lvlText w:val=""/>
      <w:lvlJc w:val="left"/>
      <w:pPr>
        <w:tabs>
          <w:tab w:val="num" w:pos="5760"/>
        </w:tabs>
        <w:ind w:left="4320" w:hanging="1440"/>
      </w:pPr>
      <w:rPr>
        <w:rFonts w:hint="default"/>
      </w:rPr>
    </w:lvl>
  </w:abstractNum>
  <w:abstractNum w:abstractNumId="5">
    <w:nsid w:val="243B1A7D"/>
    <w:multiLevelType w:val="multilevel"/>
    <w:tmpl w:val="2BF2360A"/>
    <w:name w:val="ASIC proposal"/>
    <w:lvl w:ilvl="0">
      <w:start w:val="1"/>
      <w:numFmt w:val="upperLetter"/>
      <w:lvlText w:val="%1"/>
      <w:lvlJc w:val="left"/>
      <w:pPr>
        <w:tabs>
          <w:tab w:val="num" w:pos="851"/>
        </w:tabs>
        <w:ind w:left="851" w:hanging="851"/>
      </w:pPr>
      <w:rPr>
        <w:rFonts w:hint="default"/>
        <w:b/>
        <w:i w:val="0"/>
        <w:color w:val="117DC7"/>
        <w:sz w:val="36"/>
        <w:szCs w:val="72"/>
      </w:rPr>
    </w:lvl>
    <w:lvl w:ilvl="1">
      <w:start w:val="1"/>
      <w:numFmt w:val="decimal"/>
      <w:lvlText w:val="%1%2"/>
      <w:lvlJc w:val="left"/>
      <w:pPr>
        <w:tabs>
          <w:tab w:val="num" w:pos="2693"/>
        </w:tabs>
        <w:ind w:left="2693" w:hanging="425"/>
      </w:pPr>
      <w:rPr>
        <w:rFonts w:hint="default"/>
        <w:b/>
        <w:i w:val="0"/>
        <w:color w:val="auto"/>
        <w:sz w:val="16"/>
        <w:szCs w:val="16"/>
      </w:rPr>
    </w:lvl>
    <w:lvl w:ilvl="2">
      <w:start w:val="1"/>
      <w:numFmt w:val="lowerLetter"/>
      <w:lvlText w:val="(%3)"/>
      <w:lvlJc w:val="left"/>
      <w:pPr>
        <w:tabs>
          <w:tab w:val="num" w:pos="3119"/>
        </w:tabs>
        <w:ind w:left="3119" w:hanging="426"/>
      </w:pPr>
      <w:rPr>
        <w:rFonts w:cs="Times New Roman" w:hint="default"/>
        <w:b w:val="0"/>
        <w:bCs w:val="0"/>
        <w:i w:val="0"/>
        <w:iCs w:val="0"/>
        <w:caps w:val="0"/>
        <w:strike w:val="0"/>
        <w:dstrike w:val="0"/>
        <w:vanish w:val="0"/>
        <w:color w:val="auto"/>
        <w:spacing w:val="0"/>
        <w:kern w:val="0"/>
        <w:position w:val="0"/>
        <w:sz w:val="16"/>
        <w:szCs w:val="16"/>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3544"/>
        </w:tabs>
        <w:ind w:left="3544" w:hanging="425"/>
      </w:pPr>
      <w:rPr>
        <w:rFonts w:hint="default"/>
        <w:sz w:val="18"/>
        <w:szCs w:val="18"/>
      </w:rPr>
    </w:lvl>
    <w:lvl w:ilvl="4">
      <w:start w:val="1"/>
      <w:numFmt w:val="decimal"/>
      <w:lvlText w:val="%1%2Q%5"/>
      <w:lvlJc w:val="left"/>
      <w:pPr>
        <w:tabs>
          <w:tab w:val="num" w:pos="3799"/>
        </w:tabs>
        <w:ind w:left="3799" w:hanging="567"/>
      </w:pPr>
      <w:rPr>
        <w:rFonts w:hint="default"/>
        <w:sz w:val="16"/>
        <w:szCs w:val="16"/>
      </w:rPr>
    </w:lvl>
    <w:lvl w:ilvl="5">
      <w:start w:val="1"/>
      <w:numFmt w:val="lowerLetter"/>
      <w:lvlText w:val="             (%6)"/>
      <w:lvlJc w:val="left"/>
      <w:pPr>
        <w:tabs>
          <w:tab w:val="num" w:pos="4139"/>
        </w:tabs>
        <w:ind w:left="4139" w:hanging="907"/>
      </w:pPr>
      <w:rPr>
        <w:rFonts w:hint="default"/>
        <w:sz w:val="16"/>
        <w:szCs w:val="16"/>
      </w:rPr>
    </w:lvl>
    <w:lvl w:ilvl="6">
      <w:start w:val="1"/>
      <w:numFmt w:val="lowerRoman"/>
      <w:lvlText w:val="                    (%7)"/>
      <w:lvlJc w:val="left"/>
      <w:pPr>
        <w:tabs>
          <w:tab w:val="num" w:pos="4423"/>
        </w:tabs>
        <w:ind w:left="4423" w:hanging="1191"/>
      </w:pPr>
      <w:rPr>
        <w:rFonts w:hint="default"/>
        <w:sz w:val="16"/>
        <w:szCs w:val="16"/>
      </w:rPr>
    </w:lvl>
    <w:lvl w:ilvl="7">
      <w:start w:val="1"/>
      <w:numFmt w:val="none"/>
      <w:lvlText w:val=""/>
      <w:lvlJc w:val="left"/>
      <w:pPr>
        <w:tabs>
          <w:tab w:val="num" w:pos="5040"/>
        </w:tabs>
        <w:ind w:left="3744" w:hanging="1224"/>
      </w:pPr>
      <w:rPr>
        <w:rFonts w:hint="default"/>
      </w:rPr>
    </w:lvl>
    <w:lvl w:ilvl="8">
      <w:start w:val="1"/>
      <w:numFmt w:val="none"/>
      <w:lvlText w:val=""/>
      <w:lvlJc w:val="left"/>
      <w:pPr>
        <w:tabs>
          <w:tab w:val="num" w:pos="5760"/>
        </w:tabs>
        <w:ind w:left="4320" w:hanging="1440"/>
      </w:pPr>
      <w:rPr>
        <w:rFonts w:hint="default"/>
      </w:rPr>
    </w:lvl>
  </w:abstractNum>
  <w:abstractNum w:abstractNumId="6">
    <w:nsid w:val="26A7010B"/>
    <w:multiLevelType w:val="hybridMultilevel"/>
    <w:tmpl w:val="5C06C9E4"/>
    <w:lvl w:ilvl="0" w:tplc="0C090001">
      <w:start w:val="1"/>
      <w:numFmt w:val="bullet"/>
      <w:lvlText w:val=""/>
      <w:lvlJc w:val="left"/>
      <w:pPr>
        <w:ind w:left="1287" w:hanging="360"/>
      </w:pPr>
      <w:rPr>
        <w:rFonts w:ascii="Symbol" w:hAnsi="Symbol" w:hint="default"/>
      </w:rPr>
    </w:lvl>
    <w:lvl w:ilvl="1" w:tplc="0C090001">
      <w:start w:val="1"/>
      <w:numFmt w:val="bullet"/>
      <w:lvlText w:val=""/>
      <w:lvlJc w:val="left"/>
      <w:pPr>
        <w:ind w:left="2007" w:hanging="360"/>
      </w:pPr>
      <w:rPr>
        <w:rFonts w:ascii="Symbol" w:hAnsi="Symbol"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7">
    <w:nsid w:val="26D1652F"/>
    <w:multiLevelType w:val="hybridMultilevel"/>
    <w:tmpl w:val="2A2AD262"/>
    <w:lvl w:ilvl="0" w:tplc="0C090009">
      <w:start w:val="1"/>
      <w:numFmt w:val="bullet"/>
      <w:lvlText w:val=""/>
      <w:lvlJc w:val="left"/>
      <w:pPr>
        <w:ind w:left="1210" w:hanging="360"/>
      </w:pPr>
      <w:rPr>
        <w:rFonts w:ascii="Wingdings" w:hAnsi="Wingdings" w:hint="default"/>
      </w:rPr>
    </w:lvl>
    <w:lvl w:ilvl="1" w:tplc="0C090003" w:tentative="1">
      <w:start w:val="1"/>
      <w:numFmt w:val="bullet"/>
      <w:lvlText w:val="o"/>
      <w:lvlJc w:val="left"/>
      <w:pPr>
        <w:ind w:left="1930" w:hanging="360"/>
      </w:pPr>
      <w:rPr>
        <w:rFonts w:ascii="Courier New" w:hAnsi="Courier New" w:cs="Courier New" w:hint="default"/>
      </w:rPr>
    </w:lvl>
    <w:lvl w:ilvl="2" w:tplc="0C090005" w:tentative="1">
      <w:start w:val="1"/>
      <w:numFmt w:val="bullet"/>
      <w:lvlText w:val=""/>
      <w:lvlJc w:val="left"/>
      <w:pPr>
        <w:ind w:left="2650" w:hanging="360"/>
      </w:pPr>
      <w:rPr>
        <w:rFonts w:ascii="Wingdings" w:hAnsi="Wingdings" w:hint="default"/>
      </w:rPr>
    </w:lvl>
    <w:lvl w:ilvl="3" w:tplc="0C090001" w:tentative="1">
      <w:start w:val="1"/>
      <w:numFmt w:val="bullet"/>
      <w:lvlText w:val=""/>
      <w:lvlJc w:val="left"/>
      <w:pPr>
        <w:ind w:left="3370" w:hanging="360"/>
      </w:pPr>
      <w:rPr>
        <w:rFonts w:ascii="Symbol" w:hAnsi="Symbol" w:hint="default"/>
      </w:rPr>
    </w:lvl>
    <w:lvl w:ilvl="4" w:tplc="0C090003" w:tentative="1">
      <w:start w:val="1"/>
      <w:numFmt w:val="bullet"/>
      <w:lvlText w:val="o"/>
      <w:lvlJc w:val="left"/>
      <w:pPr>
        <w:ind w:left="4090" w:hanging="360"/>
      </w:pPr>
      <w:rPr>
        <w:rFonts w:ascii="Courier New" w:hAnsi="Courier New" w:cs="Courier New" w:hint="default"/>
      </w:rPr>
    </w:lvl>
    <w:lvl w:ilvl="5" w:tplc="0C090005" w:tentative="1">
      <w:start w:val="1"/>
      <w:numFmt w:val="bullet"/>
      <w:lvlText w:val=""/>
      <w:lvlJc w:val="left"/>
      <w:pPr>
        <w:ind w:left="4810" w:hanging="360"/>
      </w:pPr>
      <w:rPr>
        <w:rFonts w:ascii="Wingdings" w:hAnsi="Wingdings" w:hint="default"/>
      </w:rPr>
    </w:lvl>
    <w:lvl w:ilvl="6" w:tplc="0C090001" w:tentative="1">
      <w:start w:val="1"/>
      <w:numFmt w:val="bullet"/>
      <w:lvlText w:val=""/>
      <w:lvlJc w:val="left"/>
      <w:pPr>
        <w:ind w:left="5530" w:hanging="360"/>
      </w:pPr>
      <w:rPr>
        <w:rFonts w:ascii="Symbol" w:hAnsi="Symbol" w:hint="default"/>
      </w:rPr>
    </w:lvl>
    <w:lvl w:ilvl="7" w:tplc="0C090003" w:tentative="1">
      <w:start w:val="1"/>
      <w:numFmt w:val="bullet"/>
      <w:lvlText w:val="o"/>
      <w:lvlJc w:val="left"/>
      <w:pPr>
        <w:ind w:left="6250" w:hanging="360"/>
      </w:pPr>
      <w:rPr>
        <w:rFonts w:ascii="Courier New" w:hAnsi="Courier New" w:cs="Courier New" w:hint="default"/>
      </w:rPr>
    </w:lvl>
    <w:lvl w:ilvl="8" w:tplc="0C090005" w:tentative="1">
      <w:start w:val="1"/>
      <w:numFmt w:val="bullet"/>
      <w:lvlText w:val=""/>
      <w:lvlJc w:val="left"/>
      <w:pPr>
        <w:ind w:left="6970" w:hanging="360"/>
      </w:pPr>
      <w:rPr>
        <w:rFonts w:ascii="Wingdings" w:hAnsi="Wingdings" w:hint="default"/>
      </w:rPr>
    </w:lvl>
  </w:abstractNum>
  <w:abstractNum w:abstractNumId="8">
    <w:nsid w:val="34B84359"/>
    <w:multiLevelType w:val="hybridMultilevel"/>
    <w:tmpl w:val="FA8EC352"/>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37FD2FCC"/>
    <w:multiLevelType w:val="hybridMultilevel"/>
    <w:tmpl w:val="CB90CD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3F333E7B"/>
    <w:multiLevelType w:val="hybridMultilevel"/>
    <w:tmpl w:val="480E8D74"/>
    <w:lvl w:ilvl="0" w:tplc="230AAAF4">
      <w:start w:val="1"/>
      <w:numFmt w:val="decimal"/>
      <w:lvlText w:val="%1."/>
      <w:lvlJc w:val="left"/>
      <w:pPr>
        <w:ind w:left="1591" w:hanging="720"/>
      </w:pPr>
      <w:rPr>
        <w:rFonts w:ascii="Arial" w:eastAsia="Arial" w:hAnsi="Arial" w:hint="default"/>
        <w:b/>
        <w:bCs/>
        <w:spacing w:val="-1"/>
        <w:sz w:val="24"/>
        <w:szCs w:val="24"/>
      </w:rPr>
    </w:lvl>
    <w:lvl w:ilvl="1" w:tplc="EBDE478C">
      <w:start w:val="1"/>
      <w:numFmt w:val="bullet"/>
      <w:lvlText w:val="•"/>
      <w:lvlJc w:val="left"/>
      <w:pPr>
        <w:ind w:left="2324" w:hanging="720"/>
      </w:pPr>
      <w:rPr>
        <w:rFonts w:hint="default"/>
      </w:rPr>
    </w:lvl>
    <w:lvl w:ilvl="2" w:tplc="32C2B520">
      <w:start w:val="1"/>
      <w:numFmt w:val="bullet"/>
      <w:lvlText w:val="•"/>
      <w:lvlJc w:val="left"/>
      <w:pPr>
        <w:ind w:left="3057" w:hanging="720"/>
      </w:pPr>
      <w:rPr>
        <w:rFonts w:hint="default"/>
      </w:rPr>
    </w:lvl>
    <w:lvl w:ilvl="3" w:tplc="349E1F8C">
      <w:start w:val="1"/>
      <w:numFmt w:val="bullet"/>
      <w:lvlText w:val="•"/>
      <w:lvlJc w:val="left"/>
      <w:pPr>
        <w:ind w:left="3790" w:hanging="720"/>
      </w:pPr>
      <w:rPr>
        <w:rFonts w:hint="default"/>
      </w:rPr>
    </w:lvl>
    <w:lvl w:ilvl="4" w:tplc="8CB208BC">
      <w:start w:val="1"/>
      <w:numFmt w:val="bullet"/>
      <w:lvlText w:val="•"/>
      <w:lvlJc w:val="left"/>
      <w:pPr>
        <w:ind w:left="4523" w:hanging="720"/>
      </w:pPr>
      <w:rPr>
        <w:rFonts w:hint="default"/>
      </w:rPr>
    </w:lvl>
    <w:lvl w:ilvl="5" w:tplc="6CBE2404">
      <w:start w:val="1"/>
      <w:numFmt w:val="bullet"/>
      <w:lvlText w:val="•"/>
      <w:lvlJc w:val="left"/>
      <w:pPr>
        <w:ind w:left="5255" w:hanging="720"/>
      </w:pPr>
      <w:rPr>
        <w:rFonts w:hint="default"/>
      </w:rPr>
    </w:lvl>
    <w:lvl w:ilvl="6" w:tplc="122C6A98">
      <w:start w:val="1"/>
      <w:numFmt w:val="bullet"/>
      <w:lvlText w:val="•"/>
      <w:lvlJc w:val="left"/>
      <w:pPr>
        <w:ind w:left="5988" w:hanging="720"/>
      </w:pPr>
      <w:rPr>
        <w:rFonts w:hint="default"/>
      </w:rPr>
    </w:lvl>
    <w:lvl w:ilvl="7" w:tplc="B3AA378A">
      <w:start w:val="1"/>
      <w:numFmt w:val="bullet"/>
      <w:lvlText w:val="•"/>
      <w:lvlJc w:val="left"/>
      <w:pPr>
        <w:ind w:left="6721" w:hanging="720"/>
      </w:pPr>
      <w:rPr>
        <w:rFonts w:hint="default"/>
      </w:rPr>
    </w:lvl>
    <w:lvl w:ilvl="8" w:tplc="1C92557E">
      <w:start w:val="1"/>
      <w:numFmt w:val="bullet"/>
      <w:lvlText w:val="•"/>
      <w:lvlJc w:val="left"/>
      <w:pPr>
        <w:ind w:left="7454" w:hanging="720"/>
      </w:pPr>
      <w:rPr>
        <w:rFonts w:hint="default"/>
      </w:rPr>
    </w:lvl>
  </w:abstractNum>
  <w:abstractNum w:abstractNumId="11">
    <w:nsid w:val="3FCC420A"/>
    <w:multiLevelType w:val="hybridMultilevel"/>
    <w:tmpl w:val="7576BF7A"/>
    <w:lvl w:ilvl="0" w:tplc="0C090001">
      <w:start w:val="1"/>
      <w:numFmt w:val="bullet"/>
      <w:lvlText w:val=""/>
      <w:lvlJc w:val="left"/>
      <w:pPr>
        <w:ind w:left="1287" w:hanging="360"/>
      </w:pPr>
      <w:rPr>
        <w:rFonts w:ascii="Symbol" w:hAnsi="Symbol" w:hint="default"/>
      </w:rPr>
    </w:lvl>
    <w:lvl w:ilvl="1" w:tplc="0C090003">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
    <w:nsid w:val="44E12992"/>
    <w:multiLevelType w:val="hybridMultilevel"/>
    <w:tmpl w:val="40046D04"/>
    <w:lvl w:ilvl="0" w:tplc="9D02CC36">
      <w:start w:val="1"/>
      <w:numFmt w:val="lowerRoman"/>
      <w:pStyle w:val="Subsubpara"/>
      <w:lvlText w:val="(%1)"/>
      <w:lvlJc w:val="left"/>
      <w:pPr>
        <w:tabs>
          <w:tab w:val="num" w:pos="1799"/>
        </w:tabs>
        <w:ind w:left="1259"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6C66B6D"/>
    <w:multiLevelType w:val="hybridMultilevel"/>
    <w:tmpl w:val="BDFE657C"/>
    <w:lvl w:ilvl="0" w:tplc="9D36A07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4FE72A03"/>
    <w:multiLevelType w:val="hybridMultilevel"/>
    <w:tmpl w:val="C070255C"/>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6B9B5C87"/>
    <w:multiLevelType w:val="hybridMultilevel"/>
    <w:tmpl w:val="E11C9764"/>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6BF4407C"/>
    <w:multiLevelType w:val="multilevel"/>
    <w:tmpl w:val="F14EEEC6"/>
    <w:name w:val="CEI legal numbering"/>
    <w:lvl w:ilvl="0">
      <w:start w:val="1"/>
      <w:numFmt w:val="decimal"/>
      <w:isLgl/>
      <w:lvlText w:val="CEI %1"/>
      <w:lvlJc w:val="left"/>
      <w:pPr>
        <w:tabs>
          <w:tab w:val="num" w:pos="851"/>
        </w:tabs>
        <w:ind w:left="851" w:hanging="851"/>
      </w:pPr>
      <w:rPr>
        <w:rFonts w:hint="default"/>
        <w:sz w:val="20"/>
        <w:szCs w:val="20"/>
        <w:lang w:val="en-ZW"/>
      </w:rPr>
    </w:lvl>
    <w:lvl w:ilvl="1">
      <w:start w:val="1"/>
      <w:numFmt w:val="lowerLetter"/>
      <w:lvlText w:val="(%2)"/>
      <w:lvlJc w:val="left"/>
      <w:pPr>
        <w:tabs>
          <w:tab w:val="num" w:pos="1276"/>
        </w:tabs>
        <w:ind w:left="1276" w:hanging="425"/>
      </w:pPr>
      <w:rPr>
        <w:rFonts w:hint="default"/>
      </w:rPr>
    </w:lvl>
    <w:lvl w:ilvl="2">
      <w:start w:val="1"/>
      <w:numFmt w:val="lowerRoman"/>
      <w:lvlText w:val="(%3)"/>
      <w:lvlJc w:val="left"/>
      <w:pPr>
        <w:tabs>
          <w:tab w:val="num" w:pos="1701"/>
        </w:tabs>
        <w:ind w:left="1701" w:hanging="425"/>
      </w:pPr>
      <w:rPr>
        <w:rFonts w:hint="default"/>
      </w:rPr>
    </w:lvl>
    <w:lvl w:ilvl="3">
      <w:start w:val="1"/>
      <w:numFmt w:val="decimal"/>
      <w:lvlText w:val="%1.%2.%3.%4."/>
      <w:lvlJc w:val="left"/>
      <w:pPr>
        <w:tabs>
          <w:tab w:val="num" w:pos="2095"/>
        </w:tabs>
        <w:ind w:left="1303" w:hanging="648"/>
      </w:pPr>
      <w:rPr>
        <w:rFonts w:hint="default"/>
      </w:rPr>
    </w:lvl>
    <w:lvl w:ilvl="4">
      <w:start w:val="1"/>
      <w:numFmt w:val="decimal"/>
      <w:lvlText w:val="%1.%2.%3.%4.%5."/>
      <w:lvlJc w:val="left"/>
      <w:pPr>
        <w:tabs>
          <w:tab w:val="num" w:pos="2815"/>
        </w:tabs>
        <w:ind w:left="1807" w:hanging="792"/>
      </w:pPr>
      <w:rPr>
        <w:rFonts w:hint="default"/>
      </w:rPr>
    </w:lvl>
    <w:lvl w:ilvl="5">
      <w:start w:val="1"/>
      <w:numFmt w:val="decimal"/>
      <w:lvlText w:val="%1.%2.%3.%4.%5.%6."/>
      <w:lvlJc w:val="left"/>
      <w:pPr>
        <w:tabs>
          <w:tab w:val="num" w:pos="3535"/>
        </w:tabs>
        <w:ind w:left="2311" w:hanging="936"/>
      </w:pPr>
      <w:rPr>
        <w:rFonts w:hint="default"/>
      </w:rPr>
    </w:lvl>
    <w:lvl w:ilvl="6">
      <w:start w:val="1"/>
      <w:numFmt w:val="decimal"/>
      <w:lvlText w:val="%1.%2.%3.%4.%5.%6.%7."/>
      <w:lvlJc w:val="left"/>
      <w:pPr>
        <w:tabs>
          <w:tab w:val="num" w:pos="3895"/>
        </w:tabs>
        <w:ind w:left="2815" w:hanging="1080"/>
      </w:pPr>
      <w:rPr>
        <w:rFonts w:hint="default"/>
      </w:rPr>
    </w:lvl>
    <w:lvl w:ilvl="7">
      <w:start w:val="1"/>
      <w:numFmt w:val="decimal"/>
      <w:lvlText w:val="%1.%2.%3.%4.%5.%6.%7.%8."/>
      <w:lvlJc w:val="left"/>
      <w:pPr>
        <w:tabs>
          <w:tab w:val="num" w:pos="4615"/>
        </w:tabs>
        <w:ind w:left="3319" w:hanging="1224"/>
      </w:pPr>
      <w:rPr>
        <w:rFonts w:hint="default"/>
      </w:rPr>
    </w:lvl>
    <w:lvl w:ilvl="8">
      <w:start w:val="1"/>
      <w:numFmt w:val="decimal"/>
      <w:lvlText w:val="%1.%2.%3.%4.%5.%6.%7.%8.%9."/>
      <w:lvlJc w:val="left"/>
      <w:pPr>
        <w:tabs>
          <w:tab w:val="num" w:pos="5335"/>
        </w:tabs>
        <w:ind w:left="3895" w:hanging="1440"/>
      </w:pPr>
      <w:rPr>
        <w:rFonts w:hint="default"/>
      </w:rPr>
    </w:lvl>
  </w:abstractNum>
  <w:abstractNum w:abstractNumId="17">
    <w:nsid w:val="70C91A55"/>
    <w:multiLevelType w:val="hybridMultilevel"/>
    <w:tmpl w:val="E042CE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77857696"/>
    <w:multiLevelType w:val="hybridMultilevel"/>
    <w:tmpl w:val="4E6618A8"/>
    <w:lvl w:ilvl="0" w:tplc="5726AC30">
      <w:start w:val="1"/>
      <w:numFmt w:val="lowerLetter"/>
      <w:pStyle w:val="Subpara"/>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8"/>
  </w:num>
  <w:num w:numId="3">
    <w:abstractNumId w:val="12"/>
  </w:num>
  <w:num w:numId="4">
    <w:abstractNumId w:val="16"/>
  </w:num>
  <w:num w:numId="5">
    <w:abstractNumId w:val="5"/>
  </w:num>
  <w:num w:numId="6">
    <w:abstractNumId w:val="4"/>
  </w:num>
  <w:num w:numId="7">
    <w:abstractNumId w:val="10"/>
  </w:num>
  <w:num w:numId="8">
    <w:abstractNumId w:val="2"/>
  </w:num>
  <w:num w:numId="9">
    <w:abstractNumId w:val="1"/>
  </w:num>
  <w:num w:numId="10">
    <w:abstractNumId w:val="0"/>
  </w:num>
  <w:num w:numId="11">
    <w:abstractNumId w:val="8"/>
  </w:num>
  <w:num w:numId="12">
    <w:abstractNumId w:val="15"/>
  </w:num>
  <w:num w:numId="13">
    <w:abstractNumId w:val="14"/>
  </w:num>
  <w:num w:numId="14">
    <w:abstractNumId w:val="7"/>
  </w:num>
  <w:num w:numId="15">
    <w:abstractNumId w:val="11"/>
  </w:num>
  <w:num w:numId="16">
    <w:abstractNumId w:val="6"/>
  </w:num>
  <w:num w:numId="17">
    <w:abstractNumId w:val="9"/>
  </w:num>
  <w:num w:numId="18">
    <w:abstractNumId w:val="17"/>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E3A"/>
    <w:rsid w:val="000076D6"/>
    <w:rsid w:val="00077A9C"/>
    <w:rsid w:val="000F3689"/>
    <w:rsid w:val="001152B5"/>
    <w:rsid w:val="00131AD3"/>
    <w:rsid w:val="0014361B"/>
    <w:rsid w:val="001C2F0D"/>
    <w:rsid w:val="00201704"/>
    <w:rsid w:val="002615F4"/>
    <w:rsid w:val="00262052"/>
    <w:rsid w:val="002B7536"/>
    <w:rsid w:val="00355375"/>
    <w:rsid w:val="00391B9C"/>
    <w:rsid w:val="00430471"/>
    <w:rsid w:val="004614B7"/>
    <w:rsid w:val="00493158"/>
    <w:rsid w:val="00502877"/>
    <w:rsid w:val="005B0E3A"/>
    <w:rsid w:val="005D4437"/>
    <w:rsid w:val="00644D52"/>
    <w:rsid w:val="006A5B7C"/>
    <w:rsid w:val="006F3C75"/>
    <w:rsid w:val="00704C0C"/>
    <w:rsid w:val="007814B5"/>
    <w:rsid w:val="00787FCD"/>
    <w:rsid w:val="00790B7F"/>
    <w:rsid w:val="007C2047"/>
    <w:rsid w:val="008242E8"/>
    <w:rsid w:val="008C0868"/>
    <w:rsid w:val="00913ABB"/>
    <w:rsid w:val="009D20E5"/>
    <w:rsid w:val="00A0514F"/>
    <w:rsid w:val="00AC02C2"/>
    <w:rsid w:val="00AD1DFF"/>
    <w:rsid w:val="00AE4375"/>
    <w:rsid w:val="00B45464"/>
    <w:rsid w:val="00B928F5"/>
    <w:rsid w:val="00BA1209"/>
    <w:rsid w:val="00CA584F"/>
    <w:rsid w:val="00CC3EC5"/>
    <w:rsid w:val="00CD599D"/>
    <w:rsid w:val="00CE4CBC"/>
    <w:rsid w:val="00D52DB4"/>
    <w:rsid w:val="00D770AA"/>
    <w:rsid w:val="00EB301E"/>
    <w:rsid w:val="00F8685C"/>
    <w:rsid w:val="00FB328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0E3A"/>
    <w:pPr>
      <w:spacing w:after="240"/>
    </w:pPr>
    <w:rPr>
      <w:sz w:val="22"/>
    </w:rPr>
  </w:style>
  <w:style w:type="paragraph" w:styleId="Heading1">
    <w:name w:val="heading 1"/>
    <w:aliases w:val="h1,header 1"/>
    <w:next w:val="CommentText"/>
    <w:qFormat/>
    <w:pPr>
      <w:keepNext/>
      <w:tabs>
        <w:tab w:val="left" w:pos="879"/>
      </w:tabs>
      <w:overflowPunct w:val="0"/>
      <w:autoSpaceDE w:val="0"/>
      <w:autoSpaceDN w:val="0"/>
      <w:adjustRightInd w:val="0"/>
      <w:spacing w:before="360" w:after="120" w:line="340" w:lineRule="atLeast"/>
      <w:textAlignment w:val="baseline"/>
      <w:outlineLvl w:val="0"/>
    </w:pPr>
    <w:rPr>
      <w:rFonts w:ascii="Arial" w:hAnsi="Arial"/>
      <w:b/>
      <w:kern w:val="28"/>
      <w:sz w:val="40"/>
      <w:lang w:eastAsia="en-US"/>
    </w:rPr>
  </w:style>
  <w:style w:type="paragraph" w:styleId="Heading2">
    <w:name w:val="heading 2"/>
    <w:next w:val="BodyText"/>
    <w:qFormat/>
    <w:pPr>
      <w:keepNext/>
      <w:overflowPunct w:val="0"/>
      <w:autoSpaceDE w:val="0"/>
      <w:autoSpaceDN w:val="0"/>
      <w:adjustRightInd w:val="0"/>
      <w:spacing w:before="120" w:after="80"/>
      <w:textAlignment w:val="baseline"/>
      <w:outlineLvl w:val="1"/>
    </w:pPr>
    <w:rPr>
      <w:rFonts w:ascii="Arial" w:hAnsi="Arial"/>
      <w:b/>
      <w:sz w:val="32"/>
      <w:lang w:eastAsia="en-US"/>
    </w:rPr>
  </w:style>
  <w:style w:type="paragraph" w:styleId="Heading3">
    <w:name w:val="heading 3"/>
    <w:basedOn w:val="Normal"/>
    <w:next w:val="Normal"/>
    <w:qFormat/>
    <w:pPr>
      <w:keepNext/>
      <w:spacing w:line="240" w:lineRule="atLeast"/>
      <w:ind w:left="357"/>
      <w:jc w:val="right"/>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pPr>
      <w:tabs>
        <w:tab w:val="left" w:pos="567"/>
        <w:tab w:val="left" w:pos="680"/>
      </w:tabs>
      <w:overflowPunct w:val="0"/>
      <w:autoSpaceDE w:val="0"/>
      <w:autoSpaceDN w:val="0"/>
      <w:adjustRightInd w:val="0"/>
      <w:spacing w:before="200" w:line="300" w:lineRule="atLeast"/>
      <w:textAlignment w:val="baseline"/>
    </w:pPr>
    <w:rPr>
      <w:sz w:val="24"/>
      <w:lang w:eastAsia="en-US"/>
    </w:rPr>
  </w:style>
  <w:style w:type="paragraph" w:styleId="Title">
    <w:name w:val="Title"/>
    <w:basedOn w:val="Normal"/>
    <w:qFormat/>
    <w:pPr>
      <w:overflowPunct w:val="0"/>
      <w:autoSpaceDE w:val="0"/>
      <w:autoSpaceDN w:val="0"/>
      <w:adjustRightInd w:val="0"/>
      <w:ind w:left="567" w:hanging="567"/>
      <w:jc w:val="center"/>
      <w:textAlignment w:val="baseline"/>
    </w:pPr>
    <w:rPr>
      <w:b/>
      <w:bCs/>
      <w:sz w:val="28"/>
    </w:rPr>
  </w:style>
  <w:style w:type="paragraph" w:customStyle="1" w:styleId="BodyTextcentreditals">
    <w:name w:val="Body Text centred itals"/>
    <w:basedOn w:val="BodyText"/>
    <w:pPr>
      <w:jc w:val="center"/>
    </w:pPr>
    <w:rPr>
      <w:i/>
      <w:iCs/>
    </w:rPr>
  </w:style>
  <w:style w:type="paragraph" w:customStyle="1" w:styleId="BodyTextcentred">
    <w:name w:val="Body Text centred"/>
    <w:basedOn w:val="BodyText"/>
    <w:pPr>
      <w:jc w:val="center"/>
    </w:pPr>
  </w:style>
  <w:style w:type="paragraph" w:customStyle="1" w:styleId="Subsubpara">
    <w:name w:val="Sub sub para"/>
    <w:basedOn w:val="Normal"/>
    <w:pPr>
      <w:numPr>
        <w:numId w:val="3"/>
      </w:numPr>
      <w:tabs>
        <w:tab w:val="left" w:pos="540"/>
      </w:tabs>
      <w:spacing w:before="100" w:line="300" w:lineRule="exact"/>
    </w:pPr>
  </w:style>
  <w:style w:type="paragraph" w:customStyle="1" w:styleId="Subpara">
    <w:name w:val="Sub para"/>
    <w:basedOn w:val="BodyText"/>
    <w:pPr>
      <w:numPr>
        <w:numId w:val="2"/>
      </w:numPr>
      <w:tabs>
        <w:tab w:val="clear" w:pos="567"/>
        <w:tab w:val="clear" w:pos="680"/>
        <w:tab w:val="clear" w:pos="1440"/>
        <w:tab w:val="num" w:pos="540"/>
      </w:tabs>
      <w:spacing w:before="100"/>
      <w:ind w:hanging="1440"/>
    </w:pPr>
  </w:style>
  <w:style w:type="paragraph" w:styleId="CommentText">
    <w:name w:val="annotation text"/>
    <w:basedOn w:val="Normal"/>
    <w:link w:val="CommentTextChar"/>
    <w:semiHidden/>
    <w:rPr>
      <w:sz w:val="20"/>
    </w:rPr>
  </w:style>
  <w:style w:type="paragraph" w:styleId="Footer">
    <w:name w:val="footer"/>
    <w:basedOn w:val="Normal"/>
    <w:link w:val="FooterChar"/>
    <w:rsid w:val="005B0E3A"/>
    <w:pPr>
      <w:tabs>
        <w:tab w:val="right" w:pos="9070"/>
      </w:tabs>
      <w:spacing w:after="0"/>
    </w:pPr>
    <w:rPr>
      <w:rFonts w:ascii="Arial" w:hAnsi="Arial"/>
      <w:sz w:val="16"/>
      <w:szCs w:val="16"/>
    </w:rPr>
  </w:style>
  <w:style w:type="character" w:customStyle="1" w:styleId="FooterChar">
    <w:name w:val="Footer Char"/>
    <w:basedOn w:val="DefaultParagraphFont"/>
    <w:link w:val="Footer"/>
    <w:rsid w:val="005B0E3A"/>
    <w:rPr>
      <w:rFonts w:ascii="Arial" w:hAnsi="Arial"/>
      <w:sz w:val="16"/>
      <w:szCs w:val="16"/>
    </w:rPr>
  </w:style>
  <w:style w:type="character" w:styleId="PageNumber">
    <w:name w:val="page number"/>
    <w:basedOn w:val="DefaultParagraphFont"/>
    <w:rsid w:val="005B0E3A"/>
    <w:rPr>
      <w:b/>
      <w:sz w:val="20"/>
    </w:rPr>
  </w:style>
  <w:style w:type="paragraph" w:styleId="Header">
    <w:name w:val="header"/>
    <w:basedOn w:val="Normal"/>
    <w:link w:val="HeaderChar"/>
    <w:uiPriority w:val="99"/>
    <w:rsid w:val="005B0E3A"/>
    <w:pPr>
      <w:pBdr>
        <w:bottom w:val="single" w:sz="4" w:space="1" w:color="008291"/>
      </w:pBdr>
      <w:tabs>
        <w:tab w:val="right" w:pos="9356"/>
      </w:tabs>
      <w:spacing w:after="0"/>
      <w:ind w:left="-85"/>
    </w:pPr>
    <w:rPr>
      <w:rFonts w:ascii="Arial" w:hAnsi="Arial" w:cs="Arial"/>
      <w:caps/>
      <w:color w:val="008291"/>
      <w:sz w:val="16"/>
      <w:szCs w:val="16"/>
    </w:rPr>
  </w:style>
  <w:style w:type="character" w:customStyle="1" w:styleId="HeaderChar">
    <w:name w:val="Header Char"/>
    <w:basedOn w:val="DefaultParagraphFont"/>
    <w:link w:val="Header"/>
    <w:uiPriority w:val="99"/>
    <w:rsid w:val="005B0E3A"/>
    <w:rPr>
      <w:rFonts w:ascii="Arial" w:hAnsi="Arial" w:cs="Arial"/>
      <w:caps/>
      <w:color w:val="008291"/>
      <w:sz w:val="16"/>
      <w:szCs w:val="16"/>
    </w:rPr>
  </w:style>
  <w:style w:type="paragraph" w:customStyle="1" w:styleId="Bodytextplain">
    <w:name w:val="Body text plain"/>
    <w:basedOn w:val="BodyText"/>
    <w:rsid w:val="005B0E3A"/>
    <w:pPr>
      <w:tabs>
        <w:tab w:val="clear" w:pos="567"/>
        <w:tab w:val="clear" w:pos="680"/>
      </w:tabs>
      <w:overflowPunct/>
      <w:autoSpaceDE/>
      <w:autoSpaceDN/>
      <w:adjustRightInd/>
      <w:ind w:left="2268"/>
      <w:textAlignment w:val="auto"/>
    </w:pPr>
    <w:rPr>
      <w:sz w:val="22"/>
      <w:szCs w:val="22"/>
      <w:lang w:eastAsia="en-AU"/>
    </w:rPr>
  </w:style>
  <w:style w:type="paragraph" w:customStyle="1" w:styleId="subparaa">
    <w:name w:val="sub para (a)"/>
    <w:basedOn w:val="BodyText"/>
    <w:rsid w:val="005B0E3A"/>
    <w:pPr>
      <w:tabs>
        <w:tab w:val="clear" w:pos="567"/>
        <w:tab w:val="clear" w:pos="680"/>
        <w:tab w:val="num" w:pos="2693"/>
      </w:tabs>
      <w:overflowPunct/>
      <w:autoSpaceDE/>
      <w:autoSpaceDN/>
      <w:adjustRightInd/>
      <w:spacing w:before="100"/>
      <w:ind w:left="2693" w:hanging="425"/>
      <w:textAlignment w:val="auto"/>
    </w:pPr>
    <w:rPr>
      <w:sz w:val="22"/>
      <w:szCs w:val="22"/>
      <w:lang w:eastAsia="en-AU"/>
    </w:rPr>
  </w:style>
  <w:style w:type="paragraph" w:customStyle="1" w:styleId="Feedbackquestion">
    <w:name w:val="Feedback question"/>
    <w:basedOn w:val="Normal"/>
    <w:rsid w:val="005B0E3A"/>
    <w:pPr>
      <w:keepLines/>
      <w:pBdr>
        <w:left w:val="single" w:sz="6" w:space="2" w:color="117DC7"/>
      </w:pBdr>
      <w:tabs>
        <w:tab w:val="num" w:pos="3799"/>
      </w:tabs>
      <w:spacing w:before="100" w:after="0" w:line="260" w:lineRule="atLeast"/>
      <w:ind w:left="3799" w:hanging="567"/>
    </w:pPr>
    <w:rPr>
      <w:rFonts w:ascii="Arial" w:hAnsi="Arial" w:cs="Arial"/>
      <w:sz w:val="20"/>
    </w:rPr>
  </w:style>
  <w:style w:type="paragraph" w:customStyle="1" w:styleId="Feedbacksubquestion">
    <w:name w:val="Feedback subquestion"/>
    <w:basedOn w:val="Feedbackquestion"/>
    <w:rsid w:val="005B0E3A"/>
    <w:pPr>
      <w:tabs>
        <w:tab w:val="clear" w:pos="3799"/>
        <w:tab w:val="num" w:pos="4139"/>
      </w:tabs>
      <w:ind w:left="4139" w:hanging="907"/>
    </w:pPr>
  </w:style>
  <w:style w:type="paragraph" w:customStyle="1" w:styleId="subsubparai">
    <w:name w:val="sub sub para (i)"/>
    <w:basedOn w:val="subparaa"/>
    <w:rsid w:val="005B0E3A"/>
    <w:pPr>
      <w:tabs>
        <w:tab w:val="clear" w:pos="2693"/>
        <w:tab w:val="num" w:pos="3119"/>
      </w:tabs>
      <w:ind w:left="3119" w:hanging="426"/>
    </w:pPr>
  </w:style>
  <w:style w:type="paragraph" w:customStyle="1" w:styleId="Proposaltext">
    <w:name w:val="Proposal text"/>
    <w:basedOn w:val="Bodytextplain"/>
    <w:rsid w:val="005B0E3A"/>
    <w:pPr>
      <w:tabs>
        <w:tab w:val="num" w:pos="425"/>
      </w:tabs>
      <w:spacing w:line="260" w:lineRule="atLeast"/>
      <w:ind w:left="2693" w:hanging="425"/>
    </w:pPr>
    <w:rPr>
      <w:rFonts w:ascii="Arial" w:hAnsi="Arial" w:cs="Arial"/>
      <w:sz w:val="20"/>
      <w:szCs w:val="20"/>
    </w:rPr>
  </w:style>
  <w:style w:type="paragraph" w:customStyle="1" w:styleId="Proposalsubpara">
    <w:name w:val="Proposal sub para"/>
    <w:basedOn w:val="Proposaltext"/>
    <w:rsid w:val="005B0E3A"/>
    <w:pPr>
      <w:tabs>
        <w:tab w:val="clear" w:pos="425"/>
        <w:tab w:val="num" w:pos="3119"/>
      </w:tabs>
      <w:spacing w:before="100"/>
      <w:ind w:left="3119" w:hanging="426"/>
    </w:pPr>
  </w:style>
  <w:style w:type="paragraph" w:customStyle="1" w:styleId="Proposalsubsubpara">
    <w:name w:val="Proposal sub sub para"/>
    <w:basedOn w:val="Proposaltext"/>
    <w:rsid w:val="005B0E3A"/>
    <w:pPr>
      <w:tabs>
        <w:tab w:val="clear" w:pos="425"/>
        <w:tab w:val="num" w:pos="3544"/>
      </w:tabs>
      <w:spacing w:before="100"/>
      <w:ind w:left="3544"/>
    </w:pPr>
  </w:style>
  <w:style w:type="paragraph" w:customStyle="1" w:styleId="sub3paraA">
    <w:name w:val="sub3para (A)"/>
    <w:basedOn w:val="subsubparai"/>
    <w:qFormat/>
    <w:rsid w:val="005B0E3A"/>
    <w:pPr>
      <w:tabs>
        <w:tab w:val="clear" w:pos="3119"/>
        <w:tab w:val="num" w:pos="3544"/>
      </w:tabs>
      <w:ind w:left="3544" w:hanging="425"/>
    </w:pPr>
  </w:style>
  <w:style w:type="paragraph" w:customStyle="1" w:styleId="sub4paraI">
    <w:name w:val="sub4para (I)"/>
    <w:basedOn w:val="subsubparai"/>
    <w:qFormat/>
    <w:rsid w:val="005B0E3A"/>
    <w:pPr>
      <w:tabs>
        <w:tab w:val="clear" w:pos="3119"/>
        <w:tab w:val="num" w:pos="3969"/>
      </w:tabs>
      <w:ind w:left="3969" w:hanging="425"/>
    </w:pPr>
  </w:style>
  <w:style w:type="paragraph" w:customStyle="1" w:styleId="Feedbacksubsubquestion">
    <w:name w:val="Feedback subsubquestion"/>
    <w:basedOn w:val="Feedbacksubquestion"/>
    <w:qFormat/>
    <w:rsid w:val="005B0E3A"/>
    <w:pPr>
      <w:tabs>
        <w:tab w:val="clear" w:pos="4139"/>
        <w:tab w:val="num" w:pos="4423"/>
      </w:tabs>
      <w:ind w:left="4423" w:hanging="1191"/>
    </w:pPr>
  </w:style>
  <w:style w:type="paragraph" w:styleId="ListParagraph">
    <w:name w:val="List Paragraph"/>
    <w:basedOn w:val="Normal"/>
    <w:uiPriority w:val="34"/>
    <w:qFormat/>
    <w:rsid w:val="005B0E3A"/>
    <w:pPr>
      <w:ind w:left="720"/>
      <w:contextualSpacing/>
    </w:pPr>
  </w:style>
  <w:style w:type="paragraph" w:styleId="BalloonText">
    <w:name w:val="Balloon Text"/>
    <w:basedOn w:val="Normal"/>
    <w:link w:val="BalloonTextChar"/>
    <w:uiPriority w:val="99"/>
    <w:semiHidden/>
    <w:unhideWhenUsed/>
    <w:rsid w:val="00704C0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4C0C"/>
    <w:rPr>
      <w:rFonts w:ascii="Tahoma" w:hAnsi="Tahoma" w:cs="Tahoma"/>
      <w:sz w:val="16"/>
      <w:szCs w:val="16"/>
    </w:rPr>
  </w:style>
  <w:style w:type="character" w:styleId="CommentReference">
    <w:name w:val="annotation reference"/>
    <w:basedOn w:val="DefaultParagraphFont"/>
    <w:uiPriority w:val="99"/>
    <w:semiHidden/>
    <w:unhideWhenUsed/>
    <w:rsid w:val="00644D52"/>
    <w:rPr>
      <w:sz w:val="16"/>
      <w:szCs w:val="16"/>
    </w:rPr>
  </w:style>
  <w:style w:type="paragraph" w:styleId="CommentSubject">
    <w:name w:val="annotation subject"/>
    <w:basedOn w:val="CommentText"/>
    <w:next w:val="CommentText"/>
    <w:link w:val="CommentSubjectChar"/>
    <w:uiPriority w:val="99"/>
    <w:semiHidden/>
    <w:unhideWhenUsed/>
    <w:rsid w:val="00644D52"/>
    <w:rPr>
      <w:b/>
      <w:bCs/>
    </w:rPr>
  </w:style>
  <w:style w:type="character" w:customStyle="1" w:styleId="CommentTextChar">
    <w:name w:val="Comment Text Char"/>
    <w:basedOn w:val="DefaultParagraphFont"/>
    <w:link w:val="CommentText"/>
    <w:semiHidden/>
    <w:rsid w:val="00644D52"/>
  </w:style>
  <w:style w:type="character" w:customStyle="1" w:styleId="CommentSubjectChar">
    <w:name w:val="Comment Subject Char"/>
    <w:basedOn w:val="CommentTextChar"/>
    <w:link w:val="CommentSubject"/>
    <w:uiPriority w:val="99"/>
    <w:semiHidden/>
    <w:rsid w:val="00644D5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0E3A"/>
    <w:pPr>
      <w:spacing w:after="240"/>
    </w:pPr>
    <w:rPr>
      <w:sz w:val="22"/>
    </w:rPr>
  </w:style>
  <w:style w:type="paragraph" w:styleId="Heading1">
    <w:name w:val="heading 1"/>
    <w:aliases w:val="h1,header 1"/>
    <w:next w:val="CommentText"/>
    <w:qFormat/>
    <w:pPr>
      <w:keepNext/>
      <w:tabs>
        <w:tab w:val="left" w:pos="879"/>
      </w:tabs>
      <w:overflowPunct w:val="0"/>
      <w:autoSpaceDE w:val="0"/>
      <w:autoSpaceDN w:val="0"/>
      <w:adjustRightInd w:val="0"/>
      <w:spacing w:before="360" w:after="120" w:line="340" w:lineRule="atLeast"/>
      <w:textAlignment w:val="baseline"/>
      <w:outlineLvl w:val="0"/>
    </w:pPr>
    <w:rPr>
      <w:rFonts w:ascii="Arial" w:hAnsi="Arial"/>
      <w:b/>
      <w:kern w:val="28"/>
      <w:sz w:val="40"/>
      <w:lang w:eastAsia="en-US"/>
    </w:rPr>
  </w:style>
  <w:style w:type="paragraph" w:styleId="Heading2">
    <w:name w:val="heading 2"/>
    <w:next w:val="BodyText"/>
    <w:qFormat/>
    <w:pPr>
      <w:keepNext/>
      <w:overflowPunct w:val="0"/>
      <w:autoSpaceDE w:val="0"/>
      <w:autoSpaceDN w:val="0"/>
      <w:adjustRightInd w:val="0"/>
      <w:spacing w:before="120" w:after="80"/>
      <w:textAlignment w:val="baseline"/>
      <w:outlineLvl w:val="1"/>
    </w:pPr>
    <w:rPr>
      <w:rFonts w:ascii="Arial" w:hAnsi="Arial"/>
      <w:b/>
      <w:sz w:val="32"/>
      <w:lang w:eastAsia="en-US"/>
    </w:rPr>
  </w:style>
  <w:style w:type="paragraph" w:styleId="Heading3">
    <w:name w:val="heading 3"/>
    <w:basedOn w:val="Normal"/>
    <w:next w:val="Normal"/>
    <w:qFormat/>
    <w:pPr>
      <w:keepNext/>
      <w:spacing w:line="240" w:lineRule="atLeast"/>
      <w:ind w:left="357"/>
      <w:jc w:val="right"/>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pPr>
      <w:tabs>
        <w:tab w:val="left" w:pos="567"/>
        <w:tab w:val="left" w:pos="680"/>
      </w:tabs>
      <w:overflowPunct w:val="0"/>
      <w:autoSpaceDE w:val="0"/>
      <w:autoSpaceDN w:val="0"/>
      <w:adjustRightInd w:val="0"/>
      <w:spacing w:before="200" w:line="300" w:lineRule="atLeast"/>
      <w:textAlignment w:val="baseline"/>
    </w:pPr>
    <w:rPr>
      <w:sz w:val="24"/>
      <w:lang w:eastAsia="en-US"/>
    </w:rPr>
  </w:style>
  <w:style w:type="paragraph" w:styleId="Title">
    <w:name w:val="Title"/>
    <w:basedOn w:val="Normal"/>
    <w:qFormat/>
    <w:pPr>
      <w:overflowPunct w:val="0"/>
      <w:autoSpaceDE w:val="0"/>
      <w:autoSpaceDN w:val="0"/>
      <w:adjustRightInd w:val="0"/>
      <w:ind w:left="567" w:hanging="567"/>
      <w:jc w:val="center"/>
      <w:textAlignment w:val="baseline"/>
    </w:pPr>
    <w:rPr>
      <w:b/>
      <w:bCs/>
      <w:sz w:val="28"/>
    </w:rPr>
  </w:style>
  <w:style w:type="paragraph" w:customStyle="1" w:styleId="BodyTextcentreditals">
    <w:name w:val="Body Text centred itals"/>
    <w:basedOn w:val="BodyText"/>
    <w:pPr>
      <w:jc w:val="center"/>
    </w:pPr>
    <w:rPr>
      <w:i/>
      <w:iCs/>
    </w:rPr>
  </w:style>
  <w:style w:type="paragraph" w:customStyle="1" w:styleId="BodyTextcentred">
    <w:name w:val="Body Text centred"/>
    <w:basedOn w:val="BodyText"/>
    <w:pPr>
      <w:jc w:val="center"/>
    </w:pPr>
  </w:style>
  <w:style w:type="paragraph" w:customStyle="1" w:styleId="Subsubpara">
    <w:name w:val="Sub sub para"/>
    <w:basedOn w:val="Normal"/>
    <w:pPr>
      <w:numPr>
        <w:numId w:val="3"/>
      </w:numPr>
      <w:tabs>
        <w:tab w:val="left" w:pos="540"/>
      </w:tabs>
      <w:spacing w:before="100" w:line="300" w:lineRule="exact"/>
    </w:pPr>
  </w:style>
  <w:style w:type="paragraph" w:customStyle="1" w:styleId="Subpara">
    <w:name w:val="Sub para"/>
    <w:basedOn w:val="BodyText"/>
    <w:pPr>
      <w:numPr>
        <w:numId w:val="2"/>
      </w:numPr>
      <w:tabs>
        <w:tab w:val="clear" w:pos="567"/>
        <w:tab w:val="clear" w:pos="680"/>
        <w:tab w:val="clear" w:pos="1440"/>
        <w:tab w:val="num" w:pos="540"/>
      </w:tabs>
      <w:spacing w:before="100"/>
      <w:ind w:hanging="1440"/>
    </w:pPr>
  </w:style>
  <w:style w:type="paragraph" w:styleId="CommentText">
    <w:name w:val="annotation text"/>
    <w:basedOn w:val="Normal"/>
    <w:link w:val="CommentTextChar"/>
    <w:semiHidden/>
    <w:rPr>
      <w:sz w:val="20"/>
    </w:rPr>
  </w:style>
  <w:style w:type="paragraph" w:styleId="Footer">
    <w:name w:val="footer"/>
    <w:basedOn w:val="Normal"/>
    <w:link w:val="FooterChar"/>
    <w:rsid w:val="005B0E3A"/>
    <w:pPr>
      <w:tabs>
        <w:tab w:val="right" w:pos="9070"/>
      </w:tabs>
      <w:spacing w:after="0"/>
    </w:pPr>
    <w:rPr>
      <w:rFonts w:ascii="Arial" w:hAnsi="Arial"/>
      <w:sz w:val="16"/>
      <w:szCs w:val="16"/>
    </w:rPr>
  </w:style>
  <w:style w:type="character" w:customStyle="1" w:styleId="FooterChar">
    <w:name w:val="Footer Char"/>
    <w:basedOn w:val="DefaultParagraphFont"/>
    <w:link w:val="Footer"/>
    <w:rsid w:val="005B0E3A"/>
    <w:rPr>
      <w:rFonts w:ascii="Arial" w:hAnsi="Arial"/>
      <w:sz w:val="16"/>
      <w:szCs w:val="16"/>
    </w:rPr>
  </w:style>
  <w:style w:type="character" w:styleId="PageNumber">
    <w:name w:val="page number"/>
    <w:basedOn w:val="DefaultParagraphFont"/>
    <w:rsid w:val="005B0E3A"/>
    <w:rPr>
      <w:b/>
      <w:sz w:val="20"/>
    </w:rPr>
  </w:style>
  <w:style w:type="paragraph" w:styleId="Header">
    <w:name w:val="header"/>
    <w:basedOn w:val="Normal"/>
    <w:link w:val="HeaderChar"/>
    <w:uiPriority w:val="99"/>
    <w:rsid w:val="005B0E3A"/>
    <w:pPr>
      <w:pBdr>
        <w:bottom w:val="single" w:sz="4" w:space="1" w:color="008291"/>
      </w:pBdr>
      <w:tabs>
        <w:tab w:val="right" w:pos="9356"/>
      </w:tabs>
      <w:spacing w:after="0"/>
      <w:ind w:left="-85"/>
    </w:pPr>
    <w:rPr>
      <w:rFonts w:ascii="Arial" w:hAnsi="Arial" w:cs="Arial"/>
      <w:caps/>
      <w:color w:val="008291"/>
      <w:sz w:val="16"/>
      <w:szCs w:val="16"/>
    </w:rPr>
  </w:style>
  <w:style w:type="character" w:customStyle="1" w:styleId="HeaderChar">
    <w:name w:val="Header Char"/>
    <w:basedOn w:val="DefaultParagraphFont"/>
    <w:link w:val="Header"/>
    <w:uiPriority w:val="99"/>
    <w:rsid w:val="005B0E3A"/>
    <w:rPr>
      <w:rFonts w:ascii="Arial" w:hAnsi="Arial" w:cs="Arial"/>
      <w:caps/>
      <w:color w:val="008291"/>
      <w:sz w:val="16"/>
      <w:szCs w:val="16"/>
    </w:rPr>
  </w:style>
  <w:style w:type="paragraph" w:customStyle="1" w:styleId="Bodytextplain">
    <w:name w:val="Body text plain"/>
    <w:basedOn w:val="BodyText"/>
    <w:rsid w:val="005B0E3A"/>
    <w:pPr>
      <w:tabs>
        <w:tab w:val="clear" w:pos="567"/>
        <w:tab w:val="clear" w:pos="680"/>
      </w:tabs>
      <w:overflowPunct/>
      <w:autoSpaceDE/>
      <w:autoSpaceDN/>
      <w:adjustRightInd/>
      <w:ind w:left="2268"/>
      <w:textAlignment w:val="auto"/>
    </w:pPr>
    <w:rPr>
      <w:sz w:val="22"/>
      <w:szCs w:val="22"/>
      <w:lang w:eastAsia="en-AU"/>
    </w:rPr>
  </w:style>
  <w:style w:type="paragraph" w:customStyle="1" w:styleId="subparaa">
    <w:name w:val="sub para (a)"/>
    <w:basedOn w:val="BodyText"/>
    <w:rsid w:val="005B0E3A"/>
    <w:pPr>
      <w:tabs>
        <w:tab w:val="clear" w:pos="567"/>
        <w:tab w:val="clear" w:pos="680"/>
        <w:tab w:val="num" w:pos="2693"/>
      </w:tabs>
      <w:overflowPunct/>
      <w:autoSpaceDE/>
      <w:autoSpaceDN/>
      <w:adjustRightInd/>
      <w:spacing w:before="100"/>
      <w:ind w:left="2693" w:hanging="425"/>
      <w:textAlignment w:val="auto"/>
    </w:pPr>
    <w:rPr>
      <w:sz w:val="22"/>
      <w:szCs w:val="22"/>
      <w:lang w:eastAsia="en-AU"/>
    </w:rPr>
  </w:style>
  <w:style w:type="paragraph" w:customStyle="1" w:styleId="Feedbackquestion">
    <w:name w:val="Feedback question"/>
    <w:basedOn w:val="Normal"/>
    <w:rsid w:val="005B0E3A"/>
    <w:pPr>
      <w:keepLines/>
      <w:pBdr>
        <w:left w:val="single" w:sz="6" w:space="2" w:color="117DC7"/>
      </w:pBdr>
      <w:tabs>
        <w:tab w:val="num" w:pos="3799"/>
      </w:tabs>
      <w:spacing w:before="100" w:after="0" w:line="260" w:lineRule="atLeast"/>
      <w:ind w:left="3799" w:hanging="567"/>
    </w:pPr>
    <w:rPr>
      <w:rFonts w:ascii="Arial" w:hAnsi="Arial" w:cs="Arial"/>
      <w:sz w:val="20"/>
    </w:rPr>
  </w:style>
  <w:style w:type="paragraph" w:customStyle="1" w:styleId="Feedbacksubquestion">
    <w:name w:val="Feedback subquestion"/>
    <w:basedOn w:val="Feedbackquestion"/>
    <w:rsid w:val="005B0E3A"/>
    <w:pPr>
      <w:tabs>
        <w:tab w:val="clear" w:pos="3799"/>
        <w:tab w:val="num" w:pos="4139"/>
      </w:tabs>
      <w:ind w:left="4139" w:hanging="907"/>
    </w:pPr>
  </w:style>
  <w:style w:type="paragraph" w:customStyle="1" w:styleId="subsubparai">
    <w:name w:val="sub sub para (i)"/>
    <w:basedOn w:val="subparaa"/>
    <w:rsid w:val="005B0E3A"/>
    <w:pPr>
      <w:tabs>
        <w:tab w:val="clear" w:pos="2693"/>
        <w:tab w:val="num" w:pos="3119"/>
      </w:tabs>
      <w:ind w:left="3119" w:hanging="426"/>
    </w:pPr>
  </w:style>
  <w:style w:type="paragraph" w:customStyle="1" w:styleId="Proposaltext">
    <w:name w:val="Proposal text"/>
    <w:basedOn w:val="Bodytextplain"/>
    <w:rsid w:val="005B0E3A"/>
    <w:pPr>
      <w:tabs>
        <w:tab w:val="num" w:pos="425"/>
      </w:tabs>
      <w:spacing w:line="260" w:lineRule="atLeast"/>
      <w:ind w:left="2693" w:hanging="425"/>
    </w:pPr>
    <w:rPr>
      <w:rFonts w:ascii="Arial" w:hAnsi="Arial" w:cs="Arial"/>
      <w:sz w:val="20"/>
      <w:szCs w:val="20"/>
    </w:rPr>
  </w:style>
  <w:style w:type="paragraph" w:customStyle="1" w:styleId="Proposalsubpara">
    <w:name w:val="Proposal sub para"/>
    <w:basedOn w:val="Proposaltext"/>
    <w:rsid w:val="005B0E3A"/>
    <w:pPr>
      <w:tabs>
        <w:tab w:val="clear" w:pos="425"/>
        <w:tab w:val="num" w:pos="3119"/>
      </w:tabs>
      <w:spacing w:before="100"/>
      <w:ind w:left="3119" w:hanging="426"/>
    </w:pPr>
  </w:style>
  <w:style w:type="paragraph" w:customStyle="1" w:styleId="Proposalsubsubpara">
    <w:name w:val="Proposal sub sub para"/>
    <w:basedOn w:val="Proposaltext"/>
    <w:rsid w:val="005B0E3A"/>
    <w:pPr>
      <w:tabs>
        <w:tab w:val="clear" w:pos="425"/>
        <w:tab w:val="num" w:pos="3544"/>
      </w:tabs>
      <w:spacing w:before="100"/>
      <w:ind w:left="3544"/>
    </w:pPr>
  </w:style>
  <w:style w:type="paragraph" w:customStyle="1" w:styleId="sub3paraA">
    <w:name w:val="sub3para (A)"/>
    <w:basedOn w:val="subsubparai"/>
    <w:qFormat/>
    <w:rsid w:val="005B0E3A"/>
    <w:pPr>
      <w:tabs>
        <w:tab w:val="clear" w:pos="3119"/>
        <w:tab w:val="num" w:pos="3544"/>
      </w:tabs>
      <w:ind w:left="3544" w:hanging="425"/>
    </w:pPr>
  </w:style>
  <w:style w:type="paragraph" w:customStyle="1" w:styleId="sub4paraI">
    <w:name w:val="sub4para (I)"/>
    <w:basedOn w:val="subsubparai"/>
    <w:qFormat/>
    <w:rsid w:val="005B0E3A"/>
    <w:pPr>
      <w:tabs>
        <w:tab w:val="clear" w:pos="3119"/>
        <w:tab w:val="num" w:pos="3969"/>
      </w:tabs>
      <w:ind w:left="3969" w:hanging="425"/>
    </w:pPr>
  </w:style>
  <w:style w:type="paragraph" w:customStyle="1" w:styleId="Feedbacksubsubquestion">
    <w:name w:val="Feedback subsubquestion"/>
    <w:basedOn w:val="Feedbacksubquestion"/>
    <w:qFormat/>
    <w:rsid w:val="005B0E3A"/>
    <w:pPr>
      <w:tabs>
        <w:tab w:val="clear" w:pos="4139"/>
        <w:tab w:val="num" w:pos="4423"/>
      </w:tabs>
      <w:ind w:left="4423" w:hanging="1191"/>
    </w:pPr>
  </w:style>
  <w:style w:type="paragraph" w:styleId="ListParagraph">
    <w:name w:val="List Paragraph"/>
    <w:basedOn w:val="Normal"/>
    <w:uiPriority w:val="34"/>
    <w:qFormat/>
    <w:rsid w:val="005B0E3A"/>
    <w:pPr>
      <w:ind w:left="720"/>
      <w:contextualSpacing/>
    </w:pPr>
  </w:style>
  <w:style w:type="paragraph" w:styleId="BalloonText">
    <w:name w:val="Balloon Text"/>
    <w:basedOn w:val="Normal"/>
    <w:link w:val="BalloonTextChar"/>
    <w:uiPriority w:val="99"/>
    <w:semiHidden/>
    <w:unhideWhenUsed/>
    <w:rsid w:val="00704C0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4C0C"/>
    <w:rPr>
      <w:rFonts w:ascii="Tahoma" w:hAnsi="Tahoma" w:cs="Tahoma"/>
      <w:sz w:val="16"/>
      <w:szCs w:val="16"/>
    </w:rPr>
  </w:style>
  <w:style w:type="character" w:styleId="CommentReference">
    <w:name w:val="annotation reference"/>
    <w:basedOn w:val="DefaultParagraphFont"/>
    <w:uiPriority w:val="99"/>
    <w:semiHidden/>
    <w:unhideWhenUsed/>
    <w:rsid w:val="00644D52"/>
    <w:rPr>
      <w:sz w:val="16"/>
      <w:szCs w:val="16"/>
    </w:rPr>
  </w:style>
  <w:style w:type="paragraph" w:styleId="CommentSubject">
    <w:name w:val="annotation subject"/>
    <w:basedOn w:val="CommentText"/>
    <w:next w:val="CommentText"/>
    <w:link w:val="CommentSubjectChar"/>
    <w:uiPriority w:val="99"/>
    <w:semiHidden/>
    <w:unhideWhenUsed/>
    <w:rsid w:val="00644D52"/>
    <w:rPr>
      <w:b/>
      <w:bCs/>
    </w:rPr>
  </w:style>
  <w:style w:type="character" w:customStyle="1" w:styleId="CommentTextChar">
    <w:name w:val="Comment Text Char"/>
    <w:basedOn w:val="DefaultParagraphFont"/>
    <w:link w:val="CommentText"/>
    <w:semiHidden/>
    <w:rsid w:val="00644D52"/>
  </w:style>
  <w:style w:type="character" w:customStyle="1" w:styleId="CommentSubjectChar">
    <w:name w:val="Comment Subject Char"/>
    <w:basedOn w:val="CommentTextChar"/>
    <w:link w:val="CommentSubject"/>
    <w:uiPriority w:val="99"/>
    <w:semiHidden/>
    <w:rsid w:val="00644D5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140C08-46F5-491E-BDDC-5412D2B43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767</Words>
  <Characters>4204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ASIC CLASS ORDER [CO xx/xxx]</vt:lpstr>
    </vt:vector>
  </TitlesOfParts>
  <Company>ASIC</Company>
  <LinksUpToDate>false</LinksUpToDate>
  <CharactersWithSpaces>4962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ASIC CLASS ORDER [CO xx/xxx]</dc:title>
  <dc:creator>gillian.kreuiter</dc:creator>
  <cp:lastModifiedBy>merrill.murray</cp:lastModifiedBy>
  <cp:revision>2</cp:revision>
  <dcterms:created xsi:type="dcterms:W3CDTF">2015-07-23T03:12:00Z</dcterms:created>
  <dcterms:modified xsi:type="dcterms:W3CDTF">2015-07-23T03:12:00Z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A4543262</vt:lpwstr>
  </property>
  <property fmtid="{D5CDD505-2E9C-101B-9397-08002B2CF9AE}" pid="4" name="Objective-Title">
    <vt:lpwstr>20150722 - Explanatory Statement - ASIC Corporations (Deposit Product Disclosure) Instrument 2015/683</vt:lpwstr>
  </property>
  <property fmtid="{D5CDD505-2E9C-101B-9397-08002B2CF9AE}" pid="5" name="Objective-Comment">
    <vt:lpwstr>Notes message registered by Richard.McMahon on Monday, 20 July 2015 03:08:29 PM</vt:lpwstr>
  </property>
  <property fmtid="{D5CDD505-2E9C-101B-9397-08002B2CF9AE}" pid="6" name="Objective-CreationStamp">
    <vt:filetime>2015-07-20T05:09:12Z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vt:lpwstr>
  </property>
  <property fmtid="{D5CDD505-2E9C-101B-9397-08002B2CF9AE}" pid="10" name="Objective-ModificationStamp">
    <vt:filetime>2015-07-21T22:42:39Z</vt:filetime>
  </property>
  <property fmtid="{D5CDD505-2E9C-101B-9397-08002B2CF9AE}" pid="11" name="Objective-Owner">
    <vt:lpwstr>Richard.McMahon</vt:lpwstr>
  </property>
  <property fmtid="{D5CDD505-2E9C-101B-9397-08002B2CF9AE}" pid="12" name="Objective-Path">
    <vt:lpwstr>BCS:ASIC:POLICY &amp; REGULATORY FRAMEWORK:Policy Development:Technical Updates &amp; Other:Sunsetting Class Orders Project:DTCI:Working Documents:Banking and Insurance class orders [CO 04/909]. [CO 05/681], [CO 05/1070] and [CO 06/623] - [7993/15]:</vt:lpwstr>
  </property>
  <property fmtid="{D5CDD505-2E9C-101B-9397-08002B2CF9AE}" pid="13" name="Objective-Parent">
    <vt:lpwstr>Banking and Insurance class orders [CO 04/909]. [CO 05/681], [CO 05/1070] and [CO 06/623] - [7993/15]</vt:lpwstr>
  </property>
  <property fmtid="{D5CDD505-2E9C-101B-9397-08002B2CF9AE}" pid="14" name="Objective-State">
    <vt:lpwstr>Being Drafted</vt:lpwstr>
  </property>
  <property fmtid="{D5CDD505-2E9C-101B-9397-08002B2CF9AE}" pid="15" name="Objective-Version">
    <vt:lpwstr>1.4</vt:lpwstr>
  </property>
  <property fmtid="{D5CDD505-2E9C-101B-9397-08002B2CF9AE}" pid="16" name="Objective-VersionNumber">
    <vt:i4>5</vt:i4>
  </property>
  <property fmtid="{D5CDD505-2E9C-101B-9397-08002B2CF9AE}" pid="17" name="Objective-VersionComment">
    <vt:lpwstr>
    </vt:lpwstr>
  </property>
  <property fmtid="{D5CDD505-2E9C-101B-9397-08002B2CF9AE}" pid="18" name="Objective-FileNumber">
    <vt:lpwstr>
    </vt:lpwstr>
  </property>
  <property fmtid="{D5CDD505-2E9C-101B-9397-08002B2CF9AE}" pid="19" name="Objective-Classification">
    <vt:lpwstr>[Inherited - IN-CONFIDENCE]</vt:lpwstr>
  </property>
  <property fmtid="{D5CDD505-2E9C-101B-9397-08002B2CF9AE}" pid="20" name="Objective-Caveats">
    <vt:lpwstr>
    </vt:lpwstr>
  </property>
  <property fmtid="{D5CDD505-2E9C-101B-9397-08002B2CF9AE}" pid="21" name="Objective-Category [system]">
    <vt:lpwstr>
    </vt:lpwstr>
  </property>
</Properties>
</file>