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CED" w:rsidRPr="00720984" w:rsidRDefault="00A46CED">
      <w:pPr>
        <w:pStyle w:val="Heading5"/>
      </w:pPr>
      <w:r w:rsidRPr="00720984">
        <w:t>EXPLANATORY STATEMENT</w:t>
      </w:r>
    </w:p>
    <w:p w:rsidR="000B4B1C" w:rsidRDefault="000B4B1C" w:rsidP="000B4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i/>
          <w:sz w:val="28"/>
          <w:lang w:val="en-GB"/>
        </w:rPr>
      </w:pPr>
    </w:p>
    <w:p w:rsidR="00951A52" w:rsidRPr="00951A52" w:rsidRDefault="00951A52" w:rsidP="00951A52">
      <w:pPr>
        <w:keepNext/>
        <w:tabs>
          <w:tab w:val="left" w:pos="-142"/>
          <w:tab w:val="left" w:pos="851"/>
        </w:tabs>
        <w:spacing w:after="240"/>
        <w:outlineLvl w:val="0"/>
        <w:rPr>
          <w:rFonts w:ascii="Arial" w:hAnsi="Arial" w:cs="Arial"/>
          <w:b/>
          <w:color w:val="000000"/>
          <w:sz w:val="36"/>
          <w:szCs w:val="36"/>
        </w:rPr>
      </w:pPr>
      <w:r w:rsidRPr="00951A52">
        <w:rPr>
          <w:rFonts w:ascii="Arial" w:hAnsi="Arial" w:cs="Arial"/>
          <w:b/>
          <w:color w:val="000000"/>
          <w:sz w:val="36"/>
          <w:szCs w:val="36"/>
        </w:rPr>
        <w:t>Veterans’ Affairs (Extended Eligibility for Treatment) Instrument 2015</w:t>
      </w:r>
    </w:p>
    <w:p w:rsidR="00A46CED" w:rsidRPr="000A51A1" w:rsidRDefault="00A46CED">
      <w:pPr>
        <w:rPr>
          <w:b/>
          <w:color w:val="000000"/>
          <w:sz w:val="24"/>
          <w:szCs w:val="24"/>
        </w:rPr>
      </w:pPr>
      <w:r w:rsidRPr="000A51A1">
        <w:rPr>
          <w:b/>
          <w:color w:val="000000"/>
          <w:sz w:val="24"/>
          <w:szCs w:val="24"/>
        </w:rPr>
        <w:t>PURPOSE</w:t>
      </w:r>
    </w:p>
    <w:p w:rsidR="00A46CED" w:rsidRPr="000A51A1" w:rsidRDefault="00A46CED">
      <w:pPr>
        <w:rPr>
          <w:color w:val="000000"/>
          <w:sz w:val="24"/>
          <w:szCs w:val="24"/>
        </w:rPr>
      </w:pPr>
    </w:p>
    <w:p w:rsidR="00F430EC" w:rsidRDefault="00262004" w:rsidP="00262004">
      <w:pPr>
        <w:tabs>
          <w:tab w:val="left" w:pos="1134"/>
        </w:tabs>
        <w:rPr>
          <w:color w:val="000000"/>
          <w:sz w:val="24"/>
          <w:szCs w:val="24"/>
        </w:rPr>
      </w:pPr>
      <w:r w:rsidRPr="000A51A1">
        <w:rPr>
          <w:color w:val="000000"/>
          <w:sz w:val="24"/>
          <w:szCs w:val="24"/>
        </w:rPr>
        <w:t>The attached instrument</w:t>
      </w:r>
      <w:r>
        <w:rPr>
          <w:color w:val="000000"/>
          <w:sz w:val="24"/>
          <w:szCs w:val="24"/>
        </w:rPr>
        <w:t xml:space="preserve"> </w:t>
      </w:r>
      <w:r w:rsidR="00951A52">
        <w:rPr>
          <w:color w:val="000000"/>
          <w:sz w:val="24"/>
          <w:szCs w:val="24"/>
        </w:rPr>
        <w:t>is a combination of several legislative instruments that were due to “sunset” (be automatically repealed) on 1 October 2015</w:t>
      </w:r>
      <w:r w:rsidR="000B7A4A">
        <w:rPr>
          <w:color w:val="000000"/>
          <w:sz w:val="24"/>
          <w:szCs w:val="24"/>
        </w:rPr>
        <w:t xml:space="preserve"> (see Schedule 1 of the instrument</w:t>
      </w:r>
      <w:r w:rsidR="00CE5D06">
        <w:rPr>
          <w:color w:val="000000"/>
          <w:sz w:val="24"/>
          <w:szCs w:val="24"/>
        </w:rPr>
        <w:t xml:space="preserve"> for a list of the </w:t>
      </w:r>
      <w:r w:rsidR="002045F1">
        <w:rPr>
          <w:color w:val="000000"/>
          <w:sz w:val="24"/>
          <w:szCs w:val="24"/>
        </w:rPr>
        <w:t xml:space="preserve">relevant </w:t>
      </w:r>
      <w:proofErr w:type="spellStart"/>
      <w:r w:rsidR="00CE5D06">
        <w:rPr>
          <w:color w:val="000000"/>
          <w:sz w:val="24"/>
          <w:szCs w:val="24"/>
        </w:rPr>
        <w:t>sunsetting</w:t>
      </w:r>
      <w:proofErr w:type="spellEnd"/>
      <w:r w:rsidR="00CE5D06">
        <w:rPr>
          <w:color w:val="000000"/>
          <w:sz w:val="24"/>
          <w:szCs w:val="24"/>
        </w:rPr>
        <w:t xml:space="preserve"> instruments</w:t>
      </w:r>
      <w:r w:rsidR="000B7A4A">
        <w:rPr>
          <w:color w:val="000000"/>
          <w:sz w:val="24"/>
          <w:szCs w:val="24"/>
        </w:rPr>
        <w:t>)</w:t>
      </w:r>
      <w:r w:rsidR="00951A52">
        <w:rPr>
          <w:color w:val="000000"/>
          <w:sz w:val="24"/>
          <w:szCs w:val="24"/>
        </w:rPr>
        <w:t>.</w:t>
      </w:r>
      <w:r w:rsidR="00F430EC">
        <w:rPr>
          <w:color w:val="000000"/>
          <w:sz w:val="24"/>
          <w:szCs w:val="24"/>
        </w:rPr>
        <w:t xml:space="preserve">  </w:t>
      </w:r>
    </w:p>
    <w:p w:rsidR="00F430EC" w:rsidRDefault="00F430EC" w:rsidP="00262004">
      <w:pPr>
        <w:tabs>
          <w:tab w:val="left" w:pos="1134"/>
        </w:tabs>
        <w:rPr>
          <w:color w:val="000000"/>
          <w:sz w:val="24"/>
          <w:szCs w:val="24"/>
        </w:rPr>
      </w:pPr>
    </w:p>
    <w:p w:rsidR="00951A52" w:rsidRDefault="00F430EC" w:rsidP="00262004">
      <w:pPr>
        <w:tabs>
          <w:tab w:val="left" w:pos="1134"/>
        </w:tabs>
        <w:rPr>
          <w:color w:val="000000"/>
          <w:sz w:val="24"/>
          <w:szCs w:val="24"/>
        </w:rPr>
      </w:pPr>
      <w:r>
        <w:rPr>
          <w:color w:val="000000"/>
          <w:sz w:val="24"/>
          <w:szCs w:val="24"/>
        </w:rPr>
        <w:t xml:space="preserve">The </w:t>
      </w:r>
      <w:proofErr w:type="spellStart"/>
      <w:r>
        <w:rPr>
          <w:color w:val="000000"/>
          <w:sz w:val="24"/>
          <w:szCs w:val="24"/>
        </w:rPr>
        <w:t>sunsetting</w:t>
      </w:r>
      <w:proofErr w:type="spellEnd"/>
      <w:r>
        <w:rPr>
          <w:color w:val="000000"/>
          <w:sz w:val="24"/>
          <w:szCs w:val="24"/>
        </w:rPr>
        <w:t xml:space="preserve"> instruments were reviewed by the Department of Veterans’ Affairs (DVA) and</w:t>
      </w:r>
      <w:r w:rsidR="002045F1">
        <w:rPr>
          <w:color w:val="000000"/>
          <w:sz w:val="24"/>
          <w:szCs w:val="24"/>
        </w:rPr>
        <w:t xml:space="preserve"> 5 (of the 8) instruments were</w:t>
      </w:r>
      <w:r>
        <w:rPr>
          <w:color w:val="000000"/>
          <w:sz w:val="24"/>
          <w:szCs w:val="24"/>
        </w:rPr>
        <w:t xml:space="preserve"> found to be still needed</w:t>
      </w:r>
      <w:r w:rsidR="002045F1">
        <w:rPr>
          <w:color w:val="000000"/>
          <w:sz w:val="24"/>
          <w:szCs w:val="24"/>
        </w:rPr>
        <w:t xml:space="preserve"> and have essentially been reproduced in the attached instrument.</w:t>
      </w:r>
    </w:p>
    <w:p w:rsidR="00951A52" w:rsidRDefault="00951A52" w:rsidP="00262004">
      <w:pPr>
        <w:tabs>
          <w:tab w:val="left" w:pos="1134"/>
        </w:tabs>
        <w:rPr>
          <w:color w:val="000000"/>
          <w:sz w:val="24"/>
          <w:szCs w:val="24"/>
        </w:rPr>
      </w:pPr>
    </w:p>
    <w:p w:rsidR="00262004" w:rsidRDefault="00951A52" w:rsidP="00262004">
      <w:pPr>
        <w:tabs>
          <w:tab w:val="left" w:pos="1134"/>
        </w:tabs>
        <w:rPr>
          <w:color w:val="000000"/>
          <w:sz w:val="24"/>
          <w:szCs w:val="24"/>
        </w:rPr>
      </w:pPr>
      <w:r>
        <w:rPr>
          <w:color w:val="000000"/>
          <w:sz w:val="24"/>
          <w:szCs w:val="24"/>
        </w:rPr>
        <w:t>The</w:t>
      </w:r>
      <w:r w:rsidR="002045F1">
        <w:rPr>
          <w:color w:val="000000"/>
          <w:sz w:val="24"/>
          <w:szCs w:val="24"/>
        </w:rPr>
        <w:t xml:space="preserve"> attached instrument</w:t>
      </w:r>
      <w:r>
        <w:rPr>
          <w:color w:val="000000"/>
          <w:sz w:val="24"/>
          <w:szCs w:val="24"/>
        </w:rPr>
        <w:t xml:space="preserve"> extends eligibility for certain treatments to certain classes of </w:t>
      </w:r>
      <w:r w:rsidR="00F430EC">
        <w:rPr>
          <w:color w:val="000000"/>
          <w:sz w:val="24"/>
          <w:szCs w:val="24"/>
        </w:rPr>
        <w:t>DVA clients</w:t>
      </w:r>
      <w:r>
        <w:rPr>
          <w:color w:val="000000"/>
          <w:sz w:val="24"/>
          <w:szCs w:val="24"/>
        </w:rPr>
        <w:t>.</w:t>
      </w:r>
    </w:p>
    <w:p w:rsidR="00951A52" w:rsidRDefault="00951A52" w:rsidP="00262004">
      <w:pPr>
        <w:tabs>
          <w:tab w:val="left" w:pos="1134"/>
        </w:tabs>
        <w:rPr>
          <w:color w:val="000000"/>
          <w:sz w:val="24"/>
          <w:szCs w:val="24"/>
        </w:rPr>
      </w:pPr>
    </w:p>
    <w:p w:rsidR="00A70F86" w:rsidRDefault="00951A52" w:rsidP="00262004">
      <w:pPr>
        <w:tabs>
          <w:tab w:val="left" w:pos="1134"/>
        </w:tabs>
        <w:rPr>
          <w:color w:val="000000"/>
          <w:sz w:val="24"/>
          <w:szCs w:val="24"/>
        </w:rPr>
      </w:pPr>
      <w:r>
        <w:rPr>
          <w:color w:val="000000"/>
          <w:sz w:val="24"/>
          <w:szCs w:val="24"/>
        </w:rPr>
        <w:t xml:space="preserve">Under the </w:t>
      </w:r>
      <w:r w:rsidRPr="00951A52">
        <w:rPr>
          <w:i/>
          <w:color w:val="000000"/>
          <w:sz w:val="24"/>
          <w:szCs w:val="24"/>
        </w:rPr>
        <w:t>Veterans’ Entitlements Act 1986</w:t>
      </w:r>
      <w:r>
        <w:rPr>
          <w:color w:val="000000"/>
          <w:sz w:val="24"/>
          <w:szCs w:val="24"/>
        </w:rPr>
        <w:t xml:space="preserve"> (VEA) and the </w:t>
      </w:r>
      <w:r w:rsidRPr="00951A52">
        <w:rPr>
          <w:i/>
          <w:color w:val="000000"/>
          <w:sz w:val="24"/>
          <w:szCs w:val="24"/>
        </w:rPr>
        <w:t>Military Rehabilitation and Compensation Act 2004</w:t>
      </w:r>
      <w:r>
        <w:rPr>
          <w:color w:val="000000"/>
          <w:sz w:val="24"/>
          <w:szCs w:val="24"/>
        </w:rPr>
        <w:t xml:space="preserve"> (MRCA) eligibility for treatment is confined within certain parameters.  </w:t>
      </w:r>
    </w:p>
    <w:p w:rsidR="00A70F86" w:rsidRDefault="00A70F86" w:rsidP="00262004">
      <w:pPr>
        <w:tabs>
          <w:tab w:val="left" w:pos="1134"/>
        </w:tabs>
        <w:rPr>
          <w:color w:val="000000"/>
          <w:sz w:val="24"/>
          <w:szCs w:val="24"/>
        </w:rPr>
      </w:pPr>
    </w:p>
    <w:p w:rsidR="00951A52" w:rsidRDefault="00951A52" w:rsidP="00262004">
      <w:pPr>
        <w:tabs>
          <w:tab w:val="left" w:pos="1134"/>
        </w:tabs>
        <w:rPr>
          <w:color w:val="000000"/>
          <w:sz w:val="24"/>
          <w:szCs w:val="24"/>
        </w:rPr>
      </w:pPr>
      <w:r>
        <w:rPr>
          <w:color w:val="000000"/>
          <w:sz w:val="24"/>
          <w:szCs w:val="24"/>
        </w:rPr>
        <w:t>For example, and generally speaking, under the</w:t>
      </w:r>
      <w:r w:rsidR="00A70F86">
        <w:rPr>
          <w:color w:val="000000"/>
          <w:sz w:val="24"/>
          <w:szCs w:val="24"/>
        </w:rPr>
        <w:t xml:space="preserve"> main treatment eligibility provisions of the VEA and</w:t>
      </w:r>
      <w:r>
        <w:rPr>
          <w:color w:val="000000"/>
          <w:sz w:val="24"/>
          <w:szCs w:val="24"/>
        </w:rPr>
        <w:t xml:space="preserve"> MRCA a condition must be s</w:t>
      </w:r>
      <w:r w:rsidR="00A70F86">
        <w:rPr>
          <w:color w:val="000000"/>
          <w:sz w:val="24"/>
          <w:szCs w:val="24"/>
        </w:rPr>
        <w:t>ervice-related before the condition may be treated under DVA-arrangements</w:t>
      </w:r>
      <w:r w:rsidR="009B6EA9">
        <w:rPr>
          <w:color w:val="000000"/>
          <w:sz w:val="24"/>
          <w:szCs w:val="24"/>
        </w:rPr>
        <w:t xml:space="preserve">.  Further, </w:t>
      </w:r>
      <w:r w:rsidR="00A70F86">
        <w:rPr>
          <w:color w:val="000000"/>
          <w:sz w:val="24"/>
          <w:szCs w:val="24"/>
        </w:rPr>
        <w:t>the condition to be treated must be an injury or disease, which would not allow for whole-of-person treatment for frailty due to the effects of ageing.</w:t>
      </w:r>
      <w:r w:rsidR="002045F1">
        <w:rPr>
          <w:color w:val="000000"/>
          <w:sz w:val="24"/>
          <w:szCs w:val="24"/>
        </w:rPr>
        <w:t xml:space="preserve">  Also, for a person to be a dependant of a veteran or member (or former member), the veteran </w:t>
      </w:r>
      <w:proofErr w:type="spellStart"/>
      <w:r w:rsidR="002045F1">
        <w:rPr>
          <w:color w:val="000000"/>
          <w:sz w:val="24"/>
          <w:szCs w:val="24"/>
        </w:rPr>
        <w:t>etc</w:t>
      </w:r>
      <w:proofErr w:type="spellEnd"/>
      <w:r w:rsidR="002045F1">
        <w:rPr>
          <w:color w:val="000000"/>
          <w:sz w:val="24"/>
          <w:szCs w:val="24"/>
        </w:rPr>
        <w:t xml:space="preserve"> must have died.</w:t>
      </w:r>
    </w:p>
    <w:p w:rsidR="00A70F86" w:rsidRDefault="00A70F86" w:rsidP="00262004">
      <w:pPr>
        <w:tabs>
          <w:tab w:val="left" w:pos="1134"/>
        </w:tabs>
        <w:rPr>
          <w:color w:val="000000"/>
          <w:sz w:val="24"/>
          <w:szCs w:val="24"/>
        </w:rPr>
      </w:pPr>
    </w:p>
    <w:p w:rsidR="00A70F86" w:rsidRDefault="00A70F86" w:rsidP="00262004">
      <w:pPr>
        <w:tabs>
          <w:tab w:val="left" w:pos="1134"/>
        </w:tabs>
        <w:rPr>
          <w:color w:val="000000"/>
          <w:sz w:val="24"/>
          <w:szCs w:val="24"/>
        </w:rPr>
      </w:pPr>
      <w:r>
        <w:rPr>
          <w:color w:val="000000"/>
          <w:sz w:val="24"/>
          <w:szCs w:val="24"/>
        </w:rPr>
        <w:t>The VEA contains a provision that enables these treatment-eligibility parameters to be extended – section 88A.  Section 88A is not confined to the traditional treatment beneficiaries under the VEA i.e. veterans and their dependants, but may be used to grant eligibility for treatment under the VEA to any person e.g. people traditionally covered by the MRCA</w:t>
      </w:r>
    </w:p>
    <w:p w:rsidR="00A70F86" w:rsidRDefault="00A70F86" w:rsidP="00262004">
      <w:pPr>
        <w:tabs>
          <w:tab w:val="left" w:pos="1134"/>
        </w:tabs>
        <w:rPr>
          <w:color w:val="000000"/>
          <w:sz w:val="24"/>
          <w:szCs w:val="24"/>
        </w:rPr>
      </w:pPr>
    </w:p>
    <w:p w:rsidR="00A70F86" w:rsidRDefault="00DE73DE" w:rsidP="00262004">
      <w:pPr>
        <w:tabs>
          <w:tab w:val="left" w:pos="1134"/>
        </w:tabs>
        <w:rPr>
          <w:color w:val="000000"/>
          <w:sz w:val="24"/>
          <w:szCs w:val="24"/>
        </w:rPr>
      </w:pPr>
      <w:r>
        <w:rPr>
          <w:color w:val="000000"/>
          <w:sz w:val="24"/>
          <w:szCs w:val="24"/>
        </w:rPr>
        <w:t>T</w:t>
      </w:r>
      <w:r w:rsidR="009B6EA9">
        <w:rPr>
          <w:color w:val="000000"/>
          <w:sz w:val="24"/>
          <w:szCs w:val="24"/>
        </w:rPr>
        <w:t>he main purpose of the attached instrument is to:</w:t>
      </w:r>
    </w:p>
    <w:p w:rsidR="009B6EA9" w:rsidRDefault="009B6EA9" w:rsidP="00262004">
      <w:pPr>
        <w:tabs>
          <w:tab w:val="left" w:pos="1134"/>
        </w:tabs>
        <w:rPr>
          <w:color w:val="000000"/>
          <w:sz w:val="24"/>
          <w:szCs w:val="24"/>
        </w:rPr>
      </w:pPr>
    </w:p>
    <w:p w:rsidR="009B6EA9" w:rsidRDefault="009B6EA9" w:rsidP="009B6EA9">
      <w:pPr>
        <w:numPr>
          <w:ilvl w:val="0"/>
          <w:numId w:val="9"/>
        </w:numPr>
        <w:tabs>
          <w:tab w:val="left" w:pos="709"/>
        </w:tabs>
        <w:rPr>
          <w:color w:val="000000"/>
          <w:sz w:val="24"/>
          <w:szCs w:val="24"/>
        </w:rPr>
      </w:pPr>
      <w:r>
        <w:rPr>
          <w:color w:val="000000"/>
          <w:sz w:val="24"/>
          <w:szCs w:val="24"/>
        </w:rPr>
        <w:t>remove the nexus with service as an eligibility requirement for certain treatments;</w:t>
      </w:r>
    </w:p>
    <w:p w:rsidR="009B6EA9" w:rsidRDefault="009B6EA9" w:rsidP="009B6EA9">
      <w:pPr>
        <w:numPr>
          <w:ilvl w:val="0"/>
          <w:numId w:val="9"/>
        </w:numPr>
        <w:tabs>
          <w:tab w:val="left" w:pos="709"/>
        </w:tabs>
        <w:rPr>
          <w:color w:val="000000"/>
          <w:sz w:val="24"/>
          <w:szCs w:val="24"/>
        </w:rPr>
      </w:pPr>
      <w:r>
        <w:rPr>
          <w:color w:val="000000"/>
          <w:sz w:val="24"/>
          <w:szCs w:val="24"/>
        </w:rPr>
        <w:t>remove the need for conditions to be injuries or diseases as an eligibility requirement for certain treatments (to enable frailty to be treated); and</w:t>
      </w:r>
    </w:p>
    <w:p w:rsidR="009B6EA9" w:rsidRDefault="009B6EA9" w:rsidP="009B6EA9">
      <w:pPr>
        <w:numPr>
          <w:ilvl w:val="0"/>
          <w:numId w:val="9"/>
        </w:numPr>
        <w:tabs>
          <w:tab w:val="left" w:pos="709"/>
        </w:tabs>
        <w:rPr>
          <w:color w:val="000000"/>
          <w:sz w:val="24"/>
          <w:szCs w:val="24"/>
        </w:rPr>
      </w:pPr>
      <w:proofErr w:type="gramStart"/>
      <w:r>
        <w:rPr>
          <w:color w:val="000000"/>
          <w:sz w:val="24"/>
          <w:szCs w:val="24"/>
        </w:rPr>
        <w:t>provide</w:t>
      </w:r>
      <w:proofErr w:type="gramEnd"/>
      <w:r>
        <w:rPr>
          <w:color w:val="000000"/>
          <w:sz w:val="24"/>
          <w:szCs w:val="24"/>
        </w:rPr>
        <w:t xml:space="preserve"> eligibility for certain treatments under the VEA to new classes of people (MRCA clients).</w:t>
      </w:r>
    </w:p>
    <w:p w:rsidR="009B6EA9" w:rsidRDefault="009B6EA9" w:rsidP="00262004">
      <w:pPr>
        <w:tabs>
          <w:tab w:val="left" w:pos="1134"/>
        </w:tabs>
        <w:rPr>
          <w:color w:val="000000"/>
          <w:sz w:val="24"/>
          <w:szCs w:val="24"/>
        </w:rPr>
      </w:pPr>
    </w:p>
    <w:p w:rsidR="00262004" w:rsidRPr="00924FE0" w:rsidRDefault="00262004" w:rsidP="00262004">
      <w:pPr>
        <w:tabs>
          <w:tab w:val="left" w:pos="1134"/>
        </w:tabs>
        <w:rPr>
          <w:rFonts w:ascii="Helvetica Neue" w:hAnsi="Helvetica Neue"/>
          <w:sz w:val="24"/>
          <w:szCs w:val="24"/>
        </w:rPr>
      </w:pPr>
      <w:r>
        <w:rPr>
          <w:snapToGrid w:val="0"/>
          <w:color w:val="000000"/>
          <w:sz w:val="24"/>
          <w:szCs w:val="24"/>
          <w:lang w:eastAsia="en-US"/>
        </w:rPr>
        <w:t>S</w:t>
      </w:r>
      <w:r w:rsidRPr="00924FE0">
        <w:rPr>
          <w:snapToGrid w:val="0"/>
          <w:color w:val="000000"/>
          <w:sz w:val="24"/>
          <w:szCs w:val="24"/>
          <w:lang w:eastAsia="en-US"/>
        </w:rPr>
        <w:t xml:space="preserve">ubsection 26(1B) of the </w:t>
      </w:r>
      <w:r w:rsidRPr="00924FE0">
        <w:rPr>
          <w:i/>
          <w:snapToGrid w:val="0"/>
          <w:color w:val="000000"/>
          <w:sz w:val="24"/>
          <w:szCs w:val="24"/>
          <w:lang w:eastAsia="en-US"/>
        </w:rPr>
        <w:t>Legislative Instruments Act 2003</w:t>
      </w:r>
      <w:r w:rsidRPr="00924FE0">
        <w:rPr>
          <w:snapToGrid w:val="0"/>
          <w:color w:val="000000"/>
          <w:sz w:val="24"/>
          <w:szCs w:val="24"/>
          <w:lang w:eastAsia="en-US"/>
        </w:rPr>
        <w:t xml:space="preserve"> provides that the requirement for an explanatory statement to explain </w:t>
      </w:r>
      <w:r w:rsidRPr="00924FE0">
        <w:rPr>
          <w:sz w:val="24"/>
          <w:szCs w:val="24"/>
        </w:rPr>
        <w:t xml:space="preserve">the purpose and operation of an instrument </w:t>
      </w:r>
      <w:r w:rsidRPr="00924FE0">
        <w:rPr>
          <w:rFonts w:ascii="Helvetica Neue" w:hAnsi="Helvetica Neue"/>
          <w:sz w:val="24"/>
          <w:szCs w:val="24"/>
        </w:rPr>
        <w:t>may be met by an explanation that the instrument replaces a specified earlier legislative instrument or a specified provision of an earlier legislative instrument and is the same in substance as the specified instrument or provision.</w:t>
      </w:r>
      <w:r>
        <w:rPr>
          <w:rFonts w:ascii="Helvetica Neue" w:hAnsi="Helvetica Neue"/>
          <w:sz w:val="24"/>
          <w:szCs w:val="24"/>
        </w:rPr>
        <w:t xml:space="preserve">  </w:t>
      </w:r>
    </w:p>
    <w:p w:rsidR="009B6EA9" w:rsidRDefault="009B6EA9" w:rsidP="00262004">
      <w:pPr>
        <w:tabs>
          <w:tab w:val="left" w:pos="1134"/>
        </w:tabs>
        <w:rPr>
          <w:color w:val="000000"/>
          <w:sz w:val="24"/>
          <w:szCs w:val="24"/>
        </w:rPr>
      </w:pPr>
    </w:p>
    <w:p w:rsidR="00262004" w:rsidRDefault="00262004" w:rsidP="00262004">
      <w:pPr>
        <w:tabs>
          <w:tab w:val="left" w:pos="1134"/>
        </w:tabs>
        <w:rPr>
          <w:color w:val="000000"/>
          <w:sz w:val="24"/>
          <w:szCs w:val="24"/>
        </w:rPr>
      </w:pPr>
      <w:r>
        <w:rPr>
          <w:color w:val="000000"/>
          <w:sz w:val="24"/>
          <w:szCs w:val="24"/>
        </w:rPr>
        <w:t>Th</w:t>
      </w:r>
      <w:r w:rsidR="003E7CFD">
        <w:rPr>
          <w:color w:val="000000"/>
          <w:sz w:val="24"/>
          <w:szCs w:val="24"/>
        </w:rPr>
        <w:t xml:space="preserve">e attached instrument is essentially </w:t>
      </w:r>
      <w:r>
        <w:rPr>
          <w:color w:val="000000"/>
          <w:sz w:val="24"/>
          <w:szCs w:val="24"/>
        </w:rPr>
        <w:t>the same in substance as the</w:t>
      </w:r>
      <w:r w:rsidR="003E7CFD">
        <w:rPr>
          <w:color w:val="000000"/>
          <w:sz w:val="24"/>
          <w:szCs w:val="24"/>
        </w:rPr>
        <w:t xml:space="preserve"> following </w:t>
      </w:r>
      <w:r w:rsidR="00B91B98">
        <w:rPr>
          <w:color w:val="000000"/>
          <w:sz w:val="24"/>
          <w:szCs w:val="24"/>
        </w:rPr>
        <w:t xml:space="preserve">legislative </w:t>
      </w:r>
      <w:r w:rsidR="003E7CFD">
        <w:rPr>
          <w:color w:val="000000"/>
          <w:sz w:val="24"/>
          <w:szCs w:val="24"/>
        </w:rPr>
        <w:t xml:space="preserve">instruments </w:t>
      </w:r>
      <w:r w:rsidR="00B91B98">
        <w:rPr>
          <w:color w:val="000000"/>
          <w:sz w:val="24"/>
          <w:szCs w:val="24"/>
        </w:rPr>
        <w:t xml:space="preserve">which were </w:t>
      </w:r>
      <w:r w:rsidR="003E7CFD">
        <w:rPr>
          <w:color w:val="000000"/>
          <w:sz w:val="24"/>
          <w:szCs w:val="24"/>
        </w:rPr>
        <w:t xml:space="preserve">revoked by the attached </w:t>
      </w:r>
      <w:r>
        <w:rPr>
          <w:color w:val="000000"/>
          <w:sz w:val="24"/>
          <w:szCs w:val="24"/>
        </w:rPr>
        <w:t>instrument</w:t>
      </w:r>
      <w:r w:rsidR="003E7CFD">
        <w:rPr>
          <w:color w:val="000000"/>
          <w:sz w:val="24"/>
          <w:szCs w:val="24"/>
        </w:rPr>
        <w:t>:</w:t>
      </w:r>
    </w:p>
    <w:p w:rsidR="009B44E8" w:rsidRDefault="009B44E8" w:rsidP="009B44E8">
      <w:pPr>
        <w:pStyle w:val="LogoHeader"/>
        <w:keepLines w:val="0"/>
        <w:tabs>
          <w:tab w:val="left" w:pos="540"/>
        </w:tabs>
        <w:ind w:left="360" w:hanging="360"/>
        <w:rPr>
          <w:rFonts w:ascii="Times New Roman" w:hAnsi="Times New Roman"/>
          <w:i/>
          <w:szCs w:val="24"/>
        </w:rPr>
      </w:pPr>
    </w:p>
    <w:p w:rsidR="00F430EC" w:rsidRDefault="00F430EC" w:rsidP="00F430EC">
      <w:pPr>
        <w:pStyle w:val="LogoHeader"/>
        <w:keepLines w:val="0"/>
        <w:tabs>
          <w:tab w:val="left" w:pos="540"/>
        </w:tabs>
        <w:ind w:left="360" w:hanging="360"/>
        <w:rPr>
          <w:rFonts w:ascii="Times New Roman" w:hAnsi="Times New Roman"/>
          <w:i/>
          <w:color w:val="000000"/>
          <w:szCs w:val="24"/>
        </w:rPr>
      </w:pPr>
      <w:r w:rsidRPr="009467EB">
        <w:rPr>
          <w:rFonts w:ascii="Times New Roman" w:hAnsi="Times New Roman"/>
          <w:i/>
          <w:color w:val="000000"/>
          <w:szCs w:val="24"/>
        </w:rPr>
        <w:t>Veterans' Entitlements</w:t>
      </w:r>
      <w:r w:rsidRPr="009467EB">
        <w:rPr>
          <w:rFonts w:ascii="Times New Roman" w:hAnsi="Times New Roman"/>
          <w:color w:val="000000"/>
          <w:szCs w:val="24"/>
        </w:rPr>
        <w:t xml:space="preserve"> </w:t>
      </w:r>
      <w:r w:rsidRPr="009467EB">
        <w:rPr>
          <w:rFonts w:ascii="Times New Roman" w:hAnsi="Times New Roman"/>
          <w:i/>
          <w:color w:val="000000"/>
          <w:szCs w:val="24"/>
        </w:rPr>
        <w:t>Treatment (Residential Care) Determination 20/2000</w:t>
      </w:r>
    </w:p>
    <w:p w:rsidR="009B44E8" w:rsidRDefault="009B44E8" w:rsidP="00F430EC">
      <w:pPr>
        <w:pStyle w:val="LogoHeader"/>
        <w:keepLines w:val="0"/>
        <w:tabs>
          <w:tab w:val="left" w:pos="540"/>
        </w:tabs>
        <w:ind w:left="360" w:hanging="360"/>
        <w:rPr>
          <w:rFonts w:ascii="Times New Roman" w:hAnsi="Times New Roman"/>
          <w:i/>
          <w:color w:val="000000"/>
          <w:szCs w:val="24"/>
        </w:rPr>
      </w:pPr>
    </w:p>
    <w:p w:rsidR="009B44E8" w:rsidRPr="009B44E8" w:rsidRDefault="009B44E8" w:rsidP="009B44E8">
      <w:pPr>
        <w:pStyle w:val="LogoHeader"/>
        <w:keepLines w:val="0"/>
        <w:tabs>
          <w:tab w:val="left" w:pos="540"/>
        </w:tabs>
        <w:rPr>
          <w:rFonts w:ascii="Times New Roman" w:hAnsi="Times New Roman"/>
          <w:szCs w:val="24"/>
        </w:rPr>
      </w:pPr>
      <w:r>
        <w:rPr>
          <w:rFonts w:ascii="Times New Roman" w:hAnsi="Times New Roman"/>
          <w:szCs w:val="24"/>
        </w:rPr>
        <w:t>The matters addressed by this instrument appear in section 6 of the attached instrument.</w:t>
      </w:r>
    </w:p>
    <w:p w:rsidR="009B44E8" w:rsidRDefault="009B44E8" w:rsidP="00F430EC">
      <w:pPr>
        <w:pStyle w:val="LogoHeader"/>
        <w:keepLines w:val="0"/>
        <w:tabs>
          <w:tab w:val="left" w:pos="540"/>
        </w:tabs>
        <w:ind w:left="360" w:hanging="360"/>
        <w:rPr>
          <w:rFonts w:ascii="Times New Roman" w:hAnsi="Times New Roman"/>
          <w:i/>
          <w:color w:val="000000"/>
          <w:szCs w:val="24"/>
        </w:rPr>
      </w:pPr>
    </w:p>
    <w:p w:rsidR="00F430EC" w:rsidRDefault="00F430EC" w:rsidP="005609A7">
      <w:pPr>
        <w:pStyle w:val="LogoHeader"/>
        <w:keepLines w:val="0"/>
        <w:tabs>
          <w:tab w:val="left" w:pos="0"/>
        </w:tabs>
        <w:rPr>
          <w:rFonts w:ascii="Times New Roman" w:hAnsi="Times New Roman"/>
          <w:i/>
          <w:color w:val="000000"/>
          <w:szCs w:val="24"/>
        </w:rPr>
      </w:pPr>
      <w:r w:rsidRPr="009467EB">
        <w:rPr>
          <w:rFonts w:ascii="Times New Roman" w:hAnsi="Times New Roman"/>
          <w:i/>
          <w:color w:val="000000"/>
          <w:szCs w:val="24"/>
        </w:rPr>
        <w:t>Veterans' Entitlements</w:t>
      </w:r>
      <w:r w:rsidRPr="009467EB">
        <w:rPr>
          <w:rFonts w:ascii="Times New Roman" w:hAnsi="Times New Roman"/>
          <w:color w:val="000000"/>
          <w:szCs w:val="24"/>
        </w:rPr>
        <w:t xml:space="preserve"> </w:t>
      </w:r>
      <w:r w:rsidRPr="009467EB">
        <w:rPr>
          <w:rFonts w:ascii="Times New Roman" w:hAnsi="Times New Roman"/>
          <w:i/>
          <w:color w:val="000000"/>
          <w:szCs w:val="24"/>
        </w:rPr>
        <w:t>Treatment (Residential and Respite Care) Determination 4/2001</w:t>
      </w:r>
    </w:p>
    <w:p w:rsidR="009B44E8" w:rsidRDefault="009B44E8" w:rsidP="005609A7">
      <w:pPr>
        <w:pStyle w:val="LogoHeader"/>
        <w:keepLines w:val="0"/>
        <w:tabs>
          <w:tab w:val="left" w:pos="0"/>
        </w:tabs>
        <w:rPr>
          <w:rFonts w:ascii="Times New Roman" w:hAnsi="Times New Roman"/>
          <w:i/>
          <w:color w:val="000000"/>
          <w:szCs w:val="24"/>
        </w:rPr>
      </w:pPr>
    </w:p>
    <w:p w:rsidR="009B44E8" w:rsidRPr="009B44E8" w:rsidRDefault="009B44E8" w:rsidP="009B44E8">
      <w:pPr>
        <w:pStyle w:val="LogoHeader"/>
        <w:keepLines w:val="0"/>
        <w:tabs>
          <w:tab w:val="left" w:pos="540"/>
        </w:tabs>
        <w:rPr>
          <w:rFonts w:ascii="Times New Roman" w:hAnsi="Times New Roman"/>
          <w:szCs w:val="24"/>
        </w:rPr>
      </w:pPr>
      <w:r>
        <w:rPr>
          <w:rFonts w:ascii="Times New Roman" w:hAnsi="Times New Roman"/>
          <w:szCs w:val="24"/>
        </w:rPr>
        <w:t>The matters addressed by this instrument appear in section 6 of the attached instrument.</w:t>
      </w:r>
    </w:p>
    <w:p w:rsidR="009B44E8" w:rsidRDefault="009B44E8" w:rsidP="005609A7">
      <w:pPr>
        <w:pStyle w:val="LogoHeader"/>
        <w:keepLines w:val="0"/>
        <w:tabs>
          <w:tab w:val="left" w:pos="0"/>
        </w:tabs>
        <w:rPr>
          <w:rFonts w:ascii="Times New Roman" w:hAnsi="Times New Roman"/>
          <w:i/>
          <w:color w:val="000000"/>
          <w:szCs w:val="24"/>
        </w:rPr>
      </w:pPr>
    </w:p>
    <w:p w:rsidR="00CE5D06" w:rsidRDefault="00CE5D06" w:rsidP="00CE5D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szCs w:val="24"/>
        </w:rPr>
      </w:pPr>
      <w:r w:rsidRPr="00DF3DC1">
        <w:rPr>
          <w:i/>
          <w:sz w:val="24"/>
          <w:szCs w:val="24"/>
        </w:rPr>
        <w:t>Veterans’ Entitlements Treatment (Veterans’ Home Care) Determination 13/2000</w:t>
      </w:r>
    </w:p>
    <w:p w:rsidR="000C67CC" w:rsidRDefault="000C67CC" w:rsidP="00CE5D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szCs w:val="24"/>
        </w:rPr>
      </w:pPr>
    </w:p>
    <w:p w:rsidR="000C67CC" w:rsidRPr="009B44E8" w:rsidRDefault="000C67CC" w:rsidP="000C67CC">
      <w:pPr>
        <w:pStyle w:val="LogoHeader"/>
        <w:keepLines w:val="0"/>
        <w:tabs>
          <w:tab w:val="left" w:pos="540"/>
        </w:tabs>
        <w:rPr>
          <w:rFonts w:ascii="Times New Roman" w:hAnsi="Times New Roman"/>
          <w:szCs w:val="24"/>
        </w:rPr>
      </w:pPr>
      <w:r>
        <w:rPr>
          <w:rFonts w:ascii="Times New Roman" w:hAnsi="Times New Roman"/>
          <w:szCs w:val="24"/>
        </w:rPr>
        <w:t>The matters addressed by this instrument appear in section 7 of the attached instrument.</w:t>
      </w:r>
    </w:p>
    <w:p w:rsidR="000C67CC" w:rsidRPr="00DF3DC1" w:rsidRDefault="000C67CC" w:rsidP="00CE5D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430EC" w:rsidRDefault="00F430EC" w:rsidP="00F430E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000000"/>
          <w:sz w:val="24"/>
          <w:szCs w:val="24"/>
          <w:lang w:val="en-GB"/>
        </w:rPr>
      </w:pPr>
      <w:r w:rsidRPr="009467EB">
        <w:rPr>
          <w:i/>
          <w:color w:val="000000"/>
          <w:sz w:val="24"/>
          <w:szCs w:val="24"/>
          <w:lang w:val="en-GB"/>
        </w:rPr>
        <w:t>Veterans' Entitlements</w:t>
      </w:r>
      <w:r w:rsidRPr="009467EB">
        <w:rPr>
          <w:color w:val="000000"/>
          <w:sz w:val="24"/>
          <w:szCs w:val="24"/>
          <w:lang w:val="en-GB"/>
        </w:rPr>
        <w:t xml:space="preserve"> </w:t>
      </w:r>
      <w:r w:rsidRPr="009467EB">
        <w:rPr>
          <w:i/>
          <w:color w:val="000000"/>
          <w:sz w:val="24"/>
          <w:szCs w:val="24"/>
          <w:lang w:val="en-GB"/>
        </w:rPr>
        <w:t>Treatment (Veterans' Home Care - Veterans' Dependants) Determination 7/2001</w:t>
      </w:r>
    </w:p>
    <w:p w:rsidR="000C67CC" w:rsidRDefault="000C67CC" w:rsidP="00F430E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000000"/>
          <w:sz w:val="24"/>
          <w:szCs w:val="24"/>
          <w:lang w:val="en-GB"/>
        </w:rPr>
      </w:pPr>
    </w:p>
    <w:p w:rsidR="000C67CC" w:rsidRPr="009B44E8" w:rsidRDefault="000C67CC" w:rsidP="000C67CC">
      <w:pPr>
        <w:pStyle w:val="LogoHeader"/>
        <w:keepLines w:val="0"/>
        <w:tabs>
          <w:tab w:val="left" w:pos="540"/>
        </w:tabs>
        <w:rPr>
          <w:rFonts w:ascii="Times New Roman" w:hAnsi="Times New Roman"/>
          <w:szCs w:val="24"/>
        </w:rPr>
      </w:pPr>
      <w:r>
        <w:rPr>
          <w:rFonts w:ascii="Times New Roman" w:hAnsi="Times New Roman"/>
          <w:szCs w:val="24"/>
        </w:rPr>
        <w:t>The matters addressed by this instrument appear in section 8 of the attached instrument.</w:t>
      </w:r>
    </w:p>
    <w:p w:rsidR="000C67CC" w:rsidRDefault="000C67CC" w:rsidP="00F430E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073E06" w:rsidRDefault="00073E06" w:rsidP="00073E06">
      <w:pPr>
        <w:pStyle w:val="LogoHeader"/>
        <w:keepLines w:val="0"/>
        <w:tabs>
          <w:tab w:val="left" w:pos="540"/>
        </w:tabs>
        <w:ind w:left="360" w:hanging="360"/>
        <w:rPr>
          <w:rFonts w:ascii="Times New Roman" w:hAnsi="Times New Roman"/>
          <w:i/>
          <w:szCs w:val="24"/>
        </w:rPr>
      </w:pPr>
      <w:r w:rsidRPr="009467EB">
        <w:rPr>
          <w:rFonts w:ascii="Times New Roman" w:hAnsi="Times New Roman"/>
          <w:i/>
          <w:szCs w:val="24"/>
        </w:rPr>
        <w:t>Veterans' Entitlements</w:t>
      </w:r>
      <w:r w:rsidRPr="009467EB">
        <w:rPr>
          <w:rFonts w:ascii="Times New Roman" w:hAnsi="Times New Roman"/>
          <w:szCs w:val="24"/>
        </w:rPr>
        <w:t xml:space="preserve"> </w:t>
      </w:r>
      <w:r w:rsidRPr="009467EB">
        <w:rPr>
          <w:rFonts w:ascii="Times New Roman" w:hAnsi="Times New Roman"/>
          <w:i/>
          <w:szCs w:val="24"/>
        </w:rPr>
        <w:t>Treatment (Unidentifiable Condition) Determination</w:t>
      </w:r>
      <w:r w:rsidRPr="009467EB">
        <w:rPr>
          <w:rFonts w:ascii="Times New Roman" w:hAnsi="Times New Roman"/>
          <w:szCs w:val="24"/>
        </w:rPr>
        <w:t xml:space="preserve"> </w:t>
      </w:r>
      <w:r w:rsidRPr="009467EB">
        <w:rPr>
          <w:rFonts w:ascii="Times New Roman" w:hAnsi="Times New Roman"/>
          <w:i/>
          <w:szCs w:val="24"/>
        </w:rPr>
        <w:t>19/2000</w:t>
      </w:r>
    </w:p>
    <w:p w:rsidR="00073E06" w:rsidRDefault="00073E06" w:rsidP="00073E06">
      <w:pPr>
        <w:pStyle w:val="LogoHeader"/>
        <w:keepLines w:val="0"/>
        <w:tabs>
          <w:tab w:val="left" w:pos="540"/>
        </w:tabs>
        <w:ind w:left="360" w:hanging="360"/>
        <w:rPr>
          <w:rFonts w:ascii="Times New Roman" w:hAnsi="Times New Roman"/>
          <w:i/>
          <w:szCs w:val="24"/>
        </w:rPr>
      </w:pPr>
    </w:p>
    <w:p w:rsidR="00073E06" w:rsidRPr="009B44E8" w:rsidRDefault="00073E06" w:rsidP="00073E06">
      <w:pPr>
        <w:pStyle w:val="LogoHeader"/>
        <w:keepLines w:val="0"/>
        <w:tabs>
          <w:tab w:val="left" w:pos="540"/>
        </w:tabs>
        <w:rPr>
          <w:rFonts w:ascii="Times New Roman" w:hAnsi="Times New Roman"/>
          <w:szCs w:val="24"/>
        </w:rPr>
      </w:pPr>
      <w:r>
        <w:rPr>
          <w:rFonts w:ascii="Times New Roman" w:hAnsi="Times New Roman"/>
          <w:szCs w:val="24"/>
        </w:rPr>
        <w:t>The matters addressed by this instrument appear in section 9 of the attached instrument.</w:t>
      </w:r>
    </w:p>
    <w:p w:rsidR="00073E06" w:rsidRDefault="00073E06" w:rsidP="00F430E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430EC" w:rsidRDefault="00F430EC" w:rsidP="00F430EC">
      <w:pPr>
        <w:pStyle w:val="LogoHeader"/>
        <w:keepLines w:val="0"/>
        <w:tabs>
          <w:tab w:val="left" w:pos="0"/>
        </w:tabs>
        <w:rPr>
          <w:rFonts w:ascii="Times New Roman" w:hAnsi="Times New Roman"/>
          <w:color w:val="000000"/>
          <w:szCs w:val="24"/>
        </w:rPr>
      </w:pPr>
      <w:r>
        <w:rPr>
          <w:rFonts w:ascii="Times New Roman" w:hAnsi="Times New Roman"/>
          <w:color w:val="000000"/>
          <w:szCs w:val="24"/>
        </w:rPr>
        <w:t xml:space="preserve">Three instruments revoked by </w:t>
      </w:r>
      <w:r w:rsidR="00EE1DD7">
        <w:rPr>
          <w:rFonts w:ascii="Times New Roman" w:hAnsi="Times New Roman"/>
          <w:color w:val="000000"/>
          <w:szCs w:val="24"/>
        </w:rPr>
        <w:t>the attached instrument are no longer</w:t>
      </w:r>
      <w:r>
        <w:rPr>
          <w:rFonts w:ascii="Times New Roman" w:hAnsi="Times New Roman"/>
          <w:color w:val="000000"/>
          <w:szCs w:val="24"/>
        </w:rPr>
        <w:t xml:space="preserve"> needed.  Accordingly the subject matter of those instruments has not been included in the attached instrument.  Those instruments </w:t>
      </w:r>
      <w:r w:rsidR="009A3FAE">
        <w:rPr>
          <w:rFonts w:ascii="Times New Roman" w:hAnsi="Times New Roman"/>
          <w:color w:val="000000"/>
          <w:szCs w:val="24"/>
        </w:rPr>
        <w:t>are</w:t>
      </w:r>
      <w:r>
        <w:rPr>
          <w:rFonts w:ascii="Times New Roman" w:hAnsi="Times New Roman"/>
          <w:color w:val="000000"/>
          <w:szCs w:val="24"/>
        </w:rPr>
        <w:t>:</w:t>
      </w:r>
    </w:p>
    <w:p w:rsidR="00F430EC" w:rsidRDefault="00F430EC" w:rsidP="00F430EC">
      <w:pPr>
        <w:pStyle w:val="LogoHeader"/>
        <w:keepLines w:val="0"/>
        <w:tabs>
          <w:tab w:val="left" w:pos="0"/>
        </w:tabs>
        <w:rPr>
          <w:rFonts w:ascii="Times New Roman" w:hAnsi="Times New Roman"/>
          <w:color w:val="000000"/>
          <w:szCs w:val="24"/>
        </w:rPr>
      </w:pPr>
    </w:p>
    <w:p w:rsidR="00F430EC" w:rsidRPr="009467EB" w:rsidRDefault="00F430EC" w:rsidP="00F430EC">
      <w:pPr>
        <w:pStyle w:val="LogoHeader"/>
        <w:keepLines w:val="0"/>
        <w:tabs>
          <w:tab w:val="left" w:pos="540"/>
        </w:tabs>
        <w:ind w:left="360" w:hanging="360"/>
        <w:rPr>
          <w:rFonts w:ascii="Times New Roman" w:hAnsi="Times New Roman"/>
          <w:szCs w:val="24"/>
          <w:lang w:val="en-AU" w:eastAsia="en-AU"/>
        </w:rPr>
      </w:pPr>
      <w:r w:rsidRPr="009467EB">
        <w:rPr>
          <w:rFonts w:ascii="Times New Roman" w:hAnsi="Times New Roman"/>
          <w:i/>
          <w:szCs w:val="24"/>
        </w:rPr>
        <w:t>Veterans' Entitlements</w:t>
      </w:r>
      <w:r w:rsidRPr="009467EB">
        <w:rPr>
          <w:rFonts w:ascii="Times New Roman" w:hAnsi="Times New Roman"/>
          <w:szCs w:val="24"/>
        </w:rPr>
        <w:t xml:space="preserve"> </w:t>
      </w:r>
      <w:r w:rsidRPr="009467EB">
        <w:rPr>
          <w:rFonts w:ascii="Times New Roman" w:hAnsi="Times New Roman"/>
          <w:i/>
          <w:szCs w:val="24"/>
        </w:rPr>
        <w:t>Treatment (Gulf War Health Study) Determination 22/2000</w:t>
      </w:r>
    </w:p>
    <w:p w:rsidR="00BF1AC2" w:rsidRPr="009467EB" w:rsidRDefault="00BF1AC2" w:rsidP="00BF1AC2">
      <w:pPr>
        <w:pStyle w:val="LogoHeader"/>
        <w:keepLines w:val="0"/>
        <w:tabs>
          <w:tab w:val="left" w:pos="0"/>
        </w:tabs>
        <w:rPr>
          <w:rFonts w:ascii="Times New Roman" w:hAnsi="Times New Roman"/>
          <w:szCs w:val="24"/>
          <w:lang w:val="en-AU" w:eastAsia="en-AU"/>
        </w:rPr>
      </w:pPr>
      <w:r w:rsidRPr="009467EB">
        <w:rPr>
          <w:rFonts w:ascii="Times New Roman" w:hAnsi="Times New Roman"/>
          <w:i/>
          <w:szCs w:val="24"/>
        </w:rPr>
        <w:t>Veterans' Entitlements</w:t>
      </w:r>
      <w:r w:rsidRPr="009467EB">
        <w:rPr>
          <w:rFonts w:ascii="Times New Roman" w:hAnsi="Times New Roman"/>
          <w:szCs w:val="24"/>
        </w:rPr>
        <w:t xml:space="preserve"> </w:t>
      </w:r>
      <w:r w:rsidRPr="009467EB">
        <w:rPr>
          <w:rFonts w:ascii="Times New Roman" w:hAnsi="Times New Roman"/>
          <w:i/>
          <w:szCs w:val="24"/>
        </w:rPr>
        <w:t>Treatment (Accident and Personal Safety) Determination 18/2000</w:t>
      </w:r>
    </w:p>
    <w:p w:rsidR="00BF1AC2" w:rsidRPr="009467EB" w:rsidRDefault="00BF1AC2" w:rsidP="00BF1AC2">
      <w:pPr>
        <w:pStyle w:val="LogoHeader"/>
        <w:keepLines w:val="0"/>
        <w:tabs>
          <w:tab w:val="left" w:pos="0"/>
        </w:tabs>
        <w:rPr>
          <w:rFonts w:ascii="Times New Roman" w:hAnsi="Times New Roman"/>
          <w:szCs w:val="24"/>
          <w:lang w:val="en-AU" w:eastAsia="en-AU"/>
        </w:rPr>
      </w:pPr>
      <w:r w:rsidRPr="009467EB">
        <w:rPr>
          <w:rFonts w:ascii="Times New Roman" w:hAnsi="Times New Roman"/>
          <w:i/>
          <w:szCs w:val="24"/>
        </w:rPr>
        <w:t>Veterans' Entitlements</w:t>
      </w:r>
      <w:r w:rsidRPr="009467EB">
        <w:rPr>
          <w:rFonts w:ascii="Times New Roman" w:hAnsi="Times New Roman"/>
          <w:szCs w:val="24"/>
        </w:rPr>
        <w:t xml:space="preserve"> </w:t>
      </w:r>
      <w:r w:rsidRPr="009467EB">
        <w:rPr>
          <w:rFonts w:ascii="Times New Roman" w:hAnsi="Times New Roman"/>
          <w:i/>
          <w:szCs w:val="24"/>
        </w:rPr>
        <w:t>Treatment (Centre for Military and Veterans’ Health) Determination 6/2003</w:t>
      </w:r>
    </w:p>
    <w:p w:rsidR="00F430EC" w:rsidRDefault="00F430EC" w:rsidP="003E7CFD">
      <w:pPr>
        <w:pStyle w:val="LogoHeader"/>
        <w:keepLines w:val="0"/>
        <w:tabs>
          <w:tab w:val="left" w:pos="540"/>
        </w:tabs>
        <w:ind w:left="360" w:hanging="360"/>
        <w:rPr>
          <w:rFonts w:ascii="Times New Roman" w:hAnsi="Times New Roman"/>
          <w:i/>
          <w:color w:val="000000"/>
          <w:szCs w:val="24"/>
        </w:rPr>
      </w:pPr>
    </w:p>
    <w:p w:rsidR="00F57168" w:rsidRPr="006D078E" w:rsidRDefault="00F57168" w:rsidP="006D078E">
      <w:pPr>
        <w:pStyle w:val="LogoHeader"/>
        <w:keepLines w:val="0"/>
        <w:tabs>
          <w:tab w:val="left" w:pos="0"/>
        </w:tabs>
        <w:rPr>
          <w:rFonts w:ascii="Times New Roman" w:hAnsi="Times New Roman"/>
          <w:szCs w:val="24"/>
        </w:rPr>
      </w:pPr>
      <w:r w:rsidRPr="006D078E">
        <w:rPr>
          <w:rFonts w:ascii="Times New Roman" w:hAnsi="Times New Roman"/>
          <w:color w:val="000000"/>
          <w:szCs w:val="24"/>
        </w:rPr>
        <w:t xml:space="preserve">The </w:t>
      </w:r>
      <w:r w:rsidRPr="003122FD">
        <w:rPr>
          <w:rFonts w:ascii="Times New Roman" w:hAnsi="Times New Roman"/>
          <w:i/>
          <w:szCs w:val="24"/>
        </w:rPr>
        <w:t>Veterans' Entitlements</w:t>
      </w:r>
      <w:r w:rsidRPr="003122FD">
        <w:rPr>
          <w:rFonts w:ascii="Times New Roman" w:hAnsi="Times New Roman"/>
          <w:szCs w:val="24"/>
        </w:rPr>
        <w:t xml:space="preserve"> </w:t>
      </w:r>
      <w:r w:rsidRPr="003122FD">
        <w:rPr>
          <w:rFonts w:ascii="Times New Roman" w:hAnsi="Times New Roman"/>
          <w:i/>
          <w:szCs w:val="24"/>
        </w:rPr>
        <w:t xml:space="preserve">Treatment (Gulf War Health Study) Determination 22/2000 </w:t>
      </w:r>
      <w:r w:rsidR="0011284F" w:rsidRPr="006D078E">
        <w:rPr>
          <w:rFonts w:ascii="Times New Roman" w:hAnsi="Times New Roman"/>
          <w:szCs w:val="24"/>
        </w:rPr>
        <w:t>provided the legal authority to the Repatriation Commission to accept financial liability for the cost of treating veterans who took part in the Gulf War Health Study.</w:t>
      </w:r>
    </w:p>
    <w:p w:rsidR="0011284F" w:rsidRPr="006D078E" w:rsidRDefault="0011284F" w:rsidP="006D078E">
      <w:pPr>
        <w:pStyle w:val="LogoHeader"/>
        <w:keepLines w:val="0"/>
        <w:tabs>
          <w:tab w:val="left" w:pos="0"/>
        </w:tabs>
        <w:rPr>
          <w:rFonts w:ascii="Times New Roman" w:hAnsi="Times New Roman"/>
          <w:szCs w:val="24"/>
        </w:rPr>
      </w:pPr>
    </w:p>
    <w:p w:rsidR="0011284F" w:rsidRPr="003122FD" w:rsidRDefault="0011284F" w:rsidP="006D078E">
      <w:pPr>
        <w:pStyle w:val="LogoHeader"/>
        <w:keepLines w:val="0"/>
        <w:tabs>
          <w:tab w:val="left" w:pos="0"/>
        </w:tabs>
        <w:rPr>
          <w:rFonts w:ascii="Times New Roman" w:hAnsi="Times New Roman"/>
          <w:szCs w:val="24"/>
          <w:lang w:val="en-AU" w:eastAsia="en-AU"/>
        </w:rPr>
      </w:pPr>
      <w:r w:rsidRPr="003122FD">
        <w:rPr>
          <w:rFonts w:ascii="Times New Roman" w:hAnsi="Times New Roman"/>
          <w:szCs w:val="24"/>
        </w:rPr>
        <w:t>As the Study has been completed and was</w:t>
      </w:r>
      <w:r w:rsidRPr="006D078E">
        <w:rPr>
          <w:rFonts w:ascii="Times New Roman" w:hAnsi="Times New Roman"/>
          <w:szCs w:val="24"/>
        </w:rPr>
        <w:t xml:space="preserve"> released by the Minister on 25 March 2003</w:t>
      </w:r>
      <w:r w:rsidRPr="003122FD">
        <w:rPr>
          <w:rFonts w:ascii="Times New Roman" w:hAnsi="Times New Roman"/>
          <w:szCs w:val="24"/>
        </w:rPr>
        <w:t xml:space="preserve"> there was no need for the </w:t>
      </w:r>
      <w:r w:rsidRPr="00C4481D">
        <w:rPr>
          <w:rFonts w:ascii="Times New Roman" w:hAnsi="Times New Roman"/>
          <w:szCs w:val="24"/>
        </w:rPr>
        <w:t>instrument</w:t>
      </w:r>
      <w:r w:rsidRPr="00FD4F3C">
        <w:rPr>
          <w:rFonts w:ascii="Times New Roman" w:hAnsi="Times New Roman"/>
          <w:szCs w:val="24"/>
        </w:rPr>
        <w:t xml:space="preserve"> to continue.</w:t>
      </w:r>
    </w:p>
    <w:p w:rsidR="00F57168" w:rsidRPr="003122FD" w:rsidRDefault="00F57168" w:rsidP="00262004">
      <w:pPr>
        <w:tabs>
          <w:tab w:val="left" w:pos="1134"/>
        </w:tabs>
        <w:rPr>
          <w:color w:val="000000"/>
          <w:sz w:val="24"/>
          <w:szCs w:val="24"/>
        </w:rPr>
      </w:pPr>
    </w:p>
    <w:p w:rsidR="0011284F" w:rsidRPr="00D81E4E" w:rsidRDefault="0011284F" w:rsidP="006D078E">
      <w:pPr>
        <w:pStyle w:val="LogoHeader"/>
        <w:keepLines w:val="0"/>
        <w:tabs>
          <w:tab w:val="left" w:pos="0"/>
        </w:tabs>
        <w:rPr>
          <w:szCs w:val="24"/>
        </w:rPr>
      </w:pPr>
      <w:r w:rsidRPr="006D078E">
        <w:rPr>
          <w:rFonts w:ascii="Times New Roman" w:hAnsi="Times New Roman"/>
          <w:szCs w:val="24"/>
          <w:lang w:val="en-US"/>
        </w:rPr>
        <w:t xml:space="preserve">The </w:t>
      </w:r>
      <w:r w:rsidRPr="006D078E">
        <w:rPr>
          <w:rFonts w:ascii="Times New Roman" w:hAnsi="Times New Roman"/>
          <w:i/>
          <w:szCs w:val="24"/>
        </w:rPr>
        <w:t>Veterans' Entitlements</w:t>
      </w:r>
      <w:r w:rsidRPr="006D078E">
        <w:rPr>
          <w:rFonts w:ascii="Times New Roman" w:hAnsi="Times New Roman"/>
          <w:szCs w:val="24"/>
        </w:rPr>
        <w:t xml:space="preserve"> </w:t>
      </w:r>
      <w:r w:rsidRPr="006D078E">
        <w:rPr>
          <w:rFonts w:ascii="Times New Roman" w:hAnsi="Times New Roman"/>
          <w:i/>
          <w:szCs w:val="24"/>
        </w:rPr>
        <w:t xml:space="preserve">Treatment (Accident and Personal Safety) Determination 18/2000 </w:t>
      </w:r>
      <w:r w:rsidRPr="006D078E">
        <w:rPr>
          <w:rFonts w:ascii="Times New Roman" w:hAnsi="Times New Roman"/>
          <w:szCs w:val="24"/>
        </w:rPr>
        <w:t xml:space="preserve">provided legal authority to ensure </w:t>
      </w:r>
      <w:r w:rsidRPr="006D078E">
        <w:rPr>
          <w:rFonts w:ascii="Times New Roman" w:hAnsi="Times New Roman"/>
          <w:szCs w:val="24"/>
          <w:lang w:val="en-US"/>
        </w:rPr>
        <w:t xml:space="preserve">that veterans who held white cards would be eligible for treatment </w:t>
      </w:r>
      <w:r w:rsidR="0092485E">
        <w:rPr>
          <w:rFonts w:ascii="Times New Roman" w:hAnsi="Times New Roman"/>
          <w:szCs w:val="24"/>
          <w:lang w:val="en-US"/>
        </w:rPr>
        <w:t xml:space="preserve">of all conditions, not just war-caused conditions, </w:t>
      </w:r>
      <w:r w:rsidR="003122FD" w:rsidRPr="006D078E">
        <w:rPr>
          <w:rFonts w:ascii="Times New Roman" w:hAnsi="Times New Roman"/>
          <w:szCs w:val="24"/>
          <w:lang w:val="en-US"/>
        </w:rPr>
        <w:t xml:space="preserve">under the </w:t>
      </w:r>
      <w:proofErr w:type="spellStart"/>
      <w:r w:rsidR="003122FD" w:rsidRPr="006D078E">
        <w:rPr>
          <w:rFonts w:ascii="Times New Roman" w:hAnsi="Times New Roman"/>
          <w:szCs w:val="24"/>
          <w:lang w:val="en-US"/>
        </w:rPr>
        <w:t>HomeFront</w:t>
      </w:r>
      <w:proofErr w:type="spellEnd"/>
      <w:r w:rsidR="003122FD" w:rsidRPr="006D078E">
        <w:rPr>
          <w:rFonts w:ascii="Times New Roman" w:hAnsi="Times New Roman"/>
          <w:szCs w:val="24"/>
          <w:lang w:val="en-US"/>
        </w:rPr>
        <w:t xml:space="preserve"> program</w:t>
      </w:r>
      <w:r w:rsidR="0092485E">
        <w:rPr>
          <w:rFonts w:ascii="Times New Roman" w:hAnsi="Times New Roman"/>
          <w:szCs w:val="24"/>
          <w:lang w:val="en-US"/>
        </w:rPr>
        <w:t xml:space="preserve"> - a</w:t>
      </w:r>
      <w:r w:rsidRPr="006D078E">
        <w:rPr>
          <w:rFonts w:ascii="Times New Roman" w:hAnsi="Times New Roman"/>
          <w:szCs w:val="24"/>
          <w:lang w:val="en-US"/>
        </w:rPr>
        <w:t xml:space="preserve"> program for entitled veterans and</w:t>
      </w:r>
      <w:r w:rsidR="003122FD" w:rsidRPr="006D078E">
        <w:rPr>
          <w:rFonts w:ascii="Times New Roman" w:hAnsi="Times New Roman"/>
          <w:szCs w:val="24"/>
          <w:lang w:val="en-US"/>
        </w:rPr>
        <w:t xml:space="preserve"> their entitled </w:t>
      </w:r>
      <w:proofErr w:type="spellStart"/>
      <w:r w:rsidR="003122FD" w:rsidRPr="006D078E">
        <w:rPr>
          <w:rFonts w:ascii="Times New Roman" w:hAnsi="Times New Roman"/>
          <w:szCs w:val="24"/>
          <w:lang w:val="en-US"/>
        </w:rPr>
        <w:t>dependants</w:t>
      </w:r>
      <w:proofErr w:type="spellEnd"/>
      <w:r w:rsidR="003122FD" w:rsidRPr="006D078E">
        <w:rPr>
          <w:rFonts w:ascii="Times New Roman" w:hAnsi="Times New Roman"/>
          <w:szCs w:val="24"/>
          <w:lang w:val="en-US"/>
        </w:rPr>
        <w:t xml:space="preserve"> </w:t>
      </w:r>
      <w:r w:rsidRPr="006D078E">
        <w:rPr>
          <w:rFonts w:ascii="Times New Roman" w:hAnsi="Times New Roman"/>
          <w:szCs w:val="24"/>
          <w:lang w:val="en-US"/>
        </w:rPr>
        <w:t>designed to prevent accidents and maintain personal safety, in or about the home.</w:t>
      </w:r>
    </w:p>
    <w:p w:rsidR="00DF4A2B" w:rsidRPr="003122FD" w:rsidRDefault="00DF4A2B" w:rsidP="003122FD">
      <w:pPr>
        <w:autoSpaceDE w:val="0"/>
        <w:autoSpaceDN w:val="0"/>
        <w:adjustRightInd w:val="0"/>
        <w:rPr>
          <w:b/>
          <w:bCs/>
          <w:color w:val="000000"/>
          <w:sz w:val="24"/>
          <w:szCs w:val="24"/>
        </w:rPr>
      </w:pPr>
    </w:p>
    <w:p w:rsidR="00A600A6" w:rsidRDefault="003122FD" w:rsidP="006D078E">
      <w:pPr>
        <w:pStyle w:val="default0"/>
        <w:spacing w:before="0" w:beforeAutospacing="0" w:after="0" w:afterAutospacing="0"/>
      </w:pPr>
      <w:r>
        <w:lastRenderedPageBreak/>
        <w:t xml:space="preserve">The Treatment Principles were recently amended to repeal the provisions under which the </w:t>
      </w:r>
      <w:proofErr w:type="spellStart"/>
      <w:r w:rsidRPr="006D078E">
        <w:t>HomeFront</w:t>
      </w:r>
      <w:proofErr w:type="spellEnd"/>
      <w:r w:rsidRPr="006D078E">
        <w:t xml:space="preserve"> </w:t>
      </w:r>
      <w:r>
        <w:t>program was provided</w:t>
      </w:r>
      <w:r w:rsidR="00A600A6">
        <w:t xml:space="preserve"> as the funding for that program was discontinued under </w:t>
      </w:r>
      <w:r w:rsidR="0092485E">
        <w:t xml:space="preserve">the </w:t>
      </w:r>
      <w:r w:rsidR="00A600A6">
        <w:t>2013-14 Budget.</w:t>
      </w:r>
    </w:p>
    <w:p w:rsidR="00A600A6" w:rsidRDefault="00A600A6" w:rsidP="006D078E">
      <w:pPr>
        <w:pStyle w:val="default0"/>
        <w:spacing w:before="0" w:beforeAutospacing="0" w:after="0" w:afterAutospacing="0"/>
      </w:pPr>
    </w:p>
    <w:p w:rsidR="003122FD" w:rsidRPr="006D078E" w:rsidRDefault="002746D7" w:rsidP="006D078E">
      <w:pPr>
        <w:pStyle w:val="default0"/>
        <w:spacing w:before="0" w:beforeAutospacing="0" w:after="0" w:afterAutospacing="0"/>
      </w:pPr>
      <w:r>
        <w:t xml:space="preserve">The amendments </w:t>
      </w:r>
      <w:r w:rsidR="003122FD" w:rsidRPr="006D078E">
        <w:t xml:space="preserve">amalgamated </w:t>
      </w:r>
      <w:r w:rsidR="003122FD">
        <w:t xml:space="preserve">the </w:t>
      </w:r>
      <w:r w:rsidR="00A600A6">
        <w:t xml:space="preserve">assistance provided under the </w:t>
      </w:r>
      <w:proofErr w:type="spellStart"/>
      <w:r w:rsidR="003122FD">
        <w:t>HomeFront</w:t>
      </w:r>
      <w:proofErr w:type="spellEnd"/>
      <w:r w:rsidR="003122FD">
        <w:t xml:space="preserve"> program into</w:t>
      </w:r>
      <w:r w:rsidR="003122FD" w:rsidRPr="006D078E">
        <w:t xml:space="preserve"> the Rehabilitation and Appliance Program.</w:t>
      </w:r>
    </w:p>
    <w:p w:rsidR="0011284F" w:rsidRDefault="0011284F">
      <w:pPr>
        <w:autoSpaceDE w:val="0"/>
        <w:autoSpaceDN w:val="0"/>
        <w:adjustRightInd w:val="0"/>
        <w:rPr>
          <w:b/>
          <w:bCs/>
          <w:color w:val="000000"/>
          <w:sz w:val="24"/>
          <w:szCs w:val="24"/>
        </w:rPr>
      </w:pPr>
    </w:p>
    <w:p w:rsidR="002746D7" w:rsidRDefault="002746D7">
      <w:pPr>
        <w:autoSpaceDE w:val="0"/>
        <w:autoSpaceDN w:val="0"/>
        <w:adjustRightInd w:val="0"/>
        <w:rPr>
          <w:bCs/>
          <w:color w:val="000000"/>
          <w:sz w:val="24"/>
          <w:szCs w:val="24"/>
        </w:rPr>
      </w:pPr>
      <w:r w:rsidRPr="006D078E">
        <w:rPr>
          <w:bCs/>
          <w:color w:val="000000"/>
          <w:sz w:val="24"/>
          <w:szCs w:val="24"/>
        </w:rPr>
        <w:t xml:space="preserve">As the </w:t>
      </w:r>
      <w:proofErr w:type="spellStart"/>
      <w:r w:rsidRPr="006D078E">
        <w:rPr>
          <w:bCs/>
          <w:color w:val="000000"/>
          <w:sz w:val="24"/>
          <w:szCs w:val="24"/>
        </w:rPr>
        <w:t>Home</w:t>
      </w:r>
      <w:r>
        <w:rPr>
          <w:bCs/>
          <w:color w:val="000000"/>
          <w:sz w:val="24"/>
          <w:szCs w:val="24"/>
        </w:rPr>
        <w:t>F</w:t>
      </w:r>
      <w:r w:rsidRPr="006D078E">
        <w:rPr>
          <w:bCs/>
          <w:color w:val="000000"/>
          <w:sz w:val="24"/>
          <w:szCs w:val="24"/>
        </w:rPr>
        <w:t>ront</w:t>
      </w:r>
      <w:proofErr w:type="spellEnd"/>
      <w:r w:rsidRPr="006D078E">
        <w:rPr>
          <w:bCs/>
          <w:color w:val="000000"/>
          <w:sz w:val="24"/>
          <w:szCs w:val="24"/>
        </w:rPr>
        <w:t xml:space="preserve"> program no longer operates there is no need for the </w:t>
      </w:r>
      <w:proofErr w:type="gramStart"/>
      <w:r w:rsidRPr="006D078E">
        <w:rPr>
          <w:bCs/>
          <w:color w:val="000000"/>
          <w:sz w:val="24"/>
          <w:szCs w:val="24"/>
        </w:rPr>
        <w:t xml:space="preserve">instrument  </w:t>
      </w:r>
      <w:r w:rsidR="00A600A6">
        <w:rPr>
          <w:bCs/>
          <w:color w:val="000000"/>
          <w:sz w:val="24"/>
          <w:szCs w:val="24"/>
        </w:rPr>
        <w:t>determin</w:t>
      </w:r>
      <w:r w:rsidR="0092485E">
        <w:rPr>
          <w:bCs/>
          <w:color w:val="000000"/>
          <w:sz w:val="24"/>
          <w:szCs w:val="24"/>
        </w:rPr>
        <w:t>ing</w:t>
      </w:r>
      <w:proofErr w:type="gramEnd"/>
      <w:r w:rsidR="00A600A6">
        <w:rPr>
          <w:bCs/>
          <w:color w:val="000000"/>
          <w:sz w:val="24"/>
          <w:szCs w:val="24"/>
        </w:rPr>
        <w:t xml:space="preserve"> eligibility to </w:t>
      </w:r>
      <w:r w:rsidRPr="006D078E">
        <w:rPr>
          <w:bCs/>
          <w:color w:val="000000"/>
          <w:sz w:val="24"/>
          <w:szCs w:val="24"/>
        </w:rPr>
        <w:t>continue to operate.</w:t>
      </w:r>
    </w:p>
    <w:p w:rsidR="002746D7" w:rsidRDefault="002746D7">
      <w:pPr>
        <w:autoSpaceDE w:val="0"/>
        <w:autoSpaceDN w:val="0"/>
        <w:adjustRightInd w:val="0"/>
        <w:rPr>
          <w:bCs/>
          <w:color w:val="000000"/>
          <w:sz w:val="24"/>
          <w:szCs w:val="24"/>
        </w:rPr>
      </w:pPr>
    </w:p>
    <w:p w:rsidR="00F21F04" w:rsidRDefault="002746D7" w:rsidP="006D078E">
      <w:pPr>
        <w:tabs>
          <w:tab w:val="left" w:pos="0"/>
        </w:tabs>
        <w:rPr>
          <w:sz w:val="24"/>
          <w:szCs w:val="24"/>
        </w:rPr>
      </w:pPr>
      <w:r w:rsidRPr="006D078E">
        <w:rPr>
          <w:sz w:val="24"/>
          <w:szCs w:val="24"/>
        </w:rPr>
        <w:t>The</w:t>
      </w:r>
      <w:r w:rsidRPr="006D078E">
        <w:rPr>
          <w:i/>
          <w:sz w:val="24"/>
          <w:szCs w:val="24"/>
        </w:rPr>
        <w:t xml:space="preserve"> Veterans' Entitlements</w:t>
      </w:r>
      <w:r w:rsidRPr="006D078E">
        <w:rPr>
          <w:sz w:val="24"/>
          <w:szCs w:val="24"/>
        </w:rPr>
        <w:t xml:space="preserve"> </w:t>
      </w:r>
      <w:r w:rsidRPr="006D078E">
        <w:rPr>
          <w:i/>
          <w:sz w:val="24"/>
          <w:szCs w:val="24"/>
        </w:rPr>
        <w:t xml:space="preserve">Treatment (Centre for Military and Veterans’ Health) Determination 6/2003 </w:t>
      </w:r>
      <w:r w:rsidR="00093BA5" w:rsidRPr="006D078E">
        <w:rPr>
          <w:sz w:val="24"/>
          <w:szCs w:val="24"/>
        </w:rPr>
        <w:t xml:space="preserve">determined </w:t>
      </w:r>
      <w:r w:rsidR="003C366E" w:rsidRPr="006D078E">
        <w:rPr>
          <w:snapToGrid w:val="0"/>
          <w:color w:val="000000"/>
          <w:sz w:val="24"/>
          <w:szCs w:val="24"/>
          <w:lang w:eastAsia="en-US"/>
        </w:rPr>
        <w:t xml:space="preserve">that </w:t>
      </w:r>
      <w:r w:rsidR="00A600A6">
        <w:rPr>
          <w:snapToGrid w:val="0"/>
          <w:color w:val="000000"/>
          <w:sz w:val="24"/>
          <w:szCs w:val="24"/>
          <w:lang w:eastAsia="en-US"/>
        </w:rPr>
        <w:t>certain</w:t>
      </w:r>
      <w:r w:rsidR="003C366E" w:rsidRPr="006D078E">
        <w:rPr>
          <w:snapToGrid w:val="0"/>
          <w:color w:val="000000"/>
          <w:sz w:val="24"/>
          <w:szCs w:val="24"/>
          <w:lang w:eastAsia="en-US"/>
        </w:rPr>
        <w:t xml:space="preserve"> veteran</w:t>
      </w:r>
      <w:r w:rsidR="00A600A6">
        <w:rPr>
          <w:snapToGrid w:val="0"/>
          <w:color w:val="000000"/>
          <w:sz w:val="24"/>
          <w:szCs w:val="24"/>
          <w:lang w:eastAsia="en-US"/>
        </w:rPr>
        <w:t>s</w:t>
      </w:r>
      <w:r w:rsidR="003C366E" w:rsidRPr="006D078E">
        <w:rPr>
          <w:snapToGrid w:val="0"/>
          <w:color w:val="000000"/>
          <w:sz w:val="24"/>
          <w:szCs w:val="24"/>
          <w:lang w:eastAsia="en-US"/>
        </w:rPr>
        <w:t xml:space="preserve"> </w:t>
      </w:r>
      <w:r w:rsidR="00093BA5">
        <w:rPr>
          <w:snapToGrid w:val="0"/>
          <w:color w:val="000000"/>
          <w:sz w:val="24"/>
          <w:szCs w:val="24"/>
          <w:lang w:eastAsia="en-US"/>
        </w:rPr>
        <w:t>w</w:t>
      </w:r>
      <w:r w:rsidR="00A600A6">
        <w:rPr>
          <w:snapToGrid w:val="0"/>
          <w:color w:val="000000"/>
          <w:sz w:val="24"/>
          <w:szCs w:val="24"/>
          <w:lang w:eastAsia="en-US"/>
        </w:rPr>
        <w:t>ere</w:t>
      </w:r>
      <w:r w:rsidR="003C366E" w:rsidRPr="006D078E">
        <w:rPr>
          <w:snapToGrid w:val="0"/>
          <w:color w:val="000000"/>
          <w:sz w:val="24"/>
          <w:szCs w:val="24"/>
          <w:lang w:eastAsia="en-US"/>
        </w:rPr>
        <w:t xml:space="preserve"> eligible</w:t>
      </w:r>
      <w:r w:rsidR="00093BA5">
        <w:rPr>
          <w:snapToGrid w:val="0"/>
          <w:color w:val="000000"/>
          <w:sz w:val="24"/>
          <w:szCs w:val="24"/>
          <w:lang w:eastAsia="en-US"/>
        </w:rPr>
        <w:t xml:space="preserve"> </w:t>
      </w:r>
      <w:r w:rsidR="00093BA5">
        <w:rPr>
          <w:sz w:val="24"/>
          <w:szCs w:val="24"/>
        </w:rPr>
        <w:t xml:space="preserve">for </w:t>
      </w:r>
      <w:r w:rsidR="003C366E" w:rsidRPr="006D078E">
        <w:rPr>
          <w:sz w:val="24"/>
          <w:szCs w:val="24"/>
        </w:rPr>
        <w:t>the services provided by the Centre for Military and Veterans</w:t>
      </w:r>
      <w:r w:rsidR="003C366E" w:rsidRPr="006D078E">
        <w:rPr>
          <w:rFonts w:hint="eastAsia"/>
          <w:sz w:val="24"/>
          <w:szCs w:val="24"/>
        </w:rPr>
        <w:t>’</w:t>
      </w:r>
      <w:r w:rsidR="003C366E" w:rsidRPr="006D078E">
        <w:rPr>
          <w:sz w:val="24"/>
          <w:szCs w:val="24"/>
        </w:rPr>
        <w:t xml:space="preserve"> Health</w:t>
      </w:r>
      <w:r w:rsidR="00F21F04">
        <w:rPr>
          <w:sz w:val="24"/>
          <w:szCs w:val="24"/>
        </w:rPr>
        <w:t xml:space="preserve"> (CMVH)</w:t>
      </w:r>
      <w:r w:rsidR="00093BA5">
        <w:rPr>
          <w:sz w:val="24"/>
          <w:szCs w:val="24"/>
        </w:rPr>
        <w:t>.</w:t>
      </w:r>
    </w:p>
    <w:p w:rsidR="00F21F04" w:rsidRDefault="00F21F04" w:rsidP="006D078E">
      <w:pPr>
        <w:tabs>
          <w:tab w:val="left" w:pos="0"/>
        </w:tabs>
        <w:rPr>
          <w:sz w:val="24"/>
          <w:szCs w:val="24"/>
        </w:rPr>
      </w:pPr>
    </w:p>
    <w:p w:rsidR="00C4481D" w:rsidRPr="006D078E" w:rsidRDefault="00097779" w:rsidP="006D078E">
      <w:pPr>
        <w:tabs>
          <w:tab w:val="left" w:pos="0"/>
        </w:tabs>
        <w:rPr>
          <w:sz w:val="24"/>
          <w:szCs w:val="24"/>
        </w:rPr>
      </w:pPr>
      <w:r w:rsidRPr="006D078E">
        <w:rPr>
          <w:sz w:val="24"/>
          <w:szCs w:val="24"/>
        </w:rPr>
        <w:t xml:space="preserve">The treatment </w:t>
      </w:r>
      <w:r w:rsidR="00C4481D">
        <w:rPr>
          <w:sz w:val="24"/>
          <w:szCs w:val="24"/>
        </w:rPr>
        <w:t xml:space="preserve">included </w:t>
      </w:r>
      <w:r w:rsidR="00C4481D" w:rsidRPr="006D078E">
        <w:rPr>
          <w:sz w:val="24"/>
          <w:szCs w:val="24"/>
        </w:rPr>
        <w:t>research into the health needs of members of the Australian Defence Force</w:t>
      </w:r>
      <w:r w:rsidR="00F21F04" w:rsidRPr="00F21F04">
        <w:rPr>
          <w:sz w:val="24"/>
          <w:szCs w:val="24"/>
        </w:rPr>
        <w:t xml:space="preserve"> and was provided </w:t>
      </w:r>
      <w:r w:rsidRPr="006D078E">
        <w:rPr>
          <w:sz w:val="24"/>
          <w:szCs w:val="24"/>
        </w:rPr>
        <w:t xml:space="preserve">by the </w:t>
      </w:r>
      <w:r w:rsidR="00F21F04" w:rsidRPr="00F21F04">
        <w:rPr>
          <w:sz w:val="24"/>
          <w:szCs w:val="24"/>
        </w:rPr>
        <w:t>CMVH</w:t>
      </w:r>
      <w:r w:rsidRPr="006D078E">
        <w:rPr>
          <w:sz w:val="24"/>
          <w:szCs w:val="24"/>
        </w:rPr>
        <w:t xml:space="preserve"> at the University of Queensland </w:t>
      </w:r>
      <w:r w:rsidR="00A600A6" w:rsidRPr="006D078E">
        <w:rPr>
          <w:sz w:val="24"/>
          <w:szCs w:val="24"/>
        </w:rPr>
        <w:t xml:space="preserve">from </w:t>
      </w:r>
      <w:r w:rsidRPr="006D078E">
        <w:rPr>
          <w:sz w:val="24"/>
          <w:szCs w:val="24"/>
        </w:rPr>
        <w:t>2003</w:t>
      </w:r>
      <w:r w:rsidR="00A600A6" w:rsidRPr="006D078E">
        <w:rPr>
          <w:sz w:val="24"/>
          <w:szCs w:val="24"/>
        </w:rPr>
        <w:t xml:space="preserve"> until the</w:t>
      </w:r>
      <w:r w:rsidRPr="006D078E">
        <w:rPr>
          <w:sz w:val="24"/>
          <w:szCs w:val="24"/>
        </w:rPr>
        <w:t xml:space="preserve"> arrangement ended on 31 Dec 2013</w:t>
      </w:r>
      <w:r w:rsidR="00A600A6" w:rsidRPr="00F21F04">
        <w:rPr>
          <w:szCs w:val="24"/>
        </w:rPr>
        <w:t>.</w:t>
      </w:r>
    </w:p>
    <w:p w:rsidR="00C4481D" w:rsidRPr="00605BE7" w:rsidRDefault="00C4481D" w:rsidP="006D078E">
      <w:pPr>
        <w:pStyle w:val="LogoHeader"/>
        <w:keepLines w:val="0"/>
        <w:tabs>
          <w:tab w:val="left" w:pos="0"/>
        </w:tabs>
        <w:rPr>
          <w:szCs w:val="24"/>
        </w:rPr>
      </w:pPr>
    </w:p>
    <w:p w:rsidR="00F21F04" w:rsidRPr="006D078E" w:rsidRDefault="00C4481D" w:rsidP="006D078E">
      <w:pPr>
        <w:pStyle w:val="Heading1"/>
        <w:tabs>
          <w:tab w:val="left" w:pos="-142"/>
        </w:tabs>
        <w:ind w:left="0"/>
        <w:rPr>
          <w:sz w:val="24"/>
          <w:szCs w:val="24"/>
          <w:lang w:val="en-GB"/>
        </w:rPr>
      </w:pPr>
      <w:r w:rsidRPr="006D078E">
        <w:rPr>
          <w:sz w:val="24"/>
          <w:szCs w:val="24"/>
        </w:rPr>
        <w:t xml:space="preserve">In future such treatment will be provided under what is referred to as TRCP treatment and </w:t>
      </w:r>
      <w:r w:rsidR="00F21F04" w:rsidRPr="006D078E">
        <w:rPr>
          <w:sz w:val="24"/>
          <w:szCs w:val="24"/>
        </w:rPr>
        <w:t xml:space="preserve">a new instrument </w:t>
      </w:r>
      <w:r w:rsidR="00F21F04">
        <w:rPr>
          <w:sz w:val="24"/>
          <w:szCs w:val="24"/>
        </w:rPr>
        <w:t>for determining eligibility (</w:t>
      </w:r>
      <w:r w:rsidR="00F21F04" w:rsidRPr="006D078E">
        <w:rPr>
          <w:color w:val="000000"/>
          <w:sz w:val="24"/>
          <w:szCs w:val="24"/>
        </w:rPr>
        <w:t>Veterans’ Affairs (TRCP Treatment – Eligibility) Determination 2015</w:t>
      </w:r>
      <w:r w:rsidR="00F21F04">
        <w:rPr>
          <w:color w:val="000000"/>
          <w:sz w:val="24"/>
          <w:szCs w:val="24"/>
        </w:rPr>
        <w:t xml:space="preserve"> (</w:t>
      </w:r>
      <w:r w:rsidR="00F21F04" w:rsidRPr="006D078E">
        <w:rPr>
          <w:sz w:val="24"/>
          <w:szCs w:val="24"/>
          <w:lang w:val="en-GB"/>
        </w:rPr>
        <w:t>Instrument 2015 No.R20)) has been prepared.</w:t>
      </w:r>
    </w:p>
    <w:p w:rsidR="0011284F" w:rsidRDefault="0011284F">
      <w:pPr>
        <w:autoSpaceDE w:val="0"/>
        <w:autoSpaceDN w:val="0"/>
        <w:adjustRightInd w:val="0"/>
        <w:rPr>
          <w:b/>
          <w:bCs/>
          <w:color w:val="000000"/>
          <w:sz w:val="24"/>
          <w:szCs w:val="24"/>
        </w:rPr>
      </w:pPr>
    </w:p>
    <w:p w:rsidR="00A46CED" w:rsidRPr="001A1EC8" w:rsidRDefault="00A46CED">
      <w:pPr>
        <w:autoSpaceDE w:val="0"/>
        <w:autoSpaceDN w:val="0"/>
        <w:adjustRightInd w:val="0"/>
        <w:rPr>
          <w:b/>
          <w:bCs/>
          <w:color w:val="000000"/>
          <w:sz w:val="24"/>
          <w:szCs w:val="24"/>
        </w:rPr>
      </w:pPr>
      <w:r w:rsidRPr="001A1EC8">
        <w:rPr>
          <w:b/>
          <w:bCs/>
          <w:color w:val="000000"/>
          <w:sz w:val="24"/>
          <w:szCs w:val="24"/>
        </w:rPr>
        <w:t>CONSULTATION</w:t>
      </w:r>
    </w:p>
    <w:p w:rsidR="00A46CED" w:rsidRPr="009A63D7" w:rsidRDefault="00A46CED">
      <w:pPr>
        <w:autoSpaceDE w:val="0"/>
        <w:autoSpaceDN w:val="0"/>
        <w:adjustRightInd w:val="0"/>
        <w:rPr>
          <w:b/>
          <w:bCs/>
          <w:color w:val="000000"/>
          <w:sz w:val="24"/>
          <w:szCs w:val="24"/>
          <w:u w:val="single"/>
        </w:rPr>
      </w:pPr>
    </w:p>
    <w:p w:rsidR="005D47C5" w:rsidRDefault="00AB0934" w:rsidP="005D47C5">
      <w:pPr>
        <w:rPr>
          <w:color w:val="000000"/>
          <w:sz w:val="24"/>
          <w:szCs w:val="24"/>
        </w:rPr>
      </w:pPr>
      <w:r>
        <w:rPr>
          <w:color w:val="000000"/>
          <w:sz w:val="24"/>
          <w:szCs w:val="24"/>
        </w:rPr>
        <w:t>There has been</w:t>
      </w:r>
      <w:r w:rsidR="005D47C5">
        <w:rPr>
          <w:color w:val="000000"/>
          <w:sz w:val="24"/>
          <w:szCs w:val="24"/>
        </w:rPr>
        <w:t xml:space="preserve"> </w:t>
      </w:r>
      <w:r w:rsidR="001C44BA">
        <w:rPr>
          <w:color w:val="000000"/>
          <w:sz w:val="24"/>
          <w:szCs w:val="24"/>
        </w:rPr>
        <w:t xml:space="preserve">no </w:t>
      </w:r>
      <w:r w:rsidR="005D47C5">
        <w:rPr>
          <w:color w:val="000000"/>
          <w:sz w:val="24"/>
          <w:szCs w:val="24"/>
        </w:rPr>
        <w:t>consultation</w:t>
      </w:r>
      <w:r>
        <w:rPr>
          <w:color w:val="000000"/>
          <w:sz w:val="24"/>
          <w:szCs w:val="24"/>
        </w:rPr>
        <w:t xml:space="preserve"> </w:t>
      </w:r>
      <w:r w:rsidR="001C44BA">
        <w:rPr>
          <w:color w:val="000000"/>
          <w:sz w:val="24"/>
          <w:szCs w:val="24"/>
        </w:rPr>
        <w:t>in respect of the</w:t>
      </w:r>
      <w:r w:rsidR="009412B5">
        <w:rPr>
          <w:color w:val="000000"/>
          <w:sz w:val="24"/>
          <w:szCs w:val="24"/>
        </w:rPr>
        <w:t xml:space="preserve"> attached</w:t>
      </w:r>
      <w:r w:rsidR="001C44BA">
        <w:rPr>
          <w:color w:val="000000"/>
          <w:sz w:val="24"/>
          <w:szCs w:val="24"/>
        </w:rPr>
        <w:t xml:space="preserve"> instrument </w:t>
      </w:r>
      <w:r>
        <w:rPr>
          <w:color w:val="000000"/>
          <w:sz w:val="24"/>
          <w:szCs w:val="24"/>
        </w:rPr>
        <w:t>because</w:t>
      </w:r>
      <w:r w:rsidR="00F430EC">
        <w:rPr>
          <w:color w:val="000000"/>
          <w:sz w:val="24"/>
          <w:szCs w:val="24"/>
        </w:rPr>
        <w:t xml:space="preserve"> it essentially re-makes legislative instruments in</w:t>
      </w:r>
      <w:r w:rsidR="005D47C5">
        <w:rPr>
          <w:color w:val="000000"/>
          <w:sz w:val="24"/>
          <w:szCs w:val="24"/>
        </w:rPr>
        <w:t xml:space="preserve"> the same form and benefits are not being affected.  </w:t>
      </w:r>
      <w:r>
        <w:rPr>
          <w:color w:val="000000"/>
          <w:sz w:val="24"/>
          <w:szCs w:val="24"/>
        </w:rPr>
        <w:t>Accordingly c</w:t>
      </w:r>
      <w:r w:rsidR="005D47C5">
        <w:rPr>
          <w:color w:val="000000"/>
          <w:sz w:val="24"/>
          <w:szCs w:val="24"/>
        </w:rPr>
        <w:t>onsultation was considered un</w:t>
      </w:r>
      <w:bookmarkStart w:id="0" w:name="_GoBack"/>
      <w:bookmarkEnd w:id="0"/>
      <w:r w:rsidR="005D47C5">
        <w:rPr>
          <w:color w:val="000000"/>
          <w:sz w:val="24"/>
          <w:szCs w:val="24"/>
        </w:rPr>
        <w:t>necessary.</w:t>
      </w:r>
    </w:p>
    <w:p w:rsidR="00AB0934" w:rsidRDefault="00AB0934" w:rsidP="005D47C5">
      <w:pPr>
        <w:rPr>
          <w:color w:val="000000"/>
          <w:sz w:val="24"/>
          <w:szCs w:val="24"/>
        </w:rPr>
      </w:pPr>
    </w:p>
    <w:p w:rsidR="00A46CED" w:rsidRPr="000A51A1" w:rsidRDefault="00A46CED">
      <w:pPr>
        <w:rPr>
          <w:b/>
          <w:color w:val="000000"/>
          <w:sz w:val="24"/>
          <w:szCs w:val="24"/>
        </w:rPr>
      </w:pPr>
      <w:r w:rsidRPr="000A51A1">
        <w:rPr>
          <w:b/>
          <w:color w:val="000000"/>
          <w:sz w:val="24"/>
          <w:szCs w:val="24"/>
        </w:rPr>
        <w:t>RETROSPECTIVITY</w:t>
      </w:r>
    </w:p>
    <w:p w:rsidR="00A46CED" w:rsidRPr="000A51A1" w:rsidRDefault="00A46CED">
      <w:pPr>
        <w:rPr>
          <w:b/>
          <w:color w:val="000000"/>
          <w:sz w:val="24"/>
          <w:szCs w:val="24"/>
        </w:rPr>
      </w:pPr>
    </w:p>
    <w:p w:rsidR="00096C0B" w:rsidRDefault="00D30E50" w:rsidP="00096C0B">
      <w:pPr>
        <w:pStyle w:val="Default"/>
        <w:autoSpaceDE/>
        <w:autoSpaceDN/>
        <w:adjustRightInd/>
      </w:pPr>
      <w:proofErr w:type="gramStart"/>
      <w:r>
        <w:t>No</w:t>
      </w:r>
      <w:r w:rsidR="00D82EDA">
        <w:t>ne</w:t>
      </w:r>
      <w:r>
        <w:t>.</w:t>
      </w:r>
      <w:proofErr w:type="gramEnd"/>
    </w:p>
    <w:p w:rsidR="005C3CF2" w:rsidRDefault="005C3CF2">
      <w:pPr>
        <w:rPr>
          <w:b/>
          <w:color w:val="000000"/>
          <w:sz w:val="24"/>
          <w:szCs w:val="24"/>
        </w:rPr>
      </w:pPr>
    </w:p>
    <w:p w:rsidR="00A46CED" w:rsidRPr="000A51A1" w:rsidRDefault="00A46CED">
      <w:pPr>
        <w:rPr>
          <w:b/>
          <w:color w:val="000000"/>
          <w:sz w:val="24"/>
          <w:szCs w:val="24"/>
        </w:rPr>
      </w:pPr>
      <w:r w:rsidRPr="000A51A1">
        <w:rPr>
          <w:b/>
          <w:color w:val="000000"/>
          <w:sz w:val="24"/>
          <w:szCs w:val="24"/>
        </w:rPr>
        <w:t>DOCUMENTS INCORPORATED-BY-REFERENCE</w:t>
      </w:r>
    </w:p>
    <w:p w:rsidR="00A46CED" w:rsidRPr="000A51A1" w:rsidRDefault="00A46CED">
      <w:pPr>
        <w:rPr>
          <w:color w:val="000000"/>
          <w:sz w:val="24"/>
          <w:szCs w:val="24"/>
        </w:rPr>
      </w:pPr>
    </w:p>
    <w:p w:rsidR="00A46CED" w:rsidRPr="000A51A1" w:rsidRDefault="005B3C5C">
      <w:pPr>
        <w:rPr>
          <w:color w:val="000000"/>
          <w:sz w:val="24"/>
          <w:szCs w:val="24"/>
        </w:rPr>
      </w:pPr>
      <w:r>
        <w:rPr>
          <w:color w:val="000000"/>
          <w:sz w:val="24"/>
          <w:szCs w:val="24"/>
        </w:rPr>
        <w:t>No</w:t>
      </w:r>
      <w:r w:rsidR="00F742D4" w:rsidRPr="000A51A1">
        <w:rPr>
          <w:color w:val="000000"/>
          <w:sz w:val="24"/>
          <w:szCs w:val="24"/>
        </w:rPr>
        <w:t>.</w:t>
      </w:r>
    </w:p>
    <w:p w:rsidR="00A46CED" w:rsidRPr="000A51A1" w:rsidRDefault="00A46CED">
      <w:pPr>
        <w:rPr>
          <w:color w:val="000000"/>
          <w:sz w:val="24"/>
          <w:szCs w:val="24"/>
        </w:rPr>
      </w:pPr>
    </w:p>
    <w:p w:rsidR="00A46CED" w:rsidRPr="004B69EF" w:rsidRDefault="00A46CED">
      <w:pPr>
        <w:rPr>
          <w:b/>
          <w:sz w:val="24"/>
          <w:szCs w:val="24"/>
        </w:rPr>
      </w:pPr>
      <w:r w:rsidRPr="004B69EF">
        <w:rPr>
          <w:b/>
          <w:sz w:val="24"/>
          <w:szCs w:val="24"/>
        </w:rPr>
        <w:t>HUMAN RIGHTS STATEMENT</w:t>
      </w:r>
    </w:p>
    <w:p w:rsidR="00A46CED" w:rsidRPr="000A51A1" w:rsidRDefault="00A46CED">
      <w:pPr>
        <w:rPr>
          <w:color w:val="000000"/>
          <w:sz w:val="24"/>
          <w:szCs w:val="24"/>
        </w:rPr>
      </w:pPr>
    </w:p>
    <w:p w:rsidR="009C0D2A" w:rsidRDefault="009C0D2A" w:rsidP="00AF73FF">
      <w:pPr>
        <w:spacing w:after="120"/>
        <w:jc w:val="both"/>
        <w:rPr>
          <w:sz w:val="24"/>
          <w:szCs w:val="24"/>
        </w:rPr>
      </w:pPr>
      <w:proofErr w:type="gramStart"/>
      <w:r w:rsidRPr="009C0D2A">
        <w:rPr>
          <w:sz w:val="24"/>
          <w:szCs w:val="24"/>
        </w:rPr>
        <w:t xml:space="preserve">Prepared in accordance with Part 3 of the </w:t>
      </w:r>
      <w:r w:rsidRPr="009C0D2A">
        <w:rPr>
          <w:i/>
          <w:sz w:val="24"/>
          <w:szCs w:val="24"/>
        </w:rPr>
        <w:t>Human Rights (Parliamentary Scrutiny) Act 2011</w:t>
      </w:r>
      <w:r w:rsidRPr="009C0D2A">
        <w:rPr>
          <w:sz w:val="24"/>
          <w:szCs w:val="24"/>
        </w:rPr>
        <w:t>.</w:t>
      </w:r>
      <w:proofErr w:type="gramEnd"/>
    </w:p>
    <w:p w:rsidR="00685675" w:rsidRPr="000A51A1" w:rsidRDefault="00685675" w:rsidP="00685675">
      <w:pPr>
        <w:pStyle w:val="NormalWeb"/>
        <w:textAlignment w:val="top"/>
      </w:pPr>
      <w:r w:rsidRPr="000A51A1">
        <w:t xml:space="preserve">The attached legislative instrument does engage an applicable right or freedom.  It relates to the Right to Health </w:t>
      </w:r>
      <w:r w:rsidRPr="000A51A1">
        <w:rPr>
          <w:color w:val="000000"/>
          <w:lang w:val="en-US"/>
        </w:rPr>
        <w:t xml:space="preserve">contained in article 12(1) of the </w:t>
      </w:r>
      <w:hyperlink r:id="rId8" w:history="1">
        <w:r w:rsidRPr="000A51A1">
          <w:rPr>
            <w:rStyle w:val="Hyperlink"/>
            <w:color w:val="000000"/>
            <w:lang w:val="en-US"/>
          </w:rPr>
          <w:t xml:space="preserve">International Covenant on Economic Social and Cultural Rights. </w:t>
        </w:r>
      </w:hyperlink>
    </w:p>
    <w:p w:rsidR="00685675" w:rsidRPr="000A51A1" w:rsidRDefault="00685675" w:rsidP="00685675">
      <w:pPr>
        <w:pStyle w:val="NormalWeb"/>
        <w:textAlignment w:val="top"/>
        <w:rPr>
          <w:color w:val="000000"/>
          <w:lang w:val="en-US"/>
        </w:rPr>
      </w:pPr>
      <w:r w:rsidRPr="000A51A1">
        <w:rPr>
          <w:color w:val="000000"/>
          <w:lang w:val="en-US"/>
        </w:rPr>
        <w:t>The Right to Health is the right to the enjoyment of the highest attainable standard of physical and mental health.  The UN Committee on Economic Social and Cultural Rights has stated that health is a fundamental human right indispensable for the exercise of other human rights.  Every human being is entitled to the enjoyment of the highest attainable standard of health conducive to living a life in dignity.</w:t>
      </w:r>
    </w:p>
    <w:p w:rsidR="00685675" w:rsidRDefault="00685675" w:rsidP="00685675">
      <w:pPr>
        <w:pStyle w:val="Default"/>
      </w:pPr>
      <w:r w:rsidRPr="000A51A1">
        <w:t xml:space="preserve">The attached legislative instrument engages with, and promotes, the Right to Health by </w:t>
      </w:r>
      <w:r w:rsidR="001529DE">
        <w:t xml:space="preserve">extending eligibility for certain </w:t>
      </w:r>
      <w:r>
        <w:t>type</w:t>
      </w:r>
      <w:r w:rsidR="001529DE">
        <w:t>s</w:t>
      </w:r>
      <w:r>
        <w:t xml:space="preserve"> of treatment to a section o</w:t>
      </w:r>
      <w:r w:rsidR="001529DE">
        <w:t>f the Community</w:t>
      </w:r>
      <w:r w:rsidR="001529DE" w:rsidRPr="001529DE">
        <w:t xml:space="preserve"> </w:t>
      </w:r>
      <w:r w:rsidR="001529DE">
        <w:lastRenderedPageBreak/>
        <w:t>(the Defence and Veteran Community)</w:t>
      </w:r>
      <w:r>
        <w:t>.  Such treatment could help maintain and improve the health of the</w:t>
      </w:r>
      <w:r w:rsidR="001529DE">
        <w:t xml:space="preserve"> people concerned</w:t>
      </w:r>
      <w:r>
        <w:t>.</w:t>
      </w:r>
    </w:p>
    <w:p w:rsidR="00685675" w:rsidRPr="00FC4CB3" w:rsidRDefault="00685675" w:rsidP="00685675">
      <w:pPr>
        <w:pStyle w:val="Default"/>
        <w:rPr>
          <w:bCs/>
        </w:rPr>
      </w:pPr>
    </w:p>
    <w:p w:rsidR="00685675" w:rsidRPr="00A36AB2" w:rsidRDefault="00685675" w:rsidP="00685675">
      <w:pPr>
        <w:rPr>
          <w:sz w:val="24"/>
          <w:szCs w:val="24"/>
        </w:rPr>
      </w:pPr>
      <w:r>
        <w:rPr>
          <w:bCs/>
          <w:sz w:val="24"/>
          <w:szCs w:val="24"/>
        </w:rPr>
        <w:t>Apart from eligibility criteria t</w:t>
      </w:r>
      <w:r w:rsidRPr="00A36AB2">
        <w:rPr>
          <w:bCs/>
          <w:sz w:val="24"/>
          <w:szCs w:val="24"/>
        </w:rPr>
        <w:t>here are no limitations imposed on the provision of the treatment.</w:t>
      </w:r>
    </w:p>
    <w:p w:rsidR="00685675" w:rsidRPr="006F0F38" w:rsidRDefault="00685675" w:rsidP="00685675">
      <w:pPr>
        <w:pStyle w:val="Default"/>
        <w:rPr>
          <w:b/>
          <w:bCs/>
        </w:rPr>
      </w:pPr>
    </w:p>
    <w:p w:rsidR="00685675" w:rsidRPr="006F0F38" w:rsidRDefault="00685675" w:rsidP="00685675">
      <w:pPr>
        <w:pStyle w:val="Default"/>
        <w:rPr>
          <w:b/>
        </w:rPr>
      </w:pPr>
      <w:r w:rsidRPr="006F0F38">
        <w:rPr>
          <w:b/>
          <w:bCs/>
        </w:rPr>
        <w:t xml:space="preserve">Conclusion </w:t>
      </w:r>
    </w:p>
    <w:p w:rsidR="00685675" w:rsidRPr="000A51A1" w:rsidRDefault="00685675" w:rsidP="00685675">
      <w:pPr>
        <w:pStyle w:val="Default"/>
      </w:pPr>
    </w:p>
    <w:p w:rsidR="00685675" w:rsidRPr="000A51A1" w:rsidRDefault="00685675" w:rsidP="00685675">
      <w:pPr>
        <w:spacing w:before="120" w:after="120"/>
        <w:rPr>
          <w:sz w:val="24"/>
          <w:szCs w:val="24"/>
        </w:rPr>
      </w:pPr>
      <w:r w:rsidRPr="000A51A1">
        <w:rPr>
          <w:sz w:val="24"/>
          <w:szCs w:val="24"/>
        </w:rPr>
        <w:t>The attached legislative instrument is considered to be compatible with the human right to health because</w:t>
      </w:r>
      <w:r w:rsidR="001529DE">
        <w:rPr>
          <w:sz w:val="24"/>
          <w:szCs w:val="24"/>
        </w:rPr>
        <w:t xml:space="preserve"> it grants eligibility for certain</w:t>
      </w:r>
      <w:r>
        <w:rPr>
          <w:sz w:val="24"/>
          <w:szCs w:val="24"/>
        </w:rPr>
        <w:t xml:space="preserve"> type</w:t>
      </w:r>
      <w:r w:rsidR="001529DE">
        <w:rPr>
          <w:sz w:val="24"/>
          <w:szCs w:val="24"/>
        </w:rPr>
        <w:t>s</w:t>
      </w:r>
      <w:r>
        <w:rPr>
          <w:sz w:val="24"/>
          <w:szCs w:val="24"/>
        </w:rPr>
        <w:t xml:space="preserve"> of treatment to a section of the Community.</w:t>
      </w:r>
    </w:p>
    <w:p w:rsidR="00685675" w:rsidRPr="000A51A1" w:rsidRDefault="00685675" w:rsidP="00685675">
      <w:pPr>
        <w:pStyle w:val="Default"/>
        <w:rPr>
          <w:bCs/>
        </w:rPr>
      </w:pPr>
    </w:p>
    <w:p w:rsidR="00685675" w:rsidRDefault="00685675" w:rsidP="00685675">
      <w:pPr>
        <w:pStyle w:val="Default"/>
        <w:rPr>
          <w:bCs/>
        </w:rPr>
      </w:pPr>
      <w:r>
        <w:rPr>
          <w:bCs/>
        </w:rPr>
        <w:t>Repatriation Commission</w:t>
      </w:r>
    </w:p>
    <w:p w:rsidR="00685675" w:rsidRPr="000A51A1" w:rsidRDefault="00685675" w:rsidP="00685675">
      <w:pPr>
        <w:pStyle w:val="Default"/>
        <w:rPr>
          <w:bCs/>
        </w:rPr>
      </w:pPr>
      <w:r w:rsidRPr="000A51A1">
        <w:rPr>
          <w:bCs/>
        </w:rPr>
        <w:t>Rule-Maker</w:t>
      </w:r>
    </w:p>
    <w:p w:rsidR="006120C3" w:rsidRDefault="006120C3" w:rsidP="00AF73FF">
      <w:pPr>
        <w:spacing w:after="120"/>
        <w:jc w:val="both"/>
        <w:rPr>
          <w:sz w:val="24"/>
          <w:szCs w:val="24"/>
        </w:rPr>
      </w:pPr>
    </w:p>
    <w:p w:rsidR="00EC2495" w:rsidRPr="00F430EC" w:rsidRDefault="003C1A62" w:rsidP="00EC2495">
      <w:pPr>
        <w:rPr>
          <w:b/>
          <w:color w:val="000000"/>
          <w:sz w:val="24"/>
          <w:szCs w:val="24"/>
        </w:rPr>
      </w:pPr>
      <w:r>
        <w:rPr>
          <w:b/>
          <w:color w:val="000000"/>
          <w:sz w:val="24"/>
          <w:szCs w:val="24"/>
        </w:rPr>
        <w:br w:type="page"/>
      </w:r>
      <w:r w:rsidR="00F430EC" w:rsidRPr="00F430EC">
        <w:rPr>
          <w:b/>
          <w:color w:val="000000"/>
          <w:sz w:val="24"/>
          <w:szCs w:val="24"/>
        </w:rPr>
        <w:lastRenderedPageBreak/>
        <w:t xml:space="preserve">Attachment </w:t>
      </w:r>
      <w:r w:rsidR="00EC2495" w:rsidRPr="00F430EC">
        <w:rPr>
          <w:b/>
          <w:color w:val="000000"/>
          <w:sz w:val="24"/>
          <w:szCs w:val="24"/>
        </w:rPr>
        <w:t>A</w:t>
      </w:r>
    </w:p>
    <w:p w:rsidR="00EC2495" w:rsidRDefault="00EC2495" w:rsidP="00EC2495">
      <w:pPr>
        <w:rPr>
          <w:b/>
          <w:color w:val="000000"/>
          <w:sz w:val="24"/>
          <w:szCs w:val="24"/>
        </w:rPr>
      </w:pPr>
    </w:p>
    <w:p w:rsidR="00F430EC" w:rsidRDefault="00793CC1" w:rsidP="00EC2495">
      <w:pPr>
        <w:rPr>
          <w:b/>
          <w:color w:val="000000"/>
          <w:sz w:val="24"/>
          <w:szCs w:val="24"/>
        </w:rPr>
      </w:pPr>
      <w:r>
        <w:rPr>
          <w:b/>
          <w:color w:val="000000"/>
          <w:sz w:val="24"/>
          <w:szCs w:val="24"/>
        </w:rPr>
        <w:t>Section 1</w:t>
      </w:r>
    </w:p>
    <w:p w:rsidR="00793CC1" w:rsidRPr="00793CC1" w:rsidRDefault="00793CC1" w:rsidP="00EC2495">
      <w:pPr>
        <w:rPr>
          <w:color w:val="000000"/>
          <w:sz w:val="24"/>
          <w:szCs w:val="24"/>
        </w:rPr>
      </w:pPr>
      <w:r w:rsidRPr="00793CC1">
        <w:rPr>
          <w:color w:val="000000"/>
          <w:sz w:val="24"/>
          <w:szCs w:val="24"/>
        </w:rPr>
        <w:t xml:space="preserve">This section states the name of the instrument, namely the </w:t>
      </w:r>
      <w:r w:rsidRPr="00793CC1">
        <w:rPr>
          <w:i/>
          <w:color w:val="000000"/>
          <w:sz w:val="24"/>
          <w:szCs w:val="24"/>
        </w:rPr>
        <w:t>Veterans’ Affairs (Extended Eligibility for Treatment) Instrument 2015</w:t>
      </w:r>
    </w:p>
    <w:p w:rsidR="00F430EC" w:rsidRDefault="00F430EC" w:rsidP="00EC2495">
      <w:pPr>
        <w:rPr>
          <w:b/>
          <w:color w:val="000000"/>
          <w:sz w:val="24"/>
          <w:szCs w:val="24"/>
        </w:rPr>
      </w:pPr>
    </w:p>
    <w:p w:rsidR="00793CC1" w:rsidRDefault="00793CC1" w:rsidP="00EC2495">
      <w:pPr>
        <w:rPr>
          <w:b/>
          <w:color w:val="000000"/>
          <w:sz w:val="24"/>
          <w:szCs w:val="24"/>
        </w:rPr>
      </w:pPr>
      <w:r>
        <w:rPr>
          <w:b/>
          <w:color w:val="000000"/>
          <w:sz w:val="24"/>
          <w:szCs w:val="24"/>
        </w:rPr>
        <w:t>Section 2</w:t>
      </w:r>
    </w:p>
    <w:p w:rsidR="00793CC1" w:rsidRPr="00793CC1" w:rsidRDefault="00793CC1" w:rsidP="00EC2495">
      <w:pPr>
        <w:rPr>
          <w:color w:val="000000"/>
          <w:sz w:val="24"/>
          <w:szCs w:val="24"/>
        </w:rPr>
      </w:pPr>
      <w:r w:rsidRPr="00793CC1">
        <w:rPr>
          <w:color w:val="000000"/>
          <w:sz w:val="24"/>
          <w:szCs w:val="24"/>
        </w:rPr>
        <w:t xml:space="preserve">This section provides that the instrument </w:t>
      </w:r>
      <w:r>
        <w:rPr>
          <w:color w:val="000000"/>
          <w:sz w:val="24"/>
          <w:szCs w:val="24"/>
        </w:rPr>
        <w:t>commences on the day after it is registered on the Federal Register of Legislative Instruments.</w:t>
      </w:r>
    </w:p>
    <w:p w:rsidR="00793CC1" w:rsidRPr="001006EA" w:rsidRDefault="00793CC1" w:rsidP="00EC2495">
      <w:pPr>
        <w:rPr>
          <w:b/>
          <w:color w:val="000000"/>
          <w:sz w:val="24"/>
          <w:szCs w:val="24"/>
        </w:rPr>
      </w:pPr>
    </w:p>
    <w:p w:rsidR="00793CC1" w:rsidRPr="001006EA" w:rsidRDefault="00A71F97" w:rsidP="00EC2495">
      <w:pPr>
        <w:rPr>
          <w:b/>
          <w:color w:val="000000"/>
          <w:sz w:val="24"/>
          <w:szCs w:val="24"/>
        </w:rPr>
      </w:pPr>
      <w:r w:rsidRPr="001006EA">
        <w:rPr>
          <w:b/>
          <w:color w:val="000000"/>
          <w:sz w:val="24"/>
          <w:szCs w:val="24"/>
        </w:rPr>
        <w:t>Section 3</w:t>
      </w:r>
    </w:p>
    <w:p w:rsidR="00A71F97" w:rsidRPr="00793CC1" w:rsidRDefault="00A71F97" w:rsidP="00EC2495">
      <w:pPr>
        <w:rPr>
          <w:color w:val="000000"/>
          <w:sz w:val="24"/>
          <w:szCs w:val="24"/>
        </w:rPr>
      </w:pPr>
      <w:r>
        <w:rPr>
          <w:color w:val="000000"/>
          <w:sz w:val="24"/>
          <w:szCs w:val="24"/>
        </w:rPr>
        <w:t xml:space="preserve">This section provides that the legislative authority for making the instrument is the </w:t>
      </w:r>
      <w:r w:rsidRPr="00A71F97">
        <w:rPr>
          <w:i/>
          <w:color w:val="000000"/>
          <w:sz w:val="24"/>
          <w:szCs w:val="24"/>
        </w:rPr>
        <w:t>Veterans’ Entitlements Act 1986</w:t>
      </w:r>
      <w:r>
        <w:rPr>
          <w:color w:val="000000"/>
          <w:sz w:val="24"/>
          <w:szCs w:val="24"/>
        </w:rPr>
        <w:t>.</w:t>
      </w:r>
    </w:p>
    <w:p w:rsidR="00793CC1" w:rsidRPr="001006EA" w:rsidRDefault="00793CC1" w:rsidP="00EC2495">
      <w:pPr>
        <w:rPr>
          <w:b/>
          <w:color w:val="000000"/>
          <w:sz w:val="24"/>
          <w:szCs w:val="24"/>
        </w:rPr>
      </w:pPr>
    </w:p>
    <w:p w:rsidR="00793CC1" w:rsidRPr="001006EA" w:rsidRDefault="00A71F97" w:rsidP="00EC2495">
      <w:pPr>
        <w:rPr>
          <w:b/>
          <w:color w:val="000000"/>
          <w:sz w:val="24"/>
          <w:szCs w:val="24"/>
        </w:rPr>
      </w:pPr>
      <w:r w:rsidRPr="001006EA">
        <w:rPr>
          <w:b/>
          <w:color w:val="000000"/>
          <w:sz w:val="24"/>
          <w:szCs w:val="24"/>
        </w:rPr>
        <w:t>Section 4</w:t>
      </w:r>
    </w:p>
    <w:p w:rsidR="00A71F97" w:rsidRPr="00793CC1" w:rsidRDefault="00A71F97" w:rsidP="00EC2495">
      <w:pPr>
        <w:rPr>
          <w:color w:val="000000"/>
          <w:sz w:val="24"/>
          <w:szCs w:val="24"/>
        </w:rPr>
      </w:pPr>
      <w:r>
        <w:rPr>
          <w:color w:val="000000"/>
          <w:sz w:val="24"/>
          <w:szCs w:val="24"/>
        </w:rPr>
        <w:t>This section provides that an instrument specified in a Schedule to the instrument is amended or repealed in the terms set out in the Schedule.</w:t>
      </w:r>
    </w:p>
    <w:p w:rsidR="00793CC1" w:rsidRPr="00793CC1" w:rsidRDefault="00793CC1" w:rsidP="00EC2495">
      <w:pPr>
        <w:rPr>
          <w:color w:val="000000"/>
          <w:sz w:val="24"/>
          <w:szCs w:val="24"/>
        </w:rPr>
      </w:pPr>
    </w:p>
    <w:p w:rsidR="00793CC1" w:rsidRPr="001006EA" w:rsidRDefault="00A71F97" w:rsidP="00EC2495">
      <w:pPr>
        <w:rPr>
          <w:b/>
          <w:color w:val="000000"/>
          <w:sz w:val="24"/>
          <w:szCs w:val="24"/>
        </w:rPr>
      </w:pPr>
      <w:r w:rsidRPr="001006EA">
        <w:rPr>
          <w:b/>
          <w:color w:val="000000"/>
          <w:sz w:val="24"/>
          <w:szCs w:val="24"/>
        </w:rPr>
        <w:t>Section 5</w:t>
      </w:r>
    </w:p>
    <w:p w:rsidR="00A71F97" w:rsidRDefault="00A71F97" w:rsidP="00EC2495">
      <w:pPr>
        <w:rPr>
          <w:color w:val="000000"/>
          <w:sz w:val="24"/>
          <w:szCs w:val="24"/>
        </w:rPr>
      </w:pPr>
      <w:r>
        <w:rPr>
          <w:color w:val="000000"/>
          <w:sz w:val="24"/>
          <w:szCs w:val="24"/>
        </w:rPr>
        <w:t>This section is a definitions section.</w:t>
      </w:r>
    </w:p>
    <w:p w:rsidR="00A71F97" w:rsidRDefault="00A71F97" w:rsidP="00EC2495">
      <w:pPr>
        <w:rPr>
          <w:color w:val="000000"/>
          <w:sz w:val="24"/>
          <w:szCs w:val="24"/>
        </w:rPr>
      </w:pPr>
    </w:p>
    <w:p w:rsidR="00A71F97" w:rsidRPr="001006EA" w:rsidRDefault="00A71F97" w:rsidP="00EC2495">
      <w:pPr>
        <w:rPr>
          <w:b/>
          <w:color w:val="000000"/>
          <w:sz w:val="24"/>
          <w:szCs w:val="24"/>
        </w:rPr>
      </w:pPr>
      <w:r w:rsidRPr="001006EA">
        <w:rPr>
          <w:b/>
          <w:color w:val="000000"/>
          <w:sz w:val="24"/>
          <w:szCs w:val="24"/>
        </w:rPr>
        <w:t>Section 6</w:t>
      </w:r>
    </w:p>
    <w:p w:rsidR="0098044F" w:rsidRDefault="00A71F97" w:rsidP="00EC2495">
      <w:pPr>
        <w:rPr>
          <w:color w:val="000000"/>
          <w:sz w:val="24"/>
          <w:szCs w:val="24"/>
        </w:rPr>
      </w:pPr>
      <w:r>
        <w:rPr>
          <w:color w:val="000000"/>
          <w:sz w:val="24"/>
          <w:szCs w:val="24"/>
        </w:rPr>
        <w:t xml:space="preserve">This section </w:t>
      </w:r>
      <w:r w:rsidR="00EC7C39">
        <w:rPr>
          <w:color w:val="000000"/>
          <w:sz w:val="24"/>
          <w:szCs w:val="24"/>
        </w:rPr>
        <w:t>extends eligibility for residential care</w:t>
      </w:r>
      <w:r w:rsidR="006E6479">
        <w:rPr>
          <w:color w:val="000000"/>
          <w:sz w:val="24"/>
          <w:szCs w:val="24"/>
        </w:rPr>
        <w:t xml:space="preserve"> </w:t>
      </w:r>
      <w:r w:rsidR="00995F76">
        <w:rPr>
          <w:color w:val="000000"/>
          <w:sz w:val="24"/>
          <w:szCs w:val="24"/>
        </w:rPr>
        <w:t>(including residential care provided as respite care)</w:t>
      </w:r>
      <w:r w:rsidR="00F13A5B">
        <w:rPr>
          <w:color w:val="000000"/>
          <w:sz w:val="24"/>
          <w:szCs w:val="24"/>
        </w:rPr>
        <w:t>,</w:t>
      </w:r>
      <w:r w:rsidR="00347D50">
        <w:rPr>
          <w:color w:val="000000"/>
          <w:sz w:val="24"/>
          <w:szCs w:val="24"/>
        </w:rPr>
        <w:t xml:space="preserve"> Respite Care (respite that may be provided in a person’</w:t>
      </w:r>
      <w:r w:rsidR="00F13A5B">
        <w:rPr>
          <w:color w:val="000000"/>
          <w:sz w:val="24"/>
          <w:szCs w:val="24"/>
        </w:rPr>
        <w:t>s home and which</w:t>
      </w:r>
      <w:r w:rsidR="00995F76">
        <w:rPr>
          <w:color w:val="000000"/>
          <w:sz w:val="24"/>
          <w:szCs w:val="24"/>
        </w:rPr>
        <w:t>,</w:t>
      </w:r>
      <w:r w:rsidR="00F13A5B">
        <w:rPr>
          <w:color w:val="000000"/>
          <w:sz w:val="24"/>
          <w:szCs w:val="24"/>
        </w:rPr>
        <w:t xml:space="preserve"> to a limited degree, may be provided in a residential care facility) </w:t>
      </w:r>
      <w:r w:rsidR="00F13A5B" w:rsidRPr="00F13A5B">
        <w:rPr>
          <w:color w:val="000000"/>
          <w:sz w:val="24"/>
          <w:szCs w:val="24"/>
        </w:rPr>
        <w:t xml:space="preserve">and </w:t>
      </w:r>
      <w:r w:rsidR="00F13A5B" w:rsidRPr="00E41751">
        <w:rPr>
          <w:color w:val="000000"/>
          <w:sz w:val="24"/>
          <w:szCs w:val="24"/>
        </w:rPr>
        <w:t xml:space="preserve">non-subsidised residential care (respite) (residential care that is not subsidised under the </w:t>
      </w:r>
      <w:r w:rsidR="00F13A5B" w:rsidRPr="00E41751">
        <w:rPr>
          <w:i/>
          <w:color w:val="000000"/>
          <w:sz w:val="24"/>
          <w:szCs w:val="24"/>
        </w:rPr>
        <w:t>Aged Care Act 1997</w:t>
      </w:r>
      <w:r w:rsidR="00F13A5B" w:rsidRPr="00E41751">
        <w:rPr>
          <w:color w:val="000000"/>
          <w:sz w:val="24"/>
          <w:szCs w:val="24"/>
        </w:rPr>
        <w:t xml:space="preserve">) </w:t>
      </w:r>
      <w:r w:rsidR="00354AAF">
        <w:rPr>
          <w:color w:val="000000"/>
          <w:sz w:val="24"/>
          <w:szCs w:val="24"/>
        </w:rPr>
        <w:t>to veterans,</w:t>
      </w:r>
      <w:r w:rsidR="006E6479">
        <w:rPr>
          <w:color w:val="000000"/>
          <w:sz w:val="24"/>
          <w:szCs w:val="24"/>
        </w:rPr>
        <w:t xml:space="preserve"> members or former members who are former dependants of veterans</w:t>
      </w:r>
      <w:r w:rsidR="00F13A5B">
        <w:rPr>
          <w:color w:val="000000"/>
          <w:sz w:val="24"/>
          <w:szCs w:val="24"/>
        </w:rPr>
        <w:t>,</w:t>
      </w:r>
      <w:r w:rsidR="006E6479">
        <w:rPr>
          <w:color w:val="000000"/>
          <w:sz w:val="24"/>
          <w:szCs w:val="24"/>
        </w:rPr>
        <w:t xml:space="preserve"> members or former members who are not veterans or former dependants of veterans</w:t>
      </w:r>
      <w:r w:rsidR="00F13A5B">
        <w:rPr>
          <w:color w:val="000000"/>
          <w:sz w:val="24"/>
          <w:szCs w:val="24"/>
        </w:rPr>
        <w:t xml:space="preserve"> and to dependants of veterans, members or former members</w:t>
      </w:r>
      <w:r w:rsidR="00995F76">
        <w:rPr>
          <w:color w:val="000000"/>
          <w:sz w:val="24"/>
          <w:szCs w:val="24"/>
        </w:rPr>
        <w:t xml:space="preserve">, </w:t>
      </w:r>
      <w:r w:rsidR="006E6479">
        <w:rPr>
          <w:color w:val="000000"/>
          <w:sz w:val="24"/>
          <w:szCs w:val="24"/>
        </w:rPr>
        <w:t>for</w:t>
      </w:r>
      <w:r w:rsidR="00F13A5B">
        <w:rPr>
          <w:color w:val="000000"/>
          <w:sz w:val="24"/>
          <w:szCs w:val="24"/>
        </w:rPr>
        <w:t>, in the case of veterans, members or former members:</w:t>
      </w:r>
    </w:p>
    <w:p w:rsidR="0098044F" w:rsidRDefault="0098044F" w:rsidP="00EC2495">
      <w:pPr>
        <w:rPr>
          <w:color w:val="000000"/>
          <w:sz w:val="24"/>
          <w:szCs w:val="24"/>
        </w:rPr>
      </w:pPr>
    </w:p>
    <w:p w:rsidR="00793CC1" w:rsidRDefault="006E6479" w:rsidP="0098044F">
      <w:pPr>
        <w:numPr>
          <w:ilvl w:val="0"/>
          <w:numId w:val="10"/>
        </w:numPr>
        <w:rPr>
          <w:color w:val="000000"/>
          <w:sz w:val="24"/>
          <w:szCs w:val="24"/>
        </w:rPr>
      </w:pPr>
      <w:r>
        <w:rPr>
          <w:color w:val="000000"/>
          <w:sz w:val="24"/>
          <w:szCs w:val="24"/>
        </w:rPr>
        <w:t>any condition</w:t>
      </w:r>
      <w:r w:rsidR="00291F28">
        <w:rPr>
          <w:color w:val="000000"/>
          <w:sz w:val="24"/>
          <w:szCs w:val="24"/>
        </w:rPr>
        <w:t xml:space="preserve"> of the person</w:t>
      </w:r>
      <w:r>
        <w:rPr>
          <w:color w:val="000000"/>
          <w:sz w:val="24"/>
          <w:szCs w:val="24"/>
        </w:rPr>
        <w:t xml:space="preserve"> and not just a service-related condition</w:t>
      </w:r>
      <w:r w:rsidR="0098044F">
        <w:rPr>
          <w:color w:val="000000"/>
          <w:sz w:val="24"/>
          <w:szCs w:val="24"/>
        </w:rPr>
        <w:t>,</w:t>
      </w:r>
      <w:r w:rsidR="00EC7C39">
        <w:rPr>
          <w:color w:val="000000"/>
          <w:sz w:val="24"/>
          <w:szCs w:val="24"/>
        </w:rPr>
        <w:t xml:space="preserve"> </w:t>
      </w:r>
      <w:r w:rsidR="002816FF">
        <w:rPr>
          <w:color w:val="000000"/>
          <w:sz w:val="24"/>
          <w:szCs w:val="24"/>
        </w:rPr>
        <w:t>provided the person is eligible for treatment of a condition (not necessarily a condition that requires residential-t</w:t>
      </w:r>
      <w:r w:rsidR="0098044F">
        <w:rPr>
          <w:color w:val="000000"/>
          <w:sz w:val="24"/>
          <w:szCs w:val="24"/>
        </w:rPr>
        <w:t>ype care) under the VEA or MRCA; and</w:t>
      </w:r>
    </w:p>
    <w:p w:rsidR="0098044F" w:rsidRPr="00793CC1" w:rsidRDefault="0098044F" w:rsidP="0098044F">
      <w:pPr>
        <w:numPr>
          <w:ilvl w:val="0"/>
          <w:numId w:val="10"/>
        </w:numPr>
        <w:rPr>
          <w:color w:val="000000"/>
          <w:sz w:val="24"/>
          <w:szCs w:val="24"/>
        </w:rPr>
      </w:pPr>
      <w:r>
        <w:rPr>
          <w:color w:val="000000"/>
          <w:sz w:val="24"/>
          <w:szCs w:val="24"/>
        </w:rPr>
        <w:t>any condition that is not an</w:t>
      </w:r>
      <w:r w:rsidR="00F13A5B">
        <w:rPr>
          <w:color w:val="000000"/>
          <w:sz w:val="24"/>
          <w:szCs w:val="24"/>
        </w:rPr>
        <w:t xml:space="preserve"> injury or disease e.g. frailty;</w:t>
      </w:r>
    </w:p>
    <w:p w:rsidR="00793CC1" w:rsidRDefault="00793CC1" w:rsidP="00EC2495">
      <w:pPr>
        <w:rPr>
          <w:color w:val="000000"/>
          <w:sz w:val="24"/>
          <w:szCs w:val="24"/>
        </w:rPr>
      </w:pPr>
    </w:p>
    <w:p w:rsidR="00F13A5B" w:rsidRDefault="00F13A5B" w:rsidP="00EC2495">
      <w:pPr>
        <w:rPr>
          <w:color w:val="000000"/>
          <w:sz w:val="24"/>
          <w:szCs w:val="24"/>
        </w:rPr>
      </w:pPr>
      <w:proofErr w:type="gramStart"/>
      <w:r>
        <w:rPr>
          <w:color w:val="000000"/>
          <w:sz w:val="24"/>
          <w:szCs w:val="24"/>
        </w:rPr>
        <w:t>and</w:t>
      </w:r>
      <w:proofErr w:type="gramEnd"/>
      <w:r>
        <w:rPr>
          <w:color w:val="000000"/>
          <w:sz w:val="24"/>
          <w:szCs w:val="24"/>
        </w:rPr>
        <w:t xml:space="preserve"> in the case of dependants of veterans</w:t>
      </w:r>
      <w:r w:rsidR="00354AAF">
        <w:rPr>
          <w:color w:val="000000"/>
          <w:sz w:val="24"/>
          <w:szCs w:val="24"/>
        </w:rPr>
        <w:t>, m</w:t>
      </w:r>
      <w:r>
        <w:rPr>
          <w:color w:val="000000"/>
          <w:sz w:val="24"/>
          <w:szCs w:val="24"/>
        </w:rPr>
        <w:t>embers or former members:</w:t>
      </w:r>
    </w:p>
    <w:p w:rsidR="00F13A5B" w:rsidRDefault="00F13A5B" w:rsidP="00EC2495">
      <w:pPr>
        <w:rPr>
          <w:color w:val="000000"/>
          <w:sz w:val="24"/>
          <w:szCs w:val="24"/>
        </w:rPr>
      </w:pPr>
    </w:p>
    <w:p w:rsidR="00F13A5B" w:rsidRPr="00793CC1" w:rsidRDefault="00F13A5B" w:rsidP="00F13A5B">
      <w:pPr>
        <w:numPr>
          <w:ilvl w:val="0"/>
          <w:numId w:val="10"/>
        </w:numPr>
        <w:rPr>
          <w:color w:val="000000"/>
          <w:sz w:val="24"/>
          <w:szCs w:val="24"/>
        </w:rPr>
      </w:pPr>
      <w:proofErr w:type="gramStart"/>
      <w:r>
        <w:rPr>
          <w:color w:val="000000"/>
          <w:sz w:val="24"/>
          <w:szCs w:val="24"/>
        </w:rPr>
        <w:t>any</w:t>
      </w:r>
      <w:proofErr w:type="gramEnd"/>
      <w:r>
        <w:rPr>
          <w:color w:val="000000"/>
          <w:sz w:val="24"/>
          <w:szCs w:val="24"/>
        </w:rPr>
        <w:t xml:space="preserve"> condition that is not an injury or disease e.g. frailty.</w:t>
      </w:r>
    </w:p>
    <w:p w:rsidR="00F13A5B" w:rsidRDefault="00F13A5B" w:rsidP="00EC2495">
      <w:pPr>
        <w:rPr>
          <w:color w:val="000000"/>
          <w:sz w:val="24"/>
          <w:szCs w:val="24"/>
        </w:rPr>
      </w:pPr>
    </w:p>
    <w:p w:rsidR="0098044F" w:rsidRPr="0098044F" w:rsidRDefault="0098044F" w:rsidP="00EC2495">
      <w:pPr>
        <w:rPr>
          <w:b/>
          <w:color w:val="000000"/>
          <w:sz w:val="24"/>
          <w:szCs w:val="24"/>
        </w:rPr>
      </w:pPr>
      <w:r w:rsidRPr="0098044F">
        <w:rPr>
          <w:b/>
          <w:color w:val="000000"/>
          <w:sz w:val="24"/>
          <w:szCs w:val="24"/>
        </w:rPr>
        <w:t>Section 7</w:t>
      </w:r>
    </w:p>
    <w:p w:rsidR="0098044F" w:rsidRDefault="0098044F" w:rsidP="00EC2495">
      <w:pPr>
        <w:rPr>
          <w:color w:val="000000"/>
          <w:sz w:val="24"/>
          <w:szCs w:val="24"/>
        </w:rPr>
      </w:pPr>
      <w:r>
        <w:rPr>
          <w:color w:val="000000"/>
          <w:sz w:val="24"/>
          <w:szCs w:val="24"/>
        </w:rPr>
        <w:t xml:space="preserve">This section extends eligibility for “home care treatment” (defined in the instrument) to a person </w:t>
      </w:r>
      <w:r w:rsidR="00C75F4C">
        <w:rPr>
          <w:color w:val="000000"/>
          <w:sz w:val="24"/>
          <w:szCs w:val="24"/>
        </w:rPr>
        <w:t>for:</w:t>
      </w:r>
    </w:p>
    <w:p w:rsidR="0098044F" w:rsidRDefault="0098044F" w:rsidP="00EC2495">
      <w:pPr>
        <w:rPr>
          <w:color w:val="000000"/>
          <w:sz w:val="24"/>
          <w:szCs w:val="24"/>
        </w:rPr>
      </w:pPr>
    </w:p>
    <w:p w:rsidR="00C75F4C" w:rsidRDefault="00C75F4C" w:rsidP="00C75F4C">
      <w:pPr>
        <w:numPr>
          <w:ilvl w:val="0"/>
          <w:numId w:val="10"/>
        </w:numPr>
        <w:rPr>
          <w:color w:val="000000"/>
          <w:sz w:val="24"/>
          <w:szCs w:val="24"/>
        </w:rPr>
      </w:pPr>
      <w:r>
        <w:rPr>
          <w:color w:val="000000"/>
          <w:sz w:val="24"/>
          <w:szCs w:val="24"/>
        </w:rPr>
        <w:t xml:space="preserve">any condition </w:t>
      </w:r>
      <w:r w:rsidR="00291F28">
        <w:rPr>
          <w:color w:val="000000"/>
          <w:sz w:val="24"/>
          <w:szCs w:val="24"/>
        </w:rPr>
        <w:t xml:space="preserve">of the person </w:t>
      </w:r>
      <w:r>
        <w:rPr>
          <w:color w:val="000000"/>
          <w:sz w:val="24"/>
          <w:szCs w:val="24"/>
        </w:rPr>
        <w:t>and not just a service-related condition</w:t>
      </w:r>
      <w:r w:rsidR="00291F28">
        <w:rPr>
          <w:color w:val="000000"/>
          <w:sz w:val="24"/>
          <w:szCs w:val="24"/>
        </w:rPr>
        <w:t>, provided the person is already eligible for certain home care treatment</w:t>
      </w:r>
      <w:r>
        <w:rPr>
          <w:color w:val="000000"/>
          <w:sz w:val="24"/>
          <w:szCs w:val="24"/>
        </w:rPr>
        <w:t xml:space="preserve"> under the VEA or MRCA; and</w:t>
      </w:r>
    </w:p>
    <w:p w:rsidR="00C75F4C" w:rsidRDefault="00C75F4C" w:rsidP="00C75F4C">
      <w:pPr>
        <w:numPr>
          <w:ilvl w:val="0"/>
          <w:numId w:val="10"/>
        </w:numPr>
        <w:rPr>
          <w:color w:val="000000"/>
          <w:sz w:val="24"/>
          <w:szCs w:val="24"/>
        </w:rPr>
      </w:pPr>
      <w:proofErr w:type="gramStart"/>
      <w:r>
        <w:rPr>
          <w:color w:val="000000"/>
          <w:sz w:val="24"/>
          <w:szCs w:val="24"/>
        </w:rPr>
        <w:t>any</w:t>
      </w:r>
      <w:proofErr w:type="gramEnd"/>
      <w:r>
        <w:rPr>
          <w:color w:val="000000"/>
          <w:sz w:val="24"/>
          <w:szCs w:val="24"/>
        </w:rPr>
        <w:t xml:space="preserve"> condition</w:t>
      </w:r>
      <w:r w:rsidR="00291F28">
        <w:rPr>
          <w:color w:val="000000"/>
          <w:sz w:val="24"/>
          <w:szCs w:val="24"/>
        </w:rPr>
        <w:t xml:space="preserve"> of the person</w:t>
      </w:r>
      <w:r>
        <w:rPr>
          <w:color w:val="000000"/>
          <w:sz w:val="24"/>
          <w:szCs w:val="24"/>
        </w:rPr>
        <w:t xml:space="preserve"> that is not an injury or disease e.g. frailty</w:t>
      </w:r>
      <w:r w:rsidR="00291F28">
        <w:rPr>
          <w:color w:val="000000"/>
          <w:sz w:val="24"/>
          <w:szCs w:val="24"/>
        </w:rPr>
        <w:t>.</w:t>
      </w:r>
    </w:p>
    <w:p w:rsidR="0098044F" w:rsidRPr="00793CC1" w:rsidRDefault="0098044F" w:rsidP="00EC2495">
      <w:pPr>
        <w:rPr>
          <w:color w:val="000000"/>
          <w:sz w:val="24"/>
          <w:szCs w:val="24"/>
        </w:rPr>
      </w:pPr>
    </w:p>
    <w:p w:rsidR="00793CC1" w:rsidRPr="00D677F5" w:rsidRDefault="0098044F" w:rsidP="00EC2495">
      <w:pPr>
        <w:rPr>
          <w:b/>
          <w:color w:val="000000"/>
          <w:sz w:val="24"/>
          <w:szCs w:val="24"/>
        </w:rPr>
      </w:pPr>
      <w:r>
        <w:rPr>
          <w:b/>
          <w:color w:val="000000"/>
          <w:sz w:val="24"/>
          <w:szCs w:val="24"/>
        </w:rPr>
        <w:t>Section 8</w:t>
      </w:r>
    </w:p>
    <w:p w:rsidR="00510E57" w:rsidRDefault="00510E57" w:rsidP="00EC2495">
      <w:pPr>
        <w:rPr>
          <w:color w:val="000000"/>
          <w:sz w:val="24"/>
          <w:szCs w:val="24"/>
        </w:rPr>
      </w:pPr>
      <w:r>
        <w:rPr>
          <w:color w:val="000000"/>
          <w:sz w:val="24"/>
          <w:szCs w:val="24"/>
        </w:rPr>
        <w:t>This section extends a</w:t>
      </w:r>
      <w:r w:rsidR="0098526E">
        <w:rPr>
          <w:color w:val="000000"/>
          <w:sz w:val="24"/>
          <w:szCs w:val="24"/>
        </w:rPr>
        <w:t xml:space="preserve"> service under the Treatment Principles known as a</w:t>
      </w:r>
      <w:r>
        <w:rPr>
          <w:color w:val="000000"/>
          <w:sz w:val="24"/>
          <w:szCs w:val="24"/>
        </w:rPr>
        <w:t xml:space="preserve"> limited VHC-type service to</w:t>
      </w:r>
      <w:r w:rsidR="00AF0AD9">
        <w:rPr>
          <w:color w:val="000000"/>
          <w:sz w:val="24"/>
          <w:szCs w:val="24"/>
        </w:rPr>
        <w:t xml:space="preserve"> a number of classes of </w:t>
      </w:r>
      <w:r>
        <w:rPr>
          <w:color w:val="000000"/>
          <w:sz w:val="24"/>
          <w:szCs w:val="24"/>
        </w:rPr>
        <w:t xml:space="preserve">people.  A limited VHC-type service is a </w:t>
      </w:r>
      <w:r>
        <w:rPr>
          <w:color w:val="000000"/>
          <w:sz w:val="24"/>
          <w:szCs w:val="24"/>
        </w:rPr>
        <w:lastRenderedPageBreak/>
        <w:t>service identical to the service under the Treatment Principles known as “</w:t>
      </w:r>
      <w:r w:rsidR="005A7499">
        <w:rPr>
          <w:color w:val="000000"/>
          <w:sz w:val="24"/>
          <w:szCs w:val="24"/>
        </w:rPr>
        <w:t>Domestic A</w:t>
      </w:r>
      <w:r>
        <w:rPr>
          <w:color w:val="000000"/>
          <w:sz w:val="24"/>
          <w:szCs w:val="24"/>
        </w:rPr>
        <w:t xml:space="preserve">ssistance” </w:t>
      </w:r>
      <w:r w:rsidR="00AF0AD9">
        <w:rPr>
          <w:color w:val="000000"/>
          <w:sz w:val="24"/>
          <w:szCs w:val="24"/>
        </w:rPr>
        <w:t>or</w:t>
      </w:r>
      <w:r>
        <w:rPr>
          <w:color w:val="000000"/>
          <w:sz w:val="24"/>
          <w:szCs w:val="24"/>
        </w:rPr>
        <w:t xml:space="preserve"> “Home and Garden Maintenance”</w:t>
      </w:r>
      <w:r w:rsidR="005A7499">
        <w:rPr>
          <w:color w:val="000000"/>
          <w:sz w:val="24"/>
          <w:szCs w:val="24"/>
        </w:rPr>
        <w:t>.</w:t>
      </w:r>
    </w:p>
    <w:p w:rsidR="00510E57" w:rsidRPr="00D677F5" w:rsidRDefault="00510E57" w:rsidP="00EC2495">
      <w:pPr>
        <w:rPr>
          <w:b/>
          <w:color w:val="000000"/>
          <w:sz w:val="24"/>
          <w:szCs w:val="24"/>
        </w:rPr>
      </w:pPr>
    </w:p>
    <w:p w:rsidR="00793CC1" w:rsidRPr="00D677F5" w:rsidRDefault="00291F28" w:rsidP="00EC2495">
      <w:pPr>
        <w:rPr>
          <w:b/>
          <w:color w:val="000000"/>
          <w:sz w:val="24"/>
          <w:szCs w:val="24"/>
        </w:rPr>
      </w:pPr>
      <w:r>
        <w:rPr>
          <w:b/>
          <w:color w:val="000000"/>
          <w:sz w:val="24"/>
          <w:szCs w:val="24"/>
        </w:rPr>
        <w:t>Section 9</w:t>
      </w:r>
    </w:p>
    <w:p w:rsidR="00D677F5" w:rsidRPr="00793CC1" w:rsidRDefault="00D677F5" w:rsidP="00EC2495">
      <w:pPr>
        <w:rPr>
          <w:color w:val="000000"/>
          <w:sz w:val="24"/>
          <w:szCs w:val="24"/>
        </w:rPr>
      </w:pPr>
      <w:r>
        <w:rPr>
          <w:color w:val="000000"/>
          <w:sz w:val="24"/>
          <w:szCs w:val="24"/>
        </w:rPr>
        <w:t xml:space="preserve">This section </w:t>
      </w:r>
      <w:r w:rsidR="00291F28">
        <w:rPr>
          <w:color w:val="000000"/>
          <w:sz w:val="24"/>
          <w:szCs w:val="24"/>
        </w:rPr>
        <w:t>extends eligibility for treatment to a person where the person has lodged a claim for pension or compensation in respect of a condition, under, respectively, the VEA or MRCA, and the claim has not been determined i.e. the condition has not been determined as being service-related.  In these circumstances, and subject to the requirements in the instrument, the person is eligible for treatment for the condition under the attached instrument until the person’s claim is determined.</w:t>
      </w:r>
    </w:p>
    <w:p w:rsidR="00793CC1" w:rsidRPr="00793CC1" w:rsidRDefault="00793CC1" w:rsidP="00EC2495">
      <w:pPr>
        <w:rPr>
          <w:color w:val="000000"/>
          <w:sz w:val="24"/>
          <w:szCs w:val="24"/>
        </w:rPr>
      </w:pPr>
    </w:p>
    <w:p w:rsidR="00793CC1" w:rsidRPr="00793CC1" w:rsidRDefault="00793CC1" w:rsidP="00EC2495">
      <w:pPr>
        <w:rPr>
          <w:color w:val="000000"/>
          <w:sz w:val="24"/>
          <w:szCs w:val="24"/>
        </w:rPr>
      </w:pPr>
    </w:p>
    <w:p w:rsidR="00793CC1" w:rsidRPr="00793CC1" w:rsidRDefault="00793CC1" w:rsidP="00EC2495">
      <w:pPr>
        <w:rPr>
          <w:color w:val="000000"/>
          <w:sz w:val="24"/>
          <w:szCs w:val="24"/>
        </w:rPr>
      </w:pPr>
    </w:p>
    <w:p w:rsidR="00793CC1" w:rsidRPr="00793CC1" w:rsidRDefault="00793CC1" w:rsidP="00EC2495">
      <w:pPr>
        <w:rPr>
          <w:color w:val="000000"/>
          <w:sz w:val="24"/>
          <w:szCs w:val="24"/>
        </w:rPr>
      </w:pPr>
    </w:p>
    <w:p w:rsidR="00793CC1" w:rsidRPr="00793CC1" w:rsidRDefault="00793CC1" w:rsidP="00EC2495">
      <w:pPr>
        <w:rPr>
          <w:color w:val="000000"/>
          <w:sz w:val="24"/>
          <w:szCs w:val="24"/>
        </w:rPr>
      </w:pPr>
    </w:p>
    <w:p w:rsidR="00793CC1" w:rsidRPr="00793CC1" w:rsidRDefault="00793CC1" w:rsidP="00EC2495">
      <w:pPr>
        <w:rPr>
          <w:color w:val="000000"/>
          <w:sz w:val="24"/>
          <w:szCs w:val="24"/>
        </w:rPr>
      </w:pPr>
    </w:p>
    <w:sectPr w:rsidR="00793CC1" w:rsidRPr="00793CC1" w:rsidSect="00322346">
      <w:headerReference w:type="even" r:id="rId9"/>
      <w:headerReference w:type="default" r:id="rId10"/>
      <w:pgSz w:w="11906" w:h="16838"/>
      <w:pgMar w:top="1440" w:right="1797" w:bottom="567"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330" w:rsidRDefault="00123330">
      <w:r>
        <w:separator/>
      </w:r>
    </w:p>
  </w:endnote>
  <w:endnote w:type="continuationSeparator" w:id="0">
    <w:p w:rsidR="00123330" w:rsidRDefault="0012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330" w:rsidRDefault="00123330">
      <w:r>
        <w:separator/>
      </w:r>
    </w:p>
  </w:footnote>
  <w:footnote w:type="continuationSeparator" w:id="0">
    <w:p w:rsidR="00123330" w:rsidRDefault="00123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A5B" w:rsidRDefault="00F13A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3A5B" w:rsidRDefault="00F13A5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A5B" w:rsidRDefault="00F13A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078E">
      <w:rPr>
        <w:rStyle w:val="PageNumber"/>
        <w:noProof/>
      </w:rPr>
      <w:t>3</w:t>
    </w:r>
    <w:r>
      <w:rPr>
        <w:rStyle w:val="PageNumber"/>
      </w:rPr>
      <w:fldChar w:fldCharType="end"/>
    </w:r>
  </w:p>
  <w:p w:rsidR="00F13A5B" w:rsidRDefault="00F13A5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22C2"/>
    <w:multiLevelType w:val="hybridMultilevel"/>
    <w:tmpl w:val="2B94533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
    <w:nsid w:val="13D45C96"/>
    <w:multiLevelType w:val="hybridMultilevel"/>
    <w:tmpl w:val="132E0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5B16C2"/>
    <w:multiLevelType w:val="hybridMultilevel"/>
    <w:tmpl w:val="7E922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934C5B"/>
    <w:multiLevelType w:val="hybridMultilevel"/>
    <w:tmpl w:val="F0CED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E1855CD"/>
    <w:multiLevelType w:val="hybridMultilevel"/>
    <w:tmpl w:val="E7261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51F0067"/>
    <w:multiLevelType w:val="hybridMultilevel"/>
    <w:tmpl w:val="DD5CB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6EE3591"/>
    <w:multiLevelType w:val="hybridMultilevel"/>
    <w:tmpl w:val="554EF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45B412B"/>
    <w:multiLevelType w:val="hybridMultilevel"/>
    <w:tmpl w:val="8B364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4413F63"/>
    <w:multiLevelType w:val="multilevel"/>
    <w:tmpl w:val="03B828D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nsid w:val="7896547E"/>
    <w:multiLevelType w:val="hybridMultilevel"/>
    <w:tmpl w:val="47ECA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E7D5E31"/>
    <w:multiLevelType w:val="hybridMultilevel"/>
    <w:tmpl w:val="898414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6"/>
  </w:num>
  <w:num w:numId="6">
    <w:abstractNumId w:val="8"/>
  </w:num>
  <w:num w:numId="7">
    <w:abstractNumId w:val="4"/>
  </w:num>
  <w:num w:numId="8">
    <w:abstractNumId w:val="3"/>
  </w:num>
  <w:num w:numId="9">
    <w:abstractNumId w:val="9"/>
  </w:num>
  <w:num w:numId="10">
    <w:abstractNumId w:val="0"/>
  </w:num>
  <w:num w:numId="1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hideSpellingErrors/>
  <w:hideGrammaticalError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21C"/>
    <w:rsid w:val="00000A0E"/>
    <w:rsid w:val="00003330"/>
    <w:rsid w:val="00006423"/>
    <w:rsid w:val="000100EA"/>
    <w:rsid w:val="00010663"/>
    <w:rsid w:val="00011CE4"/>
    <w:rsid w:val="00011DDE"/>
    <w:rsid w:val="00012F14"/>
    <w:rsid w:val="00013226"/>
    <w:rsid w:val="000205CC"/>
    <w:rsid w:val="00020DEC"/>
    <w:rsid w:val="00022087"/>
    <w:rsid w:val="000227DC"/>
    <w:rsid w:val="00024015"/>
    <w:rsid w:val="0002467A"/>
    <w:rsid w:val="00026F8A"/>
    <w:rsid w:val="00027354"/>
    <w:rsid w:val="0003109C"/>
    <w:rsid w:val="00032FC0"/>
    <w:rsid w:val="00035B68"/>
    <w:rsid w:val="00035D46"/>
    <w:rsid w:val="000366B4"/>
    <w:rsid w:val="00037BC6"/>
    <w:rsid w:val="000401EC"/>
    <w:rsid w:val="00040D7B"/>
    <w:rsid w:val="00041211"/>
    <w:rsid w:val="0004464A"/>
    <w:rsid w:val="00044EAD"/>
    <w:rsid w:val="00047094"/>
    <w:rsid w:val="00050957"/>
    <w:rsid w:val="00052274"/>
    <w:rsid w:val="00052CD8"/>
    <w:rsid w:val="00054856"/>
    <w:rsid w:val="000558E0"/>
    <w:rsid w:val="00056E71"/>
    <w:rsid w:val="00057F41"/>
    <w:rsid w:val="00062BA6"/>
    <w:rsid w:val="00063A54"/>
    <w:rsid w:val="00063E97"/>
    <w:rsid w:val="00064780"/>
    <w:rsid w:val="000650E4"/>
    <w:rsid w:val="000654EA"/>
    <w:rsid w:val="00065ED7"/>
    <w:rsid w:val="000709DE"/>
    <w:rsid w:val="00071929"/>
    <w:rsid w:val="00072A88"/>
    <w:rsid w:val="000733D6"/>
    <w:rsid w:val="00073D9A"/>
    <w:rsid w:val="00073E06"/>
    <w:rsid w:val="00080781"/>
    <w:rsid w:val="00081245"/>
    <w:rsid w:val="000823F7"/>
    <w:rsid w:val="000834D8"/>
    <w:rsid w:val="000852C0"/>
    <w:rsid w:val="00087775"/>
    <w:rsid w:val="00087E95"/>
    <w:rsid w:val="00090DAB"/>
    <w:rsid w:val="00091628"/>
    <w:rsid w:val="00093BA5"/>
    <w:rsid w:val="00095359"/>
    <w:rsid w:val="00095436"/>
    <w:rsid w:val="00095A60"/>
    <w:rsid w:val="00096ABB"/>
    <w:rsid w:val="00096C0B"/>
    <w:rsid w:val="00097779"/>
    <w:rsid w:val="00097FD0"/>
    <w:rsid w:val="000A47BF"/>
    <w:rsid w:val="000A4A63"/>
    <w:rsid w:val="000A4A77"/>
    <w:rsid w:val="000A4E61"/>
    <w:rsid w:val="000A51A1"/>
    <w:rsid w:val="000A69AB"/>
    <w:rsid w:val="000A79F7"/>
    <w:rsid w:val="000B3765"/>
    <w:rsid w:val="000B4B1C"/>
    <w:rsid w:val="000B5FC1"/>
    <w:rsid w:val="000B6741"/>
    <w:rsid w:val="000B7A4A"/>
    <w:rsid w:val="000C57F3"/>
    <w:rsid w:val="000C5DEF"/>
    <w:rsid w:val="000C67CC"/>
    <w:rsid w:val="000C7047"/>
    <w:rsid w:val="000C73EC"/>
    <w:rsid w:val="000C7517"/>
    <w:rsid w:val="000D2FD1"/>
    <w:rsid w:val="000D526A"/>
    <w:rsid w:val="000D5CDA"/>
    <w:rsid w:val="000D6659"/>
    <w:rsid w:val="000D79E4"/>
    <w:rsid w:val="000D7A42"/>
    <w:rsid w:val="000E039C"/>
    <w:rsid w:val="000E36A6"/>
    <w:rsid w:val="000E534A"/>
    <w:rsid w:val="000F0434"/>
    <w:rsid w:val="000F2361"/>
    <w:rsid w:val="000F306B"/>
    <w:rsid w:val="000F4ED1"/>
    <w:rsid w:val="001006EA"/>
    <w:rsid w:val="00100A0E"/>
    <w:rsid w:val="0010353D"/>
    <w:rsid w:val="00103736"/>
    <w:rsid w:val="00103EF4"/>
    <w:rsid w:val="00105D3B"/>
    <w:rsid w:val="00106147"/>
    <w:rsid w:val="00106D48"/>
    <w:rsid w:val="001074D3"/>
    <w:rsid w:val="0011284F"/>
    <w:rsid w:val="0011715D"/>
    <w:rsid w:val="001174B0"/>
    <w:rsid w:val="00120EAF"/>
    <w:rsid w:val="00122806"/>
    <w:rsid w:val="00122C91"/>
    <w:rsid w:val="00122E60"/>
    <w:rsid w:val="00123330"/>
    <w:rsid w:val="00124B5B"/>
    <w:rsid w:val="00125221"/>
    <w:rsid w:val="0012539A"/>
    <w:rsid w:val="00132260"/>
    <w:rsid w:val="00132D04"/>
    <w:rsid w:val="001330D0"/>
    <w:rsid w:val="001331D6"/>
    <w:rsid w:val="001341EF"/>
    <w:rsid w:val="00136C1B"/>
    <w:rsid w:val="00136FCC"/>
    <w:rsid w:val="00137EB8"/>
    <w:rsid w:val="00140C8E"/>
    <w:rsid w:val="00140FD6"/>
    <w:rsid w:val="001479C0"/>
    <w:rsid w:val="00150D64"/>
    <w:rsid w:val="001529DE"/>
    <w:rsid w:val="00154F4C"/>
    <w:rsid w:val="00155E18"/>
    <w:rsid w:val="001609EC"/>
    <w:rsid w:val="00160CBB"/>
    <w:rsid w:val="00163448"/>
    <w:rsid w:val="00164F95"/>
    <w:rsid w:val="001656A5"/>
    <w:rsid w:val="00166880"/>
    <w:rsid w:val="001709BB"/>
    <w:rsid w:val="00171F90"/>
    <w:rsid w:val="0017243B"/>
    <w:rsid w:val="0017299C"/>
    <w:rsid w:val="00175B17"/>
    <w:rsid w:val="0017668F"/>
    <w:rsid w:val="001839C0"/>
    <w:rsid w:val="00185B49"/>
    <w:rsid w:val="00186477"/>
    <w:rsid w:val="00186B51"/>
    <w:rsid w:val="00191665"/>
    <w:rsid w:val="00197294"/>
    <w:rsid w:val="001A1EC8"/>
    <w:rsid w:val="001A2A97"/>
    <w:rsid w:val="001A5AC2"/>
    <w:rsid w:val="001A771A"/>
    <w:rsid w:val="001B0E1C"/>
    <w:rsid w:val="001B1F6E"/>
    <w:rsid w:val="001B655F"/>
    <w:rsid w:val="001C44BA"/>
    <w:rsid w:val="001C48E6"/>
    <w:rsid w:val="001C6E26"/>
    <w:rsid w:val="001C7A3D"/>
    <w:rsid w:val="001D1DE9"/>
    <w:rsid w:val="001D24F8"/>
    <w:rsid w:val="001D3597"/>
    <w:rsid w:val="001D50DC"/>
    <w:rsid w:val="001E2E41"/>
    <w:rsid w:val="001E43A8"/>
    <w:rsid w:val="001E4D38"/>
    <w:rsid w:val="001E6E9E"/>
    <w:rsid w:val="001E71A5"/>
    <w:rsid w:val="001F19BB"/>
    <w:rsid w:val="001F5CC3"/>
    <w:rsid w:val="001F7913"/>
    <w:rsid w:val="002045CB"/>
    <w:rsid w:val="002045F1"/>
    <w:rsid w:val="002052B5"/>
    <w:rsid w:val="0020749F"/>
    <w:rsid w:val="002110F6"/>
    <w:rsid w:val="00211103"/>
    <w:rsid w:val="002152FA"/>
    <w:rsid w:val="0021680B"/>
    <w:rsid w:val="002226DF"/>
    <w:rsid w:val="002232CA"/>
    <w:rsid w:val="00223E98"/>
    <w:rsid w:val="0022426C"/>
    <w:rsid w:val="002260AB"/>
    <w:rsid w:val="00226753"/>
    <w:rsid w:val="00231D8E"/>
    <w:rsid w:val="00236E7F"/>
    <w:rsid w:val="0024087B"/>
    <w:rsid w:val="00240F5B"/>
    <w:rsid w:val="00247822"/>
    <w:rsid w:val="00247C15"/>
    <w:rsid w:val="00252DBB"/>
    <w:rsid w:val="0025365F"/>
    <w:rsid w:val="00256423"/>
    <w:rsid w:val="002607A8"/>
    <w:rsid w:val="00262004"/>
    <w:rsid w:val="002627BD"/>
    <w:rsid w:val="00267D0F"/>
    <w:rsid w:val="002708EE"/>
    <w:rsid w:val="0027123B"/>
    <w:rsid w:val="00272091"/>
    <w:rsid w:val="00272369"/>
    <w:rsid w:val="002730B0"/>
    <w:rsid w:val="002734B1"/>
    <w:rsid w:val="002746D7"/>
    <w:rsid w:val="00275194"/>
    <w:rsid w:val="00276A27"/>
    <w:rsid w:val="002816FF"/>
    <w:rsid w:val="0028231F"/>
    <w:rsid w:val="00283AFE"/>
    <w:rsid w:val="002847F7"/>
    <w:rsid w:val="0028521F"/>
    <w:rsid w:val="002857FC"/>
    <w:rsid w:val="0028583E"/>
    <w:rsid w:val="002873FF"/>
    <w:rsid w:val="00287D22"/>
    <w:rsid w:val="00291544"/>
    <w:rsid w:val="00291F28"/>
    <w:rsid w:val="002928DC"/>
    <w:rsid w:val="00293B36"/>
    <w:rsid w:val="00293CAC"/>
    <w:rsid w:val="00294EC6"/>
    <w:rsid w:val="002A0C8A"/>
    <w:rsid w:val="002A0F6D"/>
    <w:rsid w:val="002A1E3E"/>
    <w:rsid w:val="002A421C"/>
    <w:rsid w:val="002B49C7"/>
    <w:rsid w:val="002B4D20"/>
    <w:rsid w:val="002B4EB7"/>
    <w:rsid w:val="002B514E"/>
    <w:rsid w:val="002B6205"/>
    <w:rsid w:val="002B6886"/>
    <w:rsid w:val="002B6C85"/>
    <w:rsid w:val="002C6150"/>
    <w:rsid w:val="002C6EAF"/>
    <w:rsid w:val="002D4882"/>
    <w:rsid w:val="002D73C5"/>
    <w:rsid w:val="002E009F"/>
    <w:rsid w:val="002E2061"/>
    <w:rsid w:val="002E48D3"/>
    <w:rsid w:val="002E4CA4"/>
    <w:rsid w:val="002E749C"/>
    <w:rsid w:val="002F3C8A"/>
    <w:rsid w:val="002F3CB1"/>
    <w:rsid w:val="002F6B0F"/>
    <w:rsid w:val="002F6EC4"/>
    <w:rsid w:val="00302B2C"/>
    <w:rsid w:val="003038B4"/>
    <w:rsid w:val="00305FC0"/>
    <w:rsid w:val="003060D2"/>
    <w:rsid w:val="00307276"/>
    <w:rsid w:val="003122FD"/>
    <w:rsid w:val="00312A75"/>
    <w:rsid w:val="00313196"/>
    <w:rsid w:val="00315603"/>
    <w:rsid w:val="003219B1"/>
    <w:rsid w:val="00322346"/>
    <w:rsid w:val="00322D2D"/>
    <w:rsid w:val="003238ED"/>
    <w:rsid w:val="003246D8"/>
    <w:rsid w:val="003310F6"/>
    <w:rsid w:val="003313FE"/>
    <w:rsid w:val="003321B5"/>
    <w:rsid w:val="00333CC9"/>
    <w:rsid w:val="00333D41"/>
    <w:rsid w:val="00334EC5"/>
    <w:rsid w:val="00335B04"/>
    <w:rsid w:val="00337797"/>
    <w:rsid w:val="00340723"/>
    <w:rsid w:val="00340EF3"/>
    <w:rsid w:val="00341CF8"/>
    <w:rsid w:val="003423E1"/>
    <w:rsid w:val="0034295F"/>
    <w:rsid w:val="00343524"/>
    <w:rsid w:val="0034499E"/>
    <w:rsid w:val="0034541F"/>
    <w:rsid w:val="00346F27"/>
    <w:rsid w:val="00347D50"/>
    <w:rsid w:val="00351097"/>
    <w:rsid w:val="00354AAF"/>
    <w:rsid w:val="00357944"/>
    <w:rsid w:val="00360D9E"/>
    <w:rsid w:val="003612DE"/>
    <w:rsid w:val="003625ED"/>
    <w:rsid w:val="00363DD0"/>
    <w:rsid w:val="00363EEA"/>
    <w:rsid w:val="00364CC5"/>
    <w:rsid w:val="00364E8E"/>
    <w:rsid w:val="00365082"/>
    <w:rsid w:val="00366E96"/>
    <w:rsid w:val="00367517"/>
    <w:rsid w:val="00372073"/>
    <w:rsid w:val="00373AB7"/>
    <w:rsid w:val="00373E65"/>
    <w:rsid w:val="00377741"/>
    <w:rsid w:val="00377AB2"/>
    <w:rsid w:val="00377FD6"/>
    <w:rsid w:val="00380F92"/>
    <w:rsid w:val="00382A82"/>
    <w:rsid w:val="00383159"/>
    <w:rsid w:val="00383540"/>
    <w:rsid w:val="00383947"/>
    <w:rsid w:val="00383D21"/>
    <w:rsid w:val="00395767"/>
    <w:rsid w:val="003A0CA1"/>
    <w:rsid w:val="003A17E3"/>
    <w:rsid w:val="003A4FC5"/>
    <w:rsid w:val="003A5A70"/>
    <w:rsid w:val="003A697B"/>
    <w:rsid w:val="003B2096"/>
    <w:rsid w:val="003B2E9C"/>
    <w:rsid w:val="003B31A8"/>
    <w:rsid w:val="003B38E4"/>
    <w:rsid w:val="003B53B4"/>
    <w:rsid w:val="003C1913"/>
    <w:rsid w:val="003C1A62"/>
    <w:rsid w:val="003C1BFA"/>
    <w:rsid w:val="003C366E"/>
    <w:rsid w:val="003C5B4B"/>
    <w:rsid w:val="003C5B8E"/>
    <w:rsid w:val="003C610B"/>
    <w:rsid w:val="003C702B"/>
    <w:rsid w:val="003D096E"/>
    <w:rsid w:val="003D2BDB"/>
    <w:rsid w:val="003D4773"/>
    <w:rsid w:val="003D56DA"/>
    <w:rsid w:val="003D6453"/>
    <w:rsid w:val="003D707F"/>
    <w:rsid w:val="003D7FC7"/>
    <w:rsid w:val="003E01DD"/>
    <w:rsid w:val="003E1F49"/>
    <w:rsid w:val="003E4B49"/>
    <w:rsid w:val="003E4EBD"/>
    <w:rsid w:val="003E7CFD"/>
    <w:rsid w:val="003F1D8D"/>
    <w:rsid w:val="003F1F31"/>
    <w:rsid w:val="003F36DB"/>
    <w:rsid w:val="003F4E7C"/>
    <w:rsid w:val="003F692B"/>
    <w:rsid w:val="00402131"/>
    <w:rsid w:val="004059FE"/>
    <w:rsid w:val="00405E1F"/>
    <w:rsid w:val="0040678B"/>
    <w:rsid w:val="0040754E"/>
    <w:rsid w:val="00407C33"/>
    <w:rsid w:val="004105F3"/>
    <w:rsid w:val="004122C9"/>
    <w:rsid w:val="00413874"/>
    <w:rsid w:val="00413FEB"/>
    <w:rsid w:val="00414F04"/>
    <w:rsid w:val="00416797"/>
    <w:rsid w:val="004169A4"/>
    <w:rsid w:val="00421398"/>
    <w:rsid w:val="00422D43"/>
    <w:rsid w:val="00425DB9"/>
    <w:rsid w:val="0042747B"/>
    <w:rsid w:val="00432B1B"/>
    <w:rsid w:val="00433C09"/>
    <w:rsid w:val="0043401C"/>
    <w:rsid w:val="00434C6C"/>
    <w:rsid w:val="00435730"/>
    <w:rsid w:val="00435CF7"/>
    <w:rsid w:val="00441BDA"/>
    <w:rsid w:val="004441EC"/>
    <w:rsid w:val="00446812"/>
    <w:rsid w:val="00446EEB"/>
    <w:rsid w:val="004475CB"/>
    <w:rsid w:val="0045088A"/>
    <w:rsid w:val="00451AF3"/>
    <w:rsid w:val="00451E60"/>
    <w:rsid w:val="00452C4A"/>
    <w:rsid w:val="00452DE5"/>
    <w:rsid w:val="00455F01"/>
    <w:rsid w:val="00456798"/>
    <w:rsid w:val="0045771D"/>
    <w:rsid w:val="00460414"/>
    <w:rsid w:val="00462D7F"/>
    <w:rsid w:val="00466C42"/>
    <w:rsid w:val="00470EF4"/>
    <w:rsid w:val="00471CA1"/>
    <w:rsid w:val="00472259"/>
    <w:rsid w:val="004750F8"/>
    <w:rsid w:val="004812ED"/>
    <w:rsid w:val="00482717"/>
    <w:rsid w:val="004844DD"/>
    <w:rsid w:val="00485511"/>
    <w:rsid w:val="004868C5"/>
    <w:rsid w:val="0049097D"/>
    <w:rsid w:val="0049305A"/>
    <w:rsid w:val="0049323A"/>
    <w:rsid w:val="004935DE"/>
    <w:rsid w:val="0049372D"/>
    <w:rsid w:val="00494DB6"/>
    <w:rsid w:val="00494DC0"/>
    <w:rsid w:val="004950C0"/>
    <w:rsid w:val="0049621C"/>
    <w:rsid w:val="00497679"/>
    <w:rsid w:val="004A0471"/>
    <w:rsid w:val="004A061C"/>
    <w:rsid w:val="004A10D0"/>
    <w:rsid w:val="004A1C4D"/>
    <w:rsid w:val="004A3F84"/>
    <w:rsid w:val="004A51AD"/>
    <w:rsid w:val="004A6CF3"/>
    <w:rsid w:val="004B355E"/>
    <w:rsid w:val="004B69EF"/>
    <w:rsid w:val="004B6F13"/>
    <w:rsid w:val="004C00A8"/>
    <w:rsid w:val="004C0B2B"/>
    <w:rsid w:val="004C28E8"/>
    <w:rsid w:val="004C4D8C"/>
    <w:rsid w:val="004D17C1"/>
    <w:rsid w:val="004D3394"/>
    <w:rsid w:val="004D4026"/>
    <w:rsid w:val="004D485C"/>
    <w:rsid w:val="004D69DC"/>
    <w:rsid w:val="004E0FCF"/>
    <w:rsid w:val="004E1605"/>
    <w:rsid w:val="004E1954"/>
    <w:rsid w:val="004E19CF"/>
    <w:rsid w:val="004E204E"/>
    <w:rsid w:val="004E22E4"/>
    <w:rsid w:val="004E2C3D"/>
    <w:rsid w:val="004E520C"/>
    <w:rsid w:val="004E5D5C"/>
    <w:rsid w:val="004E6419"/>
    <w:rsid w:val="004E7829"/>
    <w:rsid w:val="004F0139"/>
    <w:rsid w:val="004F14D1"/>
    <w:rsid w:val="004F16E1"/>
    <w:rsid w:val="004F46DC"/>
    <w:rsid w:val="004F5152"/>
    <w:rsid w:val="004F5F77"/>
    <w:rsid w:val="004F5F9F"/>
    <w:rsid w:val="004F7198"/>
    <w:rsid w:val="005055E0"/>
    <w:rsid w:val="0050757A"/>
    <w:rsid w:val="00510E57"/>
    <w:rsid w:val="005112F3"/>
    <w:rsid w:val="00512895"/>
    <w:rsid w:val="005135F7"/>
    <w:rsid w:val="0051470A"/>
    <w:rsid w:val="00514970"/>
    <w:rsid w:val="0051550C"/>
    <w:rsid w:val="00517AB0"/>
    <w:rsid w:val="00520899"/>
    <w:rsid w:val="0052566A"/>
    <w:rsid w:val="00526CC3"/>
    <w:rsid w:val="00527B26"/>
    <w:rsid w:val="00530351"/>
    <w:rsid w:val="00531777"/>
    <w:rsid w:val="005337F9"/>
    <w:rsid w:val="005343BA"/>
    <w:rsid w:val="0053461D"/>
    <w:rsid w:val="00535C9A"/>
    <w:rsid w:val="00535DCD"/>
    <w:rsid w:val="0053708C"/>
    <w:rsid w:val="005449D1"/>
    <w:rsid w:val="00544B00"/>
    <w:rsid w:val="00544C6F"/>
    <w:rsid w:val="0054605E"/>
    <w:rsid w:val="00546A25"/>
    <w:rsid w:val="00547345"/>
    <w:rsid w:val="0054765A"/>
    <w:rsid w:val="00550562"/>
    <w:rsid w:val="00550748"/>
    <w:rsid w:val="0055210C"/>
    <w:rsid w:val="00555358"/>
    <w:rsid w:val="00555D49"/>
    <w:rsid w:val="00555D7D"/>
    <w:rsid w:val="0055602D"/>
    <w:rsid w:val="0055675F"/>
    <w:rsid w:val="005567C7"/>
    <w:rsid w:val="00560818"/>
    <w:rsid w:val="005609A7"/>
    <w:rsid w:val="0056106C"/>
    <w:rsid w:val="005629DB"/>
    <w:rsid w:val="005632AB"/>
    <w:rsid w:val="005636D1"/>
    <w:rsid w:val="00563F66"/>
    <w:rsid w:val="005655B1"/>
    <w:rsid w:val="00573C4F"/>
    <w:rsid w:val="005747B2"/>
    <w:rsid w:val="005756A3"/>
    <w:rsid w:val="005759DB"/>
    <w:rsid w:val="00575F5F"/>
    <w:rsid w:val="00576651"/>
    <w:rsid w:val="00576B37"/>
    <w:rsid w:val="00581A0A"/>
    <w:rsid w:val="00583420"/>
    <w:rsid w:val="005849D3"/>
    <w:rsid w:val="00586163"/>
    <w:rsid w:val="00591EAA"/>
    <w:rsid w:val="00594B29"/>
    <w:rsid w:val="00595685"/>
    <w:rsid w:val="00596CEC"/>
    <w:rsid w:val="005A7275"/>
    <w:rsid w:val="005A7347"/>
    <w:rsid w:val="005A7499"/>
    <w:rsid w:val="005A787E"/>
    <w:rsid w:val="005B01E4"/>
    <w:rsid w:val="005B3751"/>
    <w:rsid w:val="005B3C5C"/>
    <w:rsid w:val="005B4604"/>
    <w:rsid w:val="005B5513"/>
    <w:rsid w:val="005C07E5"/>
    <w:rsid w:val="005C17CA"/>
    <w:rsid w:val="005C3CF2"/>
    <w:rsid w:val="005C3F01"/>
    <w:rsid w:val="005C42D7"/>
    <w:rsid w:val="005C4776"/>
    <w:rsid w:val="005C681A"/>
    <w:rsid w:val="005C6D27"/>
    <w:rsid w:val="005C7F9A"/>
    <w:rsid w:val="005D3FC7"/>
    <w:rsid w:val="005D47C5"/>
    <w:rsid w:val="005D4AD7"/>
    <w:rsid w:val="005D5795"/>
    <w:rsid w:val="005D5FEC"/>
    <w:rsid w:val="005D6AD6"/>
    <w:rsid w:val="005D7B4C"/>
    <w:rsid w:val="005D7F58"/>
    <w:rsid w:val="005E0022"/>
    <w:rsid w:val="005E3B45"/>
    <w:rsid w:val="005E536D"/>
    <w:rsid w:val="005E65E1"/>
    <w:rsid w:val="005E6D76"/>
    <w:rsid w:val="005E6EA8"/>
    <w:rsid w:val="005E7987"/>
    <w:rsid w:val="005E7AFF"/>
    <w:rsid w:val="005F08C0"/>
    <w:rsid w:val="005F0EB9"/>
    <w:rsid w:val="005F199B"/>
    <w:rsid w:val="005F564C"/>
    <w:rsid w:val="005F5730"/>
    <w:rsid w:val="005F61FC"/>
    <w:rsid w:val="005F7443"/>
    <w:rsid w:val="005F7AFE"/>
    <w:rsid w:val="005F7BF5"/>
    <w:rsid w:val="006013E0"/>
    <w:rsid w:val="00602DFC"/>
    <w:rsid w:val="00603219"/>
    <w:rsid w:val="00603D2D"/>
    <w:rsid w:val="006049EE"/>
    <w:rsid w:val="00605BE7"/>
    <w:rsid w:val="00610304"/>
    <w:rsid w:val="006120C3"/>
    <w:rsid w:val="006122DD"/>
    <w:rsid w:val="0061267C"/>
    <w:rsid w:val="0061472E"/>
    <w:rsid w:val="0061548E"/>
    <w:rsid w:val="00615B37"/>
    <w:rsid w:val="00617F50"/>
    <w:rsid w:val="0062345C"/>
    <w:rsid w:val="006234EF"/>
    <w:rsid w:val="006253BF"/>
    <w:rsid w:val="006327E2"/>
    <w:rsid w:val="00632B62"/>
    <w:rsid w:val="00633915"/>
    <w:rsid w:val="00636335"/>
    <w:rsid w:val="00636E66"/>
    <w:rsid w:val="00640AF3"/>
    <w:rsid w:val="00642E88"/>
    <w:rsid w:val="006430F9"/>
    <w:rsid w:val="00643206"/>
    <w:rsid w:val="00643829"/>
    <w:rsid w:val="00644BEB"/>
    <w:rsid w:val="006463E6"/>
    <w:rsid w:val="0064784E"/>
    <w:rsid w:val="0065251E"/>
    <w:rsid w:val="006562AC"/>
    <w:rsid w:val="006576E3"/>
    <w:rsid w:val="00657CF6"/>
    <w:rsid w:val="0066013F"/>
    <w:rsid w:val="006658F1"/>
    <w:rsid w:val="006670D9"/>
    <w:rsid w:val="00667D84"/>
    <w:rsid w:val="00674577"/>
    <w:rsid w:val="00676248"/>
    <w:rsid w:val="006765A6"/>
    <w:rsid w:val="00676D15"/>
    <w:rsid w:val="00682AE1"/>
    <w:rsid w:val="006849C9"/>
    <w:rsid w:val="00684CF9"/>
    <w:rsid w:val="00685675"/>
    <w:rsid w:val="00690270"/>
    <w:rsid w:val="006913FA"/>
    <w:rsid w:val="006914CD"/>
    <w:rsid w:val="0069218A"/>
    <w:rsid w:val="00693959"/>
    <w:rsid w:val="006A18CA"/>
    <w:rsid w:val="006A2020"/>
    <w:rsid w:val="006A2319"/>
    <w:rsid w:val="006B01C7"/>
    <w:rsid w:val="006B225B"/>
    <w:rsid w:val="006B5ADF"/>
    <w:rsid w:val="006B7854"/>
    <w:rsid w:val="006C5FD8"/>
    <w:rsid w:val="006C76E6"/>
    <w:rsid w:val="006D078E"/>
    <w:rsid w:val="006D196A"/>
    <w:rsid w:val="006D4EDA"/>
    <w:rsid w:val="006D605F"/>
    <w:rsid w:val="006D67D3"/>
    <w:rsid w:val="006D73D4"/>
    <w:rsid w:val="006D7740"/>
    <w:rsid w:val="006E0802"/>
    <w:rsid w:val="006E1048"/>
    <w:rsid w:val="006E325B"/>
    <w:rsid w:val="006E6479"/>
    <w:rsid w:val="006E7D9C"/>
    <w:rsid w:val="006F11F2"/>
    <w:rsid w:val="006F4112"/>
    <w:rsid w:val="006F61BA"/>
    <w:rsid w:val="0070122A"/>
    <w:rsid w:val="007016F1"/>
    <w:rsid w:val="00704163"/>
    <w:rsid w:val="007055D3"/>
    <w:rsid w:val="00705EC4"/>
    <w:rsid w:val="00705F06"/>
    <w:rsid w:val="007073DE"/>
    <w:rsid w:val="0071077A"/>
    <w:rsid w:val="0071135F"/>
    <w:rsid w:val="0071139A"/>
    <w:rsid w:val="00711617"/>
    <w:rsid w:val="00711F0C"/>
    <w:rsid w:val="007132AF"/>
    <w:rsid w:val="00717EA0"/>
    <w:rsid w:val="00720984"/>
    <w:rsid w:val="00723648"/>
    <w:rsid w:val="00724C26"/>
    <w:rsid w:val="007250CB"/>
    <w:rsid w:val="00727863"/>
    <w:rsid w:val="00727B78"/>
    <w:rsid w:val="007306A1"/>
    <w:rsid w:val="007307EE"/>
    <w:rsid w:val="007309CF"/>
    <w:rsid w:val="00735829"/>
    <w:rsid w:val="00735B58"/>
    <w:rsid w:val="007368C8"/>
    <w:rsid w:val="00736EF6"/>
    <w:rsid w:val="0074173E"/>
    <w:rsid w:val="007424A8"/>
    <w:rsid w:val="00742793"/>
    <w:rsid w:val="0075004F"/>
    <w:rsid w:val="0075034F"/>
    <w:rsid w:val="00750C7C"/>
    <w:rsid w:val="0075187F"/>
    <w:rsid w:val="00752FD3"/>
    <w:rsid w:val="0075305A"/>
    <w:rsid w:val="007531B7"/>
    <w:rsid w:val="007533ED"/>
    <w:rsid w:val="007560C4"/>
    <w:rsid w:val="00757716"/>
    <w:rsid w:val="00760851"/>
    <w:rsid w:val="00761158"/>
    <w:rsid w:val="0076327B"/>
    <w:rsid w:val="00764D51"/>
    <w:rsid w:val="0076567B"/>
    <w:rsid w:val="00770B1A"/>
    <w:rsid w:val="00770C1B"/>
    <w:rsid w:val="007750BE"/>
    <w:rsid w:val="00776065"/>
    <w:rsid w:val="0078010C"/>
    <w:rsid w:val="00781A8A"/>
    <w:rsid w:val="00783D26"/>
    <w:rsid w:val="00787089"/>
    <w:rsid w:val="007875F5"/>
    <w:rsid w:val="00791CBD"/>
    <w:rsid w:val="00793CC1"/>
    <w:rsid w:val="00793DBB"/>
    <w:rsid w:val="0079477E"/>
    <w:rsid w:val="007948B6"/>
    <w:rsid w:val="00795C37"/>
    <w:rsid w:val="007A2B30"/>
    <w:rsid w:val="007A34BB"/>
    <w:rsid w:val="007A3A67"/>
    <w:rsid w:val="007A6906"/>
    <w:rsid w:val="007A7F9D"/>
    <w:rsid w:val="007B0B3F"/>
    <w:rsid w:val="007B3A93"/>
    <w:rsid w:val="007B5593"/>
    <w:rsid w:val="007B58AA"/>
    <w:rsid w:val="007B667D"/>
    <w:rsid w:val="007B71AE"/>
    <w:rsid w:val="007C2FBD"/>
    <w:rsid w:val="007C311E"/>
    <w:rsid w:val="007C4DA5"/>
    <w:rsid w:val="007C74EE"/>
    <w:rsid w:val="007D037B"/>
    <w:rsid w:val="007D0792"/>
    <w:rsid w:val="007D4DDC"/>
    <w:rsid w:val="007D4F29"/>
    <w:rsid w:val="007D690A"/>
    <w:rsid w:val="007E11A3"/>
    <w:rsid w:val="007E17D5"/>
    <w:rsid w:val="007E186D"/>
    <w:rsid w:val="007E32B5"/>
    <w:rsid w:val="007E4560"/>
    <w:rsid w:val="007E4F41"/>
    <w:rsid w:val="007F01EF"/>
    <w:rsid w:val="007F0346"/>
    <w:rsid w:val="007F0AB9"/>
    <w:rsid w:val="00800FBE"/>
    <w:rsid w:val="00801491"/>
    <w:rsid w:val="00801DCC"/>
    <w:rsid w:val="008058EB"/>
    <w:rsid w:val="00805AD7"/>
    <w:rsid w:val="00805EBC"/>
    <w:rsid w:val="008063E1"/>
    <w:rsid w:val="00806AC0"/>
    <w:rsid w:val="00811239"/>
    <w:rsid w:val="008144DC"/>
    <w:rsid w:val="00815760"/>
    <w:rsid w:val="00815B01"/>
    <w:rsid w:val="00815D9E"/>
    <w:rsid w:val="0081655D"/>
    <w:rsid w:val="00817484"/>
    <w:rsid w:val="008214B8"/>
    <w:rsid w:val="00822CE6"/>
    <w:rsid w:val="008277FA"/>
    <w:rsid w:val="00830CA0"/>
    <w:rsid w:val="008322B5"/>
    <w:rsid w:val="0083246F"/>
    <w:rsid w:val="0083258A"/>
    <w:rsid w:val="00833C71"/>
    <w:rsid w:val="00834C09"/>
    <w:rsid w:val="00834FCF"/>
    <w:rsid w:val="00836615"/>
    <w:rsid w:val="008517E5"/>
    <w:rsid w:val="008537EE"/>
    <w:rsid w:val="00853BE6"/>
    <w:rsid w:val="00855474"/>
    <w:rsid w:val="00856FFA"/>
    <w:rsid w:val="00860654"/>
    <w:rsid w:val="00863F49"/>
    <w:rsid w:val="00865EC1"/>
    <w:rsid w:val="00867920"/>
    <w:rsid w:val="008714C6"/>
    <w:rsid w:val="00873625"/>
    <w:rsid w:val="0087419B"/>
    <w:rsid w:val="00875C10"/>
    <w:rsid w:val="00876598"/>
    <w:rsid w:val="008777EF"/>
    <w:rsid w:val="00880CF0"/>
    <w:rsid w:val="00881B94"/>
    <w:rsid w:val="0088305C"/>
    <w:rsid w:val="0088354E"/>
    <w:rsid w:val="00883CF7"/>
    <w:rsid w:val="00883E4A"/>
    <w:rsid w:val="0088597B"/>
    <w:rsid w:val="00886E96"/>
    <w:rsid w:val="00891F1A"/>
    <w:rsid w:val="008924A5"/>
    <w:rsid w:val="00893D67"/>
    <w:rsid w:val="00894EAB"/>
    <w:rsid w:val="00895404"/>
    <w:rsid w:val="008962DD"/>
    <w:rsid w:val="008A1677"/>
    <w:rsid w:val="008A234B"/>
    <w:rsid w:val="008A2C96"/>
    <w:rsid w:val="008A3010"/>
    <w:rsid w:val="008A3745"/>
    <w:rsid w:val="008A453B"/>
    <w:rsid w:val="008A5181"/>
    <w:rsid w:val="008A52D5"/>
    <w:rsid w:val="008B06DB"/>
    <w:rsid w:val="008B0A11"/>
    <w:rsid w:val="008B1A2D"/>
    <w:rsid w:val="008B1DB4"/>
    <w:rsid w:val="008B2D34"/>
    <w:rsid w:val="008B35F2"/>
    <w:rsid w:val="008B5A5F"/>
    <w:rsid w:val="008B6FA3"/>
    <w:rsid w:val="008B75CA"/>
    <w:rsid w:val="008B7864"/>
    <w:rsid w:val="008B79DD"/>
    <w:rsid w:val="008C11BD"/>
    <w:rsid w:val="008C1CCB"/>
    <w:rsid w:val="008C3368"/>
    <w:rsid w:val="008C6636"/>
    <w:rsid w:val="008D2A55"/>
    <w:rsid w:val="008D2C9A"/>
    <w:rsid w:val="008D2FA9"/>
    <w:rsid w:val="008D36B7"/>
    <w:rsid w:val="008D49D1"/>
    <w:rsid w:val="008D63C0"/>
    <w:rsid w:val="008D6C16"/>
    <w:rsid w:val="008E038C"/>
    <w:rsid w:val="008E0699"/>
    <w:rsid w:val="008E2A7E"/>
    <w:rsid w:val="008E367F"/>
    <w:rsid w:val="008E51CD"/>
    <w:rsid w:val="008E597B"/>
    <w:rsid w:val="008E5A48"/>
    <w:rsid w:val="008E6F7B"/>
    <w:rsid w:val="008E7E5F"/>
    <w:rsid w:val="008F19E7"/>
    <w:rsid w:val="008F20CD"/>
    <w:rsid w:val="008F235B"/>
    <w:rsid w:val="008F726F"/>
    <w:rsid w:val="0090461C"/>
    <w:rsid w:val="009106B3"/>
    <w:rsid w:val="009129D1"/>
    <w:rsid w:val="00912D5B"/>
    <w:rsid w:val="0091690D"/>
    <w:rsid w:val="00920827"/>
    <w:rsid w:val="0092096A"/>
    <w:rsid w:val="00922A3B"/>
    <w:rsid w:val="00923AA0"/>
    <w:rsid w:val="00924434"/>
    <w:rsid w:val="0092485E"/>
    <w:rsid w:val="00924FE0"/>
    <w:rsid w:val="00925724"/>
    <w:rsid w:val="00926682"/>
    <w:rsid w:val="0092786A"/>
    <w:rsid w:val="00927E94"/>
    <w:rsid w:val="009302A9"/>
    <w:rsid w:val="00930B0C"/>
    <w:rsid w:val="00931011"/>
    <w:rsid w:val="00931410"/>
    <w:rsid w:val="00933698"/>
    <w:rsid w:val="009337E9"/>
    <w:rsid w:val="00934A0A"/>
    <w:rsid w:val="00940DAB"/>
    <w:rsid w:val="0094113F"/>
    <w:rsid w:val="009412B5"/>
    <w:rsid w:val="00944AC4"/>
    <w:rsid w:val="00945A09"/>
    <w:rsid w:val="00946E82"/>
    <w:rsid w:val="00947A25"/>
    <w:rsid w:val="009510D5"/>
    <w:rsid w:val="009519F0"/>
    <w:rsid w:val="00951A52"/>
    <w:rsid w:val="00951DCF"/>
    <w:rsid w:val="00955142"/>
    <w:rsid w:val="0096208D"/>
    <w:rsid w:val="00962766"/>
    <w:rsid w:val="00962901"/>
    <w:rsid w:val="0096354E"/>
    <w:rsid w:val="0096425F"/>
    <w:rsid w:val="009658C8"/>
    <w:rsid w:val="0096789E"/>
    <w:rsid w:val="00967B53"/>
    <w:rsid w:val="00971E04"/>
    <w:rsid w:val="00972A10"/>
    <w:rsid w:val="009749A5"/>
    <w:rsid w:val="00975341"/>
    <w:rsid w:val="0098044F"/>
    <w:rsid w:val="0098526E"/>
    <w:rsid w:val="009874B2"/>
    <w:rsid w:val="00987A8C"/>
    <w:rsid w:val="00990813"/>
    <w:rsid w:val="00995430"/>
    <w:rsid w:val="00995F76"/>
    <w:rsid w:val="00997E93"/>
    <w:rsid w:val="009A1963"/>
    <w:rsid w:val="009A2377"/>
    <w:rsid w:val="009A3FAE"/>
    <w:rsid w:val="009A41E8"/>
    <w:rsid w:val="009A4896"/>
    <w:rsid w:val="009A4AE8"/>
    <w:rsid w:val="009A63D7"/>
    <w:rsid w:val="009B2571"/>
    <w:rsid w:val="009B25FC"/>
    <w:rsid w:val="009B28EE"/>
    <w:rsid w:val="009B438C"/>
    <w:rsid w:val="009B44E8"/>
    <w:rsid w:val="009B4E23"/>
    <w:rsid w:val="009B6EA9"/>
    <w:rsid w:val="009B7236"/>
    <w:rsid w:val="009B7CBB"/>
    <w:rsid w:val="009C0D2A"/>
    <w:rsid w:val="009C3A39"/>
    <w:rsid w:val="009C7361"/>
    <w:rsid w:val="009D1800"/>
    <w:rsid w:val="009D1A5F"/>
    <w:rsid w:val="009D2AED"/>
    <w:rsid w:val="009D4374"/>
    <w:rsid w:val="009D594D"/>
    <w:rsid w:val="009D5A0A"/>
    <w:rsid w:val="009D605B"/>
    <w:rsid w:val="009D6393"/>
    <w:rsid w:val="009E4A57"/>
    <w:rsid w:val="009E6212"/>
    <w:rsid w:val="009F00E6"/>
    <w:rsid w:val="009F1CDB"/>
    <w:rsid w:val="009F2599"/>
    <w:rsid w:val="009F377D"/>
    <w:rsid w:val="009F4457"/>
    <w:rsid w:val="009F5FC3"/>
    <w:rsid w:val="009F6B11"/>
    <w:rsid w:val="009F71BA"/>
    <w:rsid w:val="009F746B"/>
    <w:rsid w:val="009F7FA3"/>
    <w:rsid w:val="00A07BCE"/>
    <w:rsid w:val="00A104EF"/>
    <w:rsid w:val="00A10D7F"/>
    <w:rsid w:val="00A124A2"/>
    <w:rsid w:val="00A13252"/>
    <w:rsid w:val="00A14A24"/>
    <w:rsid w:val="00A17A9E"/>
    <w:rsid w:val="00A17AF3"/>
    <w:rsid w:val="00A201B6"/>
    <w:rsid w:val="00A20DB5"/>
    <w:rsid w:val="00A20E61"/>
    <w:rsid w:val="00A22D52"/>
    <w:rsid w:val="00A258A9"/>
    <w:rsid w:val="00A260AC"/>
    <w:rsid w:val="00A27C3C"/>
    <w:rsid w:val="00A27E20"/>
    <w:rsid w:val="00A3097B"/>
    <w:rsid w:val="00A314CF"/>
    <w:rsid w:val="00A338E5"/>
    <w:rsid w:val="00A34B8C"/>
    <w:rsid w:val="00A34C0C"/>
    <w:rsid w:val="00A43D5F"/>
    <w:rsid w:val="00A44D2E"/>
    <w:rsid w:val="00A458FD"/>
    <w:rsid w:val="00A45E54"/>
    <w:rsid w:val="00A46CAD"/>
    <w:rsid w:val="00A46CED"/>
    <w:rsid w:val="00A47A31"/>
    <w:rsid w:val="00A50CD7"/>
    <w:rsid w:val="00A516FC"/>
    <w:rsid w:val="00A52153"/>
    <w:rsid w:val="00A5311A"/>
    <w:rsid w:val="00A57A6C"/>
    <w:rsid w:val="00A600A6"/>
    <w:rsid w:val="00A61E18"/>
    <w:rsid w:val="00A645D4"/>
    <w:rsid w:val="00A64EF9"/>
    <w:rsid w:val="00A70E85"/>
    <w:rsid w:val="00A70F86"/>
    <w:rsid w:val="00A71CE4"/>
    <w:rsid w:val="00A71F97"/>
    <w:rsid w:val="00A7218A"/>
    <w:rsid w:val="00A72681"/>
    <w:rsid w:val="00A72F26"/>
    <w:rsid w:val="00A733F6"/>
    <w:rsid w:val="00A740BA"/>
    <w:rsid w:val="00A74403"/>
    <w:rsid w:val="00A7572E"/>
    <w:rsid w:val="00A770F4"/>
    <w:rsid w:val="00A819B5"/>
    <w:rsid w:val="00A81F67"/>
    <w:rsid w:val="00A84AC4"/>
    <w:rsid w:val="00A84CC0"/>
    <w:rsid w:val="00A84E5B"/>
    <w:rsid w:val="00A85B8A"/>
    <w:rsid w:val="00A86F11"/>
    <w:rsid w:val="00A90B77"/>
    <w:rsid w:val="00A91B39"/>
    <w:rsid w:val="00A952F0"/>
    <w:rsid w:val="00A958C9"/>
    <w:rsid w:val="00A96FBD"/>
    <w:rsid w:val="00AA09DF"/>
    <w:rsid w:val="00AA1715"/>
    <w:rsid w:val="00AA1D06"/>
    <w:rsid w:val="00AA206C"/>
    <w:rsid w:val="00AA3C9D"/>
    <w:rsid w:val="00AA50A0"/>
    <w:rsid w:val="00AA64CC"/>
    <w:rsid w:val="00AB0934"/>
    <w:rsid w:val="00AB15D2"/>
    <w:rsid w:val="00AB3414"/>
    <w:rsid w:val="00AB4AD7"/>
    <w:rsid w:val="00AB73FA"/>
    <w:rsid w:val="00AC361A"/>
    <w:rsid w:val="00AC4F71"/>
    <w:rsid w:val="00AC5257"/>
    <w:rsid w:val="00AC7574"/>
    <w:rsid w:val="00AD0899"/>
    <w:rsid w:val="00AD2762"/>
    <w:rsid w:val="00AD3127"/>
    <w:rsid w:val="00AD6131"/>
    <w:rsid w:val="00AD6960"/>
    <w:rsid w:val="00AD6F97"/>
    <w:rsid w:val="00AE0256"/>
    <w:rsid w:val="00AE081B"/>
    <w:rsid w:val="00AE2B69"/>
    <w:rsid w:val="00AE4B18"/>
    <w:rsid w:val="00AE721E"/>
    <w:rsid w:val="00AF0AD9"/>
    <w:rsid w:val="00AF19A4"/>
    <w:rsid w:val="00AF5669"/>
    <w:rsid w:val="00AF73FF"/>
    <w:rsid w:val="00B0070F"/>
    <w:rsid w:val="00B00E81"/>
    <w:rsid w:val="00B0702A"/>
    <w:rsid w:val="00B073E4"/>
    <w:rsid w:val="00B10066"/>
    <w:rsid w:val="00B1015A"/>
    <w:rsid w:val="00B11171"/>
    <w:rsid w:val="00B202E2"/>
    <w:rsid w:val="00B20442"/>
    <w:rsid w:val="00B24396"/>
    <w:rsid w:val="00B25DAA"/>
    <w:rsid w:val="00B305DD"/>
    <w:rsid w:val="00B3123B"/>
    <w:rsid w:val="00B322BA"/>
    <w:rsid w:val="00B328EB"/>
    <w:rsid w:val="00B32B31"/>
    <w:rsid w:val="00B32C3A"/>
    <w:rsid w:val="00B32CCD"/>
    <w:rsid w:val="00B32D56"/>
    <w:rsid w:val="00B347E6"/>
    <w:rsid w:val="00B34E0F"/>
    <w:rsid w:val="00B3625E"/>
    <w:rsid w:val="00B376E4"/>
    <w:rsid w:val="00B42A85"/>
    <w:rsid w:val="00B42CB9"/>
    <w:rsid w:val="00B462E2"/>
    <w:rsid w:val="00B47AD7"/>
    <w:rsid w:val="00B539DB"/>
    <w:rsid w:val="00B60816"/>
    <w:rsid w:val="00B61CB5"/>
    <w:rsid w:val="00B63C68"/>
    <w:rsid w:val="00B652F7"/>
    <w:rsid w:val="00B658D7"/>
    <w:rsid w:val="00B67DCD"/>
    <w:rsid w:val="00B7156A"/>
    <w:rsid w:val="00B724BF"/>
    <w:rsid w:val="00B7346F"/>
    <w:rsid w:val="00B756DD"/>
    <w:rsid w:val="00B75D10"/>
    <w:rsid w:val="00B80AA0"/>
    <w:rsid w:val="00B82134"/>
    <w:rsid w:val="00B859F6"/>
    <w:rsid w:val="00B8685E"/>
    <w:rsid w:val="00B87D56"/>
    <w:rsid w:val="00B90538"/>
    <w:rsid w:val="00B91592"/>
    <w:rsid w:val="00B91B98"/>
    <w:rsid w:val="00B93CE3"/>
    <w:rsid w:val="00B94BE0"/>
    <w:rsid w:val="00B954E3"/>
    <w:rsid w:val="00B95B24"/>
    <w:rsid w:val="00B969B9"/>
    <w:rsid w:val="00BA0EDD"/>
    <w:rsid w:val="00BA2D7B"/>
    <w:rsid w:val="00BA33C7"/>
    <w:rsid w:val="00BA4E53"/>
    <w:rsid w:val="00BA5E46"/>
    <w:rsid w:val="00BA730A"/>
    <w:rsid w:val="00BA797F"/>
    <w:rsid w:val="00BB39FF"/>
    <w:rsid w:val="00BB54DD"/>
    <w:rsid w:val="00BB65EA"/>
    <w:rsid w:val="00BB7D80"/>
    <w:rsid w:val="00BB7F8A"/>
    <w:rsid w:val="00BC0A42"/>
    <w:rsid w:val="00BC39A5"/>
    <w:rsid w:val="00BC69BA"/>
    <w:rsid w:val="00BC7B6E"/>
    <w:rsid w:val="00BD0751"/>
    <w:rsid w:val="00BD0A3E"/>
    <w:rsid w:val="00BD1502"/>
    <w:rsid w:val="00BD1C69"/>
    <w:rsid w:val="00BD296D"/>
    <w:rsid w:val="00BD3622"/>
    <w:rsid w:val="00BD3900"/>
    <w:rsid w:val="00BD7C52"/>
    <w:rsid w:val="00BE2412"/>
    <w:rsid w:val="00BE3373"/>
    <w:rsid w:val="00BE3FEB"/>
    <w:rsid w:val="00BF1AC2"/>
    <w:rsid w:val="00BF2148"/>
    <w:rsid w:val="00BF3ED2"/>
    <w:rsid w:val="00BF68CF"/>
    <w:rsid w:val="00BF6E32"/>
    <w:rsid w:val="00BF73E5"/>
    <w:rsid w:val="00C012B0"/>
    <w:rsid w:val="00C017DF"/>
    <w:rsid w:val="00C01CB2"/>
    <w:rsid w:val="00C04CEF"/>
    <w:rsid w:val="00C0510A"/>
    <w:rsid w:val="00C059A1"/>
    <w:rsid w:val="00C070F9"/>
    <w:rsid w:val="00C10806"/>
    <w:rsid w:val="00C162EC"/>
    <w:rsid w:val="00C2299B"/>
    <w:rsid w:val="00C23129"/>
    <w:rsid w:val="00C23B1E"/>
    <w:rsid w:val="00C24104"/>
    <w:rsid w:val="00C259A3"/>
    <w:rsid w:val="00C27B4E"/>
    <w:rsid w:val="00C3083C"/>
    <w:rsid w:val="00C40F8B"/>
    <w:rsid w:val="00C41E2A"/>
    <w:rsid w:val="00C4481D"/>
    <w:rsid w:val="00C4513E"/>
    <w:rsid w:val="00C4527C"/>
    <w:rsid w:val="00C45802"/>
    <w:rsid w:val="00C50C7A"/>
    <w:rsid w:val="00C517E9"/>
    <w:rsid w:val="00C53ACA"/>
    <w:rsid w:val="00C5441F"/>
    <w:rsid w:val="00C5588C"/>
    <w:rsid w:val="00C55A85"/>
    <w:rsid w:val="00C578E6"/>
    <w:rsid w:val="00C57E39"/>
    <w:rsid w:val="00C601E7"/>
    <w:rsid w:val="00C624E4"/>
    <w:rsid w:val="00C632DE"/>
    <w:rsid w:val="00C63CAA"/>
    <w:rsid w:val="00C63F80"/>
    <w:rsid w:val="00C65175"/>
    <w:rsid w:val="00C65D99"/>
    <w:rsid w:val="00C701FE"/>
    <w:rsid w:val="00C702BF"/>
    <w:rsid w:val="00C71827"/>
    <w:rsid w:val="00C75F4C"/>
    <w:rsid w:val="00C81200"/>
    <w:rsid w:val="00C818C8"/>
    <w:rsid w:val="00C82A42"/>
    <w:rsid w:val="00C82D86"/>
    <w:rsid w:val="00C84C5D"/>
    <w:rsid w:val="00C9024E"/>
    <w:rsid w:val="00C92AC5"/>
    <w:rsid w:val="00C92D3B"/>
    <w:rsid w:val="00C935FF"/>
    <w:rsid w:val="00C93878"/>
    <w:rsid w:val="00C942F5"/>
    <w:rsid w:val="00CA0374"/>
    <w:rsid w:val="00CA27A8"/>
    <w:rsid w:val="00CB01CC"/>
    <w:rsid w:val="00CB1040"/>
    <w:rsid w:val="00CB1769"/>
    <w:rsid w:val="00CB247A"/>
    <w:rsid w:val="00CB2589"/>
    <w:rsid w:val="00CB3645"/>
    <w:rsid w:val="00CB4D92"/>
    <w:rsid w:val="00CB4FE3"/>
    <w:rsid w:val="00CB5A9F"/>
    <w:rsid w:val="00CC19A8"/>
    <w:rsid w:val="00CC297A"/>
    <w:rsid w:val="00CC439F"/>
    <w:rsid w:val="00CC5ADE"/>
    <w:rsid w:val="00CC74BA"/>
    <w:rsid w:val="00CD31CA"/>
    <w:rsid w:val="00CD3AF8"/>
    <w:rsid w:val="00CD5EF3"/>
    <w:rsid w:val="00CD75F7"/>
    <w:rsid w:val="00CE49E5"/>
    <w:rsid w:val="00CE5D06"/>
    <w:rsid w:val="00CE7B32"/>
    <w:rsid w:val="00CE7DB9"/>
    <w:rsid w:val="00CF21A2"/>
    <w:rsid w:val="00CF3D60"/>
    <w:rsid w:val="00CF4719"/>
    <w:rsid w:val="00CF53B7"/>
    <w:rsid w:val="00CF5935"/>
    <w:rsid w:val="00CF62BA"/>
    <w:rsid w:val="00D019B3"/>
    <w:rsid w:val="00D02D8D"/>
    <w:rsid w:val="00D04AF4"/>
    <w:rsid w:val="00D076FD"/>
    <w:rsid w:val="00D07CC4"/>
    <w:rsid w:val="00D134F0"/>
    <w:rsid w:val="00D1567D"/>
    <w:rsid w:val="00D157F3"/>
    <w:rsid w:val="00D15B32"/>
    <w:rsid w:val="00D160C9"/>
    <w:rsid w:val="00D177C1"/>
    <w:rsid w:val="00D209C8"/>
    <w:rsid w:val="00D220F4"/>
    <w:rsid w:val="00D225EB"/>
    <w:rsid w:val="00D22633"/>
    <w:rsid w:val="00D22BA1"/>
    <w:rsid w:val="00D24343"/>
    <w:rsid w:val="00D2793B"/>
    <w:rsid w:val="00D30965"/>
    <w:rsid w:val="00D30E50"/>
    <w:rsid w:val="00D32661"/>
    <w:rsid w:val="00D32762"/>
    <w:rsid w:val="00D348A8"/>
    <w:rsid w:val="00D376C2"/>
    <w:rsid w:val="00D424C2"/>
    <w:rsid w:val="00D4304A"/>
    <w:rsid w:val="00D446BF"/>
    <w:rsid w:val="00D4485D"/>
    <w:rsid w:val="00D46762"/>
    <w:rsid w:val="00D50096"/>
    <w:rsid w:val="00D5098D"/>
    <w:rsid w:val="00D510AC"/>
    <w:rsid w:val="00D51E27"/>
    <w:rsid w:val="00D52BDC"/>
    <w:rsid w:val="00D53E74"/>
    <w:rsid w:val="00D60BEB"/>
    <w:rsid w:val="00D62C23"/>
    <w:rsid w:val="00D65B7C"/>
    <w:rsid w:val="00D65C17"/>
    <w:rsid w:val="00D6706D"/>
    <w:rsid w:val="00D677F5"/>
    <w:rsid w:val="00D70CE7"/>
    <w:rsid w:val="00D72495"/>
    <w:rsid w:val="00D74EDA"/>
    <w:rsid w:val="00D75C21"/>
    <w:rsid w:val="00D75CC2"/>
    <w:rsid w:val="00D76D39"/>
    <w:rsid w:val="00D779CB"/>
    <w:rsid w:val="00D81E4E"/>
    <w:rsid w:val="00D82E39"/>
    <w:rsid w:val="00D82EDA"/>
    <w:rsid w:val="00D83DD3"/>
    <w:rsid w:val="00D840FD"/>
    <w:rsid w:val="00D8579B"/>
    <w:rsid w:val="00D8653E"/>
    <w:rsid w:val="00D87811"/>
    <w:rsid w:val="00D9125C"/>
    <w:rsid w:val="00D91B8F"/>
    <w:rsid w:val="00D92576"/>
    <w:rsid w:val="00D9782B"/>
    <w:rsid w:val="00D97D32"/>
    <w:rsid w:val="00DA0586"/>
    <w:rsid w:val="00DA17EF"/>
    <w:rsid w:val="00DA441E"/>
    <w:rsid w:val="00DA6212"/>
    <w:rsid w:val="00DB140D"/>
    <w:rsid w:val="00DB3512"/>
    <w:rsid w:val="00DB5299"/>
    <w:rsid w:val="00DB52D8"/>
    <w:rsid w:val="00DB6A88"/>
    <w:rsid w:val="00DB6E50"/>
    <w:rsid w:val="00DB7F33"/>
    <w:rsid w:val="00DB7F85"/>
    <w:rsid w:val="00DC2EC4"/>
    <w:rsid w:val="00DC3407"/>
    <w:rsid w:val="00DC6C79"/>
    <w:rsid w:val="00DD1A79"/>
    <w:rsid w:val="00DD33B7"/>
    <w:rsid w:val="00DD47BD"/>
    <w:rsid w:val="00DD6139"/>
    <w:rsid w:val="00DD648E"/>
    <w:rsid w:val="00DD7B07"/>
    <w:rsid w:val="00DE1AE3"/>
    <w:rsid w:val="00DE2271"/>
    <w:rsid w:val="00DE2673"/>
    <w:rsid w:val="00DE27AC"/>
    <w:rsid w:val="00DE2CF8"/>
    <w:rsid w:val="00DE5C2D"/>
    <w:rsid w:val="00DE73DE"/>
    <w:rsid w:val="00DE7730"/>
    <w:rsid w:val="00DF1A7A"/>
    <w:rsid w:val="00DF24B6"/>
    <w:rsid w:val="00DF4A2B"/>
    <w:rsid w:val="00DF5F2D"/>
    <w:rsid w:val="00DF7247"/>
    <w:rsid w:val="00DF7F53"/>
    <w:rsid w:val="00E024FC"/>
    <w:rsid w:val="00E02E58"/>
    <w:rsid w:val="00E04C2F"/>
    <w:rsid w:val="00E05039"/>
    <w:rsid w:val="00E120CA"/>
    <w:rsid w:val="00E129BB"/>
    <w:rsid w:val="00E12D58"/>
    <w:rsid w:val="00E14144"/>
    <w:rsid w:val="00E207FB"/>
    <w:rsid w:val="00E231D0"/>
    <w:rsid w:val="00E24697"/>
    <w:rsid w:val="00E2501B"/>
    <w:rsid w:val="00E26515"/>
    <w:rsid w:val="00E27377"/>
    <w:rsid w:val="00E27D78"/>
    <w:rsid w:val="00E31404"/>
    <w:rsid w:val="00E327B6"/>
    <w:rsid w:val="00E34A23"/>
    <w:rsid w:val="00E40888"/>
    <w:rsid w:val="00E41751"/>
    <w:rsid w:val="00E41757"/>
    <w:rsid w:val="00E41850"/>
    <w:rsid w:val="00E43ABF"/>
    <w:rsid w:val="00E44F48"/>
    <w:rsid w:val="00E45DE4"/>
    <w:rsid w:val="00E46190"/>
    <w:rsid w:val="00E46750"/>
    <w:rsid w:val="00E47C6F"/>
    <w:rsid w:val="00E516C8"/>
    <w:rsid w:val="00E52E5E"/>
    <w:rsid w:val="00E53DAE"/>
    <w:rsid w:val="00E550E3"/>
    <w:rsid w:val="00E55663"/>
    <w:rsid w:val="00E60645"/>
    <w:rsid w:val="00E62CEA"/>
    <w:rsid w:val="00E6348B"/>
    <w:rsid w:val="00E64E3F"/>
    <w:rsid w:val="00E65278"/>
    <w:rsid w:val="00E6662E"/>
    <w:rsid w:val="00E67599"/>
    <w:rsid w:val="00E71290"/>
    <w:rsid w:val="00E72668"/>
    <w:rsid w:val="00E72B8B"/>
    <w:rsid w:val="00E74158"/>
    <w:rsid w:val="00E743EB"/>
    <w:rsid w:val="00E7517F"/>
    <w:rsid w:val="00E75DF4"/>
    <w:rsid w:val="00E762EE"/>
    <w:rsid w:val="00E81AA5"/>
    <w:rsid w:val="00E827C9"/>
    <w:rsid w:val="00E855E3"/>
    <w:rsid w:val="00E85771"/>
    <w:rsid w:val="00E85DB1"/>
    <w:rsid w:val="00E8693C"/>
    <w:rsid w:val="00E87B41"/>
    <w:rsid w:val="00E911C7"/>
    <w:rsid w:val="00E93552"/>
    <w:rsid w:val="00E94F01"/>
    <w:rsid w:val="00E9553D"/>
    <w:rsid w:val="00E96BBE"/>
    <w:rsid w:val="00EA4DDF"/>
    <w:rsid w:val="00EA7EA3"/>
    <w:rsid w:val="00EB00D2"/>
    <w:rsid w:val="00EB071D"/>
    <w:rsid w:val="00EB0976"/>
    <w:rsid w:val="00EB0DE8"/>
    <w:rsid w:val="00EB33FD"/>
    <w:rsid w:val="00EB4A4F"/>
    <w:rsid w:val="00EB585E"/>
    <w:rsid w:val="00EB6CA4"/>
    <w:rsid w:val="00EB72A8"/>
    <w:rsid w:val="00EC14DA"/>
    <w:rsid w:val="00EC2495"/>
    <w:rsid w:val="00EC7945"/>
    <w:rsid w:val="00EC7C39"/>
    <w:rsid w:val="00ED078A"/>
    <w:rsid w:val="00ED182C"/>
    <w:rsid w:val="00ED1E5D"/>
    <w:rsid w:val="00ED253B"/>
    <w:rsid w:val="00ED4324"/>
    <w:rsid w:val="00ED703E"/>
    <w:rsid w:val="00ED7ED0"/>
    <w:rsid w:val="00EE1DD7"/>
    <w:rsid w:val="00EF3BF0"/>
    <w:rsid w:val="00EF6104"/>
    <w:rsid w:val="00EF6107"/>
    <w:rsid w:val="00EF7633"/>
    <w:rsid w:val="00F01781"/>
    <w:rsid w:val="00F018A8"/>
    <w:rsid w:val="00F021CD"/>
    <w:rsid w:val="00F02E9E"/>
    <w:rsid w:val="00F032DB"/>
    <w:rsid w:val="00F04F5D"/>
    <w:rsid w:val="00F05739"/>
    <w:rsid w:val="00F106A2"/>
    <w:rsid w:val="00F1071E"/>
    <w:rsid w:val="00F1093B"/>
    <w:rsid w:val="00F11BA0"/>
    <w:rsid w:val="00F12AC4"/>
    <w:rsid w:val="00F12C24"/>
    <w:rsid w:val="00F13833"/>
    <w:rsid w:val="00F13A5B"/>
    <w:rsid w:val="00F15986"/>
    <w:rsid w:val="00F15D60"/>
    <w:rsid w:val="00F1789C"/>
    <w:rsid w:val="00F20CAE"/>
    <w:rsid w:val="00F21F04"/>
    <w:rsid w:val="00F22178"/>
    <w:rsid w:val="00F222D2"/>
    <w:rsid w:val="00F25701"/>
    <w:rsid w:val="00F25B1E"/>
    <w:rsid w:val="00F26602"/>
    <w:rsid w:val="00F27131"/>
    <w:rsid w:val="00F30563"/>
    <w:rsid w:val="00F312C5"/>
    <w:rsid w:val="00F31B64"/>
    <w:rsid w:val="00F3516A"/>
    <w:rsid w:val="00F36574"/>
    <w:rsid w:val="00F371DE"/>
    <w:rsid w:val="00F430EC"/>
    <w:rsid w:val="00F43798"/>
    <w:rsid w:val="00F46486"/>
    <w:rsid w:val="00F476CC"/>
    <w:rsid w:val="00F47EF6"/>
    <w:rsid w:val="00F5185F"/>
    <w:rsid w:val="00F54B8C"/>
    <w:rsid w:val="00F55E7D"/>
    <w:rsid w:val="00F56BA3"/>
    <w:rsid w:val="00F56D46"/>
    <w:rsid w:val="00F57168"/>
    <w:rsid w:val="00F575D4"/>
    <w:rsid w:val="00F6247F"/>
    <w:rsid w:val="00F630CD"/>
    <w:rsid w:val="00F6350C"/>
    <w:rsid w:val="00F63AC1"/>
    <w:rsid w:val="00F6564D"/>
    <w:rsid w:val="00F660B3"/>
    <w:rsid w:val="00F703C9"/>
    <w:rsid w:val="00F72E1A"/>
    <w:rsid w:val="00F742D4"/>
    <w:rsid w:val="00F7691D"/>
    <w:rsid w:val="00F8440B"/>
    <w:rsid w:val="00F85030"/>
    <w:rsid w:val="00F96712"/>
    <w:rsid w:val="00F96A52"/>
    <w:rsid w:val="00F96B20"/>
    <w:rsid w:val="00F97A14"/>
    <w:rsid w:val="00FA11FC"/>
    <w:rsid w:val="00FA2188"/>
    <w:rsid w:val="00FA23E5"/>
    <w:rsid w:val="00FA2879"/>
    <w:rsid w:val="00FA3C4D"/>
    <w:rsid w:val="00FA4307"/>
    <w:rsid w:val="00FA6F32"/>
    <w:rsid w:val="00FB1054"/>
    <w:rsid w:val="00FB1475"/>
    <w:rsid w:val="00FB16FF"/>
    <w:rsid w:val="00FB1E1C"/>
    <w:rsid w:val="00FB2E7E"/>
    <w:rsid w:val="00FB330D"/>
    <w:rsid w:val="00FB36FE"/>
    <w:rsid w:val="00FB4B09"/>
    <w:rsid w:val="00FB5113"/>
    <w:rsid w:val="00FB6857"/>
    <w:rsid w:val="00FC2F38"/>
    <w:rsid w:val="00FC380F"/>
    <w:rsid w:val="00FC6EAD"/>
    <w:rsid w:val="00FC79A8"/>
    <w:rsid w:val="00FD3352"/>
    <w:rsid w:val="00FD4F3C"/>
    <w:rsid w:val="00FD5590"/>
    <w:rsid w:val="00FD5F33"/>
    <w:rsid w:val="00FD6499"/>
    <w:rsid w:val="00FD697F"/>
    <w:rsid w:val="00FD710E"/>
    <w:rsid w:val="00FE1046"/>
    <w:rsid w:val="00FE181F"/>
    <w:rsid w:val="00FE4BF0"/>
    <w:rsid w:val="00FF0340"/>
    <w:rsid w:val="00FF2041"/>
    <w:rsid w:val="00FF4F0E"/>
    <w:rsid w:val="00FF69A2"/>
    <w:rsid w:val="00FF7E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6FFA"/>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pPr>
      <w:keepNext/>
      <w:ind w:firstLine="1134"/>
      <w:outlineLvl w:val="5"/>
    </w:pPr>
    <w:rPr>
      <w:sz w:val="28"/>
      <w:szCs w:val="28"/>
      <w:lang w:val="en-GB" w:eastAsia="en-US"/>
    </w:rPr>
  </w:style>
  <w:style w:type="paragraph" w:styleId="Heading7">
    <w:name w:val="heading 7"/>
    <w:basedOn w:val="Normal"/>
    <w:next w:val="Normal"/>
    <w:qFormat/>
    <w:rsid w:val="00E02E58"/>
    <w:pPr>
      <w:keepNext/>
      <w:ind w:left="709"/>
      <w:outlineLvl w:val="6"/>
    </w:pPr>
    <w:rPr>
      <w:sz w:val="28"/>
      <w:szCs w:val="28"/>
    </w:rPr>
  </w:style>
  <w:style w:type="paragraph" w:styleId="Heading8">
    <w:name w:val="heading 8"/>
    <w:basedOn w:val="Normal"/>
    <w:next w:val="Normal"/>
    <w:qFormat/>
    <w:rsid w:val="00632B62"/>
    <w:pPr>
      <w:keepNext/>
      <w:ind w:left="273" w:firstLine="436"/>
      <w:outlineLvl w:val="7"/>
    </w:pPr>
    <w:rPr>
      <w:color w:val="000000"/>
      <w:sz w:val="28"/>
      <w:szCs w:val="28"/>
    </w:rPr>
  </w:style>
  <w:style w:type="paragraph" w:styleId="Heading9">
    <w:name w:val="heading 9"/>
    <w:basedOn w:val="Normal"/>
    <w:next w:val="Normal"/>
    <w:qFormat/>
    <w:rsid w:val="00632B62"/>
    <w:pPr>
      <w:keepNext/>
      <w:autoSpaceDE w:val="0"/>
      <w:autoSpaceDN w:val="0"/>
      <w:adjustRightInd w:val="0"/>
      <w:ind w:firstLine="709"/>
      <w:outlineLvl w:val="8"/>
    </w:pPr>
    <w:rPr>
      <w:color w:val="000000"/>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426" w:hanging="426"/>
    </w:pPr>
    <w:rPr>
      <w:color w:val="0000FF"/>
      <w:sz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Normal1">
    <w:name w:val="Normal1"/>
    <w:basedOn w:val="Normal"/>
    <w:link w:val="normalChar"/>
    <w:pPr>
      <w:spacing w:before="100" w:beforeAutospacing="1" w:after="100" w:afterAutospacing="1"/>
    </w:pPr>
    <w:rPr>
      <w:sz w:val="24"/>
      <w:szCs w:val="24"/>
      <w:lang w:val="en-US" w:eastAsia="en-US"/>
    </w:rPr>
  </w:style>
  <w:style w:type="character" w:customStyle="1" w:styleId="normalChar">
    <w:name w:val="normal Char"/>
    <w:link w:val="Normal1"/>
    <w:locked/>
    <w:rPr>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character" w:styleId="Hyperlink">
    <w:name w:val="Hyperlink"/>
    <w:rPr>
      <w:strike w:val="0"/>
      <w:dstrike w:val="0"/>
      <w:color w:val="0072BC"/>
      <w:u w:val="none"/>
      <w:effect w:val="none"/>
    </w:rPr>
  </w:style>
  <w:style w:type="paragraph" w:styleId="BodyText">
    <w:name w:val="Body Text"/>
    <w:basedOn w:val="Normal"/>
    <w:rsid w:val="00065ED7"/>
    <w:pPr>
      <w:spacing w:after="120"/>
    </w:pPr>
  </w:style>
  <w:style w:type="paragraph" w:customStyle="1" w:styleId="definition">
    <w:name w:val="definition"/>
    <w:basedOn w:val="Normal"/>
    <w:rsid w:val="00760851"/>
    <w:pPr>
      <w:spacing w:before="100" w:beforeAutospacing="1" w:after="100" w:afterAutospacing="1"/>
    </w:pPr>
    <w:rPr>
      <w:sz w:val="24"/>
      <w:szCs w:val="24"/>
    </w:rPr>
  </w:style>
  <w:style w:type="paragraph" w:customStyle="1" w:styleId="LogoHeader">
    <w:name w:val="LogoHeader"/>
    <w:basedOn w:val="Normal"/>
    <w:link w:val="LogoHeaderChar"/>
    <w:rsid w:val="00F222D2"/>
    <w:pPr>
      <w:keepLines/>
    </w:pPr>
    <w:rPr>
      <w:rFonts w:ascii="Univers" w:hAnsi="Univers"/>
      <w:sz w:val="24"/>
      <w:lang w:val="en-GB" w:eastAsia="en-US"/>
    </w:rPr>
  </w:style>
  <w:style w:type="character" w:customStyle="1" w:styleId="LogoHeaderChar">
    <w:name w:val="LogoHeader Char"/>
    <w:link w:val="LogoHeader"/>
    <w:rsid w:val="00F222D2"/>
    <w:rPr>
      <w:rFonts w:ascii="Univers" w:hAnsi="Univers"/>
      <w:sz w:val="24"/>
      <w:lang w:val="en-GB" w:eastAsia="en-US" w:bidi="ar-SA"/>
    </w:rPr>
  </w:style>
  <w:style w:type="paragraph" w:styleId="BodyText2">
    <w:name w:val="Body Text 2"/>
    <w:basedOn w:val="Normal"/>
    <w:rsid w:val="004A10D0"/>
    <w:pPr>
      <w:spacing w:after="120" w:line="480" w:lineRule="auto"/>
    </w:pPr>
  </w:style>
  <w:style w:type="paragraph" w:styleId="BodyText3">
    <w:name w:val="Body Text 3"/>
    <w:basedOn w:val="Normal"/>
    <w:rsid w:val="00F13833"/>
    <w:pPr>
      <w:spacing w:before="40"/>
      <w:jc w:val="both"/>
    </w:pPr>
    <w:rPr>
      <w:sz w:val="28"/>
      <w:szCs w:val="28"/>
    </w:rPr>
  </w:style>
  <w:style w:type="paragraph" w:customStyle="1" w:styleId="paragraph">
    <w:name w:val="paragraph"/>
    <w:aliases w:val="a"/>
    <w:basedOn w:val="Normal"/>
    <w:link w:val="paragraphChar"/>
    <w:rsid w:val="008D63C0"/>
    <w:pPr>
      <w:tabs>
        <w:tab w:val="right" w:pos="1531"/>
      </w:tabs>
      <w:spacing w:before="40"/>
      <w:ind w:left="1644" w:hanging="1644"/>
    </w:pPr>
    <w:rPr>
      <w:sz w:val="22"/>
    </w:rPr>
  </w:style>
  <w:style w:type="paragraph" w:customStyle="1" w:styleId="paragraphsub">
    <w:name w:val="paragraph(sub)"/>
    <w:aliases w:val="aa"/>
    <w:basedOn w:val="Normal"/>
    <w:rsid w:val="00032FC0"/>
    <w:pPr>
      <w:tabs>
        <w:tab w:val="right" w:pos="1985"/>
      </w:tabs>
      <w:spacing w:before="40"/>
      <w:ind w:left="2098" w:hanging="2098"/>
    </w:pPr>
    <w:rPr>
      <w:rFonts w:eastAsia="Calibri"/>
      <w:sz w:val="22"/>
    </w:rPr>
  </w:style>
  <w:style w:type="character" w:customStyle="1" w:styleId="paragraphChar">
    <w:name w:val="paragraph Char"/>
    <w:aliases w:val="a Char"/>
    <w:link w:val="paragraph"/>
    <w:locked/>
    <w:rsid w:val="00032FC0"/>
    <w:rPr>
      <w:sz w:val="22"/>
      <w:lang w:val="en-AU" w:eastAsia="en-AU" w:bidi="ar-SA"/>
    </w:rPr>
  </w:style>
  <w:style w:type="paragraph" w:customStyle="1" w:styleId="subsection">
    <w:name w:val="subsection"/>
    <w:basedOn w:val="Normal"/>
    <w:rsid w:val="00A14A24"/>
    <w:pPr>
      <w:spacing w:before="100" w:beforeAutospacing="1" w:after="100" w:afterAutospacing="1"/>
    </w:pPr>
    <w:rPr>
      <w:sz w:val="24"/>
      <w:szCs w:val="24"/>
    </w:rPr>
  </w:style>
  <w:style w:type="paragraph" w:customStyle="1" w:styleId="R1">
    <w:name w:val="R1"/>
    <w:aliases w:val="1. or 1.(1)"/>
    <w:basedOn w:val="Normal"/>
    <w:next w:val="Normal"/>
    <w:rsid w:val="000C7047"/>
    <w:pPr>
      <w:tabs>
        <w:tab w:val="right" w:pos="794"/>
        <w:tab w:val="left" w:pos="964"/>
      </w:tabs>
      <w:spacing w:before="120" w:line="260" w:lineRule="exact"/>
      <w:ind w:left="964" w:hanging="964"/>
      <w:jc w:val="both"/>
    </w:pPr>
    <w:rPr>
      <w:sz w:val="24"/>
    </w:rPr>
  </w:style>
  <w:style w:type="character" w:customStyle="1" w:styleId="HeaderChar">
    <w:name w:val="Header Char"/>
    <w:link w:val="Header"/>
    <w:uiPriority w:val="99"/>
    <w:locked/>
    <w:rsid w:val="00EC2495"/>
  </w:style>
  <w:style w:type="paragraph" w:customStyle="1" w:styleId="default0">
    <w:name w:val="default"/>
    <w:basedOn w:val="Normal"/>
    <w:rsid w:val="003122F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6FFA"/>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pPr>
      <w:keepNext/>
      <w:ind w:firstLine="1134"/>
      <w:outlineLvl w:val="5"/>
    </w:pPr>
    <w:rPr>
      <w:sz w:val="28"/>
      <w:szCs w:val="28"/>
      <w:lang w:val="en-GB" w:eastAsia="en-US"/>
    </w:rPr>
  </w:style>
  <w:style w:type="paragraph" w:styleId="Heading7">
    <w:name w:val="heading 7"/>
    <w:basedOn w:val="Normal"/>
    <w:next w:val="Normal"/>
    <w:qFormat/>
    <w:rsid w:val="00E02E58"/>
    <w:pPr>
      <w:keepNext/>
      <w:ind w:left="709"/>
      <w:outlineLvl w:val="6"/>
    </w:pPr>
    <w:rPr>
      <w:sz w:val="28"/>
      <w:szCs w:val="28"/>
    </w:rPr>
  </w:style>
  <w:style w:type="paragraph" w:styleId="Heading8">
    <w:name w:val="heading 8"/>
    <w:basedOn w:val="Normal"/>
    <w:next w:val="Normal"/>
    <w:qFormat/>
    <w:rsid w:val="00632B62"/>
    <w:pPr>
      <w:keepNext/>
      <w:ind w:left="273" w:firstLine="436"/>
      <w:outlineLvl w:val="7"/>
    </w:pPr>
    <w:rPr>
      <w:color w:val="000000"/>
      <w:sz w:val="28"/>
      <w:szCs w:val="28"/>
    </w:rPr>
  </w:style>
  <w:style w:type="paragraph" w:styleId="Heading9">
    <w:name w:val="heading 9"/>
    <w:basedOn w:val="Normal"/>
    <w:next w:val="Normal"/>
    <w:qFormat/>
    <w:rsid w:val="00632B62"/>
    <w:pPr>
      <w:keepNext/>
      <w:autoSpaceDE w:val="0"/>
      <w:autoSpaceDN w:val="0"/>
      <w:adjustRightInd w:val="0"/>
      <w:ind w:firstLine="709"/>
      <w:outlineLvl w:val="8"/>
    </w:pPr>
    <w:rPr>
      <w:color w:val="000000"/>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426" w:hanging="426"/>
    </w:pPr>
    <w:rPr>
      <w:color w:val="0000FF"/>
      <w:sz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Normal1">
    <w:name w:val="Normal1"/>
    <w:basedOn w:val="Normal"/>
    <w:link w:val="normalChar"/>
    <w:pPr>
      <w:spacing w:before="100" w:beforeAutospacing="1" w:after="100" w:afterAutospacing="1"/>
    </w:pPr>
    <w:rPr>
      <w:sz w:val="24"/>
      <w:szCs w:val="24"/>
      <w:lang w:val="en-US" w:eastAsia="en-US"/>
    </w:rPr>
  </w:style>
  <w:style w:type="character" w:customStyle="1" w:styleId="normalChar">
    <w:name w:val="normal Char"/>
    <w:link w:val="Normal1"/>
    <w:locked/>
    <w:rPr>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character" w:styleId="Hyperlink">
    <w:name w:val="Hyperlink"/>
    <w:rPr>
      <w:strike w:val="0"/>
      <w:dstrike w:val="0"/>
      <w:color w:val="0072BC"/>
      <w:u w:val="none"/>
      <w:effect w:val="none"/>
    </w:rPr>
  </w:style>
  <w:style w:type="paragraph" w:styleId="BodyText">
    <w:name w:val="Body Text"/>
    <w:basedOn w:val="Normal"/>
    <w:rsid w:val="00065ED7"/>
    <w:pPr>
      <w:spacing w:after="120"/>
    </w:pPr>
  </w:style>
  <w:style w:type="paragraph" w:customStyle="1" w:styleId="definition">
    <w:name w:val="definition"/>
    <w:basedOn w:val="Normal"/>
    <w:rsid w:val="00760851"/>
    <w:pPr>
      <w:spacing w:before="100" w:beforeAutospacing="1" w:after="100" w:afterAutospacing="1"/>
    </w:pPr>
    <w:rPr>
      <w:sz w:val="24"/>
      <w:szCs w:val="24"/>
    </w:rPr>
  </w:style>
  <w:style w:type="paragraph" w:customStyle="1" w:styleId="LogoHeader">
    <w:name w:val="LogoHeader"/>
    <w:basedOn w:val="Normal"/>
    <w:link w:val="LogoHeaderChar"/>
    <w:rsid w:val="00F222D2"/>
    <w:pPr>
      <w:keepLines/>
    </w:pPr>
    <w:rPr>
      <w:rFonts w:ascii="Univers" w:hAnsi="Univers"/>
      <w:sz w:val="24"/>
      <w:lang w:val="en-GB" w:eastAsia="en-US"/>
    </w:rPr>
  </w:style>
  <w:style w:type="character" w:customStyle="1" w:styleId="LogoHeaderChar">
    <w:name w:val="LogoHeader Char"/>
    <w:link w:val="LogoHeader"/>
    <w:rsid w:val="00F222D2"/>
    <w:rPr>
      <w:rFonts w:ascii="Univers" w:hAnsi="Univers"/>
      <w:sz w:val="24"/>
      <w:lang w:val="en-GB" w:eastAsia="en-US" w:bidi="ar-SA"/>
    </w:rPr>
  </w:style>
  <w:style w:type="paragraph" w:styleId="BodyText2">
    <w:name w:val="Body Text 2"/>
    <w:basedOn w:val="Normal"/>
    <w:rsid w:val="004A10D0"/>
    <w:pPr>
      <w:spacing w:after="120" w:line="480" w:lineRule="auto"/>
    </w:pPr>
  </w:style>
  <w:style w:type="paragraph" w:styleId="BodyText3">
    <w:name w:val="Body Text 3"/>
    <w:basedOn w:val="Normal"/>
    <w:rsid w:val="00F13833"/>
    <w:pPr>
      <w:spacing w:before="40"/>
      <w:jc w:val="both"/>
    </w:pPr>
    <w:rPr>
      <w:sz w:val="28"/>
      <w:szCs w:val="28"/>
    </w:rPr>
  </w:style>
  <w:style w:type="paragraph" w:customStyle="1" w:styleId="paragraph">
    <w:name w:val="paragraph"/>
    <w:aliases w:val="a"/>
    <w:basedOn w:val="Normal"/>
    <w:link w:val="paragraphChar"/>
    <w:rsid w:val="008D63C0"/>
    <w:pPr>
      <w:tabs>
        <w:tab w:val="right" w:pos="1531"/>
      </w:tabs>
      <w:spacing w:before="40"/>
      <w:ind w:left="1644" w:hanging="1644"/>
    </w:pPr>
    <w:rPr>
      <w:sz w:val="22"/>
    </w:rPr>
  </w:style>
  <w:style w:type="paragraph" w:customStyle="1" w:styleId="paragraphsub">
    <w:name w:val="paragraph(sub)"/>
    <w:aliases w:val="aa"/>
    <w:basedOn w:val="Normal"/>
    <w:rsid w:val="00032FC0"/>
    <w:pPr>
      <w:tabs>
        <w:tab w:val="right" w:pos="1985"/>
      </w:tabs>
      <w:spacing w:before="40"/>
      <w:ind w:left="2098" w:hanging="2098"/>
    </w:pPr>
    <w:rPr>
      <w:rFonts w:eastAsia="Calibri"/>
      <w:sz w:val="22"/>
    </w:rPr>
  </w:style>
  <w:style w:type="character" w:customStyle="1" w:styleId="paragraphChar">
    <w:name w:val="paragraph Char"/>
    <w:aliases w:val="a Char"/>
    <w:link w:val="paragraph"/>
    <w:locked/>
    <w:rsid w:val="00032FC0"/>
    <w:rPr>
      <w:sz w:val="22"/>
      <w:lang w:val="en-AU" w:eastAsia="en-AU" w:bidi="ar-SA"/>
    </w:rPr>
  </w:style>
  <w:style w:type="paragraph" w:customStyle="1" w:styleId="subsection">
    <w:name w:val="subsection"/>
    <w:basedOn w:val="Normal"/>
    <w:rsid w:val="00A14A24"/>
    <w:pPr>
      <w:spacing w:before="100" w:beforeAutospacing="1" w:after="100" w:afterAutospacing="1"/>
    </w:pPr>
    <w:rPr>
      <w:sz w:val="24"/>
      <w:szCs w:val="24"/>
    </w:rPr>
  </w:style>
  <w:style w:type="paragraph" w:customStyle="1" w:styleId="R1">
    <w:name w:val="R1"/>
    <w:aliases w:val="1. or 1.(1)"/>
    <w:basedOn w:val="Normal"/>
    <w:next w:val="Normal"/>
    <w:rsid w:val="000C7047"/>
    <w:pPr>
      <w:tabs>
        <w:tab w:val="right" w:pos="794"/>
        <w:tab w:val="left" w:pos="964"/>
      </w:tabs>
      <w:spacing w:before="120" w:line="260" w:lineRule="exact"/>
      <w:ind w:left="964" w:hanging="964"/>
      <w:jc w:val="both"/>
    </w:pPr>
    <w:rPr>
      <w:sz w:val="24"/>
    </w:rPr>
  </w:style>
  <w:style w:type="character" w:customStyle="1" w:styleId="HeaderChar">
    <w:name w:val="Header Char"/>
    <w:link w:val="Header"/>
    <w:uiPriority w:val="99"/>
    <w:locked/>
    <w:rsid w:val="00EC2495"/>
  </w:style>
  <w:style w:type="paragraph" w:customStyle="1" w:styleId="default0">
    <w:name w:val="default"/>
    <w:basedOn w:val="Normal"/>
    <w:rsid w:val="003122F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41585">
      <w:bodyDiv w:val="1"/>
      <w:marLeft w:val="0"/>
      <w:marRight w:val="0"/>
      <w:marTop w:val="0"/>
      <w:marBottom w:val="0"/>
      <w:divBdr>
        <w:top w:val="none" w:sz="0" w:space="0" w:color="auto"/>
        <w:left w:val="none" w:sz="0" w:space="0" w:color="auto"/>
        <w:bottom w:val="none" w:sz="0" w:space="0" w:color="auto"/>
        <w:right w:val="none" w:sz="0" w:space="0" w:color="auto"/>
      </w:divBdr>
      <w:divsChild>
        <w:div w:id="1688797799">
          <w:marLeft w:val="0"/>
          <w:marRight w:val="0"/>
          <w:marTop w:val="0"/>
          <w:marBottom w:val="0"/>
          <w:divBdr>
            <w:top w:val="none" w:sz="0" w:space="0" w:color="auto"/>
            <w:left w:val="none" w:sz="0" w:space="0" w:color="auto"/>
            <w:bottom w:val="none" w:sz="0" w:space="0" w:color="auto"/>
            <w:right w:val="none" w:sz="0" w:space="0" w:color="auto"/>
          </w:divBdr>
          <w:divsChild>
            <w:div w:id="1683508672">
              <w:marLeft w:val="0"/>
              <w:marRight w:val="0"/>
              <w:marTop w:val="0"/>
              <w:marBottom w:val="0"/>
              <w:divBdr>
                <w:top w:val="none" w:sz="0" w:space="0" w:color="auto"/>
                <w:left w:val="none" w:sz="0" w:space="0" w:color="auto"/>
                <w:bottom w:val="none" w:sz="0" w:space="0" w:color="auto"/>
                <w:right w:val="none" w:sz="0" w:space="0" w:color="auto"/>
              </w:divBdr>
              <w:divsChild>
                <w:div w:id="164978007">
                  <w:marLeft w:val="0"/>
                  <w:marRight w:val="0"/>
                  <w:marTop w:val="0"/>
                  <w:marBottom w:val="0"/>
                  <w:divBdr>
                    <w:top w:val="none" w:sz="0" w:space="0" w:color="auto"/>
                    <w:left w:val="none" w:sz="0" w:space="0" w:color="auto"/>
                    <w:bottom w:val="none" w:sz="0" w:space="0" w:color="auto"/>
                    <w:right w:val="none" w:sz="0" w:space="0" w:color="auto"/>
                  </w:divBdr>
                  <w:divsChild>
                    <w:div w:id="1309674293">
                      <w:marLeft w:val="0"/>
                      <w:marRight w:val="0"/>
                      <w:marTop w:val="0"/>
                      <w:marBottom w:val="0"/>
                      <w:divBdr>
                        <w:top w:val="none" w:sz="0" w:space="0" w:color="auto"/>
                        <w:left w:val="none" w:sz="0" w:space="0" w:color="auto"/>
                        <w:bottom w:val="none" w:sz="0" w:space="0" w:color="auto"/>
                        <w:right w:val="none" w:sz="0" w:space="0" w:color="auto"/>
                      </w:divBdr>
                      <w:divsChild>
                        <w:div w:id="2022857713">
                          <w:marLeft w:val="0"/>
                          <w:marRight w:val="0"/>
                          <w:marTop w:val="0"/>
                          <w:marBottom w:val="0"/>
                          <w:divBdr>
                            <w:top w:val="single" w:sz="6" w:space="0" w:color="828282"/>
                            <w:left w:val="single" w:sz="6" w:space="0" w:color="828282"/>
                            <w:bottom w:val="single" w:sz="6" w:space="0" w:color="828282"/>
                            <w:right w:val="single" w:sz="6" w:space="0" w:color="828282"/>
                          </w:divBdr>
                          <w:divsChild>
                            <w:div w:id="1234851152">
                              <w:marLeft w:val="0"/>
                              <w:marRight w:val="0"/>
                              <w:marTop w:val="0"/>
                              <w:marBottom w:val="0"/>
                              <w:divBdr>
                                <w:top w:val="none" w:sz="0" w:space="0" w:color="auto"/>
                                <w:left w:val="none" w:sz="0" w:space="0" w:color="auto"/>
                                <w:bottom w:val="none" w:sz="0" w:space="0" w:color="auto"/>
                                <w:right w:val="none" w:sz="0" w:space="0" w:color="auto"/>
                              </w:divBdr>
                              <w:divsChild>
                                <w:div w:id="1263801044">
                                  <w:marLeft w:val="0"/>
                                  <w:marRight w:val="0"/>
                                  <w:marTop w:val="0"/>
                                  <w:marBottom w:val="0"/>
                                  <w:divBdr>
                                    <w:top w:val="none" w:sz="0" w:space="0" w:color="auto"/>
                                    <w:left w:val="none" w:sz="0" w:space="0" w:color="auto"/>
                                    <w:bottom w:val="none" w:sz="0" w:space="0" w:color="auto"/>
                                    <w:right w:val="none" w:sz="0" w:space="0" w:color="auto"/>
                                  </w:divBdr>
                                  <w:divsChild>
                                    <w:div w:id="1292128163">
                                      <w:marLeft w:val="0"/>
                                      <w:marRight w:val="0"/>
                                      <w:marTop w:val="0"/>
                                      <w:marBottom w:val="0"/>
                                      <w:divBdr>
                                        <w:top w:val="none" w:sz="0" w:space="0" w:color="auto"/>
                                        <w:left w:val="none" w:sz="0" w:space="0" w:color="auto"/>
                                        <w:bottom w:val="none" w:sz="0" w:space="0" w:color="auto"/>
                                        <w:right w:val="none" w:sz="0" w:space="0" w:color="auto"/>
                                      </w:divBdr>
                                      <w:divsChild>
                                        <w:div w:id="476608562">
                                          <w:marLeft w:val="0"/>
                                          <w:marRight w:val="0"/>
                                          <w:marTop w:val="0"/>
                                          <w:marBottom w:val="0"/>
                                          <w:divBdr>
                                            <w:top w:val="none" w:sz="0" w:space="0" w:color="auto"/>
                                            <w:left w:val="none" w:sz="0" w:space="0" w:color="auto"/>
                                            <w:bottom w:val="none" w:sz="0" w:space="0" w:color="auto"/>
                                            <w:right w:val="none" w:sz="0" w:space="0" w:color="auto"/>
                                          </w:divBdr>
                                          <w:divsChild>
                                            <w:div w:id="2004311210">
                                              <w:marLeft w:val="0"/>
                                              <w:marRight w:val="0"/>
                                              <w:marTop w:val="0"/>
                                              <w:marBottom w:val="0"/>
                                              <w:divBdr>
                                                <w:top w:val="none" w:sz="0" w:space="0" w:color="auto"/>
                                                <w:left w:val="none" w:sz="0" w:space="0" w:color="auto"/>
                                                <w:bottom w:val="none" w:sz="0" w:space="0" w:color="auto"/>
                                                <w:right w:val="none" w:sz="0" w:space="0" w:color="auto"/>
                                              </w:divBdr>
                                              <w:divsChild>
                                                <w:div w:id="2034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0346324">
      <w:bodyDiv w:val="1"/>
      <w:marLeft w:val="0"/>
      <w:marRight w:val="0"/>
      <w:marTop w:val="0"/>
      <w:marBottom w:val="0"/>
      <w:divBdr>
        <w:top w:val="none" w:sz="0" w:space="0" w:color="auto"/>
        <w:left w:val="none" w:sz="0" w:space="0" w:color="auto"/>
        <w:bottom w:val="none" w:sz="0" w:space="0" w:color="auto"/>
        <w:right w:val="none" w:sz="0" w:space="0" w:color="auto"/>
      </w:divBdr>
      <w:divsChild>
        <w:div w:id="807943487">
          <w:marLeft w:val="0"/>
          <w:marRight w:val="0"/>
          <w:marTop w:val="0"/>
          <w:marBottom w:val="0"/>
          <w:divBdr>
            <w:top w:val="none" w:sz="0" w:space="0" w:color="auto"/>
            <w:left w:val="none" w:sz="0" w:space="0" w:color="auto"/>
            <w:bottom w:val="none" w:sz="0" w:space="0" w:color="auto"/>
            <w:right w:val="none" w:sz="0" w:space="0" w:color="auto"/>
          </w:divBdr>
          <w:divsChild>
            <w:div w:id="1443572787">
              <w:marLeft w:val="0"/>
              <w:marRight w:val="0"/>
              <w:marTop w:val="0"/>
              <w:marBottom w:val="0"/>
              <w:divBdr>
                <w:top w:val="none" w:sz="0" w:space="0" w:color="auto"/>
                <w:left w:val="none" w:sz="0" w:space="0" w:color="auto"/>
                <w:bottom w:val="none" w:sz="0" w:space="0" w:color="auto"/>
                <w:right w:val="none" w:sz="0" w:space="0" w:color="auto"/>
              </w:divBdr>
              <w:divsChild>
                <w:div w:id="1037925200">
                  <w:marLeft w:val="0"/>
                  <w:marRight w:val="0"/>
                  <w:marTop w:val="0"/>
                  <w:marBottom w:val="0"/>
                  <w:divBdr>
                    <w:top w:val="none" w:sz="0" w:space="0" w:color="auto"/>
                    <w:left w:val="none" w:sz="0" w:space="0" w:color="auto"/>
                    <w:bottom w:val="none" w:sz="0" w:space="0" w:color="auto"/>
                    <w:right w:val="none" w:sz="0" w:space="0" w:color="auto"/>
                  </w:divBdr>
                  <w:divsChild>
                    <w:div w:id="940457032">
                      <w:marLeft w:val="0"/>
                      <w:marRight w:val="0"/>
                      <w:marTop w:val="0"/>
                      <w:marBottom w:val="0"/>
                      <w:divBdr>
                        <w:top w:val="none" w:sz="0" w:space="0" w:color="auto"/>
                        <w:left w:val="none" w:sz="0" w:space="0" w:color="auto"/>
                        <w:bottom w:val="none" w:sz="0" w:space="0" w:color="auto"/>
                        <w:right w:val="none" w:sz="0" w:space="0" w:color="auto"/>
                      </w:divBdr>
                      <w:divsChild>
                        <w:div w:id="664629301">
                          <w:marLeft w:val="0"/>
                          <w:marRight w:val="0"/>
                          <w:marTop w:val="0"/>
                          <w:marBottom w:val="0"/>
                          <w:divBdr>
                            <w:top w:val="single" w:sz="6" w:space="0" w:color="828282"/>
                            <w:left w:val="single" w:sz="6" w:space="0" w:color="828282"/>
                            <w:bottom w:val="single" w:sz="6" w:space="0" w:color="828282"/>
                            <w:right w:val="single" w:sz="6" w:space="0" w:color="828282"/>
                          </w:divBdr>
                          <w:divsChild>
                            <w:div w:id="1294486097">
                              <w:marLeft w:val="0"/>
                              <w:marRight w:val="0"/>
                              <w:marTop w:val="0"/>
                              <w:marBottom w:val="0"/>
                              <w:divBdr>
                                <w:top w:val="none" w:sz="0" w:space="0" w:color="auto"/>
                                <w:left w:val="none" w:sz="0" w:space="0" w:color="auto"/>
                                <w:bottom w:val="none" w:sz="0" w:space="0" w:color="auto"/>
                                <w:right w:val="none" w:sz="0" w:space="0" w:color="auto"/>
                              </w:divBdr>
                              <w:divsChild>
                                <w:div w:id="576017155">
                                  <w:marLeft w:val="0"/>
                                  <w:marRight w:val="0"/>
                                  <w:marTop w:val="0"/>
                                  <w:marBottom w:val="0"/>
                                  <w:divBdr>
                                    <w:top w:val="none" w:sz="0" w:space="0" w:color="auto"/>
                                    <w:left w:val="none" w:sz="0" w:space="0" w:color="auto"/>
                                    <w:bottom w:val="none" w:sz="0" w:space="0" w:color="auto"/>
                                    <w:right w:val="none" w:sz="0" w:space="0" w:color="auto"/>
                                  </w:divBdr>
                                  <w:divsChild>
                                    <w:div w:id="1235235816">
                                      <w:marLeft w:val="0"/>
                                      <w:marRight w:val="0"/>
                                      <w:marTop w:val="0"/>
                                      <w:marBottom w:val="0"/>
                                      <w:divBdr>
                                        <w:top w:val="none" w:sz="0" w:space="0" w:color="auto"/>
                                        <w:left w:val="none" w:sz="0" w:space="0" w:color="auto"/>
                                        <w:bottom w:val="none" w:sz="0" w:space="0" w:color="auto"/>
                                        <w:right w:val="none" w:sz="0" w:space="0" w:color="auto"/>
                                      </w:divBdr>
                                      <w:divsChild>
                                        <w:div w:id="274872849">
                                          <w:marLeft w:val="0"/>
                                          <w:marRight w:val="0"/>
                                          <w:marTop w:val="0"/>
                                          <w:marBottom w:val="0"/>
                                          <w:divBdr>
                                            <w:top w:val="none" w:sz="0" w:space="0" w:color="auto"/>
                                            <w:left w:val="none" w:sz="0" w:space="0" w:color="auto"/>
                                            <w:bottom w:val="none" w:sz="0" w:space="0" w:color="auto"/>
                                            <w:right w:val="none" w:sz="0" w:space="0" w:color="auto"/>
                                          </w:divBdr>
                                          <w:divsChild>
                                            <w:div w:id="187989421">
                                              <w:marLeft w:val="0"/>
                                              <w:marRight w:val="0"/>
                                              <w:marTop w:val="0"/>
                                              <w:marBottom w:val="0"/>
                                              <w:divBdr>
                                                <w:top w:val="none" w:sz="0" w:space="0" w:color="auto"/>
                                                <w:left w:val="none" w:sz="0" w:space="0" w:color="auto"/>
                                                <w:bottom w:val="none" w:sz="0" w:space="0" w:color="auto"/>
                                                <w:right w:val="none" w:sz="0" w:space="0" w:color="auto"/>
                                              </w:divBdr>
                                              <w:divsChild>
                                                <w:div w:id="66933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5319220">
      <w:bodyDiv w:val="1"/>
      <w:marLeft w:val="0"/>
      <w:marRight w:val="0"/>
      <w:marTop w:val="0"/>
      <w:marBottom w:val="0"/>
      <w:divBdr>
        <w:top w:val="none" w:sz="0" w:space="0" w:color="auto"/>
        <w:left w:val="none" w:sz="0" w:space="0" w:color="auto"/>
        <w:bottom w:val="none" w:sz="0" w:space="0" w:color="auto"/>
        <w:right w:val="none" w:sz="0" w:space="0" w:color="auto"/>
      </w:divBdr>
      <w:divsChild>
        <w:div w:id="80610699">
          <w:marLeft w:val="0"/>
          <w:marRight w:val="0"/>
          <w:marTop w:val="0"/>
          <w:marBottom w:val="0"/>
          <w:divBdr>
            <w:top w:val="none" w:sz="0" w:space="0" w:color="auto"/>
            <w:left w:val="none" w:sz="0" w:space="0" w:color="auto"/>
            <w:bottom w:val="none" w:sz="0" w:space="0" w:color="auto"/>
            <w:right w:val="none" w:sz="0" w:space="0" w:color="auto"/>
          </w:divBdr>
          <w:divsChild>
            <w:div w:id="2052338214">
              <w:marLeft w:val="0"/>
              <w:marRight w:val="0"/>
              <w:marTop w:val="0"/>
              <w:marBottom w:val="0"/>
              <w:divBdr>
                <w:top w:val="none" w:sz="0" w:space="0" w:color="auto"/>
                <w:left w:val="none" w:sz="0" w:space="0" w:color="auto"/>
                <w:bottom w:val="none" w:sz="0" w:space="0" w:color="auto"/>
                <w:right w:val="none" w:sz="0" w:space="0" w:color="auto"/>
              </w:divBdr>
              <w:divsChild>
                <w:div w:id="1835224579">
                  <w:marLeft w:val="0"/>
                  <w:marRight w:val="0"/>
                  <w:marTop w:val="0"/>
                  <w:marBottom w:val="0"/>
                  <w:divBdr>
                    <w:top w:val="none" w:sz="0" w:space="0" w:color="auto"/>
                    <w:left w:val="none" w:sz="0" w:space="0" w:color="auto"/>
                    <w:bottom w:val="none" w:sz="0" w:space="0" w:color="auto"/>
                    <w:right w:val="none" w:sz="0" w:space="0" w:color="auto"/>
                  </w:divBdr>
                  <w:divsChild>
                    <w:div w:id="1192065539">
                      <w:marLeft w:val="0"/>
                      <w:marRight w:val="0"/>
                      <w:marTop w:val="0"/>
                      <w:marBottom w:val="0"/>
                      <w:divBdr>
                        <w:top w:val="none" w:sz="0" w:space="0" w:color="auto"/>
                        <w:left w:val="none" w:sz="0" w:space="0" w:color="auto"/>
                        <w:bottom w:val="none" w:sz="0" w:space="0" w:color="auto"/>
                        <w:right w:val="none" w:sz="0" w:space="0" w:color="auto"/>
                      </w:divBdr>
                      <w:divsChild>
                        <w:div w:id="320041957">
                          <w:marLeft w:val="0"/>
                          <w:marRight w:val="0"/>
                          <w:marTop w:val="0"/>
                          <w:marBottom w:val="0"/>
                          <w:divBdr>
                            <w:top w:val="single" w:sz="6" w:space="0" w:color="828282"/>
                            <w:left w:val="single" w:sz="6" w:space="0" w:color="828282"/>
                            <w:bottom w:val="single" w:sz="6" w:space="0" w:color="828282"/>
                            <w:right w:val="single" w:sz="6" w:space="0" w:color="828282"/>
                          </w:divBdr>
                          <w:divsChild>
                            <w:div w:id="1802461024">
                              <w:marLeft w:val="0"/>
                              <w:marRight w:val="0"/>
                              <w:marTop w:val="0"/>
                              <w:marBottom w:val="0"/>
                              <w:divBdr>
                                <w:top w:val="none" w:sz="0" w:space="0" w:color="auto"/>
                                <w:left w:val="none" w:sz="0" w:space="0" w:color="auto"/>
                                <w:bottom w:val="none" w:sz="0" w:space="0" w:color="auto"/>
                                <w:right w:val="none" w:sz="0" w:space="0" w:color="auto"/>
                              </w:divBdr>
                              <w:divsChild>
                                <w:div w:id="335614246">
                                  <w:marLeft w:val="0"/>
                                  <w:marRight w:val="0"/>
                                  <w:marTop w:val="0"/>
                                  <w:marBottom w:val="0"/>
                                  <w:divBdr>
                                    <w:top w:val="none" w:sz="0" w:space="0" w:color="auto"/>
                                    <w:left w:val="none" w:sz="0" w:space="0" w:color="auto"/>
                                    <w:bottom w:val="none" w:sz="0" w:space="0" w:color="auto"/>
                                    <w:right w:val="none" w:sz="0" w:space="0" w:color="auto"/>
                                  </w:divBdr>
                                  <w:divsChild>
                                    <w:div w:id="1034959584">
                                      <w:marLeft w:val="0"/>
                                      <w:marRight w:val="0"/>
                                      <w:marTop w:val="0"/>
                                      <w:marBottom w:val="0"/>
                                      <w:divBdr>
                                        <w:top w:val="none" w:sz="0" w:space="0" w:color="auto"/>
                                        <w:left w:val="none" w:sz="0" w:space="0" w:color="auto"/>
                                        <w:bottom w:val="none" w:sz="0" w:space="0" w:color="auto"/>
                                        <w:right w:val="none" w:sz="0" w:space="0" w:color="auto"/>
                                      </w:divBdr>
                                      <w:divsChild>
                                        <w:div w:id="841044088">
                                          <w:marLeft w:val="0"/>
                                          <w:marRight w:val="0"/>
                                          <w:marTop w:val="0"/>
                                          <w:marBottom w:val="0"/>
                                          <w:divBdr>
                                            <w:top w:val="none" w:sz="0" w:space="0" w:color="auto"/>
                                            <w:left w:val="none" w:sz="0" w:space="0" w:color="auto"/>
                                            <w:bottom w:val="none" w:sz="0" w:space="0" w:color="auto"/>
                                            <w:right w:val="none" w:sz="0" w:space="0" w:color="auto"/>
                                          </w:divBdr>
                                          <w:divsChild>
                                            <w:div w:id="1059403461">
                                              <w:marLeft w:val="0"/>
                                              <w:marRight w:val="0"/>
                                              <w:marTop w:val="0"/>
                                              <w:marBottom w:val="0"/>
                                              <w:divBdr>
                                                <w:top w:val="none" w:sz="0" w:space="0" w:color="auto"/>
                                                <w:left w:val="none" w:sz="0" w:space="0" w:color="auto"/>
                                                <w:bottom w:val="none" w:sz="0" w:space="0" w:color="auto"/>
                                                <w:right w:val="none" w:sz="0" w:space="0" w:color="auto"/>
                                              </w:divBdr>
                                              <w:divsChild>
                                                <w:div w:id="8481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451072">
      <w:bodyDiv w:val="1"/>
      <w:marLeft w:val="0"/>
      <w:marRight w:val="0"/>
      <w:marTop w:val="0"/>
      <w:marBottom w:val="0"/>
      <w:divBdr>
        <w:top w:val="none" w:sz="0" w:space="0" w:color="auto"/>
        <w:left w:val="none" w:sz="0" w:space="0" w:color="auto"/>
        <w:bottom w:val="none" w:sz="0" w:space="0" w:color="auto"/>
        <w:right w:val="none" w:sz="0" w:space="0" w:color="auto"/>
      </w:divBdr>
      <w:divsChild>
        <w:div w:id="2036955293">
          <w:marLeft w:val="0"/>
          <w:marRight w:val="0"/>
          <w:marTop w:val="0"/>
          <w:marBottom w:val="0"/>
          <w:divBdr>
            <w:top w:val="none" w:sz="0" w:space="0" w:color="auto"/>
            <w:left w:val="none" w:sz="0" w:space="0" w:color="auto"/>
            <w:bottom w:val="none" w:sz="0" w:space="0" w:color="auto"/>
            <w:right w:val="none" w:sz="0" w:space="0" w:color="auto"/>
          </w:divBdr>
          <w:divsChild>
            <w:div w:id="32315443">
              <w:marLeft w:val="0"/>
              <w:marRight w:val="0"/>
              <w:marTop w:val="0"/>
              <w:marBottom w:val="0"/>
              <w:divBdr>
                <w:top w:val="none" w:sz="0" w:space="0" w:color="auto"/>
                <w:left w:val="none" w:sz="0" w:space="0" w:color="auto"/>
                <w:bottom w:val="none" w:sz="0" w:space="0" w:color="auto"/>
                <w:right w:val="none" w:sz="0" w:space="0" w:color="auto"/>
              </w:divBdr>
              <w:divsChild>
                <w:div w:id="1762095656">
                  <w:marLeft w:val="0"/>
                  <w:marRight w:val="0"/>
                  <w:marTop w:val="100"/>
                  <w:marBottom w:val="100"/>
                  <w:divBdr>
                    <w:top w:val="none" w:sz="0" w:space="0" w:color="auto"/>
                    <w:left w:val="none" w:sz="0" w:space="0" w:color="auto"/>
                    <w:bottom w:val="none" w:sz="0" w:space="0" w:color="auto"/>
                    <w:right w:val="none" w:sz="0" w:space="0" w:color="auto"/>
                  </w:divBdr>
                  <w:divsChild>
                    <w:div w:id="418185896">
                      <w:marLeft w:val="0"/>
                      <w:marRight w:val="0"/>
                      <w:marTop w:val="0"/>
                      <w:marBottom w:val="0"/>
                      <w:divBdr>
                        <w:top w:val="none" w:sz="0" w:space="0" w:color="auto"/>
                        <w:left w:val="none" w:sz="0" w:space="0" w:color="auto"/>
                        <w:bottom w:val="none" w:sz="0" w:space="0" w:color="auto"/>
                        <w:right w:val="none" w:sz="0" w:space="0" w:color="auto"/>
                      </w:divBdr>
                      <w:divsChild>
                        <w:div w:id="365301938">
                          <w:marLeft w:val="0"/>
                          <w:marRight w:val="0"/>
                          <w:marTop w:val="0"/>
                          <w:marBottom w:val="0"/>
                          <w:divBdr>
                            <w:top w:val="none" w:sz="0" w:space="0" w:color="auto"/>
                            <w:left w:val="none" w:sz="0" w:space="0" w:color="auto"/>
                            <w:bottom w:val="none" w:sz="0" w:space="0" w:color="auto"/>
                            <w:right w:val="none" w:sz="0" w:space="0" w:color="auto"/>
                          </w:divBdr>
                          <w:divsChild>
                            <w:div w:id="698895613">
                              <w:marLeft w:val="0"/>
                              <w:marRight w:val="0"/>
                              <w:marTop w:val="0"/>
                              <w:marBottom w:val="0"/>
                              <w:divBdr>
                                <w:top w:val="none" w:sz="0" w:space="0" w:color="auto"/>
                                <w:left w:val="none" w:sz="0" w:space="0" w:color="auto"/>
                                <w:bottom w:val="none" w:sz="0" w:space="0" w:color="auto"/>
                                <w:right w:val="none" w:sz="0" w:space="0" w:color="auto"/>
                              </w:divBdr>
                              <w:divsChild>
                                <w:div w:id="449058285">
                                  <w:marLeft w:val="0"/>
                                  <w:marRight w:val="0"/>
                                  <w:marTop w:val="0"/>
                                  <w:marBottom w:val="0"/>
                                  <w:divBdr>
                                    <w:top w:val="none" w:sz="0" w:space="0" w:color="auto"/>
                                    <w:left w:val="none" w:sz="0" w:space="0" w:color="auto"/>
                                    <w:bottom w:val="none" w:sz="0" w:space="0" w:color="auto"/>
                                    <w:right w:val="none" w:sz="0" w:space="0" w:color="auto"/>
                                  </w:divBdr>
                                  <w:divsChild>
                                    <w:div w:id="623073046">
                                      <w:marLeft w:val="0"/>
                                      <w:marRight w:val="0"/>
                                      <w:marTop w:val="0"/>
                                      <w:marBottom w:val="0"/>
                                      <w:divBdr>
                                        <w:top w:val="none" w:sz="0" w:space="0" w:color="auto"/>
                                        <w:left w:val="none" w:sz="0" w:space="0" w:color="auto"/>
                                        <w:bottom w:val="none" w:sz="0" w:space="0" w:color="auto"/>
                                        <w:right w:val="none" w:sz="0" w:space="0" w:color="auto"/>
                                      </w:divBdr>
                                      <w:divsChild>
                                        <w:div w:id="927614064">
                                          <w:marLeft w:val="0"/>
                                          <w:marRight w:val="0"/>
                                          <w:marTop w:val="0"/>
                                          <w:marBottom w:val="360"/>
                                          <w:divBdr>
                                            <w:top w:val="none" w:sz="0" w:space="0" w:color="auto"/>
                                            <w:left w:val="none" w:sz="0" w:space="0" w:color="auto"/>
                                            <w:bottom w:val="none" w:sz="0" w:space="0" w:color="auto"/>
                                            <w:right w:val="none" w:sz="0" w:space="0" w:color="auto"/>
                                          </w:divBdr>
                                          <w:divsChild>
                                            <w:div w:id="2060204354">
                                              <w:marLeft w:val="0"/>
                                              <w:marRight w:val="0"/>
                                              <w:marTop w:val="0"/>
                                              <w:marBottom w:val="0"/>
                                              <w:divBdr>
                                                <w:top w:val="none" w:sz="0" w:space="0" w:color="auto"/>
                                                <w:left w:val="none" w:sz="0" w:space="0" w:color="auto"/>
                                                <w:bottom w:val="none" w:sz="0" w:space="0" w:color="auto"/>
                                                <w:right w:val="none" w:sz="0" w:space="0" w:color="auto"/>
                                              </w:divBdr>
                                              <w:divsChild>
                                                <w:div w:id="1086460796">
                                                  <w:marLeft w:val="0"/>
                                                  <w:marRight w:val="0"/>
                                                  <w:marTop w:val="0"/>
                                                  <w:marBottom w:val="0"/>
                                                  <w:divBdr>
                                                    <w:top w:val="none" w:sz="0" w:space="0" w:color="auto"/>
                                                    <w:left w:val="none" w:sz="0" w:space="0" w:color="auto"/>
                                                    <w:bottom w:val="none" w:sz="0" w:space="0" w:color="auto"/>
                                                    <w:right w:val="none" w:sz="0" w:space="0" w:color="auto"/>
                                                  </w:divBdr>
                                                  <w:divsChild>
                                                    <w:div w:id="169757109">
                                                      <w:marLeft w:val="5370"/>
                                                      <w:marRight w:val="0"/>
                                                      <w:marTop w:val="120"/>
                                                      <w:marBottom w:val="0"/>
                                                      <w:divBdr>
                                                        <w:top w:val="none" w:sz="0" w:space="0" w:color="auto"/>
                                                        <w:left w:val="none" w:sz="0" w:space="0" w:color="auto"/>
                                                        <w:bottom w:val="none" w:sz="0" w:space="0" w:color="auto"/>
                                                        <w:right w:val="none" w:sz="0" w:space="0" w:color="auto"/>
                                                      </w:divBdr>
                                                      <w:divsChild>
                                                        <w:div w:id="12345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3661924">
      <w:bodyDiv w:val="1"/>
      <w:marLeft w:val="0"/>
      <w:marRight w:val="0"/>
      <w:marTop w:val="0"/>
      <w:marBottom w:val="0"/>
      <w:divBdr>
        <w:top w:val="none" w:sz="0" w:space="0" w:color="auto"/>
        <w:left w:val="none" w:sz="0" w:space="0" w:color="auto"/>
        <w:bottom w:val="none" w:sz="0" w:space="0" w:color="auto"/>
        <w:right w:val="none" w:sz="0" w:space="0" w:color="auto"/>
      </w:divBdr>
      <w:divsChild>
        <w:div w:id="337267356">
          <w:marLeft w:val="0"/>
          <w:marRight w:val="0"/>
          <w:marTop w:val="0"/>
          <w:marBottom w:val="0"/>
          <w:divBdr>
            <w:top w:val="none" w:sz="0" w:space="0" w:color="auto"/>
            <w:left w:val="none" w:sz="0" w:space="0" w:color="auto"/>
            <w:bottom w:val="none" w:sz="0" w:space="0" w:color="auto"/>
            <w:right w:val="none" w:sz="0" w:space="0" w:color="auto"/>
          </w:divBdr>
          <w:divsChild>
            <w:div w:id="708261789">
              <w:marLeft w:val="0"/>
              <w:marRight w:val="0"/>
              <w:marTop w:val="0"/>
              <w:marBottom w:val="0"/>
              <w:divBdr>
                <w:top w:val="none" w:sz="0" w:space="0" w:color="auto"/>
                <w:left w:val="none" w:sz="0" w:space="0" w:color="auto"/>
                <w:bottom w:val="none" w:sz="0" w:space="0" w:color="auto"/>
                <w:right w:val="none" w:sz="0" w:space="0" w:color="auto"/>
              </w:divBdr>
              <w:divsChild>
                <w:div w:id="123620652">
                  <w:marLeft w:val="0"/>
                  <w:marRight w:val="0"/>
                  <w:marTop w:val="100"/>
                  <w:marBottom w:val="100"/>
                  <w:divBdr>
                    <w:top w:val="none" w:sz="0" w:space="0" w:color="auto"/>
                    <w:left w:val="none" w:sz="0" w:space="0" w:color="auto"/>
                    <w:bottom w:val="none" w:sz="0" w:space="0" w:color="auto"/>
                    <w:right w:val="none" w:sz="0" w:space="0" w:color="auto"/>
                  </w:divBdr>
                  <w:divsChild>
                    <w:div w:id="1235778385">
                      <w:marLeft w:val="0"/>
                      <w:marRight w:val="0"/>
                      <w:marTop w:val="0"/>
                      <w:marBottom w:val="0"/>
                      <w:divBdr>
                        <w:top w:val="none" w:sz="0" w:space="0" w:color="auto"/>
                        <w:left w:val="none" w:sz="0" w:space="0" w:color="auto"/>
                        <w:bottom w:val="none" w:sz="0" w:space="0" w:color="auto"/>
                        <w:right w:val="none" w:sz="0" w:space="0" w:color="auto"/>
                      </w:divBdr>
                      <w:divsChild>
                        <w:div w:id="603922389">
                          <w:marLeft w:val="0"/>
                          <w:marRight w:val="0"/>
                          <w:marTop w:val="0"/>
                          <w:marBottom w:val="0"/>
                          <w:divBdr>
                            <w:top w:val="none" w:sz="0" w:space="0" w:color="auto"/>
                            <w:left w:val="none" w:sz="0" w:space="0" w:color="auto"/>
                            <w:bottom w:val="none" w:sz="0" w:space="0" w:color="auto"/>
                            <w:right w:val="none" w:sz="0" w:space="0" w:color="auto"/>
                          </w:divBdr>
                          <w:divsChild>
                            <w:div w:id="1435588171">
                              <w:marLeft w:val="0"/>
                              <w:marRight w:val="0"/>
                              <w:marTop w:val="0"/>
                              <w:marBottom w:val="0"/>
                              <w:divBdr>
                                <w:top w:val="none" w:sz="0" w:space="0" w:color="auto"/>
                                <w:left w:val="none" w:sz="0" w:space="0" w:color="auto"/>
                                <w:bottom w:val="none" w:sz="0" w:space="0" w:color="auto"/>
                                <w:right w:val="none" w:sz="0" w:space="0" w:color="auto"/>
                              </w:divBdr>
                              <w:divsChild>
                                <w:div w:id="2064324021">
                                  <w:marLeft w:val="0"/>
                                  <w:marRight w:val="0"/>
                                  <w:marTop w:val="0"/>
                                  <w:marBottom w:val="0"/>
                                  <w:divBdr>
                                    <w:top w:val="none" w:sz="0" w:space="0" w:color="auto"/>
                                    <w:left w:val="none" w:sz="0" w:space="0" w:color="auto"/>
                                    <w:bottom w:val="none" w:sz="0" w:space="0" w:color="auto"/>
                                    <w:right w:val="none" w:sz="0" w:space="0" w:color="auto"/>
                                  </w:divBdr>
                                  <w:divsChild>
                                    <w:div w:id="1444685927">
                                      <w:marLeft w:val="0"/>
                                      <w:marRight w:val="0"/>
                                      <w:marTop w:val="0"/>
                                      <w:marBottom w:val="0"/>
                                      <w:divBdr>
                                        <w:top w:val="none" w:sz="0" w:space="0" w:color="auto"/>
                                        <w:left w:val="none" w:sz="0" w:space="0" w:color="auto"/>
                                        <w:bottom w:val="none" w:sz="0" w:space="0" w:color="auto"/>
                                        <w:right w:val="none" w:sz="0" w:space="0" w:color="auto"/>
                                      </w:divBdr>
                                      <w:divsChild>
                                        <w:div w:id="527530795">
                                          <w:marLeft w:val="0"/>
                                          <w:marRight w:val="0"/>
                                          <w:marTop w:val="0"/>
                                          <w:marBottom w:val="360"/>
                                          <w:divBdr>
                                            <w:top w:val="none" w:sz="0" w:space="0" w:color="auto"/>
                                            <w:left w:val="none" w:sz="0" w:space="0" w:color="auto"/>
                                            <w:bottom w:val="none" w:sz="0" w:space="0" w:color="auto"/>
                                            <w:right w:val="none" w:sz="0" w:space="0" w:color="auto"/>
                                          </w:divBdr>
                                          <w:divsChild>
                                            <w:div w:id="1267273196">
                                              <w:marLeft w:val="0"/>
                                              <w:marRight w:val="0"/>
                                              <w:marTop w:val="0"/>
                                              <w:marBottom w:val="0"/>
                                              <w:divBdr>
                                                <w:top w:val="none" w:sz="0" w:space="0" w:color="auto"/>
                                                <w:left w:val="none" w:sz="0" w:space="0" w:color="auto"/>
                                                <w:bottom w:val="none" w:sz="0" w:space="0" w:color="auto"/>
                                                <w:right w:val="none" w:sz="0" w:space="0" w:color="auto"/>
                                              </w:divBdr>
                                              <w:divsChild>
                                                <w:div w:id="855268097">
                                                  <w:marLeft w:val="0"/>
                                                  <w:marRight w:val="0"/>
                                                  <w:marTop w:val="0"/>
                                                  <w:marBottom w:val="0"/>
                                                  <w:divBdr>
                                                    <w:top w:val="none" w:sz="0" w:space="0" w:color="auto"/>
                                                    <w:left w:val="none" w:sz="0" w:space="0" w:color="auto"/>
                                                    <w:bottom w:val="none" w:sz="0" w:space="0" w:color="auto"/>
                                                    <w:right w:val="none" w:sz="0" w:space="0" w:color="auto"/>
                                                  </w:divBdr>
                                                  <w:divsChild>
                                                    <w:div w:id="1587878361">
                                                      <w:marLeft w:val="5370"/>
                                                      <w:marRight w:val="0"/>
                                                      <w:marTop w:val="120"/>
                                                      <w:marBottom w:val="0"/>
                                                      <w:divBdr>
                                                        <w:top w:val="none" w:sz="0" w:space="0" w:color="auto"/>
                                                        <w:left w:val="none" w:sz="0" w:space="0" w:color="auto"/>
                                                        <w:bottom w:val="none" w:sz="0" w:space="0" w:color="auto"/>
                                                        <w:right w:val="none" w:sz="0" w:space="0" w:color="auto"/>
                                                      </w:divBdr>
                                                      <w:divsChild>
                                                        <w:div w:id="5378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9553655">
      <w:bodyDiv w:val="1"/>
      <w:marLeft w:val="0"/>
      <w:marRight w:val="0"/>
      <w:marTop w:val="0"/>
      <w:marBottom w:val="0"/>
      <w:divBdr>
        <w:top w:val="none" w:sz="0" w:space="0" w:color="auto"/>
        <w:left w:val="none" w:sz="0" w:space="0" w:color="auto"/>
        <w:bottom w:val="none" w:sz="0" w:space="0" w:color="auto"/>
        <w:right w:val="none" w:sz="0" w:space="0" w:color="auto"/>
      </w:divBdr>
      <w:divsChild>
        <w:div w:id="2003777783">
          <w:marLeft w:val="0"/>
          <w:marRight w:val="0"/>
          <w:marTop w:val="0"/>
          <w:marBottom w:val="0"/>
          <w:divBdr>
            <w:top w:val="none" w:sz="0" w:space="0" w:color="auto"/>
            <w:left w:val="none" w:sz="0" w:space="0" w:color="auto"/>
            <w:bottom w:val="none" w:sz="0" w:space="0" w:color="auto"/>
            <w:right w:val="none" w:sz="0" w:space="0" w:color="auto"/>
          </w:divBdr>
          <w:divsChild>
            <w:div w:id="1705595306">
              <w:marLeft w:val="0"/>
              <w:marRight w:val="0"/>
              <w:marTop w:val="0"/>
              <w:marBottom w:val="0"/>
              <w:divBdr>
                <w:top w:val="none" w:sz="0" w:space="0" w:color="auto"/>
                <w:left w:val="none" w:sz="0" w:space="0" w:color="auto"/>
                <w:bottom w:val="none" w:sz="0" w:space="0" w:color="auto"/>
                <w:right w:val="none" w:sz="0" w:space="0" w:color="auto"/>
              </w:divBdr>
              <w:divsChild>
                <w:div w:id="1471090498">
                  <w:marLeft w:val="0"/>
                  <w:marRight w:val="0"/>
                  <w:marTop w:val="0"/>
                  <w:marBottom w:val="0"/>
                  <w:divBdr>
                    <w:top w:val="none" w:sz="0" w:space="0" w:color="auto"/>
                    <w:left w:val="none" w:sz="0" w:space="0" w:color="auto"/>
                    <w:bottom w:val="none" w:sz="0" w:space="0" w:color="auto"/>
                    <w:right w:val="none" w:sz="0" w:space="0" w:color="auto"/>
                  </w:divBdr>
                  <w:divsChild>
                    <w:div w:id="311641315">
                      <w:marLeft w:val="0"/>
                      <w:marRight w:val="0"/>
                      <w:marTop w:val="0"/>
                      <w:marBottom w:val="0"/>
                      <w:divBdr>
                        <w:top w:val="none" w:sz="0" w:space="0" w:color="auto"/>
                        <w:left w:val="none" w:sz="0" w:space="0" w:color="auto"/>
                        <w:bottom w:val="none" w:sz="0" w:space="0" w:color="auto"/>
                        <w:right w:val="none" w:sz="0" w:space="0" w:color="auto"/>
                      </w:divBdr>
                      <w:divsChild>
                        <w:div w:id="607547630">
                          <w:marLeft w:val="0"/>
                          <w:marRight w:val="0"/>
                          <w:marTop w:val="0"/>
                          <w:marBottom w:val="0"/>
                          <w:divBdr>
                            <w:top w:val="single" w:sz="6" w:space="0" w:color="828282"/>
                            <w:left w:val="single" w:sz="6" w:space="0" w:color="828282"/>
                            <w:bottom w:val="single" w:sz="6" w:space="0" w:color="828282"/>
                            <w:right w:val="single" w:sz="6" w:space="0" w:color="828282"/>
                          </w:divBdr>
                          <w:divsChild>
                            <w:div w:id="232668092">
                              <w:marLeft w:val="0"/>
                              <w:marRight w:val="0"/>
                              <w:marTop w:val="0"/>
                              <w:marBottom w:val="0"/>
                              <w:divBdr>
                                <w:top w:val="none" w:sz="0" w:space="0" w:color="auto"/>
                                <w:left w:val="none" w:sz="0" w:space="0" w:color="auto"/>
                                <w:bottom w:val="none" w:sz="0" w:space="0" w:color="auto"/>
                                <w:right w:val="none" w:sz="0" w:space="0" w:color="auto"/>
                              </w:divBdr>
                              <w:divsChild>
                                <w:div w:id="1323386979">
                                  <w:marLeft w:val="0"/>
                                  <w:marRight w:val="0"/>
                                  <w:marTop w:val="0"/>
                                  <w:marBottom w:val="0"/>
                                  <w:divBdr>
                                    <w:top w:val="none" w:sz="0" w:space="0" w:color="auto"/>
                                    <w:left w:val="none" w:sz="0" w:space="0" w:color="auto"/>
                                    <w:bottom w:val="none" w:sz="0" w:space="0" w:color="auto"/>
                                    <w:right w:val="none" w:sz="0" w:space="0" w:color="auto"/>
                                  </w:divBdr>
                                  <w:divsChild>
                                    <w:div w:id="1570648767">
                                      <w:marLeft w:val="0"/>
                                      <w:marRight w:val="0"/>
                                      <w:marTop w:val="0"/>
                                      <w:marBottom w:val="0"/>
                                      <w:divBdr>
                                        <w:top w:val="none" w:sz="0" w:space="0" w:color="auto"/>
                                        <w:left w:val="none" w:sz="0" w:space="0" w:color="auto"/>
                                        <w:bottom w:val="none" w:sz="0" w:space="0" w:color="auto"/>
                                        <w:right w:val="none" w:sz="0" w:space="0" w:color="auto"/>
                                      </w:divBdr>
                                      <w:divsChild>
                                        <w:div w:id="2061634613">
                                          <w:marLeft w:val="0"/>
                                          <w:marRight w:val="0"/>
                                          <w:marTop w:val="0"/>
                                          <w:marBottom w:val="0"/>
                                          <w:divBdr>
                                            <w:top w:val="none" w:sz="0" w:space="0" w:color="auto"/>
                                            <w:left w:val="none" w:sz="0" w:space="0" w:color="auto"/>
                                            <w:bottom w:val="none" w:sz="0" w:space="0" w:color="auto"/>
                                            <w:right w:val="none" w:sz="0" w:space="0" w:color="auto"/>
                                          </w:divBdr>
                                          <w:divsChild>
                                            <w:div w:id="416944055">
                                              <w:marLeft w:val="0"/>
                                              <w:marRight w:val="0"/>
                                              <w:marTop w:val="0"/>
                                              <w:marBottom w:val="0"/>
                                              <w:divBdr>
                                                <w:top w:val="none" w:sz="0" w:space="0" w:color="auto"/>
                                                <w:left w:val="none" w:sz="0" w:space="0" w:color="auto"/>
                                                <w:bottom w:val="none" w:sz="0" w:space="0" w:color="auto"/>
                                                <w:right w:val="none" w:sz="0" w:space="0" w:color="auto"/>
                                              </w:divBdr>
                                              <w:divsChild>
                                                <w:div w:id="11872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547249">
      <w:bodyDiv w:val="1"/>
      <w:marLeft w:val="0"/>
      <w:marRight w:val="0"/>
      <w:marTop w:val="0"/>
      <w:marBottom w:val="0"/>
      <w:divBdr>
        <w:top w:val="none" w:sz="0" w:space="0" w:color="auto"/>
        <w:left w:val="none" w:sz="0" w:space="0" w:color="auto"/>
        <w:bottom w:val="none" w:sz="0" w:space="0" w:color="auto"/>
        <w:right w:val="none" w:sz="0" w:space="0" w:color="auto"/>
      </w:divBdr>
      <w:divsChild>
        <w:div w:id="1797523830">
          <w:marLeft w:val="0"/>
          <w:marRight w:val="0"/>
          <w:marTop w:val="0"/>
          <w:marBottom w:val="0"/>
          <w:divBdr>
            <w:top w:val="none" w:sz="0" w:space="0" w:color="auto"/>
            <w:left w:val="none" w:sz="0" w:space="0" w:color="auto"/>
            <w:bottom w:val="none" w:sz="0" w:space="0" w:color="auto"/>
            <w:right w:val="none" w:sz="0" w:space="0" w:color="auto"/>
          </w:divBdr>
          <w:divsChild>
            <w:div w:id="1943997840">
              <w:marLeft w:val="0"/>
              <w:marRight w:val="0"/>
              <w:marTop w:val="0"/>
              <w:marBottom w:val="0"/>
              <w:divBdr>
                <w:top w:val="none" w:sz="0" w:space="0" w:color="auto"/>
                <w:left w:val="none" w:sz="0" w:space="0" w:color="auto"/>
                <w:bottom w:val="none" w:sz="0" w:space="0" w:color="auto"/>
                <w:right w:val="none" w:sz="0" w:space="0" w:color="auto"/>
              </w:divBdr>
              <w:divsChild>
                <w:div w:id="1277716670">
                  <w:marLeft w:val="0"/>
                  <w:marRight w:val="0"/>
                  <w:marTop w:val="0"/>
                  <w:marBottom w:val="0"/>
                  <w:divBdr>
                    <w:top w:val="none" w:sz="0" w:space="0" w:color="auto"/>
                    <w:left w:val="none" w:sz="0" w:space="0" w:color="auto"/>
                    <w:bottom w:val="none" w:sz="0" w:space="0" w:color="auto"/>
                    <w:right w:val="none" w:sz="0" w:space="0" w:color="auto"/>
                  </w:divBdr>
                  <w:divsChild>
                    <w:div w:id="1728189510">
                      <w:marLeft w:val="0"/>
                      <w:marRight w:val="0"/>
                      <w:marTop w:val="0"/>
                      <w:marBottom w:val="0"/>
                      <w:divBdr>
                        <w:top w:val="none" w:sz="0" w:space="0" w:color="auto"/>
                        <w:left w:val="none" w:sz="0" w:space="0" w:color="auto"/>
                        <w:bottom w:val="none" w:sz="0" w:space="0" w:color="auto"/>
                        <w:right w:val="none" w:sz="0" w:space="0" w:color="auto"/>
                      </w:divBdr>
                      <w:divsChild>
                        <w:div w:id="1619950276">
                          <w:marLeft w:val="0"/>
                          <w:marRight w:val="0"/>
                          <w:marTop w:val="0"/>
                          <w:marBottom w:val="0"/>
                          <w:divBdr>
                            <w:top w:val="single" w:sz="6" w:space="0" w:color="828282"/>
                            <w:left w:val="single" w:sz="6" w:space="0" w:color="828282"/>
                            <w:bottom w:val="single" w:sz="6" w:space="0" w:color="828282"/>
                            <w:right w:val="single" w:sz="6" w:space="0" w:color="828282"/>
                          </w:divBdr>
                          <w:divsChild>
                            <w:div w:id="1837383350">
                              <w:marLeft w:val="0"/>
                              <w:marRight w:val="0"/>
                              <w:marTop w:val="0"/>
                              <w:marBottom w:val="0"/>
                              <w:divBdr>
                                <w:top w:val="none" w:sz="0" w:space="0" w:color="auto"/>
                                <w:left w:val="none" w:sz="0" w:space="0" w:color="auto"/>
                                <w:bottom w:val="none" w:sz="0" w:space="0" w:color="auto"/>
                                <w:right w:val="none" w:sz="0" w:space="0" w:color="auto"/>
                              </w:divBdr>
                              <w:divsChild>
                                <w:div w:id="2137871285">
                                  <w:marLeft w:val="0"/>
                                  <w:marRight w:val="0"/>
                                  <w:marTop w:val="0"/>
                                  <w:marBottom w:val="0"/>
                                  <w:divBdr>
                                    <w:top w:val="none" w:sz="0" w:space="0" w:color="auto"/>
                                    <w:left w:val="none" w:sz="0" w:space="0" w:color="auto"/>
                                    <w:bottom w:val="none" w:sz="0" w:space="0" w:color="auto"/>
                                    <w:right w:val="none" w:sz="0" w:space="0" w:color="auto"/>
                                  </w:divBdr>
                                  <w:divsChild>
                                    <w:div w:id="497575843">
                                      <w:marLeft w:val="0"/>
                                      <w:marRight w:val="0"/>
                                      <w:marTop w:val="0"/>
                                      <w:marBottom w:val="0"/>
                                      <w:divBdr>
                                        <w:top w:val="none" w:sz="0" w:space="0" w:color="auto"/>
                                        <w:left w:val="none" w:sz="0" w:space="0" w:color="auto"/>
                                        <w:bottom w:val="none" w:sz="0" w:space="0" w:color="auto"/>
                                        <w:right w:val="none" w:sz="0" w:space="0" w:color="auto"/>
                                      </w:divBdr>
                                      <w:divsChild>
                                        <w:div w:id="806818034">
                                          <w:marLeft w:val="0"/>
                                          <w:marRight w:val="0"/>
                                          <w:marTop w:val="0"/>
                                          <w:marBottom w:val="0"/>
                                          <w:divBdr>
                                            <w:top w:val="none" w:sz="0" w:space="0" w:color="auto"/>
                                            <w:left w:val="none" w:sz="0" w:space="0" w:color="auto"/>
                                            <w:bottom w:val="none" w:sz="0" w:space="0" w:color="auto"/>
                                            <w:right w:val="none" w:sz="0" w:space="0" w:color="auto"/>
                                          </w:divBdr>
                                          <w:divsChild>
                                            <w:div w:id="1348948899">
                                              <w:marLeft w:val="0"/>
                                              <w:marRight w:val="0"/>
                                              <w:marTop w:val="0"/>
                                              <w:marBottom w:val="0"/>
                                              <w:divBdr>
                                                <w:top w:val="none" w:sz="0" w:space="0" w:color="auto"/>
                                                <w:left w:val="none" w:sz="0" w:space="0" w:color="auto"/>
                                                <w:bottom w:val="none" w:sz="0" w:space="0" w:color="auto"/>
                                                <w:right w:val="none" w:sz="0" w:space="0" w:color="auto"/>
                                              </w:divBdr>
                                              <w:divsChild>
                                                <w:div w:id="13200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dfat.gov.au/Info/Treaties/treaties.nsf/AllDocIDs/CFB1E23A1297FFE8CA256B4C000C26B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1558</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10567</CharactersWithSpaces>
  <SharedDoc>false</SharedDoc>
  <HLinks>
    <vt:vector size="6" baseType="variant">
      <vt:variant>
        <vt:i4>5177434</vt:i4>
      </vt:variant>
      <vt:variant>
        <vt:i4>0</vt:i4>
      </vt:variant>
      <vt:variant>
        <vt:i4>0</vt:i4>
      </vt:variant>
      <vt:variant>
        <vt:i4>5</vt:i4>
      </vt:variant>
      <vt:variant>
        <vt:lpwstr>http://www.info.dfat.gov.au/Info/Treaties/treaties.nsf/AllDocIDs/CFB1E23A1297FFE8CA256B4C000C26B4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CCOLLM</dc:creator>
  <cp:lastModifiedBy>cdownm</cp:lastModifiedBy>
  <cp:revision>3</cp:revision>
  <cp:lastPrinted>2014-01-21T04:23:00Z</cp:lastPrinted>
  <dcterms:created xsi:type="dcterms:W3CDTF">2015-06-15T23:28:00Z</dcterms:created>
  <dcterms:modified xsi:type="dcterms:W3CDTF">2015-06-15T23:30:00Z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2093511220</vt:i4>
  </property>
</Properties>
</file>