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B2D7F" w14:textId="550F57A9" w:rsidR="00AE42C2" w:rsidRPr="002612B8" w:rsidRDefault="00AE42C2" w:rsidP="00AE42C2">
      <w:pPr>
        <w:pStyle w:val="Title"/>
        <w:rPr>
          <w:szCs w:val="24"/>
        </w:rPr>
      </w:pPr>
      <w:r w:rsidRPr="002612B8">
        <w:rPr>
          <w:szCs w:val="24"/>
        </w:rPr>
        <w:t>EXPLANATORY STATEMENT</w:t>
      </w:r>
    </w:p>
    <w:p w14:paraId="7FAD6B3A" w14:textId="77777777" w:rsidR="00AE42C2" w:rsidRPr="002612B8" w:rsidRDefault="00AE42C2" w:rsidP="00AE42C2">
      <w:pPr>
        <w:rPr>
          <w:sz w:val="24"/>
          <w:szCs w:val="24"/>
        </w:rPr>
      </w:pPr>
    </w:p>
    <w:p w14:paraId="3AF78748" w14:textId="77777777" w:rsidR="00AE42C2" w:rsidRPr="002612B8" w:rsidRDefault="00AE42C2" w:rsidP="00AE42C2">
      <w:pPr>
        <w:pStyle w:val="BodyText"/>
        <w:rPr>
          <w:szCs w:val="24"/>
        </w:rPr>
      </w:pPr>
      <w:r w:rsidRPr="002612B8">
        <w:rPr>
          <w:szCs w:val="24"/>
        </w:rPr>
        <w:t xml:space="preserve">Issued by the Authority of the Minister for Communications </w:t>
      </w:r>
    </w:p>
    <w:p w14:paraId="450DAEB2" w14:textId="77777777" w:rsidR="00AE42C2" w:rsidRPr="002612B8" w:rsidRDefault="00AE42C2" w:rsidP="00AE42C2">
      <w:pPr>
        <w:rPr>
          <w:sz w:val="24"/>
          <w:szCs w:val="24"/>
        </w:rPr>
      </w:pPr>
    </w:p>
    <w:p w14:paraId="38F3BED4" w14:textId="77777777" w:rsidR="00AE42C2" w:rsidRPr="002612B8" w:rsidRDefault="009F3D6D" w:rsidP="00AE42C2">
      <w:pPr>
        <w:pStyle w:val="Heading1"/>
        <w:rPr>
          <w:szCs w:val="24"/>
        </w:rPr>
      </w:pPr>
      <w:bookmarkStart w:id="0" w:name="OLE_LINK11"/>
      <w:bookmarkStart w:id="1" w:name="OLE_LINK12"/>
      <w:r w:rsidRPr="002612B8">
        <w:rPr>
          <w:szCs w:val="24"/>
        </w:rPr>
        <w:t xml:space="preserve">Telecommunications </w:t>
      </w:r>
      <w:r w:rsidR="00AE42C2" w:rsidRPr="002612B8">
        <w:rPr>
          <w:szCs w:val="24"/>
        </w:rPr>
        <w:t>Act 199</w:t>
      </w:r>
      <w:bookmarkEnd w:id="0"/>
      <w:bookmarkEnd w:id="1"/>
      <w:r w:rsidR="0056625E" w:rsidRPr="002612B8">
        <w:rPr>
          <w:szCs w:val="24"/>
        </w:rPr>
        <w:t>7</w:t>
      </w:r>
    </w:p>
    <w:p w14:paraId="03249DC6" w14:textId="77777777" w:rsidR="00AE42C2" w:rsidRPr="002612B8" w:rsidRDefault="004B635D" w:rsidP="009F3D6D">
      <w:pPr>
        <w:pStyle w:val="Heading1"/>
        <w:rPr>
          <w:szCs w:val="24"/>
        </w:rPr>
      </w:pPr>
      <w:r w:rsidRPr="002612B8">
        <w:rPr>
          <w:szCs w:val="24"/>
        </w:rPr>
        <w:t>Acts Interpretation Act 1901</w:t>
      </w:r>
    </w:p>
    <w:p w14:paraId="2EC56868" w14:textId="77777777" w:rsidR="004B635D" w:rsidRPr="002612B8" w:rsidRDefault="004B635D" w:rsidP="004B635D">
      <w:pPr>
        <w:jc w:val="center"/>
        <w:rPr>
          <w:sz w:val="24"/>
          <w:szCs w:val="24"/>
        </w:rPr>
      </w:pPr>
    </w:p>
    <w:p w14:paraId="66432F74" w14:textId="77777777" w:rsidR="004B635D" w:rsidRPr="002612B8" w:rsidRDefault="004B635D" w:rsidP="004B635D">
      <w:pPr>
        <w:jc w:val="center"/>
        <w:rPr>
          <w:i/>
          <w:sz w:val="24"/>
          <w:szCs w:val="24"/>
        </w:rPr>
      </w:pPr>
      <w:r w:rsidRPr="002612B8">
        <w:rPr>
          <w:i/>
          <w:sz w:val="24"/>
          <w:szCs w:val="24"/>
        </w:rPr>
        <w:t xml:space="preserve">Telecommunications </w:t>
      </w:r>
      <w:r w:rsidR="00CC42CA">
        <w:rPr>
          <w:sz w:val="24"/>
          <w:szCs w:val="24"/>
        </w:rPr>
        <w:t>(</w:t>
      </w:r>
      <w:r w:rsidR="00CC42CA">
        <w:rPr>
          <w:i/>
          <w:sz w:val="24"/>
          <w:szCs w:val="24"/>
        </w:rPr>
        <w:t>Low-impact Facilities</w:t>
      </w:r>
      <w:r w:rsidR="00CC42CA">
        <w:rPr>
          <w:sz w:val="24"/>
          <w:szCs w:val="24"/>
        </w:rPr>
        <w:t>)</w:t>
      </w:r>
      <w:r w:rsidR="00CC42CA">
        <w:rPr>
          <w:i/>
          <w:sz w:val="24"/>
          <w:szCs w:val="24"/>
        </w:rPr>
        <w:t xml:space="preserve"> Determination 1997 </w:t>
      </w:r>
    </w:p>
    <w:p w14:paraId="3A806589" w14:textId="1E8E6163" w:rsidR="004B635D" w:rsidRPr="002612B8" w:rsidRDefault="00CC42CA" w:rsidP="004B635D">
      <w:pPr>
        <w:jc w:val="center"/>
        <w:rPr>
          <w:sz w:val="24"/>
          <w:szCs w:val="24"/>
        </w:rPr>
      </w:pPr>
      <w:r>
        <w:rPr>
          <w:sz w:val="24"/>
          <w:szCs w:val="24"/>
        </w:rPr>
        <w:t>(</w:t>
      </w:r>
      <w:r>
        <w:rPr>
          <w:i/>
          <w:sz w:val="24"/>
          <w:szCs w:val="24"/>
        </w:rPr>
        <w:t xml:space="preserve">Amendment No. </w:t>
      </w:r>
      <w:r w:rsidR="006D3613">
        <w:rPr>
          <w:i/>
          <w:sz w:val="24"/>
          <w:szCs w:val="24"/>
        </w:rPr>
        <w:t>2</w:t>
      </w:r>
      <w:r>
        <w:rPr>
          <w:i/>
          <w:sz w:val="24"/>
          <w:szCs w:val="24"/>
        </w:rPr>
        <w:t xml:space="preserve"> of 201</w:t>
      </w:r>
      <w:r w:rsidR="00FE400D">
        <w:rPr>
          <w:i/>
          <w:sz w:val="24"/>
          <w:szCs w:val="24"/>
        </w:rPr>
        <w:t>5</w:t>
      </w:r>
      <w:r>
        <w:rPr>
          <w:sz w:val="24"/>
          <w:szCs w:val="24"/>
        </w:rPr>
        <w:t>)</w:t>
      </w:r>
    </w:p>
    <w:p w14:paraId="6AC3FDED" w14:textId="77777777" w:rsidR="00AE42C2" w:rsidRPr="002612B8" w:rsidRDefault="00AE42C2" w:rsidP="00AE42C2">
      <w:pPr>
        <w:rPr>
          <w:sz w:val="24"/>
          <w:szCs w:val="24"/>
        </w:rPr>
      </w:pPr>
    </w:p>
    <w:p w14:paraId="7BF16009" w14:textId="77777777" w:rsidR="00AE42C2" w:rsidRPr="002612B8" w:rsidRDefault="00CC42CA" w:rsidP="00AE42C2">
      <w:pPr>
        <w:tabs>
          <w:tab w:val="left" w:pos="5217"/>
        </w:tabs>
        <w:rPr>
          <w:b/>
          <w:sz w:val="24"/>
          <w:szCs w:val="24"/>
        </w:rPr>
      </w:pPr>
      <w:r>
        <w:rPr>
          <w:b/>
          <w:sz w:val="24"/>
          <w:szCs w:val="24"/>
        </w:rPr>
        <w:t xml:space="preserve">Legislative authority </w:t>
      </w:r>
      <w:r>
        <w:rPr>
          <w:b/>
          <w:sz w:val="24"/>
          <w:szCs w:val="24"/>
        </w:rPr>
        <w:tab/>
      </w:r>
    </w:p>
    <w:p w14:paraId="75FE2B88" w14:textId="77777777" w:rsidR="00AE42C2" w:rsidRPr="002612B8" w:rsidRDefault="00AE42C2" w:rsidP="00AE42C2">
      <w:pPr>
        <w:rPr>
          <w:sz w:val="24"/>
          <w:szCs w:val="24"/>
        </w:rPr>
      </w:pPr>
    </w:p>
    <w:p w14:paraId="32D900C2" w14:textId="77777777" w:rsidR="004926EB" w:rsidRPr="002612B8" w:rsidRDefault="00CC42CA" w:rsidP="00AE42C2">
      <w:pPr>
        <w:rPr>
          <w:sz w:val="24"/>
          <w:szCs w:val="24"/>
        </w:rPr>
      </w:pPr>
      <w:r>
        <w:rPr>
          <w:sz w:val="24"/>
          <w:szCs w:val="24"/>
        </w:rPr>
        <w:t xml:space="preserve">Subclause 6(3) of Schedule 3 of the </w:t>
      </w:r>
      <w:r>
        <w:rPr>
          <w:i/>
          <w:sz w:val="24"/>
          <w:szCs w:val="24"/>
        </w:rPr>
        <w:t>Telecommunications Act 1997</w:t>
      </w:r>
      <w:r>
        <w:rPr>
          <w:sz w:val="24"/>
          <w:szCs w:val="24"/>
        </w:rPr>
        <w:t xml:space="preserve"> (the Act) allows the Minister to determine that specified facilities are low-impact facilities for the purpose of clause 6 of the Schedule 3 </w:t>
      </w:r>
      <w:r w:rsidR="00AE4E10">
        <w:rPr>
          <w:sz w:val="24"/>
          <w:szCs w:val="24"/>
        </w:rPr>
        <w:t xml:space="preserve">to the </w:t>
      </w:r>
      <w:r>
        <w:rPr>
          <w:sz w:val="24"/>
          <w:szCs w:val="24"/>
        </w:rPr>
        <w:t xml:space="preserve">Act. </w:t>
      </w:r>
    </w:p>
    <w:p w14:paraId="49FEF229" w14:textId="77777777" w:rsidR="006D23DE" w:rsidRPr="002612B8" w:rsidRDefault="006D23DE" w:rsidP="006D23DE">
      <w:pPr>
        <w:rPr>
          <w:sz w:val="24"/>
          <w:szCs w:val="24"/>
        </w:rPr>
      </w:pPr>
    </w:p>
    <w:p w14:paraId="549CE702" w14:textId="439897B3" w:rsidR="0060457D" w:rsidRPr="002612B8" w:rsidRDefault="00CC42CA" w:rsidP="0060457D">
      <w:pPr>
        <w:rPr>
          <w:sz w:val="24"/>
          <w:szCs w:val="24"/>
        </w:rPr>
      </w:pPr>
      <w:r>
        <w:rPr>
          <w:sz w:val="24"/>
          <w:szCs w:val="24"/>
        </w:rPr>
        <w:t xml:space="preserve">On 29 June 1997 the then Minister for Communications, Information Technology and the Arts made the </w:t>
      </w:r>
      <w:r>
        <w:rPr>
          <w:i/>
          <w:sz w:val="24"/>
          <w:szCs w:val="24"/>
        </w:rPr>
        <w:t xml:space="preserve">Telecommunications (Low-impact Facilities) Determination 1997 </w:t>
      </w:r>
      <w:r w:rsidR="00797643">
        <w:rPr>
          <w:sz w:val="24"/>
          <w:szCs w:val="24"/>
        </w:rPr>
        <w:t xml:space="preserve">(the Principal Determination), </w:t>
      </w:r>
      <w:r>
        <w:rPr>
          <w:sz w:val="24"/>
          <w:szCs w:val="24"/>
        </w:rPr>
        <w:t>and it was subsequ</w:t>
      </w:r>
      <w:r w:rsidR="00FE400D">
        <w:rPr>
          <w:sz w:val="24"/>
          <w:szCs w:val="24"/>
        </w:rPr>
        <w:t>ently amended on 12</w:t>
      </w:r>
      <w:r w:rsidR="00827963">
        <w:rPr>
          <w:sz w:val="24"/>
          <w:szCs w:val="24"/>
        </w:rPr>
        <w:t xml:space="preserve"> August 1999, 13 December 2011,</w:t>
      </w:r>
      <w:r w:rsidR="00804196">
        <w:rPr>
          <w:sz w:val="24"/>
          <w:szCs w:val="24"/>
        </w:rPr>
        <w:t xml:space="preserve"> </w:t>
      </w:r>
      <w:r w:rsidR="00FE400D">
        <w:rPr>
          <w:sz w:val="24"/>
          <w:szCs w:val="24"/>
        </w:rPr>
        <w:t>20 November 2012</w:t>
      </w:r>
      <w:r w:rsidR="00827963">
        <w:rPr>
          <w:sz w:val="24"/>
          <w:szCs w:val="24"/>
        </w:rPr>
        <w:t xml:space="preserve"> and 2 April 2015</w:t>
      </w:r>
      <w:r w:rsidR="00797643">
        <w:rPr>
          <w:sz w:val="24"/>
          <w:szCs w:val="24"/>
        </w:rPr>
        <w:t>.</w:t>
      </w:r>
      <w:r w:rsidR="00FE400D">
        <w:rPr>
          <w:sz w:val="24"/>
          <w:szCs w:val="24"/>
        </w:rPr>
        <w:t xml:space="preserve"> </w:t>
      </w:r>
    </w:p>
    <w:p w14:paraId="225728F2" w14:textId="48A2CC21" w:rsidR="00022EAC" w:rsidRPr="002612B8" w:rsidRDefault="001C04CC" w:rsidP="001C04CC">
      <w:pPr>
        <w:tabs>
          <w:tab w:val="left" w:pos="5424"/>
        </w:tabs>
        <w:rPr>
          <w:sz w:val="24"/>
          <w:szCs w:val="24"/>
        </w:rPr>
      </w:pPr>
      <w:r>
        <w:rPr>
          <w:sz w:val="24"/>
          <w:szCs w:val="24"/>
        </w:rPr>
        <w:tab/>
      </w:r>
    </w:p>
    <w:p w14:paraId="04CA9100" w14:textId="2201B0FC" w:rsidR="00022EAC" w:rsidRPr="002612B8" w:rsidRDefault="00804196" w:rsidP="00022EAC">
      <w:pPr>
        <w:rPr>
          <w:sz w:val="24"/>
          <w:szCs w:val="24"/>
        </w:rPr>
      </w:pPr>
      <w:r w:rsidRPr="00804196">
        <w:rPr>
          <w:sz w:val="24"/>
          <w:szCs w:val="24"/>
        </w:rPr>
        <w:t xml:space="preserve">Under subsection 33 (3) of the </w:t>
      </w:r>
      <w:r w:rsidRPr="00EB1D61">
        <w:rPr>
          <w:i/>
          <w:sz w:val="24"/>
          <w:szCs w:val="24"/>
        </w:rPr>
        <w:t>Acts Interpretation Act 1901</w:t>
      </w:r>
      <w:r w:rsidRPr="00804196">
        <w:rPr>
          <w:sz w:val="24"/>
          <w:szCs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Pr>
          <w:sz w:val="24"/>
          <w:szCs w:val="24"/>
        </w:rPr>
        <w:t xml:space="preserve">. </w:t>
      </w:r>
      <w:r w:rsidR="00022EAC">
        <w:rPr>
          <w:sz w:val="24"/>
          <w:szCs w:val="24"/>
        </w:rPr>
        <w:t xml:space="preserve">Subsection 33(3) of the </w:t>
      </w:r>
      <w:r w:rsidR="00022EAC">
        <w:rPr>
          <w:i/>
          <w:sz w:val="24"/>
          <w:szCs w:val="24"/>
        </w:rPr>
        <w:t xml:space="preserve">Acts Interpretation Act 1901 </w:t>
      </w:r>
      <w:r w:rsidR="00022EAC">
        <w:rPr>
          <w:sz w:val="24"/>
          <w:szCs w:val="24"/>
        </w:rPr>
        <w:t>allows the Minister to amend the Principal Determination.</w:t>
      </w:r>
    </w:p>
    <w:p w14:paraId="24E7893D" w14:textId="77777777" w:rsidR="00804196" w:rsidRPr="002612B8" w:rsidRDefault="00804196" w:rsidP="00AE42C2">
      <w:pPr>
        <w:rPr>
          <w:sz w:val="24"/>
          <w:szCs w:val="24"/>
        </w:rPr>
      </w:pPr>
    </w:p>
    <w:p w14:paraId="531E9AB2" w14:textId="77777777" w:rsidR="00AE42C2" w:rsidRPr="002612B8" w:rsidRDefault="00CC42CA" w:rsidP="00AE42C2">
      <w:pPr>
        <w:pStyle w:val="BodyText"/>
        <w:jc w:val="left"/>
        <w:rPr>
          <w:b/>
          <w:color w:val="000000"/>
          <w:szCs w:val="24"/>
        </w:rPr>
      </w:pPr>
      <w:r>
        <w:rPr>
          <w:b/>
          <w:color w:val="000000"/>
          <w:szCs w:val="24"/>
        </w:rPr>
        <w:t xml:space="preserve">Purpose </w:t>
      </w:r>
    </w:p>
    <w:p w14:paraId="58217834" w14:textId="4A622DAE" w:rsidR="00F24BF3" w:rsidRPr="002612B8" w:rsidRDefault="00F24BF3" w:rsidP="00AE42C2">
      <w:pPr>
        <w:pStyle w:val="BodyText"/>
        <w:jc w:val="left"/>
        <w:rPr>
          <w:color w:val="000000"/>
          <w:szCs w:val="24"/>
        </w:rPr>
      </w:pPr>
    </w:p>
    <w:p w14:paraId="2E11B979" w14:textId="73BD3D24" w:rsidR="00BD687D" w:rsidRDefault="00BD687D" w:rsidP="00BD687D">
      <w:pPr>
        <w:rPr>
          <w:sz w:val="24"/>
          <w:szCs w:val="24"/>
        </w:rPr>
      </w:pPr>
      <w:r w:rsidRPr="00DB5966">
        <w:rPr>
          <w:color w:val="000000" w:themeColor="text1"/>
          <w:sz w:val="24"/>
          <w:szCs w:val="24"/>
        </w:rPr>
        <w:t xml:space="preserve">The </w:t>
      </w:r>
      <w:r w:rsidRPr="00DB5966">
        <w:rPr>
          <w:i/>
          <w:color w:val="000000" w:themeColor="text1"/>
          <w:sz w:val="24"/>
          <w:szCs w:val="24"/>
        </w:rPr>
        <w:t xml:space="preserve">Telecommunications (Low-impact Facilities) Determination 1997 </w:t>
      </w:r>
      <w:r w:rsidRPr="00DB5966">
        <w:rPr>
          <w:color w:val="000000" w:themeColor="text1"/>
          <w:sz w:val="24"/>
          <w:szCs w:val="24"/>
        </w:rPr>
        <w:t xml:space="preserve">(the </w:t>
      </w:r>
      <w:r>
        <w:rPr>
          <w:color w:val="000000" w:themeColor="text1"/>
          <w:sz w:val="24"/>
          <w:szCs w:val="24"/>
        </w:rPr>
        <w:t>Principal</w:t>
      </w:r>
      <w:r w:rsidRPr="00DB5966">
        <w:rPr>
          <w:color w:val="000000" w:themeColor="text1"/>
          <w:sz w:val="24"/>
          <w:szCs w:val="24"/>
        </w:rPr>
        <w:t xml:space="preserve"> Determination) is made under subclause 6(3) of Schedule 3 to the </w:t>
      </w:r>
      <w:r w:rsidRPr="00DB5966">
        <w:rPr>
          <w:i/>
          <w:color w:val="000000" w:themeColor="text1"/>
          <w:sz w:val="24"/>
          <w:szCs w:val="24"/>
        </w:rPr>
        <w:t xml:space="preserve">Telecommunications Act 1997 </w:t>
      </w:r>
      <w:r w:rsidRPr="00DB5966">
        <w:rPr>
          <w:color w:val="000000" w:themeColor="text1"/>
          <w:sz w:val="24"/>
          <w:szCs w:val="24"/>
        </w:rPr>
        <w:t xml:space="preserve">(the Act). </w:t>
      </w:r>
      <w:r w:rsidRPr="00DB5966">
        <w:rPr>
          <w:sz w:val="24"/>
          <w:szCs w:val="24"/>
        </w:rPr>
        <w:t>Schedule 3 provides carriers with power to inspect land to determine whether the land is suitable for the carrier’s purpose; install certain types of facilities (</w:t>
      </w:r>
      <w:r>
        <w:rPr>
          <w:sz w:val="24"/>
          <w:szCs w:val="24"/>
        </w:rPr>
        <w:t>primarily</w:t>
      </w:r>
      <w:r w:rsidRPr="00DB5966">
        <w:rPr>
          <w:sz w:val="24"/>
          <w:szCs w:val="24"/>
        </w:rPr>
        <w:t xml:space="preserve"> low-impact facilities) on the land; and maintain a facility that is situated on the land; without seeking state, territory or local government planning approval</w:t>
      </w:r>
      <w:r>
        <w:rPr>
          <w:sz w:val="24"/>
          <w:szCs w:val="24"/>
        </w:rPr>
        <w:t xml:space="preserve"> or land owner consent</w:t>
      </w:r>
      <w:r w:rsidRPr="00DB5966">
        <w:rPr>
          <w:sz w:val="24"/>
          <w:szCs w:val="24"/>
        </w:rPr>
        <w:t xml:space="preserve">.  </w:t>
      </w:r>
    </w:p>
    <w:p w14:paraId="7E132F58" w14:textId="77777777" w:rsidR="00BD687D" w:rsidRDefault="00BD687D" w:rsidP="009E5678">
      <w:pPr>
        <w:rPr>
          <w:color w:val="000000"/>
          <w:sz w:val="24"/>
          <w:szCs w:val="24"/>
        </w:rPr>
      </w:pPr>
    </w:p>
    <w:p w14:paraId="31CF9D81" w14:textId="02E9C089" w:rsidR="00B11F8A" w:rsidRDefault="00CC42CA" w:rsidP="00B11F8A">
      <w:pPr>
        <w:rPr>
          <w:color w:val="000000"/>
          <w:sz w:val="24"/>
          <w:szCs w:val="24"/>
        </w:rPr>
      </w:pPr>
      <w:r>
        <w:rPr>
          <w:color w:val="000000"/>
          <w:sz w:val="24"/>
          <w:szCs w:val="24"/>
        </w:rPr>
        <w:t xml:space="preserve">The purpose of the </w:t>
      </w:r>
      <w:r>
        <w:rPr>
          <w:i/>
          <w:color w:val="000000"/>
          <w:sz w:val="24"/>
          <w:szCs w:val="24"/>
        </w:rPr>
        <w:t>Telecommunications (Low-impact Facilities) Det</w:t>
      </w:r>
      <w:r w:rsidR="0025034B">
        <w:rPr>
          <w:i/>
          <w:color w:val="000000"/>
          <w:sz w:val="24"/>
          <w:szCs w:val="24"/>
        </w:rPr>
        <w:t>ermination 1997 (Amendments No.2</w:t>
      </w:r>
      <w:r>
        <w:rPr>
          <w:i/>
          <w:color w:val="000000"/>
          <w:sz w:val="24"/>
          <w:szCs w:val="24"/>
        </w:rPr>
        <w:t xml:space="preserve"> of 201</w:t>
      </w:r>
      <w:r w:rsidR="00FE400D">
        <w:rPr>
          <w:i/>
          <w:color w:val="000000"/>
          <w:sz w:val="24"/>
          <w:szCs w:val="24"/>
        </w:rPr>
        <w:t>5</w:t>
      </w:r>
      <w:r>
        <w:rPr>
          <w:i/>
          <w:color w:val="000000"/>
          <w:sz w:val="24"/>
          <w:szCs w:val="24"/>
        </w:rPr>
        <w:t>)</w:t>
      </w:r>
      <w:r>
        <w:rPr>
          <w:color w:val="000000"/>
          <w:sz w:val="24"/>
          <w:szCs w:val="24"/>
        </w:rPr>
        <w:t xml:space="preserve"> (the Amending Determination) is to amend</w:t>
      </w:r>
      <w:r w:rsidR="00F66B27">
        <w:rPr>
          <w:color w:val="000000"/>
          <w:sz w:val="24"/>
          <w:szCs w:val="24"/>
        </w:rPr>
        <w:t xml:space="preserve"> the Principal Determination to</w:t>
      </w:r>
      <w:r w:rsidR="00C349F7">
        <w:rPr>
          <w:color w:val="000000"/>
          <w:sz w:val="24"/>
          <w:szCs w:val="24"/>
        </w:rPr>
        <w:t xml:space="preserve"> </w:t>
      </w:r>
      <w:r w:rsidR="0025034B">
        <w:rPr>
          <w:color w:val="000000"/>
          <w:sz w:val="24"/>
          <w:szCs w:val="24"/>
        </w:rPr>
        <w:t xml:space="preserve">add two new regions to the definition of HFC Trial Region at </w:t>
      </w:r>
      <w:r w:rsidR="00B11F8A">
        <w:rPr>
          <w:color w:val="000000"/>
          <w:sz w:val="24"/>
          <w:szCs w:val="24"/>
        </w:rPr>
        <w:t>s</w:t>
      </w:r>
      <w:r w:rsidR="0025034B">
        <w:rPr>
          <w:color w:val="000000"/>
          <w:sz w:val="24"/>
          <w:szCs w:val="24"/>
        </w:rPr>
        <w:t>ection 1.3</w:t>
      </w:r>
      <w:r w:rsidR="00B11F8A">
        <w:rPr>
          <w:color w:val="000000"/>
          <w:sz w:val="24"/>
          <w:szCs w:val="24"/>
        </w:rPr>
        <w:t xml:space="preserve">, thereby enabling </w:t>
      </w:r>
      <w:r w:rsidR="00FC0A75">
        <w:rPr>
          <w:color w:val="000000"/>
          <w:sz w:val="24"/>
          <w:szCs w:val="24"/>
        </w:rPr>
        <w:t>NBN Co Limited (</w:t>
      </w:r>
      <w:r w:rsidR="00B11F8A">
        <w:rPr>
          <w:color w:val="000000"/>
          <w:sz w:val="24"/>
          <w:szCs w:val="24"/>
        </w:rPr>
        <w:t>NBN Co</w:t>
      </w:r>
      <w:r w:rsidR="00FC0A75">
        <w:rPr>
          <w:color w:val="000000"/>
          <w:sz w:val="24"/>
          <w:szCs w:val="24"/>
        </w:rPr>
        <w:t>)</w:t>
      </w:r>
      <w:r w:rsidR="00B11F8A">
        <w:rPr>
          <w:color w:val="000000"/>
          <w:sz w:val="24"/>
          <w:szCs w:val="24"/>
        </w:rPr>
        <w:t xml:space="preserve"> </w:t>
      </w:r>
      <w:r w:rsidR="00B611BD">
        <w:rPr>
          <w:color w:val="000000"/>
          <w:sz w:val="24"/>
          <w:szCs w:val="24"/>
        </w:rPr>
        <w:t>(</w:t>
      </w:r>
      <w:r w:rsidR="00A5576D">
        <w:rPr>
          <w:color w:val="000000"/>
          <w:sz w:val="24"/>
          <w:szCs w:val="24"/>
        </w:rPr>
        <w:t xml:space="preserve">and other carriers operating </w:t>
      </w:r>
      <w:r w:rsidR="00852B2D">
        <w:rPr>
          <w:color w:val="000000"/>
          <w:sz w:val="24"/>
          <w:szCs w:val="24"/>
        </w:rPr>
        <w:t xml:space="preserve">comparable, </w:t>
      </w:r>
      <w:r w:rsidR="00A5576D">
        <w:rPr>
          <w:color w:val="000000"/>
          <w:sz w:val="24"/>
          <w:szCs w:val="24"/>
        </w:rPr>
        <w:t>national, wholesale-only, non-discriminatory broadband networks</w:t>
      </w:r>
      <w:r w:rsidR="00B611BD">
        <w:rPr>
          <w:color w:val="000000"/>
          <w:sz w:val="24"/>
          <w:szCs w:val="24"/>
        </w:rPr>
        <w:t xml:space="preserve">) </w:t>
      </w:r>
      <w:r w:rsidR="00B11F8A">
        <w:rPr>
          <w:color w:val="000000"/>
          <w:sz w:val="24"/>
          <w:szCs w:val="24"/>
        </w:rPr>
        <w:t xml:space="preserve">to install a range of specified </w:t>
      </w:r>
      <w:r w:rsidR="00B11F8A">
        <w:rPr>
          <w:sz w:val="24"/>
          <w:szCs w:val="24"/>
          <w:lang w:val="en-US"/>
        </w:rPr>
        <w:t>above-ground and under-ground hybrid fibre-coaxial facilities in these additional regions during the remaining time of the Designated Installation Period (which lapses in April 2016).</w:t>
      </w:r>
    </w:p>
    <w:p w14:paraId="6202C310" w14:textId="2709AD62" w:rsidR="0025034B" w:rsidRDefault="0025034B" w:rsidP="009E5678">
      <w:pPr>
        <w:rPr>
          <w:color w:val="000000"/>
          <w:sz w:val="24"/>
          <w:szCs w:val="24"/>
        </w:rPr>
      </w:pPr>
    </w:p>
    <w:p w14:paraId="71A2CA3C" w14:textId="24AE82D4" w:rsidR="009038DA" w:rsidRDefault="009038DA" w:rsidP="009038DA">
      <w:pPr>
        <w:rPr>
          <w:sz w:val="24"/>
          <w:szCs w:val="24"/>
        </w:rPr>
      </w:pPr>
      <w:r>
        <w:rPr>
          <w:sz w:val="24"/>
          <w:szCs w:val="24"/>
        </w:rPr>
        <w:t>Temporary amendments were made to the Principal Determination in April 2015 to support the NBN Co</w:t>
      </w:r>
      <w:r w:rsidR="00803D34">
        <w:rPr>
          <w:sz w:val="24"/>
          <w:szCs w:val="24"/>
        </w:rPr>
        <w:t xml:space="preserve"> fibre-to-the-basement (FTTB)</w:t>
      </w:r>
      <w:r>
        <w:rPr>
          <w:sz w:val="24"/>
          <w:szCs w:val="24"/>
        </w:rPr>
        <w:t xml:space="preserve"> rollout and </w:t>
      </w:r>
      <w:r w:rsidR="00803D34">
        <w:rPr>
          <w:sz w:val="24"/>
          <w:szCs w:val="24"/>
        </w:rPr>
        <w:t>hybrid fibre-coaxial (</w:t>
      </w:r>
      <w:r>
        <w:rPr>
          <w:sz w:val="24"/>
          <w:szCs w:val="24"/>
        </w:rPr>
        <w:t>HFC</w:t>
      </w:r>
      <w:r w:rsidR="00803D34">
        <w:rPr>
          <w:sz w:val="24"/>
          <w:szCs w:val="24"/>
        </w:rPr>
        <w:t>)</w:t>
      </w:r>
      <w:r>
        <w:rPr>
          <w:sz w:val="24"/>
          <w:szCs w:val="24"/>
        </w:rPr>
        <w:t xml:space="preserve"> construction trials. Since the temporary amendments were made, NBN Co has </w:t>
      </w:r>
      <w:r>
        <w:rPr>
          <w:sz w:val="24"/>
          <w:szCs w:val="24"/>
        </w:rPr>
        <w:lastRenderedPageBreak/>
        <w:t>identified two additional HFC trial sites. In order to commence trials in these areas</w:t>
      </w:r>
      <w:r w:rsidR="006E2FCD">
        <w:rPr>
          <w:sz w:val="24"/>
          <w:szCs w:val="24"/>
        </w:rPr>
        <w:t xml:space="preserve"> with the benefit of carrier powers and immunities</w:t>
      </w:r>
      <w:r>
        <w:rPr>
          <w:sz w:val="24"/>
          <w:szCs w:val="24"/>
        </w:rPr>
        <w:t xml:space="preserve"> as soon as possible, these areas need to be added to the list of HFC Trial Regions.</w:t>
      </w:r>
    </w:p>
    <w:p w14:paraId="0BDC6415" w14:textId="77777777" w:rsidR="009038DA" w:rsidRDefault="009038DA" w:rsidP="009038DA">
      <w:pPr>
        <w:rPr>
          <w:sz w:val="24"/>
          <w:szCs w:val="24"/>
        </w:rPr>
      </w:pPr>
    </w:p>
    <w:p w14:paraId="175BD1CB" w14:textId="0E4BA04B" w:rsidR="0025034B" w:rsidRDefault="0025034B" w:rsidP="009E5678">
      <w:pPr>
        <w:rPr>
          <w:color w:val="000000"/>
          <w:sz w:val="24"/>
          <w:szCs w:val="24"/>
        </w:rPr>
      </w:pPr>
      <w:r>
        <w:rPr>
          <w:color w:val="000000"/>
          <w:sz w:val="24"/>
          <w:szCs w:val="24"/>
        </w:rPr>
        <w:t>The two new HFC Trial Regions are:</w:t>
      </w:r>
    </w:p>
    <w:p w14:paraId="780FB97B" w14:textId="069D7C57" w:rsidR="0025034B" w:rsidRDefault="006E2FCD" w:rsidP="0025034B">
      <w:pPr>
        <w:pStyle w:val="ListParagraph"/>
        <w:numPr>
          <w:ilvl w:val="0"/>
          <w:numId w:val="27"/>
        </w:numPr>
        <w:rPr>
          <w:color w:val="000000"/>
          <w:sz w:val="24"/>
          <w:szCs w:val="24"/>
        </w:rPr>
      </w:pPr>
      <w:r>
        <w:rPr>
          <w:color w:val="000000"/>
          <w:sz w:val="24"/>
          <w:szCs w:val="24"/>
        </w:rPr>
        <w:t>t</w:t>
      </w:r>
      <w:r w:rsidR="00D751E3">
        <w:rPr>
          <w:color w:val="000000"/>
          <w:sz w:val="24"/>
          <w:szCs w:val="24"/>
        </w:rPr>
        <w:t xml:space="preserve">he </w:t>
      </w:r>
      <w:r w:rsidR="0025034B">
        <w:rPr>
          <w:color w:val="000000"/>
          <w:sz w:val="24"/>
          <w:szCs w:val="24"/>
        </w:rPr>
        <w:t xml:space="preserve">Carramar </w:t>
      </w:r>
      <w:r w:rsidR="00D751E3">
        <w:rPr>
          <w:color w:val="000000"/>
          <w:sz w:val="24"/>
          <w:szCs w:val="24"/>
        </w:rPr>
        <w:t>Exchange Service Area</w:t>
      </w:r>
      <w:r w:rsidR="0025034B">
        <w:rPr>
          <w:color w:val="000000"/>
          <w:sz w:val="24"/>
          <w:szCs w:val="24"/>
        </w:rPr>
        <w:t>, New South Wales; and</w:t>
      </w:r>
    </w:p>
    <w:p w14:paraId="2F22AD70" w14:textId="606462A6" w:rsidR="0025034B" w:rsidRPr="0025034B" w:rsidRDefault="0025034B" w:rsidP="0025034B">
      <w:pPr>
        <w:pStyle w:val="ListParagraph"/>
        <w:numPr>
          <w:ilvl w:val="0"/>
          <w:numId w:val="27"/>
        </w:numPr>
        <w:rPr>
          <w:color w:val="000000"/>
          <w:sz w:val="24"/>
          <w:szCs w:val="24"/>
        </w:rPr>
      </w:pPr>
      <w:r>
        <w:rPr>
          <w:color w:val="000000"/>
          <w:sz w:val="24"/>
          <w:szCs w:val="24"/>
        </w:rPr>
        <w:t>Wheelers Hill (City of Monash), Victoria.</w:t>
      </w:r>
    </w:p>
    <w:p w14:paraId="388C0627" w14:textId="77777777" w:rsidR="0025034B" w:rsidRDefault="0025034B" w:rsidP="009E5678">
      <w:pPr>
        <w:rPr>
          <w:color w:val="000000"/>
          <w:sz w:val="24"/>
          <w:szCs w:val="24"/>
        </w:rPr>
      </w:pPr>
    </w:p>
    <w:p w14:paraId="37800A44" w14:textId="432FF383" w:rsidR="0025034B" w:rsidRDefault="003F6863" w:rsidP="009E5678">
      <w:pPr>
        <w:rPr>
          <w:color w:val="000000"/>
          <w:sz w:val="24"/>
          <w:szCs w:val="24"/>
        </w:rPr>
      </w:pPr>
      <w:r>
        <w:rPr>
          <w:sz w:val="24"/>
          <w:szCs w:val="24"/>
        </w:rPr>
        <w:t xml:space="preserve">Where facilities of the kind listed </w:t>
      </w:r>
      <w:r w:rsidR="006E2FCD">
        <w:rPr>
          <w:sz w:val="24"/>
          <w:szCs w:val="24"/>
        </w:rPr>
        <w:t>in item 6 at</w:t>
      </w:r>
      <w:r>
        <w:rPr>
          <w:sz w:val="24"/>
          <w:szCs w:val="24"/>
        </w:rPr>
        <w:t xml:space="preserve"> Part 4, </w:t>
      </w:r>
      <w:r w:rsidR="00AD6680">
        <w:rPr>
          <w:sz w:val="24"/>
          <w:szCs w:val="24"/>
        </w:rPr>
        <w:t xml:space="preserve">and </w:t>
      </w:r>
      <w:r w:rsidR="00D751E3">
        <w:rPr>
          <w:sz w:val="24"/>
          <w:szCs w:val="24"/>
        </w:rPr>
        <w:t xml:space="preserve">several items at </w:t>
      </w:r>
      <w:r>
        <w:rPr>
          <w:sz w:val="24"/>
          <w:szCs w:val="24"/>
        </w:rPr>
        <w:t xml:space="preserve">Part 4B of the </w:t>
      </w:r>
      <w:r w:rsidR="00D751E3">
        <w:rPr>
          <w:sz w:val="24"/>
          <w:szCs w:val="24"/>
        </w:rPr>
        <w:t xml:space="preserve">Schedule to the </w:t>
      </w:r>
      <w:r>
        <w:rPr>
          <w:sz w:val="24"/>
          <w:szCs w:val="24"/>
        </w:rPr>
        <w:t xml:space="preserve">Principal Determination are proposed to be deployed outside of the specified HFC </w:t>
      </w:r>
      <w:r w:rsidR="00B11F8A">
        <w:rPr>
          <w:sz w:val="24"/>
          <w:szCs w:val="24"/>
        </w:rPr>
        <w:t>T</w:t>
      </w:r>
      <w:r>
        <w:rPr>
          <w:sz w:val="24"/>
          <w:szCs w:val="24"/>
        </w:rPr>
        <w:t xml:space="preserve">rial </w:t>
      </w:r>
      <w:r w:rsidR="00B11F8A">
        <w:rPr>
          <w:sz w:val="24"/>
          <w:szCs w:val="24"/>
        </w:rPr>
        <w:t>R</w:t>
      </w:r>
      <w:r>
        <w:rPr>
          <w:sz w:val="24"/>
          <w:szCs w:val="24"/>
        </w:rPr>
        <w:t>egions</w:t>
      </w:r>
      <w:r w:rsidR="00B11F8A">
        <w:rPr>
          <w:sz w:val="24"/>
          <w:szCs w:val="24"/>
        </w:rPr>
        <w:t xml:space="preserve"> (including the proposed two additional regions noted above) or after the Designated Installation Period (as defined in section 1.3 of the Principal Determination)</w:t>
      </w:r>
      <w:r>
        <w:rPr>
          <w:sz w:val="24"/>
          <w:szCs w:val="24"/>
        </w:rPr>
        <w:t xml:space="preserve">, the deployment cannot occur in reliance on Schedule 3 to the Act.  </w:t>
      </w:r>
    </w:p>
    <w:p w14:paraId="59F8CD87" w14:textId="77777777" w:rsidR="0025034B" w:rsidRDefault="0025034B" w:rsidP="009E5678">
      <w:pPr>
        <w:rPr>
          <w:color w:val="000000"/>
          <w:sz w:val="24"/>
          <w:szCs w:val="24"/>
        </w:rPr>
      </w:pPr>
    </w:p>
    <w:p w14:paraId="254200CF" w14:textId="515DAC73" w:rsidR="00C349F7" w:rsidRDefault="00C349F7" w:rsidP="009E5678">
      <w:pPr>
        <w:rPr>
          <w:color w:val="000000"/>
          <w:sz w:val="24"/>
          <w:szCs w:val="24"/>
        </w:rPr>
      </w:pPr>
      <w:r>
        <w:rPr>
          <w:color w:val="000000"/>
          <w:sz w:val="24"/>
          <w:szCs w:val="24"/>
        </w:rPr>
        <w:t xml:space="preserve">The </w:t>
      </w:r>
      <w:r w:rsidR="00CB7699">
        <w:rPr>
          <w:color w:val="000000"/>
          <w:sz w:val="24"/>
          <w:szCs w:val="24"/>
        </w:rPr>
        <w:t>Principal Determination</w:t>
      </w:r>
      <w:r>
        <w:rPr>
          <w:color w:val="000000"/>
          <w:sz w:val="24"/>
          <w:szCs w:val="24"/>
        </w:rPr>
        <w:t xml:space="preserve"> </w:t>
      </w:r>
      <w:r w:rsidR="00B11F8A">
        <w:rPr>
          <w:color w:val="000000"/>
          <w:sz w:val="24"/>
          <w:szCs w:val="24"/>
        </w:rPr>
        <w:t xml:space="preserve">(as amended) </w:t>
      </w:r>
      <w:r w:rsidR="00A51BB1">
        <w:rPr>
          <w:color w:val="000000"/>
          <w:sz w:val="24"/>
          <w:szCs w:val="24"/>
        </w:rPr>
        <w:t>is expected to be</w:t>
      </w:r>
      <w:r>
        <w:rPr>
          <w:color w:val="000000"/>
          <w:sz w:val="24"/>
          <w:szCs w:val="24"/>
        </w:rPr>
        <w:t xml:space="preserve"> updated further, </w:t>
      </w:r>
      <w:r w:rsidR="00A51BB1">
        <w:rPr>
          <w:color w:val="000000"/>
          <w:sz w:val="24"/>
          <w:szCs w:val="24"/>
        </w:rPr>
        <w:t>following</w:t>
      </w:r>
      <w:r>
        <w:rPr>
          <w:color w:val="000000"/>
          <w:sz w:val="24"/>
          <w:szCs w:val="24"/>
        </w:rPr>
        <w:t xml:space="preserve"> public consultation</w:t>
      </w:r>
      <w:r w:rsidR="0025034B">
        <w:rPr>
          <w:color w:val="000000"/>
          <w:sz w:val="24"/>
          <w:szCs w:val="24"/>
        </w:rPr>
        <w:t xml:space="preserve"> on broader </w:t>
      </w:r>
      <w:r w:rsidR="006E2FCD">
        <w:rPr>
          <w:color w:val="000000"/>
          <w:sz w:val="24"/>
          <w:szCs w:val="24"/>
        </w:rPr>
        <w:t xml:space="preserve">ongoing </w:t>
      </w:r>
      <w:r w:rsidR="0025034B">
        <w:rPr>
          <w:color w:val="000000"/>
          <w:sz w:val="24"/>
          <w:szCs w:val="24"/>
        </w:rPr>
        <w:t>amendments</w:t>
      </w:r>
      <w:r w:rsidR="00B11F8A">
        <w:rPr>
          <w:color w:val="000000"/>
          <w:sz w:val="24"/>
          <w:szCs w:val="24"/>
        </w:rPr>
        <w:t xml:space="preserve"> later in 2015</w:t>
      </w:r>
      <w:r>
        <w:rPr>
          <w:color w:val="000000"/>
          <w:sz w:val="24"/>
          <w:szCs w:val="24"/>
        </w:rPr>
        <w:t>.</w:t>
      </w:r>
    </w:p>
    <w:p w14:paraId="3493EC37" w14:textId="77777777" w:rsidR="00C349F7" w:rsidRDefault="00C349F7" w:rsidP="009E5678">
      <w:pPr>
        <w:rPr>
          <w:color w:val="000000"/>
          <w:sz w:val="24"/>
          <w:szCs w:val="24"/>
        </w:rPr>
      </w:pPr>
    </w:p>
    <w:p w14:paraId="643E472B" w14:textId="77777777" w:rsidR="00A85079" w:rsidRPr="002612B8" w:rsidRDefault="00CC42CA" w:rsidP="00A85079">
      <w:pPr>
        <w:pStyle w:val="BodyText"/>
        <w:keepNext/>
        <w:jc w:val="left"/>
        <w:rPr>
          <w:b/>
          <w:color w:val="000000"/>
          <w:szCs w:val="24"/>
        </w:rPr>
      </w:pPr>
      <w:r>
        <w:rPr>
          <w:b/>
          <w:color w:val="000000"/>
          <w:szCs w:val="24"/>
        </w:rPr>
        <w:t xml:space="preserve">Background </w:t>
      </w:r>
    </w:p>
    <w:p w14:paraId="7A771A26" w14:textId="77777777" w:rsidR="009C1010" w:rsidRDefault="009C1010" w:rsidP="008166C7">
      <w:pPr>
        <w:rPr>
          <w:sz w:val="24"/>
          <w:szCs w:val="24"/>
          <w:lang w:val="en-US"/>
        </w:rPr>
      </w:pPr>
    </w:p>
    <w:p w14:paraId="7D092389" w14:textId="7CBE82C1" w:rsidR="00FA67B0" w:rsidRDefault="001D6D0F" w:rsidP="008166C7">
      <w:pPr>
        <w:rPr>
          <w:sz w:val="24"/>
          <w:szCs w:val="24"/>
          <w:lang w:val="en-US"/>
        </w:rPr>
      </w:pPr>
      <w:r w:rsidRPr="00A54C27">
        <w:rPr>
          <w:sz w:val="24"/>
          <w:szCs w:val="24"/>
          <w:lang w:val="en-US"/>
        </w:rPr>
        <w:t xml:space="preserve">The </w:t>
      </w:r>
      <w:r>
        <w:rPr>
          <w:sz w:val="24"/>
          <w:szCs w:val="24"/>
          <w:lang w:val="en-US"/>
        </w:rPr>
        <w:t>Australian</w:t>
      </w:r>
      <w:r w:rsidRPr="00A54C27">
        <w:rPr>
          <w:sz w:val="24"/>
          <w:szCs w:val="24"/>
          <w:lang w:val="en-US"/>
        </w:rPr>
        <w:t xml:space="preserve"> Government </w:t>
      </w:r>
      <w:r>
        <w:rPr>
          <w:sz w:val="24"/>
          <w:szCs w:val="24"/>
          <w:lang w:val="en-US"/>
        </w:rPr>
        <w:t xml:space="preserve">is committed to </w:t>
      </w:r>
      <w:r w:rsidRPr="00A54C27">
        <w:rPr>
          <w:sz w:val="24"/>
          <w:szCs w:val="24"/>
          <w:lang w:val="en-US"/>
        </w:rPr>
        <w:t xml:space="preserve">the delivery of better broadband to Australians. </w:t>
      </w:r>
      <w:r w:rsidR="00FA67B0">
        <w:rPr>
          <w:sz w:val="24"/>
          <w:szCs w:val="24"/>
          <w:lang w:val="en-US"/>
        </w:rPr>
        <w:t xml:space="preserve">The </w:t>
      </w:r>
      <w:r w:rsidR="00FC67E2">
        <w:rPr>
          <w:sz w:val="24"/>
          <w:szCs w:val="24"/>
          <w:lang w:val="en-US"/>
        </w:rPr>
        <w:t>S</w:t>
      </w:r>
      <w:r w:rsidR="00FE400D" w:rsidRPr="00A54C27">
        <w:rPr>
          <w:sz w:val="24"/>
          <w:szCs w:val="24"/>
          <w:lang w:val="en-US"/>
        </w:rPr>
        <w:t xml:space="preserve">trategic </w:t>
      </w:r>
      <w:r w:rsidR="00FC67E2">
        <w:rPr>
          <w:sz w:val="24"/>
          <w:szCs w:val="24"/>
          <w:lang w:val="en-US"/>
        </w:rPr>
        <w:t>R</w:t>
      </w:r>
      <w:r w:rsidR="00FE400D" w:rsidRPr="00A54C27">
        <w:rPr>
          <w:sz w:val="24"/>
          <w:szCs w:val="24"/>
          <w:lang w:val="en-US"/>
        </w:rPr>
        <w:t xml:space="preserve">eview by NBN Co in December 2013 recommended that the </w:t>
      </w:r>
      <w:r w:rsidR="00FA67B0">
        <w:rPr>
          <w:sz w:val="24"/>
          <w:szCs w:val="24"/>
          <w:lang w:val="en-US"/>
        </w:rPr>
        <w:t xml:space="preserve">national broadband network </w:t>
      </w:r>
      <w:r w:rsidR="00FE400D" w:rsidRPr="00A54C27">
        <w:rPr>
          <w:sz w:val="24"/>
          <w:szCs w:val="24"/>
          <w:lang w:val="en-US"/>
        </w:rPr>
        <w:t>should be completed using a multi-technology mix to deliver fast broadband sooner and at less cost to taxpayers. In light of this, the Government issued a new Statement of Expectations to NBN</w:t>
      </w:r>
      <w:r w:rsidR="00FE400D">
        <w:rPr>
          <w:sz w:val="24"/>
          <w:szCs w:val="24"/>
          <w:lang w:val="en-US"/>
        </w:rPr>
        <w:t> </w:t>
      </w:r>
      <w:r w:rsidR="00FE400D" w:rsidRPr="00A54C27">
        <w:rPr>
          <w:sz w:val="24"/>
          <w:szCs w:val="24"/>
          <w:lang w:val="en-US"/>
        </w:rPr>
        <w:t xml:space="preserve">Co on 8 April 2014. The Statement instructs NBN Co to determine which technologies are to be used for the NBN in any given area on a case-by-case basis, so long as the NBN is constructed within a defined cost and in compliance with certain other criteria. The technologies that may be used by NBN Co include fibre-to-the-node (FTTN), fibre-to-the-premises (FTTP), FTTB, HFC, fixed wireless and satellite. </w:t>
      </w:r>
    </w:p>
    <w:p w14:paraId="69304B1D" w14:textId="77777777" w:rsidR="009038DA" w:rsidRDefault="009038DA" w:rsidP="008166C7">
      <w:pPr>
        <w:rPr>
          <w:sz w:val="24"/>
          <w:szCs w:val="24"/>
          <w:lang w:val="en-US"/>
        </w:rPr>
      </w:pPr>
    </w:p>
    <w:p w14:paraId="3AC8D323" w14:textId="0AC5DC20" w:rsidR="00B11F8A" w:rsidRDefault="009038DA" w:rsidP="00B11F8A">
      <w:pPr>
        <w:rPr>
          <w:sz w:val="24"/>
          <w:szCs w:val="24"/>
          <w:lang w:val="en-US"/>
        </w:rPr>
      </w:pPr>
      <w:r>
        <w:rPr>
          <w:sz w:val="24"/>
          <w:szCs w:val="24"/>
          <w:lang w:val="en-US"/>
        </w:rPr>
        <w:t>NBN Co is</w:t>
      </w:r>
      <w:r w:rsidR="00B11F8A">
        <w:rPr>
          <w:sz w:val="24"/>
          <w:szCs w:val="24"/>
          <w:lang w:val="en-US"/>
        </w:rPr>
        <w:t xml:space="preserve">, or will </w:t>
      </w:r>
      <w:r w:rsidR="00B939C7">
        <w:rPr>
          <w:sz w:val="24"/>
          <w:szCs w:val="24"/>
          <w:lang w:val="en-US"/>
        </w:rPr>
        <w:t>be, conducting</w:t>
      </w:r>
      <w:r>
        <w:rPr>
          <w:sz w:val="24"/>
          <w:szCs w:val="24"/>
          <w:lang w:val="en-US"/>
        </w:rPr>
        <w:t xml:space="preserve"> HFC construction trials in different areas of Australia to prepare for the wider HFC rollout.</w:t>
      </w:r>
      <w:r w:rsidR="00B11F8A">
        <w:rPr>
          <w:sz w:val="24"/>
          <w:szCs w:val="24"/>
          <w:lang w:val="en-US"/>
        </w:rPr>
        <w:t xml:space="preserve"> By way of the </w:t>
      </w:r>
      <w:r w:rsidR="00B11F8A">
        <w:rPr>
          <w:i/>
          <w:sz w:val="24"/>
          <w:szCs w:val="24"/>
          <w:lang w:val="en-US"/>
        </w:rPr>
        <w:t xml:space="preserve">Telecommunications (Low-impact Facilities) Determination 1997 (Amendment No. 1 of 2015), </w:t>
      </w:r>
      <w:r w:rsidR="00B11F8A">
        <w:rPr>
          <w:sz w:val="24"/>
          <w:szCs w:val="24"/>
          <w:lang w:val="en-US"/>
        </w:rPr>
        <w:t>the following four regions were specified as HFC Trial Regions, enabling NBN Co to install a range of above-ground and under-ground hybrid fibre-coaxial facilities in those regions for a limited period (namely the Designated Installation Period, which lapses in April 2016):</w:t>
      </w:r>
    </w:p>
    <w:p w14:paraId="4558A9C0" w14:textId="77777777" w:rsidR="00B11F8A" w:rsidRDefault="00B11F8A" w:rsidP="00B11F8A">
      <w:pPr>
        <w:pStyle w:val="ListParagraph"/>
        <w:numPr>
          <w:ilvl w:val="0"/>
          <w:numId w:val="28"/>
        </w:numPr>
        <w:rPr>
          <w:sz w:val="24"/>
          <w:szCs w:val="24"/>
          <w:lang w:val="en-US"/>
        </w:rPr>
      </w:pPr>
      <w:r>
        <w:rPr>
          <w:sz w:val="24"/>
          <w:szCs w:val="24"/>
          <w:lang w:val="en-US"/>
        </w:rPr>
        <w:t>Merrimac within the local government area of the City of Gold Coast, Queensland;</w:t>
      </w:r>
    </w:p>
    <w:p w14:paraId="757501E3" w14:textId="77777777" w:rsidR="00B11F8A" w:rsidRDefault="00B11F8A" w:rsidP="00B11F8A">
      <w:pPr>
        <w:pStyle w:val="ListParagraph"/>
        <w:numPr>
          <w:ilvl w:val="0"/>
          <w:numId w:val="28"/>
        </w:numPr>
        <w:rPr>
          <w:sz w:val="24"/>
          <w:szCs w:val="24"/>
          <w:lang w:val="en-US"/>
        </w:rPr>
      </w:pPr>
      <w:r>
        <w:rPr>
          <w:sz w:val="24"/>
          <w:szCs w:val="24"/>
          <w:lang w:val="en-US"/>
        </w:rPr>
        <w:t xml:space="preserve">Redcliffe within the local government area of the Moreton Bay Regional Council, Queensland; </w:t>
      </w:r>
    </w:p>
    <w:p w14:paraId="24D66B2F" w14:textId="77777777" w:rsidR="00B11F8A" w:rsidRDefault="00B11F8A" w:rsidP="00B11F8A">
      <w:pPr>
        <w:pStyle w:val="ListParagraph"/>
        <w:numPr>
          <w:ilvl w:val="0"/>
          <w:numId w:val="28"/>
        </w:numPr>
        <w:rPr>
          <w:sz w:val="24"/>
          <w:szCs w:val="24"/>
          <w:lang w:val="en-US"/>
        </w:rPr>
      </w:pPr>
      <w:r>
        <w:rPr>
          <w:sz w:val="24"/>
          <w:szCs w:val="24"/>
          <w:lang w:val="en-US"/>
        </w:rPr>
        <w:t>Slacks Creek within the local government area of the City of Logan, Queensland; and</w:t>
      </w:r>
    </w:p>
    <w:p w14:paraId="50DABE85" w14:textId="77777777" w:rsidR="00B11F8A" w:rsidRDefault="00B11F8A" w:rsidP="00B11F8A">
      <w:pPr>
        <w:pStyle w:val="ListParagraph"/>
        <w:numPr>
          <w:ilvl w:val="0"/>
          <w:numId w:val="28"/>
        </w:numPr>
        <w:rPr>
          <w:sz w:val="24"/>
          <w:szCs w:val="24"/>
        </w:rPr>
      </w:pPr>
      <w:r>
        <w:rPr>
          <w:sz w:val="24"/>
          <w:szCs w:val="24"/>
          <w:lang w:val="en-US"/>
        </w:rPr>
        <w:t>Emu Plains within the local government area of the City of Penrith, New South Wales.</w:t>
      </w:r>
    </w:p>
    <w:p w14:paraId="72CBC2FD" w14:textId="77777777" w:rsidR="00B11F8A" w:rsidRDefault="00B11F8A" w:rsidP="00B11F8A">
      <w:pPr>
        <w:rPr>
          <w:sz w:val="24"/>
          <w:szCs w:val="24"/>
        </w:rPr>
      </w:pPr>
    </w:p>
    <w:p w14:paraId="157CCD11" w14:textId="31713954" w:rsidR="009038DA" w:rsidRDefault="00B11F8A" w:rsidP="008166C7">
      <w:pPr>
        <w:rPr>
          <w:sz w:val="24"/>
          <w:szCs w:val="24"/>
        </w:rPr>
      </w:pPr>
      <w:r>
        <w:rPr>
          <w:sz w:val="24"/>
          <w:szCs w:val="24"/>
        </w:rPr>
        <w:t>NBN Co is proposing to undertake HFC trials in two additional regions; the Carramar Exchange Service Area in New South Wales; and Wheelers Hill (City of Monash), Victoria.</w:t>
      </w:r>
    </w:p>
    <w:p w14:paraId="62A529D7" w14:textId="77777777" w:rsidR="00FA67B0" w:rsidRDefault="00FA67B0" w:rsidP="008166C7">
      <w:pPr>
        <w:rPr>
          <w:sz w:val="24"/>
          <w:szCs w:val="24"/>
        </w:rPr>
      </w:pPr>
    </w:p>
    <w:p w14:paraId="793A3189" w14:textId="65CBEF11" w:rsidR="009038DA" w:rsidRPr="00BD687D" w:rsidRDefault="009038DA" w:rsidP="009038DA">
      <w:pPr>
        <w:rPr>
          <w:sz w:val="24"/>
          <w:szCs w:val="24"/>
        </w:rPr>
      </w:pPr>
      <w:r>
        <w:rPr>
          <w:sz w:val="24"/>
          <w:szCs w:val="24"/>
        </w:rPr>
        <w:lastRenderedPageBreak/>
        <w:t xml:space="preserve">In the absence of </w:t>
      </w:r>
      <w:r w:rsidR="00B11F8A">
        <w:rPr>
          <w:sz w:val="24"/>
          <w:szCs w:val="24"/>
        </w:rPr>
        <w:t xml:space="preserve">an amendment to the </w:t>
      </w:r>
      <w:r w:rsidR="006A7D63">
        <w:rPr>
          <w:sz w:val="24"/>
          <w:szCs w:val="24"/>
        </w:rPr>
        <w:t>definition of ‘HFC Trial Region</w:t>
      </w:r>
      <w:r w:rsidR="00B11F8A">
        <w:rPr>
          <w:sz w:val="24"/>
          <w:szCs w:val="24"/>
        </w:rPr>
        <w:t xml:space="preserve"> in section 1.3 of the Principal Determination</w:t>
      </w:r>
      <w:r w:rsidR="006A7D63">
        <w:rPr>
          <w:sz w:val="24"/>
          <w:szCs w:val="24"/>
        </w:rPr>
        <w:t>,</w:t>
      </w:r>
      <w:r w:rsidR="00B11F8A">
        <w:rPr>
          <w:sz w:val="24"/>
          <w:szCs w:val="24"/>
        </w:rPr>
        <w:t xml:space="preserve"> NBN Co and any other like carrier would need to obtain explicit land owner consent to inspect land and install and maintain the HFC facilities</w:t>
      </w:r>
      <w:r w:rsidR="00446ED7">
        <w:rPr>
          <w:sz w:val="24"/>
          <w:szCs w:val="24"/>
        </w:rPr>
        <w:t>.</w:t>
      </w:r>
      <w:r w:rsidR="00B11F8A">
        <w:rPr>
          <w:sz w:val="24"/>
          <w:szCs w:val="24"/>
        </w:rPr>
        <w:t xml:space="preserve"> </w:t>
      </w:r>
      <w:r>
        <w:rPr>
          <w:sz w:val="24"/>
          <w:szCs w:val="24"/>
        </w:rPr>
        <w:t xml:space="preserve">This would mean a long and costly process for these carriers to install facilities. Given the variations in rules for overhead and other telecommunications facilities under state, territory and local government </w:t>
      </w:r>
      <w:r w:rsidRPr="00EB3639">
        <w:rPr>
          <w:sz w:val="24"/>
          <w:szCs w:val="24"/>
        </w:rPr>
        <w:t>planning regimes, inclusion of these facilities in the LIFD</w:t>
      </w:r>
      <w:r w:rsidRPr="00BD687D">
        <w:rPr>
          <w:sz w:val="24"/>
          <w:szCs w:val="24"/>
        </w:rPr>
        <w:t xml:space="preserve"> streamline</w:t>
      </w:r>
      <w:r>
        <w:rPr>
          <w:sz w:val="24"/>
          <w:szCs w:val="24"/>
        </w:rPr>
        <w:t>s</w:t>
      </w:r>
      <w:r w:rsidRPr="00BD687D">
        <w:rPr>
          <w:sz w:val="24"/>
          <w:szCs w:val="24"/>
        </w:rPr>
        <w:t xml:space="preserve"> national rollouts of these facilities. </w:t>
      </w:r>
      <w:r w:rsidR="00F6786C">
        <w:rPr>
          <w:sz w:val="24"/>
          <w:szCs w:val="24"/>
        </w:rPr>
        <w:t>Therefore, to facilitate the advancement of trial</w:t>
      </w:r>
      <w:r w:rsidR="006A7D63">
        <w:rPr>
          <w:sz w:val="24"/>
          <w:szCs w:val="24"/>
        </w:rPr>
        <w:t>s</w:t>
      </w:r>
      <w:r w:rsidR="00F6786C">
        <w:rPr>
          <w:sz w:val="24"/>
          <w:szCs w:val="24"/>
        </w:rPr>
        <w:t xml:space="preserve"> in these two areas</w:t>
      </w:r>
      <w:r w:rsidR="00B11F8A">
        <w:rPr>
          <w:sz w:val="24"/>
          <w:szCs w:val="24"/>
        </w:rPr>
        <w:t xml:space="preserve"> in Victoria and NSW</w:t>
      </w:r>
      <w:r w:rsidR="00F6786C">
        <w:rPr>
          <w:sz w:val="24"/>
          <w:szCs w:val="24"/>
        </w:rPr>
        <w:t>, the Amending Determination makes this addition.</w:t>
      </w:r>
      <w:r>
        <w:rPr>
          <w:sz w:val="24"/>
          <w:szCs w:val="24"/>
        </w:rPr>
        <w:br/>
      </w:r>
    </w:p>
    <w:p w14:paraId="1BB3EEFA" w14:textId="6E313F91" w:rsidR="00521CA5" w:rsidRDefault="00521CA5" w:rsidP="00521CA5">
      <w:pPr>
        <w:rPr>
          <w:color w:val="000000"/>
          <w:sz w:val="24"/>
          <w:szCs w:val="24"/>
        </w:rPr>
      </w:pPr>
      <w:r w:rsidRPr="0000096F">
        <w:rPr>
          <w:color w:val="000000"/>
          <w:sz w:val="24"/>
          <w:szCs w:val="24"/>
        </w:rPr>
        <w:t xml:space="preserve">Carriers installing facilities </w:t>
      </w:r>
      <w:r w:rsidR="007D0B56">
        <w:rPr>
          <w:color w:val="000000"/>
          <w:sz w:val="24"/>
          <w:szCs w:val="24"/>
        </w:rPr>
        <w:t xml:space="preserve">using </w:t>
      </w:r>
      <w:r w:rsidRPr="0000096F">
        <w:rPr>
          <w:color w:val="000000"/>
          <w:sz w:val="24"/>
          <w:szCs w:val="24"/>
        </w:rPr>
        <w:t xml:space="preserve">Schedule 3 powers </w:t>
      </w:r>
      <w:r w:rsidR="00804196">
        <w:rPr>
          <w:color w:val="000000"/>
          <w:sz w:val="24"/>
          <w:szCs w:val="24"/>
        </w:rPr>
        <w:t xml:space="preserve">and immunities </w:t>
      </w:r>
      <w:r w:rsidRPr="0000096F">
        <w:rPr>
          <w:color w:val="000000"/>
          <w:sz w:val="24"/>
          <w:szCs w:val="24"/>
        </w:rPr>
        <w:t>must</w:t>
      </w:r>
      <w:r w:rsidR="00804196">
        <w:rPr>
          <w:color w:val="000000"/>
          <w:sz w:val="24"/>
          <w:szCs w:val="24"/>
        </w:rPr>
        <w:t xml:space="preserve">, among other things, </w:t>
      </w:r>
      <w:r w:rsidRPr="0000096F">
        <w:rPr>
          <w:color w:val="000000"/>
          <w:sz w:val="24"/>
          <w:szCs w:val="24"/>
        </w:rPr>
        <w:t xml:space="preserve">comply with requirements at </w:t>
      </w:r>
      <w:r w:rsidR="00B11F8A">
        <w:rPr>
          <w:color w:val="000000"/>
          <w:sz w:val="24"/>
          <w:szCs w:val="24"/>
        </w:rPr>
        <w:t>c</w:t>
      </w:r>
      <w:r w:rsidRPr="0000096F">
        <w:rPr>
          <w:color w:val="000000"/>
          <w:sz w:val="24"/>
          <w:szCs w:val="24"/>
        </w:rPr>
        <w:t xml:space="preserve">lause 12 of Schedule 3 </w:t>
      </w:r>
      <w:r w:rsidR="00B11F8A">
        <w:rPr>
          <w:color w:val="000000"/>
          <w:sz w:val="24"/>
          <w:szCs w:val="24"/>
        </w:rPr>
        <w:t xml:space="preserve">to </w:t>
      </w:r>
      <w:r w:rsidRPr="0000096F">
        <w:rPr>
          <w:color w:val="000000"/>
          <w:sz w:val="24"/>
          <w:szCs w:val="24"/>
        </w:rPr>
        <w:t>the Act</w:t>
      </w:r>
      <w:r w:rsidR="00804196">
        <w:rPr>
          <w:color w:val="000000"/>
          <w:sz w:val="24"/>
          <w:szCs w:val="24"/>
        </w:rPr>
        <w:t xml:space="preserve">. Specifically, the </w:t>
      </w:r>
      <w:r w:rsidRPr="0000096F">
        <w:rPr>
          <w:color w:val="000000"/>
          <w:sz w:val="24"/>
          <w:szCs w:val="24"/>
        </w:rPr>
        <w:t>install</w:t>
      </w:r>
      <w:r w:rsidR="00804196">
        <w:rPr>
          <w:color w:val="000000"/>
          <w:sz w:val="24"/>
          <w:szCs w:val="24"/>
        </w:rPr>
        <w:t xml:space="preserve">ation </w:t>
      </w:r>
      <w:r w:rsidR="009C1010">
        <w:rPr>
          <w:color w:val="000000"/>
          <w:sz w:val="24"/>
          <w:szCs w:val="24"/>
        </w:rPr>
        <w:t xml:space="preserve">must </w:t>
      </w:r>
      <w:r w:rsidR="00804196">
        <w:rPr>
          <w:color w:val="000000"/>
          <w:sz w:val="24"/>
          <w:szCs w:val="24"/>
        </w:rPr>
        <w:t xml:space="preserve">meet </w:t>
      </w:r>
      <w:r w:rsidRPr="0000096F">
        <w:rPr>
          <w:color w:val="000000"/>
          <w:sz w:val="24"/>
          <w:szCs w:val="24"/>
        </w:rPr>
        <w:t>relevant industry standards, including any relevant standards for the installation of telecommunications facilities on public utility infrastructure.</w:t>
      </w:r>
      <w:r w:rsidR="00E824A5">
        <w:rPr>
          <w:color w:val="000000"/>
          <w:sz w:val="24"/>
          <w:szCs w:val="24"/>
        </w:rPr>
        <w:t xml:space="preserve"> In addition, </w:t>
      </w:r>
      <w:r w:rsidR="00E824A5" w:rsidRPr="00E824A5">
        <w:rPr>
          <w:color w:val="000000"/>
          <w:sz w:val="24"/>
          <w:szCs w:val="24"/>
        </w:rPr>
        <w:t xml:space="preserve">carriers must make reasonable efforts to enter into agreements with public utilities when engaging in activities that are likely to affect the operations of the utility </w:t>
      </w:r>
      <w:r w:rsidR="00E824A5">
        <w:rPr>
          <w:color w:val="000000"/>
          <w:sz w:val="24"/>
          <w:szCs w:val="24"/>
        </w:rPr>
        <w:t>in accordance with Clause 11 of Schedule 3 in the Act.</w:t>
      </w:r>
    </w:p>
    <w:p w14:paraId="0368EDC1" w14:textId="77777777" w:rsidR="00F6786C" w:rsidRDefault="00F6786C" w:rsidP="00521CA5">
      <w:pPr>
        <w:rPr>
          <w:color w:val="000000"/>
          <w:sz w:val="24"/>
          <w:szCs w:val="24"/>
        </w:rPr>
      </w:pPr>
    </w:p>
    <w:p w14:paraId="3C0B0F2D" w14:textId="77777777" w:rsidR="00AE42C2" w:rsidRPr="002612B8" w:rsidRDefault="00CC42CA" w:rsidP="00652A58">
      <w:pPr>
        <w:pStyle w:val="BodyText2"/>
        <w:keepNext/>
        <w:rPr>
          <w:b/>
          <w:szCs w:val="24"/>
        </w:rPr>
      </w:pPr>
      <w:r>
        <w:rPr>
          <w:b/>
          <w:szCs w:val="24"/>
        </w:rPr>
        <w:t>Consultation</w:t>
      </w:r>
    </w:p>
    <w:p w14:paraId="0F51F922" w14:textId="77777777" w:rsidR="00AE42C2" w:rsidRPr="002612B8" w:rsidRDefault="00AE42C2" w:rsidP="00652A58">
      <w:pPr>
        <w:pStyle w:val="BodyText2"/>
        <w:keepNext/>
        <w:rPr>
          <w:szCs w:val="24"/>
        </w:rPr>
      </w:pPr>
    </w:p>
    <w:p w14:paraId="56CF4147" w14:textId="222834DE" w:rsidR="00FE400D" w:rsidRPr="00FE400D" w:rsidRDefault="009304C5" w:rsidP="008114E0">
      <w:pPr>
        <w:rPr>
          <w:i/>
          <w:sz w:val="24"/>
          <w:szCs w:val="24"/>
        </w:rPr>
      </w:pPr>
      <w:r>
        <w:rPr>
          <w:sz w:val="24"/>
          <w:szCs w:val="24"/>
        </w:rPr>
        <w:t xml:space="preserve">Local government areas in proposed new HFC trial regions and electricity network owners whose assets may be used </w:t>
      </w:r>
      <w:r w:rsidR="00F6786C">
        <w:rPr>
          <w:sz w:val="24"/>
          <w:szCs w:val="24"/>
        </w:rPr>
        <w:t xml:space="preserve">were </w:t>
      </w:r>
      <w:r>
        <w:rPr>
          <w:sz w:val="24"/>
          <w:szCs w:val="24"/>
        </w:rPr>
        <w:t xml:space="preserve">consulted. </w:t>
      </w:r>
      <w:r w:rsidR="00F6786C">
        <w:rPr>
          <w:sz w:val="24"/>
          <w:szCs w:val="24"/>
        </w:rPr>
        <w:t>Only one submission was received</w:t>
      </w:r>
      <w:r w:rsidR="001028ED">
        <w:rPr>
          <w:sz w:val="24"/>
          <w:szCs w:val="24"/>
        </w:rPr>
        <w:t xml:space="preserve"> by the closing date. This submission was</w:t>
      </w:r>
      <w:r w:rsidR="00F6786C">
        <w:rPr>
          <w:sz w:val="24"/>
          <w:szCs w:val="24"/>
        </w:rPr>
        <w:t xml:space="preserve"> </w:t>
      </w:r>
      <w:r w:rsidR="0052531F">
        <w:rPr>
          <w:sz w:val="24"/>
          <w:szCs w:val="24"/>
        </w:rPr>
        <w:t xml:space="preserve">from United Energy in Victoria, </w:t>
      </w:r>
      <w:r w:rsidR="00F6786C">
        <w:rPr>
          <w:sz w:val="24"/>
          <w:szCs w:val="24"/>
        </w:rPr>
        <w:t xml:space="preserve">which was </w:t>
      </w:r>
      <w:r w:rsidR="0052531F">
        <w:rPr>
          <w:sz w:val="24"/>
          <w:szCs w:val="24"/>
        </w:rPr>
        <w:t>supportive of the trial taking place in Wheelers Hill.</w:t>
      </w:r>
    </w:p>
    <w:p w14:paraId="680815E9" w14:textId="77777777" w:rsidR="00F145C3" w:rsidRDefault="00F145C3" w:rsidP="008114E0">
      <w:pPr>
        <w:rPr>
          <w:sz w:val="24"/>
          <w:szCs w:val="24"/>
        </w:rPr>
      </w:pPr>
    </w:p>
    <w:p w14:paraId="193D72AC" w14:textId="77777777" w:rsidR="008166C7" w:rsidRDefault="008166C7" w:rsidP="008166C7">
      <w:pPr>
        <w:pStyle w:val="BodyText2"/>
        <w:keepNext/>
        <w:rPr>
          <w:b/>
          <w:szCs w:val="24"/>
        </w:rPr>
      </w:pPr>
      <w:r>
        <w:rPr>
          <w:b/>
          <w:szCs w:val="24"/>
        </w:rPr>
        <w:t>Regulatory Impact Statement</w:t>
      </w:r>
    </w:p>
    <w:p w14:paraId="656500F5" w14:textId="77777777" w:rsidR="008166C7" w:rsidRDefault="008166C7" w:rsidP="008166C7">
      <w:pPr>
        <w:pStyle w:val="BodyText2"/>
        <w:keepNext/>
        <w:rPr>
          <w:b/>
          <w:szCs w:val="24"/>
        </w:rPr>
      </w:pPr>
    </w:p>
    <w:p w14:paraId="0CDB5239" w14:textId="2EE8C7AB" w:rsidR="002F6936" w:rsidRDefault="00FA67B0" w:rsidP="008166C7">
      <w:pPr>
        <w:pStyle w:val="BodyText2"/>
        <w:keepNext/>
        <w:rPr>
          <w:szCs w:val="24"/>
        </w:rPr>
      </w:pPr>
      <w:r>
        <w:rPr>
          <w:szCs w:val="24"/>
        </w:rPr>
        <w:t xml:space="preserve">OBPR </w:t>
      </w:r>
      <w:r w:rsidR="009304C5">
        <w:rPr>
          <w:szCs w:val="24"/>
        </w:rPr>
        <w:t>previously</w:t>
      </w:r>
      <w:r>
        <w:rPr>
          <w:szCs w:val="24"/>
        </w:rPr>
        <w:t xml:space="preserve"> advised that</w:t>
      </w:r>
      <w:r w:rsidR="005F1E0F">
        <w:rPr>
          <w:szCs w:val="24"/>
        </w:rPr>
        <w:t xml:space="preserve"> </w:t>
      </w:r>
      <w:r w:rsidR="009304C5">
        <w:rPr>
          <w:szCs w:val="24"/>
        </w:rPr>
        <w:t>a Regulation Impact Statement was</w:t>
      </w:r>
      <w:r w:rsidR="005F1E0F">
        <w:rPr>
          <w:szCs w:val="24"/>
        </w:rPr>
        <w:t xml:space="preserve"> not required for the </w:t>
      </w:r>
      <w:r w:rsidR="002F6936">
        <w:rPr>
          <w:szCs w:val="24"/>
        </w:rPr>
        <w:t>original changes in April 2015 that created the definition of HFC Trial Region</w:t>
      </w:r>
      <w:r w:rsidR="005F1E0F">
        <w:rPr>
          <w:szCs w:val="24"/>
        </w:rPr>
        <w:t xml:space="preserve"> </w:t>
      </w:r>
      <w:r w:rsidR="002F6936">
        <w:rPr>
          <w:szCs w:val="24"/>
        </w:rPr>
        <w:t>(</w:t>
      </w:r>
      <w:r w:rsidR="00463C96" w:rsidRPr="00463C96">
        <w:rPr>
          <w:szCs w:val="24"/>
        </w:rPr>
        <w:t>OBPR ID 18583</w:t>
      </w:r>
      <w:r w:rsidR="002F6936">
        <w:rPr>
          <w:szCs w:val="24"/>
        </w:rPr>
        <w:t>)</w:t>
      </w:r>
      <w:r w:rsidR="005F1E0F">
        <w:rPr>
          <w:szCs w:val="24"/>
        </w:rPr>
        <w:t xml:space="preserve">. </w:t>
      </w:r>
      <w:r w:rsidR="00435C17">
        <w:rPr>
          <w:szCs w:val="24"/>
        </w:rPr>
        <w:t xml:space="preserve">In giving this advice OBPR noted that the changes </w:t>
      </w:r>
      <w:r w:rsidR="00804196">
        <w:rPr>
          <w:szCs w:val="24"/>
        </w:rPr>
        <w:t xml:space="preserve">contained in the Amending Determination </w:t>
      </w:r>
      <w:r w:rsidR="000D0F70">
        <w:rPr>
          <w:szCs w:val="24"/>
        </w:rPr>
        <w:t>are</w:t>
      </w:r>
      <w:r w:rsidR="00435C17">
        <w:rPr>
          <w:szCs w:val="24"/>
        </w:rPr>
        <w:t xml:space="preserve"> time limited. </w:t>
      </w:r>
    </w:p>
    <w:p w14:paraId="05543AB6" w14:textId="77777777" w:rsidR="008166C7" w:rsidRDefault="008166C7" w:rsidP="008114E0">
      <w:pPr>
        <w:rPr>
          <w:sz w:val="24"/>
          <w:szCs w:val="24"/>
        </w:rPr>
      </w:pPr>
    </w:p>
    <w:p w14:paraId="42BE3D53" w14:textId="2C0FF5D9" w:rsidR="001A66E2" w:rsidRDefault="001249E4" w:rsidP="00AC14A4">
      <w:pPr>
        <w:rPr>
          <w:sz w:val="24"/>
          <w:szCs w:val="24"/>
        </w:rPr>
      </w:pPr>
      <w:r>
        <w:rPr>
          <w:b/>
          <w:sz w:val="24"/>
          <w:szCs w:val="24"/>
        </w:rPr>
        <w:t xml:space="preserve">Notes on Amendments and </w:t>
      </w:r>
      <w:r w:rsidR="001A66E2">
        <w:rPr>
          <w:b/>
          <w:sz w:val="24"/>
          <w:szCs w:val="24"/>
        </w:rPr>
        <w:t>Attachments</w:t>
      </w:r>
    </w:p>
    <w:p w14:paraId="6E750C0F" w14:textId="77777777" w:rsidR="001A66E2" w:rsidRDefault="001A66E2" w:rsidP="00AC14A4">
      <w:pPr>
        <w:rPr>
          <w:sz w:val="24"/>
          <w:szCs w:val="24"/>
        </w:rPr>
      </w:pPr>
    </w:p>
    <w:p w14:paraId="0B5D1DE1" w14:textId="77777777" w:rsidR="00AC14A4" w:rsidRPr="002612B8" w:rsidRDefault="00CC42CA" w:rsidP="00AC14A4">
      <w:pPr>
        <w:rPr>
          <w:sz w:val="24"/>
          <w:szCs w:val="24"/>
        </w:rPr>
      </w:pPr>
      <w:r w:rsidRPr="00CC42CA">
        <w:rPr>
          <w:sz w:val="24"/>
          <w:szCs w:val="24"/>
        </w:rPr>
        <w:t xml:space="preserve">The Amending Determination is a legislative instrument for the purposes of the </w:t>
      </w:r>
      <w:r w:rsidRPr="00CC42CA">
        <w:rPr>
          <w:i/>
          <w:sz w:val="24"/>
          <w:szCs w:val="24"/>
        </w:rPr>
        <w:t>Legislative Instruments Act 2003</w:t>
      </w:r>
      <w:r w:rsidRPr="00CC42CA">
        <w:rPr>
          <w:sz w:val="24"/>
          <w:szCs w:val="24"/>
        </w:rPr>
        <w:t xml:space="preserve">.  </w:t>
      </w:r>
    </w:p>
    <w:p w14:paraId="0E4FF857" w14:textId="77777777" w:rsidR="00AC14A4" w:rsidRPr="002612B8" w:rsidRDefault="00AC14A4" w:rsidP="00AC14A4">
      <w:pPr>
        <w:pStyle w:val="BodyText2"/>
        <w:rPr>
          <w:szCs w:val="24"/>
        </w:rPr>
      </w:pPr>
    </w:p>
    <w:p w14:paraId="2CF6CC8A" w14:textId="5AB7F09D" w:rsidR="008166C7" w:rsidRPr="008166C7" w:rsidRDefault="00CC42CA" w:rsidP="008166C7">
      <w:pPr>
        <w:pStyle w:val="BodyText2"/>
        <w:rPr>
          <w:szCs w:val="24"/>
        </w:rPr>
      </w:pPr>
      <w:r w:rsidRPr="00CC42CA">
        <w:rPr>
          <w:szCs w:val="24"/>
        </w:rPr>
        <w:t xml:space="preserve">Details of the accompanying Amending Determination are set out in the </w:t>
      </w:r>
      <w:r w:rsidRPr="008166C7">
        <w:rPr>
          <w:szCs w:val="24"/>
          <w:u w:val="single"/>
        </w:rPr>
        <w:t>Attachment</w:t>
      </w:r>
      <w:r w:rsidR="00022EAC" w:rsidRPr="008166C7">
        <w:rPr>
          <w:szCs w:val="24"/>
          <w:u w:val="single"/>
        </w:rPr>
        <w:t xml:space="preserve"> </w:t>
      </w:r>
      <w:r w:rsidR="008166C7" w:rsidRPr="008166C7">
        <w:rPr>
          <w:szCs w:val="24"/>
          <w:u w:val="single"/>
        </w:rPr>
        <w:t>1</w:t>
      </w:r>
      <w:r w:rsidR="008166C7">
        <w:rPr>
          <w:szCs w:val="24"/>
        </w:rPr>
        <w:t xml:space="preserve"> and t</w:t>
      </w:r>
      <w:r w:rsidR="008166C7" w:rsidRPr="008166C7">
        <w:rPr>
          <w:szCs w:val="24"/>
        </w:rPr>
        <w:t xml:space="preserve">he Statement of Compatibility with Human Rights for the Amending </w:t>
      </w:r>
      <w:r w:rsidR="001D306C">
        <w:rPr>
          <w:szCs w:val="24"/>
        </w:rPr>
        <w:t xml:space="preserve">Determination </w:t>
      </w:r>
      <w:r w:rsidR="008166C7" w:rsidRPr="008166C7">
        <w:rPr>
          <w:szCs w:val="24"/>
        </w:rPr>
        <w:t xml:space="preserve">is set out in </w:t>
      </w:r>
      <w:r w:rsidR="008166C7" w:rsidRPr="008166C7">
        <w:rPr>
          <w:szCs w:val="24"/>
          <w:u w:val="single"/>
        </w:rPr>
        <w:t>Attachment 2</w:t>
      </w:r>
      <w:r w:rsidR="008166C7" w:rsidRPr="008166C7">
        <w:rPr>
          <w:szCs w:val="24"/>
        </w:rPr>
        <w:t>.</w:t>
      </w:r>
    </w:p>
    <w:p w14:paraId="1311A70C" w14:textId="77777777" w:rsidR="008166C7" w:rsidRPr="008166C7" w:rsidRDefault="008166C7" w:rsidP="008166C7">
      <w:pPr>
        <w:pStyle w:val="BodyText2"/>
        <w:rPr>
          <w:szCs w:val="24"/>
        </w:rPr>
      </w:pPr>
    </w:p>
    <w:p w14:paraId="274233D4" w14:textId="77777777" w:rsidR="008166C7" w:rsidRPr="002612B8" w:rsidRDefault="008166C7" w:rsidP="00AC14A4">
      <w:pPr>
        <w:pStyle w:val="BodyText2"/>
        <w:rPr>
          <w:szCs w:val="24"/>
        </w:rPr>
      </w:pPr>
    </w:p>
    <w:p w14:paraId="31CB15E5" w14:textId="77777777" w:rsidR="00094099" w:rsidRPr="002612B8" w:rsidRDefault="00CC42CA" w:rsidP="00AE42C2">
      <w:pPr>
        <w:rPr>
          <w:sz w:val="24"/>
          <w:szCs w:val="24"/>
        </w:rPr>
      </w:pPr>
      <w:r w:rsidRPr="00CC42CA">
        <w:rPr>
          <w:sz w:val="24"/>
          <w:szCs w:val="24"/>
        </w:rPr>
        <w:br w:type="page"/>
      </w:r>
    </w:p>
    <w:p w14:paraId="5713CFC7" w14:textId="77777777" w:rsidR="00AE42C2" w:rsidRPr="002612B8" w:rsidRDefault="00CC42CA" w:rsidP="008D13C2">
      <w:pPr>
        <w:ind w:right="91"/>
        <w:jc w:val="right"/>
        <w:rPr>
          <w:sz w:val="24"/>
          <w:szCs w:val="24"/>
          <w:u w:val="single"/>
        </w:rPr>
      </w:pPr>
      <w:r w:rsidRPr="00CC42CA">
        <w:rPr>
          <w:b/>
          <w:sz w:val="24"/>
          <w:szCs w:val="24"/>
          <w:u w:val="single"/>
        </w:rPr>
        <w:lastRenderedPageBreak/>
        <w:t>ATTACHMENT</w:t>
      </w:r>
      <w:r w:rsidR="008166C7">
        <w:rPr>
          <w:b/>
          <w:sz w:val="24"/>
          <w:szCs w:val="24"/>
          <w:u w:val="single"/>
        </w:rPr>
        <w:t xml:space="preserve"> 1</w:t>
      </w:r>
    </w:p>
    <w:p w14:paraId="2E16DA1D" w14:textId="77777777" w:rsidR="00AE42C2" w:rsidRPr="002612B8" w:rsidRDefault="00AE42C2" w:rsidP="00AE42C2">
      <w:pPr>
        <w:ind w:right="91"/>
        <w:jc w:val="right"/>
        <w:rPr>
          <w:sz w:val="24"/>
          <w:szCs w:val="24"/>
        </w:rPr>
      </w:pPr>
    </w:p>
    <w:p w14:paraId="3DBA55B0" w14:textId="0AEF8C14" w:rsidR="007B0948" w:rsidRPr="002612B8" w:rsidRDefault="00CC42CA" w:rsidP="007B0948">
      <w:pPr>
        <w:pStyle w:val="Heading1"/>
        <w:rPr>
          <w:b/>
          <w:i w:val="0"/>
          <w:szCs w:val="24"/>
          <w:u w:val="single"/>
        </w:rPr>
      </w:pPr>
      <w:r w:rsidRPr="00CC42CA">
        <w:rPr>
          <w:b/>
          <w:i w:val="0"/>
          <w:szCs w:val="24"/>
          <w:u w:val="single"/>
        </w:rPr>
        <w:t>Details of the</w:t>
      </w:r>
      <w:r w:rsidRPr="00CC42CA">
        <w:rPr>
          <w:b/>
          <w:szCs w:val="24"/>
          <w:u w:val="single"/>
        </w:rPr>
        <w:t xml:space="preserve"> Telecommunications (Low-impact Facilities) Det</w:t>
      </w:r>
      <w:r w:rsidR="00066EF3">
        <w:rPr>
          <w:b/>
          <w:szCs w:val="24"/>
          <w:u w:val="single"/>
        </w:rPr>
        <w:t>ermination 1997 (Amendment No. 2</w:t>
      </w:r>
      <w:r w:rsidRPr="00CC42CA">
        <w:rPr>
          <w:b/>
          <w:szCs w:val="24"/>
          <w:u w:val="single"/>
        </w:rPr>
        <w:t xml:space="preserve"> of </w:t>
      </w:r>
      <w:r w:rsidR="008166C7">
        <w:rPr>
          <w:b/>
          <w:szCs w:val="24"/>
          <w:u w:val="single"/>
        </w:rPr>
        <w:t>2015</w:t>
      </w:r>
      <w:r w:rsidRPr="00CC42CA">
        <w:rPr>
          <w:b/>
          <w:szCs w:val="24"/>
          <w:u w:val="single"/>
        </w:rPr>
        <w:t>)</w:t>
      </w:r>
    </w:p>
    <w:p w14:paraId="307621E5" w14:textId="77777777" w:rsidR="008D13C2" w:rsidRPr="002612B8" w:rsidRDefault="008D13C2" w:rsidP="008D13C2">
      <w:pPr>
        <w:rPr>
          <w:sz w:val="24"/>
          <w:szCs w:val="24"/>
        </w:rPr>
      </w:pPr>
    </w:p>
    <w:p w14:paraId="3EFF29AE" w14:textId="77777777" w:rsidR="00AE42C2" w:rsidRPr="002612B8" w:rsidRDefault="00CC42CA" w:rsidP="00AE42C2">
      <w:pPr>
        <w:ind w:right="91"/>
        <w:rPr>
          <w:b/>
          <w:sz w:val="24"/>
          <w:szCs w:val="24"/>
        </w:rPr>
      </w:pPr>
      <w:r w:rsidRPr="00CC42CA">
        <w:rPr>
          <w:b/>
          <w:sz w:val="24"/>
          <w:szCs w:val="24"/>
        </w:rPr>
        <w:t>Section 1 – Name of Determination</w:t>
      </w:r>
    </w:p>
    <w:p w14:paraId="5DEEC9BB" w14:textId="77777777" w:rsidR="00AE42C2" w:rsidRPr="002612B8" w:rsidRDefault="00AE42C2" w:rsidP="00AE42C2">
      <w:pPr>
        <w:ind w:right="91"/>
        <w:rPr>
          <w:sz w:val="24"/>
          <w:szCs w:val="24"/>
        </w:rPr>
      </w:pPr>
    </w:p>
    <w:p w14:paraId="2CBDFCC0" w14:textId="194CDB66" w:rsidR="00AE42C2" w:rsidRPr="002612B8" w:rsidRDefault="00CC42CA" w:rsidP="00AE42C2">
      <w:pPr>
        <w:pStyle w:val="Heading1"/>
        <w:jc w:val="left"/>
        <w:rPr>
          <w:szCs w:val="24"/>
        </w:rPr>
      </w:pPr>
      <w:r w:rsidRPr="00CC42CA">
        <w:rPr>
          <w:i w:val="0"/>
          <w:szCs w:val="24"/>
        </w:rPr>
        <w:t xml:space="preserve">Section 1 provides that the title of the Determination is the </w:t>
      </w:r>
      <w:r w:rsidRPr="00CC42CA">
        <w:rPr>
          <w:szCs w:val="24"/>
        </w:rPr>
        <w:t>Telecommunications (Low-impact Facilities) Det</w:t>
      </w:r>
      <w:r w:rsidR="00066EF3">
        <w:rPr>
          <w:szCs w:val="24"/>
        </w:rPr>
        <w:t>ermination 1997 (Amendment No. 2</w:t>
      </w:r>
      <w:r w:rsidRPr="00CC42CA">
        <w:rPr>
          <w:szCs w:val="24"/>
        </w:rPr>
        <w:t xml:space="preserve"> of 201</w:t>
      </w:r>
      <w:r w:rsidR="008F6F8E">
        <w:rPr>
          <w:szCs w:val="24"/>
        </w:rPr>
        <w:t>5</w:t>
      </w:r>
      <w:r w:rsidRPr="00CC42CA">
        <w:rPr>
          <w:szCs w:val="24"/>
        </w:rPr>
        <w:t xml:space="preserve">) </w:t>
      </w:r>
      <w:r w:rsidRPr="00CC42CA">
        <w:rPr>
          <w:i w:val="0"/>
          <w:szCs w:val="24"/>
        </w:rPr>
        <w:t>(the Amending Determination).</w:t>
      </w:r>
    </w:p>
    <w:p w14:paraId="0F962838" w14:textId="77777777" w:rsidR="00AE42C2" w:rsidRPr="002612B8" w:rsidRDefault="00AE42C2" w:rsidP="00AE42C2">
      <w:pPr>
        <w:ind w:right="91"/>
        <w:rPr>
          <w:sz w:val="24"/>
          <w:szCs w:val="24"/>
        </w:rPr>
      </w:pPr>
    </w:p>
    <w:p w14:paraId="0E91B75A" w14:textId="77777777" w:rsidR="00AE42C2" w:rsidRPr="002612B8" w:rsidRDefault="00CC42CA" w:rsidP="00AE42C2">
      <w:pPr>
        <w:ind w:right="91"/>
        <w:rPr>
          <w:b/>
          <w:sz w:val="24"/>
          <w:szCs w:val="24"/>
        </w:rPr>
      </w:pPr>
      <w:r w:rsidRPr="00CC42CA">
        <w:rPr>
          <w:b/>
          <w:sz w:val="24"/>
          <w:szCs w:val="24"/>
        </w:rPr>
        <w:t>Section 2 – Commencement</w:t>
      </w:r>
    </w:p>
    <w:p w14:paraId="0733A45B" w14:textId="77777777" w:rsidR="00AE42C2" w:rsidRPr="002612B8" w:rsidRDefault="00AE42C2" w:rsidP="00AE42C2">
      <w:pPr>
        <w:ind w:right="91"/>
        <w:rPr>
          <w:sz w:val="24"/>
          <w:szCs w:val="24"/>
        </w:rPr>
      </w:pPr>
    </w:p>
    <w:p w14:paraId="6334F46C" w14:textId="77777777" w:rsidR="00AE42C2" w:rsidRPr="002612B8" w:rsidRDefault="00CC42CA" w:rsidP="00AE42C2">
      <w:pPr>
        <w:ind w:right="91"/>
        <w:rPr>
          <w:sz w:val="24"/>
          <w:szCs w:val="24"/>
        </w:rPr>
      </w:pPr>
      <w:r w:rsidRPr="00CC42CA">
        <w:rPr>
          <w:sz w:val="24"/>
          <w:szCs w:val="24"/>
        </w:rPr>
        <w:t>Section 2 provides that the Amending Determination commences on the day after it is registered on the Federal Register of Legislative Instruments.</w:t>
      </w:r>
    </w:p>
    <w:p w14:paraId="0191CA60" w14:textId="77777777" w:rsidR="00AE42C2" w:rsidRPr="002612B8" w:rsidRDefault="00AE42C2" w:rsidP="00AE42C2">
      <w:pPr>
        <w:ind w:right="91"/>
        <w:rPr>
          <w:sz w:val="24"/>
          <w:szCs w:val="24"/>
        </w:rPr>
      </w:pPr>
    </w:p>
    <w:p w14:paraId="510D7102" w14:textId="77777777" w:rsidR="00AE42C2" w:rsidRPr="002612B8" w:rsidRDefault="00CC42CA" w:rsidP="00AE42C2">
      <w:pPr>
        <w:ind w:right="91"/>
        <w:rPr>
          <w:b/>
          <w:i/>
          <w:sz w:val="24"/>
          <w:szCs w:val="24"/>
        </w:rPr>
      </w:pPr>
      <w:r w:rsidRPr="00CC42CA">
        <w:rPr>
          <w:b/>
          <w:sz w:val="24"/>
          <w:szCs w:val="24"/>
        </w:rPr>
        <w:t>Section 3 – Variation</w:t>
      </w:r>
    </w:p>
    <w:p w14:paraId="0BB5330C" w14:textId="77777777" w:rsidR="00066CAF" w:rsidRPr="002612B8" w:rsidRDefault="00066CAF" w:rsidP="00AE42C2">
      <w:pPr>
        <w:ind w:right="91"/>
        <w:rPr>
          <w:b/>
          <w:i/>
          <w:sz w:val="24"/>
          <w:szCs w:val="24"/>
        </w:rPr>
      </w:pPr>
    </w:p>
    <w:p w14:paraId="4173FFB8" w14:textId="77777777" w:rsidR="00066CAF" w:rsidRPr="002612B8" w:rsidRDefault="00CC42CA" w:rsidP="00AE42C2">
      <w:pPr>
        <w:ind w:right="91"/>
        <w:rPr>
          <w:color w:val="000000"/>
          <w:sz w:val="24"/>
          <w:szCs w:val="24"/>
        </w:rPr>
      </w:pPr>
      <w:r w:rsidRPr="00CC42CA">
        <w:rPr>
          <w:sz w:val="24"/>
          <w:szCs w:val="24"/>
        </w:rPr>
        <w:t xml:space="preserve">Section 3 provides that the </w:t>
      </w:r>
      <w:r w:rsidRPr="00CC42CA">
        <w:rPr>
          <w:i/>
          <w:sz w:val="24"/>
          <w:szCs w:val="24"/>
        </w:rPr>
        <w:t>Telecommunications (Low-impact Facilities) Determination 1997</w:t>
      </w:r>
      <w:r w:rsidRPr="00CC42CA">
        <w:rPr>
          <w:color w:val="000000"/>
          <w:sz w:val="24"/>
          <w:szCs w:val="24"/>
        </w:rPr>
        <w:t xml:space="preserve"> (the Principal Determination) is amended as set out in the Schedule to the Amending Determination.</w:t>
      </w:r>
    </w:p>
    <w:p w14:paraId="1A25FDB4" w14:textId="77777777" w:rsidR="0043221E" w:rsidRDefault="0043221E" w:rsidP="00AE42C2">
      <w:pPr>
        <w:ind w:right="91"/>
        <w:rPr>
          <w:color w:val="000000"/>
          <w:sz w:val="24"/>
          <w:szCs w:val="24"/>
        </w:rPr>
      </w:pPr>
    </w:p>
    <w:p w14:paraId="3E829D49" w14:textId="69631206" w:rsidR="008F6F8E" w:rsidRPr="002612B8" w:rsidRDefault="008F6F8E" w:rsidP="008F6F8E">
      <w:pPr>
        <w:ind w:right="91"/>
        <w:rPr>
          <w:b/>
          <w:i/>
          <w:sz w:val="24"/>
          <w:szCs w:val="24"/>
        </w:rPr>
      </w:pPr>
      <w:r w:rsidRPr="00CC42CA">
        <w:rPr>
          <w:b/>
          <w:sz w:val="24"/>
          <w:szCs w:val="24"/>
        </w:rPr>
        <w:t xml:space="preserve">Section </w:t>
      </w:r>
      <w:r>
        <w:rPr>
          <w:b/>
          <w:sz w:val="24"/>
          <w:szCs w:val="24"/>
        </w:rPr>
        <w:t>4</w:t>
      </w:r>
      <w:r w:rsidR="00E35122">
        <w:rPr>
          <w:b/>
          <w:sz w:val="24"/>
          <w:szCs w:val="24"/>
        </w:rPr>
        <w:t xml:space="preserve"> </w:t>
      </w:r>
      <w:r w:rsidRPr="00CC42CA">
        <w:rPr>
          <w:b/>
          <w:sz w:val="24"/>
          <w:szCs w:val="24"/>
        </w:rPr>
        <w:t xml:space="preserve">– </w:t>
      </w:r>
      <w:r>
        <w:rPr>
          <w:b/>
          <w:sz w:val="24"/>
          <w:szCs w:val="24"/>
        </w:rPr>
        <w:t>Expiry</w:t>
      </w:r>
    </w:p>
    <w:p w14:paraId="33D8CA85" w14:textId="77777777" w:rsidR="00FA5DFE" w:rsidRDefault="00FA5DFE" w:rsidP="008F6F8E">
      <w:pPr>
        <w:rPr>
          <w:color w:val="000000"/>
          <w:sz w:val="24"/>
          <w:szCs w:val="24"/>
        </w:rPr>
      </w:pPr>
    </w:p>
    <w:p w14:paraId="1EDE115B" w14:textId="5D96A0E8" w:rsidR="008F6F8E" w:rsidRPr="008F6F8E" w:rsidRDefault="008F6F8E" w:rsidP="008F6F8E">
      <w:pPr>
        <w:rPr>
          <w:color w:val="000000"/>
          <w:sz w:val="24"/>
          <w:szCs w:val="24"/>
        </w:rPr>
      </w:pPr>
      <w:r w:rsidRPr="008F6F8E">
        <w:rPr>
          <w:color w:val="000000"/>
          <w:sz w:val="24"/>
          <w:szCs w:val="24"/>
        </w:rPr>
        <w:t xml:space="preserve">Once the Amending </w:t>
      </w:r>
      <w:r w:rsidR="001D306C">
        <w:rPr>
          <w:color w:val="000000"/>
          <w:sz w:val="24"/>
          <w:szCs w:val="24"/>
        </w:rPr>
        <w:t>Determination</w:t>
      </w:r>
      <w:r w:rsidRPr="008F6F8E">
        <w:rPr>
          <w:color w:val="000000"/>
          <w:sz w:val="24"/>
          <w:szCs w:val="24"/>
        </w:rPr>
        <w:t xml:space="preserve"> has come into effect, it will have fulfilled its purpose (i.e. </w:t>
      </w:r>
      <w:r w:rsidR="00676D7C">
        <w:rPr>
          <w:color w:val="000000"/>
          <w:sz w:val="24"/>
          <w:szCs w:val="24"/>
        </w:rPr>
        <w:t>amend</w:t>
      </w:r>
      <w:r w:rsidR="00FF1527">
        <w:rPr>
          <w:color w:val="000000"/>
          <w:sz w:val="24"/>
          <w:szCs w:val="24"/>
        </w:rPr>
        <w:t>ing</w:t>
      </w:r>
      <w:r w:rsidRPr="008F6F8E">
        <w:rPr>
          <w:color w:val="000000"/>
          <w:sz w:val="24"/>
          <w:szCs w:val="24"/>
        </w:rPr>
        <w:t xml:space="preserve"> the </w:t>
      </w:r>
      <w:r w:rsidR="00FA67B0">
        <w:rPr>
          <w:color w:val="000000"/>
          <w:sz w:val="24"/>
          <w:szCs w:val="24"/>
        </w:rPr>
        <w:t xml:space="preserve">Principal </w:t>
      </w:r>
      <w:r w:rsidR="001D306C">
        <w:rPr>
          <w:color w:val="000000"/>
          <w:sz w:val="24"/>
          <w:szCs w:val="24"/>
        </w:rPr>
        <w:t>Determination</w:t>
      </w:r>
      <w:r w:rsidRPr="008F6F8E">
        <w:rPr>
          <w:color w:val="000000"/>
          <w:sz w:val="24"/>
          <w:szCs w:val="24"/>
        </w:rPr>
        <w:t>)</w:t>
      </w:r>
      <w:r w:rsidR="00676D7C">
        <w:rPr>
          <w:color w:val="000000"/>
          <w:sz w:val="24"/>
          <w:szCs w:val="24"/>
        </w:rPr>
        <w:t xml:space="preserve"> which will have ongoing effect</w:t>
      </w:r>
      <w:r w:rsidR="00493514">
        <w:rPr>
          <w:color w:val="000000"/>
          <w:sz w:val="24"/>
          <w:szCs w:val="24"/>
        </w:rPr>
        <w:t xml:space="preserve"> for the period specified in relation to the amendment</w:t>
      </w:r>
      <w:r w:rsidRPr="008F6F8E">
        <w:rPr>
          <w:color w:val="000000"/>
          <w:sz w:val="24"/>
          <w:szCs w:val="24"/>
        </w:rPr>
        <w:t xml:space="preserve">.  Therefore, the amending instrument itself can be removed from the Federal Register of Legislative Instruments. Accordingly, a self-expiry provision has been included in the Amending </w:t>
      </w:r>
      <w:r w:rsidR="001D306C">
        <w:rPr>
          <w:color w:val="000000"/>
          <w:sz w:val="24"/>
          <w:szCs w:val="24"/>
        </w:rPr>
        <w:t>Determination</w:t>
      </w:r>
      <w:r w:rsidRPr="008F6F8E">
        <w:rPr>
          <w:color w:val="000000"/>
          <w:sz w:val="24"/>
          <w:szCs w:val="24"/>
        </w:rPr>
        <w:t xml:space="preserve"> at section 4. </w:t>
      </w:r>
    </w:p>
    <w:p w14:paraId="484C9D03" w14:textId="77777777" w:rsidR="008F6F8E" w:rsidRDefault="008F6F8E" w:rsidP="00AE42C2">
      <w:pPr>
        <w:ind w:right="91"/>
        <w:rPr>
          <w:b/>
          <w:sz w:val="24"/>
          <w:szCs w:val="24"/>
        </w:rPr>
      </w:pPr>
    </w:p>
    <w:p w14:paraId="3E304479" w14:textId="77777777" w:rsidR="0043221E" w:rsidRPr="002612B8" w:rsidRDefault="00CC42CA" w:rsidP="00AE42C2">
      <w:pPr>
        <w:ind w:right="91"/>
        <w:rPr>
          <w:b/>
          <w:sz w:val="24"/>
          <w:szCs w:val="24"/>
        </w:rPr>
      </w:pPr>
      <w:r w:rsidRPr="00CC42CA">
        <w:rPr>
          <w:b/>
          <w:sz w:val="24"/>
          <w:szCs w:val="24"/>
        </w:rPr>
        <w:t>Schedule – Amendments</w:t>
      </w:r>
    </w:p>
    <w:p w14:paraId="5CBF9B44" w14:textId="77777777" w:rsidR="00BB214D" w:rsidRPr="002612B8" w:rsidRDefault="00BB214D" w:rsidP="00AE42C2">
      <w:pPr>
        <w:ind w:right="91"/>
        <w:rPr>
          <w:b/>
          <w:sz w:val="24"/>
          <w:szCs w:val="24"/>
        </w:rPr>
      </w:pPr>
    </w:p>
    <w:p w14:paraId="549E133D" w14:textId="5DBE8B28" w:rsidR="003A4182" w:rsidRPr="00A16D48" w:rsidRDefault="00493514" w:rsidP="00FA5DFE">
      <w:pPr>
        <w:ind w:right="91"/>
        <w:rPr>
          <w:sz w:val="24"/>
          <w:szCs w:val="24"/>
        </w:rPr>
      </w:pPr>
      <w:r>
        <w:rPr>
          <w:sz w:val="24"/>
          <w:szCs w:val="24"/>
        </w:rPr>
        <w:t>The S</w:t>
      </w:r>
      <w:r w:rsidR="0014707C">
        <w:rPr>
          <w:sz w:val="24"/>
          <w:szCs w:val="24"/>
        </w:rPr>
        <w:t>chedule to the Amending Determination sets out the specific amendments being made to the Principal Determination.</w:t>
      </w:r>
    </w:p>
    <w:p w14:paraId="2284DDB3" w14:textId="78E7A314" w:rsidR="0014707C" w:rsidRDefault="0014707C" w:rsidP="00FA5DFE">
      <w:pPr>
        <w:ind w:right="91"/>
        <w:rPr>
          <w:b/>
          <w:sz w:val="24"/>
          <w:szCs w:val="24"/>
        </w:rPr>
      </w:pPr>
    </w:p>
    <w:p w14:paraId="3DB45A38" w14:textId="2F7453B8" w:rsidR="00FA5DFE" w:rsidRDefault="00FA5DFE" w:rsidP="00FA5DFE">
      <w:pPr>
        <w:ind w:right="91"/>
        <w:rPr>
          <w:b/>
          <w:sz w:val="24"/>
          <w:szCs w:val="24"/>
        </w:rPr>
      </w:pPr>
      <w:r w:rsidRPr="00CC42CA">
        <w:rPr>
          <w:b/>
          <w:sz w:val="24"/>
          <w:szCs w:val="24"/>
        </w:rPr>
        <w:t>Item</w:t>
      </w:r>
      <w:r w:rsidR="008B014B">
        <w:rPr>
          <w:b/>
          <w:sz w:val="24"/>
          <w:szCs w:val="24"/>
        </w:rPr>
        <w:t xml:space="preserve"> </w:t>
      </w:r>
      <w:r w:rsidRPr="00CC42CA">
        <w:rPr>
          <w:b/>
          <w:sz w:val="24"/>
          <w:szCs w:val="24"/>
        </w:rPr>
        <w:t>1</w:t>
      </w:r>
      <w:r w:rsidR="00E35122">
        <w:rPr>
          <w:b/>
          <w:sz w:val="24"/>
          <w:szCs w:val="24"/>
        </w:rPr>
        <w:t xml:space="preserve"> </w:t>
      </w:r>
      <w:r w:rsidRPr="00CC42CA">
        <w:rPr>
          <w:b/>
          <w:sz w:val="24"/>
          <w:szCs w:val="24"/>
        </w:rPr>
        <w:t xml:space="preserve">– </w:t>
      </w:r>
      <w:r w:rsidRPr="008F6F8E">
        <w:rPr>
          <w:b/>
          <w:sz w:val="24"/>
          <w:szCs w:val="24"/>
        </w:rPr>
        <w:t>Section 1.3</w:t>
      </w:r>
      <w:r w:rsidRPr="00FA5DFE">
        <w:rPr>
          <w:b/>
          <w:sz w:val="24"/>
          <w:szCs w:val="24"/>
        </w:rPr>
        <w:t xml:space="preserve">, definition of </w:t>
      </w:r>
      <w:r w:rsidR="00E35122">
        <w:rPr>
          <w:b/>
          <w:sz w:val="24"/>
          <w:szCs w:val="24"/>
        </w:rPr>
        <w:t>‘</w:t>
      </w:r>
      <w:r w:rsidR="00066EF3">
        <w:rPr>
          <w:b/>
          <w:sz w:val="24"/>
          <w:szCs w:val="24"/>
        </w:rPr>
        <w:t>HFC Trial Region</w:t>
      </w:r>
      <w:r w:rsidR="00E35122">
        <w:rPr>
          <w:b/>
          <w:sz w:val="24"/>
          <w:szCs w:val="24"/>
        </w:rPr>
        <w:t>’</w:t>
      </w:r>
      <w:r w:rsidRPr="00FA5DFE">
        <w:rPr>
          <w:b/>
          <w:sz w:val="24"/>
          <w:szCs w:val="24"/>
        </w:rPr>
        <w:t xml:space="preserve"> </w:t>
      </w:r>
      <w:r w:rsidR="008B014B" w:rsidRPr="008B014B">
        <w:rPr>
          <w:b/>
          <w:sz w:val="24"/>
          <w:szCs w:val="24"/>
        </w:rPr>
        <w:t>at the end of paragraph (c)</w:t>
      </w:r>
    </w:p>
    <w:p w14:paraId="46F13B14" w14:textId="77777777" w:rsidR="0073324B" w:rsidRDefault="0073324B" w:rsidP="00FA5DFE">
      <w:pPr>
        <w:ind w:right="91"/>
        <w:rPr>
          <w:sz w:val="24"/>
          <w:szCs w:val="24"/>
        </w:rPr>
      </w:pPr>
    </w:p>
    <w:p w14:paraId="58F29686" w14:textId="46AFBE0A" w:rsidR="008B014B" w:rsidRDefault="008B014B" w:rsidP="00FA5DFE">
      <w:pPr>
        <w:ind w:right="91"/>
        <w:rPr>
          <w:b/>
          <w:sz w:val="24"/>
          <w:szCs w:val="24"/>
        </w:rPr>
      </w:pPr>
      <w:r w:rsidRPr="00CC42CA">
        <w:rPr>
          <w:sz w:val="24"/>
          <w:szCs w:val="24"/>
        </w:rPr>
        <w:t xml:space="preserve">Item </w:t>
      </w:r>
      <w:r>
        <w:rPr>
          <w:sz w:val="24"/>
          <w:szCs w:val="24"/>
        </w:rPr>
        <w:t xml:space="preserve">1 </w:t>
      </w:r>
      <w:r w:rsidRPr="00CC42CA">
        <w:rPr>
          <w:sz w:val="24"/>
          <w:szCs w:val="24"/>
        </w:rPr>
        <w:t xml:space="preserve">of </w:t>
      </w:r>
      <w:r w:rsidRPr="008F6F8E">
        <w:rPr>
          <w:sz w:val="24"/>
          <w:szCs w:val="24"/>
        </w:rPr>
        <w:t xml:space="preserve">the Schedule </w:t>
      </w:r>
      <w:r>
        <w:rPr>
          <w:sz w:val="24"/>
          <w:szCs w:val="24"/>
        </w:rPr>
        <w:t xml:space="preserve">make a minor mechanical change to remove the “and” which appears at the end of paragraph (c). This change is made to accommodate the additional two new paragraphs to be inserted by Item 2. </w:t>
      </w:r>
    </w:p>
    <w:p w14:paraId="2DAF18F2" w14:textId="77777777" w:rsidR="008B014B" w:rsidRDefault="008B014B" w:rsidP="00FA5DFE">
      <w:pPr>
        <w:ind w:right="91"/>
        <w:rPr>
          <w:b/>
          <w:sz w:val="24"/>
          <w:szCs w:val="24"/>
        </w:rPr>
      </w:pPr>
    </w:p>
    <w:p w14:paraId="5D2A8F5C" w14:textId="10C53FFA" w:rsidR="008B014B" w:rsidRDefault="008B014B" w:rsidP="008B014B">
      <w:pPr>
        <w:ind w:right="91"/>
        <w:rPr>
          <w:b/>
          <w:sz w:val="24"/>
          <w:szCs w:val="24"/>
        </w:rPr>
      </w:pPr>
      <w:r w:rsidRPr="00CC42CA">
        <w:rPr>
          <w:b/>
          <w:sz w:val="24"/>
          <w:szCs w:val="24"/>
        </w:rPr>
        <w:t>Item</w:t>
      </w:r>
      <w:r>
        <w:rPr>
          <w:b/>
          <w:sz w:val="24"/>
          <w:szCs w:val="24"/>
        </w:rPr>
        <w:t xml:space="preserve"> 2</w:t>
      </w:r>
      <w:r w:rsidRPr="00CC42CA">
        <w:rPr>
          <w:b/>
          <w:sz w:val="24"/>
          <w:szCs w:val="24"/>
        </w:rPr>
        <w:t xml:space="preserve">– </w:t>
      </w:r>
      <w:r w:rsidRPr="008F6F8E">
        <w:rPr>
          <w:b/>
          <w:sz w:val="24"/>
          <w:szCs w:val="24"/>
        </w:rPr>
        <w:t>Section 1.3</w:t>
      </w:r>
      <w:r w:rsidRPr="00FA5DFE">
        <w:rPr>
          <w:b/>
          <w:sz w:val="24"/>
          <w:szCs w:val="24"/>
        </w:rPr>
        <w:t xml:space="preserve">, definition of </w:t>
      </w:r>
      <w:r>
        <w:rPr>
          <w:b/>
          <w:sz w:val="24"/>
          <w:szCs w:val="24"/>
        </w:rPr>
        <w:t>‘HFC Trial Region’</w:t>
      </w:r>
      <w:r w:rsidRPr="00FA5DFE">
        <w:rPr>
          <w:b/>
          <w:sz w:val="24"/>
          <w:szCs w:val="24"/>
        </w:rPr>
        <w:t xml:space="preserve"> </w:t>
      </w:r>
      <w:r>
        <w:rPr>
          <w:b/>
          <w:sz w:val="24"/>
          <w:szCs w:val="24"/>
        </w:rPr>
        <w:t>at the end of paragraph (d</w:t>
      </w:r>
      <w:r w:rsidRPr="008B014B">
        <w:rPr>
          <w:b/>
          <w:sz w:val="24"/>
          <w:szCs w:val="24"/>
        </w:rPr>
        <w:t>)</w:t>
      </w:r>
    </w:p>
    <w:p w14:paraId="6D8588B0" w14:textId="77777777" w:rsidR="008B014B" w:rsidRPr="008F6F8E" w:rsidRDefault="008B014B" w:rsidP="00FA5DFE">
      <w:pPr>
        <w:ind w:right="91"/>
        <w:rPr>
          <w:b/>
          <w:color w:val="000000"/>
          <w:sz w:val="24"/>
          <w:szCs w:val="24"/>
        </w:rPr>
      </w:pPr>
    </w:p>
    <w:p w14:paraId="58227835" w14:textId="13EF99DE" w:rsidR="008F6F8E" w:rsidRDefault="00CC42CA" w:rsidP="00BB58DB">
      <w:pPr>
        <w:ind w:right="91"/>
        <w:rPr>
          <w:sz w:val="24"/>
          <w:szCs w:val="24"/>
        </w:rPr>
      </w:pPr>
      <w:r w:rsidRPr="00CC42CA">
        <w:rPr>
          <w:sz w:val="24"/>
          <w:szCs w:val="24"/>
        </w:rPr>
        <w:t xml:space="preserve">Item </w:t>
      </w:r>
      <w:r w:rsidR="008B014B">
        <w:rPr>
          <w:sz w:val="24"/>
          <w:szCs w:val="24"/>
        </w:rPr>
        <w:t xml:space="preserve">2 </w:t>
      </w:r>
      <w:r w:rsidRPr="00CC42CA">
        <w:rPr>
          <w:sz w:val="24"/>
          <w:szCs w:val="24"/>
        </w:rPr>
        <w:t xml:space="preserve">of </w:t>
      </w:r>
      <w:r w:rsidR="008F6F8E" w:rsidRPr="008F6F8E">
        <w:rPr>
          <w:sz w:val="24"/>
          <w:szCs w:val="24"/>
        </w:rPr>
        <w:t>the Schedule insert</w:t>
      </w:r>
      <w:r w:rsidR="008B014B">
        <w:rPr>
          <w:sz w:val="24"/>
          <w:szCs w:val="24"/>
        </w:rPr>
        <w:t>s</w:t>
      </w:r>
      <w:r w:rsidR="008F6F8E" w:rsidRPr="008F6F8E">
        <w:rPr>
          <w:sz w:val="24"/>
          <w:szCs w:val="24"/>
        </w:rPr>
        <w:t xml:space="preserve"> </w:t>
      </w:r>
      <w:r w:rsidR="00980588">
        <w:rPr>
          <w:sz w:val="24"/>
          <w:szCs w:val="24"/>
        </w:rPr>
        <w:t xml:space="preserve">two </w:t>
      </w:r>
      <w:r w:rsidR="008F6F8E">
        <w:rPr>
          <w:sz w:val="24"/>
          <w:szCs w:val="24"/>
        </w:rPr>
        <w:t xml:space="preserve">new </w:t>
      </w:r>
      <w:r w:rsidR="00066EF3">
        <w:rPr>
          <w:sz w:val="24"/>
          <w:szCs w:val="24"/>
        </w:rPr>
        <w:t>HFC trial regions into the definition of HFC Trial Region</w:t>
      </w:r>
      <w:r w:rsidR="008B014B">
        <w:rPr>
          <w:sz w:val="24"/>
          <w:szCs w:val="24"/>
        </w:rPr>
        <w:t>, as used in the Principal Determination</w:t>
      </w:r>
      <w:r w:rsidR="00066EF3">
        <w:rPr>
          <w:sz w:val="24"/>
          <w:szCs w:val="24"/>
        </w:rPr>
        <w:t>:</w:t>
      </w:r>
    </w:p>
    <w:p w14:paraId="00F95CBD" w14:textId="780C9B9B" w:rsidR="00066EF3" w:rsidRDefault="006A7D63" w:rsidP="00066EF3">
      <w:pPr>
        <w:pStyle w:val="ListParagraph"/>
        <w:numPr>
          <w:ilvl w:val="0"/>
          <w:numId w:val="27"/>
        </w:numPr>
        <w:rPr>
          <w:color w:val="000000"/>
          <w:sz w:val="24"/>
          <w:szCs w:val="24"/>
        </w:rPr>
      </w:pPr>
      <w:r>
        <w:rPr>
          <w:color w:val="000000"/>
          <w:sz w:val="24"/>
          <w:szCs w:val="24"/>
        </w:rPr>
        <w:t>t</w:t>
      </w:r>
      <w:r w:rsidR="008B014B">
        <w:rPr>
          <w:color w:val="000000"/>
          <w:sz w:val="24"/>
          <w:szCs w:val="24"/>
        </w:rPr>
        <w:t xml:space="preserve">he locality known as the </w:t>
      </w:r>
      <w:r w:rsidR="00066EF3">
        <w:rPr>
          <w:color w:val="000000"/>
          <w:sz w:val="24"/>
          <w:szCs w:val="24"/>
        </w:rPr>
        <w:t xml:space="preserve">Carramar </w:t>
      </w:r>
      <w:r w:rsidR="008B014B">
        <w:rPr>
          <w:color w:val="000000"/>
          <w:sz w:val="24"/>
          <w:szCs w:val="24"/>
        </w:rPr>
        <w:t xml:space="preserve">Exchange Service Area, in the State of </w:t>
      </w:r>
      <w:r w:rsidR="00066EF3">
        <w:rPr>
          <w:color w:val="000000"/>
          <w:sz w:val="24"/>
          <w:szCs w:val="24"/>
        </w:rPr>
        <w:t>New South Wales; and</w:t>
      </w:r>
    </w:p>
    <w:p w14:paraId="79676372" w14:textId="678A53FF" w:rsidR="00066EF3" w:rsidRPr="0025034B" w:rsidRDefault="00066EF3" w:rsidP="00066EF3">
      <w:pPr>
        <w:pStyle w:val="ListParagraph"/>
        <w:numPr>
          <w:ilvl w:val="0"/>
          <w:numId w:val="27"/>
        </w:numPr>
        <w:rPr>
          <w:color w:val="000000"/>
          <w:sz w:val="24"/>
          <w:szCs w:val="24"/>
        </w:rPr>
      </w:pPr>
      <w:r>
        <w:rPr>
          <w:color w:val="000000"/>
          <w:sz w:val="24"/>
          <w:szCs w:val="24"/>
        </w:rPr>
        <w:t>Wheelers Hill</w:t>
      </w:r>
      <w:r w:rsidR="008B014B">
        <w:rPr>
          <w:color w:val="000000"/>
          <w:sz w:val="24"/>
          <w:szCs w:val="24"/>
        </w:rPr>
        <w:t xml:space="preserve">, a locality within the </w:t>
      </w:r>
      <w:r>
        <w:rPr>
          <w:color w:val="000000"/>
          <w:sz w:val="24"/>
          <w:szCs w:val="24"/>
        </w:rPr>
        <w:t>City of Monash,</w:t>
      </w:r>
      <w:r w:rsidR="008B014B">
        <w:rPr>
          <w:color w:val="000000"/>
          <w:sz w:val="24"/>
          <w:szCs w:val="24"/>
        </w:rPr>
        <w:t xml:space="preserve"> in the State of Victoria</w:t>
      </w:r>
      <w:r>
        <w:rPr>
          <w:color w:val="000000"/>
          <w:sz w:val="24"/>
          <w:szCs w:val="24"/>
        </w:rPr>
        <w:t>.</w:t>
      </w:r>
    </w:p>
    <w:p w14:paraId="7260994E" w14:textId="77777777" w:rsidR="009C1010" w:rsidRDefault="009C1010" w:rsidP="00F6786C">
      <w:pPr>
        <w:ind w:right="91"/>
        <w:rPr>
          <w:color w:val="000000"/>
          <w:sz w:val="24"/>
          <w:szCs w:val="24"/>
        </w:rPr>
      </w:pPr>
    </w:p>
    <w:p w14:paraId="7E5B5618" w14:textId="58328748" w:rsidR="00F6786C" w:rsidRDefault="00BE6D96" w:rsidP="00F6786C">
      <w:pPr>
        <w:ind w:right="91"/>
        <w:rPr>
          <w:sz w:val="24"/>
          <w:szCs w:val="24"/>
        </w:rPr>
      </w:pPr>
      <w:r>
        <w:rPr>
          <w:color w:val="000000"/>
          <w:sz w:val="24"/>
          <w:szCs w:val="24"/>
        </w:rPr>
        <w:t xml:space="preserve">These are </w:t>
      </w:r>
      <w:r w:rsidR="00066EF3">
        <w:rPr>
          <w:color w:val="000000"/>
          <w:sz w:val="24"/>
          <w:szCs w:val="24"/>
        </w:rPr>
        <w:t xml:space="preserve">new </w:t>
      </w:r>
      <w:r>
        <w:rPr>
          <w:color w:val="000000"/>
          <w:sz w:val="24"/>
          <w:szCs w:val="24"/>
        </w:rPr>
        <w:t xml:space="preserve">areas </w:t>
      </w:r>
      <w:r w:rsidRPr="0011670F">
        <w:rPr>
          <w:color w:val="000000"/>
          <w:sz w:val="24"/>
          <w:szCs w:val="24"/>
        </w:rPr>
        <w:t xml:space="preserve">where </w:t>
      </w:r>
      <w:r w:rsidR="00B15168">
        <w:rPr>
          <w:color w:val="000000"/>
          <w:sz w:val="24"/>
          <w:szCs w:val="24"/>
        </w:rPr>
        <w:t xml:space="preserve">NBN Co has indicated it </w:t>
      </w:r>
      <w:r w:rsidR="00CD2BAF">
        <w:rPr>
          <w:color w:val="000000"/>
          <w:sz w:val="24"/>
          <w:szCs w:val="24"/>
        </w:rPr>
        <w:t xml:space="preserve">intends to </w:t>
      </w:r>
      <w:r w:rsidR="00B15168">
        <w:rPr>
          <w:color w:val="000000"/>
          <w:sz w:val="24"/>
          <w:szCs w:val="24"/>
        </w:rPr>
        <w:t>conduct</w:t>
      </w:r>
      <w:r w:rsidR="00193111">
        <w:rPr>
          <w:color w:val="000000"/>
          <w:sz w:val="24"/>
          <w:szCs w:val="24"/>
        </w:rPr>
        <w:t xml:space="preserve"> </w:t>
      </w:r>
      <w:r>
        <w:rPr>
          <w:color w:val="000000"/>
          <w:sz w:val="24"/>
          <w:szCs w:val="24"/>
        </w:rPr>
        <w:t xml:space="preserve">trials of the deployment of </w:t>
      </w:r>
      <w:r w:rsidR="009C1010">
        <w:rPr>
          <w:sz w:val="24"/>
          <w:szCs w:val="24"/>
        </w:rPr>
        <w:t>hybrid fibre-</w:t>
      </w:r>
      <w:r>
        <w:rPr>
          <w:sz w:val="24"/>
          <w:szCs w:val="24"/>
        </w:rPr>
        <w:t>coaxial (HFC) networks</w:t>
      </w:r>
      <w:r w:rsidR="00B15168">
        <w:rPr>
          <w:sz w:val="24"/>
          <w:szCs w:val="24"/>
        </w:rPr>
        <w:t>.</w:t>
      </w:r>
      <w:r w:rsidR="008B014B">
        <w:rPr>
          <w:sz w:val="24"/>
          <w:szCs w:val="24"/>
        </w:rPr>
        <w:t xml:space="preserve"> </w:t>
      </w:r>
      <w:r w:rsidR="00F6786C">
        <w:rPr>
          <w:sz w:val="24"/>
          <w:szCs w:val="24"/>
        </w:rPr>
        <w:t xml:space="preserve">The expansion of this definition of ‘HFC Trial region” to cover these additional two areas will mean that NBN Co (or any </w:t>
      </w:r>
      <w:r w:rsidR="00A55575">
        <w:rPr>
          <w:sz w:val="24"/>
          <w:szCs w:val="24"/>
        </w:rPr>
        <w:t xml:space="preserve">carrier constructing a like network) will be able to install </w:t>
      </w:r>
      <w:r w:rsidR="00F6786C">
        <w:rPr>
          <w:sz w:val="24"/>
          <w:szCs w:val="24"/>
        </w:rPr>
        <w:t>a range of underground and above-</w:t>
      </w:r>
      <w:r w:rsidR="00A55575">
        <w:rPr>
          <w:sz w:val="24"/>
          <w:szCs w:val="24"/>
        </w:rPr>
        <w:t>ground HFC facilities (set out i</w:t>
      </w:r>
      <w:r w:rsidR="00F6786C">
        <w:rPr>
          <w:sz w:val="24"/>
          <w:szCs w:val="24"/>
        </w:rPr>
        <w:t xml:space="preserve">n Part 4, Item 6 and Part 4B of the Principal Determination), within a limited time period (until April 2016), </w:t>
      </w:r>
      <w:r w:rsidR="00A55575">
        <w:rPr>
          <w:sz w:val="24"/>
          <w:szCs w:val="24"/>
        </w:rPr>
        <w:t>using</w:t>
      </w:r>
      <w:r w:rsidR="00F6786C">
        <w:rPr>
          <w:sz w:val="24"/>
          <w:szCs w:val="24"/>
        </w:rPr>
        <w:t xml:space="preserve"> the powers and immunities set out in Schedule 3 to the Act. </w:t>
      </w:r>
      <w:r w:rsidR="00A55575">
        <w:rPr>
          <w:sz w:val="24"/>
          <w:szCs w:val="24"/>
        </w:rPr>
        <w:t>Facilities installed during this period will be able to remain in place and be inspected and maintained on an ongoing basis.</w:t>
      </w:r>
    </w:p>
    <w:p w14:paraId="4C99BFFA" w14:textId="41F7A80A" w:rsidR="0055616D" w:rsidRDefault="0055616D" w:rsidP="00076878">
      <w:pPr>
        <w:ind w:right="91"/>
        <w:rPr>
          <w:sz w:val="24"/>
          <w:szCs w:val="24"/>
        </w:rPr>
      </w:pPr>
    </w:p>
    <w:p w14:paraId="13352216" w14:textId="0EDCC8C6" w:rsidR="00F6786C" w:rsidRDefault="00AB19D2" w:rsidP="008B014B">
      <w:pPr>
        <w:ind w:right="91"/>
        <w:rPr>
          <w:sz w:val="24"/>
          <w:szCs w:val="24"/>
        </w:rPr>
      </w:pPr>
      <w:r>
        <w:rPr>
          <w:sz w:val="24"/>
          <w:szCs w:val="24"/>
        </w:rPr>
        <w:t xml:space="preserve">The Carramar Exchange Service Area is the area </w:t>
      </w:r>
      <w:r w:rsidR="005534F0">
        <w:rPr>
          <w:sz w:val="24"/>
          <w:szCs w:val="24"/>
        </w:rPr>
        <w:t xml:space="preserve">serviced by the Telstra exchange at Carramar in Sydney, New South Wales. The Carramar Exchange Service Area </w:t>
      </w:r>
      <w:r w:rsidR="00183B09">
        <w:rPr>
          <w:sz w:val="24"/>
          <w:szCs w:val="24"/>
        </w:rPr>
        <w:t xml:space="preserve">has been used in the Amending Determination, because the HFC trial region </w:t>
      </w:r>
      <w:r w:rsidR="005534F0">
        <w:rPr>
          <w:sz w:val="24"/>
          <w:szCs w:val="24"/>
        </w:rPr>
        <w:t>includes parts of the Bankstown, Fairfield and Liverpool local government areas</w:t>
      </w:r>
      <w:r w:rsidR="00183B09">
        <w:rPr>
          <w:sz w:val="24"/>
          <w:szCs w:val="24"/>
        </w:rPr>
        <w:t>, but is within the boundaries of Telstra’s Carramar exchange.</w:t>
      </w:r>
    </w:p>
    <w:p w14:paraId="1996B9BA" w14:textId="77777777" w:rsidR="00F6786C" w:rsidRDefault="00F6786C" w:rsidP="008B014B">
      <w:pPr>
        <w:ind w:right="91"/>
        <w:rPr>
          <w:sz w:val="24"/>
          <w:szCs w:val="24"/>
        </w:rPr>
      </w:pPr>
    </w:p>
    <w:p w14:paraId="6702BADE" w14:textId="7F625A2B" w:rsidR="008B014B" w:rsidRDefault="008B014B" w:rsidP="008B014B">
      <w:pPr>
        <w:ind w:right="91"/>
        <w:rPr>
          <w:sz w:val="24"/>
          <w:szCs w:val="24"/>
        </w:rPr>
      </w:pPr>
      <w:r>
        <w:rPr>
          <w:sz w:val="24"/>
          <w:szCs w:val="24"/>
        </w:rPr>
        <w:t>Item 2 also makes a minor consequential change by removing the period at the end of existing paragraph (d), to allow for the insertion of two additional paragraphs describing the additional areas.</w:t>
      </w:r>
    </w:p>
    <w:p w14:paraId="73AD02F4" w14:textId="1C7912B6" w:rsidR="008B014B" w:rsidRDefault="008B014B" w:rsidP="008B014B">
      <w:pPr>
        <w:ind w:right="91"/>
        <w:rPr>
          <w:sz w:val="24"/>
          <w:szCs w:val="24"/>
        </w:rPr>
      </w:pPr>
    </w:p>
    <w:p w14:paraId="1DFC509B" w14:textId="4F5730C4" w:rsidR="008B014B" w:rsidRDefault="008B014B" w:rsidP="00076878">
      <w:pPr>
        <w:ind w:right="91"/>
        <w:rPr>
          <w:sz w:val="24"/>
          <w:szCs w:val="24"/>
        </w:rPr>
      </w:pPr>
      <w:r>
        <w:rPr>
          <w:sz w:val="24"/>
          <w:szCs w:val="24"/>
        </w:rPr>
        <w:br w:type="column"/>
      </w:r>
    </w:p>
    <w:p w14:paraId="0D403C8A" w14:textId="428E5FC5" w:rsidR="008166C7" w:rsidRPr="002612B8" w:rsidRDefault="008166C7" w:rsidP="008166C7">
      <w:pPr>
        <w:ind w:right="91"/>
        <w:jc w:val="right"/>
        <w:rPr>
          <w:sz w:val="24"/>
          <w:szCs w:val="24"/>
          <w:u w:val="single"/>
        </w:rPr>
      </w:pPr>
      <w:r w:rsidRPr="00CC42CA">
        <w:rPr>
          <w:b/>
          <w:sz w:val="24"/>
          <w:szCs w:val="24"/>
          <w:u w:val="single"/>
        </w:rPr>
        <w:t>ATTACHMENT</w:t>
      </w:r>
      <w:r>
        <w:rPr>
          <w:b/>
          <w:sz w:val="24"/>
          <w:szCs w:val="24"/>
          <w:u w:val="single"/>
        </w:rPr>
        <w:t xml:space="preserve"> </w:t>
      </w:r>
      <w:r w:rsidR="00506255">
        <w:rPr>
          <w:b/>
          <w:sz w:val="24"/>
          <w:szCs w:val="24"/>
          <w:u w:val="single"/>
        </w:rPr>
        <w:t>2</w:t>
      </w:r>
    </w:p>
    <w:p w14:paraId="745F443C" w14:textId="77777777" w:rsidR="008166C7" w:rsidRDefault="008166C7" w:rsidP="008166C7">
      <w:pPr>
        <w:ind w:left="5760" w:firstLine="720"/>
        <w:jc w:val="center"/>
        <w:rPr>
          <w:b/>
          <w:bCs/>
        </w:rPr>
      </w:pPr>
    </w:p>
    <w:p w14:paraId="05C9A44B" w14:textId="77777777" w:rsidR="008166C7" w:rsidRDefault="008166C7" w:rsidP="008166C7">
      <w:pPr>
        <w:ind w:left="5760" w:firstLine="720"/>
        <w:jc w:val="center"/>
      </w:pPr>
    </w:p>
    <w:p w14:paraId="23B07357" w14:textId="77777777" w:rsidR="008166C7" w:rsidRPr="008166C7" w:rsidRDefault="008166C7" w:rsidP="008166C7">
      <w:pPr>
        <w:jc w:val="center"/>
        <w:rPr>
          <w:b/>
          <w:bCs/>
          <w:i/>
          <w:iCs/>
          <w:sz w:val="24"/>
          <w:szCs w:val="24"/>
        </w:rPr>
      </w:pPr>
      <w:r w:rsidRPr="008166C7">
        <w:rPr>
          <w:b/>
          <w:bCs/>
          <w:i/>
          <w:iCs/>
          <w:sz w:val="24"/>
          <w:szCs w:val="24"/>
        </w:rPr>
        <w:t>Statement of Compatibility with Human Rights</w:t>
      </w:r>
    </w:p>
    <w:p w14:paraId="43459CE2" w14:textId="77777777" w:rsidR="008166C7" w:rsidRPr="008166C7" w:rsidRDefault="008166C7" w:rsidP="008166C7">
      <w:pPr>
        <w:jc w:val="center"/>
        <w:rPr>
          <w:i/>
          <w:iCs/>
          <w:sz w:val="24"/>
          <w:szCs w:val="24"/>
        </w:rPr>
      </w:pPr>
    </w:p>
    <w:p w14:paraId="60A0607E" w14:textId="77777777" w:rsidR="008166C7" w:rsidRPr="008166C7" w:rsidRDefault="008166C7" w:rsidP="008166C7">
      <w:pPr>
        <w:jc w:val="center"/>
        <w:rPr>
          <w:i/>
          <w:iCs/>
          <w:sz w:val="24"/>
          <w:szCs w:val="24"/>
        </w:rPr>
      </w:pPr>
      <w:r w:rsidRPr="008166C7">
        <w:rPr>
          <w:i/>
          <w:iCs/>
          <w:sz w:val="24"/>
          <w:szCs w:val="24"/>
        </w:rPr>
        <w:t>Prepared in accordance with Part 3 of the Human Rights (Parliamentary Scrutiny) Act 2011</w:t>
      </w:r>
    </w:p>
    <w:p w14:paraId="03A2AC2D" w14:textId="77777777" w:rsidR="008166C7" w:rsidRPr="008166C7" w:rsidRDefault="008166C7" w:rsidP="008166C7">
      <w:pPr>
        <w:jc w:val="center"/>
        <w:rPr>
          <w:i/>
          <w:iCs/>
          <w:sz w:val="24"/>
          <w:szCs w:val="24"/>
        </w:rPr>
      </w:pPr>
    </w:p>
    <w:p w14:paraId="12B3EB21" w14:textId="788E3540" w:rsidR="00AE734B" w:rsidRPr="00AE734B" w:rsidRDefault="00AE734B" w:rsidP="008166C7">
      <w:pPr>
        <w:jc w:val="center"/>
        <w:rPr>
          <w:b/>
          <w:i/>
          <w:sz w:val="24"/>
          <w:szCs w:val="24"/>
        </w:rPr>
      </w:pPr>
      <w:r w:rsidRPr="00AE734B">
        <w:rPr>
          <w:b/>
          <w:i/>
          <w:sz w:val="24"/>
          <w:szCs w:val="24"/>
        </w:rPr>
        <w:t xml:space="preserve">Telecommunications (Low-impact Facilities) Determination 1997 </w:t>
      </w:r>
      <w:r>
        <w:rPr>
          <w:b/>
          <w:i/>
          <w:sz w:val="24"/>
          <w:szCs w:val="24"/>
        </w:rPr>
        <w:t xml:space="preserve">               </w:t>
      </w:r>
      <w:r w:rsidR="007D3138">
        <w:rPr>
          <w:b/>
          <w:i/>
          <w:sz w:val="24"/>
          <w:szCs w:val="24"/>
        </w:rPr>
        <w:t>(Amendment No. 2</w:t>
      </w:r>
      <w:r w:rsidRPr="00AE734B">
        <w:rPr>
          <w:b/>
          <w:i/>
          <w:sz w:val="24"/>
          <w:szCs w:val="24"/>
        </w:rPr>
        <w:t xml:space="preserve"> of 2015)</w:t>
      </w:r>
    </w:p>
    <w:p w14:paraId="1B500DFC" w14:textId="77777777" w:rsidR="008166C7" w:rsidRPr="008166C7" w:rsidRDefault="008166C7" w:rsidP="008166C7">
      <w:pPr>
        <w:rPr>
          <w:sz w:val="24"/>
          <w:szCs w:val="24"/>
        </w:rPr>
      </w:pPr>
    </w:p>
    <w:p w14:paraId="69352A7A" w14:textId="3C2F17A7" w:rsidR="008166C7" w:rsidRPr="008166C7" w:rsidRDefault="008166C7" w:rsidP="008166C7">
      <w:pPr>
        <w:rPr>
          <w:sz w:val="24"/>
          <w:szCs w:val="24"/>
        </w:rPr>
      </w:pPr>
      <w:r w:rsidRPr="008166C7">
        <w:rPr>
          <w:sz w:val="24"/>
          <w:szCs w:val="24"/>
        </w:rPr>
        <w:t>The</w:t>
      </w:r>
      <w:r w:rsidRPr="008166C7">
        <w:rPr>
          <w:i/>
          <w:iCs/>
          <w:sz w:val="24"/>
          <w:szCs w:val="24"/>
        </w:rPr>
        <w:t xml:space="preserve"> </w:t>
      </w:r>
      <w:r w:rsidR="00AE734B" w:rsidRPr="00AE734B">
        <w:rPr>
          <w:i/>
          <w:iCs/>
          <w:sz w:val="24"/>
          <w:szCs w:val="24"/>
        </w:rPr>
        <w:t>Telecommunications (Low-impact Facilities) Determination 1997</w:t>
      </w:r>
      <w:r w:rsidR="007D3138">
        <w:rPr>
          <w:i/>
          <w:iCs/>
          <w:sz w:val="24"/>
          <w:szCs w:val="24"/>
        </w:rPr>
        <w:t xml:space="preserve">                (Amendment No. 2</w:t>
      </w:r>
      <w:r w:rsidR="00AE734B" w:rsidRPr="00AE734B">
        <w:rPr>
          <w:i/>
          <w:iCs/>
          <w:sz w:val="24"/>
          <w:szCs w:val="24"/>
        </w:rPr>
        <w:t xml:space="preserve"> of 2015)</w:t>
      </w:r>
      <w:r w:rsidRPr="008166C7">
        <w:rPr>
          <w:i/>
          <w:iCs/>
          <w:sz w:val="24"/>
          <w:szCs w:val="24"/>
        </w:rPr>
        <w:t xml:space="preserve"> </w:t>
      </w:r>
      <w:r w:rsidRPr="008166C7">
        <w:rPr>
          <w:sz w:val="24"/>
          <w:szCs w:val="24"/>
        </w:rPr>
        <w:t xml:space="preserve">(the Amending </w:t>
      </w:r>
      <w:r w:rsidR="00761CFF">
        <w:rPr>
          <w:sz w:val="24"/>
          <w:szCs w:val="24"/>
        </w:rPr>
        <w:t>Determination</w:t>
      </w:r>
      <w:r w:rsidRPr="008166C7">
        <w:rPr>
          <w:sz w:val="24"/>
          <w:szCs w:val="24"/>
        </w:rPr>
        <w:t xml:space="preserve">) is compatible with the human rights and freedoms recognised or declared in the international instruments listed in section 3 of the </w:t>
      </w:r>
      <w:r w:rsidRPr="008166C7">
        <w:rPr>
          <w:i/>
          <w:iCs/>
          <w:sz w:val="24"/>
          <w:szCs w:val="24"/>
        </w:rPr>
        <w:t>Human Rights (Parliamentary Scrutiny) Act 2011</w:t>
      </w:r>
      <w:r w:rsidRPr="008166C7">
        <w:rPr>
          <w:sz w:val="24"/>
          <w:szCs w:val="24"/>
        </w:rPr>
        <w:t>.</w:t>
      </w:r>
    </w:p>
    <w:p w14:paraId="37AB716C" w14:textId="77777777" w:rsidR="008166C7" w:rsidRPr="008166C7" w:rsidRDefault="008166C7" w:rsidP="008166C7">
      <w:pPr>
        <w:rPr>
          <w:sz w:val="24"/>
          <w:szCs w:val="24"/>
        </w:rPr>
      </w:pPr>
    </w:p>
    <w:p w14:paraId="472B13AD" w14:textId="77777777" w:rsidR="008166C7" w:rsidRPr="008166C7" w:rsidRDefault="008166C7" w:rsidP="008166C7">
      <w:pPr>
        <w:rPr>
          <w:b/>
          <w:bCs/>
          <w:sz w:val="24"/>
          <w:szCs w:val="24"/>
        </w:rPr>
      </w:pPr>
      <w:r w:rsidRPr="008166C7">
        <w:rPr>
          <w:b/>
          <w:bCs/>
          <w:sz w:val="24"/>
          <w:szCs w:val="24"/>
        </w:rPr>
        <w:t>Overview of the Amend</w:t>
      </w:r>
      <w:r w:rsidR="00761CFF">
        <w:rPr>
          <w:b/>
          <w:bCs/>
          <w:sz w:val="24"/>
          <w:szCs w:val="24"/>
        </w:rPr>
        <w:t>ing Determination</w:t>
      </w:r>
    </w:p>
    <w:p w14:paraId="5A9EACB6" w14:textId="77777777" w:rsidR="008166C7" w:rsidRPr="008166C7" w:rsidRDefault="008166C7" w:rsidP="008166C7">
      <w:pPr>
        <w:rPr>
          <w:b/>
          <w:bCs/>
          <w:sz w:val="24"/>
          <w:szCs w:val="24"/>
        </w:rPr>
      </w:pPr>
    </w:p>
    <w:p w14:paraId="1454AC4B" w14:textId="2EE085AD" w:rsidR="00761CFF" w:rsidRDefault="00761CFF" w:rsidP="00761CFF">
      <w:pPr>
        <w:rPr>
          <w:sz w:val="24"/>
          <w:szCs w:val="24"/>
        </w:rPr>
      </w:pPr>
      <w:r w:rsidRPr="00DB5966">
        <w:rPr>
          <w:color w:val="000000" w:themeColor="text1"/>
          <w:sz w:val="24"/>
          <w:szCs w:val="24"/>
        </w:rPr>
        <w:t xml:space="preserve">The </w:t>
      </w:r>
      <w:r w:rsidRPr="00DB5966">
        <w:rPr>
          <w:i/>
          <w:color w:val="000000" w:themeColor="text1"/>
          <w:sz w:val="24"/>
          <w:szCs w:val="24"/>
        </w:rPr>
        <w:t xml:space="preserve">Telecommunications (Low-impact Facilities) Determination 1997 </w:t>
      </w:r>
      <w:r w:rsidRPr="00DB5966">
        <w:rPr>
          <w:color w:val="000000" w:themeColor="text1"/>
          <w:sz w:val="24"/>
          <w:szCs w:val="24"/>
        </w:rPr>
        <w:t xml:space="preserve">(the </w:t>
      </w:r>
      <w:r w:rsidR="000B5605">
        <w:rPr>
          <w:color w:val="000000" w:themeColor="text1"/>
          <w:sz w:val="24"/>
          <w:szCs w:val="24"/>
        </w:rPr>
        <w:t>Principal</w:t>
      </w:r>
      <w:r w:rsidRPr="00DB5966">
        <w:rPr>
          <w:color w:val="000000" w:themeColor="text1"/>
          <w:sz w:val="24"/>
          <w:szCs w:val="24"/>
        </w:rPr>
        <w:t xml:space="preserve"> Determination) is made under subclause 6(3) of Schedule 3 to the </w:t>
      </w:r>
      <w:r w:rsidRPr="00DB5966">
        <w:rPr>
          <w:i/>
          <w:color w:val="000000" w:themeColor="text1"/>
          <w:sz w:val="24"/>
          <w:szCs w:val="24"/>
        </w:rPr>
        <w:t xml:space="preserve">Telecommunications Act 1997 </w:t>
      </w:r>
      <w:r w:rsidRPr="00DB5966">
        <w:rPr>
          <w:color w:val="000000" w:themeColor="text1"/>
          <w:sz w:val="24"/>
          <w:szCs w:val="24"/>
        </w:rPr>
        <w:t xml:space="preserve">(the Act). </w:t>
      </w:r>
      <w:r w:rsidRPr="00DB5966">
        <w:rPr>
          <w:sz w:val="24"/>
          <w:szCs w:val="24"/>
        </w:rPr>
        <w:t>Schedule 3 provides carriers with the power to inspect land to determine whether the land is suitable for the carrier’s purpose; install certain types of facilities (</w:t>
      </w:r>
      <w:r w:rsidR="006143AF">
        <w:rPr>
          <w:sz w:val="24"/>
          <w:szCs w:val="24"/>
        </w:rPr>
        <w:t>primarily</w:t>
      </w:r>
      <w:r w:rsidRPr="00DB5966">
        <w:rPr>
          <w:sz w:val="24"/>
          <w:szCs w:val="24"/>
        </w:rPr>
        <w:t xml:space="preserve"> low-impact facilities) on the land; and maintain a facility that is situated on the land; without seeking state, territory or local government planning approval</w:t>
      </w:r>
      <w:r w:rsidR="0067184D">
        <w:rPr>
          <w:sz w:val="24"/>
          <w:szCs w:val="24"/>
        </w:rPr>
        <w:t xml:space="preserve"> or land owner consent</w:t>
      </w:r>
      <w:r w:rsidRPr="00DB5966">
        <w:rPr>
          <w:sz w:val="24"/>
          <w:szCs w:val="24"/>
        </w:rPr>
        <w:t xml:space="preserve">.  </w:t>
      </w:r>
    </w:p>
    <w:p w14:paraId="2F6BC082" w14:textId="23236DBA" w:rsidR="00A044D0" w:rsidRDefault="00A044D0" w:rsidP="00761CFF">
      <w:pPr>
        <w:rPr>
          <w:sz w:val="24"/>
          <w:szCs w:val="24"/>
        </w:rPr>
      </w:pPr>
    </w:p>
    <w:p w14:paraId="5A2D9E6C" w14:textId="136F144B" w:rsidR="00A044D0" w:rsidRPr="00DB5966" w:rsidRDefault="00A044D0" w:rsidP="00761CFF">
      <w:pPr>
        <w:rPr>
          <w:sz w:val="24"/>
          <w:szCs w:val="24"/>
        </w:rPr>
      </w:pPr>
      <w:r>
        <w:rPr>
          <w:sz w:val="24"/>
          <w:szCs w:val="24"/>
        </w:rPr>
        <w:t xml:space="preserve">Schedule 3 of the Act requires carriers to notify land owners of intended activities enabled by the Principal Determination. The </w:t>
      </w:r>
      <w:r>
        <w:rPr>
          <w:i/>
          <w:sz w:val="24"/>
          <w:szCs w:val="24"/>
        </w:rPr>
        <w:t>Telecommunications Code of Practice 1997</w:t>
      </w:r>
      <w:r>
        <w:rPr>
          <w:sz w:val="24"/>
          <w:szCs w:val="24"/>
        </w:rPr>
        <w:t xml:space="preserve"> requires carriers to make reasonable efforts to resolve valid objections from land owners</w:t>
      </w:r>
      <w:r w:rsidR="003D1FF2">
        <w:rPr>
          <w:sz w:val="24"/>
          <w:szCs w:val="24"/>
        </w:rPr>
        <w:t xml:space="preserve"> or occupiers</w:t>
      </w:r>
      <w:r>
        <w:rPr>
          <w:sz w:val="24"/>
          <w:szCs w:val="24"/>
        </w:rPr>
        <w:t xml:space="preserve">. </w:t>
      </w:r>
      <w:r w:rsidRPr="005F5480">
        <w:rPr>
          <w:sz w:val="24"/>
          <w:szCs w:val="24"/>
        </w:rPr>
        <w:t>If the land owner</w:t>
      </w:r>
      <w:r w:rsidR="003D1FF2" w:rsidRPr="005F5480">
        <w:rPr>
          <w:sz w:val="24"/>
          <w:szCs w:val="24"/>
        </w:rPr>
        <w:t xml:space="preserve"> or occupier</w:t>
      </w:r>
      <w:r w:rsidRPr="005F5480">
        <w:rPr>
          <w:sz w:val="24"/>
          <w:szCs w:val="24"/>
        </w:rPr>
        <w:t xml:space="preserve"> is not satisfied with the </w:t>
      </w:r>
      <w:r w:rsidR="00946446" w:rsidRPr="005F5480">
        <w:rPr>
          <w:sz w:val="24"/>
          <w:szCs w:val="24"/>
        </w:rPr>
        <w:t xml:space="preserve">carrier’s </w:t>
      </w:r>
      <w:r w:rsidRPr="005F5480">
        <w:rPr>
          <w:sz w:val="24"/>
          <w:szCs w:val="24"/>
        </w:rPr>
        <w:t xml:space="preserve">proposed resolution, </w:t>
      </w:r>
      <w:r w:rsidR="00946446" w:rsidRPr="005F5480">
        <w:rPr>
          <w:sz w:val="24"/>
          <w:szCs w:val="24"/>
        </w:rPr>
        <w:t xml:space="preserve">and no agreement can be reached, </w:t>
      </w:r>
      <w:r w:rsidR="003D1FF2" w:rsidRPr="005F5480">
        <w:rPr>
          <w:sz w:val="24"/>
          <w:szCs w:val="24"/>
        </w:rPr>
        <w:t>the</w:t>
      </w:r>
      <w:r w:rsidR="00565636" w:rsidRPr="005F5480">
        <w:rPr>
          <w:sz w:val="24"/>
          <w:szCs w:val="24"/>
        </w:rPr>
        <w:t xml:space="preserve">y may ask the </w:t>
      </w:r>
      <w:r w:rsidR="003D1FF2" w:rsidRPr="005F5480">
        <w:rPr>
          <w:sz w:val="24"/>
          <w:szCs w:val="24"/>
        </w:rPr>
        <w:t>carrier</w:t>
      </w:r>
      <w:r w:rsidR="00565636" w:rsidRPr="005F5480">
        <w:rPr>
          <w:sz w:val="24"/>
          <w:szCs w:val="24"/>
        </w:rPr>
        <w:t xml:space="preserve">, in writing, to </w:t>
      </w:r>
      <w:r w:rsidR="00946446" w:rsidRPr="005F5480">
        <w:rPr>
          <w:sz w:val="24"/>
          <w:szCs w:val="24"/>
        </w:rPr>
        <w:t>refer the objection to the Telecommunications Industry Ombudsman (TIO) for resolution</w:t>
      </w:r>
      <w:r w:rsidR="003D1FF2" w:rsidRPr="005F5480">
        <w:rPr>
          <w:sz w:val="24"/>
          <w:szCs w:val="24"/>
        </w:rPr>
        <w:t xml:space="preserve"> if it wishes to continue with the activity</w:t>
      </w:r>
      <w:r w:rsidR="00565636" w:rsidRPr="005F5480">
        <w:rPr>
          <w:sz w:val="24"/>
          <w:szCs w:val="24"/>
        </w:rPr>
        <w:t>. The carrier must comply with the request to refer the matter to the TIO</w:t>
      </w:r>
      <w:r w:rsidR="00946446" w:rsidRPr="005F5480">
        <w:rPr>
          <w:sz w:val="24"/>
          <w:szCs w:val="24"/>
        </w:rPr>
        <w:t>. Carriers must comply with any direction made by the TIO.</w:t>
      </w:r>
    </w:p>
    <w:p w14:paraId="0F627B7C" w14:textId="77777777" w:rsidR="00761CFF" w:rsidRPr="00DB5966" w:rsidRDefault="00761CFF" w:rsidP="00761CFF">
      <w:pPr>
        <w:rPr>
          <w:color w:val="000000" w:themeColor="text1"/>
          <w:sz w:val="24"/>
          <w:szCs w:val="24"/>
        </w:rPr>
      </w:pPr>
    </w:p>
    <w:p w14:paraId="329BF4BD" w14:textId="0698BBD3" w:rsidR="00761CFF" w:rsidRPr="00472F58" w:rsidRDefault="00AD5609" w:rsidP="00761CFF">
      <w:pPr>
        <w:rPr>
          <w:color w:val="000000"/>
          <w:sz w:val="24"/>
          <w:szCs w:val="24"/>
        </w:rPr>
      </w:pPr>
      <w:r>
        <w:rPr>
          <w:color w:val="000000"/>
          <w:sz w:val="24"/>
          <w:szCs w:val="24"/>
        </w:rPr>
        <w:t xml:space="preserve">The purpose of the </w:t>
      </w:r>
      <w:r w:rsidR="00A044D0">
        <w:rPr>
          <w:color w:val="000000"/>
          <w:sz w:val="24"/>
          <w:szCs w:val="24"/>
        </w:rPr>
        <w:t>Amending Determination</w:t>
      </w:r>
      <w:r>
        <w:rPr>
          <w:color w:val="000000"/>
          <w:sz w:val="24"/>
          <w:szCs w:val="24"/>
        </w:rPr>
        <w:t xml:space="preserve"> is </w:t>
      </w:r>
      <w:r w:rsidR="00CD642E">
        <w:rPr>
          <w:color w:val="000000"/>
          <w:sz w:val="24"/>
          <w:szCs w:val="24"/>
        </w:rPr>
        <w:t xml:space="preserve">to amend the Principal Determination to add two new regions to the definition of </w:t>
      </w:r>
      <w:r w:rsidR="008B014B">
        <w:rPr>
          <w:color w:val="000000"/>
          <w:sz w:val="24"/>
          <w:szCs w:val="24"/>
        </w:rPr>
        <w:t>‘</w:t>
      </w:r>
      <w:r w:rsidR="00CD642E">
        <w:rPr>
          <w:color w:val="000000"/>
          <w:sz w:val="24"/>
          <w:szCs w:val="24"/>
        </w:rPr>
        <w:t>HFC Trial Region</w:t>
      </w:r>
      <w:r w:rsidR="008B014B">
        <w:rPr>
          <w:color w:val="000000"/>
          <w:sz w:val="24"/>
          <w:szCs w:val="24"/>
        </w:rPr>
        <w:t xml:space="preserve">’ </w:t>
      </w:r>
      <w:r w:rsidR="00CD642E">
        <w:rPr>
          <w:color w:val="000000"/>
          <w:sz w:val="24"/>
          <w:szCs w:val="24"/>
        </w:rPr>
        <w:t xml:space="preserve">at </w:t>
      </w:r>
      <w:r w:rsidR="008B014B">
        <w:rPr>
          <w:color w:val="000000"/>
          <w:sz w:val="24"/>
          <w:szCs w:val="24"/>
        </w:rPr>
        <w:t>s</w:t>
      </w:r>
      <w:r w:rsidR="00CD642E">
        <w:rPr>
          <w:color w:val="000000"/>
          <w:sz w:val="24"/>
          <w:szCs w:val="24"/>
        </w:rPr>
        <w:t>ection 1.3</w:t>
      </w:r>
      <w:r w:rsidR="008B014B">
        <w:rPr>
          <w:color w:val="000000"/>
          <w:sz w:val="24"/>
          <w:szCs w:val="24"/>
        </w:rPr>
        <w:t xml:space="preserve"> of the Principal Determination</w:t>
      </w:r>
      <w:r w:rsidR="00CD642E">
        <w:rPr>
          <w:color w:val="000000"/>
          <w:sz w:val="24"/>
          <w:szCs w:val="24"/>
        </w:rPr>
        <w:t xml:space="preserve">. </w:t>
      </w:r>
      <w:r w:rsidR="008B014B">
        <w:rPr>
          <w:color w:val="000000"/>
          <w:sz w:val="24"/>
          <w:szCs w:val="24"/>
        </w:rPr>
        <w:t xml:space="preserve">This is a term used in </w:t>
      </w:r>
      <w:r w:rsidR="00EC12A3">
        <w:rPr>
          <w:color w:val="000000"/>
          <w:sz w:val="24"/>
          <w:szCs w:val="24"/>
        </w:rPr>
        <w:t>relation to HFC facilities listed at Parts </w:t>
      </w:r>
      <w:r w:rsidR="008B014B">
        <w:rPr>
          <w:color w:val="000000"/>
          <w:sz w:val="24"/>
          <w:szCs w:val="24"/>
        </w:rPr>
        <w:t xml:space="preserve">4 and 4B of the Schedule to the Principal Determination. </w:t>
      </w:r>
      <w:r w:rsidR="00D751E3">
        <w:rPr>
          <w:color w:val="000000"/>
          <w:sz w:val="24"/>
          <w:szCs w:val="24"/>
        </w:rPr>
        <w:t xml:space="preserve">The amendments </w:t>
      </w:r>
      <w:r w:rsidR="001D6D0F">
        <w:rPr>
          <w:color w:val="000000" w:themeColor="text1"/>
          <w:sz w:val="24"/>
          <w:szCs w:val="24"/>
        </w:rPr>
        <w:t xml:space="preserve">will </w:t>
      </w:r>
      <w:r w:rsidR="00EB1A17">
        <w:rPr>
          <w:color w:val="000000" w:themeColor="text1"/>
          <w:sz w:val="24"/>
          <w:szCs w:val="24"/>
        </w:rPr>
        <w:t xml:space="preserve">support </w:t>
      </w:r>
      <w:r w:rsidR="00A330A4">
        <w:rPr>
          <w:color w:val="000000" w:themeColor="text1"/>
          <w:sz w:val="24"/>
          <w:szCs w:val="24"/>
        </w:rPr>
        <w:t xml:space="preserve">the </w:t>
      </w:r>
      <w:r w:rsidR="001D6D0F" w:rsidRPr="001D6D0F">
        <w:rPr>
          <w:color w:val="000000" w:themeColor="text1"/>
          <w:sz w:val="24"/>
          <w:szCs w:val="24"/>
        </w:rPr>
        <w:t>trial</w:t>
      </w:r>
      <w:r w:rsidR="001D6D0F">
        <w:rPr>
          <w:color w:val="000000" w:themeColor="text1"/>
          <w:sz w:val="24"/>
          <w:szCs w:val="24"/>
        </w:rPr>
        <w:t xml:space="preserve"> </w:t>
      </w:r>
      <w:r w:rsidR="001D6D0F" w:rsidRPr="001D6D0F">
        <w:rPr>
          <w:color w:val="000000" w:themeColor="text1"/>
          <w:sz w:val="24"/>
          <w:szCs w:val="24"/>
        </w:rPr>
        <w:t xml:space="preserve">deployment of HFC </w:t>
      </w:r>
      <w:r w:rsidR="00A330A4">
        <w:rPr>
          <w:color w:val="000000" w:themeColor="text1"/>
          <w:sz w:val="24"/>
          <w:szCs w:val="24"/>
        </w:rPr>
        <w:t xml:space="preserve">facilities </w:t>
      </w:r>
      <w:r w:rsidR="001D6D0F">
        <w:rPr>
          <w:color w:val="000000" w:themeColor="text1"/>
          <w:sz w:val="24"/>
          <w:szCs w:val="24"/>
        </w:rPr>
        <w:t>by</w:t>
      </w:r>
      <w:r w:rsidR="001D6D0F" w:rsidRPr="001D6D0F">
        <w:rPr>
          <w:color w:val="000000" w:themeColor="text1"/>
          <w:sz w:val="24"/>
          <w:szCs w:val="24"/>
        </w:rPr>
        <w:t xml:space="preserve"> NBN Co Limited</w:t>
      </w:r>
      <w:r w:rsidR="00D751E3">
        <w:rPr>
          <w:color w:val="000000" w:themeColor="text1"/>
          <w:sz w:val="24"/>
          <w:szCs w:val="24"/>
        </w:rPr>
        <w:t xml:space="preserve"> in two additional areas in NSW (</w:t>
      </w:r>
      <w:r w:rsidR="00D751E3" w:rsidRPr="00D751E3">
        <w:rPr>
          <w:color w:val="000000" w:themeColor="text1"/>
          <w:sz w:val="24"/>
          <w:szCs w:val="24"/>
        </w:rPr>
        <w:t>Carramar Exchange Service Area</w:t>
      </w:r>
      <w:r w:rsidR="00D751E3">
        <w:rPr>
          <w:color w:val="000000" w:themeColor="text1"/>
          <w:sz w:val="24"/>
          <w:szCs w:val="24"/>
        </w:rPr>
        <w:t>) and Victoria (</w:t>
      </w:r>
      <w:r w:rsidR="00D751E3">
        <w:rPr>
          <w:color w:val="000000"/>
          <w:sz w:val="24"/>
          <w:szCs w:val="24"/>
        </w:rPr>
        <w:t>Wheelers Hill) for a limited period (un</w:t>
      </w:r>
      <w:r w:rsidR="00F6786C">
        <w:rPr>
          <w:color w:val="000000"/>
          <w:sz w:val="24"/>
          <w:szCs w:val="24"/>
        </w:rPr>
        <w:t>til April 2016)</w:t>
      </w:r>
      <w:r w:rsidR="00A330A4">
        <w:rPr>
          <w:color w:val="000000" w:themeColor="text1"/>
          <w:sz w:val="24"/>
          <w:szCs w:val="24"/>
        </w:rPr>
        <w:t xml:space="preserve">. </w:t>
      </w:r>
      <w:r w:rsidR="00A330A4">
        <w:rPr>
          <w:color w:val="000000"/>
          <w:sz w:val="24"/>
          <w:szCs w:val="24"/>
        </w:rPr>
        <w:t xml:space="preserve">This will help NBN Co to deliver better broadband faster, and at lower cost to taxpayers. </w:t>
      </w:r>
      <w:r w:rsidR="00A330A4">
        <w:rPr>
          <w:color w:val="000000" w:themeColor="text1"/>
          <w:sz w:val="24"/>
          <w:szCs w:val="24"/>
        </w:rPr>
        <w:t>T</w:t>
      </w:r>
      <w:r w:rsidR="001D6D0F">
        <w:rPr>
          <w:color w:val="000000" w:themeColor="text1"/>
          <w:sz w:val="24"/>
          <w:szCs w:val="24"/>
        </w:rPr>
        <w:t>he powers and immunities are available to other carriers operating on a comparable basis.</w:t>
      </w:r>
      <w:r w:rsidR="00472F58">
        <w:rPr>
          <w:color w:val="000000"/>
          <w:sz w:val="24"/>
          <w:szCs w:val="24"/>
        </w:rPr>
        <w:t xml:space="preserve"> </w:t>
      </w:r>
      <w:r w:rsidR="00F71EA3" w:rsidRPr="00F71EA3">
        <w:rPr>
          <w:color w:val="000000"/>
          <w:sz w:val="24"/>
          <w:szCs w:val="24"/>
        </w:rPr>
        <w:t>The Principal Determination (as amended) is expected to be updated further, following public consultation on broader ongoing amendments later in 2015.</w:t>
      </w:r>
    </w:p>
    <w:p w14:paraId="2408C231" w14:textId="77777777" w:rsidR="001D306C" w:rsidRDefault="001D306C" w:rsidP="008166C7">
      <w:pPr>
        <w:keepNext/>
        <w:rPr>
          <w:b/>
          <w:bCs/>
          <w:sz w:val="24"/>
          <w:szCs w:val="24"/>
        </w:rPr>
      </w:pPr>
    </w:p>
    <w:p w14:paraId="7F0E88DF" w14:textId="77777777" w:rsidR="008166C7" w:rsidRPr="008166C7" w:rsidRDefault="008166C7" w:rsidP="008166C7">
      <w:pPr>
        <w:keepNext/>
        <w:rPr>
          <w:b/>
          <w:bCs/>
          <w:sz w:val="24"/>
          <w:szCs w:val="24"/>
        </w:rPr>
      </w:pPr>
      <w:r w:rsidRPr="008166C7">
        <w:rPr>
          <w:b/>
          <w:bCs/>
          <w:sz w:val="24"/>
          <w:szCs w:val="24"/>
        </w:rPr>
        <w:t>Human rights implications</w:t>
      </w:r>
    </w:p>
    <w:p w14:paraId="6BA5C041" w14:textId="77777777" w:rsidR="008166C7" w:rsidRPr="008166C7" w:rsidRDefault="008166C7" w:rsidP="008166C7">
      <w:pPr>
        <w:keepNext/>
        <w:rPr>
          <w:b/>
          <w:bCs/>
          <w:sz w:val="24"/>
          <w:szCs w:val="24"/>
        </w:rPr>
      </w:pPr>
    </w:p>
    <w:p w14:paraId="50CD7785" w14:textId="77777777" w:rsidR="008166C7" w:rsidRPr="008166C7" w:rsidRDefault="008166C7" w:rsidP="008166C7">
      <w:pPr>
        <w:keepNext/>
        <w:rPr>
          <w:sz w:val="24"/>
          <w:szCs w:val="24"/>
        </w:rPr>
      </w:pPr>
      <w:r w:rsidRPr="008166C7">
        <w:rPr>
          <w:sz w:val="24"/>
          <w:szCs w:val="24"/>
        </w:rPr>
        <w:t xml:space="preserve">The Amending </w:t>
      </w:r>
      <w:r w:rsidR="001D306C">
        <w:rPr>
          <w:sz w:val="24"/>
          <w:szCs w:val="24"/>
        </w:rPr>
        <w:t xml:space="preserve">Determination </w:t>
      </w:r>
      <w:r w:rsidRPr="008166C7">
        <w:rPr>
          <w:sz w:val="24"/>
          <w:szCs w:val="24"/>
        </w:rPr>
        <w:t xml:space="preserve">does not engage any of the applicable rights or freedoms. </w:t>
      </w:r>
    </w:p>
    <w:p w14:paraId="756F1788" w14:textId="77777777" w:rsidR="008166C7" w:rsidRPr="008166C7" w:rsidRDefault="008166C7" w:rsidP="008166C7">
      <w:pPr>
        <w:rPr>
          <w:sz w:val="24"/>
          <w:szCs w:val="24"/>
        </w:rPr>
      </w:pPr>
    </w:p>
    <w:p w14:paraId="41E6C407" w14:textId="77777777" w:rsidR="008166C7" w:rsidRPr="008166C7" w:rsidRDefault="008166C7" w:rsidP="008166C7">
      <w:pPr>
        <w:rPr>
          <w:b/>
          <w:bCs/>
          <w:sz w:val="24"/>
          <w:szCs w:val="24"/>
        </w:rPr>
      </w:pPr>
      <w:r w:rsidRPr="008166C7">
        <w:rPr>
          <w:b/>
          <w:bCs/>
          <w:sz w:val="24"/>
          <w:szCs w:val="24"/>
        </w:rPr>
        <w:t>Conclusion</w:t>
      </w:r>
    </w:p>
    <w:p w14:paraId="2D50AFE7" w14:textId="219DC893" w:rsidR="00C17DFD" w:rsidRPr="008166C7" w:rsidRDefault="008166C7" w:rsidP="00472F58">
      <w:pPr>
        <w:rPr>
          <w:sz w:val="24"/>
          <w:szCs w:val="24"/>
        </w:rPr>
      </w:pPr>
      <w:r w:rsidRPr="008166C7">
        <w:rPr>
          <w:sz w:val="24"/>
          <w:szCs w:val="24"/>
        </w:rPr>
        <w:t xml:space="preserve">This Amending </w:t>
      </w:r>
      <w:r w:rsidR="001D306C">
        <w:rPr>
          <w:sz w:val="24"/>
          <w:szCs w:val="24"/>
        </w:rPr>
        <w:t xml:space="preserve">Determination </w:t>
      </w:r>
      <w:r w:rsidRPr="008166C7">
        <w:rPr>
          <w:sz w:val="24"/>
          <w:szCs w:val="24"/>
        </w:rPr>
        <w:t xml:space="preserve">is compatible with human rights as it does not raise </w:t>
      </w:r>
      <w:bookmarkStart w:id="2" w:name="_GoBack"/>
      <w:r w:rsidRPr="008166C7">
        <w:rPr>
          <w:sz w:val="24"/>
          <w:szCs w:val="24"/>
        </w:rPr>
        <w:t>any human rights issues.</w:t>
      </w:r>
      <w:r w:rsidR="00AD6680">
        <w:rPr>
          <w:sz w:val="24"/>
          <w:szCs w:val="24"/>
        </w:rPr>
        <w:t xml:space="preserve"> </w:t>
      </w:r>
      <w:bookmarkEnd w:id="2"/>
    </w:p>
    <w:sectPr w:rsidR="00C17DFD" w:rsidRPr="008166C7" w:rsidSect="001D306C">
      <w:headerReference w:type="default" r:id="rId11"/>
      <w:footerReference w:type="default" r:id="rId12"/>
      <w:pgSz w:w="11906" w:h="16838" w:code="9"/>
      <w:pgMar w:top="1440" w:right="1797" w:bottom="1135"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7CE52" w14:textId="77777777" w:rsidR="00FE0185" w:rsidRDefault="00FE0185">
      <w:r>
        <w:separator/>
      </w:r>
    </w:p>
  </w:endnote>
  <w:endnote w:type="continuationSeparator" w:id="0">
    <w:p w14:paraId="1769568D" w14:textId="77777777" w:rsidR="00FE0185" w:rsidRDefault="00FE0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DF4C4" w14:textId="77777777" w:rsidR="00FE0185" w:rsidRDefault="00FE0185">
    <w:pPr>
      <w:pStyle w:val="Footer"/>
      <w:jc w:val="center"/>
    </w:pPr>
    <w:r>
      <w:fldChar w:fldCharType="begin"/>
    </w:r>
    <w:r>
      <w:instrText xml:space="preserve"> PAGE   \* MERGEFORMAT </w:instrText>
    </w:r>
    <w:r>
      <w:fldChar w:fldCharType="separate"/>
    </w:r>
    <w:r w:rsidR="00B26223">
      <w:rPr>
        <w:noProof/>
      </w:rPr>
      <w:t>7</w:t>
    </w:r>
    <w:r>
      <w:rPr>
        <w:noProof/>
      </w:rPr>
      <w:fldChar w:fldCharType="end"/>
    </w:r>
  </w:p>
  <w:p w14:paraId="4A23C8BC" w14:textId="77777777" w:rsidR="00FE0185" w:rsidRDefault="00FE01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B29E6" w14:textId="77777777" w:rsidR="00FE0185" w:rsidRDefault="00FE0185">
      <w:r>
        <w:separator/>
      </w:r>
    </w:p>
  </w:footnote>
  <w:footnote w:type="continuationSeparator" w:id="0">
    <w:p w14:paraId="3632EB83" w14:textId="77777777" w:rsidR="00FE0185" w:rsidRDefault="00FE01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43130" w14:textId="46A0B6CE" w:rsidR="00FE0185" w:rsidRDefault="00FE0185">
    <w:pPr>
      <w:pStyle w:val="Header"/>
    </w:pPr>
    <w:r>
      <w:tab/>
    </w:r>
    <w:r>
      <w:rPr>
        <w:rStyle w:val="PageNumber"/>
      </w:rPr>
      <w:fldChar w:fldCharType="begin"/>
    </w:r>
    <w:r>
      <w:rPr>
        <w:rStyle w:val="PageNumber"/>
      </w:rPr>
      <w:instrText xml:space="preserve"> PAGE </w:instrText>
    </w:r>
    <w:r>
      <w:rPr>
        <w:rStyle w:val="PageNumber"/>
      </w:rPr>
      <w:fldChar w:fldCharType="separate"/>
    </w:r>
    <w:r w:rsidR="00B26223">
      <w:rPr>
        <w:rStyle w:val="PageNumber"/>
        <w:noProof/>
      </w:rPr>
      <w:t>7</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4AFA"/>
    <w:multiLevelType w:val="hybridMultilevel"/>
    <w:tmpl w:val="74CAF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5B7353"/>
    <w:multiLevelType w:val="hybridMultilevel"/>
    <w:tmpl w:val="EEE20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516F61"/>
    <w:multiLevelType w:val="hybridMultilevel"/>
    <w:tmpl w:val="7B806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FE192B"/>
    <w:multiLevelType w:val="hybridMultilevel"/>
    <w:tmpl w:val="9564C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2F297E"/>
    <w:multiLevelType w:val="hybridMultilevel"/>
    <w:tmpl w:val="0D8E5F5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 w15:restartNumberingAfterBreak="0">
    <w:nsid w:val="0FBE1020"/>
    <w:multiLevelType w:val="hybridMultilevel"/>
    <w:tmpl w:val="87EC09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3FA18CA"/>
    <w:multiLevelType w:val="hybridMultilevel"/>
    <w:tmpl w:val="6096D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B902D1"/>
    <w:multiLevelType w:val="hybridMultilevel"/>
    <w:tmpl w:val="93849E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0B215FE"/>
    <w:multiLevelType w:val="hybridMultilevel"/>
    <w:tmpl w:val="C9100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9729BA"/>
    <w:multiLevelType w:val="hybridMultilevel"/>
    <w:tmpl w:val="0BB2F0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33156EC"/>
    <w:multiLevelType w:val="hybridMultilevel"/>
    <w:tmpl w:val="C232A52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15:restartNumberingAfterBreak="0">
    <w:nsid w:val="292238A9"/>
    <w:multiLevelType w:val="hybridMultilevel"/>
    <w:tmpl w:val="64081D74"/>
    <w:lvl w:ilvl="0" w:tplc="CD863BBE">
      <w:start w:val="59"/>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32347F"/>
    <w:multiLevelType w:val="hybridMultilevel"/>
    <w:tmpl w:val="60787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370C90"/>
    <w:multiLevelType w:val="hybridMultilevel"/>
    <w:tmpl w:val="61AEDAB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04B3AFC"/>
    <w:multiLevelType w:val="hybridMultilevel"/>
    <w:tmpl w:val="077ED5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2655AB4"/>
    <w:multiLevelType w:val="hybridMultilevel"/>
    <w:tmpl w:val="50BA6E18"/>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6" w15:restartNumberingAfterBreak="0">
    <w:nsid w:val="428C311A"/>
    <w:multiLevelType w:val="hybridMultilevel"/>
    <w:tmpl w:val="C5921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371F2C"/>
    <w:multiLevelType w:val="hybridMultilevel"/>
    <w:tmpl w:val="4656D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D21323"/>
    <w:multiLevelType w:val="hybridMultilevel"/>
    <w:tmpl w:val="D1D0A322"/>
    <w:lvl w:ilvl="0" w:tplc="3EF0108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B411D29"/>
    <w:multiLevelType w:val="hybridMultilevel"/>
    <w:tmpl w:val="02D60362"/>
    <w:lvl w:ilvl="0" w:tplc="D9D8BA7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66E5C91"/>
    <w:multiLevelType w:val="hybridMultilevel"/>
    <w:tmpl w:val="E2A2E538"/>
    <w:lvl w:ilvl="0" w:tplc="26DC2C96">
      <w:start w:val="1"/>
      <w:numFmt w:val="lowerLetter"/>
      <w:lvlText w:val="(%1)"/>
      <w:lvlJc w:val="left"/>
      <w:pPr>
        <w:tabs>
          <w:tab w:val="num" w:pos="720"/>
        </w:tabs>
        <w:ind w:left="720" w:hanging="360"/>
      </w:pPr>
      <w:rPr>
        <w:rFonts w:ascii="Times New Roman" w:eastAsia="Times New Roman" w:hAnsi="Times New Roman"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AFF787D"/>
    <w:multiLevelType w:val="hybridMultilevel"/>
    <w:tmpl w:val="51B88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BBF42C0"/>
    <w:multiLevelType w:val="hybridMultilevel"/>
    <w:tmpl w:val="64BC07EE"/>
    <w:lvl w:ilvl="0" w:tplc="079AECBA">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9022A1"/>
    <w:multiLevelType w:val="hybridMultilevel"/>
    <w:tmpl w:val="4A783260"/>
    <w:lvl w:ilvl="0" w:tplc="1938E47A">
      <w:start w:val="1"/>
      <w:numFmt w:val="lowerRoman"/>
      <w:lvlText w:val="(%1)"/>
      <w:lvlJc w:val="left"/>
      <w:pPr>
        <w:tabs>
          <w:tab w:val="num" w:pos="1800"/>
        </w:tabs>
        <w:ind w:left="1800" w:hanging="72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D0F3181"/>
    <w:multiLevelType w:val="hybridMultilevel"/>
    <w:tmpl w:val="E2C42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15D3B00"/>
    <w:multiLevelType w:val="hybridMultilevel"/>
    <w:tmpl w:val="4D481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AE6A14"/>
    <w:multiLevelType w:val="hybridMultilevel"/>
    <w:tmpl w:val="9DB474FA"/>
    <w:lvl w:ilvl="0" w:tplc="E956340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BEA1F95"/>
    <w:multiLevelType w:val="hybridMultilevel"/>
    <w:tmpl w:val="8DCA2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0"/>
  </w:num>
  <w:num w:numId="5">
    <w:abstractNumId w:val="1"/>
  </w:num>
  <w:num w:numId="6">
    <w:abstractNumId w:val="21"/>
  </w:num>
  <w:num w:numId="7">
    <w:abstractNumId w:val="19"/>
  </w:num>
  <w:num w:numId="8">
    <w:abstractNumId w:val="3"/>
  </w:num>
  <w:num w:numId="9">
    <w:abstractNumId w:val="17"/>
  </w:num>
  <w:num w:numId="10">
    <w:abstractNumId w:val="14"/>
  </w:num>
  <w:num w:numId="11">
    <w:abstractNumId w:val="25"/>
  </w:num>
  <w:num w:numId="12">
    <w:abstractNumId w:val="16"/>
  </w:num>
  <w:num w:numId="13">
    <w:abstractNumId w:val="6"/>
  </w:num>
  <w:num w:numId="14">
    <w:abstractNumId w:val="13"/>
  </w:num>
  <w:num w:numId="15">
    <w:abstractNumId w:val="9"/>
  </w:num>
  <w:num w:numId="16">
    <w:abstractNumId w:val="5"/>
  </w:num>
  <w:num w:numId="17">
    <w:abstractNumId w:val="15"/>
  </w:num>
  <w:num w:numId="18">
    <w:abstractNumId w:val="22"/>
  </w:num>
  <w:num w:numId="19">
    <w:abstractNumId w:val="27"/>
  </w:num>
  <w:num w:numId="20">
    <w:abstractNumId w:val="26"/>
  </w:num>
  <w:num w:numId="21">
    <w:abstractNumId w:val="12"/>
  </w:num>
  <w:num w:numId="22">
    <w:abstractNumId w:val="23"/>
  </w:num>
  <w:num w:numId="23">
    <w:abstractNumId w:val="20"/>
  </w:num>
  <w:num w:numId="24">
    <w:abstractNumId w:val="11"/>
  </w:num>
  <w:num w:numId="25">
    <w:abstractNumId w:val="18"/>
  </w:num>
  <w:num w:numId="26">
    <w:abstractNumId w:val="24"/>
  </w:num>
  <w:num w:numId="27">
    <w:abstractNumId w:val="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C2"/>
    <w:rsid w:val="00000797"/>
    <w:rsid w:val="0000096F"/>
    <w:rsid w:val="000023B6"/>
    <w:rsid w:val="000034E9"/>
    <w:rsid w:val="00003660"/>
    <w:rsid w:val="00003E99"/>
    <w:rsid w:val="00004DD8"/>
    <w:rsid w:val="0001221C"/>
    <w:rsid w:val="00014BEA"/>
    <w:rsid w:val="00015C0F"/>
    <w:rsid w:val="00016124"/>
    <w:rsid w:val="00022EAC"/>
    <w:rsid w:val="000234F3"/>
    <w:rsid w:val="00023BBD"/>
    <w:rsid w:val="00025116"/>
    <w:rsid w:val="0002556F"/>
    <w:rsid w:val="00026B82"/>
    <w:rsid w:val="000306E1"/>
    <w:rsid w:val="00030A6B"/>
    <w:rsid w:val="000315A6"/>
    <w:rsid w:val="00033F6D"/>
    <w:rsid w:val="0004036B"/>
    <w:rsid w:val="00041580"/>
    <w:rsid w:val="000418B1"/>
    <w:rsid w:val="00043580"/>
    <w:rsid w:val="00044F0C"/>
    <w:rsid w:val="0005086D"/>
    <w:rsid w:val="00053A87"/>
    <w:rsid w:val="00054813"/>
    <w:rsid w:val="00054A67"/>
    <w:rsid w:val="00055704"/>
    <w:rsid w:val="00060B54"/>
    <w:rsid w:val="00061E4F"/>
    <w:rsid w:val="000669A3"/>
    <w:rsid w:val="00066CAF"/>
    <w:rsid w:val="00066EF3"/>
    <w:rsid w:val="00067112"/>
    <w:rsid w:val="0007128C"/>
    <w:rsid w:val="000716A0"/>
    <w:rsid w:val="000736CE"/>
    <w:rsid w:val="00074028"/>
    <w:rsid w:val="000745BF"/>
    <w:rsid w:val="00076878"/>
    <w:rsid w:val="00080223"/>
    <w:rsid w:val="00080A9E"/>
    <w:rsid w:val="0008297F"/>
    <w:rsid w:val="000835F3"/>
    <w:rsid w:val="00085B47"/>
    <w:rsid w:val="00087CF5"/>
    <w:rsid w:val="00094099"/>
    <w:rsid w:val="00096CA7"/>
    <w:rsid w:val="00097BC4"/>
    <w:rsid w:val="000A0D08"/>
    <w:rsid w:val="000A1243"/>
    <w:rsid w:val="000A16F7"/>
    <w:rsid w:val="000A29A8"/>
    <w:rsid w:val="000A406A"/>
    <w:rsid w:val="000A67A7"/>
    <w:rsid w:val="000A7149"/>
    <w:rsid w:val="000A7371"/>
    <w:rsid w:val="000B03D3"/>
    <w:rsid w:val="000B2486"/>
    <w:rsid w:val="000B5605"/>
    <w:rsid w:val="000C0D35"/>
    <w:rsid w:val="000C123F"/>
    <w:rsid w:val="000C2998"/>
    <w:rsid w:val="000D0F70"/>
    <w:rsid w:val="000D38F3"/>
    <w:rsid w:val="000D4826"/>
    <w:rsid w:val="000E057B"/>
    <w:rsid w:val="000E1867"/>
    <w:rsid w:val="000E29AD"/>
    <w:rsid w:val="000E3B06"/>
    <w:rsid w:val="000E3BEF"/>
    <w:rsid w:val="000E4194"/>
    <w:rsid w:val="000E5B58"/>
    <w:rsid w:val="000E5BBE"/>
    <w:rsid w:val="000F1E86"/>
    <w:rsid w:val="000F36CF"/>
    <w:rsid w:val="000F4ADF"/>
    <w:rsid w:val="000F7F6C"/>
    <w:rsid w:val="001028ED"/>
    <w:rsid w:val="001031F7"/>
    <w:rsid w:val="0010527C"/>
    <w:rsid w:val="00105EC2"/>
    <w:rsid w:val="00105F44"/>
    <w:rsid w:val="0010694A"/>
    <w:rsid w:val="00106FE1"/>
    <w:rsid w:val="001072A1"/>
    <w:rsid w:val="0011176D"/>
    <w:rsid w:val="0011399B"/>
    <w:rsid w:val="001144CF"/>
    <w:rsid w:val="001148F1"/>
    <w:rsid w:val="0011591D"/>
    <w:rsid w:val="0011670F"/>
    <w:rsid w:val="00117F34"/>
    <w:rsid w:val="001249E4"/>
    <w:rsid w:val="00124C79"/>
    <w:rsid w:val="00125D15"/>
    <w:rsid w:val="0012752E"/>
    <w:rsid w:val="00130EF2"/>
    <w:rsid w:val="001317C1"/>
    <w:rsid w:val="001331F2"/>
    <w:rsid w:val="00133B72"/>
    <w:rsid w:val="001342FC"/>
    <w:rsid w:val="00134512"/>
    <w:rsid w:val="001373F8"/>
    <w:rsid w:val="00137ECA"/>
    <w:rsid w:val="0014032D"/>
    <w:rsid w:val="001424C4"/>
    <w:rsid w:val="001437C6"/>
    <w:rsid w:val="001457C2"/>
    <w:rsid w:val="00146A47"/>
    <w:rsid w:val="0014707C"/>
    <w:rsid w:val="0015648D"/>
    <w:rsid w:val="00162AB4"/>
    <w:rsid w:val="00163B72"/>
    <w:rsid w:val="00165246"/>
    <w:rsid w:val="00167618"/>
    <w:rsid w:val="00167D02"/>
    <w:rsid w:val="00170C00"/>
    <w:rsid w:val="001777BE"/>
    <w:rsid w:val="00181619"/>
    <w:rsid w:val="00181BA0"/>
    <w:rsid w:val="001821BA"/>
    <w:rsid w:val="00182765"/>
    <w:rsid w:val="00183B09"/>
    <w:rsid w:val="00186C51"/>
    <w:rsid w:val="00187BB9"/>
    <w:rsid w:val="00190909"/>
    <w:rsid w:val="00190CAA"/>
    <w:rsid w:val="00193111"/>
    <w:rsid w:val="001932E0"/>
    <w:rsid w:val="00194788"/>
    <w:rsid w:val="001A0FF6"/>
    <w:rsid w:val="001A28DD"/>
    <w:rsid w:val="001A2D7E"/>
    <w:rsid w:val="001A3941"/>
    <w:rsid w:val="001A3C16"/>
    <w:rsid w:val="001A49C5"/>
    <w:rsid w:val="001A66E2"/>
    <w:rsid w:val="001A6B58"/>
    <w:rsid w:val="001B041F"/>
    <w:rsid w:val="001B5BDA"/>
    <w:rsid w:val="001B6D66"/>
    <w:rsid w:val="001B6DB4"/>
    <w:rsid w:val="001C0093"/>
    <w:rsid w:val="001C04CC"/>
    <w:rsid w:val="001C185A"/>
    <w:rsid w:val="001C2604"/>
    <w:rsid w:val="001C4C9C"/>
    <w:rsid w:val="001C57F4"/>
    <w:rsid w:val="001C65AA"/>
    <w:rsid w:val="001D306C"/>
    <w:rsid w:val="001D3BBD"/>
    <w:rsid w:val="001D3DF0"/>
    <w:rsid w:val="001D425C"/>
    <w:rsid w:val="001D4FB6"/>
    <w:rsid w:val="001D6108"/>
    <w:rsid w:val="001D699E"/>
    <w:rsid w:val="001D6D0F"/>
    <w:rsid w:val="001E0C8C"/>
    <w:rsid w:val="001E47D2"/>
    <w:rsid w:val="001E4D5C"/>
    <w:rsid w:val="001E78FD"/>
    <w:rsid w:val="001F0936"/>
    <w:rsid w:val="001F1E0B"/>
    <w:rsid w:val="001F542C"/>
    <w:rsid w:val="001F7845"/>
    <w:rsid w:val="001F7EB9"/>
    <w:rsid w:val="002028EB"/>
    <w:rsid w:val="00202CB7"/>
    <w:rsid w:val="002045FD"/>
    <w:rsid w:val="00204FA1"/>
    <w:rsid w:val="00210962"/>
    <w:rsid w:val="00212E38"/>
    <w:rsid w:val="00214CA1"/>
    <w:rsid w:val="00216CED"/>
    <w:rsid w:val="002170B7"/>
    <w:rsid w:val="002215E6"/>
    <w:rsid w:val="002223FE"/>
    <w:rsid w:val="0022462F"/>
    <w:rsid w:val="00227F6A"/>
    <w:rsid w:val="00230692"/>
    <w:rsid w:val="0023185A"/>
    <w:rsid w:val="00231AE2"/>
    <w:rsid w:val="00232C71"/>
    <w:rsid w:val="0023529A"/>
    <w:rsid w:val="00235930"/>
    <w:rsid w:val="002362B6"/>
    <w:rsid w:val="0023696C"/>
    <w:rsid w:val="00237424"/>
    <w:rsid w:val="002377B1"/>
    <w:rsid w:val="002408B1"/>
    <w:rsid w:val="00240EDE"/>
    <w:rsid w:val="00242151"/>
    <w:rsid w:val="00242F84"/>
    <w:rsid w:val="002465C3"/>
    <w:rsid w:val="00247878"/>
    <w:rsid w:val="0025034B"/>
    <w:rsid w:val="002512F5"/>
    <w:rsid w:val="0025259E"/>
    <w:rsid w:val="00252903"/>
    <w:rsid w:val="00253188"/>
    <w:rsid w:val="0025392F"/>
    <w:rsid w:val="00253FE8"/>
    <w:rsid w:val="0025517F"/>
    <w:rsid w:val="00257048"/>
    <w:rsid w:val="002612B8"/>
    <w:rsid w:val="002617B0"/>
    <w:rsid w:val="00261B90"/>
    <w:rsid w:val="00262147"/>
    <w:rsid w:val="00264891"/>
    <w:rsid w:val="00270BC4"/>
    <w:rsid w:val="002722C5"/>
    <w:rsid w:val="00273F5A"/>
    <w:rsid w:val="00276BA7"/>
    <w:rsid w:val="00280F4E"/>
    <w:rsid w:val="002818EC"/>
    <w:rsid w:val="00282C84"/>
    <w:rsid w:val="0028523E"/>
    <w:rsid w:val="002878FE"/>
    <w:rsid w:val="0028797E"/>
    <w:rsid w:val="002A1A07"/>
    <w:rsid w:val="002A4D50"/>
    <w:rsid w:val="002A5DED"/>
    <w:rsid w:val="002B2B71"/>
    <w:rsid w:val="002B6FB5"/>
    <w:rsid w:val="002C0817"/>
    <w:rsid w:val="002C3475"/>
    <w:rsid w:val="002C3E7F"/>
    <w:rsid w:val="002C45DB"/>
    <w:rsid w:val="002C51FA"/>
    <w:rsid w:val="002C7F8D"/>
    <w:rsid w:val="002D5B69"/>
    <w:rsid w:val="002D7C89"/>
    <w:rsid w:val="002E116C"/>
    <w:rsid w:val="002E1F99"/>
    <w:rsid w:val="002E2163"/>
    <w:rsid w:val="002E2CD4"/>
    <w:rsid w:val="002E30D7"/>
    <w:rsid w:val="002E372E"/>
    <w:rsid w:val="002E374F"/>
    <w:rsid w:val="002E4841"/>
    <w:rsid w:val="002E5533"/>
    <w:rsid w:val="002E616A"/>
    <w:rsid w:val="002E7D9F"/>
    <w:rsid w:val="002F0EF0"/>
    <w:rsid w:val="002F197D"/>
    <w:rsid w:val="002F6936"/>
    <w:rsid w:val="003024AE"/>
    <w:rsid w:val="00303256"/>
    <w:rsid w:val="00304F9F"/>
    <w:rsid w:val="00307F40"/>
    <w:rsid w:val="003103DC"/>
    <w:rsid w:val="00310DB2"/>
    <w:rsid w:val="00313D16"/>
    <w:rsid w:val="003152F3"/>
    <w:rsid w:val="00315382"/>
    <w:rsid w:val="003154D3"/>
    <w:rsid w:val="00315571"/>
    <w:rsid w:val="00320157"/>
    <w:rsid w:val="0032043F"/>
    <w:rsid w:val="00322D26"/>
    <w:rsid w:val="003236EF"/>
    <w:rsid w:val="00323701"/>
    <w:rsid w:val="00324AF8"/>
    <w:rsid w:val="00327096"/>
    <w:rsid w:val="003271C9"/>
    <w:rsid w:val="003340B4"/>
    <w:rsid w:val="003342C7"/>
    <w:rsid w:val="00334408"/>
    <w:rsid w:val="003363E9"/>
    <w:rsid w:val="003402EE"/>
    <w:rsid w:val="00340724"/>
    <w:rsid w:val="00340D84"/>
    <w:rsid w:val="00340E7B"/>
    <w:rsid w:val="00343587"/>
    <w:rsid w:val="003446CE"/>
    <w:rsid w:val="003447B4"/>
    <w:rsid w:val="00345448"/>
    <w:rsid w:val="003455F6"/>
    <w:rsid w:val="00345EA2"/>
    <w:rsid w:val="003467C6"/>
    <w:rsid w:val="00350438"/>
    <w:rsid w:val="00355A6A"/>
    <w:rsid w:val="0035774F"/>
    <w:rsid w:val="00363689"/>
    <w:rsid w:val="00366754"/>
    <w:rsid w:val="003734D2"/>
    <w:rsid w:val="003740E4"/>
    <w:rsid w:val="00375299"/>
    <w:rsid w:val="00381AA5"/>
    <w:rsid w:val="00383334"/>
    <w:rsid w:val="003833E9"/>
    <w:rsid w:val="00383E65"/>
    <w:rsid w:val="0038612C"/>
    <w:rsid w:val="00386202"/>
    <w:rsid w:val="00386B47"/>
    <w:rsid w:val="0039046A"/>
    <w:rsid w:val="00395BA5"/>
    <w:rsid w:val="003A058A"/>
    <w:rsid w:val="003A2436"/>
    <w:rsid w:val="003A4182"/>
    <w:rsid w:val="003A41B6"/>
    <w:rsid w:val="003A4935"/>
    <w:rsid w:val="003A6156"/>
    <w:rsid w:val="003B1E35"/>
    <w:rsid w:val="003B4580"/>
    <w:rsid w:val="003B4EE6"/>
    <w:rsid w:val="003B4F63"/>
    <w:rsid w:val="003B6386"/>
    <w:rsid w:val="003B751D"/>
    <w:rsid w:val="003C2AE0"/>
    <w:rsid w:val="003C4131"/>
    <w:rsid w:val="003C522F"/>
    <w:rsid w:val="003C5623"/>
    <w:rsid w:val="003D1FF2"/>
    <w:rsid w:val="003D3CB6"/>
    <w:rsid w:val="003D4ABB"/>
    <w:rsid w:val="003D5A0A"/>
    <w:rsid w:val="003D6476"/>
    <w:rsid w:val="003F11AE"/>
    <w:rsid w:val="003F23A5"/>
    <w:rsid w:val="003F4A06"/>
    <w:rsid w:val="003F5BA1"/>
    <w:rsid w:val="003F6863"/>
    <w:rsid w:val="003F693D"/>
    <w:rsid w:val="004007B8"/>
    <w:rsid w:val="004026EA"/>
    <w:rsid w:val="00403D88"/>
    <w:rsid w:val="00403D93"/>
    <w:rsid w:val="00404A53"/>
    <w:rsid w:val="00405F12"/>
    <w:rsid w:val="004075DC"/>
    <w:rsid w:val="004113F3"/>
    <w:rsid w:val="00413D8A"/>
    <w:rsid w:val="00414880"/>
    <w:rsid w:val="00416DF6"/>
    <w:rsid w:val="00420358"/>
    <w:rsid w:val="00420A67"/>
    <w:rsid w:val="00423603"/>
    <w:rsid w:val="00424B46"/>
    <w:rsid w:val="00426326"/>
    <w:rsid w:val="00427A85"/>
    <w:rsid w:val="0043013E"/>
    <w:rsid w:val="004310F8"/>
    <w:rsid w:val="0043221E"/>
    <w:rsid w:val="004357FC"/>
    <w:rsid w:val="00435C17"/>
    <w:rsid w:val="0043604C"/>
    <w:rsid w:val="00436189"/>
    <w:rsid w:val="00436CE2"/>
    <w:rsid w:val="00437BF8"/>
    <w:rsid w:val="004415DB"/>
    <w:rsid w:val="00442275"/>
    <w:rsid w:val="00446824"/>
    <w:rsid w:val="00446ED7"/>
    <w:rsid w:val="00447A5F"/>
    <w:rsid w:val="00447FFC"/>
    <w:rsid w:val="004530A9"/>
    <w:rsid w:val="00453FE6"/>
    <w:rsid w:val="004574E2"/>
    <w:rsid w:val="00457B0B"/>
    <w:rsid w:val="00457F55"/>
    <w:rsid w:val="00460278"/>
    <w:rsid w:val="00461BFD"/>
    <w:rsid w:val="004620FF"/>
    <w:rsid w:val="004629C5"/>
    <w:rsid w:val="00463837"/>
    <w:rsid w:val="00463C96"/>
    <w:rsid w:val="004662EB"/>
    <w:rsid w:val="0046738C"/>
    <w:rsid w:val="00470F15"/>
    <w:rsid w:val="00472E19"/>
    <w:rsid w:val="00472F58"/>
    <w:rsid w:val="00474562"/>
    <w:rsid w:val="00484294"/>
    <w:rsid w:val="0049040C"/>
    <w:rsid w:val="0049112E"/>
    <w:rsid w:val="00491C66"/>
    <w:rsid w:val="004925B8"/>
    <w:rsid w:val="004926EB"/>
    <w:rsid w:val="00492DA8"/>
    <w:rsid w:val="00493514"/>
    <w:rsid w:val="00495E59"/>
    <w:rsid w:val="0049676F"/>
    <w:rsid w:val="00497D4B"/>
    <w:rsid w:val="004A0365"/>
    <w:rsid w:val="004A2D05"/>
    <w:rsid w:val="004A3706"/>
    <w:rsid w:val="004A42FD"/>
    <w:rsid w:val="004A4B03"/>
    <w:rsid w:val="004A4F5B"/>
    <w:rsid w:val="004A6015"/>
    <w:rsid w:val="004A6CE5"/>
    <w:rsid w:val="004A70B2"/>
    <w:rsid w:val="004B204F"/>
    <w:rsid w:val="004B267B"/>
    <w:rsid w:val="004B635D"/>
    <w:rsid w:val="004C03A6"/>
    <w:rsid w:val="004C0692"/>
    <w:rsid w:val="004C0C2A"/>
    <w:rsid w:val="004C0F10"/>
    <w:rsid w:val="004C3FF1"/>
    <w:rsid w:val="004C6A7E"/>
    <w:rsid w:val="004C7146"/>
    <w:rsid w:val="004D3797"/>
    <w:rsid w:val="004D46A3"/>
    <w:rsid w:val="004D6EA5"/>
    <w:rsid w:val="004D75B5"/>
    <w:rsid w:val="004E03BF"/>
    <w:rsid w:val="004E083E"/>
    <w:rsid w:val="004E740D"/>
    <w:rsid w:val="004E78C2"/>
    <w:rsid w:val="004F0976"/>
    <w:rsid w:val="004F10EA"/>
    <w:rsid w:val="004F5846"/>
    <w:rsid w:val="00502907"/>
    <w:rsid w:val="00503DFA"/>
    <w:rsid w:val="00503F06"/>
    <w:rsid w:val="00506255"/>
    <w:rsid w:val="0051012D"/>
    <w:rsid w:val="00510640"/>
    <w:rsid w:val="00513CBC"/>
    <w:rsid w:val="00514B38"/>
    <w:rsid w:val="005178F2"/>
    <w:rsid w:val="005201B6"/>
    <w:rsid w:val="0052130E"/>
    <w:rsid w:val="00521CA5"/>
    <w:rsid w:val="00521FB4"/>
    <w:rsid w:val="005227EC"/>
    <w:rsid w:val="00523365"/>
    <w:rsid w:val="00523406"/>
    <w:rsid w:val="005238FE"/>
    <w:rsid w:val="0052531F"/>
    <w:rsid w:val="0052604A"/>
    <w:rsid w:val="00530265"/>
    <w:rsid w:val="005311F0"/>
    <w:rsid w:val="00532BBE"/>
    <w:rsid w:val="0053778E"/>
    <w:rsid w:val="0054340A"/>
    <w:rsid w:val="005449CD"/>
    <w:rsid w:val="005460D1"/>
    <w:rsid w:val="00551496"/>
    <w:rsid w:val="0055204C"/>
    <w:rsid w:val="005534F0"/>
    <w:rsid w:val="00555F31"/>
    <w:rsid w:val="0055616D"/>
    <w:rsid w:val="00556EB3"/>
    <w:rsid w:val="00557D0F"/>
    <w:rsid w:val="00565636"/>
    <w:rsid w:val="0056625E"/>
    <w:rsid w:val="00570DB7"/>
    <w:rsid w:val="00573CE3"/>
    <w:rsid w:val="00573F23"/>
    <w:rsid w:val="00574B3E"/>
    <w:rsid w:val="00577B2F"/>
    <w:rsid w:val="00580C0B"/>
    <w:rsid w:val="005813E0"/>
    <w:rsid w:val="0058169E"/>
    <w:rsid w:val="00582B84"/>
    <w:rsid w:val="005831EE"/>
    <w:rsid w:val="005843AF"/>
    <w:rsid w:val="005851C9"/>
    <w:rsid w:val="005865EC"/>
    <w:rsid w:val="00587566"/>
    <w:rsid w:val="005904B4"/>
    <w:rsid w:val="00591583"/>
    <w:rsid w:val="00592A91"/>
    <w:rsid w:val="00595089"/>
    <w:rsid w:val="00595C87"/>
    <w:rsid w:val="005A0A22"/>
    <w:rsid w:val="005A4879"/>
    <w:rsid w:val="005A51B8"/>
    <w:rsid w:val="005A6325"/>
    <w:rsid w:val="005A6735"/>
    <w:rsid w:val="005A747D"/>
    <w:rsid w:val="005A7577"/>
    <w:rsid w:val="005B15DF"/>
    <w:rsid w:val="005B1FF2"/>
    <w:rsid w:val="005B54B9"/>
    <w:rsid w:val="005B6329"/>
    <w:rsid w:val="005B6862"/>
    <w:rsid w:val="005C0BBB"/>
    <w:rsid w:val="005C261E"/>
    <w:rsid w:val="005C3EF7"/>
    <w:rsid w:val="005C68D5"/>
    <w:rsid w:val="005D01B9"/>
    <w:rsid w:val="005D5223"/>
    <w:rsid w:val="005E734F"/>
    <w:rsid w:val="005F1598"/>
    <w:rsid w:val="005F1E0F"/>
    <w:rsid w:val="005F4E48"/>
    <w:rsid w:val="005F5480"/>
    <w:rsid w:val="005F6FF4"/>
    <w:rsid w:val="00601083"/>
    <w:rsid w:val="00601260"/>
    <w:rsid w:val="00601764"/>
    <w:rsid w:val="00602BCC"/>
    <w:rsid w:val="00603E89"/>
    <w:rsid w:val="0060428E"/>
    <w:rsid w:val="0060457D"/>
    <w:rsid w:val="00604E27"/>
    <w:rsid w:val="0060661F"/>
    <w:rsid w:val="00606C3E"/>
    <w:rsid w:val="00610590"/>
    <w:rsid w:val="006123A0"/>
    <w:rsid w:val="00613030"/>
    <w:rsid w:val="0061365F"/>
    <w:rsid w:val="006143AF"/>
    <w:rsid w:val="006151E5"/>
    <w:rsid w:val="006169AA"/>
    <w:rsid w:val="006171EA"/>
    <w:rsid w:val="00620840"/>
    <w:rsid w:val="006210EA"/>
    <w:rsid w:val="0062181D"/>
    <w:rsid w:val="00622E89"/>
    <w:rsid w:val="0062347E"/>
    <w:rsid w:val="006254EF"/>
    <w:rsid w:val="00626406"/>
    <w:rsid w:val="00627B2B"/>
    <w:rsid w:val="00630F5F"/>
    <w:rsid w:val="00634A10"/>
    <w:rsid w:val="00635B3E"/>
    <w:rsid w:val="0063728B"/>
    <w:rsid w:val="00637C8B"/>
    <w:rsid w:val="00640CD0"/>
    <w:rsid w:val="00641AED"/>
    <w:rsid w:val="006434C5"/>
    <w:rsid w:val="006452D8"/>
    <w:rsid w:val="0064630A"/>
    <w:rsid w:val="00647CDA"/>
    <w:rsid w:val="0065264F"/>
    <w:rsid w:val="00652A58"/>
    <w:rsid w:val="00654F30"/>
    <w:rsid w:val="00656189"/>
    <w:rsid w:val="00656F20"/>
    <w:rsid w:val="006607F4"/>
    <w:rsid w:val="006623FC"/>
    <w:rsid w:val="0066484F"/>
    <w:rsid w:val="00664D1E"/>
    <w:rsid w:val="006651ED"/>
    <w:rsid w:val="0066643B"/>
    <w:rsid w:val="00666B57"/>
    <w:rsid w:val="0067184D"/>
    <w:rsid w:val="00671BCA"/>
    <w:rsid w:val="00672507"/>
    <w:rsid w:val="00674276"/>
    <w:rsid w:val="00675741"/>
    <w:rsid w:val="00676D7C"/>
    <w:rsid w:val="006823E0"/>
    <w:rsid w:val="00685198"/>
    <w:rsid w:val="006853C3"/>
    <w:rsid w:val="00685A25"/>
    <w:rsid w:val="0068618A"/>
    <w:rsid w:val="006862A7"/>
    <w:rsid w:val="0068770C"/>
    <w:rsid w:val="00687F5A"/>
    <w:rsid w:val="00687FA4"/>
    <w:rsid w:val="006906BB"/>
    <w:rsid w:val="00690818"/>
    <w:rsid w:val="006947A3"/>
    <w:rsid w:val="006A003B"/>
    <w:rsid w:val="006A1F90"/>
    <w:rsid w:val="006A5F37"/>
    <w:rsid w:val="006A7D63"/>
    <w:rsid w:val="006B2422"/>
    <w:rsid w:val="006B2893"/>
    <w:rsid w:val="006B2EE9"/>
    <w:rsid w:val="006B5EB4"/>
    <w:rsid w:val="006B7255"/>
    <w:rsid w:val="006C1FE6"/>
    <w:rsid w:val="006C3BBF"/>
    <w:rsid w:val="006C482E"/>
    <w:rsid w:val="006C60B5"/>
    <w:rsid w:val="006C776B"/>
    <w:rsid w:val="006C7859"/>
    <w:rsid w:val="006C7D3D"/>
    <w:rsid w:val="006D23DE"/>
    <w:rsid w:val="006D31FF"/>
    <w:rsid w:val="006D3613"/>
    <w:rsid w:val="006D4FC6"/>
    <w:rsid w:val="006D52D1"/>
    <w:rsid w:val="006D6AEA"/>
    <w:rsid w:val="006D7417"/>
    <w:rsid w:val="006E2FCD"/>
    <w:rsid w:val="006E40C1"/>
    <w:rsid w:val="006E4E8D"/>
    <w:rsid w:val="006E6A0B"/>
    <w:rsid w:val="006E6AB1"/>
    <w:rsid w:val="006E7460"/>
    <w:rsid w:val="006E7F8C"/>
    <w:rsid w:val="006F0508"/>
    <w:rsid w:val="006F0C10"/>
    <w:rsid w:val="006F0DBC"/>
    <w:rsid w:val="006F2FB5"/>
    <w:rsid w:val="006F32A4"/>
    <w:rsid w:val="006F7324"/>
    <w:rsid w:val="007011B8"/>
    <w:rsid w:val="007021CD"/>
    <w:rsid w:val="00705F88"/>
    <w:rsid w:val="00706166"/>
    <w:rsid w:val="00707B0A"/>
    <w:rsid w:val="007108C5"/>
    <w:rsid w:val="007114CD"/>
    <w:rsid w:val="007117FA"/>
    <w:rsid w:val="007152B5"/>
    <w:rsid w:val="00716D85"/>
    <w:rsid w:val="00716E41"/>
    <w:rsid w:val="007219D1"/>
    <w:rsid w:val="00722240"/>
    <w:rsid w:val="00722C22"/>
    <w:rsid w:val="00723D67"/>
    <w:rsid w:val="007240FE"/>
    <w:rsid w:val="007277A2"/>
    <w:rsid w:val="007316A5"/>
    <w:rsid w:val="00731D71"/>
    <w:rsid w:val="00732CF3"/>
    <w:rsid w:val="0073324B"/>
    <w:rsid w:val="00733ACB"/>
    <w:rsid w:val="007343FC"/>
    <w:rsid w:val="007403B4"/>
    <w:rsid w:val="00740608"/>
    <w:rsid w:val="00741093"/>
    <w:rsid w:val="00742014"/>
    <w:rsid w:val="007425EA"/>
    <w:rsid w:val="00742C7F"/>
    <w:rsid w:val="0074467D"/>
    <w:rsid w:val="0074575C"/>
    <w:rsid w:val="00745A48"/>
    <w:rsid w:val="00746460"/>
    <w:rsid w:val="007500F8"/>
    <w:rsid w:val="00751222"/>
    <w:rsid w:val="00753523"/>
    <w:rsid w:val="00754826"/>
    <w:rsid w:val="00755CC8"/>
    <w:rsid w:val="0075623E"/>
    <w:rsid w:val="007563BB"/>
    <w:rsid w:val="00760FF4"/>
    <w:rsid w:val="00761CFF"/>
    <w:rsid w:val="00763BDF"/>
    <w:rsid w:val="00766426"/>
    <w:rsid w:val="00767888"/>
    <w:rsid w:val="00770047"/>
    <w:rsid w:val="00772252"/>
    <w:rsid w:val="007800BE"/>
    <w:rsid w:val="00780FAA"/>
    <w:rsid w:val="0078218B"/>
    <w:rsid w:val="00782DDE"/>
    <w:rsid w:val="00782DEF"/>
    <w:rsid w:val="007868F2"/>
    <w:rsid w:val="0079024A"/>
    <w:rsid w:val="007927A3"/>
    <w:rsid w:val="00796D17"/>
    <w:rsid w:val="00797643"/>
    <w:rsid w:val="0079798A"/>
    <w:rsid w:val="007979CA"/>
    <w:rsid w:val="007A42C3"/>
    <w:rsid w:val="007A4441"/>
    <w:rsid w:val="007A721F"/>
    <w:rsid w:val="007B008F"/>
    <w:rsid w:val="007B0948"/>
    <w:rsid w:val="007B3F32"/>
    <w:rsid w:val="007B7623"/>
    <w:rsid w:val="007B7729"/>
    <w:rsid w:val="007B78A5"/>
    <w:rsid w:val="007C4175"/>
    <w:rsid w:val="007C419B"/>
    <w:rsid w:val="007C71C1"/>
    <w:rsid w:val="007D0B56"/>
    <w:rsid w:val="007D1A77"/>
    <w:rsid w:val="007D2671"/>
    <w:rsid w:val="007D2752"/>
    <w:rsid w:val="007D29A0"/>
    <w:rsid w:val="007D305C"/>
    <w:rsid w:val="007D3138"/>
    <w:rsid w:val="007D7DCE"/>
    <w:rsid w:val="007D7F33"/>
    <w:rsid w:val="007E2030"/>
    <w:rsid w:val="007E25B0"/>
    <w:rsid w:val="007E5FD0"/>
    <w:rsid w:val="007E77AC"/>
    <w:rsid w:val="007E7C42"/>
    <w:rsid w:val="007F0ECE"/>
    <w:rsid w:val="007F1B7E"/>
    <w:rsid w:val="007F3D1F"/>
    <w:rsid w:val="007F5A49"/>
    <w:rsid w:val="007F6ECB"/>
    <w:rsid w:val="00800BE7"/>
    <w:rsid w:val="008024FC"/>
    <w:rsid w:val="00803D34"/>
    <w:rsid w:val="00804196"/>
    <w:rsid w:val="008074E1"/>
    <w:rsid w:val="008114E0"/>
    <w:rsid w:val="00812ABB"/>
    <w:rsid w:val="00813032"/>
    <w:rsid w:val="00814540"/>
    <w:rsid w:val="00814897"/>
    <w:rsid w:val="00815B6D"/>
    <w:rsid w:val="008166C7"/>
    <w:rsid w:val="008220B4"/>
    <w:rsid w:val="00822EC6"/>
    <w:rsid w:val="00823ACC"/>
    <w:rsid w:val="00823CD2"/>
    <w:rsid w:val="00823EF6"/>
    <w:rsid w:val="00826D17"/>
    <w:rsid w:val="00827963"/>
    <w:rsid w:val="008302C9"/>
    <w:rsid w:val="00831083"/>
    <w:rsid w:val="00834274"/>
    <w:rsid w:val="00844701"/>
    <w:rsid w:val="00846827"/>
    <w:rsid w:val="00846F25"/>
    <w:rsid w:val="00847E35"/>
    <w:rsid w:val="00847F5E"/>
    <w:rsid w:val="00850814"/>
    <w:rsid w:val="0085109B"/>
    <w:rsid w:val="008514F5"/>
    <w:rsid w:val="00852B2D"/>
    <w:rsid w:val="00853795"/>
    <w:rsid w:val="008539C3"/>
    <w:rsid w:val="00854ABC"/>
    <w:rsid w:val="00855A4D"/>
    <w:rsid w:val="00855DA0"/>
    <w:rsid w:val="008573B3"/>
    <w:rsid w:val="00860DEC"/>
    <w:rsid w:val="00861A02"/>
    <w:rsid w:val="00864F0C"/>
    <w:rsid w:val="00864F62"/>
    <w:rsid w:val="008658F4"/>
    <w:rsid w:val="008669DC"/>
    <w:rsid w:val="00866B08"/>
    <w:rsid w:val="00867AB6"/>
    <w:rsid w:val="00870F78"/>
    <w:rsid w:val="00872D6D"/>
    <w:rsid w:val="00872EAB"/>
    <w:rsid w:val="00874ABA"/>
    <w:rsid w:val="008755A3"/>
    <w:rsid w:val="00877635"/>
    <w:rsid w:val="008819D4"/>
    <w:rsid w:val="00883177"/>
    <w:rsid w:val="008859C9"/>
    <w:rsid w:val="008863F5"/>
    <w:rsid w:val="008869D3"/>
    <w:rsid w:val="00887054"/>
    <w:rsid w:val="00887805"/>
    <w:rsid w:val="008901D2"/>
    <w:rsid w:val="00890691"/>
    <w:rsid w:val="00890944"/>
    <w:rsid w:val="008917FA"/>
    <w:rsid w:val="0089344C"/>
    <w:rsid w:val="00893C51"/>
    <w:rsid w:val="00895DF2"/>
    <w:rsid w:val="008A0AF7"/>
    <w:rsid w:val="008A0FAE"/>
    <w:rsid w:val="008A2326"/>
    <w:rsid w:val="008B014B"/>
    <w:rsid w:val="008B0E78"/>
    <w:rsid w:val="008B3D8B"/>
    <w:rsid w:val="008B429E"/>
    <w:rsid w:val="008B42BF"/>
    <w:rsid w:val="008B5076"/>
    <w:rsid w:val="008B6D0A"/>
    <w:rsid w:val="008B701D"/>
    <w:rsid w:val="008C1285"/>
    <w:rsid w:val="008C1664"/>
    <w:rsid w:val="008C1BFD"/>
    <w:rsid w:val="008C5A70"/>
    <w:rsid w:val="008D13C2"/>
    <w:rsid w:val="008D3456"/>
    <w:rsid w:val="008D4A37"/>
    <w:rsid w:val="008E0705"/>
    <w:rsid w:val="008E2515"/>
    <w:rsid w:val="008E45B6"/>
    <w:rsid w:val="008E50CD"/>
    <w:rsid w:val="008E5AAA"/>
    <w:rsid w:val="008E6522"/>
    <w:rsid w:val="008E6F5C"/>
    <w:rsid w:val="008E7801"/>
    <w:rsid w:val="008F074E"/>
    <w:rsid w:val="008F118C"/>
    <w:rsid w:val="008F168D"/>
    <w:rsid w:val="008F5AA1"/>
    <w:rsid w:val="008F64A3"/>
    <w:rsid w:val="008F6F8E"/>
    <w:rsid w:val="008F7B00"/>
    <w:rsid w:val="009016D0"/>
    <w:rsid w:val="00903528"/>
    <w:rsid w:val="009038DA"/>
    <w:rsid w:val="0090511B"/>
    <w:rsid w:val="0090551D"/>
    <w:rsid w:val="00910F6C"/>
    <w:rsid w:val="00913497"/>
    <w:rsid w:val="00915072"/>
    <w:rsid w:val="009217CA"/>
    <w:rsid w:val="0092320D"/>
    <w:rsid w:val="009244C0"/>
    <w:rsid w:val="009277C4"/>
    <w:rsid w:val="009304C5"/>
    <w:rsid w:val="009317B8"/>
    <w:rsid w:val="00931F7F"/>
    <w:rsid w:val="0093437E"/>
    <w:rsid w:val="00937F85"/>
    <w:rsid w:val="00940519"/>
    <w:rsid w:val="009447E0"/>
    <w:rsid w:val="00946446"/>
    <w:rsid w:val="009465A1"/>
    <w:rsid w:val="00947631"/>
    <w:rsid w:val="00950896"/>
    <w:rsid w:val="009508E6"/>
    <w:rsid w:val="009513F7"/>
    <w:rsid w:val="009514C9"/>
    <w:rsid w:val="00951994"/>
    <w:rsid w:val="009537A5"/>
    <w:rsid w:val="00956E7A"/>
    <w:rsid w:val="00963601"/>
    <w:rsid w:val="00963929"/>
    <w:rsid w:val="009656E5"/>
    <w:rsid w:val="00965B77"/>
    <w:rsid w:val="00970DB4"/>
    <w:rsid w:val="00970E6D"/>
    <w:rsid w:val="0097153F"/>
    <w:rsid w:val="009736CE"/>
    <w:rsid w:val="00975DB9"/>
    <w:rsid w:val="00980588"/>
    <w:rsid w:val="00982D50"/>
    <w:rsid w:val="009833DC"/>
    <w:rsid w:val="00987096"/>
    <w:rsid w:val="00990465"/>
    <w:rsid w:val="00991AEE"/>
    <w:rsid w:val="009925D4"/>
    <w:rsid w:val="00992CC8"/>
    <w:rsid w:val="00992D55"/>
    <w:rsid w:val="009947F3"/>
    <w:rsid w:val="00995331"/>
    <w:rsid w:val="009956E5"/>
    <w:rsid w:val="00995DE3"/>
    <w:rsid w:val="00996B2D"/>
    <w:rsid w:val="009A060D"/>
    <w:rsid w:val="009A0F46"/>
    <w:rsid w:val="009A1593"/>
    <w:rsid w:val="009A1611"/>
    <w:rsid w:val="009A1836"/>
    <w:rsid w:val="009A18A1"/>
    <w:rsid w:val="009A6419"/>
    <w:rsid w:val="009A661D"/>
    <w:rsid w:val="009B2A25"/>
    <w:rsid w:val="009B300B"/>
    <w:rsid w:val="009B4C56"/>
    <w:rsid w:val="009B5095"/>
    <w:rsid w:val="009B5E8D"/>
    <w:rsid w:val="009C0B32"/>
    <w:rsid w:val="009C1010"/>
    <w:rsid w:val="009C45EC"/>
    <w:rsid w:val="009C5890"/>
    <w:rsid w:val="009D1DAE"/>
    <w:rsid w:val="009D4D08"/>
    <w:rsid w:val="009D5FC8"/>
    <w:rsid w:val="009D703C"/>
    <w:rsid w:val="009D780F"/>
    <w:rsid w:val="009E3069"/>
    <w:rsid w:val="009E328A"/>
    <w:rsid w:val="009E5678"/>
    <w:rsid w:val="009E7029"/>
    <w:rsid w:val="009F0469"/>
    <w:rsid w:val="009F1290"/>
    <w:rsid w:val="009F15E1"/>
    <w:rsid w:val="009F3D6D"/>
    <w:rsid w:val="009F71D8"/>
    <w:rsid w:val="00A006BA"/>
    <w:rsid w:val="00A00707"/>
    <w:rsid w:val="00A01D4E"/>
    <w:rsid w:val="00A022F1"/>
    <w:rsid w:val="00A03707"/>
    <w:rsid w:val="00A041C0"/>
    <w:rsid w:val="00A044D0"/>
    <w:rsid w:val="00A074D6"/>
    <w:rsid w:val="00A14075"/>
    <w:rsid w:val="00A15874"/>
    <w:rsid w:val="00A16840"/>
    <w:rsid w:val="00A1696A"/>
    <w:rsid w:val="00A16CE5"/>
    <w:rsid w:val="00A16D48"/>
    <w:rsid w:val="00A17CDA"/>
    <w:rsid w:val="00A17FBB"/>
    <w:rsid w:val="00A2291E"/>
    <w:rsid w:val="00A22A33"/>
    <w:rsid w:val="00A26540"/>
    <w:rsid w:val="00A3161A"/>
    <w:rsid w:val="00A316ED"/>
    <w:rsid w:val="00A330A4"/>
    <w:rsid w:val="00A3392D"/>
    <w:rsid w:val="00A41920"/>
    <w:rsid w:val="00A41FDA"/>
    <w:rsid w:val="00A42B57"/>
    <w:rsid w:val="00A44A3C"/>
    <w:rsid w:val="00A460FE"/>
    <w:rsid w:val="00A50D3D"/>
    <w:rsid w:val="00A514E8"/>
    <w:rsid w:val="00A51BB1"/>
    <w:rsid w:val="00A51EBF"/>
    <w:rsid w:val="00A54FF6"/>
    <w:rsid w:val="00A55575"/>
    <w:rsid w:val="00A5576D"/>
    <w:rsid w:val="00A56CAB"/>
    <w:rsid w:val="00A60F03"/>
    <w:rsid w:val="00A61C43"/>
    <w:rsid w:val="00A67ABE"/>
    <w:rsid w:val="00A74D11"/>
    <w:rsid w:val="00A75ABF"/>
    <w:rsid w:val="00A77EFE"/>
    <w:rsid w:val="00A819A1"/>
    <w:rsid w:val="00A827EF"/>
    <w:rsid w:val="00A83648"/>
    <w:rsid w:val="00A83DBE"/>
    <w:rsid w:val="00A85079"/>
    <w:rsid w:val="00A871C2"/>
    <w:rsid w:val="00A91437"/>
    <w:rsid w:val="00A95E4F"/>
    <w:rsid w:val="00A964B1"/>
    <w:rsid w:val="00A968F3"/>
    <w:rsid w:val="00AB0C52"/>
    <w:rsid w:val="00AB19D2"/>
    <w:rsid w:val="00AB2DAF"/>
    <w:rsid w:val="00AB3D4C"/>
    <w:rsid w:val="00AB4A8D"/>
    <w:rsid w:val="00AB50D4"/>
    <w:rsid w:val="00AB55DD"/>
    <w:rsid w:val="00AB5EF2"/>
    <w:rsid w:val="00AB6A7F"/>
    <w:rsid w:val="00AC14A4"/>
    <w:rsid w:val="00AC37A1"/>
    <w:rsid w:val="00AC3C9B"/>
    <w:rsid w:val="00AC4809"/>
    <w:rsid w:val="00AC6F8E"/>
    <w:rsid w:val="00AD13D5"/>
    <w:rsid w:val="00AD4A5F"/>
    <w:rsid w:val="00AD5609"/>
    <w:rsid w:val="00AD6680"/>
    <w:rsid w:val="00AD6865"/>
    <w:rsid w:val="00AD6CC8"/>
    <w:rsid w:val="00AE42C2"/>
    <w:rsid w:val="00AE4C47"/>
    <w:rsid w:val="00AE4D59"/>
    <w:rsid w:val="00AE4E10"/>
    <w:rsid w:val="00AE684A"/>
    <w:rsid w:val="00AE734B"/>
    <w:rsid w:val="00AF2D04"/>
    <w:rsid w:val="00B00384"/>
    <w:rsid w:val="00B03654"/>
    <w:rsid w:val="00B07691"/>
    <w:rsid w:val="00B077EB"/>
    <w:rsid w:val="00B11F8A"/>
    <w:rsid w:val="00B133DE"/>
    <w:rsid w:val="00B13B2D"/>
    <w:rsid w:val="00B15168"/>
    <w:rsid w:val="00B154FB"/>
    <w:rsid w:val="00B1648C"/>
    <w:rsid w:val="00B2009B"/>
    <w:rsid w:val="00B218D9"/>
    <w:rsid w:val="00B21D14"/>
    <w:rsid w:val="00B22512"/>
    <w:rsid w:val="00B22535"/>
    <w:rsid w:val="00B26223"/>
    <w:rsid w:val="00B32DAE"/>
    <w:rsid w:val="00B33389"/>
    <w:rsid w:val="00B341BB"/>
    <w:rsid w:val="00B34B74"/>
    <w:rsid w:val="00B34E53"/>
    <w:rsid w:val="00B40DC2"/>
    <w:rsid w:val="00B42174"/>
    <w:rsid w:val="00B5009F"/>
    <w:rsid w:val="00B52B00"/>
    <w:rsid w:val="00B53349"/>
    <w:rsid w:val="00B55AAA"/>
    <w:rsid w:val="00B568FE"/>
    <w:rsid w:val="00B56BE4"/>
    <w:rsid w:val="00B56F18"/>
    <w:rsid w:val="00B611BD"/>
    <w:rsid w:val="00B622AA"/>
    <w:rsid w:val="00B64AA4"/>
    <w:rsid w:val="00B67980"/>
    <w:rsid w:val="00B67A40"/>
    <w:rsid w:val="00B76209"/>
    <w:rsid w:val="00B8013B"/>
    <w:rsid w:val="00B81A40"/>
    <w:rsid w:val="00B83610"/>
    <w:rsid w:val="00B84C0A"/>
    <w:rsid w:val="00B85F30"/>
    <w:rsid w:val="00B8773A"/>
    <w:rsid w:val="00B87F35"/>
    <w:rsid w:val="00B9071C"/>
    <w:rsid w:val="00B92C75"/>
    <w:rsid w:val="00B939C7"/>
    <w:rsid w:val="00BA1D81"/>
    <w:rsid w:val="00BA5F44"/>
    <w:rsid w:val="00BA620C"/>
    <w:rsid w:val="00BB0054"/>
    <w:rsid w:val="00BB214D"/>
    <w:rsid w:val="00BB43F3"/>
    <w:rsid w:val="00BB58DB"/>
    <w:rsid w:val="00BB5B5B"/>
    <w:rsid w:val="00BB681A"/>
    <w:rsid w:val="00BC2AC6"/>
    <w:rsid w:val="00BC31CE"/>
    <w:rsid w:val="00BC4D40"/>
    <w:rsid w:val="00BC61E1"/>
    <w:rsid w:val="00BD3F71"/>
    <w:rsid w:val="00BD5C01"/>
    <w:rsid w:val="00BD687D"/>
    <w:rsid w:val="00BD7F2A"/>
    <w:rsid w:val="00BE10A6"/>
    <w:rsid w:val="00BE217E"/>
    <w:rsid w:val="00BE2E49"/>
    <w:rsid w:val="00BE361A"/>
    <w:rsid w:val="00BE43B2"/>
    <w:rsid w:val="00BE6D96"/>
    <w:rsid w:val="00BF10D4"/>
    <w:rsid w:val="00BF1341"/>
    <w:rsid w:val="00BF1CFE"/>
    <w:rsid w:val="00BF5F76"/>
    <w:rsid w:val="00BF6215"/>
    <w:rsid w:val="00BF7C31"/>
    <w:rsid w:val="00C001F0"/>
    <w:rsid w:val="00C0152D"/>
    <w:rsid w:val="00C05B61"/>
    <w:rsid w:val="00C10ECC"/>
    <w:rsid w:val="00C112A7"/>
    <w:rsid w:val="00C12443"/>
    <w:rsid w:val="00C17992"/>
    <w:rsid w:val="00C17DFD"/>
    <w:rsid w:val="00C20D96"/>
    <w:rsid w:val="00C24B39"/>
    <w:rsid w:val="00C26030"/>
    <w:rsid w:val="00C265E0"/>
    <w:rsid w:val="00C268D7"/>
    <w:rsid w:val="00C302D1"/>
    <w:rsid w:val="00C338FF"/>
    <w:rsid w:val="00C349F7"/>
    <w:rsid w:val="00C415B2"/>
    <w:rsid w:val="00C438CB"/>
    <w:rsid w:val="00C504BA"/>
    <w:rsid w:val="00C551D4"/>
    <w:rsid w:val="00C6129F"/>
    <w:rsid w:val="00C61FFB"/>
    <w:rsid w:val="00C62E78"/>
    <w:rsid w:val="00C638FE"/>
    <w:rsid w:val="00C647D7"/>
    <w:rsid w:val="00C64E8C"/>
    <w:rsid w:val="00C66E99"/>
    <w:rsid w:val="00C67944"/>
    <w:rsid w:val="00C679BB"/>
    <w:rsid w:val="00C70361"/>
    <w:rsid w:val="00C70412"/>
    <w:rsid w:val="00C72A55"/>
    <w:rsid w:val="00C74B1A"/>
    <w:rsid w:val="00C8020C"/>
    <w:rsid w:val="00C80AEC"/>
    <w:rsid w:val="00C81D81"/>
    <w:rsid w:val="00C83578"/>
    <w:rsid w:val="00C842DB"/>
    <w:rsid w:val="00C850B0"/>
    <w:rsid w:val="00C854B4"/>
    <w:rsid w:val="00C9043B"/>
    <w:rsid w:val="00C90B80"/>
    <w:rsid w:val="00C918E2"/>
    <w:rsid w:val="00C9197F"/>
    <w:rsid w:val="00C93BB5"/>
    <w:rsid w:val="00C93FCE"/>
    <w:rsid w:val="00C97ED0"/>
    <w:rsid w:val="00CA4B49"/>
    <w:rsid w:val="00CA533F"/>
    <w:rsid w:val="00CA5A70"/>
    <w:rsid w:val="00CA6277"/>
    <w:rsid w:val="00CA65C1"/>
    <w:rsid w:val="00CA66C3"/>
    <w:rsid w:val="00CB2D29"/>
    <w:rsid w:val="00CB46A5"/>
    <w:rsid w:val="00CB4EDC"/>
    <w:rsid w:val="00CB5E17"/>
    <w:rsid w:val="00CB6259"/>
    <w:rsid w:val="00CB7699"/>
    <w:rsid w:val="00CC021A"/>
    <w:rsid w:val="00CC17EA"/>
    <w:rsid w:val="00CC2489"/>
    <w:rsid w:val="00CC42CA"/>
    <w:rsid w:val="00CC686B"/>
    <w:rsid w:val="00CD035A"/>
    <w:rsid w:val="00CD0C7A"/>
    <w:rsid w:val="00CD2BAF"/>
    <w:rsid w:val="00CD5719"/>
    <w:rsid w:val="00CD642E"/>
    <w:rsid w:val="00CE3E8F"/>
    <w:rsid w:val="00CE4458"/>
    <w:rsid w:val="00CE7D02"/>
    <w:rsid w:val="00CF6E04"/>
    <w:rsid w:val="00D016E0"/>
    <w:rsid w:val="00D021EB"/>
    <w:rsid w:val="00D040B9"/>
    <w:rsid w:val="00D065C1"/>
    <w:rsid w:val="00D07EF0"/>
    <w:rsid w:val="00D126B6"/>
    <w:rsid w:val="00D14406"/>
    <w:rsid w:val="00D14AC9"/>
    <w:rsid w:val="00D155C5"/>
    <w:rsid w:val="00D16AAA"/>
    <w:rsid w:val="00D17BC3"/>
    <w:rsid w:val="00D219FD"/>
    <w:rsid w:val="00D24895"/>
    <w:rsid w:val="00D24B93"/>
    <w:rsid w:val="00D3130A"/>
    <w:rsid w:val="00D32782"/>
    <w:rsid w:val="00D32DD3"/>
    <w:rsid w:val="00D414B1"/>
    <w:rsid w:val="00D43C7D"/>
    <w:rsid w:val="00D44686"/>
    <w:rsid w:val="00D45C91"/>
    <w:rsid w:val="00D50DD8"/>
    <w:rsid w:val="00D51BF1"/>
    <w:rsid w:val="00D5328A"/>
    <w:rsid w:val="00D6082D"/>
    <w:rsid w:val="00D62D60"/>
    <w:rsid w:val="00D653A8"/>
    <w:rsid w:val="00D65543"/>
    <w:rsid w:val="00D65FC3"/>
    <w:rsid w:val="00D679D7"/>
    <w:rsid w:val="00D751E3"/>
    <w:rsid w:val="00D8112D"/>
    <w:rsid w:val="00D81D2F"/>
    <w:rsid w:val="00D81D80"/>
    <w:rsid w:val="00D8238B"/>
    <w:rsid w:val="00D82825"/>
    <w:rsid w:val="00D84EA3"/>
    <w:rsid w:val="00D84EA4"/>
    <w:rsid w:val="00D85921"/>
    <w:rsid w:val="00D867FF"/>
    <w:rsid w:val="00D86A5B"/>
    <w:rsid w:val="00D90224"/>
    <w:rsid w:val="00D908AC"/>
    <w:rsid w:val="00D917B7"/>
    <w:rsid w:val="00D934C5"/>
    <w:rsid w:val="00D9523F"/>
    <w:rsid w:val="00DA0AFC"/>
    <w:rsid w:val="00DA15BF"/>
    <w:rsid w:val="00DA1836"/>
    <w:rsid w:val="00DA19FD"/>
    <w:rsid w:val="00DA1B30"/>
    <w:rsid w:val="00DB28A4"/>
    <w:rsid w:val="00DB2EED"/>
    <w:rsid w:val="00DB4C92"/>
    <w:rsid w:val="00DB5AE6"/>
    <w:rsid w:val="00DC22B4"/>
    <w:rsid w:val="00DC3BB8"/>
    <w:rsid w:val="00DC3FDB"/>
    <w:rsid w:val="00DC444C"/>
    <w:rsid w:val="00DC6742"/>
    <w:rsid w:val="00DC75C4"/>
    <w:rsid w:val="00DD0CEF"/>
    <w:rsid w:val="00DD1063"/>
    <w:rsid w:val="00DD1898"/>
    <w:rsid w:val="00DD44A7"/>
    <w:rsid w:val="00DD7D19"/>
    <w:rsid w:val="00DE0674"/>
    <w:rsid w:val="00DE38D6"/>
    <w:rsid w:val="00DE3C42"/>
    <w:rsid w:val="00DE6EC8"/>
    <w:rsid w:val="00DF049F"/>
    <w:rsid w:val="00DF0E9B"/>
    <w:rsid w:val="00DF2B35"/>
    <w:rsid w:val="00DF4657"/>
    <w:rsid w:val="00DF64DC"/>
    <w:rsid w:val="00E0031A"/>
    <w:rsid w:val="00E00B35"/>
    <w:rsid w:val="00E00D73"/>
    <w:rsid w:val="00E04D5B"/>
    <w:rsid w:val="00E04F0C"/>
    <w:rsid w:val="00E07DD3"/>
    <w:rsid w:val="00E10A00"/>
    <w:rsid w:val="00E13432"/>
    <w:rsid w:val="00E15ECB"/>
    <w:rsid w:val="00E203EE"/>
    <w:rsid w:val="00E221F0"/>
    <w:rsid w:val="00E22329"/>
    <w:rsid w:val="00E224AF"/>
    <w:rsid w:val="00E23AAB"/>
    <w:rsid w:val="00E24F01"/>
    <w:rsid w:val="00E27CB2"/>
    <w:rsid w:val="00E318E8"/>
    <w:rsid w:val="00E35122"/>
    <w:rsid w:val="00E362BA"/>
    <w:rsid w:val="00E3778F"/>
    <w:rsid w:val="00E4268A"/>
    <w:rsid w:val="00E44837"/>
    <w:rsid w:val="00E523D0"/>
    <w:rsid w:val="00E565C7"/>
    <w:rsid w:val="00E7095C"/>
    <w:rsid w:val="00E716BB"/>
    <w:rsid w:val="00E71CB0"/>
    <w:rsid w:val="00E73182"/>
    <w:rsid w:val="00E762BC"/>
    <w:rsid w:val="00E77FCF"/>
    <w:rsid w:val="00E824A5"/>
    <w:rsid w:val="00E8253F"/>
    <w:rsid w:val="00E841FD"/>
    <w:rsid w:val="00E857B8"/>
    <w:rsid w:val="00E86A1E"/>
    <w:rsid w:val="00E91453"/>
    <w:rsid w:val="00E931A3"/>
    <w:rsid w:val="00E94571"/>
    <w:rsid w:val="00EA08CE"/>
    <w:rsid w:val="00EA3986"/>
    <w:rsid w:val="00EA4C4D"/>
    <w:rsid w:val="00EA4E2D"/>
    <w:rsid w:val="00EA5199"/>
    <w:rsid w:val="00EA53D8"/>
    <w:rsid w:val="00EA6AB8"/>
    <w:rsid w:val="00EA6B29"/>
    <w:rsid w:val="00EA762D"/>
    <w:rsid w:val="00EA78B9"/>
    <w:rsid w:val="00EB07B6"/>
    <w:rsid w:val="00EB1A17"/>
    <w:rsid w:val="00EB1D61"/>
    <w:rsid w:val="00EB359E"/>
    <w:rsid w:val="00EB3639"/>
    <w:rsid w:val="00EB4312"/>
    <w:rsid w:val="00EB6D4B"/>
    <w:rsid w:val="00EC12A3"/>
    <w:rsid w:val="00EC77F5"/>
    <w:rsid w:val="00EC788B"/>
    <w:rsid w:val="00ED0D03"/>
    <w:rsid w:val="00ED0E03"/>
    <w:rsid w:val="00ED1E67"/>
    <w:rsid w:val="00ED2E2D"/>
    <w:rsid w:val="00ED7EB6"/>
    <w:rsid w:val="00EE09BD"/>
    <w:rsid w:val="00EE0F0E"/>
    <w:rsid w:val="00EE14BA"/>
    <w:rsid w:val="00EE185F"/>
    <w:rsid w:val="00EE2B6E"/>
    <w:rsid w:val="00EE4F97"/>
    <w:rsid w:val="00EE63EE"/>
    <w:rsid w:val="00EE75B5"/>
    <w:rsid w:val="00EF1906"/>
    <w:rsid w:val="00EF3D31"/>
    <w:rsid w:val="00EF5641"/>
    <w:rsid w:val="00EF6E6A"/>
    <w:rsid w:val="00F0453E"/>
    <w:rsid w:val="00F045CB"/>
    <w:rsid w:val="00F048D1"/>
    <w:rsid w:val="00F0671C"/>
    <w:rsid w:val="00F06D19"/>
    <w:rsid w:val="00F11259"/>
    <w:rsid w:val="00F136F0"/>
    <w:rsid w:val="00F145C3"/>
    <w:rsid w:val="00F15447"/>
    <w:rsid w:val="00F175DA"/>
    <w:rsid w:val="00F22C8D"/>
    <w:rsid w:val="00F22D33"/>
    <w:rsid w:val="00F23C7B"/>
    <w:rsid w:val="00F24BF3"/>
    <w:rsid w:val="00F25607"/>
    <w:rsid w:val="00F2578B"/>
    <w:rsid w:val="00F257EE"/>
    <w:rsid w:val="00F2646F"/>
    <w:rsid w:val="00F26D4C"/>
    <w:rsid w:val="00F30877"/>
    <w:rsid w:val="00F30CF5"/>
    <w:rsid w:val="00F31E06"/>
    <w:rsid w:val="00F328D5"/>
    <w:rsid w:val="00F34CB1"/>
    <w:rsid w:val="00F37491"/>
    <w:rsid w:val="00F37BB8"/>
    <w:rsid w:val="00F42CE5"/>
    <w:rsid w:val="00F44897"/>
    <w:rsid w:val="00F46784"/>
    <w:rsid w:val="00F5275C"/>
    <w:rsid w:val="00F53461"/>
    <w:rsid w:val="00F54C6E"/>
    <w:rsid w:val="00F5503E"/>
    <w:rsid w:val="00F5505C"/>
    <w:rsid w:val="00F5601F"/>
    <w:rsid w:val="00F62313"/>
    <w:rsid w:val="00F6389C"/>
    <w:rsid w:val="00F63CB0"/>
    <w:rsid w:val="00F6450E"/>
    <w:rsid w:val="00F649C5"/>
    <w:rsid w:val="00F65985"/>
    <w:rsid w:val="00F66B27"/>
    <w:rsid w:val="00F6786C"/>
    <w:rsid w:val="00F67BCB"/>
    <w:rsid w:val="00F70C2C"/>
    <w:rsid w:val="00F71EA3"/>
    <w:rsid w:val="00F727EE"/>
    <w:rsid w:val="00F72992"/>
    <w:rsid w:val="00F76C1A"/>
    <w:rsid w:val="00F81B72"/>
    <w:rsid w:val="00F85D7D"/>
    <w:rsid w:val="00F86C39"/>
    <w:rsid w:val="00F8766D"/>
    <w:rsid w:val="00F90255"/>
    <w:rsid w:val="00F915A4"/>
    <w:rsid w:val="00F93CB4"/>
    <w:rsid w:val="00F9585D"/>
    <w:rsid w:val="00F95E3C"/>
    <w:rsid w:val="00F969CD"/>
    <w:rsid w:val="00F96F5E"/>
    <w:rsid w:val="00F978DE"/>
    <w:rsid w:val="00FA0A26"/>
    <w:rsid w:val="00FA29CF"/>
    <w:rsid w:val="00FA4A9A"/>
    <w:rsid w:val="00FA5DFE"/>
    <w:rsid w:val="00FA67B0"/>
    <w:rsid w:val="00FB3A3B"/>
    <w:rsid w:val="00FB57F0"/>
    <w:rsid w:val="00FB7019"/>
    <w:rsid w:val="00FB7CB0"/>
    <w:rsid w:val="00FC01DE"/>
    <w:rsid w:val="00FC0A75"/>
    <w:rsid w:val="00FC2C49"/>
    <w:rsid w:val="00FC2E0D"/>
    <w:rsid w:val="00FC378D"/>
    <w:rsid w:val="00FC476F"/>
    <w:rsid w:val="00FC48AA"/>
    <w:rsid w:val="00FC6718"/>
    <w:rsid w:val="00FC67E2"/>
    <w:rsid w:val="00FC7157"/>
    <w:rsid w:val="00FD14C7"/>
    <w:rsid w:val="00FD2558"/>
    <w:rsid w:val="00FD5304"/>
    <w:rsid w:val="00FE0185"/>
    <w:rsid w:val="00FE0B51"/>
    <w:rsid w:val="00FE2047"/>
    <w:rsid w:val="00FE400D"/>
    <w:rsid w:val="00FF1527"/>
    <w:rsid w:val="00FF19E3"/>
    <w:rsid w:val="00FF1DD6"/>
    <w:rsid w:val="00FF59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A51991E"/>
  <w15:docId w15:val="{7D6C45D7-9625-48F8-A61A-25542A6D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797"/>
    <w:rPr>
      <w:rFonts w:ascii="Times New Roman" w:eastAsia="Times New Roman" w:hAnsi="Times New Roman"/>
    </w:rPr>
  </w:style>
  <w:style w:type="paragraph" w:styleId="Heading1">
    <w:name w:val="heading 1"/>
    <w:basedOn w:val="Normal"/>
    <w:next w:val="Normal"/>
    <w:link w:val="Heading1Char"/>
    <w:qFormat/>
    <w:rsid w:val="00AE42C2"/>
    <w:pPr>
      <w:keepNext/>
      <w:jc w:val="center"/>
      <w:outlineLvl w:val="0"/>
    </w:pPr>
    <w:rPr>
      <w:i/>
      <w:sz w:val="24"/>
    </w:rPr>
  </w:style>
  <w:style w:type="paragraph" w:styleId="Heading2">
    <w:name w:val="heading 2"/>
    <w:basedOn w:val="Normal"/>
    <w:next w:val="Normal"/>
    <w:link w:val="Heading2Char"/>
    <w:uiPriority w:val="9"/>
    <w:semiHidden/>
    <w:unhideWhenUsed/>
    <w:qFormat/>
    <w:rsid w:val="002612B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612B8"/>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612B8"/>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2612B8"/>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42C2"/>
    <w:rPr>
      <w:rFonts w:ascii="Times New Roman" w:eastAsia="Times New Roman" w:hAnsi="Times New Roman" w:cs="Times New Roman"/>
      <w:i/>
      <w:sz w:val="24"/>
      <w:szCs w:val="20"/>
      <w:lang w:eastAsia="en-AU"/>
    </w:rPr>
  </w:style>
  <w:style w:type="paragraph" w:styleId="Title">
    <w:name w:val="Title"/>
    <w:basedOn w:val="Normal"/>
    <w:link w:val="TitleChar"/>
    <w:qFormat/>
    <w:rsid w:val="00AE42C2"/>
    <w:pPr>
      <w:jc w:val="center"/>
    </w:pPr>
    <w:rPr>
      <w:b/>
      <w:sz w:val="24"/>
      <w:u w:val="single"/>
      <w:lang w:val="en-GB" w:eastAsia="en-US"/>
    </w:rPr>
  </w:style>
  <w:style w:type="character" w:customStyle="1" w:styleId="TitleChar">
    <w:name w:val="Title Char"/>
    <w:basedOn w:val="DefaultParagraphFont"/>
    <w:link w:val="Title"/>
    <w:rsid w:val="00AE42C2"/>
    <w:rPr>
      <w:rFonts w:ascii="Times New Roman" w:eastAsia="Times New Roman" w:hAnsi="Times New Roman" w:cs="Times New Roman"/>
      <w:b/>
      <w:sz w:val="24"/>
      <w:szCs w:val="20"/>
      <w:u w:val="single"/>
      <w:lang w:val="en-GB"/>
    </w:rPr>
  </w:style>
  <w:style w:type="paragraph" w:styleId="BodyText3">
    <w:name w:val="Body Text 3"/>
    <w:basedOn w:val="Normal"/>
    <w:link w:val="BodyText3Char"/>
    <w:rsid w:val="00AE42C2"/>
    <w:rPr>
      <w:sz w:val="24"/>
      <w:u w:val="single"/>
      <w:lang w:val="en-GB" w:eastAsia="en-US"/>
    </w:rPr>
  </w:style>
  <w:style w:type="character" w:customStyle="1" w:styleId="BodyText3Char">
    <w:name w:val="Body Text 3 Char"/>
    <w:basedOn w:val="DefaultParagraphFont"/>
    <w:link w:val="BodyText3"/>
    <w:rsid w:val="00AE42C2"/>
    <w:rPr>
      <w:rFonts w:ascii="Times New Roman" w:eastAsia="Times New Roman" w:hAnsi="Times New Roman" w:cs="Times New Roman"/>
      <w:sz w:val="24"/>
      <w:szCs w:val="20"/>
      <w:u w:val="single"/>
      <w:lang w:val="en-GB"/>
    </w:rPr>
  </w:style>
  <w:style w:type="paragraph" w:styleId="BodyText">
    <w:name w:val="Body Text"/>
    <w:basedOn w:val="Normal"/>
    <w:link w:val="BodyTextChar"/>
    <w:rsid w:val="00AE42C2"/>
    <w:pPr>
      <w:jc w:val="center"/>
    </w:pPr>
    <w:rPr>
      <w:sz w:val="24"/>
    </w:rPr>
  </w:style>
  <w:style w:type="character" w:customStyle="1" w:styleId="BodyTextChar">
    <w:name w:val="Body Text Char"/>
    <w:basedOn w:val="DefaultParagraphFont"/>
    <w:link w:val="BodyText"/>
    <w:rsid w:val="00AE42C2"/>
    <w:rPr>
      <w:rFonts w:ascii="Times New Roman" w:eastAsia="Times New Roman" w:hAnsi="Times New Roman" w:cs="Times New Roman"/>
      <w:sz w:val="24"/>
      <w:szCs w:val="20"/>
      <w:lang w:eastAsia="en-AU"/>
    </w:rPr>
  </w:style>
  <w:style w:type="paragraph" w:styleId="BodyText2">
    <w:name w:val="Body Text 2"/>
    <w:basedOn w:val="Normal"/>
    <w:link w:val="BodyText2Char"/>
    <w:rsid w:val="00AE42C2"/>
    <w:rPr>
      <w:snapToGrid w:val="0"/>
      <w:sz w:val="24"/>
      <w:lang w:eastAsia="en-US"/>
    </w:rPr>
  </w:style>
  <w:style w:type="character" w:customStyle="1" w:styleId="BodyText2Char">
    <w:name w:val="Body Text 2 Char"/>
    <w:basedOn w:val="DefaultParagraphFont"/>
    <w:link w:val="BodyText2"/>
    <w:rsid w:val="00AE42C2"/>
    <w:rPr>
      <w:rFonts w:ascii="Times New Roman" w:eastAsia="Times New Roman" w:hAnsi="Times New Roman" w:cs="Times New Roman"/>
      <w:snapToGrid w:val="0"/>
      <w:sz w:val="24"/>
      <w:szCs w:val="20"/>
    </w:rPr>
  </w:style>
  <w:style w:type="paragraph" w:styleId="Header">
    <w:name w:val="header"/>
    <w:basedOn w:val="Normal"/>
    <w:link w:val="HeaderChar"/>
    <w:rsid w:val="00AE42C2"/>
    <w:pPr>
      <w:tabs>
        <w:tab w:val="center" w:pos="4320"/>
        <w:tab w:val="right" w:pos="8640"/>
      </w:tabs>
    </w:pPr>
    <w:rPr>
      <w:sz w:val="24"/>
    </w:rPr>
  </w:style>
  <w:style w:type="character" w:customStyle="1" w:styleId="HeaderChar">
    <w:name w:val="Header Char"/>
    <w:basedOn w:val="DefaultParagraphFont"/>
    <w:link w:val="Header"/>
    <w:rsid w:val="00AE42C2"/>
    <w:rPr>
      <w:rFonts w:ascii="Times New Roman" w:eastAsia="Times New Roman" w:hAnsi="Times New Roman" w:cs="Times New Roman"/>
      <w:sz w:val="24"/>
      <w:szCs w:val="20"/>
      <w:lang w:eastAsia="en-AU"/>
    </w:rPr>
  </w:style>
  <w:style w:type="character" w:styleId="PageNumber">
    <w:name w:val="page number"/>
    <w:basedOn w:val="DefaultParagraphFont"/>
    <w:rsid w:val="00AE42C2"/>
  </w:style>
  <w:style w:type="character" w:styleId="CommentReference">
    <w:name w:val="annotation reference"/>
    <w:basedOn w:val="DefaultParagraphFont"/>
    <w:rsid w:val="00AE42C2"/>
    <w:rPr>
      <w:sz w:val="16"/>
      <w:szCs w:val="16"/>
    </w:rPr>
  </w:style>
  <w:style w:type="paragraph" w:styleId="CommentText">
    <w:name w:val="annotation text"/>
    <w:basedOn w:val="Normal"/>
    <w:link w:val="CommentTextChar"/>
    <w:rsid w:val="00AE42C2"/>
  </w:style>
  <w:style w:type="character" w:customStyle="1" w:styleId="CommentTextChar">
    <w:name w:val="Comment Text Char"/>
    <w:basedOn w:val="DefaultParagraphFont"/>
    <w:link w:val="CommentText"/>
    <w:rsid w:val="00AE42C2"/>
    <w:rPr>
      <w:rFonts w:ascii="Times New Roman" w:eastAsia="Times New Roman" w:hAnsi="Times New Roman" w:cs="Times New Roman"/>
      <w:sz w:val="20"/>
      <w:szCs w:val="20"/>
      <w:lang w:eastAsia="en-AU"/>
    </w:rPr>
  </w:style>
  <w:style w:type="paragraph" w:styleId="ListParagraph">
    <w:name w:val="List Paragraph"/>
    <w:basedOn w:val="Normal"/>
    <w:uiPriority w:val="34"/>
    <w:qFormat/>
    <w:rsid w:val="00AE42C2"/>
    <w:pPr>
      <w:ind w:left="720"/>
    </w:pPr>
  </w:style>
  <w:style w:type="paragraph" w:styleId="Footer">
    <w:name w:val="footer"/>
    <w:basedOn w:val="Normal"/>
    <w:link w:val="FooterChar"/>
    <w:uiPriority w:val="99"/>
    <w:rsid w:val="00AE42C2"/>
    <w:pPr>
      <w:tabs>
        <w:tab w:val="center" w:pos="4513"/>
        <w:tab w:val="right" w:pos="9026"/>
      </w:tabs>
    </w:pPr>
  </w:style>
  <w:style w:type="character" w:customStyle="1" w:styleId="FooterChar">
    <w:name w:val="Footer Char"/>
    <w:basedOn w:val="DefaultParagraphFont"/>
    <w:link w:val="Footer"/>
    <w:uiPriority w:val="99"/>
    <w:rsid w:val="00AE42C2"/>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AE42C2"/>
    <w:rPr>
      <w:rFonts w:ascii="Tahoma" w:hAnsi="Tahoma" w:cs="Tahoma"/>
      <w:sz w:val="16"/>
      <w:szCs w:val="16"/>
    </w:rPr>
  </w:style>
  <w:style w:type="character" w:customStyle="1" w:styleId="BalloonTextChar">
    <w:name w:val="Balloon Text Char"/>
    <w:basedOn w:val="DefaultParagraphFont"/>
    <w:link w:val="BalloonText"/>
    <w:uiPriority w:val="99"/>
    <w:semiHidden/>
    <w:rsid w:val="00AE42C2"/>
    <w:rPr>
      <w:rFonts w:ascii="Tahoma" w:eastAsia="Times New Roman" w:hAnsi="Tahoma" w:cs="Tahoma"/>
      <w:sz w:val="16"/>
      <w:szCs w:val="16"/>
      <w:lang w:eastAsia="en-AU"/>
    </w:rPr>
  </w:style>
  <w:style w:type="paragraph" w:styleId="CommentSubject">
    <w:name w:val="annotation subject"/>
    <w:basedOn w:val="CommentText"/>
    <w:next w:val="CommentText"/>
    <w:link w:val="CommentSubjectChar"/>
    <w:uiPriority w:val="99"/>
    <w:semiHidden/>
    <w:unhideWhenUsed/>
    <w:rsid w:val="00E77FCF"/>
    <w:rPr>
      <w:b/>
      <w:bCs/>
    </w:rPr>
  </w:style>
  <w:style w:type="character" w:customStyle="1" w:styleId="CommentSubjectChar">
    <w:name w:val="Comment Subject Char"/>
    <w:basedOn w:val="CommentTextChar"/>
    <w:link w:val="CommentSubject"/>
    <w:uiPriority w:val="99"/>
    <w:semiHidden/>
    <w:rsid w:val="00E77FCF"/>
    <w:rPr>
      <w:rFonts w:ascii="Times New Roman" w:eastAsia="Times New Roman" w:hAnsi="Times New Roman" w:cs="Times New Roman"/>
      <w:b/>
      <w:bCs/>
      <w:sz w:val="20"/>
      <w:szCs w:val="20"/>
      <w:lang w:eastAsia="en-AU"/>
    </w:rPr>
  </w:style>
  <w:style w:type="paragraph" w:styleId="NormalWeb">
    <w:name w:val="Normal (Web)"/>
    <w:basedOn w:val="Normal"/>
    <w:uiPriority w:val="99"/>
    <w:unhideWhenUsed/>
    <w:rsid w:val="00E04F0C"/>
    <w:pPr>
      <w:spacing w:before="100" w:beforeAutospacing="1" w:after="100" w:afterAutospacing="1"/>
    </w:pPr>
    <w:rPr>
      <w:sz w:val="24"/>
      <w:szCs w:val="24"/>
    </w:rPr>
  </w:style>
  <w:style w:type="character" w:styleId="Hyperlink">
    <w:name w:val="Hyperlink"/>
    <w:basedOn w:val="DefaultParagraphFont"/>
    <w:uiPriority w:val="99"/>
    <w:unhideWhenUsed/>
    <w:rsid w:val="00E04F0C"/>
    <w:rPr>
      <w:color w:val="0000FF"/>
      <w:u w:val="single"/>
    </w:rPr>
  </w:style>
  <w:style w:type="paragraph" w:customStyle="1" w:styleId="Default">
    <w:name w:val="Default"/>
    <w:rsid w:val="00BF7C31"/>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sid w:val="0060457D"/>
    <w:rPr>
      <w:rFonts w:ascii="Times New Roman" w:eastAsia="Times New Roman" w:hAnsi="Times New Roman"/>
    </w:rPr>
  </w:style>
  <w:style w:type="paragraph" w:styleId="Caption">
    <w:name w:val="caption"/>
    <w:basedOn w:val="Normal"/>
    <w:next w:val="Normal"/>
    <w:uiPriority w:val="35"/>
    <w:unhideWhenUsed/>
    <w:qFormat/>
    <w:rsid w:val="00864F0C"/>
    <w:rPr>
      <w:b/>
      <w:bCs/>
    </w:rPr>
  </w:style>
  <w:style w:type="character" w:customStyle="1" w:styleId="Heading2Char">
    <w:name w:val="Heading 2 Char"/>
    <w:basedOn w:val="DefaultParagraphFont"/>
    <w:link w:val="Heading2"/>
    <w:uiPriority w:val="9"/>
    <w:semiHidden/>
    <w:rsid w:val="002612B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612B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612B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rsid w:val="002612B8"/>
    <w:rPr>
      <w:rFonts w:asciiTheme="majorHAnsi" w:eastAsiaTheme="majorEastAsia" w:hAnsiTheme="majorHAnsi" w:cstheme="majorBidi"/>
      <w:color w:val="243F60" w:themeColor="accent1" w:themeShade="7F"/>
      <w:sz w:val="22"/>
      <w:szCs w:val="22"/>
      <w:lang w:eastAsia="en-US"/>
    </w:rPr>
  </w:style>
  <w:style w:type="paragraph" w:styleId="FootnoteText">
    <w:name w:val="footnote text"/>
    <w:basedOn w:val="Normal"/>
    <w:link w:val="FootnoteTextChar"/>
    <w:uiPriority w:val="99"/>
    <w:rsid w:val="002612B8"/>
    <w:pPr>
      <w:autoSpaceDE w:val="0"/>
      <w:autoSpaceDN w:val="0"/>
      <w:adjustRightInd w:val="0"/>
    </w:pPr>
    <w:rPr>
      <w:color w:val="000000"/>
      <w:szCs w:val="23"/>
    </w:rPr>
  </w:style>
  <w:style w:type="character" w:customStyle="1" w:styleId="FootnoteTextChar">
    <w:name w:val="Footnote Text Char"/>
    <w:basedOn w:val="DefaultParagraphFont"/>
    <w:link w:val="FootnoteText"/>
    <w:uiPriority w:val="99"/>
    <w:rsid w:val="002612B8"/>
    <w:rPr>
      <w:rFonts w:ascii="Times New Roman" w:eastAsia="Times New Roman" w:hAnsi="Times New Roman"/>
      <w:color w:val="000000"/>
      <w:szCs w:val="23"/>
    </w:rPr>
  </w:style>
  <w:style w:type="character" w:styleId="FootnoteReference">
    <w:name w:val="footnote reference"/>
    <w:basedOn w:val="DefaultParagraphFont"/>
    <w:uiPriority w:val="99"/>
    <w:rsid w:val="002612B8"/>
    <w:rPr>
      <w:vertAlign w:val="superscript"/>
    </w:rPr>
  </w:style>
  <w:style w:type="table" w:styleId="TableGrid">
    <w:name w:val="Table Grid"/>
    <w:basedOn w:val="TableNormal"/>
    <w:uiPriority w:val="59"/>
    <w:rsid w:val="002612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FE400D"/>
    <w:pPr>
      <w:pBdr>
        <w:top w:val="nil"/>
        <w:left w:val="nil"/>
        <w:bottom w:val="nil"/>
        <w:right w:val="nil"/>
        <w:between w:val="nil"/>
        <w:bar w:val="nil"/>
      </w:pBdr>
    </w:pPr>
    <w:rPr>
      <w:rFonts w:cs="Calibri"/>
      <w:color w:val="000000"/>
      <w:u w:color="000000"/>
      <w:bdr w:val="nil"/>
    </w:rPr>
  </w:style>
  <w:style w:type="paragraph" w:customStyle="1" w:styleId="NoteBody2">
    <w:name w:val="Note Body 2"/>
    <w:basedOn w:val="Normal"/>
    <w:rsid w:val="008F6F8E"/>
    <w:pPr>
      <w:autoSpaceDE w:val="0"/>
      <w:autoSpaceDN w:val="0"/>
      <w:spacing w:before="120" w:after="120" w:line="260" w:lineRule="atLeast"/>
      <w:jc w:val="both"/>
    </w:pPr>
    <w:rPr>
      <w:rFonts w:ascii="Times" w:hAnsi="Times" w:cs="Times"/>
      <w:sz w:val="22"/>
      <w:szCs w:val="22"/>
    </w:rPr>
  </w:style>
  <w:style w:type="paragraph" w:customStyle="1" w:styleId="HR">
    <w:name w:val="HR"/>
    <w:aliases w:val="Regulation Heading"/>
    <w:basedOn w:val="Normal"/>
    <w:next w:val="Normal"/>
    <w:uiPriority w:val="99"/>
    <w:rsid w:val="00C17992"/>
    <w:pPr>
      <w:keepNext/>
      <w:autoSpaceDE w:val="0"/>
      <w:autoSpaceDN w:val="0"/>
      <w:spacing w:before="480" w:line="240" w:lineRule="atLeast"/>
      <w:ind w:left="851" w:hanging="851"/>
      <w:jc w:val="both"/>
    </w:pPr>
    <w:rPr>
      <w:rFonts w:ascii="Times" w:hAnsi="Times" w:cs="Times"/>
      <w:b/>
      <w:bCs/>
      <w:sz w:val="26"/>
      <w:szCs w:val="26"/>
    </w:rPr>
  </w:style>
  <w:style w:type="paragraph" w:customStyle="1" w:styleId="TableText">
    <w:name w:val="TableText"/>
    <w:basedOn w:val="Normal"/>
    <w:uiPriority w:val="99"/>
    <w:rsid w:val="00194788"/>
    <w:pPr>
      <w:autoSpaceDE w:val="0"/>
      <w:autoSpaceDN w:val="0"/>
      <w:spacing w:before="60" w:after="60" w:line="240" w:lineRule="exact"/>
    </w:pPr>
    <w:rPr>
      <w:noProof/>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456595">
      <w:bodyDiv w:val="1"/>
      <w:marLeft w:val="0"/>
      <w:marRight w:val="0"/>
      <w:marTop w:val="0"/>
      <w:marBottom w:val="0"/>
      <w:divBdr>
        <w:top w:val="none" w:sz="0" w:space="0" w:color="auto"/>
        <w:left w:val="none" w:sz="0" w:space="0" w:color="auto"/>
        <w:bottom w:val="none" w:sz="0" w:space="0" w:color="auto"/>
        <w:right w:val="none" w:sz="0" w:space="0" w:color="auto"/>
      </w:divBdr>
      <w:divsChild>
        <w:div w:id="940644834">
          <w:marLeft w:val="0"/>
          <w:marRight w:val="0"/>
          <w:marTop w:val="0"/>
          <w:marBottom w:val="0"/>
          <w:divBdr>
            <w:top w:val="none" w:sz="0" w:space="0" w:color="auto"/>
            <w:left w:val="none" w:sz="0" w:space="0" w:color="auto"/>
            <w:bottom w:val="none" w:sz="0" w:space="0" w:color="auto"/>
            <w:right w:val="none" w:sz="0" w:space="0" w:color="auto"/>
          </w:divBdr>
          <w:divsChild>
            <w:div w:id="250705199">
              <w:marLeft w:val="0"/>
              <w:marRight w:val="0"/>
              <w:marTop w:val="0"/>
              <w:marBottom w:val="0"/>
              <w:divBdr>
                <w:top w:val="none" w:sz="0" w:space="0" w:color="auto"/>
                <w:left w:val="none" w:sz="0" w:space="0" w:color="auto"/>
                <w:bottom w:val="none" w:sz="0" w:space="0" w:color="auto"/>
                <w:right w:val="none" w:sz="0" w:space="0" w:color="auto"/>
              </w:divBdr>
              <w:divsChild>
                <w:div w:id="1993633710">
                  <w:marLeft w:val="0"/>
                  <w:marRight w:val="0"/>
                  <w:marTop w:val="0"/>
                  <w:marBottom w:val="0"/>
                  <w:divBdr>
                    <w:top w:val="none" w:sz="0" w:space="0" w:color="auto"/>
                    <w:left w:val="none" w:sz="0" w:space="0" w:color="auto"/>
                    <w:bottom w:val="none" w:sz="0" w:space="0" w:color="auto"/>
                    <w:right w:val="none" w:sz="0" w:space="0" w:color="auto"/>
                  </w:divBdr>
                  <w:divsChild>
                    <w:div w:id="1058168068">
                      <w:marLeft w:val="0"/>
                      <w:marRight w:val="0"/>
                      <w:marTop w:val="0"/>
                      <w:marBottom w:val="0"/>
                      <w:divBdr>
                        <w:top w:val="none" w:sz="0" w:space="0" w:color="auto"/>
                        <w:left w:val="none" w:sz="0" w:space="0" w:color="auto"/>
                        <w:bottom w:val="none" w:sz="0" w:space="0" w:color="auto"/>
                        <w:right w:val="none" w:sz="0" w:space="0" w:color="auto"/>
                      </w:divBdr>
                      <w:divsChild>
                        <w:div w:id="12720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385665">
      <w:bodyDiv w:val="1"/>
      <w:marLeft w:val="0"/>
      <w:marRight w:val="0"/>
      <w:marTop w:val="0"/>
      <w:marBottom w:val="0"/>
      <w:divBdr>
        <w:top w:val="none" w:sz="0" w:space="0" w:color="auto"/>
        <w:left w:val="none" w:sz="0" w:space="0" w:color="auto"/>
        <w:bottom w:val="none" w:sz="0" w:space="0" w:color="auto"/>
        <w:right w:val="none" w:sz="0" w:space="0" w:color="auto"/>
      </w:divBdr>
    </w:div>
    <w:div w:id="539247255">
      <w:bodyDiv w:val="1"/>
      <w:marLeft w:val="0"/>
      <w:marRight w:val="0"/>
      <w:marTop w:val="0"/>
      <w:marBottom w:val="0"/>
      <w:divBdr>
        <w:top w:val="none" w:sz="0" w:space="0" w:color="auto"/>
        <w:left w:val="none" w:sz="0" w:space="0" w:color="auto"/>
        <w:bottom w:val="none" w:sz="0" w:space="0" w:color="auto"/>
        <w:right w:val="none" w:sz="0" w:space="0" w:color="auto"/>
      </w:divBdr>
    </w:div>
    <w:div w:id="137188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00FEDB8947A24A860B871C69F491DD" ma:contentTypeVersion="0" ma:contentTypeDescription="Create a new document." ma:contentTypeScope="" ma:versionID="d40f5074fa411e7870b01aca10cdf76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05DC2-98A2-4F0E-9A75-D4BD9048FF0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AA950EC9-60ED-4DB2-99D7-1BC84544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89FEECA-30F5-49F5-8A05-623A7FB0E351}">
  <ds:schemaRefs>
    <ds:schemaRef ds:uri="http://schemas.microsoft.com/sharepoint/v3/contenttype/forms"/>
  </ds:schemaRefs>
</ds:datastoreItem>
</file>

<file path=customXml/itemProps4.xml><?xml version="1.0" encoding="utf-8"?>
<ds:datastoreItem xmlns:ds="http://schemas.openxmlformats.org/officeDocument/2006/customXml" ds:itemID="{7EC662C5-3FFB-4C8E-98FE-4753C1F89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2088</Words>
  <Characters>11903</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DBCDE</Company>
  <LinksUpToDate>false</LinksUpToDate>
  <CharactersWithSpaces>13964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Icolton</dc:creator>
  <cp:lastModifiedBy>Miller, Joanne</cp:lastModifiedBy>
  <cp:revision>2</cp:revision>
  <cp:lastPrinted>2015-07-08T02:55:00Z</cp:lastPrinted>
  <dcterms:created xsi:type="dcterms:W3CDTF">2015-07-08T02:55:00Z</dcterms:created>
  <dcterms:modified xsi:type="dcterms:W3CDTF">2015-07-08T02:55:00Z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0x010100B900FEDB8947A24A860B871C69F491DD</vt:lpwstr>
  </property>
  <property fmtid="{D5CDD505-2E9C-101B-9397-08002B2CF9AE}" pid="3" name="TrimRevisionNumber">
    <vt:i4>59</vt:i4>
  </property>
</Properties>
</file>