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BAB72" w14:textId="77777777" w:rsidR="00E327D2" w:rsidRDefault="00E327D2" w:rsidP="00E327D2">
      <w:pPr>
        <w:pStyle w:val="HP"/>
        <w:keepNext w:val="0"/>
        <w:spacing w:before="0"/>
      </w:pPr>
      <w:r>
        <w:t xml:space="preserve">Commonwealth of </w:t>
      </w:r>
      <w:smartTag w:uri="urn:schemas-microsoft-com:office:smarttags" w:element="PersonName">
        <w:smartTag w:uri="urn:schemas-microsoft-com:office:smarttags" w:element="country-region">
          <w:r>
            <w:t>Australia</w:t>
          </w:r>
        </w:smartTag>
      </w:smartTag>
    </w:p>
    <w:p w14:paraId="184CFDC6" w14:textId="77777777" w:rsidR="00E327D2" w:rsidRDefault="00E327D2" w:rsidP="00E327D2">
      <w:pPr>
        <w:jc w:val="center"/>
        <w:rPr>
          <w:b/>
          <w:bCs/>
        </w:rPr>
      </w:pPr>
    </w:p>
    <w:p w14:paraId="5CB041BC" w14:textId="77777777" w:rsidR="00E327D2" w:rsidRDefault="0074294D" w:rsidP="00E327D2">
      <w:pPr>
        <w:pStyle w:val="Heading6"/>
        <w:jc w:val="center"/>
        <w:rPr>
          <w:b w:val="0"/>
          <w:i/>
        </w:rPr>
      </w:pPr>
      <w:r w:rsidRPr="0074294D">
        <w:rPr>
          <w:i/>
          <w:iCs/>
        </w:rPr>
        <w:t xml:space="preserve"> </w:t>
      </w:r>
      <w:r w:rsidRPr="0074294D">
        <w:rPr>
          <w:b w:val="0"/>
          <w:i/>
          <w:iCs/>
        </w:rPr>
        <w:t>Telecommunications (Consumer Protection and Service Standards) Act 1999</w:t>
      </w:r>
    </w:p>
    <w:p w14:paraId="70D6BAF6" w14:textId="77777777" w:rsidR="00E327D2" w:rsidRDefault="00E327D2" w:rsidP="00E327D2">
      <w:pPr>
        <w:pStyle w:val="Title"/>
        <w:spacing w:before="0"/>
      </w:pPr>
      <w:bookmarkStart w:id="0" w:name="year"/>
    </w:p>
    <w:bookmarkEnd w:id="0"/>
    <w:p w14:paraId="78CF5E42" w14:textId="77777777" w:rsidR="00E327D2" w:rsidRDefault="00E327D2" w:rsidP="00E327D2">
      <w:pPr>
        <w:pStyle w:val="Title"/>
        <w:spacing w:before="0"/>
      </w:pPr>
      <w:r>
        <w:t>Telecommunications (Participating Persons) Determination 201</w:t>
      </w:r>
      <w:r w:rsidR="00EA2D53">
        <w:t>5</w:t>
      </w:r>
      <w:r>
        <w:t xml:space="preserve"> </w:t>
      </w:r>
    </w:p>
    <w:p w14:paraId="6C7663D6" w14:textId="77777777" w:rsidR="00E327D2" w:rsidRDefault="00E327D2" w:rsidP="00E327D2">
      <w:pPr>
        <w:spacing w:before="400" w:line="300" w:lineRule="atLeast"/>
      </w:pPr>
      <w:r>
        <w:t>I,</w:t>
      </w:r>
      <w:r>
        <w:rPr>
          <w:caps/>
        </w:rPr>
        <w:t xml:space="preserve"> </w:t>
      </w:r>
      <w:r w:rsidR="006F126F">
        <w:rPr>
          <w:caps/>
        </w:rPr>
        <w:t>MALCOLM BLIGH TURNBULL</w:t>
      </w:r>
      <w:r>
        <w:t xml:space="preserve">, Minister </w:t>
      </w:r>
      <w:r w:rsidR="00C56602">
        <w:t>for Communications</w:t>
      </w:r>
      <w:r>
        <w:t>, make the following Determination under subsection </w:t>
      </w:r>
      <w:r w:rsidR="006E645E">
        <w:t>44</w:t>
      </w:r>
      <w:r w:rsidR="00996516">
        <w:t>(2)</w:t>
      </w:r>
      <w:r>
        <w:t xml:space="preserve"> of the</w:t>
      </w:r>
      <w:r w:rsidR="006E645E">
        <w:t xml:space="preserve"> </w:t>
      </w:r>
      <w:r w:rsidR="006E645E">
        <w:rPr>
          <w:i/>
          <w:iCs/>
        </w:rPr>
        <w:t>Telecommunications (Consumer Protection and Service Standards) Act 1999</w:t>
      </w:r>
      <w:r>
        <w:t>.</w:t>
      </w:r>
    </w:p>
    <w:p w14:paraId="14E0FA7C" w14:textId="0D64C960" w:rsidR="00E327D2" w:rsidRDefault="00E327D2" w:rsidP="00E327D2">
      <w:pPr>
        <w:tabs>
          <w:tab w:val="center" w:pos="3119"/>
        </w:tabs>
        <w:spacing w:before="300" w:after="600" w:line="300" w:lineRule="atLeast"/>
      </w:pPr>
      <w:r>
        <w:t xml:space="preserve">Dated </w:t>
      </w:r>
      <w:r w:rsidR="00D3089D">
        <w:t xml:space="preserve">30 June </w:t>
      </w:r>
      <w:bookmarkStart w:id="1" w:name="_GoBack"/>
      <w:bookmarkEnd w:id="1"/>
      <w:r w:rsidRPr="00C9487F">
        <w:t>201</w:t>
      </w:r>
      <w:r w:rsidR="006F126F">
        <w:t>5</w:t>
      </w:r>
    </w:p>
    <w:p w14:paraId="7F356259" w14:textId="77777777" w:rsidR="00D02DB5" w:rsidRDefault="006F126F" w:rsidP="00E327D2">
      <w:pPr>
        <w:jc w:val="center"/>
      </w:pPr>
      <w:r>
        <w:t xml:space="preserve">MALCOLM </w:t>
      </w:r>
      <w:r w:rsidR="00F64353" w:rsidRPr="00077A51">
        <w:rPr>
          <w:caps/>
        </w:rPr>
        <w:t>BLIGH</w:t>
      </w:r>
      <w:r w:rsidR="00F64353">
        <w:rPr>
          <w:caps/>
        </w:rPr>
        <w:t xml:space="preserve"> </w:t>
      </w:r>
      <w:r>
        <w:t xml:space="preserve">TURNBULL </w:t>
      </w:r>
    </w:p>
    <w:p w14:paraId="15F636B3" w14:textId="3E0AE4D9" w:rsidR="00E327D2" w:rsidRDefault="006F126F" w:rsidP="00E327D2">
      <w:pPr>
        <w:jc w:val="center"/>
      </w:pPr>
      <w:r>
        <w:t xml:space="preserve">Minister for Communications </w:t>
      </w:r>
      <w:r w:rsidR="00E327D2">
        <w:t>_________________________________________________________________</w:t>
      </w:r>
    </w:p>
    <w:p w14:paraId="219D27BA" w14:textId="77777777" w:rsidR="00E327D2" w:rsidRDefault="00E327D2" w:rsidP="00E327D2">
      <w:pPr>
        <w:pStyle w:val="HR"/>
        <w:numPr>
          <w:ilvl w:val="0"/>
          <w:numId w:val="1"/>
        </w:numPr>
        <w:tabs>
          <w:tab w:val="clear" w:pos="540"/>
        </w:tabs>
        <w:spacing w:before="400" w:line="300" w:lineRule="atLeast"/>
        <w:jc w:val="left"/>
        <w:rPr>
          <w:rFonts w:ascii="Arial" w:hAnsi="Arial" w:cs="Arial"/>
        </w:rPr>
      </w:pPr>
      <w:r>
        <w:rPr>
          <w:rFonts w:ascii="Arial" w:hAnsi="Arial" w:cs="Arial"/>
        </w:rPr>
        <w:t>Name of Determination</w:t>
      </w:r>
    </w:p>
    <w:p w14:paraId="2509D4FA" w14:textId="77777777" w:rsidR="00E327D2" w:rsidRDefault="00E327D2" w:rsidP="00E327D2">
      <w:pPr>
        <w:spacing w:before="120" w:line="300" w:lineRule="atLeast"/>
        <w:ind w:left="567"/>
        <w:rPr>
          <w:b/>
          <w:bCs/>
        </w:rPr>
      </w:pPr>
      <w:r>
        <w:t xml:space="preserve">This Determination is the </w:t>
      </w:r>
      <w:r>
        <w:rPr>
          <w:i/>
          <w:iCs/>
        </w:rPr>
        <w:t xml:space="preserve">Telecommunications (Participating Persons) Determination </w:t>
      </w:r>
      <w:r w:rsidRPr="00C9487F">
        <w:rPr>
          <w:i/>
          <w:iCs/>
        </w:rPr>
        <w:t>201</w:t>
      </w:r>
      <w:r w:rsidR="00602636">
        <w:rPr>
          <w:i/>
          <w:iCs/>
        </w:rPr>
        <w:t>5</w:t>
      </w:r>
      <w:r w:rsidR="00F64353">
        <w:rPr>
          <w:i/>
          <w:iCs/>
        </w:rPr>
        <w:t>.</w:t>
      </w:r>
    </w:p>
    <w:p w14:paraId="053C3C76" w14:textId="77777777" w:rsidR="00E327D2" w:rsidRDefault="00E327D2" w:rsidP="00E327D2">
      <w:pPr>
        <w:pStyle w:val="HR"/>
        <w:tabs>
          <w:tab w:val="clear" w:pos="540"/>
          <w:tab w:val="left" w:pos="426"/>
        </w:tabs>
        <w:spacing w:before="400"/>
        <w:ind w:left="425" w:hanging="425"/>
        <w:jc w:val="left"/>
        <w:rPr>
          <w:rFonts w:ascii="Arial" w:hAnsi="Arial" w:cs="Arial"/>
        </w:rPr>
      </w:pPr>
      <w:r>
        <w:rPr>
          <w:rFonts w:ascii="Arial" w:hAnsi="Arial" w:cs="Arial"/>
        </w:rPr>
        <w:t>2</w:t>
      </w:r>
      <w:r>
        <w:rPr>
          <w:rFonts w:ascii="Arial" w:hAnsi="Arial" w:cs="Arial"/>
        </w:rPr>
        <w:tab/>
        <w:t>Commencement</w:t>
      </w:r>
    </w:p>
    <w:p w14:paraId="72E832D6" w14:textId="77777777" w:rsidR="00E327D2" w:rsidRDefault="00E327D2" w:rsidP="00E327D2">
      <w:pPr>
        <w:spacing w:before="120" w:line="300" w:lineRule="atLeast"/>
        <w:ind w:left="567"/>
      </w:pPr>
      <w:r>
        <w:t>This Determination commences on the day after it is registered on the Federal Register of Legislative Instruments.</w:t>
      </w:r>
    </w:p>
    <w:p w14:paraId="50F32FE1" w14:textId="77777777" w:rsidR="00E327D2" w:rsidRDefault="00E327D2" w:rsidP="00E327D2">
      <w:pPr>
        <w:pStyle w:val="HR"/>
        <w:rPr>
          <w:rFonts w:ascii="Arial" w:hAnsi="Arial" w:cs="Arial"/>
        </w:rPr>
      </w:pPr>
      <w:bookmarkStart w:id="2" w:name="_Toc178047036"/>
      <w:r>
        <w:rPr>
          <w:rFonts w:ascii="Arial" w:hAnsi="Arial" w:cs="Arial"/>
        </w:rPr>
        <w:t xml:space="preserve">3  </w:t>
      </w:r>
      <w:bookmarkEnd w:id="2"/>
      <w:r>
        <w:rPr>
          <w:rFonts w:ascii="Arial" w:hAnsi="Arial" w:cs="Arial"/>
        </w:rPr>
        <w:t xml:space="preserve"> Application </w:t>
      </w:r>
    </w:p>
    <w:p w14:paraId="1C80B98F" w14:textId="77777777" w:rsidR="00E327D2" w:rsidRDefault="00E327D2" w:rsidP="00E327D2">
      <w:pPr>
        <w:pStyle w:val="r10"/>
        <w:keepNext/>
        <w:ind w:left="540" w:firstLine="0"/>
      </w:pPr>
      <w:r w:rsidRPr="008521BE">
        <w:t xml:space="preserve">This Determination applies in relation to </w:t>
      </w:r>
      <w:r w:rsidR="00F64353">
        <w:t>all</w:t>
      </w:r>
      <w:r>
        <w:t xml:space="preserve"> eligible revenue periods.</w:t>
      </w:r>
    </w:p>
    <w:p w14:paraId="7BC6DA76" w14:textId="77777777" w:rsidR="00E327D2" w:rsidRDefault="00E327D2" w:rsidP="00E327D2">
      <w:pPr>
        <w:pStyle w:val="HR"/>
        <w:tabs>
          <w:tab w:val="clear" w:pos="540"/>
          <w:tab w:val="left" w:pos="426"/>
        </w:tabs>
        <w:spacing w:before="400"/>
        <w:ind w:left="425" w:hanging="425"/>
        <w:jc w:val="left"/>
        <w:rPr>
          <w:rFonts w:ascii="Arial" w:hAnsi="Arial" w:cs="Arial"/>
        </w:rPr>
      </w:pPr>
      <w:bookmarkStart w:id="3" w:name="OLE_LINK11"/>
      <w:bookmarkStart w:id="4" w:name="OLE_LINK12"/>
      <w:r>
        <w:rPr>
          <w:rFonts w:ascii="Arial" w:hAnsi="Arial" w:cs="Arial"/>
        </w:rPr>
        <w:t>4</w:t>
      </w:r>
      <w:r>
        <w:rPr>
          <w:rFonts w:ascii="Arial" w:hAnsi="Arial" w:cs="Arial"/>
        </w:rPr>
        <w:tab/>
        <w:t>Definitions</w:t>
      </w:r>
    </w:p>
    <w:bookmarkEnd w:id="3"/>
    <w:bookmarkEnd w:id="4"/>
    <w:p w14:paraId="16B7CB45" w14:textId="77777777" w:rsidR="00E327D2" w:rsidRDefault="00E327D2" w:rsidP="00E327D2">
      <w:pPr>
        <w:pStyle w:val="definition"/>
        <w:numPr>
          <w:ilvl w:val="0"/>
          <w:numId w:val="19"/>
        </w:numPr>
        <w:tabs>
          <w:tab w:val="clear" w:pos="1260"/>
          <w:tab w:val="left" w:pos="540"/>
        </w:tabs>
        <w:spacing w:before="120" w:after="120"/>
        <w:jc w:val="left"/>
        <w:rPr>
          <w:rFonts w:ascii="Times New Roman" w:hAnsi="Times New Roman" w:cs="Times New Roman"/>
          <w:sz w:val="24"/>
          <w:szCs w:val="24"/>
        </w:rPr>
      </w:pPr>
      <w:r>
        <w:rPr>
          <w:rFonts w:ascii="Times New Roman" w:hAnsi="Times New Roman" w:cs="Times New Roman"/>
          <w:bCs/>
          <w:iCs/>
          <w:sz w:val="24"/>
          <w:szCs w:val="24"/>
        </w:rPr>
        <w:t>In</w:t>
      </w:r>
      <w:r>
        <w:rPr>
          <w:rFonts w:ascii="Times New Roman" w:hAnsi="Times New Roman" w:cs="Times New Roman"/>
          <w:sz w:val="24"/>
          <w:szCs w:val="24"/>
        </w:rPr>
        <w:t xml:space="preserve"> this Determination:</w:t>
      </w:r>
    </w:p>
    <w:p w14:paraId="23FDC6D9" w14:textId="77777777" w:rsidR="00E327D2" w:rsidRDefault="00E327D2" w:rsidP="00E327D2">
      <w:pPr>
        <w:pStyle w:val="definition"/>
        <w:tabs>
          <w:tab w:val="clear" w:pos="1260"/>
          <w:tab w:val="left" w:pos="540"/>
        </w:tabs>
        <w:spacing w:before="120" w:after="120"/>
        <w:ind w:left="1080"/>
        <w:jc w:val="left"/>
        <w:rPr>
          <w:rFonts w:ascii="Times New Roman" w:hAnsi="Times New Roman" w:cs="Times New Roman"/>
          <w:b/>
          <w:bCs/>
          <w:i/>
          <w:iCs/>
          <w:sz w:val="24"/>
          <w:szCs w:val="24"/>
        </w:rPr>
      </w:pPr>
      <w:r>
        <w:rPr>
          <w:rFonts w:ascii="Times New Roman" w:hAnsi="Times New Roman" w:cs="Times New Roman"/>
          <w:b/>
          <w:bCs/>
          <w:i/>
          <w:iCs/>
          <w:sz w:val="24"/>
          <w:szCs w:val="24"/>
        </w:rPr>
        <w:t xml:space="preserve">ACMA </w:t>
      </w:r>
      <w:r>
        <w:rPr>
          <w:rFonts w:ascii="Times New Roman" w:hAnsi="Times New Roman" w:cs="Times New Roman"/>
          <w:sz w:val="24"/>
          <w:szCs w:val="24"/>
        </w:rPr>
        <w:t>means the Australian Communications and Media Authority.</w:t>
      </w:r>
    </w:p>
    <w:p w14:paraId="59C22FD3" w14:textId="77777777" w:rsidR="00E327D2" w:rsidRPr="007728E8" w:rsidRDefault="00E327D2" w:rsidP="00E327D2">
      <w:pPr>
        <w:pStyle w:val="definition"/>
        <w:tabs>
          <w:tab w:val="clear" w:pos="1260"/>
          <w:tab w:val="left" w:pos="540"/>
        </w:tabs>
        <w:spacing w:before="120" w:after="120"/>
        <w:ind w:left="1080"/>
        <w:jc w:val="left"/>
        <w:rPr>
          <w:rFonts w:ascii="Times New Roman" w:hAnsi="Times New Roman" w:cs="Times New Roman"/>
          <w:bCs/>
          <w:iCs/>
          <w:sz w:val="24"/>
          <w:szCs w:val="24"/>
        </w:rPr>
      </w:pPr>
      <w:r w:rsidRPr="007728E8">
        <w:rPr>
          <w:rFonts w:ascii="Times New Roman" w:hAnsi="Times New Roman" w:cs="Times New Roman"/>
          <w:b/>
          <w:bCs/>
          <w:i/>
          <w:iCs/>
          <w:sz w:val="24"/>
          <w:szCs w:val="24"/>
        </w:rPr>
        <w:t>Act</w:t>
      </w:r>
      <w:r w:rsidRPr="007728E8">
        <w:rPr>
          <w:rFonts w:ascii="Times New Roman" w:hAnsi="Times New Roman" w:cs="Times New Roman"/>
          <w:b/>
          <w:bCs/>
          <w:iCs/>
          <w:sz w:val="24"/>
          <w:szCs w:val="24"/>
        </w:rPr>
        <w:t xml:space="preserve"> </w:t>
      </w:r>
      <w:r w:rsidRPr="00D02DB5">
        <w:rPr>
          <w:rFonts w:ascii="Times New Roman" w:hAnsi="Times New Roman" w:cs="Times New Roman"/>
          <w:bCs/>
          <w:iCs/>
          <w:sz w:val="24"/>
          <w:szCs w:val="24"/>
        </w:rPr>
        <w:t>means the</w:t>
      </w:r>
      <w:r w:rsidR="00AE6654" w:rsidRPr="00D02DB5">
        <w:rPr>
          <w:rFonts w:ascii="Times New Roman" w:hAnsi="Times New Roman" w:cs="Times New Roman"/>
          <w:i/>
          <w:sz w:val="24"/>
          <w:szCs w:val="24"/>
        </w:rPr>
        <w:t xml:space="preserve"> Telecommunications </w:t>
      </w:r>
      <w:r w:rsidR="00AE6654" w:rsidRPr="00D02DB5">
        <w:rPr>
          <w:rFonts w:ascii="Times New Roman" w:hAnsi="Times New Roman" w:cs="Times New Roman"/>
          <w:i/>
          <w:iCs/>
          <w:sz w:val="24"/>
          <w:szCs w:val="24"/>
        </w:rPr>
        <w:t>(Consumer Protection and</w:t>
      </w:r>
      <w:r w:rsidR="00AE6654" w:rsidRPr="00D02DB5">
        <w:rPr>
          <w:rFonts w:ascii="Times New Roman" w:hAnsi="Times New Roman" w:cs="Times New Roman"/>
          <w:i/>
          <w:sz w:val="24"/>
          <w:szCs w:val="24"/>
        </w:rPr>
        <w:t xml:space="preserve"> Service </w:t>
      </w:r>
      <w:r w:rsidR="00AE6654" w:rsidRPr="00D02DB5">
        <w:rPr>
          <w:rFonts w:ascii="Times New Roman" w:hAnsi="Times New Roman" w:cs="Times New Roman"/>
          <w:i/>
          <w:iCs/>
          <w:sz w:val="24"/>
          <w:szCs w:val="24"/>
        </w:rPr>
        <w:t>Standards)</w:t>
      </w:r>
      <w:r w:rsidR="00AE6654" w:rsidRPr="00D02DB5">
        <w:rPr>
          <w:rFonts w:ascii="Times New Roman" w:hAnsi="Times New Roman" w:cs="Times New Roman"/>
          <w:i/>
          <w:sz w:val="24"/>
          <w:szCs w:val="24"/>
        </w:rPr>
        <w:t xml:space="preserve"> Act </w:t>
      </w:r>
      <w:r w:rsidR="00AE6654" w:rsidRPr="00D02DB5">
        <w:rPr>
          <w:rFonts w:ascii="Times New Roman" w:hAnsi="Times New Roman" w:cs="Times New Roman"/>
          <w:i/>
          <w:iCs/>
          <w:sz w:val="24"/>
          <w:szCs w:val="24"/>
        </w:rPr>
        <w:t>1999</w:t>
      </w:r>
      <w:r w:rsidRPr="00D02DB5">
        <w:rPr>
          <w:rFonts w:ascii="Times New Roman" w:hAnsi="Times New Roman" w:cs="Times New Roman"/>
          <w:bCs/>
          <w:iCs/>
          <w:sz w:val="24"/>
          <w:szCs w:val="24"/>
        </w:rPr>
        <w:t>.</w:t>
      </w:r>
    </w:p>
    <w:p w14:paraId="09B185F3" w14:textId="77777777" w:rsidR="00BC03CC" w:rsidRDefault="00BC03CC" w:rsidP="00E327D2">
      <w:pPr>
        <w:pStyle w:val="definition"/>
        <w:spacing w:before="0" w:after="240"/>
        <w:ind w:left="1077"/>
        <w:rPr>
          <w:rFonts w:ascii="Times New Roman" w:hAnsi="Times New Roman"/>
          <w:b/>
          <w:i/>
          <w:sz w:val="24"/>
          <w:szCs w:val="24"/>
        </w:rPr>
      </w:pPr>
      <w:r w:rsidRPr="00BC03CC">
        <w:rPr>
          <w:rFonts w:ascii="Times New Roman" w:hAnsi="Times New Roman"/>
          <w:b/>
          <w:bCs/>
          <w:i/>
          <w:iCs/>
          <w:sz w:val="24"/>
          <w:szCs w:val="24"/>
        </w:rPr>
        <w:t>Australia</w:t>
      </w:r>
      <w:r w:rsidRPr="00BC03CC">
        <w:rPr>
          <w:rFonts w:ascii="Times New Roman" w:hAnsi="Times New Roman"/>
          <w:b/>
          <w:i/>
          <w:sz w:val="24"/>
          <w:szCs w:val="24"/>
        </w:rPr>
        <w:t xml:space="preserve">, </w:t>
      </w:r>
      <w:r w:rsidRPr="0089432F">
        <w:rPr>
          <w:rFonts w:ascii="Times New Roman" w:hAnsi="Times New Roman"/>
          <w:sz w:val="24"/>
          <w:szCs w:val="24"/>
        </w:rPr>
        <w:t xml:space="preserve">when used in a geographical sense, has the same meaning as in the </w:t>
      </w:r>
      <w:r w:rsidRPr="00107E79">
        <w:rPr>
          <w:rFonts w:ascii="Times New Roman" w:hAnsi="Times New Roman"/>
          <w:i/>
          <w:iCs/>
          <w:sz w:val="24"/>
          <w:szCs w:val="24"/>
        </w:rPr>
        <w:t>Telecommunications Act 1997</w:t>
      </w:r>
      <w:r w:rsidRPr="00107E79">
        <w:rPr>
          <w:rFonts w:ascii="Times New Roman" w:hAnsi="Times New Roman"/>
          <w:i/>
          <w:sz w:val="24"/>
          <w:szCs w:val="24"/>
        </w:rPr>
        <w:t>.</w:t>
      </w:r>
    </w:p>
    <w:p w14:paraId="7A6C7C03" w14:textId="555548CE" w:rsidR="00E327D2" w:rsidRPr="00E533C8" w:rsidRDefault="00E327D2" w:rsidP="00E327D2">
      <w:pPr>
        <w:pStyle w:val="definition"/>
        <w:spacing w:before="0" w:after="240"/>
        <w:ind w:left="1077"/>
        <w:rPr>
          <w:rFonts w:ascii="Times New Roman" w:hAnsi="Times New Roman"/>
          <w:sz w:val="24"/>
          <w:szCs w:val="24"/>
        </w:rPr>
      </w:pPr>
      <w:r>
        <w:rPr>
          <w:rFonts w:ascii="Times New Roman" w:hAnsi="Times New Roman"/>
          <w:b/>
          <w:i/>
          <w:sz w:val="24"/>
          <w:szCs w:val="24"/>
        </w:rPr>
        <w:t>company secretary</w:t>
      </w:r>
      <w:r w:rsidRPr="00E533C8">
        <w:rPr>
          <w:rFonts w:ascii="Times New Roman" w:hAnsi="Times New Roman"/>
          <w:sz w:val="24"/>
          <w:szCs w:val="24"/>
        </w:rPr>
        <w:t xml:space="preserve"> has the same meaning as </w:t>
      </w:r>
      <w:r>
        <w:rPr>
          <w:rFonts w:ascii="Times New Roman" w:hAnsi="Times New Roman"/>
          <w:sz w:val="24"/>
          <w:szCs w:val="24"/>
        </w:rPr>
        <w:t>in</w:t>
      </w:r>
      <w:r w:rsidRPr="00E533C8">
        <w:rPr>
          <w:rFonts w:ascii="Times New Roman" w:hAnsi="Times New Roman"/>
          <w:sz w:val="24"/>
          <w:szCs w:val="24"/>
        </w:rPr>
        <w:t xml:space="preserve"> the </w:t>
      </w:r>
      <w:r w:rsidRPr="00E533C8">
        <w:rPr>
          <w:rFonts w:ascii="Times New Roman" w:hAnsi="Times New Roman"/>
          <w:i/>
          <w:sz w:val="24"/>
          <w:szCs w:val="24"/>
        </w:rPr>
        <w:t>Corporations Act 2001</w:t>
      </w:r>
      <w:r w:rsidRPr="00E533C8">
        <w:rPr>
          <w:rFonts w:ascii="Times New Roman" w:hAnsi="Times New Roman"/>
          <w:sz w:val="24"/>
          <w:szCs w:val="24"/>
        </w:rPr>
        <w:t>.</w:t>
      </w:r>
    </w:p>
    <w:p w14:paraId="286A3622" w14:textId="77777777" w:rsidR="00E327D2" w:rsidRPr="00E533C8" w:rsidRDefault="00E327D2" w:rsidP="00E327D2">
      <w:pPr>
        <w:pStyle w:val="definition"/>
        <w:spacing w:before="0" w:after="240"/>
        <w:ind w:left="1077"/>
        <w:rPr>
          <w:rFonts w:ascii="Times New Roman" w:hAnsi="Times New Roman"/>
          <w:sz w:val="24"/>
          <w:szCs w:val="24"/>
        </w:rPr>
      </w:pPr>
      <w:r>
        <w:rPr>
          <w:rFonts w:ascii="Times New Roman" w:hAnsi="Times New Roman"/>
          <w:b/>
          <w:i/>
          <w:sz w:val="24"/>
          <w:szCs w:val="24"/>
        </w:rPr>
        <w:t>director</w:t>
      </w:r>
      <w:r w:rsidRPr="00E533C8">
        <w:rPr>
          <w:rFonts w:ascii="Times New Roman" w:hAnsi="Times New Roman"/>
          <w:sz w:val="24"/>
          <w:szCs w:val="24"/>
        </w:rPr>
        <w:t xml:space="preserve"> has the same meaning as in section 9 of the </w:t>
      </w:r>
      <w:r w:rsidRPr="00E533C8">
        <w:rPr>
          <w:rFonts w:ascii="Times New Roman" w:hAnsi="Times New Roman"/>
          <w:i/>
          <w:sz w:val="24"/>
          <w:szCs w:val="24"/>
        </w:rPr>
        <w:t>Corporations Act 2001</w:t>
      </w:r>
      <w:r w:rsidRPr="00E533C8">
        <w:rPr>
          <w:rFonts w:ascii="Times New Roman" w:hAnsi="Times New Roman"/>
          <w:sz w:val="24"/>
          <w:szCs w:val="24"/>
        </w:rPr>
        <w:t>.</w:t>
      </w:r>
    </w:p>
    <w:p w14:paraId="0DAB8122" w14:textId="77777777" w:rsidR="00E327D2" w:rsidRPr="003C1F55" w:rsidRDefault="00E327D2" w:rsidP="00E327D2">
      <w:pPr>
        <w:pStyle w:val="definition"/>
        <w:tabs>
          <w:tab w:val="clear" w:pos="1260"/>
          <w:tab w:val="left" w:pos="540"/>
        </w:tabs>
        <w:spacing w:before="120" w:after="120"/>
        <w:ind w:left="1080"/>
        <w:jc w:val="left"/>
        <w:rPr>
          <w:rFonts w:ascii="Times New Roman" w:hAnsi="Times New Roman"/>
          <w:b/>
          <w:i/>
          <w:sz w:val="24"/>
        </w:rPr>
      </w:pPr>
      <w:r w:rsidRPr="00077568">
        <w:rPr>
          <w:rFonts w:ascii="Times New Roman" w:hAnsi="Times New Roman" w:cs="Times New Roman"/>
          <w:b/>
          <w:bCs/>
          <w:i/>
          <w:iCs/>
          <w:sz w:val="24"/>
          <w:szCs w:val="24"/>
        </w:rPr>
        <w:lastRenderedPageBreak/>
        <w:t>Eligible Revenue Determination</w:t>
      </w:r>
      <w:r w:rsidRPr="00077568">
        <w:rPr>
          <w:rFonts w:ascii="Times New Roman" w:hAnsi="Times New Roman" w:cs="Times New Roman"/>
          <w:b/>
          <w:bCs/>
          <w:iCs/>
          <w:sz w:val="24"/>
          <w:szCs w:val="24"/>
        </w:rPr>
        <w:t xml:space="preserve"> </w:t>
      </w:r>
      <w:r w:rsidRPr="00077568">
        <w:rPr>
          <w:rFonts w:ascii="Times New Roman" w:hAnsi="Times New Roman" w:cs="Times New Roman"/>
          <w:bCs/>
          <w:iCs/>
          <w:sz w:val="24"/>
          <w:szCs w:val="24"/>
        </w:rPr>
        <w:t xml:space="preserve">means the </w:t>
      </w:r>
      <w:r w:rsidR="00F64353" w:rsidRPr="003C1F55">
        <w:rPr>
          <w:i/>
        </w:rPr>
        <w:t xml:space="preserve">Telecommunications </w:t>
      </w:r>
      <w:r w:rsidRPr="00077568">
        <w:rPr>
          <w:rFonts w:ascii="Times New Roman" w:hAnsi="Times New Roman" w:cs="Times New Roman"/>
          <w:i/>
          <w:sz w:val="24"/>
          <w:szCs w:val="24"/>
        </w:rPr>
        <w:t xml:space="preserve"> (Eligible Revenue) Determination </w:t>
      </w:r>
      <w:r w:rsidR="00F64353">
        <w:rPr>
          <w:rFonts w:ascii="Times New Roman" w:hAnsi="Times New Roman" w:cs="Times New Roman"/>
          <w:i/>
          <w:sz w:val="24"/>
          <w:szCs w:val="24"/>
        </w:rPr>
        <w:t>2015</w:t>
      </w:r>
      <w:r w:rsidR="00F64353" w:rsidRPr="00077568">
        <w:rPr>
          <w:rFonts w:ascii="Times New Roman" w:hAnsi="Times New Roman" w:cs="Times New Roman"/>
          <w:i/>
          <w:sz w:val="24"/>
          <w:szCs w:val="24"/>
        </w:rPr>
        <w:t xml:space="preserve"> </w:t>
      </w:r>
      <w:r w:rsidRPr="00077568">
        <w:rPr>
          <w:rFonts w:ascii="Times New Roman" w:hAnsi="Times New Roman" w:cs="Times New Roman"/>
          <w:sz w:val="24"/>
          <w:szCs w:val="24"/>
        </w:rPr>
        <w:t>as in force from time to time</w:t>
      </w:r>
      <w:r w:rsidR="00B143B4">
        <w:rPr>
          <w:rFonts w:ascii="Times New Roman" w:hAnsi="Times New Roman" w:cs="Times New Roman"/>
          <w:sz w:val="24"/>
          <w:szCs w:val="24"/>
        </w:rPr>
        <w:t>.</w:t>
      </w:r>
    </w:p>
    <w:p w14:paraId="0785B379" w14:textId="77777777" w:rsidR="00E327D2" w:rsidRDefault="00E327D2" w:rsidP="00E327D2">
      <w:pPr>
        <w:pStyle w:val="definition"/>
        <w:tabs>
          <w:tab w:val="clear" w:pos="1260"/>
          <w:tab w:val="left" w:pos="540"/>
        </w:tabs>
        <w:spacing w:before="120" w:after="120"/>
        <w:ind w:left="1080"/>
        <w:jc w:val="left"/>
        <w:rPr>
          <w:rFonts w:ascii="Times New Roman" w:hAnsi="Times New Roman" w:cs="Times New Roman"/>
          <w:sz w:val="24"/>
          <w:szCs w:val="24"/>
        </w:rPr>
      </w:pPr>
      <w:r>
        <w:rPr>
          <w:rFonts w:ascii="Times New Roman" w:hAnsi="Times New Roman" w:cs="Times New Roman"/>
          <w:b/>
          <w:bCs/>
          <w:i/>
          <w:iCs/>
          <w:sz w:val="24"/>
          <w:szCs w:val="24"/>
        </w:rPr>
        <w:t>eligible statutory declaration</w:t>
      </w:r>
      <w:r>
        <w:rPr>
          <w:rFonts w:ascii="Times New Roman" w:hAnsi="Times New Roman" w:cs="Times New Roman"/>
          <w:b/>
          <w:bCs/>
          <w:iCs/>
          <w:sz w:val="24"/>
          <w:szCs w:val="24"/>
        </w:rPr>
        <w:t xml:space="preserve"> </w:t>
      </w:r>
      <w:r>
        <w:rPr>
          <w:rFonts w:ascii="Times New Roman" w:hAnsi="Times New Roman" w:cs="Times New Roman"/>
          <w:bCs/>
          <w:iCs/>
          <w:sz w:val="24"/>
          <w:szCs w:val="24"/>
        </w:rPr>
        <w:t xml:space="preserve">has the meaning given in subsection 4(2) of this Determination. </w:t>
      </w:r>
    </w:p>
    <w:p w14:paraId="30A55BCD" w14:textId="77777777" w:rsidR="00E327D2" w:rsidRPr="00F64353" w:rsidRDefault="00E327D2" w:rsidP="00E327D2">
      <w:pPr>
        <w:pStyle w:val="BodyText"/>
        <w:ind w:left="1080"/>
        <w:rPr>
          <w:rFonts w:ascii="Times New Roman" w:hAnsi="Times New Roman"/>
          <w:b/>
          <w:i/>
          <w:sz w:val="24"/>
          <w:szCs w:val="24"/>
        </w:rPr>
      </w:pPr>
      <w:r w:rsidRPr="00163F78">
        <w:rPr>
          <w:rFonts w:ascii="Times New Roman" w:hAnsi="Times New Roman"/>
          <w:b/>
          <w:bCs/>
          <w:i/>
          <w:iCs/>
          <w:sz w:val="24"/>
          <w:szCs w:val="24"/>
        </w:rPr>
        <w:t>gross telecommunications sales revenue</w:t>
      </w:r>
      <w:r w:rsidRPr="00163F78">
        <w:rPr>
          <w:rFonts w:ascii="Times New Roman" w:hAnsi="Times New Roman"/>
          <w:bCs/>
          <w:iCs/>
          <w:sz w:val="24"/>
          <w:szCs w:val="24"/>
        </w:rPr>
        <w:t xml:space="preserve"> for an eligible revenue period is the amount that would be that person’s ‘gross telecommunications sales revenue’</w:t>
      </w:r>
      <w:r w:rsidRPr="00163F78">
        <w:rPr>
          <w:rFonts w:ascii="Times New Roman" w:hAnsi="Times New Roman"/>
          <w:sz w:val="24"/>
          <w:szCs w:val="24"/>
        </w:rPr>
        <w:t xml:space="preserve"> under</w:t>
      </w:r>
      <w:r w:rsidRPr="00163F78">
        <w:rPr>
          <w:rFonts w:ascii="Times New Roman" w:hAnsi="Times New Roman"/>
          <w:bCs/>
          <w:iCs/>
          <w:sz w:val="24"/>
          <w:szCs w:val="24"/>
        </w:rPr>
        <w:t xml:space="preserve"> </w:t>
      </w:r>
      <w:r w:rsidRPr="00F64353">
        <w:rPr>
          <w:rFonts w:ascii="Times New Roman" w:hAnsi="Times New Roman"/>
          <w:bCs/>
          <w:iCs/>
          <w:sz w:val="24"/>
          <w:szCs w:val="24"/>
        </w:rPr>
        <w:t>the Eligible Revenue Determination, if that person were a participating person.</w:t>
      </w:r>
    </w:p>
    <w:p w14:paraId="52BFA488" w14:textId="77777777" w:rsidR="00E327D2" w:rsidRPr="006E7292" w:rsidRDefault="00E327D2" w:rsidP="00E327D2">
      <w:pPr>
        <w:pStyle w:val="BodyText"/>
        <w:ind w:left="1080"/>
        <w:rPr>
          <w:rFonts w:ascii="Times New Roman" w:hAnsi="Times New Roman"/>
          <w:bCs/>
          <w:iCs/>
          <w:sz w:val="24"/>
          <w:szCs w:val="24"/>
        </w:rPr>
      </w:pPr>
      <w:r w:rsidRPr="00F64353">
        <w:rPr>
          <w:rFonts w:ascii="Times New Roman" w:hAnsi="Times New Roman"/>
          <w:b/>
          <w:bCs/>
          <w:i/>
          <w:iCs/>
          <w:sz w:val="24"/>
          <w:szCs w:val="24"/>
        </w:rPr>
        <w:t>initial sales revenue</w:t>
      </w:r>
      <w:r w:rsidRPr="00F64353">
        <w:rPr>
          <w:rFonts w:ascii="Times New Roman" w:hAnsi="Times New Roman"/>
          <w:bCs/>
          <w:iCs/>
          <w:sz w:val="24"/>
          <w:szCs w:val="24"/>
        </w:rPr>
        <w:t xml:space="preserve"> for an eligible revenue period is the amount that would be that person’s ‘initial sales revenue’</w:t>
      </w:r>
      <w:r w:rsidRPr="00F64353">
        <w:rPr>
          <w:rFonts w:ascii="Times New Roman" w:hAnsi="Times New Roman"/>
          <w:bCs/>
          <w:i/>
          <w:iCs/>
          <w:sz w:val="24"/>
          <w:szCs w:val="24"/>
        </w:rPr>
        <w:t xml:space="preserve"> </w:t>
      </w:r>
      <w:r w:rsidRPr="00F64353">
        <w:rPr>
          <w:rFonts w:ascii="Times New Roman" w:hAnsi="Times New Roman"/>
          <w:sz w:val="24"/>
          <w:szCs w:val="24"/>
        </w:rPr>
        <w:t>under</w:t>
      </w:r>
      <w:r w:rsidRPr="00F64353">
        <w:rPr>
          <w:rFonts w:ascii="Times New Roman" w:hAnsi="Times New Roman"/>
          <w:bCs/>
          <w:iCs/>
          <w:sz w:val="24"/>
          <w:szCs w:val="24"/>
        </w:rPr>
        <w:t xml:space="preserve"> the Eligible Revenue Determination, if that person were a participating person.</w:t>
      </w:r>
    </w:p>
    <w:p w14:paraId="1D17E62D" w14:textId="77777777" w:rsidR="00E327D2" w:rsidRPr="00163F78" w:rsidRDefault="00E327D2" w:rsidP="00E327D2">
      <w:pPr>
        <w:pStyle w:val="BodyText"/>
        <w:ind w:left="1080"/>
        <w:rPr>
          <w:rFonts w:ascii="Times New Roman" w:hAnsi="Times New Roman"/>
          <w:b/>
          <w:i/>
          <w:sz w:val="24"/>
          <w:szCs w:val="24"/>
        </w:rPr>
      </w:pPr>
      <w:r w:rsidRPr="006E7292">
        <w:rPr>
          <w:rFonts w:ascii="Times New Roman" w:hAnsi="Times New Roman"/>
          <w:b/>
          <w:i/>
          <w:sz w:val="24"/>
          <w:szCs w:val="24"/>
        </w:rPr>
        <w:t xml:space="preserve">non-participating person </w:t>
      </w:r>
      <w:r w:rsidRPr="00163F78">
        <w:rPr>
          <w:rFonts w:ascii="Times New Roman" w:hAnsi="Times New Roman"/>
          <w:sz w:val="24"/>
          <w:szCs w:val="24"/>
        </w:rPr>
        <w:t xml:space="preserve">has the meaning given in subsection 4(3) of this Determination. </w:t>
      </w:r>
    </w:p>
    <w:p w14:paraId="38E60DFC" w14:textId="77777777" w:rsidR="00E327D2" w:rsidRPr="00163F78" w:rsidRDefault="00E327D2" w:rsidP="00E327D2">
      <w:pPr>
        <w:pStyle w:val="BodyText"/>
        <w:ind w:left="1080"/>
        <w:rPr>
          <w:rFonts w:ascii="Times New Roman" w:hAnsi="Times New Roman"/>
          <w:sz w:val="24"/>
          <w:szCs w:val="24"/>
        </w:rPr>
      </w:pPr>
      <w:r w:rsidRPr="00163F78">
        <w:rPr>
          <w:rFonts w:ascii="Times New Roman" w:hAnsi="Times New Roman"/>
          <w:b/>
          <w:i/>
          <w:sz w:val="24"/>
          <w:szCs w:val="24"/>
        </w:rPr>
        <w:t>specified timeframe</w:t>
      </w:r>
      <w:r w:rsidRPr="00163F78">
        <w:rPr>
          <w:rFonts w:ascii="Times New Roman" w:hAnsi="Times New Roman"/>
          <w:sz w:val="24"/>
          <w:szCs w:val="24"/>
        </w:rPr>
        <w:t>, in relation to an eligible revenue period,</w:t>
      </w:r>
      <w:r w:rsidRPr="00163F78">
        <w:rPr>
          <w:rFonts w:ascii="Times New Roman" w:hAnsi="Times New Roman"/>
          <w:b/>
          <w:i/>
          <w:sz w:val="24"/>
          <w:szCs w:val="24"/>
        </w:rPr>
        <w:t xml:space="preserve"> </w:t>
      </w:r>
      <w:r w:rsidRPr="00163F78">
        <w:rPr>
          <w:rFonts w:ascii="Times New Roman" w:hAnsi="Times New Roman"/>
          <w:sz w:val="24"/>
          <w:szCs w:val="24"/>
        </w:rPr>
        <w:t xml:space="preserve">means the period of time within which a participating person is required to submit an eligible revenue return for that period, as specified by the ACMA under paragraph </w:t>
      </w:r>
      <w:r w:rsidR="002A2D77">
        <w:rPr>
          <w:rFonts w:ascii="Times New Roman" w:hAnsi="Times New Roman"/>
          <w:sz w:val="24"/>
          <w:szCs w:val="24"/>
        </w:rPr>
        <w:t>43</w:t>
      </w:r>
      <w:r w:rsidRPr="00163F78">
        <w:rPr>
          <w:rFonts w:ascii="Times New Roman" w:hAnsi="Times New Roman"/>
          <w:sz w:val="24"/>
          <w:szCs w:val="24"/>
        </w:rPr>
        <w:t>(1)(b) of the Act.</w:t>
      </w:r>
    </w:p>
    <w:p w14:paraId="6CB35AE1" w14:textId="77777777" w:rsidR="00E327D2" w:rsidRDefault="00E327D2" w:rsidP="00E327D2">
      <w:pPr>
        <w:pStyle w:val="BodyText"/>
        <w:ind w:left="1080"/>
        <w:rPr>
          <w:rFonts w:ascii="Times New Roman" w:hAnsi="Times New Roman"/>
          <w:sz w:val="24"/>
          <w:szCs w:val="24"/>
        </w:rPr>
      </w:pPr>
      <w:r w:rsidRPr="00F64353">
        <w:rPr>
          <w:rFonts w:ascii="Times New Roman" w:hAnsi="Times New Roman"/>
          <w:b/>
          <w:i/>
          <w:sz w:val="24"/>
          <w:szCs w:val="24"/>
        </w:rPr>
        <w:t>ultimate Australian parent entity</w:t>
      </w:r>
      <w:r w:rsidRPr="00F64353">
        <w:rPr>
          <w:rFonts w:ascii="Times New Roman" w:hAnsi="Times New Roman"/>
          <w:sz w:val="24"/>
          <w:szCs w:val="24"/>
        </w:rPr>
        <w:t xml:space="preserve"> has the same meaning as in the Eligible Revenue Determination.</w:t>
      </w:r>
    </w:p>
    <w:p w14:paraId="37B25DE1" w14:textId="39167F3D" w:rsidR="00E327D2" w:rsidRDefault="00A96431" w:rsidP="00E327D2">
      <w:pPr>
        <w:pStyle w:val="definition"/>
        <w:tabs>
          <w:tab w:val="left" w:pos="851"/>
        </w:tabs>
        <w:spacing w:before="120" w:after="120"/>
        <w:ind w:left="1077" w:right="-290"/>
        <w:jc w:val="left"/>
        <w:rPr>
          <w:rFonts w:ascii="Times New Roman" w:hAnsi="Times New Roman" w:cs="Times New Roman"/>
          <w:bCs/>
          <w:iCs/>
          <w:sz w:val="20"/>
          <w:szCs w:val="20"/>
        </w:rPr>
      </w:pPr>
      <w:r>
        <w:rPr>
          <w:rFonts w:ascii="Times New Roman" w:hAnsi="Times New Roman" w:cs="Times New Roman"/>
          <w:bCs/>
          <w:iCs/>
          <w:sz w:val="20"/>
          <w:szCs w:val="20"/>
        </w:rPr>
        <w:t>Note</w:t>
      </w:r>
      <w:r w:rsidR="00E327D2">
        <w:rPr>
          <w:rFonts w:ascii="Times New Roman" w:hAnsi="Times New Roman" w:cs="Times New Roman"/>
          <w:bCs/>
          <w:iCs/>
          <w:sz w:val="20"/>
          <w:szCs w:val="20"/>
        </w:rPr>
        <w:t xml:space="preserve">: The terms </w:t>
      </w:r>
      <w:r w:rsidR="00E327D2" w:rsidRPr="006A6AFF">
        <w:rPr>
          <w:rFonts w:ascii="Times New Roman" w:hAnsi="Times New Roman" w:cs="Times New Roman"/>
          <w:b/>
          <w:bCs/>
          <w:i/>
          <w:iCs/>
          <w:sz w:val="20"/>
          <w:szCs w:val="20"/>
        </w:rPr>
        <w:t>eligible revenue</w:t>
      </w:r>
      <w:r w:rsidR="00E327D2">
        <w:rPr>
          <w:rFonts w:ascii="Times New Roman" w:hAnsi="Times New Roman" w:cs="Times New Roman"/>
          <w:bCs/>
          <w:iCs/>
          <w:sz w:val="20"/>
          <w:szCs w:val="20"/>
        </w:rPr>
        <w:t xml:space="preserve">, </w:t>
      </w:r>
      <w:r w:rsidR="00E327D2">
        <w:rPr>
          <w:rFonts w:ascii="Times New Roman" w:hAnsi="Times New Roman" w:cs="Times New Roman"/>
          <w:b/>
          <w:bCs/>
          <w:i/>
          <w:iCs/>
          <w:sz w:val="20"/>
          <w:szCs w:val="20"/>
        </w:rPr>
        <w:t xml:space="preserve">eligible revenue period </w:t>
      </w:r>
      <w:r w:rsidR="00E327D2">
        <w:rPr>
          <w:rFonts w:ascii="Times New Roman" w:hAnsi="Times New Roman" w:cs="Times New Roman"/>
          <w:bCs/>
          <w:iCs/>
          <w:sz w:val="20"/>
          <w:szCs w:val="20"/>
        </w:rPr>
        <w:t xml:space="preserve">and </w:t>
      </w:r>
      <w:r w:rsidR="00E327D2">
        <w:rPr>
          <w:rFonts w:ascii="Times New Roman" w:hAnsi="Times New Roman" w:cs="Times New Roman"/>
          <w:b/>
          <w:bCs/>
          <w:i/>
          <w:iCs/>
          <w:sz w:val="20"/>
          <w:szCs w:val="20"/>
        </w:rPr>
        <w:t xml:space="preserve">participating person </w:t>
      </w:r>
      <w:r w:rsidR="00E327D2">
        <w:rPr>
          <w:rFonts w:ascii="Times New Roman" w:hAnsi="Times New Roman" w:cs="Times New Roman"/>
          <w:bCs/>
          <w:iCs/>
          <w:sz w:val="20"/>
          <w:szCs w:val="20"/>
        </w:rPr>
        <w:t xml:space="preserve">have the same meaning </w:t>
      </w:r>
      <w:r w:rsidR="00F64353">
        <w:rPr>
          <w:rFonts w:ascii="Times New Roman" w:hAnsi="Times New Roman" w:cs="Times New Roman"/>
          <w:bCs/>
          <w:iCs/>
          <w:sz w:val="20"/>
          <w:szCs w:val="20"/>
        </w:rPr>
        <w:t xml:space="preserve">as </w:t>
      </w:r>
      <w:r w:rsidR="00E327D2">
        <w:rPr>
          <w:rFonts w:ascii="Times New Roman" w:hAnsi="Times New Roman" w:cs="Times New Roman"/>
          <w:bCs/>
          <w:iCs/>
          <w:sz w:val="20"/>
          <w:szCs w:val="20"/>
        </w:rPr>
        <w:t xml:space="preserve">given by section </w:t>
      </w:r>
      <w:r w:rsidR="00B62637">
        <w:rPr>
          <w:rFonts w:ascii="Times New Roman" w:hAnsi="Times New Roman" w:cs="Times New Roman"/>
          <w:bCs/>
          <w:iCs/>
          <w:sz w:val="20"/>
          <w:szCs w:val="20"/>
        </w:rPr>
        <w:t>5</w:t>
      </w:r>
      <w:r w:rsidR="00E327D2">
        <w:rPr>
          <w:rFonts w:ascii="Times New Roman" w:hAnsi="Times New Roman" w:cs="Times New Roman"/>
          <w:bCs/>
          <w:iCs/>
          <w:sz w:val="20"/>
          <w:szCs w:val="20"/>
        </w:rPr>
        <w:t xml:space="preserve"> of the Act.</w:t>
      </w:r>
    </w:p>
    <w:p w14:paraId="369EF872" w14:textId="77777777" w:rsidR="00E327D2" w:rsidRDefault="00E327D2" w:rsidP="00E327D2">
      <w:pPr>
        <w:pStyle w:val="definition"/>
        <w:numPr>
          <w:ilvl w:val="0"/>
          <w:numId w:val="19"/>
        </w:numPr>
        <w:tabs>
          <w:tab w:val="clear" w:pos="1080"/>
          <w:tab w:val="clear" w:pos="1260"/>
          <w:tab w:val="right" w:pos="1134"/>
        </w:tabs>
        <w:spacing w:before="240" w:after="120"/>
        <w:ind w:left="1134" w:hanging="709"/>
        <w:jc w:val="left"/>
        <w:rPr>
          <w:rFonts w:ascii="Times New Roman" w:hAnsi="Times New Roman" w:cs="Times New Roman"/>
          <w:bCs/>
          <w:iCs/>
          <w:sz w:val="24"/>
          <w:szCs w:val="24"/>
        </w:rPr>
      </w:pPr>
      <w:r>
        <w:rPr>
          <w:rFonts w:ascii="Times New Roman" w:hAnsi="Times New Roman" w:cs="Times New Roman"/>
          <w:bCs/>
          <w:iCs/>
          <w:sz w:val="24"/>
          <w:szCs w:val="24"/>
        </w:rPr>
        <w:t xml:space="preserve">A declaration given by a person is an </w:t>
      </w:r>
      <w:r>
        <w:rPr>
          <w:rFonts w:ascii="Times New Roman" w:hAnsi="Times New Roman" w:cs="Times New Roman"/>
          <w:b/>
          <w:bCs/>
          <w:i/>
          <w:iCs/>
          <w:sz w:val="24"/>
          <w:szCs w:val="24"/>
        </w:rPr>
        <w:t>eligible statutory declaration</w:t>
      </w:r>
      <w:r>
        <w:rPr>
          <w:rFonts w:ascii="Times New Roman" w:hAnsi="Times New Roman" w:cs="Times New Roman"/>
          <w:bCs/>
          <w:iCs/>
          <w:sz w:val="24"/>
          <w:szCs w:val="24"/>
        </w:rPr>
        <w:t xml:space="preserve"> if it is made:</w:t>
      </w:r>
    </w:p>
    <w:p w14:paraId="0BADF174" w14:textId="77777777" w:rsidR="00E327D2" w:rsidRDefault="00E327D2" w:rsidP="003C1F55">
      <w:pPr>
        <w:pStyle w:val="definition"/>
        <w:numPr>
          <w:ilvl w:val="0"/>
          <w:numId w:val="14"/>
        </w:numPr>
        <w:tabs>
          <w:tab w:val="clear" w:pos="1260"/>
          <w:tab w:val="left" w:pos="540"/>
        </w:tabs>
        <w:spacing w:before="120" w:after="120"/>
        <w:jc w:val="left"/>
        <w:rPr>
          <w:rFonts w:ascii="Times New Roman" w:hAnsi="Times New Roman" w:cs="Times New Roman"/>
          <w:bCs/>
          <w:iCs/>
          <w:sz w:val="24"/>
          <w:szCs w:val="24"/>
        </w:rPr>
      </w:pPr>
      <w:r>
        <w:rPr>
          <w:rFonts w:ascii="Times New Roman" w:hAnsi="Times New Roman" w:cs="Times New Roman"/>
          <w:bCs/>
          <w:iCs/>
          <w:sz w:val="24"/>
          <w:szCs w:val="24"/>
        </w:rPr>
        <w:t>by:</w:t>
      </w:r>
    </w:p>
    <w:p w14:paraId="2B149FEC" w14:textId="60DC64E3" w:rsidR="00987F90" w:rsidRDefault="00E327D2" w:rsidP="00E327D2">
      <w:pPr>
        <w:pStyle w:val="definition"/>
        <w:numPr>
          <w:ilvl w:val="2"/>
          <w:numId w:val="13"/>
        </w:numPr>
        <w:tabs>
          <w:tab w:val="clear" w:pos="1260"/>
          <w:tab w:val="left" w:pos="540"/>
        </w:tabs>
        <w:spacing w:before="120" w:after="120"/>
        <w:jc w:val="left"/>
        <w:rPr>
          <w:rFonts w:ascii="Times New Roman" w:hAnsi="Times New Roman" w:cs="Times New Roman"/>
          <w:bCs/>
          <w:iCs/>
          <w:sz w:val="24"/>
          <w:szCs w:val="24"/>
        </w:rPr>
      </w:pPr>
      <w:r>
        <w:rPr>
          <w:rFonts w:ascii="Times New Roman" w:hAnsi="Times New Roman" w:cs="Times New Roman"/>
          <w:bCs/>
          <w:iCs/>
          <w:sz w:val="24"/>
          <w:szCs w:val="24"/>
        </w:rPr>
        <w:t>if the person is a company</w:t>
      </w:r>
      <w:r w:rsidR="007F3F57">
        <w:rPr>
          <w:rFonts w:ascii="Times New Roman" w:hAnsi="Times New Roman" w:cs="Times New Roman"/>
          <w:bCs/>
          <w:iCs/>
          <w:sz w:val="24"/>
          <w:szCs w:val="24"/>
        </w:rPr>
        <w:t xml:space="preserve"> — </w:t>
      </w:r>
      <w:r w:rsidR="0092430D">
        <w:rPr>
          <w:rFonts w:ascii="Times New Roman" w:hAnsi="Times New Roman" w:cs="Times New Roman"/>
          <w:bCs/>
          <w:iCs/>
          <w:sz w:val="24"/>
          <w:szCs w:val="24"/>
        </w:rPr>
        <w:t>any of the following:</w:t>
      </w:r>
    </w:p>
    <w:p w14:paraId="5147DDBA" w14:textId="34819F03" w:rsidR="00E327D2" w:rsidRDefault="0092430D" w:rsidP="00D02DB5">
      <w:pPr>
        <w:pStyle w:val="definition"/>
        <w:numPr>
          <w:ilvl w:val="3"/>
          <w:numId w:val="13"/>
        </w:numPr>
        <w:tabs>
          <w:tab w:val="clear" w:pos="1260"/>
          <w:tab w:val="left" w:pos="540"/>
        </w:tabs>
        <w:spacing w:before="120" w:after="120"/>
        <w:jc w:val="left"/>
        <w:rPr>
          <w:rFonts w:ascii="Times New Roman" w:hAnsi="Times New Roman" w:cs="Times New Roman"/>
          <w:bCs/>
          <w:iCs/>
          <w:sz w:val="24"/>
          <w:szCs w:val="24"/>
        </w:rPr>
      </w:pPr>
      <w:r>
        <w:rPr>
          <w:rFonts w:ascii="Times New Roman" w:hAnsi="Times New Roman" w:cs="Times New Roman"/>
          <w:bCs/>
          <w:iCs/>
          <w:sz w:val="24"/>
          <w:szCs w:val="24"/>
        </w:rPr>
        <w:t xml:space="preserve">a director </w:t>
      </w:r>
      <w:r w:rsidR="00E327D2">
        <w:rPr>
          <w:rFonts w:ascii="Times New Roman" w:hAnsi="Times New Roman" w:cs="Times New Roman"/>
          <w:bCs/>
          <w:iCs/>
          <w:sz w:val="24"/>
          <w:szCs w:val="24"/>
        </w:rPr>
        <w:t>or company secretary of the company</w:t>
      </w:r>
      <w:r w:rsidR="00987F90">
        <w:rPr>
          <w:rFonts w:ascii="Times New Roman" w:hAnsi="Times New Roman" w:cs="Times New Roman"/>
          <w:bCs/>
          <w:iCs/>
          <w:sz w:val="24"/>
          <w:szCs w:val="24"/>
        </w:rPr>
        <w:t xml:space="preserve">; </w:t>
      </w:r>
      <w:r w:rsidR="00E327D2">
        <w:rPr>
          <w:rFonts w:ascii="Times New Roman" w:hAnsi="Times New Roman" w:cs="Times New Roman"/>
          <w:bCs/>
          <w:iCs/>
          <w:sz w:val="24"/>
          <w:szCs w:val="24"/>
        </w:rPr>
        <w:t>or</w:t>
      </w:r>
    </w:p>
    <w:p w14:paraId="4D11FCDD" w14:textId="77777777" w:rsidR="00987F90" w:rsidRDefault="00987F90" w:rsidP="00D02DB5">
      <w:pPr>
        <w:pStyle w:val="definition"/>
        <w:numPr>
          <w:ilvl w:val="3"/>
          <w:numId w:val="13"/>
        </w:numPr>
        <w:tabs>
          <w:tab w:val="clear" w:pos="1260"/>
          <w:tab w:val="clear" w:pos="2880"/>
          <w:tab w:val="left" w:pos="540"/>
          <w:tab w:val="num" w:pos="2977"/>
        </w:tabs>
        <w:spacing w:before="120" w:after="120"/>
        <w:jc w:val="left"/>
        <w:rPr>
          <w:rFonts w:ascii="Times New Roman" w:hAnsi="Times New Roman" w:cs="Times New Roman"/>
          <w:bCs/>
          <w:iCs/>
          <w:sz w:val="24"/>
          <w:szCs w:val="24"/>
        </w:rPr>
      </w:pPr>
      <w:r>
        <w:rPr>
          <w:rFonts w:ascii="Times New Roman" w:hAnsi="Times New Roman" w:cs="Times New Roman"/>
          <w:bCs/>
          <w:iCs/>
          <w:sz w:val="24"/>
          <w:szCs w:val="24"/>
        </w:rPr>
        <w:t>any person authorised in writing by the company to make the declaration;</w:t>
      </w:r>
      <w:r w:rsidR="0092430D">
        <w:rPr>
          <w:rFonts w:ascii="Times New Roman" w:hAnsi="Times New Roman" w:cs="Times New Roman"/>
          <w:bCs/>
          <w:iCs/>
          <w:sz w:val="24"/>
          <w:szCs w:val="24"/>
        </w:rPr>
        <w:t xml:space="preserve"> or</w:t>
      </w:r>
    </w:p>
    <w:p w14:paraId="461E9163" w14:textId="77777777" w:rsidR="00E327D2" w:rsidRDefault="00E327D2" w:rsidP="003C1F55">
      <w:pPr>
        <w:pStyle w:val="definition"/>
        <w:numPr>
          <w:ilvl w:val="2"/>
          <w:numId w:val="13"/>
        </w:numPr>
        <w:tabs>
          <w:tab w:val="clear" w:pos="1260"/>
          <w:tab w:val="left" w:pos="540"/>
        </w:tabs>
        <w:spacing w:before="120" w:after="120"/>
        <w:jc w:val="left"/>
        <w:rPr>
          <w:rFonts w:ascii="Times New Roman" w:hAnsi="Times New Roman" w:cs="Times New Roman"/>
          <w:bCs/>
          <w:iCs/>
          <w:sz w:val="24"/>
          <w:szCs w:val="24"/>
        </w:rPr>
      </w:pPr>
      <w:r>
        <w:rPr>
          <w:rFonts w:ascii="Times New Roman" w:hAnsi="Times New Roman" w:cs="Times New Roman"/>
          <w:bCs/>
          <w:iCs/>
          <w:sz w:val="24"/>
          <w:szCs w:val="24"/>
        </w:rPr>
        <w:t>if the person is a natural person — the person; and</w:t>
      </w:r>
    </w:p>
    <w:p w14:paraId="1DBC5A69" w14:textId="77777777" w:rsidR="00E327D2" w:rsidRPr="0092430D" w:rsidRDefault="00E327D2" w:rsidP="003C1F55">
      <w:pPr>
        <w:pStyle w:val="definition"/>
        <w:numPr>
          <w:ilvl w:val="0"/>
          <w:numId w:val="14"/>
        </w:numPr>
        <w:tabs>
          <w:tab w:val="clear" w:pos="1260"/>
          <w:tab w:val="clear" w:pos="1800"/>
          <w:tab w:val="left" w:pos="540"/>
        </w:tabs>
        <w:spacing w:before="120" w:after="120"/>
        <w:jc w:val="left"/>
        <w:rPr>
          <w:rFonts w:ascii="Times New Roman" w:hAnsi="Times New Roman" w:cs="Times New Roman"/>
          <w:bCs/>
          <w:iCs/>
          <w:sz w:val="24"/>
          <w:szCs w:val="24"/>
        </w:rPr>
      </w:pPr>
      <w:r w:rsidRPr="0092430D">
        <w:rPr>
          <w:rFonts w:ascii="Times New Roman" w:hAnsi="Times New Roman" w:cs="Times New Roman"/>
          <w:sz w:val="24"/>
          <w:szCs w:val="24"/>
        </w:rPr>
        <w:t xml:space="preserve"> in accordance with the </w:t>
      </w:r>
      <w:r w:rsidRPr="0092430D">
        <w:rPr>
          <w:rFonts w:ascii="Times New Roman" w:hAnsi="Times New Roman" w:cs="Times New Roman"/>
          <w:i/>
          <w:iCs/>
          <w:sz w:val="24"/>
          <w:szCs w:val="24"/>
        </w:rPr>
        <w:t>Statutory Declarations Act 1959</w:t>
      </w:r>
      <w:r w:rsidRPr="0092430D">
        <w:rPr>
          <w:rFonts w:ascii="Times New Roman" w:hAnsi="Times New Roman" w:cs="Times New Roman"/>
          <w:sz w:val="24"/>
          <w:szCs w:val="24"/>
        </w:rPr>
        <w:t xml:space="preserve">. </w:t>
      </w:r>
    </w:p>
    <w:p w14:paraId="5DE520A5" w14:textId="77777777" w:rsidR="00E327D2" w:rsidRDefault="00E327D2" w:rsidP="00E327D2">
      <w:pPr>
        <w:pStyle w:val="definition"/>
        <w:numPr>
          <w:ilvl w:val="0"/>
          <w:numId w:val="19"/>
        </w:numPr>
        <w:tabs>
          <w:tab w:val="clear" w:pos="1080"/>
          <w:tab w:val="clear" w:pos="1260"/>
          <w:tab w:val="right" w:pos="1134"/>
        </w:tabs>
        <w:spacing w:before="120" w:after="120"/>
        <w:ind w:left="1134" w:hanging="708"/>
        <w:jc w:val="left"/>
        <w:rPr>
          <w:rFonts w:ascii="Times New Roman" w:hAnsi="Times New Roman" w:cs="Times New Roman"/>
          <w:sz w:val="24"/>
          <w:szCs w:val="24"/>
        </w:rPr>
      </w:pPr>
      <w:r>
        <w:rPr>
          <w:rFonts w:ascii="Times New Roman" w:hAnsi="Times New Roman" w:cs="Times New Roman"/>
          <w:sz w:val="24"/>
          <w:szCs w:val="24"/>
        </w:rPr>
        <w:t xml:space="preserve">A person is a </w:t>
      </w:r>
      <w:r>
        <w:rPr>
          <w:rFonts w:ascii="Times New Roman" w:hAnsi="Times New Roman" w:cs="Times New Roman"/>
          <w:b/>
          <w:i/>
          <w:sz w:val="24"/>
          <w:szCs w:val="24"/>
        </w:rPr>
        <w:t xml:space="preserve">non-participating person </w:t>
      </w:r>
      <w:r>
        <w:rPr>
          <w:rFonts w:ascii="Times New Roman" w:hAnsi="Times New Roman" w:cs="Times New Roman"/>
          <w:sz w:val="24"/>
          <w:szCs w:val="24"/>
        </w:rPr>
        <w:t>for an eligible revenue period, subject to subsection 4(4)</w:t>
      </w:r>
      <w:r w:rsidR="000D2ED9">
        <w:rPr>
          <w:rFonts w:ascii="Times New Roman" w:hAnsi="Times New Roman" w:cs="Times New Roman"/>
          <w:sz w:val="24"/>
          <w:szCs w:val="24"/>
        </w:rPr>
        <w:t xml:space="preserve"> of this Determination</w:t>
      </w:r>
      <w:r>
        <w:rPr>
          <w:rFonts w:ascii="Times New Roman" w:hAnsi="Times New Roman" w:cs="Times New Roman"/>
          <w:sz w:val="24"/>
          <w:szCs w:val="24"/>
        </w:rPr>
        <w:t xml:space="preserve">, if: </w:t>
      </w:r>
    </w:p>
    <w:p w14:paraId="4F9BF522" w14:textId="77777777" w:rsidR="00E327D2" w:rsidRPr="0049359D" w:rsidRDefault="00E327D2" w:rsidP="0049359D">
      <w:pPr>
        <w:pStyle w:val="definition"/>
        <w:numPr>
          <w:ilvl w:val="0"/>
          <w:numId w:val="22"/>
        </w:numPr>
        <w:tabs>
          <w:tab w:val="clear" w:pos="1260"/>
          <w:tab w:val="left" w:pos="540"/>
        </w:tabs>
        <w:spacing w:before="120" w:after="120"/>
        <w:jc w:val="left"/>
        <w:rPr>
          <w:rFonts w:ascii="Times New Roman" w:hAnsi="Times New Roman" w:cs="Times New Roman"/>
          <w:sz w:val="24"/>
          <w:szCs w:val="24"/>
        </w:rPr>
      </w:pPr>
      <w:r w:rsidRPr="0049359D">
        <w:rPr>
          <w:rFonts w:ascii="Times New Roman" w:hAnsi="Times New Roman" w:cs="Times New Roman"/>
          <w:sz w:val="24"/>
          <w:szCs w:val="24"/>
        </w:rPr>
        <w:t>the person’s initial sales revenue for the eligible revenue period is less than $25 million; and</w:t>
      </w:r>
    </w:p>
    <w:p w14:paraId="37560AAC" w14:textId="77777777" w:rsidR="00F6312E" w:rsidRDefault="00E327D2" w:rsidP="00F6312E">
      <w:pPr>
        <w:pStyle w:val="P1"/>
        <w:numPr>
          <w:ilvl w:val="0"/>
          <w:numId w:val="15"/>
        </w:numPr>
        <w:spacing w:before="120" w:line="240" w:lineRule="auto"/>
        <w:jc w:val="left"/>
        <w:rPr>
          <w:rFonts w:ascii="Times New Roman" w:hAnsi="Times New Roman" w:cs="Times New Roman"/>
          <w:sz w:val="24"/>
          <w:szCs w:val="24"/>
        </w:rPr>
      </w:pPr>
      <w:r>
        <w:rPr>
          <w:rFonts w:ascii="Times New Roman" w:hAnsi="Times New Roman" w:cs="Times New Roman"/>
          <w:sz w:val="24"/>
          <w:szCs w:val="24"/>
        </w:rPr>
        <w:t>within the specified timeframe for the eligible revenue period, the person provides to the ACMA an eligible statutory declaration stating that the person’s initial sales revenue for the eligible revenue period was less than $25 million; or</w:t>
      </w:r>
    </w:p>
    <w:p w14:paraId="17D04C8D" w14:textId="2FF557D1" w:rsidR="00F6312E" w:rsidRPr="00F6312E" w:rsidRDefault="00F6312E" w:rsidP="00F6312E">
      <w:pPr>
        <w:pStyle w:val="P1"/>
        <w:numPr>
          <w:ilvl w:val="0"/>
          <w:numId w:val="15"/>
        </w:numPr>
        <w:spacing w:before="120" w:line="240" w:lineRule="auto"/>
        <w:jc w:val="left"/>
        <w:rPr>
          <w:rFonts w:ascii="Times New Roman" w:hAnsi="Times New Roman" w:cs="Times New Roman"/>
          <w:sz w:val="24"/>
          <w:szCs w:val="24"/>
        </w:rPr>
      </w:pPr>
      <w:r w:rsidRPr="0089432F">
        <w:rPr>
          <w:rFonts w:ascii="Times New Roman" w:hAnsi="Times New Roman" w:cs="Times New Roman"/>
          <w:sz w:val="24"/>
          <w:szCs w:val="24"/>
        </w:rPr>
        <w:lastRenderedPageBreak/>
        <w:t xml:space="preserve">the ACMA is otherwise </w:t>
      </w:r>
      <w:r w:rsidR="006A7A2A" w:rsidRPr="0089432F">
        <w:rPr>
          <w:rFonts w:ascii="Times New Roman" w:hAnsi="Times New Roman" w:cs="Times New Roman"/>
          <w:sz w:val="24"/>
          <w:szCs w:val="24"/>
        </w:rPr>
        <w:t xml:space="preserve">reasonably </w:t>
      </w:r>
      <w:r w:rsidRPr="0089432F">
        <w:rPr>
          <w:rFonts w:ascii="Times New Roman" w:hAnsi="Times New Roman" w:cs="Times New Roman"/>
          <w:sz w:val="24"/>
          <w:szCs w:val="24"/>
        </w:rPr>
        <w:t>satisfied that the person’s initial sales revenue for the eligible revenue period was less than $25 million; or</w:t>
      </w:r>
    </w:p>
    <w:p w14:paraId="1B0D736C" w14:textId="77777777" w:rsidR="00E327D2" w:rsidRPr="0049359D" w:rsidRDefault="00E327D2" w:rsidP="0049359D">
      <w:pPr>
        <w:pStyle w:val="definition"/>
        <w:numPr>
          <w:ilvl w:val="0"/>
          <w:numId w:val="22"/>
        </w:numPr>
        <w:tabs>
          <w:tab w:val="clear" w:pos="1260"/>
          <w:tab w:val="left" w:pos="540"/>
        </w:tabs>
        <w:spacing w:before="120" w:after="120"/>
        <w:jc w:val="left"/>
        <w:rPr>
          <w:rFonts w:ascii="Times New Roman" w:hAnsi="Times New Roman" w:cs="Times New Roman"/>
          <w:sz w:val="24"/>
          <w:szCs w:val="24"/>
        </w:rPr>
      </w:pPr>
      <w:r w:rsidRPr="0049359D">
        <w:rPr>
          <w:rFonts w:ascii="Times New Roman" w:hAnsi="Times New Roman" w:cs="Times New Roman"/>
          <w:sz w:val="24"/>
          <w:szCs w:val="24"/>
        </w:rPr>
        <w:t>the person’s gross telecommunications sales revenue for the eligible revenue period is less than $25 million; and</w:t>
      </w:r>
    </w:p>
    <w:p w14:paraId="6E11BEC3" w14:textId="075135AE" w:rsidR="00E327D2" w:rsidRDefault="00E327D2" w:rsidP="00E327D2">
      <w:pPr>
        <w:pStyle w:val="P1"/>
        <w:numPr>
          <w:ilvl w:val="0"/>
          <w:numId w:val="17"/>
        </w:numPr>
        <w:spacing w:before="120" w:line="240" w:lineRule="auto"/>
        <w:jc w:val="left"/>
        <w:rPr>
          <w:rFonts w:ascii="Times New Roman" w:hAnsi="Times New Roman" w:cs="Times New Roman"/>
          <w:sz w:val="24"/>
          <w:szCs w:val="24"/>
        </w:rPr>
      </w:pPr>
      <w:r>
        <w:rPr>
          <w:rFonts w:ascii="Times New Roman" w:hAnsi="Times New Roman" w:cs="Times New Roman"/>
          <w:sz w:val="24"/>
          <w:szCs w:val="24"/>
        </w:rPr>
        <w:t>within the specified timeframe for the eligible revenue period, the person provides to the ACMA an eligible statutory declaration stating that the person’s gross telecommunications sale</w:t>
      </w:r>
      <w:r w:rsidR="00D02DB5">
        <w:rPr>
          <w:rFonts w:ascii="Times New Roman" w:hAnsi="Times New Roman" w:cs="Times New Roman"/>
          <w:sz w:val="24"/>
          <w:szCs w:val="24"/>
        </w:rPr>
        <w:t>s</w:t>
      </w:r>
      <w:r>
        <w:rPr>
          <w:rFonts w:ascii="Times New Roman" w:hAnsi="Times New Roman" w:cs="Times New Roman"/>
          <w:sz w:val="24"/>
          <w:szCs w:val="24"/>
        </w:rPr>
        <w:t xml:space="preserve"> revenue for the eligible revenue period was less than $25 million; or</w:t>
      </w:r>
    </w:p>
    <w:p w14:paraId="56D619CD" w14:textId="6C9B9B5B" w:rsidR="00F6312E" w:rsidRPr="0089432F" w:rsidRDefault="00F6312E" w:rsidP="00E327D2">
      <w:pPr>
        <w:pStyle w:val="P1"/>
        <w:numPr>
          <w:ilvl w:val="0"/>
          <w:numId w:val="17"/>
        </w:numPr>
        <w:spacing w:before="120" w:line="240" w:lineRule="auto"/>
        <w:jc w:val="left"/>
        <w:rPr>
          <w:rFonts w:ascii="Times New Roman" w:hAnsi="Times New Roman" w:cs="Times New Roman"/>
          <w:sz w:val="24"/>
          <w:szCs w:val="24"/>
        </w:rPr>
      </w:pPr>
      <w:r w:rsidRPr="0089432F">
        <w:rPr>
          <w:rFonts w:ascii="Times New Roman" w:hAnsi="Times New Roman" w:cs="Times New Roman"/>
          <w:sz w:val="24"/>
          <w:szCs w:val="24"/>
        </w:rPr>
        <w:t xml:space="preserve">the ACMA is otherwise </w:t>
      </w:r>
      <w:r w:rsidR="006A7A2A" w:rsidRPr="0089432F">
        <w:rPr>
          <w:rFonts w:ascii="Times New Roman" w:hAnsi="Times New Roman" w:cs="Times New Roman"/>
          <w:sz w:val="24"/>
          <w:szCs w:val="24"/>
        </w:rPr>
        <w:t xml:space="preserve">reasonably </w:t>
      </w:r>
      <w:r w:rsidRPr="0089432F">
        <w:rPr>
          <w:rFonts w:ascii="Times New Roman" w:hAnsi="Times New Roman" w:cs="Times New Roman"/>
          <w:sz w:val="24"/>
          <w:szCs w:val="24"/>
        </w:rPr>
        <w:t>satisfied that the person’s gross telecommunications sale revenue for the eligible revenue period was less than $25 million; or</w:t>
      </w:r>
    </w:p>
    <w:p w14:paraId="04126621" w14:textId="77777777" w:rsidR="00E327D2" w:rsidRPr="0049359D" w:rsidRDefault="00E327D2" w:rsidP="0049359D">
      <w:pPr>
        <w:pStyle w:val="definition"/>
        <w:numPr>
          <w:ilvl w:val="0"/>
          <w:numId w:val="22"/>
        </w:numPr>
        <w:tabs>
          <w:tab w:val="clear" w:pos="1260"/>
          <w:tab w:val="left" w:pos="540"/>
        </w:tabs>
        <w:spacing w:before="120" w:after="120"/>
        <w:jc w:val="left"/>
        <w:rPr>
          <w:rFonts w:ascii="Times New Roman" w:hAnsi="Times New Roman" w:cs="Times New Roman"/>
          <w:sz w:val="24"/>
          <w:szCs w:val="24"/>
        </w:rPr>
      </w:pPr>
      <w:r w:rsidRPr="0049359D">
        <w:rPr>
          <w:rFonts w:ascii="Times New Roman" w:hAnsi="Times New Roman" w:cs="Times New Roman"/>
          <w:sz w:val="24"/>
          <w:szCs w:val="24"/>
        </w:rPr>
        <w:t>the person’s eligible revenue for the eligible revenue period is less than $25 million; and</w:t>
      </w:r>
    </w:p>
    <w:p w14:paraId="50E4A501" w14:textId="77777777" w:rsidR="00E327D2" w:rsidRDefault="00E327D2" w:rsidP="00E327D2">
      <w:pPr>
        <w:pStyle w:val="P1"/>
        <w:numPr>
          <w:ilvl w:val="0"/>
          <w:numId w:val="23"/>
        </w:numPr>
        <w:spacing w:before="120" w:line="240" w:lineRule="auto"/>
        <w:jc w:val="left"/>
        <w:rPr>
          <w:rFonts w:ascii="Times New Roman" w:hAnsi="Times New Roman" w:cs="Times New Roman"/>
          <w:sz w:val="24"/>
          <w:szCs w:val="24"/>
        </w:rPr>
      </w:pPr>
      <w:r w:rsidRPr="009B4949">
        <w:rPr>
          <w:rFonts w:ascii="Times New Roman" w:hAnsi="Times New Roman" w:cs="Times New Roman"/>
          <w:sz w:val="24"/>
          <w:szCs w:val="24"/>
        </w:rPr>
        <w:t xml:space="preserve">within the specified timeframe for the eligible revenue period, the person provides to the ACMA an eligible </w:t>
      </w:r>
      <w:r>
        <w:rPr>
          <w:rFonts w:ascii="Times New Roman" w:hAnsi="Times New Roman" w:cs="Times New Roman"/>
          <w:sz w:val="24"/>
          <w:szCs w:val="24"/>
        </w:rPr>
        <w:t xml:space="preserve">statutory </w:t>
      </w:r>
      <w:r w:rsidRPr="009B4949">
        <w:rPr>
          <w:rFonts w:ascii="Times New Roman" w:hAnsi="Times New Roman" w:cs="Times New Roman"/>
          <w:sz w:val="24"/>
          <w:szCs w:val="24"/>
        </w:rPr>
        <w:t>declaration stating that the person’s eligible revenue for the eligible revenue period was less than $25 million</w:t>
      </w:r>
      <w:r>
        <w:rPr>
          <w:rFonts w:ascii="Times New Roman" w:hAnsi="Times New Roman" w:cs="Times New Roman"/>
          <w:sz w:val="24"/>
          <w:szCs w:val="24"/>
        </w:rPr>
        <w:t>; or</w:t>
      </w:r>
    </w:p>
    <w:p w14:paraId="66BA23AD" w14:textId="54A1F155" w:rsidR="00F6312E" w:rsidRPr="0089432F" w:rsidRDefault="00F6312E" w:rsidP="00E327D2">
      <w:pPr>
        <w:pStyle w:val="P1"/>
        <w:numPr>
          <w:ilvl w:val="0"/>
          <w:numId w:val="23"/>
        </w:numPr>
        <w:spacing w:before="120" w:line="240" w:lineRule="auto"/>
        <w:jc w:val="left"/>
        <w:rPr>
          <w:rFonts w:ascii="Times New Roman" w:hAnsi="Times New Roman" w:cs="Times New Roman"/>
          <w:sz w:val="24"/>
          <w:szCs w:val="24"/>
        </w:rPr>
      </w:pPr>
      <w:r w:rsidRPr="0089432F">
        <w:rPr>
          <w:rFonts w:ascii="Times New Roman" w:hAnsi="Times New Roman" w:cs="Times New Roman"/>
          <w:sz w:val="24"/>
          <w:szCs w:val="24"/>
        </w:rPr>
        <w:t xml:space="preserve">the ACMA is otherwise </w:t>
      </w:r>
      <w:r w:rsidR="006A7A2A" w:rsidRPr="0089432F">
        <w:rPr>
          <w:rFonts w:ascii="Times New Roman" w:hAnsi="Times New Roman" w:cs="Times New Roman"/>
          <w:sz w:val="24"/>
          <w:szCs w:val="24"/>
        </w:rPr>
        <w:t xml:space="preserve">reasonably </w:t>
      </w:r>
      <w:r w:rsidRPr="0089432F">
        <w:rPr>
          <w:rFonts w:ascii="Times New Roman" w:hAnsi="Times New Roman" w:cs="Times New Roman"/>
          <w:sz w:val="24"/>
          <w:szCs w:val="24"/>
        </w:rPr>
        <w:t>satisfied that the person’s eligible revenue for the eligible revenue period was less than $25 m</w:t>
      </w:r>
      <w:r w:rsidR="00D02DB5">
        <w:rPr>
          <w:rFonts w:ascii="Times New Roman" w:hAnsi="Times New Roman" w:cs="Times New Roman"/>
          <w:sz w:val="24"/>
          <w:szCs w:val="24"/>
        </w:rPr>
        <w:t>illion.</w:t>
      </w:r>
    </w:p>
    <w:p w14:paraId="51AB0D3B" w14:textId="77777777" w:rsidR="00E327D2" w:rsidRDefault="00E327D2" w:rsidP="00E327D2">
      <w:pPr>
        <w:pStyle w:val="definition"/>
        <w:numPr>
          <w:ilvl w:val="0"/>
          <w:numId w:val="19"/>
        </w:numPr>
        <w:tabs>
          <w:tab w:val="clear" w:pos="1080"/>
          <w:tab w:val="clear" w:pos="1260"/>
          <w:tab w:val="right" w:pos="1134"/>
        </w:tabs>
        <w:spacing w:before="120" w:after="120"/>
        <w:ind w:left="1134" w:hanging="708"/>
        <w:jc w:val="left"/>
        <w:rPr>
          <w:rFonts w:ascii="Times New Roman" w:hAnsi="Times New Roman" w:cs="Times New Roman"/>
          <w:sz w:val="24"/>
          <w:szCs w:val="24"/>
        </w:rPr>
      </w:pPr>
      <w:r>
        <w:rPr>
          <w:rFonts w:ascii="Times New Roman" w:hAnsi="Times New Roman"/>
          <w:sz w:val="24"/>
          <w:szCs w:val="24"/>
        </w:rPr>
        <w:t xml:space="preserve">If a person has the same </w:t>
      </w:r>
      <w:r w:rsidRPr="0024601F">
        <w:rPr>
          <w:rFonts w:ascii="Times New Roman" w:hAnsi="Times New Roman"/>
          <w:sz w:val="24"/>
          <w:szCs w:val="24"/>
        </w:rPr>
        <w:t>ultimate Australian parent entity</w:t>
      </w:r>
      <w:r>
        <w:rPr>
          <w:rFonts w:ascii="Times New Roman" w:hAnsi="Times New Roman"/>
          <w:sz w:val="24"/>
          <w:szCs w:val="24"/>
        </w:rPr>
        <w:t xml:space="preserve"> as one or more other carriers (or carriage service providers, if a determination under paragraph </w:t>
      </w:r>
      <w:r w:rsidR="00262892" w:rsidRPr="00262892">
        <w:rPr>
          <w:rFonts w:ascii="Times New Roman" w:hAnsi="Times New Roman"/>
          <w:sz w:val="24"/>
          <w:szCs w:val="24"/>
        </w:rPr>
        <w:t>44(1)(b</w:t>
      </w:r>
      <w:r w:rsidR="00262892">
        <w:rPr>
          <w:rFonts w:ascii="Times New Roman" w:hAnsi="Times New Roman"/>
          <w:sz w:val="24"/>
          <w:szCs w:val="24"/>
        </w:rPr>
        <w:t>)</w:t>
      </w:r>
      <w:r w:rsidR="00262892" w:rsidRPr="00262892">
        <w:rPr>
          <w:rFonts w:ascii="Times New Roman" w:hAnsi="Times New Roman"/>
          <w:sz w:val="24"/>
          <w:szCs w:val="24"/>
        </w:rPr>
        <w:t xml:space="preserve"> </w:t>
      </w:r>
      <w:r>
        <w:rPr>
          <w:rFonts w:ascii="Times New Roman" w:hAnsi="Times New Roman"/>
          <w:sz w:val="24"/>
          <w:szCs w:val="24"/>
        </w:rPr>
        <w:t>of the Act is in force), then, for the purposes of calculating the following:</w:t>
      </w:r>
    </w:p>
    <w:p w14:paraId="2A27610F" w14:textId="68B458B2" w:rsidR="00E327D2" w:rsidRDefault="00E327D2" w:rsidP="00E327D2">
      <w:pPr>
        <w:pStyle w:val="definition"/>
        <w:numPr>
          <w:ilvl w:val="0"/>
          <w:numId w:val="24"/>
        </w:numPr>
        <w:tabs>
          <w:tab w:val="clear" w:pos="1260"/>
          <w:tab w:val="left" w:pos="540"/>
        </w:tabs>
        <w:spacing w:before="120" w:after="120"/>
        <w:jc w:val="left"/>
        <w:rPr>
          <w:rFonts w:ascii="Times New Roman" w:hAnsi="Times New Roman"/>
          <w:sz w:val="24"/>
          <w:szCs w:val="24"/>
        </w:rPr>
      </w:pPr>
      <w:r>
        <w:rPr>
          <w:rFonts w:ascii="Times New Roman" w:hAnsi="Times New Roman"/>
          <w:sz w:val="24"/>
          <w:szCs w:val="24"/>
        </w:rPr>
        <w:t xml:space="preserve">initial sales revenue for the purposes of paragraph 4(3)(a); </w:t>
      </w:r>
    </w:p>
    <w:p w14:paraId="43C35803" w14:textId="1F65F7DC" w:rsidR="00E327D2" w:rsidRDefault="00E327D2" w:rsidP="00E327D2">
      <w:pPr>
        <w:pStyle w:val="definition"/>
        <w:numPr>
          <w:ilvl w:val="0"/>
          <w:numId w:val="24"/>
        </w:numPr>
        <w:tabs>
          <w:tab w:val="clear" w:pos="1260"/>
          <w:tab w:val="left" w:pos="540"/>
        </w:tabs>
        <w:spacing w:before="120" w:after="120"/>
        <w:jc w:val="left"/>
        <w:rPr>
          <w:rFonts w:ascii="Times New Roman" w:hAnsi="Times New Roman"/>
          <w:sz w:val="24"/>
          <w:szCs w:val="24"/>
        </w:rPr>
      </w:pPr>
      <w:r w:rsidRPr="009B4949">
        <w:rPr>
          <w:rFonts w:ascii="Times New Roman" w:hAnsi="Times New Roman"/>
          <w:sz w:val="24"/>
          <w:szCs w:val="24"/>
        </w:rPr>
        <w:t>gross telecommunications sales revenue for the purposes of paragraph 4(</w:t>
      </w:r>
      <w:r>
        <w:rPr>
          <w:rFonts w:ascii="Times New Roman" w:hAnsi="Times New Roman"/>
          <w:sz w:val="24"/>
          <w:szCs w:val="24"/>
        </w:rPr>
        <w:t>3</w:t>
      </w:r>
      <w:r w:rsidRPr="009B4949">
        <w:rPr>
          <w:rFonts w:ascii="Times New Roman" w:hAnsi="Times New Roman"/>
          <w:sz w:val="24"/>
          <w:szCs w:val="24"/>
        </w:rPr>
        <w:t xml:space="preserve">)(b); </w:t>
      </w:r>
      <w:r>
        <w:rPr>
          <w:rFonts w:ascii="Times New Roman" w:hAnsi="Times New Roman"/>
          <w:sz w:val="24"/>
          <w:szCs w:val="24"/>
        </w:rPr>
        <w:t xml:space="preserve">or </w:t>
      </w:r>
    </w:p>
    <w:p w14:paraId="38144395" w14:textId="1A9497E0" w:rsidR="00E327D2" w:rsidRPr="009B4949" w:rsidRDefault="00E327D2" w:rsidP="00E327D2">
      <w:pPr>
        <w:pStyle w:val="definition"/>
        <w:numPr>
          <w:ilvl w:val="0"/>
          <w:numId w:val="24"/>
        </w:numPr>
        <w:tabs>
          <w:tab w:val="clear" w:pos="1260"/>
          <w:tab w:val="left" w:pos="540"/>
        </w:tabs>
        <w:spacing w:before="120" w:after="120"/>
        <w:jc w:val="left"/>
        <w:rPr>
          <w:rFonts w:ascii="Times New Roman" w:hAnsi="Times New Roman"/>
          <w:sz w:val="24"/>
          <w:szCs w:val="24"/>
        </w:rPr>
      </w:pPr>
      <w:r w:rsidRPr="009B4949">
        <w:rPr>
          <w:rFonts w:ascii="Times New Roman" w:hAnsi="Times New Roman"/>
          <w:sz w:val="24"/>
          <w:szCs w:val="24"/>
        </w:rPr>
        <w:t>eligible revenue for the purposes of paragraph 4(</w:t>
      </w:r>
      <w:r>
        <w:rPr>
          <w:rFonts w:ascii="Times New Roman" w:hAnsi="Times New Roman"/>
          <w:sz w:val="24"/>
          <w:szCs w:val="24"/>
        </w:rPr>
        <w:t>3</w:t>
      </w:r>
      <w:r w:rsidRPr="009B4949">
        <w:rPr>
          <w:rFonts w:ascii="Times New Roman" w:hAnsi="Times New Roman"/>
          <w:sz w:val="24"/>
          <w:szCs w:val="24"/>
        </w:rPr>
        <w:t>)(c);</w:t>
      </w:r>
    </w:p>
    <w:p w14:paraId="7C717275" w14:textId="77777777" w:rsidR="00E327D2" w:rsidRDefault="00E327D2" w:rsidP="0089432F">
      <w:pPr>
        <w:pStyle w:val="BodyText"/>
        <w:ind w:left="1134"/>
        <w:rPr>
          <w:rFonts w:ascii="Times New Roman" w:hAnsi="Times New Roman"/>
          <w:sz w:val="24"/>
          <w:szCs w:val="24"/>
        </w:rPr>
      </w:pPr>
      <w:r>
        <w:rPr>
          <w:rFonts w:ascii="Times New Roman" w:hAnsi="Times New Roman"/>
          <w:sz w:val="24"/>
          <w:szCs w:val="24"/>
        </w:rPr>
        <w:t>each carrier (or carriage service provider as applicable) must make the relevant calculations on a group basis, accounting for revenue and deductions as a whole.</w:t>
      </w:r>
    </w:p>
    <w:p w14:paraId="2740EFB6" w14:textId="77777777" w:rsidR="00E327D2" w:rsidRDefault="00E327D2" w:rsidP="00E327D2">
      <w:pPr>
        <w:pStyle w:val="HR"/>
        <w:tabs>
          <w:tab w:val="left" w:pos="426"/>
        </w:tabs>
        <w:spacing w:before="400"/>
        <w:ind w:left="425" w:hanging="425"/>
        <w:jc w:val="left"/>
        <w:rPr>
          <w:rFonts w:ascii="Arial" w:hAnsi="Arial" w:cs="Arial"/>
        </w:rPr>
      </w:pPr>
      <w:r>
        <w:rPr>
          <w:rFonts w:ascii="Arial" w:hAnsi="Arial" w:cs="Arial"/>
        </w:rPr>
        <w:t>5</w:t>
      </w:r>
      <w:r>
        <w:rPr>
          <w:rFonts w:ascii="Arial" w:hAnsi="Arial" w:cs="Arial"/>
        </w:rPr>
        <w:tab/>
        <w:t>Determination</w:t>
      </w:r>
    </w:p>
    <w:p w14:paraId="0138E0AE" w14:textId="77777777" w:rsidR="00E327D2" w:rsidRDefault="00E327D2" w:rsidP="00E327D2">
      <w:pPr>
        <w:pStyle w:val="definition"/>
        <w:tabs>
          <w:tab w:val="clear" w:pos="1260"/>
          <w:tab w:val="left" w:pos="540"/>
        </w:tabs>
        <w:spacing w:before="120" w:after="120"/>
        <w:ind w:left="567"/>
        <w:jc w:val="left"/>
        <w:rPr>
          <w:rFonts w:ascii="Times New Roman" w:hAnsi="Times New Roman" w:cs="Times New Roman"/>
          <w:sz w:val="24"/>
          <w:szCs w:val="24"/>
        </w:rPr>
      </w:pPr>
      <w:r>
        <w:rPr>
          <w:rFonts w:ascii="Times New Roman" w:hAnsi="Times New Roman" w:cs="Times New Roman"/>
          <w:sz w:val="24"/>
          <w:szCs w:val="24"/>
        </w:rPr>
        <w:t xml:space="preserve">If a person is a non-participating person for an eligible revenue period, the person is exempt from section </w:t>
      </w:r>
      <w:r w:rsidR="00262892">
        <w:rPr>
          <w:rFonts w:ascii="Times New Roman" w:hAnsi="Times New Roman" w:cs="Times New Roman"/>
          <w:sz w:val="24"/>
          <w:szCs w:val="24"/>
        </w:rPr>
        <w:t>44</w:t>
      </w:r>
      <w:r>
        <w:rPr>
          <w:rFonts w:ascii="Times New Roman" w:hAnsi="Times New Roman" w:cs="Times New Roman"/>
          <w:sz w:val="24"/>
          <w:szCs w:val="24"/>
        </w:rPr>
        <w:t xml:space="preserve"> of the Act for that eligible revenue period.  </w:t>
      </w:r>
    </w:p>
    <w:p w14:paraId="7E10123A" w14:textId="77777777" w:rsidR="00E327D2" w:rsidRDefault="00E327D2" w:rsidP="003C1F55">
      <w:pPr>
        <w:pStyle w:val="P1"/>
        <w:tabs>
          <w:tab w:val="clear" w:pos="1080"/>
          <w:tab w:val="right" w:pos="360"/>
        </w:tabs>
        <w:ind w:left="360" w:firstLine="0"/>
        <w:jc w:val="left"/>
        <w:rPr>
          <w:rFonts w:ascii="Times New Roman" w:hAnsi="Times New Roman" w:cs="Times New Roman"/>
          <w:sz w:val="24"/>
          <w:szCs w:val="24"/>
        </w:rPr>
      </w:pPr>
    </w:p>
    <w:p w14:paraId="499842EB" w14:textId="77777777" w:rsidR="00E327D2" w:rsidRDefault="00E327D2" w:rsidP="003C1F55">
      <w:pPr>
        <w:pStyle w:val="P1"/>
        <w:ind w:left="1980" w:firstLine="0"/>
        <w:jc w:val="left"/>
        <w:rPr>
          <w:rFonts w:ascii="Times New Roman" w:hAnsi="Times New Roman" w:cs="Times New Roman"/>
          <w:sz w:val="24"/>
          <w:szCs w:val="24"/>
        </w:rPr>
      </w:pPr>
    </w:p>
    <w:p w14:paraId="714BFC86" w14:textId="77777777" w:rsidR="00E327D2" w:rsidRDefault="00E327D2" w:rsidP="003C1F55">
      <w:pPr>
        <w:pStyle w:val="P1"/>
        <w:ind w:left="1440" w:firstLine="0"/>
        <w:jc w:val="left"/>
        <w:rPr>
          <w:rFonts w:ascii="Times New Roman" w:hAnsi="Times New Roman" w:cs="Times New Roman"/>
          <w:sz w:val="24"/>
          <w:szCs w:val="24"/>
        </w:rPr>
      </w:pPr>
    </w:p>
    <w:p w14:paraId="0B2381A4" w14:textId="77777777" w:rsidR="00F61338" w:rsidRPr="00E327D2" w:rsidRDefault="00F61338" w:rsidP="00E327D2"/>
    <w:sectPr w:rsidR="00F61338" w:rsidRPr="00E327D2" w:rsidSect="006A653F">
      <w:headerReference w:type="default" r:id="rId11"/>
      <w:footerReference w:type="default" r:id="rId12"/>
      <w:headerReference w:type="first" r:id="rId13"/>
      <w:footerReference w:type="first" r:id="rId14"/>
      <w:pgSz w:w="11906" w:h="16838"/>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A02EA9" w14:textId="77777777" w:rsidR="00BF35C5" w:rsidRDefault="00BF35C5">
      <w:r>
        <w:separator/>
      </w:r>
    </w:p>
  </w:endnote>
  <w:endnote w:type="continuationSeparator" w:id="0">
    <w:p w14:paraId="5EDB434F" w14:textId="77777777" w:rsidR="00BF35C5" w:rsidRDefault="00BF35C5">
      <w:r>
        <w:continuationSeparator/>
      </w:r>
    </w:p>
  </w:endnote>
  <w:endnote w:type="continuationNotice" w:id="1">
    <w:p w14:paraId="7484AE8D" w14:textId="77777777" w:rsidR="00BF35C5" w:rsidRDefault="00BF35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E203F" w14:textId="77777777" w:rsidR="00945CA8" w:rsidRDefault="00945CA8">
    <w:pPr>
      <w:pStyle w:val="Footer"/>
      <w:jc w:val="center"/>
    </w:pPr>
    <w:r>
      <w:fldChar w:fldCharType="begin"/>
    </w:r>
    <w:r>
      <w:instrText xml:space="preserve"> PAGE   \* MERGEFORMAT </w:instrText>
    </w:r>
    <w:r>
      <w:fldChar w:fldCharType="separate"/>
    </w:r>
    <w:r w:rsidR="005B0A64">
      <w:rPr>
        <w:noProof/>
      </w:rPr>
      <w:t>3</w:t>
    </w:r>
    <w:r>
      <w:rPr>
        <w:noProof/>
      </w:rPr>
      <w:fldChar w:fldCharType="end"/>
    </w:r>
  </w:p>
  <w:p w14:paraId="0317CAF6" w14:textId="77777777" w:rsidR="00945CA8" w:rsidRDefault="00945C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998A64" w14:textId="77777777" w:rsidR="00945CA8" w:rsidRPr="00323160" w:rsidRDefault="00945CA8" w:rsidP="00323160">
    <w:pPr>
      <w:pStyle w:val="Heade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05247C" w14:textId="77777777" w:rsidR="00BF35C5" w:rsidRDefault="00BF35C5">
      <w:r>
        <w:separator/>
      </w:r>
    </w:p>
  </w:footnote>
  <w:footnote w:type="continuationSeparator" w:id="0">
    <w:p w14:paraId="7D07841F" w14:textId="77777777" w:rsidR="00BF35C5" w:rsidRDefault="00BF35C5">
      <w:r>
        <w:continuationSeparator/>
      </w:r>
    </w:p>
  </w:footnote>
  <w:footnote w:type="continuationNotice" w:id="1">
    <w:p w14:paraId="435D3099" w14:textId="77777777" w:rsidR="00BF35C5" w:rsidRDefault="00BF35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41B6A" w14:textId="17359CF7" w:rsidR="00945CA8" w:rsidRDefault="00945CA8" w:rsidP="008E7C9A">
    <w:pPr>
      <w:pStyle w:val="Header"/>
      <w:jc w:val="center"/>
      <w:rPr>
        <w:i/>
        <w:iCs/>
      </w:rPr>
    </w:pPr>
    <w:r>
      <w:rPr>
        <w:i/>
        <w:iCs/>
      </w:rPr>
      <w:t xml:space="preserve">Telecommunications (Participating Persons) Determination </w:t>
    </w:r>
    <w:r w:rsidRPr="00C9487F">
      <w:rPr>
        <w:i/>
        <w:iCs/>
      </w:rPr>
      <w:t>201</w:t>
    </w:r>
    <w:r w:rsidR="00077A51">
      <w:rPr>
        <w:i/>
        <w:iCs/>
      </w:rPr>
      <w:t>5</w:t>
    </w:r>
  </w:p>
  <w:p w14:paraId="14BC96AA" w14:textId="77777777" w:rsidR="00945CA8" w:rsidRDefault="00945CA8" w:rsidP="008E7C9A">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DC947" w14:textId="71108640" w:rsidR="00945CA8" w:rsidRPr="00323160" w:rsidRDefault="00945CA8" w:rsidP="006C1C29">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344FE"/>
    <w:multiLevelType w:val="hybridMultilevel"/>
    <w:tmpl w:val="09BCF2AE"/>
    <w:lvl w:ilvl="0" w:tplc="4772751A">
      <w:start w:val="2"/>
      <w:numFmt w:val="lowerLetter"/>
      <w:lvlText w:val="(%1)"/>
      <w:lvlJc w:val="left"/>
      <w:pPr>
        <w:tabs>
          <w:tab w:val="num" w:pos="1440"/>
        </w:tabs>
        <w:ind w:left="144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95195B"/>
    <w:multiLevelType w:val="hybridMultilevel"/>
    <w:tmpl w:val="CFF6B9EE"/>
    <w:lvl w:ilvl="0" w:tplc="69D487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210C09"/>
    <w:multiLevelType w:val="hybridMultilevel"/>
    <w:tmpl w:val="BAC46CC8"/>
    <w:lvl w:ilvl="0" w:tplc="BF5823D2">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 w15:restartNumberingAfterBreak="0">
    <w:nsid w:val="0F5C6548"/>
    <w:multiLevelType w:val="hybridMultilevel"/>
    <w:tmpl w:val="9E80FCB0"/>
    <w:lvl w:ilvl="0" w:tplc="2EF86868">
      <w:start w:val="1"/>
      <w:numFmt w:val="lowerRoman"/>
      <w:lvlText w:val="(%1)"/>
      <w:lvlJc w:val="right"/>
      <w:pPr>
        <w:tabs>
          <w:tab w:val="num" w:pos="2160"/>
        </w:tabs>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7804407"/>
    <w:multiLevelType w:val="hybridMultilevel"/>
    <w:tmpl w:val="17020EB2"/>
    <w:lvl w:ilvl="0" w:tplc="12B402C6">
      <w:start w:val="1"/>
      <w:numFmt w:val="decimal"/>
      <w:lvlText w:val="(%1)"/>
      <w:lvlJc w:val="left"/>
      <w:pPr>
        <w:tabs>
          <w:tab w:val="num" w:pos="795"/>
        </w:tabs>
        <w:ind w:left="795" w:hanging="43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0813315"/>
    <w:multiLevelType w:val="hybridMultilevel"/>
    <w:tmpl w:val="B06CB0DC"/>
    <w:lvl w:ilvl="0" w:tplc="12B402C6">
      <w:start w:val="1"/>
      <w:numFmt w:val="decimal"/>
      <w:lvlText w:val="(%1)"/>
      <w:lvlJc w:val="left"/>
      <w:pPr>
        <w:tabs>
          <w:tab w:val="num" w:pos="795"/>
        </w:tabs>
        <w:ind w:left="795" w:hanging="435"/>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249238D1"/>
    <w:multiLevelType w:val="hybridMultilevel"/>
    <w:tmpl w:val="BAC46CC8"/>
    <w:lvl w:ilvl="0" w:tplc="BF5823D2">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7" w15:restartNumberingAfterBreak="0">
    <w:nsid w:val="27755AE9"/>
    <w:multiLevelType w:val="hybridMultilevel"/>
    <w:tmpl w:val="BADAE3D6"/>
    <w:lvl w:ilvl="0" w:tplc="CB74C3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DE6C01"/>
    <w:multiLevelType w:val="hybridMultilevel"/>
    <w:tmpl w:val="DB920752"/>
    <w:lvl w:ilvl="0" w:tplc="61186E44">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9" w15:restartNumberingAfterBreak="0">
    <w:nsid w:val="2AA117F6"/>
    <w:multiLevelType w:val="hybridMultilevel"/>
    <w:tmpl w:val="D8E8B3E8"/>
    <w:lvl w:ilvl="0" w:tplc="1BBE8C14">
      <w:start w:val="1"/>
      <w:numFmt w:val="lowerRoman"/>
      <w:lvlText w:val="(%1)"/>
      <w:lvlJc w:val="right"/>
      <w:pPr>
        <w:tabs>
          <w:tab w:val="num" w:pos="1840"/>
        </w:tabs>
        <w:ind w:left="1840" w:hanging="400"/>
      </w:pPr>
      <w:rPr>
        <w:rFonts w:cs="Times New Roman"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0" w15:restartNumberingAfterBreak="0">
    <w:nsid w:val="2AD74519"/>
    <w:multiLevelType w:val="hybridMultilevel"/>
    <w:tmpl w:val="DB920752"/>
    <w:lvl w:ilvl="0" w:tplc="61186E44">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3024130A"/>
    <w:multiLevelType w:val="hybridMultilevel"/>
    <w:tmpl w:val="42AC1FF8"/>
    <w:lvl w:ilvl="0" w:tplc="5AC0FAAC">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2" w15:restartNumberingAfterBreak="0">
    <w:nsid w:val="39D67DB7"/>
    <w:multiLevelType w:val="hybridMultilevel"/>
    <w:tmpl w:val="EB642380"/>
    <w:lvl w:ilvl="0" w:tplc="12B402C6">
      <w:start w:val="1"/>
      <w:numFmt w:val="decimal"/>
      <w:lvlText w:val="(%1)"/>
      <w:lvlJc w:val="left"/>
      <w:pPr>
        <w:tabs>
          <w:tab w:val="num" w:pos="795"/>
        </w:tabs>
        <w:ind w:left="795" w:hanging="435"/>
      </w:pPr>
      <w:rPr>
        <w:rFonts w:hint="default"/>
      </w:rPr>
    </w:lvl>
    <w:lvl w:ilvl="1" w:tplc="61186E44">
      <w:start w:val="1"/>
      <w:numFmt w:val="lowerLetter"/>
      <w:lvlText w:val="(%2)"/>
      <w:lvlJc w:val="left"/>
      <w:pPr>
        <w:tabs>
          <w:tab w:val="num" w:pos="1440"/>
        </w:tabs>
        <w:ind w:left="1440" w:hanging="360"/>
      </w:pPr>
      <w:rPr>
        <w:rFonts w:hint="default"/>
      </w:rPr>
    </w:lvl>
    <w:lvl w:ilvl="2" w:tplc="2EF86868">
      <w:start w:val="1"/>
      <w:numFmt w:val="lowerRoman"/>
      <w:lvlText w:val="(%3)"/>
      <w:lvlJc w:val="right"/>
      <w:pPr>
        <w:tabs>
          <w:tab w:val="num" w:pos="2160"/>
        </w:tabs>
        <w:ind w:left="2160" w:hanging="180"/>
      </w:pPr>
      <w:rPr>
        <w:rFonts w:hint="default"/>
      </w:rPr>
    </w:lvl>
    <w:lvl w:ilvl="3" w:tplc="CC0C7410">
      <w:start w:val="1"/>
      <w:numFmt w:val="upperLetter"/>
      <w:lvlText w:val="(%4)"/>
      <w:lvlJc w:val="left"/>
      <w:pPr>
        <w:tabs>
          <w:tab w:val="num" w:pos="2880"/>
        </w:tabs>
        <w:ind w:left="2880" w:hanging="360"/>
      </w:pPr>
      <w:rPr>
        <w:rFonts w:hint="default"/>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3AEF1F7D"/>
    <w:multiLevelType w:val="hybridMultilevel"/>
    <w:tmpl w:val="9CEC772E"/>
    <w:lvl w:ilvl="0" w:tplc="A6F80EF2">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4" w15:restartNumberingAfterBreak="0">
    <w:nsid w:val="5044180A"/>
    <w:multiLevelType w:val="hybridMultilevel"/>
    <w:tmpl w:val="BAC46CC8"/>
    <w:lvl w:ilvl="0" w:tplc="BF5823D2">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5" w15:restartNumberingAfterBreak="0">
    <w:nsid w:val="52E30881"/>
    <w:multiLevelType w:val="hybridMultilevel"/>
    <w:tmpl w:val="DE7CE3A2"/>
    <w:lvl w:ilvl="0" w:tplc="1BBE8C14">
      <w:start w:val="1"/>
      <w:numFmt w:val="lowerRoman"/>
      <w:lvlText w:val="(%1)"/>
      <w:lvlJc w:val="right"/>
      <w:pPr>
        <w:tabs>
          <w:tab w:val="num" w:pos="1840"/>
        </w:tabs>
        <w:ind w:left="1840" w:hanging="400"/>
      </w:pPr>
      <w:rPr>
        <w:rFonts w:cs="Times New Roman"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56A24A30"/>
    <w:multiLevelType w:val="hybridMultilevel"/>
    <w:tmpl w:val="AE78ABDE"/>
    <w:lvl w:ilvl="0" w:tplc="F08E13BE">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7" w15:restartNumberingAfterBreak="0">
    <w:nsid w:val="588649D5"/>
    <w:multiLevelType w:val="hybridMultilevel"/>
    <w:tmpl w:val="7232874A"/>
    <w:lvl w:ilvl="0" w:tplc="1BBE8C14">
      <w:start w:val="1"/>
      <w:numFmt w:val="lowerRoman"/>
      <w:lvlText w:val="(%1)"/>
      <w:lvlJc w:val="right"/>
      <w:pPr>
        <w:tabs>
          <w:tab w:val="num" w:pos="1840"/>
        </w:tabs>
        <w:ind w:left="1840" w:hanging="400"/>
      </w:pPr>
      <w:rPr>
        <w:rFonts w:cs="Times New Roman"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8" w15:restartNumberingAfterBreak="0">
    <w:nsid w:val="58D40420"/>
    <w:multiLevelType w:val="hybridMultilevel"/>
    <w:tmpl w:val="C972CF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9030C5"/>
    <w:multiLevelType w:val="hybridMultilevel"/>
    <w:tmpl w:val="0692681E"/>
    <w:lvl w:ilvl="0" w:tplc="2774DA0E">
      <w:start w:val="1"/>
      <w:numFmt w:val="upp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20" w15:restartNumberingAfterBreak="0">
    <w:nsid w:val="66FD4B1D"/>
    <w:multiLevelType w:val="hybridMultilevel"/>
    <w:tmpl w:val="A316EC18"/>
    <w:lvl w:ilvl="0" w:tplc="61186E44">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21" w15:restartNumberingAfterBreak="0">
    <w:nsid w:val="6D424B91"/>
    <w:multiLevelType w:val="hybridMultilevel"/>
    <w:tmpl w:val="668C6B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36307E"/>
    <w:multiLevelType w:val="hybridMultilevel"/>
    <w:tmpl w:val="D9122C7A"/>
    <w:lvl w:ilvl="0" w:tplc="476C7A2E">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3" w15:restartNumberingAfterBreak="0">
    <w:nsid w:val="7FC03CA9"/>
    <w:multiLevelType w:val="singleLevel"/>
    <w:tmpl w:val="E5D491BA"/>
    <w:lvl w:ilvl="0">
      <w:start w:val="1"/>
      <w:numFmt w:val="decimal"/>
      <w:lvlText w:val="%1"/>
      <w:lvlJc w:val="left"/>
      <w:pPr>
        <w:tabs>
          <w:tab w:val="num" w:pos="360"/>
        </w:tabs>
        <w:ind w:left="360" w:hanging="360"/>
      </w:pPr>
      <w:rPr>
        <w:rFonts w:hint="default"/>
      </w:rPr>
    </w:lvl>
  </w:abstractNum>
  <w:num w:numId="1">
    <w:abstractNumId w:val="23"/>
  </w:num>
  <w:num w:numId="2">
    <w:abstractNumId w:val="17"/>
  </w:num>
  <w:num w:numId="3">
    <w:abstractNumId w:val="15"/>
  </w:num>
  <w:num w:numId="4">
    <w:abstractNumId w:val="9"/>
  </w:num>
  <w:num w:numId="5">
    <w:abstractNumId w:val="5"/>
  </w:num>
  <w:num w:numId="6">
    <w:abstractNumId w:val="12"/>
  </w:num>
  <w:num w:numId="7">
    <w:abstractNumId w:val="20"/>
  </w:num>
  <w:num w:numId="8">
    <w:abstractNumId w:val="4"/>
  </w:num>
  <w:num w:numId="9">
    <w:abstractNumId w:val="0"/>
  </w:num>
  <w:num w:numId="10">
    <w:abstractNumId w:val="14"/>
  </w:num>
  <w:num w:numId="11">
    <w:abstractNumId w:val="2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20"/>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1"/>
  </w:num>
  <w:num w:numId="21">
    <w:abstractNumId w:val="3"/>
  </w:num>
  <w:num w:numId="22">
    <w:abstractNumId w:val="10"/>
  </w:num>
  <w:num w:numId="23">
    <w:abstractNumId w:val="6"/>
  </w:num>
  <w:num w:numId="24">
    <w:abstractNumId w:val="8"/>
  </w:num>
  <w:num w:numId="25">
    <w:abstractNumId w:val="7"/>
  </w:num>
  <w:num w:numId="26">
    <w:abstractNumId w:val="13"/>
  </w:num>
  <w:num w:numId="27">
    <w:abstractNumId w:val="2"/>
  </w:num>
  <w:num w:numId="28">
    <w:abstractNumId w:val="21"/>
  </w:num>
  <w:num w:numId="29">
    <w:abstractNumId w:val="18"/>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D49"/>
    <w:rsid w:val="0001011A"/>
    <w:rsid w:val="000104C1"/>
    <w:rsid w:val="00015BB2"/>
    <w:rsid w:val="00016691"/>
    <w:rsid w:val="000179C6"/>
    <w:rsid w:val="000250C3"/>
    <w:rsid w:val="00027D23"/>
    <w:rsid w:val="00036020"/>
    <w:rsid w:val="00036A36"/>
    <w:rsid w:val="00050AC2"/>
    <w:rsid w:val="0005151D"/>
    <w:rsid w:val="000535FC"/>
    <w:rsid w:val="0005470B"/>
    <w:rsid w:val="00066CAE"/>
    <w:rsid w:val="00077568"/>
    <w:rsid w:val="00077A51"/>
    <w:rsid w:val="000833CC"/>
    <w:rsid w:val="00084C5B"/>
    <w:rsid w:val="000918A6"/>
    <w:rsid w:val="00091D9E"/>
    <w:rsid w:val="000931CD"/>
    <w:rsid w:val="000951BF"/>
    <w:rsid w:val="000A0F88"/>
    <w:rsid w:val="000A62D3"/>
    <w:rsid w:val="000B2B0C"/>
    <w:rsid w:val="000B4063"/>
    <w:rsid w:val="000C2998"/>
    <w:rsid w:val="000D0093"/>
    <w:rsid w:val="000D2ED9"/>
    <w:rsid w:val="000D56D0"/>
    <w:rsid w:val="000E0F6F"/>
    <w:rsid w:val="000E2CBC"/>
    <w:rsid w:val="000E6F5C"/>
    <w:rsid w:val="000E71EE"/>
    <w:rsid w:val="000F155D"/>
    <w:rsid w:val="00104D6E"/>
    <w:rsid w:val="00107E79"/>
    <w:rsid w:val="001118AE"/>
    <w:rsid w:val="001234A1"/>
    <w:rsid w:val="001336A5"/>
    <w:rsid w:val="00140967"/>
    <w:rsid w:val="0015767F"/>
    <w:rsid w:val="0016114E"/>
    <w:rsid w:val="001619A3"/>
    <w:rsid w:val="001620D3"/>
    <w:rsid w:val="0016381D"/>
    <w:rsid w:val="00163896"/>
    <w:rsid w:val="00165290"/>
    <w:rsid w:val="00167526"/>
    <w:rsid w:val="001714B1"/>
    <w:rsid w:val="00171E85"/>
    <w:rsid w:val="001774C4"/>
    <w:rsid w:val="00181C18"/>
    <w:rsid w:val="00183C24"/>
    <w:rsid w:val="00187D12"/>
    <w:rsid w:val="00190A56"/>
    <w:rsid w:val="00191FE2"/>
    <w:rsid w:val="00193C9A"/>
    <w:rsid w:val="001947A7"/>
    <w:rsid w:val="0019538B"/>
    <w:rsid w:val="00197016"/>
    <w:rsid w:val="001A1005"/>
    <w:rsid w:val="001A13E8"/>
    <w:rsid w:val="001A5812"/>
    <w:rsid w:val="001B15A2"/>
    <w:rsid w:val="001B4C35"/>
    <w:rsid w:val="001B7DB3"/>
    <w:rsid w:val="001C27EB"/>
    <w:rsid w:val="001D7EB3"/>
    <w:rsid w:val="001F06D1"/>
    <w:rsid w:val="001F0A58"/>
    <w:rsid w:val="001F7B9C"/>
    <w:rsid w:val="0020469E"/>
    <w:rsid w:val="002070C9"/>
    <w:rsid w:val="002213BB"/>
    <w:rsid w:val="00226206"/>
    <w:rsid w:val="00226A78"/>
    <w:rsid w:val="00231473"/>
    <w:rsid w:val="002349D7"/>
    <w:rsid w:val="00244E22"/>
    <w:rsid w:val="0024601F"/>
    <w:rsid w:val="00251FF6"/>
    <w:rsid w:val="00252E4C"/>
    <w:rsid w:val="00253780"/>
    <w:rsid w:val="0026105D"/>
    <w:rsid w:val="00262892"/>
    <w:rsid w:val="00275DE1"/>
    <w:rsid w:val="00281A26"/>
    <w:rsid w:val="00284A40"/>
    <w:rsid w:val="00286AAB"/>
    <w:rsid w:val="00290EDD"/>
    <w:rsid w:val="002A2D77"/>
    <w:rsid w:val="002A7A86"/>
    <w:rsid w:val="002B43FE"/>
    <w:rsid w:val="002C506F"/>
    <w:rsid w:val="002D1839"/>
    <w:rsid w:val="002E049B"/>
    <w:rsid w:val="003078C0"/>
    <w:rsid w:val="00310A05"/>
    <w:rsid w:val="00311939"/>
    <w:rsid w:val="00323160"/>
    <w:rsid w:val="00331E3C"/>
    <w:rsid w:val="003341FA"/>
    <w:rsid w:val="00344A6B"/>
    <w:rsid w:val="00346577"/>
    <w:rsid w:val="003500FF"/>
    <w:rsid w:val="0035537F"/>
    <w:rsid w:val="00357475"/>
    <w:rsid w:val="00357C09"/>
    <w:rsid w:val="0037011B"/>
    <w:rsid w:val="00380000"/>
    <w:rsid w:val="003A4D7B"/>
    <w:rsid w:val="003B17C9"/>
    <w:rsid w:val="003B241C"/>
    <w:rsid w:val="003B46C6"/>
    <w:rsid w:val="003C0085"/>
    <w:rsid w:val="003C1F55"/>
    <w:rsid w:val="003C5C22"/>
    <w:rsid w:val="003D38EC"/>
    <w:rsid w:val="003D3A11"/>
    <w:rsid w:val="003D6F66"/>
    <w:rsid w:val="004006E2"/>
    <w:rsid w:val="00402F1C"/>
    <w:rsid w:val="004230E9"/>
    <w:rsid w:val="00431148"/>
    <w:rsid w:val="00431E0D"/>
    <w:rsid w:val="004374C2"/>
    <w:rsid w:val="0044124D"/>
    <w:rsid w:val="0044346A"/>
    <w:rsid w:val="00476748"/>
    <w:rsid w:val="0048410D"/>
    <w:rsid w:val="00484727"/>
    <w:rsid w:val="004876A7"/>
    <w:rsid w:val="00492B76"/>
    <w:rsid w:val="0049359D"/>
    <w:rsid w:val="004A0A42"/>
    <w:rsid w:val="004A2D99"/>
    <w:rsid w:val="004A716C"/>
    <w:rsid w:val="004B5870"/>
    <w:rsid w:val="004B6A38"/>
    <w:rsid w:val="004C5E82"/>
    <w:rsid w:val="004C742F"/>
    <w:rsid w:val="004D6416"/>
    <w:rsid w:val="004E17F4"/>
    <w:rsid w:val="004E3664"/>
    <w:rsid w:val="004E5341"/>
    <w:rsid w:val="005000BF"/>
    <w:rsid w:val="00500997"/>
    <w:rsid w:val="00505A2C"/>
    <w:rsid w:val="00507FBB"/>
    <w:rsid w:val="00511395"/>
    <w:rsid w:val="005128D1"/>
    <w:rsid w:val="005134CF"/>
    <w:rsid w:val="00517098"/>
    <w:rsid w:val="005208AA"/>
    <w:rsid w:val="00522C6A"/>
    <w:rsid w:val="00530067"/>
    <w:rsid w:val="00534B43"/>
    <w:rsid w:val="00536E5D"/>
    <w:rsid w:val="00552F04"/>
    <w:rsid w:val="005532BC"/>
    <w:rsid w:val="00560FBA"/>
    <w:rsid w:val="00561BD8"/>
    <w:rsid w:val="00565BA1"/>
    <w:rsid w:val="00571F1C"/>
    <w:rsid w:val="00582119"/>
    <w:rsid w:val="00585046"/>
    <w:rsid w:val="005975E8"/>
    <w:rsid w:val="005A3C35"/>
    <w:rsid w:val="005A725A"/>
    <w:rsid w:val="005B0A64"/>
    <w:rsid w:val="005B16F2"/>
    <w:rsid w:val="005B594F"/>
    <w:rsid w:val="005B64B4"/>
    <w:rsid w:val="005B7CB4"/>
    <w:rsid w:val="005B7F1A"/>
    <w:rsid w:val="005C022E"/>
    <w:rsid w:val="005D10D1"/>
    <w:rsid w:val="005D6AA1"/>
    <w:rsid w:val="005E7AA1"/>
    <w:rsid w:val="005F307B"/>
    <w:rsid w:val="005F4297"/>
    <w:rsid w:val="005F590E"/>
    <w:rsid w:val="005F77C2"/>
    <w:rsid w:val="00602636"/>
    <w:rsid w:val="006075AF"/>
    <w:rsid w:val="00612A73"/>
    <w:rsid w:val="0062156A"/>
    <w:rsid w:val="0062724C"/>
    <w:rsid w:val="00630F7E"/>
    <w:rsid w:val="006360F4"/>
    <w:rsid w:val="00641536"/>
    <w:rsid w:val="00651513"/>
    <w:rsid w:val="006747A6"/>
    <w:rsid w:val="006758B4"/>
    <w:rsid w:val="00675E50"/>
    <w:rsid w:val="00682E43"/>
    <w:rsid w:val="00685533"/>
    <w:rsid w:val="006871AA"/>
    <w:rsid w:val="00687BE7"/>
    <w:rsid w:val="00692F96"/>
    <w:rsid w:val="00695E26"/>
    <w:rsid w:val="0069758F"/>
    <w:rsid w:val="006975D6"/>
    <w:rsid w:val="006A653F"/>
    <w:rsid w:val="006A6AFF"/>
    <w:rsid w:val="006A7A2A"/>
    <w:rsid w:val="006C1C29"/>
    <w:rsid w:val="006D0199"/>
    <w:rsid w:val="006D3D41"/>
    <w:rsid w:val="006D6654"/>
    <w:rsid w:val="006E0AD3"/>
    <w:rsid w:val="006E2107"/>
    <w:rsid w:val="006E22E7"/>
    <w:rsid w:val="006E238C"/>
    <w:rsid w:val="006E645E"/>
    <w:rsid w:val="006F126F"/>
    <w:rsid w:val="006F23BE"/>
    <w:rsid w:val="006F2C18"/>
    <w:rsid w:val="006F52D2"/>
    <w:rsid w:val="00701F5D"/>
    <w:rsid w:val="00704E8F"/>
    <w:rsid w:val="007159ED"/>
    <w:rsid w:val="007168B4"/>
    <w:rsid w:val="00722537"/>
    <w:rsid w:val="00724570"/>
    <w:rsid w:val="0074294D"/>
    <w:rsid w:val="00742BB1"/>
    <w:rsid w:val="0074606B"/>
    <w:rsid w:val="00764F84"/>
    <w:rsid w:val="007676C6"/>
    <w:rsid w:val="007717FB"/>
    <w:rsid w:val="007728E8"/>
    <w:rsid w:val="00775B6B"/>
    <w:rsid w:val="007838E2"/>
    <w:rsid w:val="00784622"/>
    <w:rsid w:val="00792CB8"/>
    <w:rsid w:val="00796AE1"/>
    <w:rsid w:val="007A12F9"/>
    <w:rsid w:val="007B46D6"/>
    <w:rsid w:val="007B5B47"/>
    <w:rsid w:val="007C10D0"/>
    <w:rsid w:val="007C12DD"/>
    <w:rsid w:val="007C3DCF"/>
    <w:rsid w:val="007D13E0"/>
    <w:rsid w:val="007E057A"/>
    <w:rsid w:val="007E0E8D"/>
    <w:rsid w:val="007F3F57"/>
    <w:rsid w:val="00813FF3"/>
    <w:rsid w:val="00815715"/>
    <w:rsid w:val="0082068F"/>
    <w:rsid w:val="00821DBF"/>
    <w:rsid w:val="0083213F"/>
    <w:rsid w:val="008330A3"/>
    <w:rsid w:val="008338C0"/>
    <w:rsid w:val="008342F4"/>
    <w:rsid w:val="00834BB3"/>
    <w:rsid w:val="00837199"/>
    <w:rsid w:val="00840E74"/>
    <w:rsid w:val="008422B0"/>
    <w:rsid w:val="0084335D"/>
    <w:rsid w:val="0084356D"/>
    <w:rsid w:val="00844D39"/>
    <w:rsid w:val="00850DE9"/>
    <w:rsid w:val="008521BE"/>
    <w:rsid w:val="00854443"/>
    <w:rsid w:val="0086288B"/>
    <w:rsid w:val="008639C2"/>
    <w:rsid w:val="008650C3"/>
    <w:rsid w:val="00874750"/>
    <w:rsid w:val="00881711"/>
    <w:rsid w:val="00885FD8"/>
    <w:rsid w:val="0088661E"/>
    <w:rsid w:val="00887FB7"/>
    <w:rsid w:val="0089432F"/>
    <w:rsid w:val="008A10CF"/>
    <w:rsid w:val="008A4B0E"/>
    <w:rsid w:val="008A7723"/>
    <w:rsid w:val="008B65D8"/>
    <w:rsid w:val="008C210A"/>
    <w:rsid w:val="008C2FA8"/>
    <w:rsid w:val="008C47E2"/>
    <w:rsid w:val="008D3238"/>
    <w:rsid w:val="008D6BE1"/>
    <w:rsid w:val="008E016D"/>
    <w:rsid w:val="008E7C9A"/>
    <w:rsid w:val="008F0B68"/>
    <w:rsid w:val="00902D6A"/>
    <w:rsid w:val="009037A5"/>
    <w:rsid w:val="00907240"/>
    <w:rsid w:val="0092430D"/>
    <w:rsid w:val="0093100D"/>
    <w:rsid w:val="00933817"/>
    <w:rsid w:val="009339A9"/>
    <w:rsid w:val="00937F2E"/>
    <w:rsid w:val="00943BB5"/>
    <w:rsid w:val="00945CA8"/>
    <w:rsid w:val="009512D3"/>
    <w:rsid w:val="009542F2"/>
    <w:rsid w:val="009550F8"/>
    <w:rsid w:val="00964B9C"/>
    <w:rsid w:val="00971D90"/>
    <w:rsid w:val="00977406"/>
    <w:rsid w:val="00982231"/>
    <w:rsid w:val="009861A8"/>
    <w:rsid w:val="00986DC9"/>
    <w:rsid w:val="00987F90"/>
    <w:rsid w:val="00996516"/>
    <w:rsid w:val="009A3B34"/>
    <w:rsid w:val="009B022E"/>
    <w:rsid w:val="009B4949"/>
    <w:rsid w:val="009B5F2D"/>
    <w:rsid w:val="009C2DD1"/>
    <w:rsid w:val="009C2E95"/>
    <w:rsid w:val="009C3C43"/>
    <w:rsid w:val="009D13EA"/>
    <w:rsid w:val="009D1CFD"/>
    <w:rsid w:val="009D381E"/>
    <w:rsid w:val="009D5AC9"/>
    <w:rsid w:val="009E0AD6"/>
    <w:rsid w:val="009F2A55"/>
    <w:rsid w:val="009F3DDA"/>
    <w:rsid w:val="009F6626"/>
    <w:rsid w:val="00A032E8"/>
    <w:rsid w:val="00A0426D"/>
    <w:rsid w:val="00A13825"/>
    <w:rsid w:val="00A1500D"/>
    <w:rsid w:val="00A15CC6"/>
    <w:rsid w:val="00A23518"/>
    <w:rsid w:val="00A5378B"/>
    <w:rsid w:val="00A603F1"/>
    <w:rsid w:val="00A66AAC"/>
    <w:rsid w:val="00A73661"/>
    <w:rsid w:val="00A80922"/>
    <w:rsid w:val="00A839E2"/>
    <w:rsid w:val="00A85674"/>
    <w:rsid w:val="00A9182D"/>
    <w:rsid w:val="00A96431"/>
    <w:rsid w:val="00AA3405"/>
    <w:rsid w:val="00AA61B8"/>
    <w:rsid w:val="00AA777A"/>
    <w:rsid w:val="00AB5CDA"/>
    <w:rsid w:val="00AC11AE"/>
    <w:rsid w:val="00AC153C"/>
    <w:rsid w:val="00AD250B"/>
    <w:rsid w:val="00AD5CCA"/>
    <w:rsid w:val="00AE2EA5"/>
    <w:rsid w:val="00AE6654"/>
    <w:rsid w:val="00AF056A"/>
    <w:rsid w:val="00AF4452"/>
    <w:rsid w:val="00AF4FD0"/>
    <w:rsid w:val="00AF77AB"/>
    <w:rsid w:val="00B045EB"/>
    <w:rsid w:val="00B11A05"/>
    <w:rsid w:val="00B11FC5"/>
    <w:rsid w:val="00B143B4"/>
    <w:rsid w:val="00B32C6B"/>
    <w:rsid w:val="00B45902"/>
    <w:rsid w:val="00B50C5F"/>
    <w:rsid w:val="00B54973"/>
    <w:rsid w:val="00B57450"/>
    <w:rsid w:val="00B62637"/>
    <w:rsid w:val="00B75B1F"/>
    <w:rsid w:val="00B93AA7"/>
    <w:rsid w:val="00B9682E"/>
    <w:rsid w:val="00BB17E0"/>
    <w:rsid w:val="00BB27D4"/>
    <w:rsid w:val="00BB2D95"/>
    <w:rsid w:val="00BB48A5"/>
    <w:rsid w:val="00BC03CC"/>
    <w:rsid w:val="00BD0958"/>
    <w:rsid w:val="00BD3C87"/>
    <w:rsid w:val="00BD7B87"/>
    <w:rsid w:val="00BF045E"/>
    <w:rsid w:val="00BF0FBA"/>
    <w:rsid w:val="00BF1A18"/>
    <w:rsid w:val="00BF35C5"/>
    <w:rsid w:val="00BF559A"/>
    <w:rsid w:val="00C05BE5"/>
    <w:rsid w:val="00C143A5"/>
    <w:rsid w:val="00C2232D"/>
    <w:rsid w:val="00C26726"/>
    <w:rsid w:val="00C32D23"/>
    <w:rsid w:val="00C3697F"/>
    <w:rsid w:val="00C44F5A"/>
    <w:rsid w:val="00C5160B"/>
    <w:rsid w:val="00C54DA9"/>
    <w:rsid w:val="00C56602"/>
    <w:rsid w:val="00C61287"/>
    <w:rsid w:val="00C6206C"/>
    <w:rsid w:val="00C628EE"/>
    <w:rsid w:val="00C63C4D"/>
    <w:rsid w:val="00C64984"/>
    <w:rsid w:val="00C66503"/>
    <w:rsid w:val="00C66A90"/>
    <w:rsid w:val="00C70291"/>
    <w:rsid w:val="00C842A4"/>
    <w:rsid w:val="00C92C87"/>
    <w:rsid w:val="00C9487F"/>
    <w:rsid w:val="00C95D49"/>
    <w:rsid w:val="00C95F3A"/>
    <w:rsid w:val="00CA44E7"/>
    <w:rsid w:val="00CA7C8A"/>
    <w:rsid w:val="00CB06BF"/>
    <w:rsid w:val="00CB1867"/>
    <w:rsid w:val="00CB7EDD"/>
    <w:rsid w:val="00CC3451"/>
    <w:rsid w:val="00CC5478"/>
    <w:rsid w:val="00CC5767"/>
    <w:rsid w:val="00CD065D"/>
    <w:rsid w:val="00CD68F5"/>
    <w:rsid w:val="00CE0B2C"/>
    <w:rsid w:val="00CE1EE1"/>
    <w:rsid w:val="00CE7523"/>
    <w:rsid w:val="00CF02B1"/>
    <w:rsid w:val="00CF54AD"/>
    <w:rsid w:val="00D02DB5"/>
    <w:rsid w:val="00D02E15"/>
    <w:rsid w:val="00D03847"/>
    <w:rsid w:val="00D10FF2"/>
    <w:rsid w:val="00D128A1"/>
    <w:rsid w:val="00D16141"/>
    <w:rsid w:val="00D20665"/>
    <w:rsid w:val="00D2443F"/>
    <w:rsid w:val="00D2723F"/>
    <w:rsid w:val="00D3089D"/>
    <w:rsid w:val="00D41351"/>
    <w:rsid w:val="00D457DF"/>
    <w:rsid w:val="00D471B8"/>
    <w:rsid w:val="00D47D14"/>
    <w:rsid w:val="00D5122F"/>
    <w:rsid w:val="00D51849"/>
    <w:rsid w:val="00D65F73"/>
    <w:rsid w:val="00D67264"/>
    <w:rsid w:val="00D76E50"/>
    <w:rsid w:val="00D81F02"/>
    <w:rsid w:val="00D837C8"/>
    <w:rsid w:val="00D848C9"/>
    <w:rsid w:val="00DA07F9"/>
    <w:rsid w:val="00DA1E0A"/>
    <w:rsid w:val="00DA2919"/>
    <w:rsid w:val="00DA621A"/>
    <w:rsid w:val="00DA6706"/>
    <w:rsid w:val="00DB1290"/>
    <w:rsid w:val="00DB7D30"/>
    <w:rsid w:val="00DC2EA4"/>
    <w:rsid w:val="00DC3308"/>
    <w:rsid w:val="00DC3783"/>
    <w:rsid w:val="00DC6023"/>
    <w:rsid w:val="00DD3DE3"/>
    <w:rsid w:val="00DD409B"/>
    <w:rsid w:val="00DE4252"/>
    <w:rsid w:val="00DE55A0"/>
    <w:rsid w:val="00DE6365"/>
    <w:rsid w:val="00E02529"/>
    <w:rsid w:val="00E02AE4"/>
    <w:rsid w:val="00E03840"/>
    <w:rsid w:val="00E05107"/>
    <w:rsid w:val="00E068BF"/>
    <w:rsid w:val="00E16862"/>
    <w:rsid w:val="00E20FF5"/>
    <w:rsid w:val="00E268C0"/>
    <w:rsid w:val="00E3278E"/>
    <w:rsid w:val="00E327D2"/>
    <w:rsid w:val="00E40B01"/>
    <w:rsid w:val="00E533C8"/>
    <w:rsid w:val="00E5505B"/>
    <w:rsid w:val="00E5740B"/>
    <w:rsid w:val="00E623B1"/>
    <w:rsid w:val="00E638C6"/>
    <w:rsid w:val="00E73042"/>
    <w:rsid w:val="00E762E2"/>
    <w:rsid w:val="00EA2D53"/>
    <w:rsid w:val="00EB2EC2"/>
    <w:rsid w:val="00EB376E"/>
    <w:rsid w:val="00EB4B38"/>
    <w:rsid w:val="00EC26F7"/>
    <w:rsid w:val="00ED2FD5"/>
    <w:rsid w:val="00ED3D99"/>
    <w:rsid w:val="00ED6AC4"/>
    <w:rsid w:val="00EE0E6E"/>
    <w:rsid w:val="00EE2E6C"/>
    <w:rsid w:val="00F152AF"/>
    <w:rsid w:val="00F17308"/>
    <w:rsid w:val="00F4769B"/>
    <w:rsid w:val="00F5726B"/>
    <w:rsid w:val="00F61338"/>
    <w:rsid w:val="00F6312E"/>
    <w:rsid w:val="00F64353"/>
    <w:rsid w:val="00F73986"/>
    <w:rsid w:val="00F7531F"/>
    <w:rsid w:val="00F772F7"/>
    <w:rsid w:val="00F870FC"/>
    <w:rsid w:val="00F90D0F"/>
    <w:rsid w:val="00F91551"/>
    <w:rsid w:val="00F91B63"/>
    <w:rsid w:val="00FA2A4D"/>
    <w:rsid w:val="00FA2FCD"/>
    <w:rsid w:val="00FB0F8C"/>
    <w:rsid w:val="00FB425F"/>
    <w:rsid w:val="00FB58BA"/>
    <w:rsid w:val="00FC1E6F"/>
    <w:rsid w:val="00FC572E"/>
    <w:rsid w:val="00FD4343"/>
    <w:rsid w:val="00FE439D"/>
    <w:rsid w:val="00FF65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hapeDefaults>
    <o:shapedefaults v:ext="edit" spidmax="4097"/>
    <o:shapelayout v:ext="edit">
      <o:idmap v:ext="edit" data="1"/>
    </o:shapelayout>
  </w:shapeDefaults>
  <w:decimalSymbol w:val="."/>
  <w:listSeparator w:val=","/>
  <w14:docId w14:val="28CC778B"/>
  <w15:docId w15:val="{C5A39C94-FE53-4506-AA17-EC13A56DF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1AE"/>
    <w:rPr>
      <w:sz w:val="24"/>
      <w:lang w:eastAsia="en-US"/>
    </w:rPr>
  </w:style>
  <w:style w:type="paragraph" w:styleId="Heading6">
    <w:name w:val="heading 6"/>
    <w:basedOn w:val="Normal"/>
    <w:next w:val="Normal"/>
    <w:qFormat/>
    <w:rsid w:val="00AC11AE"/>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R">
    <w:name w:val="HR"/>
    <w:aliases w:val="Regulation Heading"/>
    <w:basedOn w:val="Normal"/>
    <w:next w:val="R1"/>
    <w:rsid w:val="00AC11AE"/>
    <w:pPr>
      <w:keepNext/>
      <w:tabs>
        <w:tab w:val="left" w:pos="540"/>
      </w:tabs>
      <w:autoSpaceDE w:val="0"/>
      <w:autoSpaceDN w:val="0"/>
      <w:spacing w:before="480" w:line="240" w:lineRule="atLeast"/>
      <w:jc w:val="both"/>
    </w:pPr>
    <w:rPr>
      <w:rFonts w:ascii="Times" w:hAnsi="Times" w:cs="Times"/>
      <w:b/>
      <w:bCs/>
      <w:sz w:val="26"/>
      <w:szCs w:val="26"/>
      <w:lang w:eastAsia="en-AU"/>
    </w:rPr>
  </w:style>
  <w:style w:type="paragraph" w:customStyle="1" w:styleId="R1">
    <w:name w:val="R1"/>
    <w:aliases w:val="1. or 1.(1)"/>
    <w:basedOn w:val="Normal"/>
    <w:next w:val="P1"/>
    <w:rsid w:val="00AC11AE"/>
    <w:pPr>
      <w:tabs>
        <w:tab w:val="right" w:pos="1080"/>
        <w:tab w:val="left" w:pos="1260"/>
        <w:tab w:val="left" w:pos="1800"/>
      </w:tabs>
      <w:autoSpaceDE w:val="0"/>
      <w:autoSpaceDN w:val="0"/>
      <w:spacing w:before="120"/>
      <w:jc w:val="both"/>
    </w:pPr>
    <w:rPr>
      <w:rFonts w:ascii="Times" w:hAnsi="Times" w:cs="Times"/>
      <w:sz w:val="26"/>
      <w:szCs w:val="26"/>
      <w:lang w:eastAsia="en-AU"/>
    </w:rPr>
  </w:style>
  <w:style w:type="paragraph" w:customStyle="1" w:styleId="P1">
    <w:name w:val="P1"/>
    <w:aliases w:val="(a)"/>
    <w:basedOn w:val="Normal"/>
    <w:rsid w:val="00AC11AE"/>
    <w:pPr>
      <w:tabs>
        <w:tab w:val="right" w:pos="1080"/>
      </w:tabs>
      <w:autoSpaceDE w:val="0"/>
      <w:autoSpaceDN w:val="0"/>
      <w:spacing w:before="40" w:line="260" w:lineRule="atLeast"/>
      <w:ind w:left="1276" w:hanging="1280"/>
      <w:jc w:val="both"/>
    </w:pPr>
    <w:rPr>
      <w:rFonts w:ascii="Times" w:hAnsi="Times" w:cs="Times"/>
      <w:sz w:val="26"/>
      <w:szCs w:val="26"/>
      <w:lang w:eastAsia="en-AU"/>
    </w:rPr>
  </w:style>
  <w:style w:type="paragraph" w:customStyle="1" w:styleId="P2">
    <w:name w:val="P2"/>
    <w:aliases w:val="(i)"/>
    <w:basedOn w:val="Normal"/>
    <w:rsid w:val="00AC11AE"/>
    <w:pPr>
      <w:tabs>
        <w:tab w:val="right" w:pos="1800"/>
      </w:tabs>
      <w:autoSpaceDE w:val="0"/>
      <w:autoSpaceDN w:val="0"/>
      <w:spacing w:before="40" w:line="260" w:lineRule="atLeast"/>
      <w:ind w:left="1985" w:hanging="1980"/>
      <w:jc w:val="both"/>
    </w:pPr>
    <w:rPr>
      <w:rFonts w:ascii="Times" w:hAnsi="Times" w:cs="Times"/>
      <w:sz w:val="26"/>
      <w:szCs w:val="26"/>
      <w:lang w:eastAsia="en-AU"/>
    </w:rPr>
  </w:style>
  <w:style w:type="paragraph" w:styleId="Title">
    <w:name w:val="Title"/>
    <w:basedOn w:val="Normal"/>
    <w:next w:val="Normal"/>
    <w:qFormat/>
    <w:rsid w:val="00AC11AE"/>
    <w:pPr>
      <w:autoSpaceDE w:val="0"/>
      <w:autoSpaceDN w:val="0"/>
      <w:spacing w:before="480"/>
      <w:jc w:val="center"/>
    </w:pPr>
    <w:rPr>
      <w:rFonts w:ascii="Times" w:hAnsi="Times" w:cs="Times"/>
      <w:b/>
      <w:bCs/>
      <w:sz w:val="36"/>
      <w:szCs w:val="36"/>
      <w:lang w:eastAsia="en-AU"/>
    </w:rPr>
  </w:style>
  <w:style w:type="paragraph" w:customStyle="1" w:styleId="HP">
    <w:name w:val="HP"/>
    <w:aliases w:val="Part Heading"/>
    <w:basedOn w:val="Normal"/>
    <w:next w:val="Normal"/>
    <w:rsid w:val="00AC11AE"/>
    <w:pPr>
      <w:keepNext/>
      <w:autoSpaceDE w:val="0"/>
      <w:autoSpaceDN w:val="0"/>
      <w:spacing w:before="480"/>
      <w:jc w:val="center"/>
    </w:pPr>
    <w:rPr>
      <w:rFonts w:ascii="Times" w:hAnsi="Times" w:cs="Times"/>
      <w:b/>
      <w:bCs/>
      <w:sz w:val="26"/>
      <w:szCs w:val="26"/>
      <w:lang w:eastAsia="en-AU"/>
    </w:rPr>
  </w:style>
  <w:style w:type="paragraph" w:customStyle="1" w:styleId="definition">
    <w:name w:val="definition"/>
    <w:basedOn w:val="Normal"/>
    <w:rsid w:val="00AC11AE"/>
    <w:pPr>
      <w:tabs>
        <w:tab w:val="right" w:pos="1080"/>
        <w:tab w:val="left" w:pos="1260"/>
        <w:tab w:val="left" w:pos="1800"/>
      </w:tabs>
      <w:autoSpaceDE w:val="0"/>
      <w:autoSpaceDN w:val="0"/>
      <w:spacing w:before="40"/>
      <w:jc w:val="both"/>
    </w:pPr>
    <w:rPr>
      <w:rFonts w:ascii="Times" w:hAnsi="Times" w:cs="Times"/>
      <w:sz w:val="26"/>
      <w:szCs w:val="26"/>
      <w:lang w:eastAsia="en-AU"/>
    </w:rPr>
  </w:style>
  <w:style w:type="character" w:styleId="CommentReference">
    <w:name w:val="annotation reference"/>
    <w:semiHidden/>
    <w:rsid w:val="00AC11AE"/>
    <w:rPr>
      <w:sz w:val="16"/>
      <w:szCs w:val="16"/>
    </w:rPr>
  </w:style>
  <w:style w:type="paragraph" w:styleId="CommentText">
    <w:name w:val="annotation text"/>
    <w:basedOn w:val="Normal"/>
    <w:link w:val="CommentTextChar"/>
    <w:semiHidden/>
    <w:rsid w:val="00AC11AE"/>
    <w:rPr>
      <w:sz w:val="20"/>
    </w:rPr>
  </w:style>
  <w:style w:type="paragraph" w:styleId="CommentSubject">
    <w:name w:val="annotation subject"/>
    <w:basedOn w:val="CommentText"/>
    <w:next w:val="CommentText"/>
    <w:semiHidden/>
    <w:rsid w:val="00AC11AE"/>
    <w:rPr>
      <w:b/>
      <w:bCs/>
    </w:rPr>
  </w:style>
  <w:style w:type="paragraph" w:styleId="BalloonText">
    <w:name w:val="Balloon Text"/>
    <w:basedOn w:val="Normal"/>
    <w:semiHidden/>
    <w:rsid w:val="00AC11AE"/>
    <w:rPr>
      <w:rFonts w:ascii="Tahoma" w:hAnsi="Tahoma" w:cs="Tahoma"/>
      <w:sz w:val="16"/>
      <w:szCs w:val="16"/>
    </w:rPr>
  </w:style>
  <w:style w:type="paragraph" w:styleId="Header">
    <w:name w:val="header"/>
    <w:basedOn w:val="Normal"/>
    <w:rsid w:val="00AC11AE"/>
    <w:pPr>
      <w:tabs>
        <w:tab w:val="center" w:pos="4153"/>
        <w:tab w:val="right" w:pos="8306"/>
      </w:tabs>
    </w:pPr>
  </w:style>
  <w:style w:type="paragraph" w:styleId="Footer">
    <w:name w:val="footer"/>
    <w:basedOn w:val="Normal"/>
    <w:link w:val="FooterChar"/>
    <w:uiPriority w:val="99"/>
    <w:rsid w:val="00AC11AE"/>
    <w:pPr>
      <w:tabs>
        <w:tab w:val="center" w:pos="4153"/>
        <w:tab w:val="right" w:pos="8306"/>
      </w:tabs>
    </w:pPr>
  </w:style>
  <w:style w:type="paragraph" w:customStyle="1" w:styleId="hr0">
    <w:name w:val="hr"/>
    <w:basedOn w:val="Normal"/>
    <w:rsid w:val="00AC11AE"/>
    <w:pPr>
      <w:keepNext/>
      <w:spacing w:before="360"/>
      <w:ind w:left="964" w:hanging="964"/>
    </w:pPr>
    <w:rPr>
      <w:rFonts w:ascii="Arial" w:hAnsi="Arial" w:cs="Arial"/>
      <w:b/>
      <w:bCs/>
      <w:szCs w:val="24"/>
      <w:lang w:eastAsia="en-AU"/>
    </w:rPr>
  </w:style>
  <w:style w:type="paragraph" w:customStyle="1" w:styleId="r10">
    <w:name w:val="r1"/>
    <w:basedOn w:val="Normal"/>
    <w:rsid w:val="00AC11AE"/>
    <w:pPr>
      <w:spacing w:before="120" w:line="260" w:lineRule="atLeast"/>
      <w:ind w:left="964" w:hanging="964"/>
      <w:jc w:val="both"/>
    </w:pPr>
    <w:rPr>
      <w:szCs w:val="24"/>
      <w:lang w:eastAsia="en-AU"/>
    </w:rPr>
  </w:style>
  <w:style w:type="paragraph" w:styleId="DocumentMap">
    <w:name w:val="Document Map"/>
    <w:basedOn w:val="Normal"/>
    <w:semiHidden/>
    <w:rsid w:val="00AC11AE"/>
    <w:pPr>
      <w:shd w:val="clear" w:color="auto" w:fill="000080"/>
    </w:pPr>
    <w:rPr>
      <w:rFonts w:ascii="Tahoma" w:hAnsi="Tahoma" w:cs="Tahoma"/>
      <w:sz w:val="20"/>
    </w:rPr>
  </w:style>
  <w:style w:type="paragraph" w:styleId="BodyText">
    <w:name w:val="Body Text"/>
    <w:basedOn w:val="Normal"/>
    <w:link w:val="BodyTextChar"/>
    <w:qFormat/>
    <w:rsid w:val="002B43FE"/>
    <w:pPr>
      <w:spacing w:after="240" w:line="240" w:lineRule="atLeast"/>
    </w:pPr>
    <w:rPr>
      <w:rFonts w:ascii="Arial" w:hAnsi="Arial"/>
      <w:color w:val="000000"/>
      <w:sz w:val="20"/>
    </w:rPr>
  </w:style>
  <w:style w:type="character" w:customStyle="1" w:styleId="BodyTextChar">
    <w:name w:val="Body Text Char"/>
    <w:link w:val="BodyText"/>
    <w:rsid w:val="002B43FE"/>
    <w:rPr>
      <w:rFonts w:ascii="Arial" w:hAnsi="Arial"/>
      <w:color w:val="000000"/>
      <w:lang w:eastAsia="en-US"/>
    </w:rPr>
  </w:style>
  <w:style w:type="character" w:styleId="Hyperlink">
    <w:name w:val="Hyperlink"/>
    <w:uiPriority w:val="99"/>
    <w:unhideWhenUsed/>
    <w:rsid w:val="00C66A90"/>
    <w:rPr>
      <w:color w:val="0000FF"/>
      <w:u w:val="single"/>
    </w:rPr>
  </w:style>
  <w:style w:type="paragraph" w:styleId="Revision">
    <w:name w:val="Revision"/>
    <w:hidden/>
    <w:uiPriority w:val="99"/>
    <w:semiHidden/>
    <w:rsid w:val="00C66A90"/>
    <w:rPr>
      <w:sz w:val="24"/>
      <w:lang w:eastAsia="en-US"/>
    </w:rPr>
  </w:style>
  <w:style w:type="character" w:customStyle="1" w:styleId="FooterChar">
    <w:name w:val="Footer Char"/>
    <w:link w:val="Footer"/>
    <w:uiPriority w:val="99"/>
    <w:rsid w:val="006A653F"/>
    <w:rPr>
      <w:sz w:val="24"/>
      <w:lang w:eastAsia="en-US"/>
    </w:rPr>
  </w:style>
  <w:style w:type="character" w:customStyle="1" w:styleId="CommentTextChar">
    <w:name w:val="Comment Text Char"/>
    <w:link w:val="CommentText"/>
    <w:semiHidden/>
    <w:rsid w:val="004A716C"/>
    <w:rPr>
      <w:lang w:eastAsia="en-US"/>
    </w:rPr>
  </w:style>
  <w:style w:type="paragraph" w:styleId="ListParagraph">
    <w:name w:val="List Paragraph"/>
    <w:basedOn w:val="Normal"/>
    <w:uiPriority w:val="34"/>
    <w:qFormat/>
    <w:rsid w:val="00F61338"/>
    <w:pPr>
      <w:ind w:left="720"/>
    </w:pPr>
    <w:rPr>
      <w:rFonts w:ascii="Calibri" w:eastAsiaTheme="minorHAnsi" w:hAnsi="Calibri"/>
      <w:sz w:val="22"/>
      <w:szCs w:val="22"/>
    </w:rPr>
  </w:style>
  <w:style w:type="paragraph" w:customStyle="1" w:styleId="Definition0">
    <w:name w:val="Definition"/>
    <w:aliases w:val="dd"/>
    <w:basedOn w:val="Normal"/>
    <w:rsid w:val="004B5870"/>
    <w:pPr>
      <w:spacing w:before="180"/>
      <w:ind w:left="1134"/>
    </w:pPr>
    <w:rPr>
      <w:sz w:val="22"/>
      <w:lang w:eastAsia="en-AU"/>
    </w:rPr>
  </w:style>
  <w:style w:type="paragraph" w:customStyle="1" w:styleId="paragraph">
    <w:name w:val="paragraph"/>
    <w:aliases w:val="a"/>
    <w:basedOn w:val="Normal"/>
    <w:link w:val="paragraphChar"/>
    <w:rsid w:val="004B5870"/>
    <w:pPr>
      <w:tabs>
        <w:tab w:val="right" w:pos="1531"/>
      </w:tabs>
      <w:spacing w:before="40"/>
      <w:ind w:left="1644" w:hanging="1644"/>
    </w:pPr>
    <w:rPr>
      <w:sz w:val="22"/>
      <w:lang w:eastAsia="en-AU"/>
    </w:rPr>
  </w:style>
  <w:style w:type="character" w:customStyle="1" w:styleId="paragraphChar">
    <w:name w:val="paragraph Char"/>
    <w:aliases w:val="a Char"/>
    <w:basedOn w:val="DefaultParagraphFont"/>
    <w:link w:val="paragraph"/>
    <w:rsid w:val="004B5870"/>
    <w:rPr>
      <w:sz w:val="22"/>
    </w:rPr>
  </w:style>
  <w:style w:type="paragraph" w:customStyle="1" w:styleId="subsection">
    <w:name w:val="subsection"/>
    <w:aliases w:val="ss"/>
    <w:basedOn w:val="Normal"/>
    <w:link w:val="subsectionChar"/>
    <w:rsid w:val="00792CB8"/>
    <w:pPr>
      <w:tabs>
        <w:tab w:val="right" w:pos="1021"/>
      </w:tabs>
      <w:spacing w:before="180"/>
      <w:ind w:left="1134" w:hanging="1134"/>
    </w:pPr>
    <w:rPr>
      <w:sz w:val="22"/>
      <w:lang w:eastAsia="en-AU"/>
    </w:rPr>
  </w:style>
  <w:style w:type="paragraph" w:customStyle="1" w:styleId="paragraphsub">
    <w:name w:val="paragraph(sub)"/>
    <w:aliases w:val="aa"/>
    <w:basedOn w:val="Normal"/>
    <w:rsid w:val="00792CB8"/>
    <w:pPr>
      <w:tabs>
        <w:tab w:val="right" w:pos="1985"/>
      </w:tabs>
      <w:spacing w:before="40"/>
      <w:ind w:left="2098" w:hanging="2098"/>
    </w:pPr>
    <w:rPr>
      <w:sz w:val="22"/>
      <w:lang w:eastAsia="en-AU"/>
    </w:rPr>
  </w:style>
  <w:style w:type="character" w:customStyle="1" w:styleId="subsectionChar">
    <w:name w:val="subsection Char"/>
    <w:aliases w:val="ss Char"/>
    <w:basedOn w:val="DefaultParagraphFont"/>
    <w:link w:val="subsection"/>
    <w:rsid w:val="00792CB8"/>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59589">
      <w:bodyDiv w:val="1"/>
      <w:marLeft w:val="0"/>
      <w:marRight w:val="0"/>
      <w:marTop w:val="0"/>
      <w:marBottom w:val="0"/>
      <w:divBdr>
        <w:top w:val="none" w:sz="0" w:space="0" w:color="auto"/>
        <w:left w:val="none" w:sz="0" w:space="0" w:color="auto"/>
        <w:bottom w:val="none" w:sz="0" w:space="0" w:color="auto"/>
        <w:right w:val="none" w:sz="0" w:space="0" w:color="auto"/>
      </w:divBdr>
    </w:div>
    <w:div w:id="408234541">
      <w:bodyDiv w:val="1"/>
      <w:marLeft w:val="0"/>
      <w:marRight w:val="0"/>
      <w:marTop w:val="0"/>
      <w:marBottom w:val="0"/>
      <w:divBdr>
        <w:top w:val="none" w:sz="0" w:space="0" w:color="auto"/>
        <w:left w:val="none" w:sz="0" w:space="0" w:color="auto"/>
        <w:bottom w:val="none" w:sz="0" w:space="0" w:color="auto"/>
        <w:right w:val="none" w:sz="0" w:space="0" w:color="auto"/>
      </w:divBdr>
    </w:div>
    <w:div w:id="470711059">
      <w:bodyDiv w:val="1"/>
      <w:marLeft w:val="0"/>
      <w:marRight w:val="0"/>
      <w:marTop w:val="0"/>
      <w:marBottom w:val="0"/>
      <w:divBdr>
        <w:top w:val="none" w:sz="0" w:space="0" w:color="auto"/>
        <w:left w:val="none" w:sz="0" w:space="0" w:color="auto"/>
        <w:bottom w:val="none" w:sz="0" w:space="0" w:color="auto"/>
        <w:right w:val="none" w:sz="0" w:space="0" w:color="auto"/>
      </w:divBdr>
      <w:divsChild>
        <w:div w:id="1990480569">
          <w:marLeft w:val="0"/>
          <w:marRight w:val="0"/>
          <w:marTop w:val="0"/>
          <w:marBottom w:val="0"/>
          <w:divBdr>
            <w:top w:val="none" w:sz="0" w:space="0" w:color="auto"/>
            <w:left w:val="none" w:sz="0" w:space="0" w:color="auto"/>
            <w:bottom w:val="none" w:sz="0" w:space="0" w:color="auto"/>
            <w:right w:val="none" w:sz="0" w:space="0" w:color="auto"/>
          </w:divBdr>
          <w:divsChild>
            <w:div w:id="72970031">
              <w:marLeft w:val="0"/>
              <w:marRight w:val="0"/>
              <w:marTop w:val="0"/>
              <w:marBottom w:val="0"/>
              <w:divBdr>
                <w:top w:val="none" w:sz="0" w:space="0" w:color="auto"/>
                <w:left w:val="none" w:sz="0" w:space="0" w:color="auto"/>
                <w:bottom w:val="none" w:sz="0" w:space="0" w:color="auto"/>
                <w:right w:val="none" w:sz="0" w:space="0" w:color="auto"/>
              </w:divBdr>
              <w:divsChild>
                <w:div w:id="1925992217">
                  <w:marLeft w:val="0"/>
                  <w:marRight w:val="0"/>
                  <w:marTop w:val="0"/>
                  <w:marBottom w:val="0"/>
                  <w:divBdr>
                    <w:top w:val="none" w:sz="0" w:space="0" w:color="auto"/>
                    <w:left w:val="none" w:sz="0" w:space="0" w:color="auto"/>
                    <w:bottom w:val="none" w:sz="0" w:space="0" w:color="auto"/>
                    <w:right w:val="none" w:sz="0" w:space="0" w:color="auto"/>
                  </w:divBdr>
                  <w:divsChild>
                    <w:div w:id="499085393">
                      <w:marLeft w:val="0"/>
                      <w:marRight w:val="0"/>
                      <w:marTop w:val="0"/>
                      <w:marBottom w:val="0"/>
                      <w:divBdr>
                        <w:top w:val="none" w:sz="0" w:space="0" w:color="auto"/>
                        <w:left w:val="none" w:sz="0" w:space="0" w:color="auto"/>
                        <w:bottom w:val="none" w:sz="0" w:space="0" w:color="auto"/>
                        <w:right w:val="none" w:sz="0" w:space="0" w:color="auto"/>
                      </w:divBdr>
                      <w:divsChild>
                        <w:div w:id="1310093971">
                          <w:marLeft w:val="0"/>
                          <w:marRight w:val="0"/>
                          <w:marTop w:val="0"/>
                          <w:marBottom w:val="0"/>
                          <w:divBdr>
                            <w:top w:val="none" w:sz="0" w:space="0" w:color="auto"/>
                            <w:left w:val="none" w:sz="0" w:space="0" w:color="auto"/>
                            <w:bottom w:val="none" w:sz="0" w:space="0" w:color="auto"/>
                            <w:right w:val="none" w:sz="0" w:space="0" w:color="auto"/>
                          </w:divBdr>
                          <w:divsChild>
                            <w:div w:id="11176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9028922">
      <w:bodyDiv w:val="1"/>
      <w:marLeft w:val="0"/>
      <w:marRight w:val="0"/>
      <w:marTop w:val="0"/>
      <w:marBottom w:val="0"/>
      <w:divBdr>
        <w:top w:val="none" w:sz="0" w:space="0" w:color="auto"/>
        <w:left w:val="none" w:sz="0" w:space="0" w:color="auto"/>
        <w:bottom w:val="none" w:sz="0" w:space="0" w:color="auto"/>
        <w:right w:val="none" w:sz="0" w:space="0" w:color="auto"/>
      </w:divBdr>
      <w:divsChild>
        <w:div w:id="1319111115">
          <w:marLeft w:val="0"/>
          <w:marRight w:val="0"/>
          <w:marTop w:val="0"/>
          <w:marBottom w:val="0"/>
          <w:divBdr>
            <w:top w:val="none" w:sz="0" w:space="0" w:color="auto"/>
            <w:left w:val="none" w:sz="0" w:space="0" w:color="auto"/>
            <w:bottom w:val="none" w:sz="0" w:space="0" w:color="auto"/>
            <w:right w:val="none" w:sz="0" w:space="0" w:color="auto"/>
          </w:divBdr>
          <w:divsChild>
            <w:div w:id="869219678">
              <w:marLeft w:val="0"/>
              <w:marRight w:val="0"/>
              <w:marTop w:val="0"/>
              <w:marBottom w:val="0"/>
              <w:divBdr>
                <w:top w:val="none" w:sz="0" w:space="0" w:color="auto"/>
                <w:left w:val="none" w:sz="0" w:space="0" w:color="auto"/>
                <w:bottom w:val="none" w:sz="0" w:space="0" w:color="auto"/>
                <w:right w:val="none" w:sz="0" w:space="0" w:color="auto"/>
              </w:divBdr>
              <w:divsChild>
                <w:div w:id="1715620547">
                  <w:marLeft w:val="0"/>
                  <w:marRight w:val="0"/>
                  <w:marTop w:val="0"/>
                  <w:marBottom w:val="0"/>
                  <w:divBdr>
                    <w:top w:val="none" w:sz="0" w:space="0" w:color="auto"/>
                    <w:left w:val="none" w:sz="0" w:space="0" w:color="auto"/>
                    <w:bottom w:val="none" w:sz="0" w:space="0" w:color="auto"/>
                    <w:right w:val="none" w:sz="0" w:space="0" w:color="auto"/>
                  </w:divBdr>
                  <w:divsChild>
                    <w:div w:id="1816948997">
                      <w:marLeft w:val="0"/>
                      <w:marRight w:val="0"/>
                      <w:marTop w:val="0"/>
                      <w:marBottom w:val="0"/>
                      <w:divBdr>
                        <w:top w:val="none" w:sz="0" w:space="0" w:color="auto"/>
                        <w:left w:val="none" w:sz="0" w:space="0" w:color="auto"/>
                        <w:bottom w:val="none" w:sz="0" w:space="0" w:color="auto"/>
                        <w:right w:val="none" w:sz="0" w:space="0" w:color="auto"/>
                      </w:divBdr>
                      <w:divsChild>
                        <w:div w:id="719205045">
                          <w:marLeft w:val="0"/>
                          <w:marRight w:val="0"/>
                          <w:marTop w:val="0"/>
                          <w:marBottom w:val="0"/>
                          <w:divBdr>
                            <w:top w:val="single" w:sz="6" w:space="0" w:color="828282"/>
                            <w:left w:val="single" w:sz="6" w:space="0" w:color="828282"/>
                            <w:bottom w:val="single" w:sz="6" w:space="0" w:color="828282"/>
                            <w:right w:val="single" w:sz="6" w:space="0" w:color="828282"/>
                          </w:divBdr>
                          <w:divsChild>
                            <w:div w:id="703020711">
                              <w:marLeft w:val="0"/>
                              <w:marRight w:val="0"/>
                              <w:marTop w:val="0"/>
                              <w:marBottom w:val="0"/>
                              <w:divBdr>
                                <w:top w:val="none" w:sz="0" w:space="0" w:color="auto"/>
                                <w:left w:val="none" w:sz="0" w:space="0" w:color="auto"/>
                                <w:bottom w:val="none" w:sz="0" w:space="0" w:color="auto"/>
                                <w:right w:val="none" w:sz="0" w:space="0" w:color="auto"/>
                              </w:divBdr>
                              <w:divsChild>
                                <w:div w:id="737753270">
                                  <w:marLeft w:val="0"/>
                                  <w:marRight w:val="0"/>
                                  <w:marTop w:val="0"/>
                                  <w:marBottom w:val="0"/>
                                  <w:divBdr>
                                    <w:top w:val="none" w:sz="0" w:space="0" w:color="auto"/>
                                    <w:left w:val="none" w:sz="0" w:space="0" w:color="auto"/>
                                    <w:bottom w:val="none" w:sz="0" w:space="0" w:color="auto"/>
                                    <w:right w:val="none" w:sz="0" w:space="0" w:color="auto"/>
                                  </w:divBdr>
                                  <w:divsChild>
                                    <w:div w:id="2125614046">
                                      <w:marLeft w:val="0"/>
                                      <w:marRight w:val="0"/>
                                      <w:marTop w:val="0"/>
                                      <w:marBottom w:val="0"/>
                                      <w:divBdr>
                                        <w:top w:val="none" w:sz="0" w:space="0" w:color="auto"/>
                                        <w:left w:val="none" w:sz="0" w:space="0" w:color="auto"/>
                                        <w:bottom w:val="none" w:sz="0" w:space="0" w:color="auto"/>
                                        <w:right w:val="none" w:sz="0" w:space="0" w:color="auto"/>
                                      </w:divBdr>
                                      <w:divsChild>
                                        <w:div w:id="1906407479">
                                          <w:marLeft w:val="0"/>
                                          <w:marRight w:val="0"/>
                                          <w:marTop w:val="0"/>
                                          <w:marBottom w:val="0"/>
                                          <w:divBdr>
                                            <w:top w:val="none" w:sz="0" w:space="0" w:color="auto"/>
                                            <w:left w:val="none" w:sz="0" w:space="0" w:color="auto"/>
                                            <w:bottom w:val="none" w:sz="0" w:space="0" w:color="auto"/>
                                            <w:right w:val="none" w:sz="0" w:space="0" w:color="auto"/>
                                          </w:divBdr>
                                          <w:divsChild>
                                            <w:div w:id="1237130075">
                                              <w:marLeft w:val="0"/>
                                              <w:marRight w:val="0"/>
                                              <w:marTop w:val="0"/>
                                              <w:marBottom w:val="0"/>
                                              <w:divBdr>
                                                <w:top w:val="none" w:sz="0" w:space="0" w:color="auto"/>
                                                <w:left w:val="none" w:sz="0" w:space="0" w:color="auto"/>
                                                <w:bottom w:val="none" w:sz="0" w:space="0" w:color="auto"/>
                                                <w:right w:val="none" w:sz="0" w:space="0" w:color="auto"/>
                                              </w:divBdr>
                                              <w:divsChild>
                                                <w:div w:id="272786237">
                                                  <w:marLeft w:val="0"/>
                                                  <w:marRight w:val="0"/>
                                                  <w:marTop w:val="0"/>
                                                  <w:marBottom w:val="0"/>
                                                  <w:divBdr>
                                                    <w:top w:val="none" w:sz="0" w:space="0" w:color="auto"/>
                                                    <w:left w:val="none" w:sz="0" w:space="0" w:color="auto"/>
                                                    <w:bottom w:val="none" w:sz="0" w:space="0" w:color="auto"/>
                                                    <w:right w:val="none" w:sz="0" w:space="0" w:color="auto"/>
                                                  </w:divBdr>
                                                  <w:divsChild>
                                                    <w:div w:id="138105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9114667">
      <w:bodyDiv w:val="1"/>
      <w:marLeft w:val="0"/>
      <w:marRight w:val="0"/>
      <w:marTop w:val="0"/>
      <w:marBottom w:val="0"/>
      <w:divBdr>
        <w:top w:val="none" w:sz="0" w:space="0" w:color="auto"/>
        <w:left w:val="none" w:sz="0" w:space="0" w:color="auto"/>
        <w:bottom w:val="none" w:sz="0" w:space="0" w:color="auto"/>
        <w:right w:val="none" w:sz="0" w:space="0" w:color="auto"/>
      </w:divBdr>
    </w:div>
    <w:div w:id="1176772934">
      <w:bodyDiv w:val="1"/>
      <w:marLeft w:val="0"/>
      <w:marRight w:val="0"/>
      <w:marTop w:val="0"/>
      <w:marBottom w:val="0"/>
      <w:divBdr>
        <w:top w:val="none" w:sz="0" w:space="0" w:color="auto"/>
        <w:left w:val="none" w:sz="0" w:space="0" w:color="auto"/>
        <w:bottom w:val="none" w:sz="0" w:space="0" w:color="auto"/>
        <w:right w:val="none" w:sz="0" w:space="0" w:color="auto"/>
      </w:divBdr>
    </w:div>
    <w:div w:id="1269432731">
      <w:bodyDiv w:val="1"/>
      <w:marLeft w:val="0"/>
      <w:marRight w:val="0"/>
      <w:marTop w:val="0"/>
      <w:marBottom w:val="0"/>
      <w:divBdr>
        <w:top w:val="none" w:sz="0" w:space="0" w:color="auto"/>
        <w:left w:val="none" w:sz="0" w:space="0" w:color="auto"/>
        <w:bottom w:val="none" w:sz="0" w:space="0" w:color="auto"/>
        <w:right w:val="none" w:sz="0" w:space="0" w:color="auto"/>
      </w:divBdr>
    </w:div>
    <w:div w:id="1427968471">
      <w:bodyDiv w:val="1"/>
      <w:marLeft w:val="0"/>
      <w:marRight w:val="0"/>
      <w:marTop w:val="0"/>
      <w:marBottom w:val="0"/>
      <w:divBdr>
        <w:top w:val="none" w:sz="0" w:space="0" w:color="auto"/>
        <w:left w:val="none" w:sz="0" w:space="0" w:color="auto"/>
        <w:bottom w:val="none" w:sz="0" w:space="0" w:color="auto"/>
        <w:right w:val="none" w:sz="0" w:space="0" w:color="auto"/>
      </w:divBdr>
      <w:divsChild>
        <w:div w:id="904531344">
          <w:marLeft w:val="0"/>
          <w:marRight w:val="0"/>
          <w:marTop w:val="0"/>
          <w:marBottom w:val="0"/>
          <w:divBdr>
            <w:top w:val="none" w:sz="0" w:space="0" w:color="auto"/>
            <w:left w:val="none" w:sz="0" w:space="0" w:color="auto"/>
            <w:bottom w:val="none" w:sz="0" w:space="0" w:color="auto"/>
            <w:right w:val="none" w:sz="0" w:space="0" w:color="auto"/>
          </w:divBdr>
          <w:divsChild>
            <w:div w:id="1215697232">
              <w:marLeft w:val="0"/>
              <w:marRight w:val="0"/>
              <w:marTop w:val="0"/>
              <w:marBottom w:val="0"/>
              <w:divBdr>
                <w:top w:val="none" w:sz="0" w:space="0" w:color="auto"/>
                <w:left w:val="none" w:sz="0" w:space="0" w:color="auto"/>
                <w:bottom w:val="none" w:sz="0" w:space="0" w:color="auto"/>
                <w:right w:val="none" w:sz="0" w:space="0" w:color="auto"/>
              </w:divBdr>
              <w:divsChild>
                <w:div w:id="59640117">
                  <w:marLeft w:val="0"/>
                  <w:marRight w:val="0"/>
                  <w:marTop w:val="0"/>
                  <w:marBottom w:val="0"/>
                  <w:divBdr>
                    <w:top w:val="none" w:sz="0" w:space="0" w:color="auto"/>
                    <w:left w:val="none" w:sz="0" w:space="0" w:color="auto"/>
                    <w:bottom w:val="none" w:sz="0" w:space="0" w:color="auto"/>
                    <w:right w:val="none" w:sz="0" w:space="0" w:color="auto"/>
                  </w:divBdr>
                  <w:divsChild>
                    <w:div w:id="14505073">
                      <w:marLeft w:val="0"/>
                      <w:marRight w:val="0"/>
                      <w:marTop w:val="0"/>
                      <w:marBottom w:val="0"/>
                      <w:divBdr>
                        <w:top w:val="none" w:sz="0" w:space="0" w:color="auto"/>
                        <w:left w:val="none" w:sz="0" w:space="0" w:color="auto"/>
                        <w:bottom w:val="none" w:sz="0" w:space="0" w:color="auto"/>
                        <w:right w:val="none" w:sz="0" w:space="0" w:color="auto"/>
                      </w:divBdr>
                      <w:divsChild>
                        <w:div w:id="1894609508">
                          <w:marLeft w:val="0"/>
                          <w:marRight w:val="0"/>
                          <w:marTop w:val="0"/>
                          <w:marBottom w:val="0"/>
                          <w:divBdr>
                            <w:top w:val="none" w:sz="0" w:space="0" w:color="auto"/>
                            <w:left w:val="none" w:sz="0" w:space="0" w:color="auto"/>
                            <w:bottom w:val="none" w:sz="0" w:space="0" w:color="auto"/>
                            <w:right w:val="none" w:sz="0" w:space="0" w:color="auto"/>
                          </w:divBdr>
                          <w:divsChild>
                            <w:div w:id="10908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331216">
      <w:bodyDiv w:val="1"/>
      <w:marLeft w:val="0"/>
      <w:marRight w:val="0"/>
      <w:marTop w:val="0"/>
      <w:marBottom w:val="0"/>
      <w:divBdr>
        <w:top w:val="none" w:sz="0" w:space="0" w:color="auto"/>
        <w:left w:val="none" w:sz="0" w:space="0" w:color="auto"/>
        <w:bottom w:val="none" w:sz="0" w:space="0" w:color="auto"/>
        <w:right w:val="none" w:sz="0" w:space="0" w:color="auto"/>
      </w:divBdr>
      <w:divsChild>
        <w:div w:id="388766521">
          <w:marLeft w:val="0"/>
          <w:marRight w:val="0"/>
          <w:marTop w:val="0"/>
          <w:marBottom w:val="0"/>
          <w:divBdr>
            <w:top w:val="none" w:sz="0" w:space="0" w:color="auto"/>
            <w:left w:val="none" w:sz="0" w:space="0" w:color="auto"/>
            <w:bottom w:val="none" w:sz="0" w:space="0" w:color="auto"/>
            <w:right w:val="none" w:sz="0" w:space="0" w:color="auto"/>
          </w:divBdr>
          <w:divsChild>
            <w:div w:id="437335972">
              <w:marLeft w:val="0"/>
              <w:marRight w:val="0"/>
              <w:marTop w:val="0"/>
              <w:marBottom w:val="0"/>
              <w:divBdr>
                <w:top w:val="none" w:sz="0" w:space="0" w:color="auto"/>
                <w:left w:val="none" w:sz="0" w:space="0" w:color="auto"/>
                <w:bottom w:val="none" w:sz="0" w:space="0" w:color="auto"/>
                <w:right w:val="none" w:sz="0" w:space="0" w:color="auto"/>
              </w:divBdr>
              <w:divsChild>
                <w:div w:id="1085689242">
                  <w:marLeft w:val="0"/>
                  <w:marRight w:val="0"/>
                  <w:marTop w:val="0"/>
                  <w:marBottom w:val="0"/>
                  <w:divBdr>
                    <w:top w:val="none" w:sz="0" w:space="0" w:color="auto"/>
                    <w:left w:val="none" w:sz="0" w:space="0" w:color="auto"/>
                    <w:bottom w:val="none" w:sz="0" w:space="0" w:color="auto"/>
                    <w:right w:val="none" w:sz="0" w:space="0" w:color="auto"/>
                  </w:divBdr>
                  <w:divsChild>
                    <w:div w:id="810635071">
                      <w:marLeft w:val="0"/>
                      <w:marRight w:val="0"/>
                      <w:marTop w:val="0"/>
                      <w:marBottom w:val="0"/>
                      <w:divBdr>
                        <w:top w:val="none" w:sz="0" w:space="0" w:color="auto"/>
                        <w:left w:val="none" w:sz="0" w:space="0" w:color="auto"/>
                        <w:bottom w:val="none" w:sz="0" w:space="0" w:color="auto"/>
                        <w:right w:val="none" w:sz="0" w:space="0" w:color="auto"/>
                      </w:divBdr>
                      <w:divsChild>
                        <w:div w:id="5402970">
                          <w:marLeft w:val="0"/>
                          <w:marRight w:val="0"/>
                          <w:marTop w:val="0"/>
                          <w:marBottom w:val="0"/>
                          <w:divBdr>
                            <w:top w:val="single" w:sz="6" w:space="0" w:color="828282"/>
                            <w:left w:val="single" w:sz="6" w:space="0" w:color="828282"/>
                            <w:bottom w:val="single" w:sz="6" w:space="0" w:color="828282"/>
                            <w:right w:val="single" w:sz="6" w:space="0" w:color="828282"/>
                          </w:divBdr>
                          <w:divsChild>
                            <w:div w:id="1547527495">
                              <w:marLeft w:val="0"/>
                              <w:marRight w:val="0"/>
                              <w:marTop w:val="0"/>
                              <w:marBottom w:val="0"/>
                              <w:divBdr>
                                <w:top w:val="none" w:sz="0" w:space="0" w:color="auto"/>
                                <w:left w:val="none" w:sz="0" w:space="0" w:color="auto"/>
                                <w:bottom w:val="none" w:sz="0" w:space="0" w:color="auto"/>
                                <w:right w:val="none" w:sz="0" w:space="0" w:color="auto"/>
                              </w:divBdr>
                              <w:divsChild>
                                <w:div w:id="2089230444">
                                  <w:marLeft w:val="0"/>
                                  <w:marRight w:val="0"/>
                                  <w:marTop w:val="0"/>
                                  <w:marBottom w:val="0"/>
                                  <w:divBdr>
                                    <w:top w:val="none" w:sz="0" w:space="0" w:color="auto"/>
                                    <w:left w:val="none" w:sz="0" w:space="0" w:color="auto"/>
                                    <w:bottom w:val="none" w:sz="0" w:space="0" w:color="auto"/>
                                    <w:right w:val="none" w:sz="0" w:space="0" w:color="auto"/>
                                  </w:divBdr>
                                  <w:divsChild>
                                    <w:div w:id="2126649874">
                                      <w:marLeft w:val="0"/>
                                      <w:marRight w:val="0"/>
                                      <w:marTop w:val="0"/>
                                      <w:marBottom w:val="0"/>
                                      <w:divBdr>
                                        <w:top w:val="none" w:sz="0" w:space="0" w:color="auto"/>
                                        <w:left w:val="none" w:sz="0" w:space="0" w:color="auto"/>
                                        <w:bottom w:val="none" w:sz="0" w:space="0" w:color="auto"/>
                                        <w:right w:val="none" w:sz="0" w:space="0" w:color="auto"/>
                                      </w:divBdr>
                                      <w:divsChild>
                                        <w:div w:id="311060871">
                                          <w:marLeft w:val="0"/>
                                          <w:marRight w:val="0"/>
                                          <w:marTop w:val="0"/>
                                          <w:marBottom w:val="0"/>
                                          <w:divBdr>
                                            <w:top w:val="none" w:sz="0" w:space="0" w:color="auto"/>
                                            <w:left w:val="none" w:sz="0" w:space="0" w:color="auto"/>
                                            <w:bottom w:val="none" w:sz="0" w:space="0" w:color="auto"/>
                                            <w:right w:val="none" w:sz="0" w:space="0" w:color="auto"/>
                                          </w:divBdr>
                                          <w:divsChild>
                                            <w:div w:id="628241052">
                                              <w:marLeft w:val="0"/>
                                              <w:marRight w:val="0"/>
                                              <w:marTop w:val="0"/>
                                              <w:marBottom w:val="0"/>
                                              <w:divBdr>
                                                <w:top w:val="none" w:sz="0" w:space="0" w:color="auto"/>
                                                <w:left w:val="none" w:sz="0" w:space="0" w:color="auto"/>
                                                <w:bottom w:val="none" w:sz="0" w:space="0" w:color="auto"/>
                                                <w:right w:val="none" w:sz="0" w:space="0" w:color="auto"/>
                                              </w:divBdr>
                                              <w:divsChild>
                                                <w:div w:id="20502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390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585EE9E20F942A35BE6D6D12CE284" ma:contentTypeVersion="0" ma:contentTypeDescription="Create a new document." ma:contentTypeScope="" ma:versionID="933249710d4465955d7daabd7abd2a3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7BE808-F158-461E-9BAD-6E79186232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58A5D6B-BEFF-447D-BA8B-95BECDFDA83E}">
  <ds:schemaRefs>
    <ds:schemaRef ds:uri="http://schemas.microsoft.com/sharepoint/v3/contenttype/forms"/>
  </ds:schemaRefs>
</ds:datastoreItem>
</file>

<file path=customXml/itemProps3.xml><?xml version="1.0" encoding="utf-8"?>
<ds:datastoreItem xmlns:ds="http://schemas.openxmlformats.org/officeDocument/2006/customXml" ds:itemID="{A6B298B9-E740-40CE-974E-DE97F62C3DAA}">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ADFB9EEC-D21D-41C1-9BAE-A232C18F88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Telecommunications (Participating Persons) Determination 2015 - draft 04.05.15.docx</vt:lpstr>
    </vt:vector>
  </TitlesOfParts>
  <Company>DCITA</Company>
  <LinksUpToDate>false</LinksUpToDate>
  <CharactersWithSpaces>5265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Telecommunications (Participating Persons) Determination 2015 - draft 04.05.15.docx</dc:title>
  <dc:creator>ssilva</dc:creator>
  <cp:lastModifiedBy>Miller, Joanne</cp:lastModifiedBy>
  <cp:revision>3</cp:revision>
  <cp:lastPrinted>2015-05-04T01:50:00Z</cp:lastPrinted>
  <dcterms:created xsi:type="dcterms:W3CDTF">2015-07-03T01:26:00Z</dcterms:created>
  <dcterms:modified xsi:type="dcterms:W3CDTF">2015-07-03T01:26:00Z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0x010100DFF585EE9E20F942A35BE6D6D12CE284</vt:lpwstr>
  </property>
  <property fmtid="{D5CDD505-2E9C-101B-9397-08002B2CF9AE}" pid="3" name="TrimRevisionNumber">
    <vt:i4>10</vt:i4>
  </property>
</Properties>
</file>