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614EE" w14:textId="77777777" w:rsidR="00A66994" w:rsidRPr="00A66994" w:rsidRDefault="00A66994" w:rsidP="00A66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</w:pPr>
      <w:bookmarkStart w:id="0" w:name="_GoBack"/>
      <w:bookmarkEnd w:id="0"/>
      <w:r w:rsidRPr="00A669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AU"/>
        </w:rPr>
        <w:t xml:space="preserve">EXPLANATORY STATEMENT </w:t>
      </w:r>
    </w:p>
    <w:p w14:paraId="50FDE2E6" w14:textId="77777777" w:rsidR="00A66994" w:rsidRPr="00A66994" w:rsidRDefault="00A66994" w:rsidP="00A66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Telecommunications (Consumer Protection and Service Standards) Act 1999</w:t>
      </w:r>
    </w:p>
    <w:p w14:paraId="36F675E2" w14:textId="77777777" w:rsidR="00A66994" w:rsidRPr="00A66994" w:rsidRDefault="00A66994" w:rsidP="00A669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Telecommunications (Participating Persons) Determination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5</w:t>
      </w: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 </w:t>
      </w:r>
    </w:p>
    <w:p w14:paraId="28154142" w14:textId="77777777" w:rsidR="00A66994" w:rsidRPr="00A66994" w:rsidRDefault="00A66994" w:rsidP="00A66994">
      <w:pPr>
        <w:jc w:val="center"/>
        <w:rPr>
          <w:rFonts w:ascii="Helvetica Neue" w:eastAsia="Times New Roman" w:hAnsi="Helvetica Neue" w:cs="Times New Roman"/>
          <w:sz w:val="24"/>
          <w:szCs w:val="24"/>
          <w:lang w:eastAsia="en-AU"/>
        </w:rPr>
      </w:pPr>
      <w:r w:rsidRPr="00A66994">
        <w:rPr>
          <w:rFonts w:ascii="Helvetica Neue" w:eastAsia="Times New Roman" w:hAnsi="Helvetica Neue" w:cs="Times New Roman"/>
          <w:sz w:val="24"/>
          <w:szCs w:val="24"/>
          <w:lang w:eastAsia="en-AU"/>
        </w:rPr>
        <w:t xml:space="preserve">Issued by the Authority of the Minister for Communications </w:t>
      </w:r>
    </w:p>
    <w:p w14:paraId="527558DE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Authority </w:t>
      </w:r>
    </w:p>
    <w:p w14:paraId="7ADF18F5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Telecommunications (Participating Persons) Determination 201</w:t>
      </w:r>
      <w:r w:rsidR="00264CC2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5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Determination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is made by the Minister for Communications (the </w:t>
      </w: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Minister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under subsection </w:t>
      </w:r>
      <w:r w:rsidR="00264CC2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(2) of the 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Telecommunications </w:t>
      </w:r>
      <w:r w:rsidR="00693F2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(Consumer Protection and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Service </w:t>
      </w:r>
      <w:r w:rsidR="001F6FE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Standards) 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</w:t>
      </w:r>
      <w:r w:rsidR="00264CC2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1999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</w:t>
      </w: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Act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).  This provision provides that the Minister may determine in writing that a certain kind of person is not a ‘participating person’ for an eligible revenue period under the Act.</w:t>
      </w:r>
    </w:p>
    <w:p w14:paraId="5BCD66D0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Purpose</w:t>
      </w:r>
    </w:p>
    <w:p w14:paraId="71EE247C" w14:textId="77777777" w:rsidR="00A66994" w:rsidRPr="00A66994" w:rsidRDefault="00A66994" w:rsidP="00A6699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The Determination exempts certain persons from being a ‘part</w:t>
      </w:r>
      <w:r w:rsidR="00693F2D">
        <w:rPr>
          <w:rFonts w:ascii="Times New Roman" w:eastAsia="Times New Roman" w:hAnsi="Times New Roman" w:cs="Times New Roman"/>
          <w:sz w:val="24"/>
          <w:szCs w:val="24"/>
          <w:lang w:eastAsia="en-AU"/>
        </w:rPr>
        <w:t>icipating person’ under section </w:t>
      </w:r>
      <w:r w:rsidR="00264CC2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="00693F2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Act.  A consequence of this exemption is that such a person will </w:t>
      </w:r>
      <w:r w:rsidR="00470C7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not have to lodge an eligible </w:t>
      </w:r>
      <w:r w:rsidR="009C1C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revenue </w:t>
      </w:r>
      <w:r w:rsidR="00470C7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return with the </w:t>
      </w:r>
      <w:r w:rsidR="00470C7C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470C7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ustralian </w:t>
      </w:r>
      <w:r w:rsidR="00470C7C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C</w:t>
      </w:r>
      <w:r w:rsidR="00470C7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ommunications and </w:t>
      </w:r>
      <w:r w:rsidR="00470C7C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M</w:t>
      </w:r>
      <w:r w:rsidR="00470C7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edia </w:t>
      </w:r>
      <w:r w:rsidR="00470C7C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470C7C">
        <w:rPr>
          <w:rFonts w:ascii="Times New Roman" w:eastAsia="Times New Roman" w:hAnsi="Times New Roman" w:cs="Times New Roman"/>
          <w:sz w:val="24"/>
          <w:szCs w:val="24"/>
          <w:lang w:eastAsia="en-AU"/>
        </w:rPr>
        <w:t>uthority (</w:t>
      </w:r>
      <w:r w:rsidR="00470C7C" w:rsidRPr="001809C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ACMA</w:t>
      </w:r>
      <w:r w:rsidR="00470C7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693F2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relevant eligible revenue period </w:t>
      </w:r>
      <w:r w:rsidR="00470C7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so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be relieved from the liability to pay the levy amount (i.e. the amount assessed under section </w:t>
      </w:r>
      <w:r w:rsidR="00264CC2">
        <w:rPr>
          <w:rFonts w:ascii="Times New Roman" w:eastAsia="Times New Roman" w:hAnsi="Times New Roman" w:cs="Times New Roman"/>
          <w:sz w:val="24"/>
          <w:szCs w:val="24"/>
          <w:lang w:eastAsia="en-AU"/>
        </w:rPr>
        <w:t>5</w:t>
      </w:r>
      <w:r w:rsidR="00693F2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0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Act) in relation to the </w:t>
      </w:r>
      <w:r w:rsidR="009C1C0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subsequent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eligible levy period</w:t>
      </w:r>
      <w:r w:rsidR="00693F2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7FA8A9A" w14:textId="77777777" w:rsidR="00A66994" w:rsidRPr="00A66994" w:rsidRDefault="00A66994" w:rsidP="00A66994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Background</w:t>
      </w:r>
    </w:p>
    <w:p w14:paraId="41A422F7" w14:textId="77777777" w:rsidR="00C46FD7" w:rsidRPr="00A66994" w:rsidRDefault="00693F2D" w:rsidP="00C46F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1 July </w:t>
      </w:r>
      <w:r w:rsidR="00C46FD7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2012, the </w:t>
      </w:r>
      <w:r w:rsidR="00C46FD7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>Telecommunications Universal Service Management Agency (</w:t>
      </w:r>
      <w:r w:rsidR="00C46FD7" w:rsidRPr="001009B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TUSMA</w:t>
      </w:r>
      <w:r w:rsidR="00C46FD7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C46F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5C110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was established and </w:t>
      </w:r>
      <w:r w:rsidR="00C46FD7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previous Universal Service Obligation and the National Relay Service </w:t>
      </w:r>
      <w:r w:rsidR="00C320F1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levies</w:t>
      </w:r>
      <w:r w:rsidR="00C320F1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C320F1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320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administered under the </w:t>
      </w:r>
      <w:r w:rsidR="00C320F1"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Telecommunications (Consumer Protection and Service Standards) Act 1999</w:t>
      </w:r>
      <w:r w:rsidR="00C320F1" w:rsidRPr="00C320F1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, </w:t>
      </w:r>
      <w:r w:rsidR="005C1106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were replaced with </w:t>
      </w:r>
      <w:r w:rsidR="00C46FD7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a single levy</w:t>
      </w:r>
      <w:r w:rsidR="00C46FD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</w:t>
      </w:r>
      <w:r w:rsidR="00C46FD7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>Telecommunications Industry Levy (</w:t>
      </w:r>
      <w:r w:rsidR="00C46FD7" w:rsidRPr="001009B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TIL</w:t>
      </w:r>
      <w:r w:rsidR="00C46FD7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C320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8834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320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TIL </w:t>
      </w:r>
      <w:r w:rsidR="00C320F1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together with government funding</w:t>
      </w:r>
      <w:r w:rsidR="00C320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C46FD7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cover</w:t>
      </w:r>
      <w:r w:rsidR="00A54B59">
        <w:rPr>
          <w:rFonts w:ascii="Times New Roman" w:eastAsia="Times New Roman" w:hAnsi="Times New Roman" w:cs="Times New Roman"/>
          <w:sz w:val="24"/>
          <w:szCs w:val="24"/>
          <w:lang w:eastAsia="en-AU"/>
        </w:rPr>
        <w:t>ed</w:t>
      </w:r>
      <w:r w:rsidR="00C46FD7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TUSMA’s costs for the implementation and administration of service contracts or grants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46FD7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deliver universal service and other public policy telecommunications outcomes.</w:t>
      </w:r>
    </w:p>
    <w:p w14:paraId="50DE4295" w14:textId="2DAD013D" w:rsidR="001009BD" w:rsidRPr="001009BD" w:rsidRDefault="006F44D7" w:rsidP="00100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</w:t>
      </w:r>
      <w:r w:rsidR="00C46FD7">
        <w:rPr>
          <w:rFonts w:ascii="Times New Roman" w:eastAsia="Times New Roman" w:hAnsi="Times New Roman" w:cs="Times New Roman"/>
          <w:sz w:val="24"/>
          <w:szCs w:val="24"/>
          <w:lang w:eastAsia="en-AU"/>
        </w:rPr>
        <w:t>1 July 2015,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46FD7" w:rsidRPr="00C320F1">
        <w:rPr>
          <w:rFonts w:ascii="Times New Roman" w:eastAsia="Times New Roman" w:hAnsi="Times New Roman" w:cs="Times New Roman"/>
          <w:sz w:val="24"/>
          <w:szCs w:val="24"/>
          <w:lang w:eastAsia="en-AU"/>
        </w:rPr>
        <w:t>TUSMA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>abolished and its functions transferred to the Department of Communications (</w:t>
      </w:r>
      <w:r w:rsidR="001009BD" w:rsidRPr="001009B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Department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). </w:t>
      </w:r>
      <w:r w:rsidR="00BF2E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="00FE2A45">
        <w:rPr>
          <w:rFonts w:ascii="Times New Roman" w:eastAsia="Times New Roman" w:hAnsi="Times New Roman" w:cs="Times New Roman"/>
          <w:sz w:val="24"/>
          <w:szCs w:val="24"/>
          <w:lang w:eastAsia="en-AU"/>
        </w:rPr>
        <w:t>aboli</w:t>
      </w:r>
      <w:r w:rsidR="00C609AE">
        <w:rPr>
          <w:rFonts w:ascii="Times New Roman" w:eastAsia="Times New Roman" w:hAnsi="Times New Roman" w:cs="Times New Roman"/>
          <w:sz w:val="24"/>
          <w:szCs w:val="24"/>
          <w:lang w:eastAsia="en-AU"/>
        </w:rPr>
        <w:t>tion</w:t>
      </w:r>
      <w:r w:rsidR="00BF2E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TUSMA </w:t>
      </w:r>
      <w:r w:rsidR="00BF2E31" w:rsidRPr="00545C58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r w:rsidR="00BF2E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line with the </w:t>
      </w:r>
      <w:r w:rsidR="00FF2B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Australian </w:t>
      </w:r>
      <w:r w:rsidR="00BF2E31">
        <w:rPr>
          <w:rFonts w:ascii="Times New Roman" w:eastAsia="Times New Roman" w:hAnsi="Times New Roman" w:cs="Times New Roman"/>
          <w:sz w:val="24"/>
          <w:szCs w:val="24"/>
          <w:lang w:eastAsia="en-AU"/>
        </w:rPr>
        <w:t>Government’s agenda of cutting red tape to reduce the regulatory burden on industry</w:t>
      </w:r>
      <w:r w:rsidR="00545C5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</w:t>
      </w:r>
      <w:r w:rsidR="00BF2E31" w:rsidRPr="00FF1204">
        <w:rPr>
          <w:rFonts w:ascii="Times New Roman" w:eastAsia="Times New Roman" w:hAnsi="Times New Roman" w:cs="Times New Roman"/>
          <w:sz w:val="24"/>
          <w:szCs w:val="24"/>
          <w:lang w:eastAsia="en-AU"/>
        </w:rPr>
        <w:t>increa</w:t>
      </w:r>
      <w:r w:rsidR="00BF2E31">
        <w:rPr>
          <w:rFonts w:ascii="Times New Roman" w:eastAsia="Times New Roman" w:hAnsi="Times New Roman" w:cs="Times New Roman"/>
          <w:sz w:val="24"/>
          <w:szCs w:val="24"/>
          <w:lang w:eastAsia="en-AU"/>
        </w:rPr>
        <w:t>se</w:t>
      </w:r>
      <w:r w:rsidR="00545C58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BF2E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industry certainty by having a single agency responsible for policy and implementation (cont</w:t>
      </w:r>
      <w:r w:rsidR="005C1106">
        <w:rPr>
          <w:rFonts w:ascii="Times New Roman" w:eastAsia="Times New Roman" w:hAnsi="Times New Roman" w:cs="Times New Roman"/>
          <w:sz w:val="24"/>
          <w:szCs w:val="24"/>
          <w:lang w:eastAsia="en-AU"/>
        </w:rPr>
        <w:t>ract</w:t>
      </w:r>
      <w:r w:rsidR="00BF2E3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management) of telecommunications universal service matters.  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process for assessing and collecting the </w:t>
      </w:r>
      <w:r w:rsidR="001009BD" w:rsidRPr="00C320F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TIL </w:t>
      </w:r>
      <w:r w:rsidR="00545C5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</w:t>
      </w:r>
      <w:r w:rsidR="001A5ECF">
        <w:rPr>
          <w:rFonts w:ascii="Times New Roman" w:eastAsia="Times New Roman" w:hAnsi="Times New Roman" w:cs="Times New Roman"/>
          <w:sz w:val="24"/>
          <w:szCs w:val="24"/>
          <w:lang w:eastAsia="en-AU"/>
        </w:rPr>
        <w:t>no longer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contained in the </w:t>
      </w:r>
      <w:r w:rsidR="001009BD" w:rsidRPr="001009BD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Telecommunications Universal Service Management Agency Act 2012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</w:t>
      </w:r>
      <w:r w:rsidR="001009BD" w:rsidRPr="001009BD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TUSMA Act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), </w:t>
      </w:r>
      <w:r w:rsidR="001F6FEF">
        <w:rPr>
          <w:rFonts w:ascii="Times New Roman" w:eastAsia="Times New Roman" w:hAnsi="Times New Roman" w:cs="Times New Roman"/>
          <w:sz w:val="24"/>
          <w:szCs w:val="24"/>
          <w:lang w:eastAsia="en-AU"/>
        </w:rPr>
        <w:t>but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instead </w:t>
      </w:r>
      <w:r w:rsidR="00545C58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dealt with under the Act. </w:t>
      </w:r>
      <w:r w:rsidR="008834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5C1106">
        <w:rPr>
          <w:rFonts w:ascii="Times New Roman" w:eastAsia="Times New Roman" w:hAnsi="Times New Roman" w:cs="Times New Roman"/>
          <w:sz w:val="24"/>
          <w:szCs w:val="24"/>
          <w:lang w:eastAsia="en-AU"/>
        </w:rPr>
        <w:t>A combination of funds raised under the TIL and dedicated government funding will continue to be used to meet the costs of</w:t>
      </w:r>
      <w:r w:rsidR="005C1106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service contracts or grants </w:t>
      </w:r>
      <w:r w:rsidR="005C1106">
        <w:rPr>
          <w:rFonts w:ascii="Times New Roman" w:eastAsia="Times New Roman" w:hAnsi="Times New Roman" w:cs="Times New Roman"/>
          <w:sz w:val="24"/>
          <w:szCs w:val="24"/>
          <w:lang w:eastAsia="en-AU"/>
        </w:rPr>
        <w:t>to</w:t>
      </w:r>
      <w:r w:rsidR="005C1106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deliver universal service and other public policy telecommunications outcomes</w:t>
      </w:r>
      <w:r w:rsidR="005C110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(with </w:t>
      </w:r>
      <w:r w:rsidR="00D32A3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5C1106">
        <w:rPr>
          <w:rFonts w:ascii="Times New Roman" w:eastAsia="Times New Roman" w:hAnsi="Times New Roman" w:cs="Times New Roman"/>
          <w:sz w:val="24"/>
          <w:szCs w:val="24"/>
          <w:lang w:eastAsia="en-AU"/>
        </w:rPr>
        <w:t>contracts</w:t>
      </w:r>
      <w:r w:rsidR="005A7A0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D32A3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grants </w:t>
      </w:r>
      <w:r w:rsidR="005C1106">
        <w:rPr>
          <w:rFonts w:ascii="Times New Roman" w:eastAsia="Times New Roman" w:hAnsi="Times New Roman" w:cs="Times New Roman"/>
          <w:sz w:val="24"/>
          <w:szCs w:val="24"/>
          <w:lang w:eastAsia="en-AU"/>
        </w:rPr>
        <w:t>administered by the Department)</w:t>
      </w:r>
      <w:r w:rsidR="005C1106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5C110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545C58">
        <w:rPr>
          <w:rFonts w:ascii="Times New Roman" w:eastAsia="Times New Roman" w:hAnsi="Times New Roman" w:cs="Times New Roman"/>
          <w:sz w:val="24"/>
          <w:szCs w:val="24"/>
          <w:lang w:eastAsia="en-AU"/>
        </w:rPr>
        <w:t>The Determination replaces the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009BD"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Telecommunications (Participating Persons) Determination 201</w:t>
      </w:r>
      <w:r w:rsidR="001009B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3</w:t>
      </w:r>
      <w:r w:rsidR="00693F2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="001009B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(</w:t>
      </w:r>
      <w:r w:rsidR="00F7371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No. 2</w:t>
      </w:r>
      <w:r w:rsidR="001009BD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)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545C5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previously made under the TUSMA </w:t>
      </w:r>
      <w:r w:rsidR="001009BD" w:rsidRPr="001009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Act. </w:t>
      </w:r>
    </w:p>
    <w:p w14:paraId="79AD3AB2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Under subsection </w:t>
      </w:r>
      <w:r w:rsidR="00084793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(1) of the Act, a person is a ‘participating person’ for an eligible revenue period if:</w:t>
      </w:r>
    </w:p>
    <w:p w14:paraId="05B1C670" w14:textId="77777777" w:rsidR="00A66994" w:rsidRPr="00A66994" w:rsidRDefault="00A66994" w:rsidP="005C110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person was a carrier at any time during the eligible revenue period (paragraph </w:t>
      </w:r>
      <w:r w:rsidR="00084793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(1)(a) of the Act); or</w:t>
      </w:r>
    </w:p>
    <w:p w14:paraId="10166F43" w14:textId="77777777" w:rsidR="00A66994" w:rsidRPr="00A66994" w:rsidRDefault="00A66994" w:rsidP="005C110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Minister has made a written determination that carriage service providers are participating persons for the eligible revenue period and the person was a carriage service provider at any time during the eligible revenue period (paragraph </w:t>
      </w:r>
      <w:r w:rsidR="00084793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(1)(b) of the Act). </w:t>
      </w:r>
    </w:p>
    <w:p w14:paraId="47B71623" w14:textId="77777777" w:rsidR="00A66994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Currently, there is no written Ministerial determination under paragraph </w:t>
      </w:r>
      <w:r w:rsidR="00084793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(1)(b) of the Act.</w:t>
      </w:r>
    </w:p>
    <w:p w14:paraId="55D90A6A" w14:textId="77777777" w:rsidR="00A66994" w:rsidRPr="00A66994" w:rsidRDefault="00A66994" w:rsidP="0060375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Previous </w:t>
      </w:r>
      <w:r w:rsidR="008E742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d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etermination </w:t>
      </w:r>
    </w:p>
    <w:p w14:paraId="02716C36" w14:textId="77777777" w:rsidR="00556815" w:rsidRDefault="00A36B6C" w:rsidP="00A54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On 26 June 2013</w:t>
      </w:r>
      <w:r w:rsidR="00DA37AC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</w:t>
      </w:r>
      <w:r w:rsidRPr="002C5FF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Telecommunications (Participating Persons) Determination 2013 (No.</w:t>
      </w:r>
      <w:r w:rsidR="00E55A25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 </w:t>
      </w:r>
      <w:r w:rsidRPr="002C5FF7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2)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 </w:t>
      </w:r>
      <w:r w:rsidRPr="002C5FF7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Pr="002C5FF7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PP Determination 2013 (</w:t>
      </w:r>
      <w:r w:rsidR="00F7371B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No. 2</w:t>
      </w:r>
      <w:r w:rsidRPr="009F1A72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)</w:t>
      </w:r>
      <w:r w:rsidR="002C5FF7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1756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E7420">
        <w:rPr>
          <w:rFonts w:ascii="Times New Roman" w:eastAsia="Times New Roman" w:hAnsi="Times New Roman" w:cs="Times New Roman"/>
          <w:sz w:val="24"/>
          <w:szCs w:val="24"/>
          <w:lang w:eastAsia="en-AU"/>
        </w:rPr>
        <w:t>was made under the TUSMA Act</w:t>
      </w:r>
      <w:r w:rsidR="00C6749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>P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ersons who</w:t>
      </w:r>
      <w:r w:rsidR="00B6107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had revenue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below the $25 mill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ion threshold </w:t>
      </w:r>
      <w:r w:rsidR="001340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who had submitted an eligible statutory declaration </w:t>
      </w:r>
      <w:r w:rsidR="00B6107F">
        <w:rPr>
          <w:rFonts w:ascii="Times New Roman" w:eastAsia="Times New Roman" w:hAnsi="Times New Roman" w:cs="Times New Roman"/>
          <w:sz w:val="24"/>
          <w:szCs w:val="24"/>
          <w:lang w:eastAsia="en-AU"/>
        </w:rPr>
        <w:t>were</w:t>
      </w:r>
      <w:r w:rsidR="0013153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exempted from being a ‘participating person’</w:t>
      </w:r>
      <w:r w:rsidR="001340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under the TUSMA Act in relation to the </w:t>
      </w:r>
      <w:r w:rsidR="008E74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relevant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eligible revenue period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 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>A</w:t>
      </w:r>
      <w:r w:rsidR="003B46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person </w:t>
      </w:r>
      <w:r w:rsidR="00685B4D">
        <w:rPr>
          <w:rFonts w:ascii="Times New Roman" w:eastAsia="Times New Roman" w:hAnsi="Times New Roman" w:cs="Times New Roman"/>
          <w:sz w:val="24"/>
          <w:szCs w:val="24"/>
          <w:lang w:eastAsia="en-AU"/>
        </w:rPr>
        <w:t>was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also exempted from being a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‘participating person’ where</w:t>
      </w:r>
      <w:r w:rsidR="00FF2B93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54511614" w14:textId="77777777" w:rsidR="00556815" w:rsidRDefault="00556815" w:rsidP="005568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36B6C"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person </w:t>
      </w:r>
      <w:r w:rsidR="00685B4D">
        <w:rPr>
          <w:rFonts w:ascii="Times New Roman" w:eastAsia="Times New Roman" w:hAnsi="Times New Roman" w:cs="Times New Roman"/>
          <w:sz w:val="24"/>
          <w:szCs w:val="24"/>
          <w:lang w:eastAsia="en-AU"/>
        </w:rPr>
        <w:t>wa</w:t>
      </w:r>
      <w:r w:rsidR="00A36B6C"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>s an externally-administered body corporate or deregistered at the end of the specified timeframe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(that is, the time by which participating persons </w:t>
      </w:r>
      <w:r w:rsidR="00C44A0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were 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>required to submit an eligible revenue return to the ACMA)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;</w:t>
      </w:r>
    </w:p>
    <w:p w14:paraId="45C8DB87" w14:textId="77777777" w:rsidR="00556815" w:rsidRDefault="00A36B6C" w:rsidP="005568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>an eligible statutory declaration was not provided to the ACMA within the specified timeframe</w:t>
      </w:r>
      <w:r w:rsid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>;</w:t>
      </w:r>
      <w:r w:rsidR="00556815"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</w:t>
      </w:r>
    </w:p>
    <w:p w14:paraId="459AA7DA" w14:textId="77777777" w:rsidR="00A54B59" w:rsidRPr="00556815" w:rsidRDefault="00A36B6C" w:rsidP="0055681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ACMA </w:t>
      </w:r>
      <w:r w:rsidR="00685B4D">
        <w:rPr>
          <w:rFonts w:ascii="Times New Roman" w:eastAsia="Times New Roman" w:hAnsi="Times New Roman" w:cs="Times New Roman"/>
          <w:sz w:val="24"/>
          <w:szCs w:val="24"/>
          <w:lang w:eastAsia="en-AU"/>
        </w:rPr>
        <w:t>was</w:t>
      </w:r>
      <w:r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reasonably satisfied that </w:t>
      </w:r>
      <w:r w:rsidR="00FE2A45">
        <w:rPr>
          <w:rFonts w:ascii="Times New Roman" w:eastAsia="Times New Roman" w:hAnsi="Times New Roman" w:cs="Times New Roman"/>
          <w:sz w:val="24"/>
          <w:szCs w:val="24"/>
          <w:lang w:eastAsia="en-AU"/>
        </w:rPr>
        <w:t>had such</w:t>
      </w:r>
      <w:r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declaration</w:t>
      </w:r>
      <w:r w:rsidR="00FE2A4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been</w:t>
      </w:r>
      <w:r w:rsidRPr="0055681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provided, the requirements of being a non-participating person would have been met.</w:t>
      </w:r>
    </w:p>
    <w:p w14:paraId="59263FEB" w14:textId="77777777" w:rsidR="0077651B" w:rsidRDefault="002C5FF7" w:rsidP="00215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B4690">
        <w:rPr>
          <w:rFonts w:ascii="Times New Roman" w:eastAsia="Times New Roman" w:hAnsi="Times New Roman" w:cs="Times New Roman"/>
          <w:sz w:val="24"/>
          <w:szCs w:val="24"/>
          <w:lang w:eastAsia="en-AU"/>
        </w:rPr>
        <w:t>Th</w:t>
      </w:r>
      <w:r w:rsidR="00CE192F" w:rsidRPr="003B4690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Pr="003B46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 </w:t>
      </w:r>
      <w:r w:rsidR="00E55A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substantially </w:t>
      </w:r>
      <w:r w:rsidRPr="003B4690">
        <w:rPr>
          <w:rFonts w:ascii="Times New Roman" w:eastAsia="Times New Roman" w:hAnsi="Times New Roman" w:cs="Times New Roman"/>
          <w:sz w:val="24"/>
          <w:szCs w:val="24"/>
          <w:lang w:eastAsia="en-AU"/>
        </w:rPr>
        <w:t>remakes the PP Determination 2013 (</w:t>
      </w:r>
      <w:r w:rsidR="00F7371B">
        <w:rPr>
          <w:rFonts w:ascii="Times New Roman" w:eastAsia="Times New Roman" w:hAnsi="Times New Roman" w:cs="Times New Roman"/>
          <w:sz w:val="24"/>
          <w:szCs w:val="24"/>
          <w:lang w:eastAsia="en-AU"/>
        </w:rPr>
        <w:t>No. 2</w:t>
      </w:r>
      <w:r w:rsidRPr="003B4690">
        <w:rPr>
          <w:rFonts w:ascii="Times New Roman" w:eastAsia="Times New Roman" w:hAnsi="Times New Roman" w:cs="Times New Roman"/>
          <w:sz w:val="24"/>
          <w:szCs w:val="24"/>
          <w:lang w:eastAsia="en-AU"/>
        </w:rPr>
        <w:t>) under the Act</w:t>
      </w:r>
      <w:r w:rsidR="001809CF" w:rsidRPr="003B46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applies in relation to </w:t>
      </w:r>
      <w:r w:rsidR="00C609AE" w:rsidRPr="00C609AE">
        <w:rPr>
          <w:rFonts w:ascii="Times New Roman" w:eastAsia="Times New Roman" w:hAnsi="Times New Roman" w:cs="Times New Roman"/>
          <w:sz w:val="24"/>
          <w:szCs w:val="24"/>
          <w:lang w:eastAsia="en-AU"/>
        </w:rPr>
        <w:t>all eligible revenue periods under the Act</w:t>
      </w:r>
      <w:r w:rsidR="0077651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2B6EFF87" w14:textId="77777777" w:rsidR="0077651B" w:rsidRDefault="0077651B" w:rsidP="002158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The Determination contains three amendments:</w:t>
      </w:r>
    </w:p>
    <w:p w14:paraId="5C4D99C2" w14:textId="77777777" w:rsidR="00A36B6C" w:rsidRDefault="0077651B" w:rsidP="008834F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</w:t>
      </w:r>
      <w:r w:rsidR="009F1A72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minor amendment </w:t>
      </w:r>
      <w:r w:rsidR="00FE2A4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has been made </w:t>
      </w:r>
      <w:r w:rsidR="009F1A72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>to expand the types of persons who can lodge an eligible statutory declaration on behalf of a company to include a person authorised in writing by the company.</w:t>
      </w:r>
      <w:r w:rsidR="00175656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88345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75656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>This amendment w</w:t>
      </w:r>
      <w:r w:rsidR="001809CF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>ill</w:t>
      </w:r>
      <w:r w:rsidR="00175656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6107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ensure </w:t>
      </w:r>
      <w:r w:rsidR="00175656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>additional flexibility</w:t>
      </w:r>
      <w:r w:rsidR="00B6107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companies</w:t>
      </w:r>
      <w:r w:rsidR="00175656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appropriately delegate </w:t>
      </w:r>
      <w:r w:rsidR="006E790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</w:t>
      </w:r>
      <w:r w:rsidR="00175656" w:rsidRPr="002158F8">
        <w:rPr>
          <w:rFonts w:ascii="Times New Roman" w:eastAsia="Times New Roman" w:hAnsi="Times New Roman" w:cs="Times New Roman"/>
          <w:sz w:val="24"/>
          <w:szCs w:val="24"/>
          <w:lang w:eastAsia="en-AU"/>
        </w:rPr>
        <w:t>administrative task</w:t>
      </w:r>
      <w:r w:rsidR="003B469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order to meet statutory </w:t>
      </w:r>
      <w:r w:rsidR="00597753">
        <w:rPr>
          <w:rFonts w:ascii="Times New Roman" w:eastAsia="Times New Roman" w:hAnsi="Times New Roman" w:cs="Times New Roman"/>
          <w:sz w:val="24"/>
          <w:szCs w:val="24"/>
          <w:lang w:eastAsia="en-AU"/>
        </w:rPr>
        <w:t>timeframes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28109EC4" w14:textId="77777777" w:rsidR="0077651B" w:rsidRDefault="0077651B" w:rsidP="005763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 amendment </w:t>
      </w:r>
      <w:r w:rsidR="00FE2A4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has been made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</w:t>
      </w:r>
      <w:r w:rsid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>provide the A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CMA </w:t>
      </w:r>
      <w:r w:rsid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with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flexibility </w:t>
      </w:r>
      <w:r w:rsidR="00CA30F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how it obtains </w:t>
      </w:r>
      <w:r w:rsidR="00FE2A4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 </w:t>
      </w:r>
      <w:r w:rsidR="00CA30F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assurance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that a person’s revenue was below the relevant $25 million </w:t>
      </w:r>
      <w:r w:rsid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threshold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during an eligible revenue period.  This flexibility will allow the ACMA to </w:t>
      </w:r>
      <w:r w:rsid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determine that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person </w:t>
      </w:r>
      <w:r w:rsidR="00CA30F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</w:t>
      </w:r>
      <w:r w:rsidR="00401916">
        <w:rPr>
          <w:rFonts w:ascii="Times New Roman" w:eastAsia="Times New Roman" w:hAnsi="Times New Roman" w:cs="Times New Roman"/>
          <w:sz w:val="24"/>
          <w:szCs w:val="24"/>
          <w:lang w:eastAsia="en-AU"/>
        </w:rPr>
        <w:t>a ‘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non-participating person’ where the</w:t>
      </w:r>
      <w:r w:rsidR="0031420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person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did not submit an eligible statutory declaration but the ACMA was otherwise satisfied that th</w:t>
      </w:r>
      <w:r w:rsid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person’s revenue was below the relevant $25 million threshold. For example, the person may have submitted a full return of its </w:t>
      </w:r>
      <w:r w:rsid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eligible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revenue or may have</w:t>
      </w:r>
      <w:r w:rsidR="003756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submitted a statutory declaration</w:t>
      </w:r>
      <w:r w:rsidR="00375688" w:rsidRPr="0037568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375688">
        <w:rPr>
          <w:rFonts w:ascii="Times New Roman" w:eastAsia="Times New Roman" w:hAnsi="Times New Roman" w:cs="Times New Roman"/>
          <w:sz w:val="24"/>
          <w:szCs w:val="24"/>
          <w:lang w:eastAsia="en-AU"/>
        </w:rPr>
        <w:t>which, due to a minor administrative error, did not meet the requirement for submission of an ‘eligible statutory declaration’ within the specified timeframe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 </w:t>
      </w:r>
    </w:p>
    <w:p w14:paraId="20A77F46" w14:textId="77777777" w:rsidR="0077651B" w:rsidRPr="00C738F0" w:rsidRDefault="008C77C5" w:rsidP="005763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>Paragraph</w:t>
      </w:r>
      <w:r w:rsidR="0077651B" w:rsidRP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4(</w:t>
      </w:r>
      <w:r w:rsidR="00E275A1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>3</w:t>
      </w:r>
      <w:r w:rsidR="0077651B" w:rsidRP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="00E275A1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>(d)</w:t>
      </w:r>
      <w:r w:rsidR="0077651B" w:rsidRP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="00A853AF" w:rsidRPr="00A853AF">
        <w:rPr>
          <w:rFonts w:ascii="Times New Roman" w:eastAsia="Times New Roman" w:hAnsi="Times New Roman" w:cs="Times New Roman"/>
          <w:sz w:val="24"/>
          <w:szCs w:val="24"/>
          <w:lang w:eastAsia="en-AU"/>
        </w:rPr>
        <w:t>PP Determination 2013 (No. 2)</w:t>
      </w:r>
      <w:r w:rsidR="00A853AF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 </w:t>
      </w:r>
      <w:r w:rsidR="00401916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has been deleted.  This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</w:t>
      </w:r>
      <w:r w:rsidR="00401916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3361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dealt with companies which had been deregistered or which were subject to external administration. It </w:t>
      </w:r>
      <w:r w:rsidR="00401916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no longer required </w:t>
      </w:r>
      <w:r w:rsidR="00E275A1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amendments to </w:t>
      </w:r>
      <w:r w:rsidR="00BC670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paragraphs </w:t>
      </w:r>
      <w:r w:rsidR="00E275A1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4(3)(a), 4(3)(b) and 4(3)(c) </w:t>
      </w:r>
      <w:r w:rsidR="00A853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of the Determination </w:t>
      </w:r>
      <w:r w:rsidR="00852789">
        <w:rPr>
          <w:rFonts w:ascii="Times New Roman" w:eastAsia="Times New Roman" w:hAnsi="Times New Roman" w:cs="Times New Roman"/>
          <w:sz w:val="24"/>
          <w:szCs w:val="24"/>
          <w:lang w:eastAsia="en-AU"/>
        </w:rPr>
        <w:t>will</w:t>
      </w:r>
      <w:r w:rsidR="00C738F0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allow the ACMA to determine that such persons </w:t>
      </w:r>
      <w:r w:rsidR="00A853AF">
        <w:rPr>
          <w:rFonts w:ascii="Times New Roman" w:eastAsia="Times New Roman" w:hAnsi="Times New Roman" w:cs="Times New Roman"/>
          <w:sz w:val="24"/>
          <w:szCs w:val="24"/>
          <w:lang w:eastAsia="en-AU"/>
        </w:rPr>
        <w:t>are</w:t>
      </w:r>
      <w:r w:rsidR="00C738F0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‘non</w:t>
      </w:r>
      <w:r w:rsidR="00733612">
        <w:rPr>
          <w:rFonts w:ascii="Times New Roman" w:eastAsia="Times New Roman" w:hAnsi="Times New Roman" w:cs="Times New Roman"/>
          <w:sz w:val="24"/>
          <w:szCs w:val="24"/>
          <w:lang w:eastAsia="en-AU"/>
        </w:rPr>
        <w:noBreakHyphen/>
      </w:r>
      <w:r w:rsidR="00C738F0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participating persons’ under those </w:t>
      </w:r>
      <w:r w:rsidR="00A853AF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</w:t>
      </w:r>
      <w:r w:rsidR="00C738F0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s.  </w:t>
      </w:r>
      <w:r w:rsidR="0077651B" w:rsidRPr="00C738F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</w:t>
      </w:r>
    </w:p>
    <w:p w14:paraId="54CA7180" w14:textId="77777777" w:rsidR="00A66994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with the </w:t>
      </w:r>
      <w:r w:rsidR="00175656" w:rsidRPr="00175656">
        <w:rPr>
          <w:rFonts w:ascii="Times New Roman" w:eastAsia="Times New Roman" w:hAnsi="Times New Roman" w:cs="Times New Roman"/>
          <w:sz w:val="24"/>
          <w:szCs w:val="24"/>
          <w:lang w:eastAsia="en-AU"/>
        </w:rPr>
        <w:t>PP Determination 2013 (</w:t>
      </w:r>
      <w:r w:rsidR="00F7371B">
        <w:rPr>
          <w:rFonts w:ascii="Times New Roman" w:eastAsia="Times New Roman" w:hAnsi="Times New Roman" w:cs="Times New Roman"/>
          <w:sz w:val="24"/>
          <w:szCs w:val="24"/>
          <w:lang w:eastAsia="en-AU"/>
        </w:rPr>
        <w:t>No. 2</w:t>
      </w:r>
      <w:r w:rsidR="00175656" w:rsidRPr="00175656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Determination provides clear benefits to smaller carriers by reducing their compliance </w:t>
      </w:r>
      <w:r w:rsidRPr="005763BD">
        <w:rPr>
          <w:rFonts w:ascii="Times New Roman" w:hAnsi="Times New Roman"/>
          <w:sz w:val="24"/>
        </w:rPr>
        <w:t>burden</w:t>
      </w:r>
      <w:r w:rsidR="008834F2">
        <w:rPr>
          <w:rFonts w:ascii="Times New Roman" w:hAnsi="Times New Roman"/>
          <w:sz w:val="24"/>
        </w:rPr>
        <w:t>.</w:t>
      </w:r>
      <w:r w:rsidR="00F7371B" w:rsidRPr="005763BD">
        <w:rPr>
          <w:rFonts w:ascii="Times New Roman" w:hAnsi="Times New Roman"/>
          <w:sz w:val="24"/>
        </w:rPr>
        <w:t xml:space="preserve"> </w:t>
      </w:r>
      <w:r w:rsidR="001D34D0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These benefits are achieved by absolving such persons from having to submit eligible revenue returns </w:t>
      </w:r>
      <w:r w:rsidR="00E22CA0">
        <w:rPr>
          <w:rFonts w:ascii="Times New Roman" w:eastAsia="Times New Roman" w:hAnsi="Times New Roman" w:cs="Times New Roman"/>
          <w:sz w:val="24"/>
          <w:szCs w:val="24"/>
          <w:lang w:eastAsia="en-AU"/>
        </w:rPr>
        <w:t>to the ACMA u</w:t>
      </w:r>
      <w:r w:rsidR="00E22CA0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nder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the Act, which can be a resource</w:t>
      </w:r>
      <w:r w:rsid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noBreakHyphen/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intensive and time</w:t>
      </w:r>
      <w:r w:rsidR="00175656">
        <w:rPr>
          <w:rFonts w:ascii="Times New Roman" w:eastAsia="Times New Roman" w:hAnsi="Times New Roman" w:cs="Times New Roman"/>
          <w:sz w:val="24"/>
          <w:szCs w:val="24"/>
          <w:lang w:eastAsia="en-AU"/>
        </w:rPr>
        <w:noBreakHyphen/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consuming process. </w:t>
      </w:r>
      <w:r w:rsidR="00F7371B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Whil</w:t>
      </w:r>
      <w:r w:rsidR="00F7371B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F7371B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larger entities may be able to absorb such burdens, smaller entities 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may have greater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difficulties in doing so.</w:t>
      </w:r>
    </w:p>
    <w:p w14:paraId="757129DE" w14:textId="77777777" w:rsidR="003D084F" w:rsidRPr="00010779" w:rsidRDefault="003D084F" w:rsidP="003D0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As the</w:t>
      </w:r>
      <w:r w:rsidRPr="000107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replaces the</w:t>
      </w:r>
      <w:r w:rsidRPr="003D084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175656">
        <w:rPr>
          <w:rFonts w:ascii="Times New Roman" w:eastAsia="Times New Roman" w:hAnsi="Times New Roman" w:cs="Times New Roman"/>
          <w:sz w:val="24"/>
          <w:szCs w:val="24"/>
          <w:lang w:eastAsia="en-AU"/>
        </w:rPr>
        <w:t>PP Determination 2013 (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No. 2</w:t>
      </w:r>
      <w:r w:rsidRPr="00175656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, the Determination</w:t>
      </w:r>
      <w:r w:rsidRPr="000107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does not impose new obligations on participating persons, or alter their existing obligations.</w:t>
      </w:r>
      <w:r w:rsidRPr="00AD195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116018D8" w14:textId="77777777" w:rsidR="00A66994" w:rsidRDefault="00A66994" w:rsidP="00A66994">
      <w:pPr>
        <w:keepNex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Consultation </w:t>
      </w:r>
    </w:p>
    <w:p w14:paraId="6F1726E5" w14:textId="77777777" w:rsidR="00982F37" w:rsidRPr="00411668" w:rsidRDefault="00982F37" w:rsidP="00982F3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1166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Australian Communications and Media Authority was consulted in relation to the making of this Determination. </w:t>
      </w:r>
    </w:p>
    <w:p w14:paraId="663C2310" w14:textId="77777777" w:rsidR="00982F37" w:rsidRDefault="00982F37" w:rsidP="00982F3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11668">
        <w:rPr>
          <w:rFonts w:ascii="Times New Roman" w:eastAsia="Times New Roman" w:hAnsi="Times New Roman" w:cs="Times New Roman"/>
          <w:sz w:val="24"/>
          <w:szCs w:val="24"/>
          <w:lang w:eastAsia="en-AU"/>
        </w:rPr>
        <w:t>An exposure draft of this Determination was provided in June 2015 to carriers who were participating persons in prior eligible revenue periods. Carriers were provided with a three week period to review the exposure draft and provide any comments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 No issues were raised.</w:t>
      </w:r>
    </w:p>
    <w:p w14:paraId="2C7175DC" w14:textId="77777777" w:rsidR="00A66994" w:rsidRPr="00A66994" w:rsidRDefault="00A66994" w:rsidP="00A66994">
      <w:pPr>
        <w:keepNext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Regulatory impact</w:t>
      </w:r>
    </w:p>
    <w:p w14:paraId="17C33ED5" w14:textId="77777777" w:rsidR="00D234C9" w:rsidRPr="00010779" w:rsidRDefault="00D234C9" w:rsidP="00D234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0544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Office of Best Practice Regulation has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dvised</w:t>
      </w:r>
      <w:r w:rsidRPr="0070544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that the regulatory changes arising from the Determination are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minor or </w:t>
      </w:r>
      <w:r w:rsidRPr="0070544E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machinery in nature and that no further regulatory impact analysis is required. </w:t>
      </w:r>
    </w:p>
    <w:p w14:paraId="384E36EA" w14:textId="77777777" w:rsidR="00A66994" w:rsidRPr="00A66994" w:rsidRDefault="00A66994" w:rsidP="00A669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AU"/>
        </w:rPr>
        <w:t>Statement of compatibility with human rights</w:t>
      </w:r>
    </w:p>
    <w:p w14:paraId="2B9D7811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This statement of compatibility is prepared in accordance with Part 3 of the </w:t>
      </w:r>
      <w:r w:rsidRPr="00A66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Human Rights (Parliamentary Scrutiny) Act 2011</w:t>
      </w:r>
      <w:r w:rsidRPr="00A6699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14:paraId="5313DB79" w14:textId="77777777" w:rsidR="00A66994" w:rsidRPr="00A66994" w:rsidRDefault="00A66994" w:rsidP="002C4A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Determination exempts certain persons from being participating persons for the purposes of the Act. This will alleviate these persons from </w:t>
      </w:r>
      <w:r w:rsidR="0055681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lodging an eligible revenue return with the ACMA. </w:t>
      </w:r>
      <w:r w:rsidR="0088345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556815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As a consequence, no eligible revenue will be assessed and those persons will not have a levy liability assessed under the Act</w:t>
      </w:r>
      <w:r w:rsidR="008E7420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="008E742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the </w:t>
      </w:r>
      <w:r w:rsidR="0059775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subsequent </w:t>
      </w:r>
      <w:r w:rsidR="008E7420">
        <w:rPr>
          <w:rFonts w:ascii="Times New Roman" w:eastAsia="Times New Roman" w:hAnsi="Times New Roman" w:cs="Times New Roman"/>
          <w:sz w:val="24"/>
          <w:szCs w:val="24"/>
          <w:lang w:eastAsia="en-AU"/>
        </w:rPr>
        <w:t>eligible levy period</w:t>
      </w:r>
      <w:r w:rsidRPr="00A6699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. </w:t>
      </w:r>
      <w:r w:rsidR="00883456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The Determination is compatible with the human rights and freedoms recognised or declared in the international instruments listed in section 3 of the </w:t>
      </w:r>
      <w:r w:rsidRPr="00A66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AU"/>
        </w:rPr>
        <w:t>Human Rights (Parliamentary Scrutiny) Act</w:t>
      </w:r>
      <w:r w:rsidRPr="00A6699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  It does not engage any of the applicable rights or freedoms and does not raise any human rights issues.</w:t>
      </w:r>
    </w:p>
    <w:p w14:paraId="3BD78CBF" w14:textId="77777777" w:rsidR="000B5757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Determination is a legislative instrument for the purposes of the 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Legislative Instruments Act 2003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573F426B" w14:textId="77777777" w:rsidR="000B5757" w:rsidRDefault="002158F8" w:rsidP="002158F8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sz w:val="24"/>
          <w:szCs w:val="24"/>
          <w:lang w:eastAsia="en-AU"/>
        </w:rPr>
      </w:pPr>
      <w:r w:rsidRPr="002158F8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N</w:t>
      </w:r>
      <w:r w:rsidR="00A66994" w:rsidRPr="00A66994">
        <w:rPr>
          <w:rFonts w:ascii="Helvetica Neue" w:eastAsia="Times New Roman" w:hAnsi="Helvetica Neue" w:cs="Times New Roman"/>
          <w:b/>
          <w:sz w:val="24"/>
          <w:szCs w:val="24"/>
          <w:lang w:eastAsia="en-AU"/>
        </w:rPr>
        <w:t>otes on sections</w:t>
      </w:r>
    </w:p>
    <w:p w14:paraId="30E3E434" w14:textId="77777777" w:rsidR="00A66994" w:rsidRPr="00A66994" w:rsidRDefault="00A66994" w:rsidP="00A66994">
      <w:pPr>
        <w:rPr>
          <w:rFonts w:ascii="Helvetica Neue" w:eastAsia="Times New Roman" w:hAnsi="Helvetica Neue" w:cs="Times New Roman"/>
          <w:b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 xml:space="preserve">Section 1 - Name of Determination </w:t>
      </w:r>
    </w:p>
    <w:p w14:paraId="31B676DC" w14:textId="77777777" w:rsidR="00A66994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Section 1 provides that the name of the Determination is the 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Telecommunications (Participating Persons) Determination 201</w:t>
      </w:r>
      <w:r w:rsidR="00175656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5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0AE00F6F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sz w:val="19"/>
          <w:szCs w:val="19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2 - Commencement</w:t>
      </w:r>
    </w:p>
    <w:p w14:paraId="50BCDA2F" w14:textId="77777777" w:rsidR="00A66994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Section 2 provides that the Determination commences on the day after it is registered on the Federal Register of Legislative Instruments.</w:t>
      </w:r>
    </w:p>
    <w:p w14:paraId="780B1423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sz w:val="19"/>
          <w:szCs w:val="19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3 - Application</w:t>
      </w:r>
    </w:p>
    <w:p w14:paraId="5C108577" w14:textId="77777777" w:rsidR="00A66994" w:rsidRPr="00A66994" w:rsidRDefault="00A66994" w:rsidP="00A66994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 3 provides that the Determination applies in relation to </w:t>
      </w:r>
      <w:r w:rsid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all eligible revenue periods under the Act – that is </w:t>
      </w:r>
      <w:r w:rsidR="001B23A2">
        <w:rPr>
          <w:rFonts w:ascii="Times New Roman" w:eastAsia="Times New Roman" w:hAnsi="Times New Roman" w:cs="Times New Roman"/>
          <w:sz w:val="24"/>
          <w:szCs w:val="24"/>
          <w:lang w:eastAsia="en-AU"/>
        </w:rPr>
        <w:t>the 2013-14 eligible revenue period and subsequent eligible revenue periods</w:t>
      </w:r>
      <w:r w:rsidR="00466E2C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1B23A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00DCFEBA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sz w:val="19"/>
          <w:szCs w:val="19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4 - Definitions</w:t>
      </w:r>
    </w:p>
    <w:p w14:paraId="3924C68A" w14:textId="77777777" w:rsidR="00A66994" w:rsidRPr="00A66994" w:rsidRDefault="00ED592F" w:rsidP="00A66994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ection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4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defines the terms used in the Determination.</w:t>
      </w:r>
    </w:p>
    <w:p w14:paraId="52E172FA" w14:textId="77777777" w:rsidR="00A66994" w:rsidRPr="00B159B4" w:rsidRDefault="00A66994" w:rsidP="00B1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B159B4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 xml:space="preserve">Subsection 4(1) – General definitions </w:t>
      </w:r>
    </w:p>
    <w:p w14:paraId="2E04B3C4" w14:textId="77777777" w:rsidR="00A66994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definitions used in this provision are substantially replicated from subsections 4(1) and 4(2) of the </w:t>
      </w:r>
      <w:r w:rsidR="00D77810" w:rsidRPr="00175656">
        <w:rPr>
          <w:rFonts w:ascii="Times New Roman" w:eastAsia="Times New Roman" w:hAnsi="Times New Roman" w:cs="Times New Roman"/>
          <w:sz w:val="24"/>
          <w:szCs w:val="24"/>
          <w:lang w:eastAsia="en-AU"/>
        </w:rPr>
        <w:t>PP Determination 2013 (</w:t>
      </w:r>
      <w:r w:rsidR="00F7371B">
        <w:rPr>
          <w:rFonts w:ascii="Times New Roman" w:eastAsia="Times New Roman" w:hAnsi="Times New Roman" w:cs="Times New Roman"/>
          <w:sz w:val="24"/>
          <w:szCs w:val="24"/>
          <w:lang w:eastAsia="en-AU"/>
        </w:rPr>
        <w:t>No. 2</w:t>
      </w:r>
      <w:r w:rsidR="00D77810" w:rsidRPr="00175656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    </w:t>
      </w:r>
    </w:p>
    <w:p w14:paraId="057142F8" w14:textId="77777777" w:rsidR="00A66994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term ‘specified timeframe’ is used in subsection 4(3) of the Determination and refers to the date specified in an instrument made by the ACMA under paragraph </w:t>
      </w:r>
      <w:r w:rsidR="00D77810">
        <w:rPr>
          <w:rFonts w:ascii="Times New Roman" w:eastAsia="Times New Roman" w:hAnsi="Times New Roman" w:cs="Times New Roman"/>
          <w:sz w:val="24"/>
          <w:szCs w:val="24"/>
          <w:lang w:eastAsia="en-AU"/>
        </w:rPr>
        <w:t>43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(1)(b) of the Act.  Currently, the 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specified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timeframe is four months following the end of the eligible revenue period, as set out in the 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Telecommunications (Eligible Revenue) Determination 201</w:t>
      </w:r>
      <w:r w:rsidR="00D7781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5</w:t>
      </w:r>
      <w:r w:rsidRPr="00A66994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Pr="00A66994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Eligible Revenue Determination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Pr="00A66994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.  </w:t>
      </w:r>
    </w:p>
    <w:p w14:paraId="6522D29F" w14:textId="77777777" w:rsidR="00A66994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The term ‘ultimate Australian parent entity’ is defined as having the same meaning as in the Eligible Revenue Determination.  Section 5 of the Eligible Revenue Determination provides this definition.</w:t>
      </w:r>
    </w:p>
    <w:p w14:paraId="03F71640" w14:textId="77777777" w:rsidR="00A66994" w:rsidRDefault="00A66994" w:rsidP="00A6699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A person’s initial sales revenue, gross telecommunications sales revenue and eligible revenue for the purposes of the Determination are to be calculated with reference to each of those amounts under:</w:t>
      </w:r>
    </w:p>
    <w:p w14:paraId="391D4BB9" w14:textId="77777777" w:rsidR="00A66994" w:rsidRPr="002111C3" w:rsidRDefault="00A66994" w:rsidP="002111C3">
      <w:pPr>
        <w:pStyle w:val="ListParagraph"/>
        <w:numPr>
          <w:ilvl w:val="0"/>
          <w:numId w:val="5"/>
        </w:numPr>
        <w:spacing w:before="120" w:after="100" w:afterAutospacing="1" w:line="240" w:lineRule="auto"/>
        <w:rPr>
          <w:rFonts w:ascii="Times New Roman" w:eastAsia="Times New Roman" w:hAnsi="Times New Roman" w:cs="Times New Roman"/>
          <w:sz w:val="14"/>
          <w:szCs w:val="14"/>
          <w:lang w:eastAsia="en-AU"/>
        </w:rPr>
      </w:pPr>
      <w:r w:rsidRP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Act (in the case of eligible revenue); </w:t>
      </w:r>
      <w:r w:rsidR="00E55A25">
        <w:rPr>
          <w:rFonts w:ascii="Times New Roman" w:eastAsia="Times New Roman" w:hAnsi="Times New Roman" w:cs="Times New Roman"/>
          <w:sz w:val="24"/>
          <w:szCs w:val="24"/>
          <w:lang w:eastAsia="en-AU"/>
        </w:rPr>
        <w:t>and/</w:t>
      </w:r>
      <w:r w:rsidRP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</w:t>
      </w:r>
    </w:p>
    <w:p w14:paraId="33EED412" w14:textId="77777777" w:rsidR="00A66994" w:rsidRPr="002111C3" w:rsidRDefault="00A66994" w:rsidP="002111C3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eastAsia="Times New Roman" w:hAnsi="Times New Roman" w:cs="Times New Roman"/>
          <w:sz w:val="14"/>
          <w:szCs w:val="14"/>
          <w:lang w:eastAsia="en-AU"/>
        </w:rPr>
      </w:pPr>
      <w:r w:rsidRP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Eligible Revenue Determination (in the case of </w:t>
      </w:r>
      <w:r w:rsidR="00E55A25" w:rsidRP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>initial sales revenue</w:t>
      </w:r>
      <w:r w:rsidR="00E55A25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="00E55A25" w:rsidRP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>gross telecommunications sales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>revenue and</w:t>
      </w:r>
      <w:r w:rsidR="00E55A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eligible revenue</w:t>
      </w:r>
      <w:r w:rsidRPr="002111C3">
        <w:rPr>
          <w:rFonts w:ascii="Times New Roman" w:eastAsia="Times New Roman" w:hAnsi="Times New Roman" w:cs="Times New Roman"/>
          <w:sz w:val="24"/>
          <w:szCs w:val="24"/>
          <w:lang w:eastAsia="en-AU"/>
        </w:rPr>
        <w:t>),</w:t>
      </w:r>
    </w:p>
    <w:p w14:paraId="6C4A8489" w14:textId="77777777" w:rsidR="00A66994" w:rsidRPr="00A66994" w:rsidRDefault="00A66994" w:rsidP="002111C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as if that person were a participating person under the Act.</w:t>
      </w:r>
    </w:p>
    <w:p w14:paraId="01CB7F59" w14:textId="77777777" w:rsidR="00A66994" w:rsidRPr="00B159B4" w:rsidRDefault="00A66994" w:rsidP="00B1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B159B4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Subsection 4(2) – ‘eligible statutory declaration’</w:t>
      </w:r>
    </w:p>
    <w:p w14:paraId="76E12B4E" w14:textId="77777777" w:rsidR="00A66994" w:rsidRPr="00A66994" w:rsidRDefault="00A66994" w:rsidP="00A66994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4(2) defines the term ‘eligible statutory declaration’ for the purposes of the Determination.  </w:t>
      </w:r>
      <w:r w:rsidR="00D77810"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declaration must be made by a person with appropriate authority for the company or individual and </w:t>
      </w:r>
      <w:r w:rsidR="005A5093"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>compl</w:t>
      </w:r>
      <w:r w:rsidR="005A50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 with the requirements set out in </w:t>
      </w:r>
      <w:r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1809CF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Statutory Declarations Act 1959</w:t>
      </w:r>
      <w:r w:rsidR="005A5093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 </w:t>
      </w:r>
      <w:r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Pr="0018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Stat Dec Act</w:t>
      </w:r>
      <w:r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).  </w:t>
      </w:r>
      <w:r w:rsidR="000915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minor amendment was made </w:t>
      </w:r>
      <w:r w:rsidR="002967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Determination </w:t>
      </w:r>
      <w:r w:rsidR="000915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</w:t>
      </w:r>
      <w:r w:rsidR="00D77810"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>expand the types of persons who can lodge an eligible statutory declaration on behalf of a company to include any person authorised in writing by the company to make the declaration.</w:t>
      </w:r>
      <w:r w:rsidR="005A50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5651A4"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reason for this amendment </w:t>
      </w:r>
      <w:r w:rsidR="005A509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was </w:t>
      </w:r>
      <w:r w:rsidR="005651A4" w:rsidRPr="001809CF">
        <w:rPr>
          <w:rFonts w:ascii="Times New Roman" w:eastAsia="Times New Roman" w:hAnsi="Times New Roman" w:cs="Times New Roman"/>
          <w:sz w:val="24"/>
          <w:szCs w:val="24"/>
          <w:lang w:eastAsia="en-AU"/>
        </w:rPr>
        <w:t>to ensure additional flexibility for companies to appropriately delegate this administrative task</w:t>
      </w:r>
      <w:r w:rsidR="00597753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09157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05226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37475576" w14:textId="77777777" w:rsidR="008834F2" w:rsidRPr="004C1E89" w:rsidRDefault="00A66994" w:rsidP="004C1E89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Under the Stat Dec Act, a person who wilfully makes a false statement is guilty of an offence and may be fined, jailed or both. </w:t>
      </w:r>
    </w:p>
    <w:p w14:paraId="46A65FAA" w14:textId="77777777" w:rsidR="00A66994" w:rsidRPr="00B159B4" w:rsidRDefault="00A66994" w:rsidP="00B1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B159B4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Subsection 4(3) – ‘non-participating person’</w:t>
      </w:r>
    </w:p>
    <w:p w14:paraId="77B0E7C1" w14:textId="77777777" w:rsidR="00A66994" w:rsidRPr="00A66994" w:rsidRDefault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4(3) defines the term ‘non-participating person’.  Paragraphs 4(3)(a), (b) and (c) provide that if a person’s initial sales revenue, gross telecommunications </w:t>
      </w:r>
      <w:r w:rsidR="005054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sales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revenue or eligible revenue is less than the $25 million threshold and </w:t>
      </w:r>
      <w:r w:rsidR="00B2671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</w:t>
      </w:r>
      <w:r w:rsidR="000479A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fact </w:t>
      </w:r>
      <w:r w:rsidR="00B2671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supported </w:t>
      </w:r>
      <w:r w:rsidR="00BC670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either </w:t>
      </w:r>
      <w:r w:rsidR="00B2671C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by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an eligible statutory declaration provided to the ACMA within the specified timeframe</w:t>
      </w:r>
      <w:r w:rsidR="00B2671C"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C670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</w:t>
      </w:r>
      <w:r w:rsidR="00852789">
        <w:rPr>
          <w:rFonts w:ascii="Times New Roman" w:eastAsia="Times New Roman" w:hAnsi="Times New Roman" w:cs="Times New Roman"/>
          <w:sz w:val="24"/>
          <w:szCs w:val="24"/>
          <w:lang w:eastAsia="en-AU"/>
        </w:rPr>
        <w:t>by the ACMA otherwise being reasonably satisfied,</w:t>
      </w:r>
      <w:r w:rsidR="00803D5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then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person will be a ‘non-participating person’.  </w:t>
      </w:r>
    </w:p>
    <w:p w14:paraId="58B7BFA3" w14:textId="77777777" w:rsidR="00D234C9" w:rsidRPr="00C44A02" w:rsidRDefault="00A66994" w:rsidP="00C44A0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 example of how </w:t>
      </w:r>
      <w:r w:rsidR="00ED592F">
        <w:rPr>
          <w:rFonts w:ascii="Times New Roman" w:eastAsia="Times New Roman" w:hAnsi="Times New Roman" w:cs="Times New Roman"/>
          <w:sz w:val="24"/>
          <w:szCs w:val="24"/>
          <w:lang w:eastAsia="en-AU"/>
        </w:rPr>
        <w:t>subsection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4(3) works is set out below.  </w:t>
      </w:r>
    </w:p>
    <w:p w14:paraId="1C3FB90B" w14:textId="77777777" w:rsidR="00A66994" w:rsidRPr="000B5757" w:rsidRDefault="00A66994" w:rsidP="009B3B02">
      <w:pPr>
        <w:keepNext/>
        <w:spacing w:before="20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Example</w:t>
      </w:r>
      <w:r w:rsidR="008E7420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 xml:space="preserve"> 1</w:t>
      </w:r>
      <w:r w:rsidR="00CB6CF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 xml:space="preserve"> – Carriers that can lodge </w:t>
      </w:r>
      <w:r w:rsidR="00CB6CF3" w:rsidRPr="00EF3F17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eligible statutory declarations</w:t>
      </w:r>
    </w:p>
    <w:p w14:paraId="53AA92E4" w14:textId="77777777" w:rsidR="00D234C9" w:rsidRPr="00A66994" w:rsidRDefault="00A66994" w:rsidP="00C44A02">
      <w:pPr>
        <w:keepNext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</w:t>
      </w:r>
      <w:r w:rsidR="00D46B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given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eligible revenue period:</w:t>
      </w:r>
    </w:p>
    <w:tbl>
      <w:tblPr>
        <w:tblW w:w="84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2024"/>
        <w:gridCol w:w="2423"/>
        <w:gridCol w:w="2224"/>
      </w:tblGrid>
      <w:tr w:rsidR="00A66994" w:rsidRPr="00A66994" w14:paraId="51B22281" w14:textId="77777777" w:rsidTr="00A66994">
        <w:trPr>
          <w:trHeight w:val="733"/>
        </w:trPr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21FF" w14:textId="77777777" w:rsidR="00A66994" w:rsidRPr="00A66994" w:rsidRDefault="00A66994" w:rsidP="00A6699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Carrier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F266E" w14:textId="77777777" w:rsidR="00A66994" w:rsidRPr="00A66994" w:rsidRDefault="00A66994" w:rsidP="00A6699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Initial sales revenue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07EE" w14:textId="77777777" w:rsidR="00A66994" w:rsidRPr="00A66994" w:rsidRDefault="00A66994" w:rsidP="00A6699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Gross telecommunications sales revenue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F140" w14:textId="77777777" w:rsidR="00A66994" w:rsidRPr="00A66994" w:rsidRDefault="00A66994" w:rsidP="00A66994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Eligible revenue</w:t>
            </w:r>
          </w:p>
        </w:tc>
      </w:tr>
      <w:tr w:rsidR="00A66994" w:rsidRPr="00A66994" w14:paraId="3922F033" w14:textId="77777777" w:rsidTr="00A66994">
        <w:trPr>
          <w:trHeight w:val="461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28B40" w14:textId="77777777" w:rsidR="00A66994" w:rsidRPr="00A66994" w:rsidRDefault="00A66994" w:rsidP="00A66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Carrier A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EEAA" w14:textId="77777777" w:rsidR="00A66994" w:rsidRPr="00A66994" w:rsidRDefault="00A66994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$20 million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D67C" w14:textId="77777777" w:rsidR="00A66994" w:rsidRPr="00A66994" w:rsidRDefault="00A66994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$15 million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52E02" w14:textId="77777777" w:rsidR="00A66994" w:rsidRPr="00A66994" w:rsidRDefault="00A66994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$10 million</w:t>
            </w:r>
          </w:p>
        </w:tc>
      </w:tr>
      <w:tr w:rsidR="00A66994" w:rsidRPr="00A66994" w14:paraId="3773F41A" w14:textId="77777777" w:rsidTr="00A66994">
        <w:trPr>
          <w:trHeight w:val="553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5968B" w14:textId="77777777" w:rsidR="00A66994" w:rsidRPr="00A66994" w:rsidRDefault="00A66994" w:rsidP="00A669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Carrier B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06F2" w14:textId="77777777" w:rsidR="00A66994" w:rsidRPr="00A66994" w:rsidRDefault="00A66994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$40 million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05173" w14:textId="77777777" w:rsidR="00A66994" w:rsidRPr="00A66994" w:rsidRDefault="00A66994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$24 million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172F6" w14:textId="77777777" w:rsidR="00A66994" w:rsidRPr="00A66994" w:rsidRDefault="00A66994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$12 million</w:t>
            </w:r>
          </w:p>
        </w:tc>
      </w:tr>
    </w:tbl>
    <w:p w14:paraId="76684DC7" w14:textId="77777777" w:rsidR="00A66994" w:rsidRDefault="00A66994" w:rsidP="006E09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A7CBE4F" w14:textId="77777777" w:rsidR="00A66994" w:rsidRDefault="00A66994" w:rsidP="00A66994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Carrier A will satisfy</w:t>
      </w:r>
      <w:r w:rsidR="00FA04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thresholds in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paragraphs 4(3</w:t>
      </w:r>
      <w:r w:rsidRPr="005763BD">
        <w:rPr>
          <w:rFonts w:ascii="Times New Roman" w:hAnsi="Times New Roman"/>
          <w:sz w:val="24"/>
        </w:rPr>
        <w:t xml:space="preserve">)(a), 4(3)(b) </w:t>
      </w:r>
      <w:r w:rsidR="00907EE5" w:rsidRPr="005763BD">
        <w:rPr>
          <w:rFonts w:ascii="Times New Roman" w:hAnsi="Times New Roman"/>
          <w:sz w:val="24"/>
        </w:rPr>
        <w:t xml:space="preserve">and </w:t>
      </w:r>
      <w:r w:rsidRPr="005763BD">
        <w:rPr>
          <w:rFonts w:ascii="Times New Roman" w:hAnsi="Times New Roman"/>
          <w:sz w:val="24"/>
        </w:rPr>
        <w:t>4(3)(c) a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s its initial sales revenue, gross telecommunications sales revenue and eligible revenue are all under $25</w:t>
      </w:r>
      <w:r w:rsidR="00794F98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million.  Carrier B will 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also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satisfy </w:t>
      </w:r>
      <w:r w:rsidR="00FA04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thresholds in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paragraphs 4(3)(b</w:t>
      </w:r>
      <w:r w:rsidRPr="005763BD">
        <w:rPr>
          <w:rFonts w:ascii="Times New Roman" w:hAnsi="Times New Roman"/>
          <w:sz w:val="24"/>
        </w:rPr>
        <w:t xml:space="preserve">) </w:t>
      </w:r>
      <w:r w:rsidR="00907EE5" w:rsidRPr="005763BD">
        <w:rPr>
          <w:rFonts w:ascii="Times New Roman" w:hAnsi="Times New Roman"/>
          <w:sz w:val="24"/>
        </w:rPr>
        <w:t>and</w:t>
      </w:r>
      <w:r w:rsidR="00907EE5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4(3)(c</w:t>
      </w:r>
      <w:r w:rsidRPr="005763BD">
        <w:rPr>
          <w:rFonts w:ascii="Times New Roman" w:hAnsi="Times New Roman"/>
          <w:sz w:val="24"/>
        </w:rPr>
        <w:t>)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its gross telecommunications sales revenue and eligible revenue are both under $25 million. </w:t>
      </w:r>
    </w:p>
    <w:p w14:paraId="3E9DAFA5" w14:textId="77777777" w:rsidR="00D234C9" w:rsidRPr="00C44A02" w:rsidRDefault="00A66994" w:rsidP="00C44A02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eligible statutory declarations are provided separately by Carrier A and Carrier B </w:t>
      </w:r>
      <w:r w:rsidR="00DF31C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the ACMA is otherwise </w:t>
      </w:r>
      <w:r w:rsidR="00E55A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reasonably </w:t>
      </w:r>
      <w:r w:rsidR="00DF31C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satisfied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in relation to one of these paragraphs, they will be non-participating persons under the Determination.</w:t>
      </w:r>
    </w:p>
    <w:p w14:paraId="426829B4" w14:textId="77777777" w:rsidR="008E7420" w:rsidRPr="00EF3F17" w:rsidRDefault="008E7420" w:rsidP="00C44A02">
      <w:pPr>
        <w:keepNext/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EF3F17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Example 2 – Carrier ceases to exist</w:t>
      </w:r>
    </w:p>
    <w:p w14:paraId="3114B349" w14:textId="77777777" w:rsidR="00CB6CF3" w:rsidRPr="00A66994" w:rsidRDefault="00CB6CF3" w:rsidP="00CB6CF3">
      <w:pPr>
        <w:keepNext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given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eligible revenue period:</w:t>
      </w:r>
    </w:p>
    <w:tbl>
      <w:tblPr>
        <w:tblW w:w="84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2024"/>
        <w:gridCol w:w="2423"/>
        <w:gridCol w:w="2224"/>
      </w:tblGrid>
      <w:tr w:rsidR="008E7420" w:rsidRPr="00A66994" w14:paraId="1105101A" w14:textId="77777777" w:rsidTr="007A5215">
        <w:trPr>
          <w:trHeight w:val="733"/>
        </w:trPr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EC9A5" w14:textId="77777777" w:rsidR="008E7420" w:rsidRPr="00A66994" w:rsidRDefault="008E7420" w:rsidP="007A521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Carrier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756A" w14:textId="77777777" w:rsidR="008E7420" w:rsidRPr="00A66994" w:rsidRDefault="008E7420" w:rsidP="007A521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Initial sales revenue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3F5F" w14:textId="77777777" w:rsidR="008E7420" w:rsidRPr="00A66994" w:rsidRDefault="008E7420" w:rsidP="007A521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Gross telecommunications sales revenue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70483" w14:textId="77777777" w:rsidR="008E7420" w:rsidRPr="00A66994" w:rsidRDefault="008E7420" w:rsidP="007A521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Eligible revenue</w:t>
            </w:r>
          </w:p>
        </w:tc>
      </w:tr>
      <w:tr w:rsidR="008E7420" w:rsidRPr="00A66994" w14:paraId="3E54104A" w14:textId="77777777" w:rsidTr="007A5215">
        <w:trPr>
          <w:trHeight w:val="1269"/>
        </w:trPr>
        <w:tc>
          <w:tcPr>
            <w:tcW w:w="18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76853" w14:textId="77777777" w:rsidR="008E7420" w:rsidRPr="00A66994" w:rsidRDefault="008E7420" w:rsidP="007A521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Carrier C (ceased to exist before the end of the specified timeframe)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9F870" w14:textId="77777777" w:rsidR="008E7420" w:rsidRPr="00A66994" w:rsidRDefault="008E7420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$40 million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DB0C" w14:textId="77777777" w:rsidR="008E7420" w:rsidRPr="00A66994" w:rsidRDefault="008E7420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$24 million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26AA" w14:textId="77777777" w:rsidR="008E7420" w:rsidRPr="00A66994" w:rsidRDefault="008E7420" w:rsidP="00CB6C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$12 million</w:t>
            </w:r>
          </w:p>
        </w:tc>
      </w:tr>
    </w:tbl>
    <w:p w14:paraId="3A01BA21" w14:textId="77777777" w:rsidR="00A66994" w:rsidRDefault="00A66994" w:rsidP="00A66994">
      <w:pPr>
        <w:spacing w:before="12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Carrier C ceased to exist before the end of the </w:t>
      </w:r>
      <w:r w:rsidR="00803D5D">
        <w:rPr>
          <w:rFonts w:ascii="Times New Roman" w:eastAsia="Times New Roman" w:hAnsi="Times New Roman" w:cs="Times New Roman"/>
          <w:sz w:val="24"/>
          <w:szCs w:val="24"/>
          <w:lang w:eastAsia="en-AU"/>
        </w:rPr>
        <w:t>specified timeframe</w:t>
      </w:r>
      <w:r w:rsidR="00C036E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did not submit an eligible statutory declaration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  </w:t>
      </w:r>
      <w:r w:rsidR="00C036EF">
        <w:rPr>
          <w:rFonts w:ascii="Times New Roman" w:eastAsia="Times New Roman" w:hAnsi="Times New Roman" w:cs="Times New Roman"/>
          <w:sz w:val="24"/>
          <w:szCs w:val="24"/>
          <w:lang w:eastAsia="en-AU"/>
        </w:rPr>
        <w:t>T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he ACMA </w:t>
      </w:r>
      <w:r w:rsidR="00C036EF">
        <w:rPr>
          <w:rFonts w:ascii="Times New Roman" w:eastAsia="Times New Roman" w:hAnsi="Times New Roman" w:cs="Times New Roman"/>
          <w:sz w:val="24"/>
          <w:szCs w:val="24"/>
          <w:lang w:eastAsia="en-AU"/>
        </w:rPr>
        <w:t>is otherwise</w:t>
      </w:r>
      <w:r w:rsidR="00E55A2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reasonably</w:t>
      </w:r>
      <w:r w:rsidR="00C036E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satisfied that Carrier C’s </w:t>
      </w:r>
      <w:r w:rsidR="00C036EF" w:rsidRPr="00C036E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gross telecommunications sales revenue and eligible revenue are both under $25 million </w:t>
      </w:r>
      <w:r w:rsidR="00C036E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determine</w:t>
      </w:r>
      <w:r w:rsidR="00C036EF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Carrier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 </w:t>
      </w:r>
      <w:r w:rsidR="00852789">
        <w:rPr>
          <w:rFonts w:ascii="Times New Roman" w:eastAsia="Times New Roman" w:hAnsi="Times New Roman" w:cs="Times New Roman"/>
          <w:sz w:val="24"/>
          <w:szCs w:val="24"/>
          <w:lang w:eastAsia="en-AU"/>
        </w:rPr>
        <w:t>is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non</w:t>
      </w:r>
      <w:r w:rsidR="00505499">
        <w:rPr>
          <w:rFonts w:ascii="Times New Roman" w:eastAsia="Times New Roman" w:hAnsi="Times New Roman" w:cs="Times New Roman"/>
          <w:sz w:val="24"/>
          <w:szCs w:val="24"/>
          <w:lang w:eastAsia="en-AU"/>
        </w:rPr>
        <w:noBreakHyphen/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participating person </w:t>
      </w:r>
      <w:r w:rsidR="00803D5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(as Carrier C 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>satisf</w:t>
      </w:r>
      <w:r w:rsidR="00852789">
        <w:rPr>
          <w:rFonts w:ascii="Times New Roman" w:eastAsia="Times New Roman" w:hAnsi="Times New Roman" w:cs="Times New Roman"/>
          <w:sz w:val="24"/>
          <w:szCs w:val="24"/>
          <w:lang w:eastAsia="en-AU"/>
        </w:rPr>
        <w:t>ies</w:t>
      </w:r>
      <w:r w:rsidR="00147075" w:rsidRP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147075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paragraphs 4(3</w:t>
      </w:r>
      <w:r w:rsidR="00147075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)(b) </w:t>
      </w:r>
      <w:r w:rsidR="00907EE5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</w:t>
      </w:r>
      <w:r w:rsidR="00147075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>4(3)(c))</w:t>
      </w:r>
      <w:r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Pr="005763BD">
        <w:rPr>
          <w:rFonts w:ascii="Times New Roman" w:hAnsi="Times New Roman"/>
          <w:sz w:val="24"/>
        </w:rPr>
        <w:t xml:space="preserve"> 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  </w:t>
      </w:r>
    </w:p>
    <w:p w14:paraId="6F4E5642" w14:textId="77777777" w:rsidR="00A66994" w:rsidRPr="00B159B4" w:rsidRDefault="00A66994" w:rsidP="00B15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  <w:r w:rsidRPr="00B159B4"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  <w:t>Subsection 4(4) - ultimate Australian parent entity</w:t>
      </w:r>
    </w:p>
    <w:p w14:paraId="2B500CC0" w14:textId="77777777" w:rsidR="00A66994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4(4) sets out that if a person has the same ‘ultimate Australian parent entity’ (a term defined in the Eligible Revenue Determination) as one or more other carriers (or carriage service providers, if a determination under paragraph </w:t>
      </w:r>
      <w:r w:rsidR="00D260AB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(1)(b) of the Act </w:t>
      </w:r>
      <w:r w:rsidR="00AE6AE5">
        <w:rPr>
          <w:rFonts w:ascii="Times New Roman" w:eastAsia="Times New Roman" w:hAnsi="Times New Roman" w:cs="Times New Roman"/>
          <w:sz w:val="24"/>
          <w:szCs w:val="24"/>
          <w:lang w:eastAsia="en-AU"/>
        </w:rPr>
        <w:t>is in force), then each carrier</w:t>
      </w:r>
      <w:r w:rsidRPr="005763BD">
        <w:rPr>
          <w:rFonts w:ascii="Times New Roman" w:hAnsi="Times New Roman"/>
          <w:sz w:val="24"/>
        </w:rPr>
        <w:t xml:space="preserve"> m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ust calculate initial sales revenue, gross telecommunications sales revenue </w:t>
      </w:r>
      <w:r w:rsidR="00D260A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eligible revenue on a group basis, accounting for revenues and deductions as a whole.  </w:t>
      </w:r>
    </w:p>
    <w:p w14:paraId="3905F572" w14:textId="77777777" w:rsidR="00D234C9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with the 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PP </w:t>
      </w:r>
      <w:r w:rsidR="00147075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Determination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2013 (No. 2)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subsection 4(4) has been included to protect against an ultimate Australian parent entity from artificially restructuring a group of entities </w:t>
      </w:r>
      <w:r w:rsidR="004B6E7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so that no individual </w:t>
      </w:r>
      <w:r w:rsidR="000D5E52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entity </w:t>
      </w:r>
      <w:r w:rsidR="004B6E7A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had revenue that exceeded the </w:t>
      </w:r>
      <w:r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$25 million threshold (i.e. </w:t>
      </w:r>
      <w:r w:rsidR="000D5E52"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so that each individual entity was </w:t>
      </w:r>
      <w:r w:rsidRPr="005763BD">
        <w:rPr>
          <w:rFonts w:ascii="Times New Roman" w:eastAsia="Times New Roman" w:hAnsi="Times New Roman" w:cs="Times New Roman"/>
          <w:sz w:val="24"/>
          <w:szCs w:val="24"/>
          <w:lang w:eastAsia="en-AU"/>
        </w:rPr>
        <w:t>a ‘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non</w:t>
      </w:r>
      <w:r w:rsidR="00505499">
        <w:rPr>
          <w:rFonts w:ascii="Times New Roman" w:eastAsia="Times New Roman" w:hAnsi="Times New Roman" w:cs="Times New Roman"/>
          <w:sz w:val="24"/>
          <w:szCs w:val="24"/>
          <w:lang w:eastAsia="en-AU"/>
        </w:rPr>
        <w:noBreakHyphen/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participating person’).  In submitting eligible revenue returns, </w:t>
      </w:r>
      <w:r w:rsidR="008E7420">
        <w:rPr>
          <w:rFonts w:ascii="Times New Roman" w:eastAsia="Times New Roman" w:hAnsi="Times New Roman" w:cs="Times New Roman"/>
          <w:sz w:val="24"/>
          <w:szCs w:val="24"/>
          <w:lang w:eastAsia="en-AU"/>
        </w:rPr>
        <w:t>the group is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able to choose how to account for revenue/deduction calculations, in accordance with the options available under the Eligible Revenue Determination (i.e. either as a group or on an individual basis).  An example of how subsection 4(4) operates is set out below.</w:t>
      </w:r>
    </w:p>
    <w:p w14:paraId="34A5EC22" w14:textId="77777777" w:rsidR="00D234C9" w:rsidRPr="00C44A02" w:rsidRDefault="00A66994" w:rsidP="000552CF">
      <w:pPr>
        <w:keepNext/>
        <w:spacing w:before="240"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Example</w:t>
      </w:r>
      <w:r w:rsidR="008E7420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 xml:space="preserve"> 3</w:t>
      </w:r>
      <w:r w:rsidR="00CB6CF3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 xml:space="preserve"> – </w:t>
      </w:r>
      <w:r w:rsidR="00CB6CF3" w:rsidRPr="00EF3F17"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  <w:t>‘ultimate Australian parent entity’</w:t>
      </w:r>
    </w:p>
    <w:tbl>
      <w:tblPr>
        <w:tblW w:w="84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2024"/>
        <w:gridCol w:w="2423"/>
        <w:gridCol w:w="2224"/>
      </w:tblGrid>
      <w:tr w:rsidR="008E7420" w:rsidRPr="00A66994" w14:paraId="36A0D454" w14:textId="77777777" w:rsidTr="007A5215">
        <w:trPr>
          <w:trHeight w:val="733"/>
        </w:trPr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0A666" w14:textId="77777777" w:rsidR="008E7420" w:rsidRPr="00A66994" w:rsidRDefault="008E7420" w:rsidP="007A521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Carrier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C6CED" w14:textId="77777777" w:rsidR="008E7420" w:rsidRPr="00A66994" w:rsidRDefault="008E7420" w:rsidP="007A521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Initial sales revenue</w:t>
            </w:r>
          </w:p>
        </w:tc>
        <w:tc>
          <w:tcPr>
            <w:tcW w:w="2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B79B7" w14:textId="77777777" w:rsidR="008E7420" w:rsidRPr="00A66994" w:rsidRDefault="008E7420" w:rsidP="007A521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Gross telecommunications sales revenue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5579" w14:textId="77777777" w:rsidR="008E7420" w:rsidRPr="00A66994" w:rsidRDefault="008E7420" w:rsidP="007A5215">
            <w:pPr>
              <w:keepNext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Eligible revenue</w:t>
            </w:r>
          </w:p>
        </w:tc>
      </w:tr>
      <w:tr w:rsidR="00B45B71" w:rsidRPr="00A66994" w14:paraId="26C186B7" w14:textId="77777777" w:rsidTr="00505499">
        <w:trPr>
          <w:trHeight w:val="579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7E65" w14:textId="77777777" w:rsidR="00B45B71" w:rsidRDefault="00B45B71" w:rsidP="005054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Carrier D</w:t>
            </w:r>
          </w:p>
          <w:p w14:paraId="0843C768" w14:textId="77777777" w:rsidR="00505499" w:rsidRPr="00A66994" w:rsidRDefault="00505499" w:rsidP="005054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(Parent Company)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84AC" w14:textId="77777777" w:rsidR="00B45B71" w:rsidRPr="00A66994" w:rsidRDefault="00B45B71" w:rsidP="005054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$40 million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948D" w14:textId="77777777" w:rsidR="00B45B71" w:rsidRPr="00A66994" w:rsidRDefault="00B45B71" w:rsidP="005054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$26 million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A56F" w14:textId="77777777" w:rsidR="00B45B71" w:rsidRPr="00A66994" w:rsidRDefault="00B45B71" w:rsidP="0050549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$12 million</w:t>
            </w:r>
          </w:p>
        </w:tc>
      </w:tr>
      <w:tr w:rsidR="00B45B71" w:rsidRPr="00A66994" w14:paraId="175BFBFD" w14:textId="77777777" w:rsidTr="00505499">
        <w:trPr>
          <w:trHeight w:val="568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E9D4" w14:textId="77777777" w:rsidR="00B45B71" w:rsidRPr="00A66994" w:rsidRDefault="00B45B71" w:rsidP="008E7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Carrier E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C5191" w14:textId="77777777" w:rsidR="00B45B71" w:rsidRPr="00A66994" w:rsidRDefault="00B45B71" w:rsidP="007A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$20 million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0291" w14:textId="77777777" w:rsidR="00B45B71" w:rsidRPr="00A66994" w:rsidRDefault="00B45B71" w:rsidP="007A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$13 million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934D1" w14:textId="77777777" w:rsidR="00B45B71" w:rsidRPr="00A66994" w:rsidRDefault="00B45B71" w:rsidP="007A52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$10 million</w:t>
            </w:r>
          </w:p>
        </w:tc>
      </w:tr>
      <w:tr w:rsidR="008E7420" w:rsidRPr="00A66994" w14:paraId="6AED7E3B" w14:textId="77777777" w:rsidTr="007A5215">
        <w:trPr>
          <w:trHeight w:val="1269"/>
        </w:trPr>
        <w:tc>
          <w:tcPr>
            <w:tcW w:w="18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C604" w14:textId="77777777" w:rsidR="008E7420" w:rsidRPr="00A66994" w:rsidRDefault="008E7420" w:rsidP="008E7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Combined revenue for Carrier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D</w:t>
            </w: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and Carrier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E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F6EA2" w14:textId="77777777" w:rsidR="008E7420" w:rsidRPr="00A66994" w:rsidRDefault="008E7420" w:rsidP="005A7A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$60 million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3F4E5" w14:textId="77777777" w:rsidR="008E7420" w:rsidRPr="00A66994" w:rsidRDefault="008E7420" w:rsidP="005A7A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$39 million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F04D" w14:textId="77777777" w:rsidR="008E7420" w:rsidRPr="00A66994" w:rsidRDefault="008E7420" w:rsidP="005A7A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A66994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$22 million</w:t>
            </w:r>
          </w:p>
        </w:tc>
      </w:tr>
    </w:tbl>
    <w:p w14:paraId="3410897B" w14:textId="77777777" w:rsidR="001C55EA" w:rsidRPr="005A7A0A" w:rsidRDefault="001C55EA" w:rsidP="00D234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AU"/>
        </w:rPr>
      </w:pPr>
    </w:p>
    <w:p w14:paraId="79770AD2" w14:textId="77777777" w:rsidR="00A66994" w:rsidRPr="00A66994" w:rsidRDefault="00CB6CF3" w:rsidP="00D234C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an eligible revenue period, 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Carrier </w:t>
      </w:r>
      <w:r w:rsidR="008E7420"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8E7420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the parent company of Carrier </w:t>
      </w:r>
      <w:r w:rsidR="008E7420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  Applying the </w:t>
      </w:r>
      <w:r w:rsidR="008C77C5">
        <w:rPr>
          <w:rFonts w:ascii="Times New Roman" w:eastAsia="Times New Roman" w:hAnsi="Times New Roman" w:cs="Times New Roman"/>
          <w:sz w:val="24"/>
          <w:szCs w:val="24"/>
          <w:lang w:eastAsia="en-AU"/>
        </w:rPr>
        <w:t>terms of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subsection 4(4) of the Determination,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means 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Carrier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must calculate its initial sales revenue, gross telecommunications sales revenue </w:t>
      </w:r>
      <w:r w:rsidR="00D260AB">
        <w:rPr>
          <w:rFonts w:ascii="Times New Roman" w:eastAsia="Times New Roman" w:hAnsi="Times New Roman" w:cs="Times New Roman"/>
          <w:sz w:val="24"/>
          <w:szCs w:val="24"/>
          <w:lang w:eastAsia="en-AU"/>
        </w:rPr>
        <w:t>or</w:t>
      </w:r>
      <w:r w:rsidR="00D260AB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eligible revenue under th</w:t>
      </w:r>
      <w:r w:rsidR="008C77C5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 on a group basis (i.e. together with Carrier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A66994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).  </w:t>
      </w:r>
    </w:p>
    <w:p w14:paraId="66E72401" w14:textId="77777777" w:rsidR="00A66994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combined revenue for Carrier 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CB6CF3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Carrier 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CB6CF3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will be greater than the thresholds in paragraphs </w:t>
      </w:r>
      <w:r w:rsidRPr="00C16EB1">
        <w:rPr>
          <w:rFonts w:ascii="Times New Roman" w:hAnsi="Times New Roman"/>
          <w:sz w:val="24"/>
        </w:rPr>
        <w:t xml:space="preserve">4(3)(a) </w:t>
      </w:r>
      <w:r w:rsidR="00907EE5" w:rsidRPr="00C16EB1">
        <w:rPr>
          <w:rFonts w:ascii="Times New Roman" w:hAnsi="Times New Roman"/>
          <w:sz w:val="24"/>
        </w:rPr>
        <w:t>and</w:t>
      </w:r>
      <w:r w:rsidRPr="00C16EB1">
        <w:rPr>
          <w:rFonts w:ascii="Times New Roman" w:hAnsi="Times New Roman"/>
          <w:sz w:val="24"/>
        </w:rPr>
        <w:t xml:space="preserve"> 4(3)(b)</w:t>
      </w:r>
      <w:r w:rsidRPr="000D5E5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 as the combined initial sales revenue and gross telecommunications sales revenue are above $</w:t>
      </w:r>
      <w:r w:rsidR="00CB6CF3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25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million.  However, as the combined eligible revenue for Carrier 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CB6CF3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Carrier 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CB6CF3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is below $25</w:t>
      </w:r>
      <w:r w:rsidR="00D260AB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million, </w:t>
      </w:r>
      <w:r w:rsidR="00FA04C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threshold in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paragraph 4(3)(c) of the Determination would be satisfied.  </w:t>
      </w:r>
    </w:p>
    <w:p w14:paraId="4C5D352C" w14:textId="77777777" w:rsid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eligible statutory declarations are provided by both Carrier 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>D</w:t>
      </w:r>
      <w:r w:rsidR="00CB6CF3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Carrier </w:t>
      </w:r>
      <w:r w:rsidR="00CB6CF3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 w:rsidR="00F76D3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the ACMA is otherwise </w:t>
      </w:r>
      <w:r w:rsidR="0031425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reasonably </w:t>
      </w:r>
      <w:r w:rsidR="00F76D39">
        <w:rPr>
          <w:rFonts w:ascii="Times New Roman" w:eastAsia="Times New Roman" w:hAnsi="Times New Roman" w:cs="Times New Roman"/>
          <w:sz w:val="24"/>
          <w:szCs w:val="24"/>
          <w:lang w:eastAsia="en-AU"/>
        </w:rPr>
        <w:t>satisfied</w:t>
      </w:r>
      <w:r w:rsidR="00CB6CF3"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in relation to paragraph 4(3)(c</w:t>
      </w:r>
      <w:r w:rsidRPr="00C16EB1">
        <w:rPr>
          <w:rFonts w:ascii="Times New Roman" w:hAnsi="Times New Roman"/>
          <w:sz w:val="24"/>
        </w:rPr>
        <w:t>)</w:t>
      </w:r>
      <w:r w:rsidR="00AE6AE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of the Determination, both carriers will be non-participating persons under the Determination.</w:t>
      </w:r>
    </w:p>
    <w:p w14:paraId="4DCD19D5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b/>
          <w:sz w:val="19"/>
          <w:szCs w:val="19"/>
          <w:lang w:eastAsia="en-AU"/>
        </w:rPr>
      </w:pPr>
      <w:r w:rsidRPr="00A66994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Section 5 - Determination</w:t>
      </w:r>
    </w:p>
    <w:p w14:paraId="5064E382" w14:textId="77777777" w:rsidR="00A66994" w:rsidRPr="00A66994" w:rsidRDefault="00A66994" w:rsidP="00A66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 5 exempts a </w:t>
      </w:r>
      <w:r w:rsidR="008C77C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person who is a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non-participating person </w:t>
      </w:r>
      <w:r w:rsidR="008C77C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an eligible revenue period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from section </w:t>
      </w:r>
      <w:r w:rsidR="004E3965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Act for </w:t>
      </w:r>
      <w:r w:rsidR="008C77C5">
        <w:rPr>
          <w:rFonts w:ascii="Times New Roman" w:eastAsia="Times New Roman" w:hAnsi="Times New Roman" w:cs="Times New Roman"/>
          <w:sz w:val="24"/>
          <w:szCs w:val="24"/>
          <w:lang w:eastAsia="en-AU"/>
        </w:rPr>
        <w:t>that eligible revenue period.  The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Determination applies to 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>all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eligible revenue period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5A7A0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907EE5">
        <w:rPr>
          <w:rFonts w:ascii="Times New Roman" w:eastAsia="Times New Roman" w:hAnsi="Times New Roman" w:cs="Times New Roman"/>
          <w:sz w:val="24"/>
          <w:szCs w:val="24"/>
          <w:lang w:eastAsia="en-AU"/>
        </w:rPr>
        <w:t>under the Act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4978D7FB" w14:textId="77777777" w:rsidR="00A66994" w:rsidRPr="00A66994" w:rsidRDefault="00A66994" w:rsidP="00A66994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 </w:t>
      </w:r>
      <w:r w:rsidR="004E3965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Act specifies who is, for the purpose of the Act, a participating person for an eligible revenue period.  An exemption from section </w:t>
      </w:r>
      <w:r w:rsidR="004E3965">
        <w:rPr>
          <w:rFonts w:ascii="Times New Roman" w:eastAsia="Times New Roman" w:hAnsi="Times New Roman" w:cs="Times New Roman"/>
          <w:sz w:val="24"/>
          <w:szCs w:val="24"/>
          <w:lang w:eastAsia="en-AU"/>
        </w:rPr>
        <w:t>44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Act 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will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mean that the person 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does </w:t>
      </w:r>
      <w:r w:rsidRPr="00A66994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not 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have eligible revenue assessed under </w:t>
      </w:r>
      <w:r w:rsidR="00D46B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section </w:t>
      </w:r>
      <w:r w:rsidR="0059131A">
        <w:rPr>
          <w:rFonts w:ascii="Times New Roman" w:eastAsia="Times New Roman" w:hAnsi="Times New Roman" w:cs="Times New Roman"/>
          <w:sz w:val="24"/>
          <w:szCs w:val="24"/>
          <w:lang w:eastAsia="en-AU"/>
        </w:rPr>
        <w:t>47</w:t>
      </w:r>
      <w:r w:rsidR="00D46BA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>the Act</w:t>
      </w:r>
      <w:r w:rsidR="005054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</w:t>
      </w:r>
      <w:r w:rsidR="008C77C5">
        <w:rPr>
          <w:rFonts w:ascii="Times New Roman" w:eastAsia="Times New Roman" w:hAnsi="Times New Roman" w:cs="Times New Roman"/>
          <w:sz w:val="24"/>
          <w:szCs w:val="24"/>
          <w:lang w:eastAsia="en-AU"/>
        </w:rPr>
        <w:t>that</w:t>
      </w:r>
      <w:r w:rsidR="005054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eligible revenue period</w:t>
      </w:r>
      <w:r w:rsidR="0014707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</w:p>
    <w:p w14:paraId="3C028549" w14:textId="77777777" w:rsidR="00A66994" w:rsidRPr="00A66994" w:rsidRDefault="00A66994" w:rsidP="00A66994">
      <w:pPr>
        <w:rPr>
          <w:b/>
        </w:rPr>
      </w:pPr>
      <w:r w:rsidRPr="00A66994">
        <w:rPr>
          <w:rFonts w:ascii="Times New Roman" w:eastAsia="Times New Roman" w:hAnsi="Times New Roman" w:cs="Times New Roman"/>
          <w:lang w:eastAsia="en-AU"/>
        </w:rPr>
        <w:t> </w:t>
      </w:r>
    </w:p>
    <w:sectPr w:rsidR="00A66994" w:rsidRPr="00A66994" w:rsidSect="0054451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05787" w14:textId="77777777" w:rsidR="00B26587" w:rsidRDefault="00B26587" w:rsidP="00E30259">
      <w:pPr>
        <w:spacing w:after="0" w:line="240" w:lineRule="auto"/>
      </w:pPr>
      <w:r>
        <w:separator/>
      </w:r>
    </w:p>
  </w:endnote>
  <w:endnote w:type="continuationSeparator" w:id="0">
    <w:p w14:paraId="21013D7D" w14:textId="77777777" w:rsidR="00B26587" w:rsidRDefault="00B26587" w:rsidP="00E30259">
      <w:pPr>
        <w:spacing w:after="0" w:line="240" w:lineRule="auto"/>
      </w:pPr>
      <w:r>
        <w:continuationSeparator/>
      </w:r>
    </w:p>
  </w:endnote>
  <w:endnote w:type="continuationNotice" w:id="1">
    <w:p w14:paraId="7B4AFEF4" w14:textId="77777777" w:rsidR="00B26587" w:rsidRDefault="00B26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93570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117C0" w14:textId="77777777" w:rsidR="002C4A22" w:rsidRDefault="002C4A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E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98D9A0" w14:textId="77777777" w:rsidR="002C4A22" w:rsidRDefault="002C4A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51E8B" w14:textId="77777777" w:rsidR="00B26587" w:rsidRDefault="00B26587" w:rsidP="00E30259">
      <w:pPr>
        <w:spacing w:after="0" w:line="240" w:lineRule="auto"/>
      </w:pPr>
      <w:r>
        <w:separator/>
      </w:r>
    </w:p>
  </w:footnote>
  <w:footnote w:type="continuationSeparator" w:id="0">
    <w:p w14:paraId="201396DD" w14:textId="77777777" w:rsidR="00B26587" w:rsidRDefault="00B26587" w:rsidP="00E30259">
      <w:pPr>
        <w:spacing w:after="0" w:line="240" w:lineRule="auto"/>
      </w:pPr>
      <w:r>
        <w:continuationSeparator/>
      </w:r>
    </w:p>
  </w:footnote>
  <w:footnote w:type="continuationNotice" w:id="1">
    <w:p w14:paraId="5B397C4D" w14:textId="77777777" w:rsidR="00B26587" w:rsidRDefault="00B26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C19C9" w14:textId="7DAAC797" w:rsidR="00E30259" w:rsidRDefault="00E302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D30FF"/>
    <w:multiLevelType w:val="hybridMultilevel"/>
    <w:tmpl w:val="B8AC3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E600E"/>
    <w:multiLevelType w:val="hybridMultilevel"/>
    <w:tmpl w:val="88A21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070FC"/>
    <w:multiLevelType w:val="hybridMultilevel"/>
    <w:tmpl w:val="1B34E846"/>
    <w:lvl w:ilvl="0" w:tplc="41C46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B650A"/>
    <w:multiLevelType w:val="hybridMultilevel"/>
    <w:tmpl w:val="E3668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03212"/>
    <w:multiLevelType w:val="hybridMultilevel"/>
    <w:tmpl w:val="459CE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94"/>
    <w:rsid w:val="000479A1"/>
    <w:rsid w:val="00052264"/>
    <w:rsid w:val="000552CF"/>
    <w:rsid w:val="0008023A"/>
    <w:rsid w:val="00084793"/>
    <w:rsid w:val="00091579"/>
    <w:rsid w:val="000A506A"/>
    <w:rsid w:val="000B5757"/>
    <w:rsid w:val="000D5E52"/>
    <w:rsid w:val="001009BD"/>
    <w:rsid w:val="00126745"/>
    <w:rsid w:val="00131530"/>
    <w:rsid w:val="00134079"/>
    <w:rsid w:val="00147075"/>
    <w:rsid w:val="00175656"/>
    <w:rsid w:val="001809CF"/>
    <w:rsid w:val="00194E33"/>
    <w:rsid w:val="001A1EF5"/>
    <w:rsid w:val="001A5ECF"/>
    <w:rsid w:val="001B23A2"/>
    <w:rsid w:val="001C068C"/>
    <w:rsid w:val="001C4142"/>
    <w:rsid w:val="001C55EA"/>
    <w:rsid w:val="001D34D0"/>
    <w:rsid w:val="001F310F"/>
    <w:rsid w:val="001F6FEF"/>
    <w:rsid w:val="00207F61"/>
    <w:rsid w:val="002111C3"/>
    <w:rsid w:val="002158F8"/>
    <w:rsid w:val="002179EE"/>
    <w:rsid w:val="00237FA8"/>
    <w:rsid w:val="0024536F"/>
    <w:rsid w:val="00251F78"/>
    <w:rsid w:val="00264CC2"/>
    <w:rsid w:val="0029455C"/>
    <w:rsid w:val="0029670D"/>
    <w:rsid w:val="002C4A22"/>
    <w:rsid w:val="002C5FF7"/>
    <w:rsid w:val="002E637E"/>
    <w:rsid w:val="002E641B"/>
    <w:rsid w:val="003026E2"/>
    <w:rsid w:val="0030595A"/>
    <w:rsid w:val="00314204"/>
    <w:rsid w:val="00314255"/>
    <w:rsid w:val="0033578B"/>
    <w:rsid w:val="00375688"/>
    <w:rsid w:val="003B082E"/>
    <w:rsid w:val="003B4690"/>
    <w:rsid w:val="003C5BC2"/>
    <w:rsid w:val="003D084F"/>
    <w:rsid w:val="003D1C2D"/>
    <w:rsid w:val="00401916"/>
    <w:rsid w:val="00412DB2"/>
    <w:rsid w:val="00414E44"/>
    <w:rsid w:val="00424A4F"/>
    <w:rsid w:val="00466E2C"/>
    <w:rsid w:val="00470C7C"/>
    <w:rsid w:val="004B6E7A"/>
    <w:rsid w:val="004C1E89"/>
    <w:rsid w:val="004E3965"/>
    <w:rsid w:val="004F0153"/>
    <w:rsid w:val="00505499"/>
    <w:rsid w:val="00506A51"/>
    <w:rsid w:val="00506BF2"/>
    <w:rsid w:val="00520599"/>
    <w:rsid w:val="00523EBF"/>
    <w:rsid w:val="005266A3"/>
    <w:rsid w:val="00534AF4"/>
    <w:rsid w:val="0054451F"/>
    <w:rsid w:val="00545C58"/>
    <w:rsid w:val="00556815"/>
    <w:rsid w:val="00557CAB"/>
    <w:rsid w:val="005651A4"/>
    <w:rsid w:val="005763BD"/>
    <w:rsid w:val="00576817"/>
    <w:rsid w:val="0059131A"/>
    <w:rsid w:val="00597753"/>
    <w:rsid w:val="005A5093"/>
    <w:rsid w:val="005A7A0A"/>
    <w:rsid w:val="005B49DD"/>
    <w:rsid w:val="005C1106"/>
    <w:rsid w:val="00603755"/>
    <w:rsid w:val="00685B4D"/>
    <w:rsid w:val="00693F2D"/>
    <w:rsid w:val="0069599C"/>
    <w:rsid w:val="006B5A74"/>
    <w:rsid w:val="006D098B"/>
    <w:rsid w:val="006E0971"/>
    <w:rsid w:val="006E6B09"/>
    <w:rsid w:val="006E7901"/>
    <w:rsid w:val="006F44D7"/>
    <w:rsid w:val="007131C3"/>
    <w:rsid w:val="00733612"/>
    <w:rsid w:val="007447C5"/>
    <w:rsid w:val="0077651B"/>
    <w:rsid w:val="00792719"/>
    <w:rsid w:val="00794F98"/>
    <w:rsid w:val="007A5DD4"/>
    <w:rsid w:val="00803D5D"/>
    <w:rsid w:val="00825EF4"/>
    <w:rsid w:val="0084024D"/>
    <w:rsid w:val="008407E0"/>
    <w:rsid w:val="00852789"/>
    <w:rsid w:val="0085696A"/>
    <w:rsid w:val="00883456"/>
    <w:rsid w:val="008834F2"/>
    <w:rsid w:val="008C77C5"/>
    <w:rsid w:val="008D25CE"/>
    <w:rsid w:val="008E7420"/>
    <w:rsid w:val="0090080F"/>
    <w:rsid w:val="00902CCD"/>
    <w:rsid w:val="00907EE5"/>
    <w:rsid w:val="00982F37"/>
    <w:rsid w:val="009B3B02"/>
    <w:rsid w:val="009C1C08"/>
    <w:rsid w:val="009F1A72"/>
    <w:rsid w:val="009F53D7"/>
    <w:rsid w:val="009F63C3"/>
    <w:rsid w:val="00A0789C"/>
    <w:rsid w:val="00A2622B"/>
    <w:rsid w:val="00A36B6C"/>
    <w:rsid w:val="00A437C1"/>
    <w:rsid w:val="00A54B59"/>
    <w:rsid w:val="00A66994"/>
    <w:rsid w:val="00A853AF"/>
    <w:rsid w:val="00AE428B"/>
    <w:rsid w:val="00AE6AE5"/>
    <w:rsid w:val="00B159B4"/>
    <w:rsid w:val="00B26587"/>
    <w:rsid w:val="00B2671C"/>
    <w:rsid w:val="00B425E5"/>
    <w:rsid w:val="00B45B71"/>
    <w:rsid w:val="00B51BCA"/>
    <w:rsid w:val="00B6107F"/>
    <w:rsid w:val="00BB07E8"/>
    <w:rsid w:val="00BC6709"/>
    <w:rsid w:val="00BE6971"/>
    <w:rsid w:val="00BF2E31"/>
    <w:rsid w:val="00C036EF"/>
    <w:rsid w:val="00C16EB1"/>
    <w:rsid w:val="00C320F1"/>
    <w:rsid w:val="00C3494E"/>
    <w:rsid w:val="00C44A02"/>
    <w:rsid w:val="00C457CD"/>
    <w:rsid w:val="00C46CC2"/>
    <w:rsid w:val="00C46FD7"/>
    <w:rsid w:val="00C51AE0"/>
    <w:rsid w:val="00C609AE"/>
    <w:rsid w:val="00C67495"/>
    <w:rsid w:val="00C738F0"/>
    <w:rsid w:val="00C846CA"/>
    <w:rsid w:val="00C94DD4"/>
    <w:rsid w:val="00CA30F3"/>
    <w:rsid w:val="00CB6CF3"/>
    <w:rsid w:val="00CE192F"/>
    <w:rsid w:val="00D145F0"/>
    <w:rsid w:val="00D234C9"/>
    <w:rsid w:val="00D260AB"/>
    <w:rsid w:val="00D32A39"/>
    <w:rsid w:val="00D46BAF"/>
    <w:rsid w:val="00D5660C"/>
    <w:rsid w:val="00D622C9"/>
    <w:rsid w:val="00D77810"/>
    <w:rsid w:val="00D86197"/>
    <w:rsid w:val="00D871D1"/>
    <w:rsid w:val="00DA37AC"/>
    <w:rsid w:val="00DF31C9"/>
    <w:rsid w:val="00E109C3"/>
    <w:rsid w:val="00E22CA0"/>
    <w:rsid w:val="00E275A1"/>
    <w:rsid w:val="00E30259"/>
    <w:rsid w:val="00E55A25"/>
    <w:rsid w:val="00ED56AE"/>
    <w:rsid w:val="00ED592F"/>
    <w:rsid w:val="00EF3F17"/>
    <w:rsid w:val="00F7371B"/>
    <w:rsid w:val="00F76D39"/>
    <w:rsid w:val="00FA04C6"/>
    <w:rsid w:val="00FC6F2E"/>
    <w:rsid w:val="00FE2A45"/>
    <w:rsid w:val="00FF1204"/>
    <w:rsid w:val="00F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F7213C"/>
  <w15:chartTrackingRefBased/>
  <w15:docId w15:val="{BF9F1A2C-019C-4093-B370-D24B780D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B59"/>
    <w:rPr>
      <w:b/>
      <w:bCs/>
      <w:sz w:val="20"/>
      <w:szCs w:val="20"/>
    </w:rPr>
  </w:style>
  <w:style w:type="paragraph" w:customStyle="1" w:styleId="TableTextform">
    <w:name w:val="TableText form"/>
    <w:basedOn w:val="Normal"/>
    <w:qFormat/>
    <w:rsid w:val="00175656"/>
    <w:pPr>
      <w:spacing w:before="40" w:after="240" w:line="240" w:lineRule="auto"/>
    </w:pPr>
    <w:rPr>
      <w:rFonts w:ascii="Arial" w:eastAsiaTheme="majorEastAsia" w:hAnsi="Arial" w:cs="Arial"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59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259"/>
  </w:style>
  <w:style w:type="paragraph" w:styleId="Footer">
    <w:name w:val="footer"/>
    <w:basedOn w:val="Normal"/>
    <w:link w:val="FooterChar"/>
    <w:uiPriority w:val="99"/>
    <w:unhideWhenUsed/>
    <w:rsid w:val="00E302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259"/>
  </w:style>
  <w:style w:type="paragraph" w:styleId="ListParagraph">
    <w:name w:val="List Paragraph"/>
    <w:basedOn w:val="Normal"/>
    <w:uiPriority w:val="34"/>
    <w:qFormat/>
    <w:rsid w:val="00556815"/>
    <w:pPr>
      <w:ind w:left="720"/>
      <w:contextualSpacing/>
    </w:pPr>
  </w:style>
  <w:style w:type="paragraph" w:styleId="Revision">
    <w:name w:val="Revision"/>
    <w:hidden/>
    <w:uiPriority w:val="99"/>
    <w:semiHidden/>
    <w:rsid w:val="008E7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5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7247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10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7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853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4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2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54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8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684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3598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76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14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75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2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21231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0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3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33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2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1611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33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4231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0968CEE23B54E90A24973A6F085D3" ma:contentTypeVersion="0" ma:contentTypeDescription="Create a new document." ma:contentTypeScope="" ma:versionID="35c92027ac570855798105fcba1497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AA2EB-5790-44B9-B67E-209E70D1E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EA227-BBBE-4E78-8844-DC4C715B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BF8253-6145-49A8-85E6-F6F62904C824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7175623-A71D-48D0-8065-C1A528F9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2407</Words>
  <Characters>13722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Telecommunications (Participating Persons) Determination 2015 - ES 04 05.docx</vt:lpstr>
    </vt:vector>
  </TitlesOfParts>
  <Company>Department of Communications</Company>
  <LinksUpToDate>false</LinksUpToDate>
  <CharactersWithSpaces>16097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(Participating Persons) Determination 2015 - ES 04 05.docx</dc:title>
  <dc:subject/>
  <dc:creator>Barnard, Kirsten</dc:creator>
  <cp:keywords/>
  <dc:description/>
  <cp:lastModifiedBy>Miller, Joanne</cp:lastModifiedBy>
  <cp:revision>2</cp:revision>
  <cp:lastPrinted>2015-05-04T01:58:00Z</cp:lastPrinted>
  <dcterms:created xsi:type="dcterms:W3CDTF">2015-07-03T01:27:00Z</dcterms:created>
  <dcterms:modified xsi:type="dcterms:W3CDTF">2015-07-03T01:27:00Z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0x010100FBD0968CEE23B54E90A24973A6F085D3</vt:lpwstr>
  </property>
  <property fmtid="{D5CDD505-2E9C-101B-9397-08002B2CF9AE}" pid="3" name="TrimRevisionNumber">
    <vt:i4>15</vt:i4>
  </property>
</Properties>
</file>