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BD" w:rsidRPr="000916F7" w:rsidRDefault="001B26BD" w:rsidP="00693790">
      <w:pPr>
        <w:pStyle w:val="Title"/>
      </w:pPr>
      <w:bookmarkStart w:id="0" w:name="_GoBack"/>
      <w:bookmarkEnd w:id="0"/>
      <w:r w:rsidRPr="000916F7">
        <w:t>EXPLANATORY STATEMENT</w:t>
      </w:r>
    </w:p>
    <w:p w:rsidR="001B26BD" w:rsidRDefault="001B26BD" w:rsidP="00693790">
      <w:pPr>
        <w:pStyle w:val="BodyText3"/>
        <w:jc w:val="center"/>
      </w:pPr>
    </w:p>
    <w:p w:rsidR="00457B2E" w:rsidRPr="000916F7" w:rsidRDefault="00457B2E" w:rsidP="00693790">
      <w:pPr>
        <w:pStyle w:val="BodyText3"/>
        <w:jc w:val="center"/>
      </w:pPr>
    </w:p>
    <w:p w:rsidR="001B26BD" w:rsidRPr="000916F7" w:rsidRDefault="00AF2D77" w:rsidP="00693790">
      <w:pPr>
        <w:pStyle w:val="BodyText"/>
      </w:pPr>
      <w:r>
        <w:t>Issued by the a</w:t>
      </w:r>
      <w:r w:rsidR="001B26BD" w:rsidRPr="000916F7">
        <w:t xml:space="preserve">uthority of the </w:t>
      </w:r>
      <w:r w:rsidR="002C4FC0">
        <w:t>President of the Administrative Appeals Tribunal</w:t>
      </w:r>
    </w:p>
    <w:p w:rsidR="001B26BD" w:rsidRPr="000916F7" w:rsidRDefault="001B26BD" w:rsidP="00693790">
      <w:pPr>
        <w:rPr>
          <w:sz w:val="24"/>
        </w:rPr>
      </w:pPr>
    </w:p>
    <w:p w:rsidR="001B26BD" w:rsidRPr="00250779" w:rsidRDefault="00BE3DD0" w:rsidP="00693790">
      <w:pPr>
        <w:pStyle w:val="Heading1"/>
        <w:rPr>
          <w:szCs w:val="24"/>
        </w:rPr>
      </w:pPr>
      <w:r>
        <w:rPr>
          <w:szCs w:val="24"/>
        </w:rPr>
        <w:t>Administrative Appeals Tribunal Act 1975</w:t>
      </w:r>
    </w:p>
    <w:p w:rsidR="001B26BD" w:rsidRDefault="001B26BD" w:rsidP="00693790">
      <w:pPr>
        <w:jc w:val="center"/>
        <w:rPr>
          <w:i/>
          <w:sz w:val="24"/>
        </w:rPr>
      </w:pPr>
    </w:p>
    <w:p w:rsidR="00457B2E" w:rsidRDefault="00457B2E" w:rsidP="00693790">
      <w:pPr>
        <w:jc w:val="center"/>
        <w:rPr>
          <w:i/>
          <w:sz w:val="24"/>
        </w:rPr>
      </w:pPr>
    </w:p>
    <w:p w:rsidR="001B26BD" w:rsidRPr="00C26E8A" w:rsidRDefault="00BE3DD0" w:rsidP="00054FE7">
      <w:pPr>
        <w:jc w:val="center"/>
        <w:rPr>
          <w:b/>
          <w:szCs w:val="24"/>
        </w:rPr>
      </w:pPr>
      <w:r>
        <w:rPr>
          <w:b/>
          <w:i/>
          <w:sz w:val="24"/>
        </w:rPr>
        <w:t xml:space="preserve">SSAT Child Support Review General Directions </w:t>
      </w:r>
      <w:r w:rsidR="00054FE7">
        <w:rPr>
          <w:b/>
          <w:i/>
          <w:sz w:val="24"/>
        </w:rPr>
        <w:t xml:space="preserve">Repeal Instrument </w:t>
      </w:r>
      <w:r>
        <w:rPr>
          <w:b/>
          <w:i/>
          <w:sz w:val="24"/>
        </w:rPr>
        <w:t>2015</w:t>
      </w:r>
    </w:p>
    <w:p w:rsidR="00C9524C" w:rsidRDefault="00C9524C" w:rsidP="00693790">
      <w:pPr>
        <w:rPr>
          <w:sz w:val="24"/>
          <w:szCs w:val="24"/>
        </w:rPr>
      </w:pPr>
    </w:p>
    <w:p w:rsidR="00457B2E" w:rsidRPr="002612B8" w:rsidRDefault="00457B2E" w:rsidP="00D07808">
      <w:pPr>
        <w:tabs>
          <w:tab w:val="left" w:pos="5217"/>
        </w:tabs>
        <w:spacing w:after="120"/>
        <w:rPr>
          <w:b/>
          <w:sz w:val="24"/>
          <w:szCs w:val="24"/>
        </w:rPr>
      </w:pPr>
      <w:r>
        <w:rPr>
          <w:b/>
          <w:sz w:val="24"/>
          <w:szCs w:val="24"/>
        </w:rPr>
        <w:t xml:space="preserve">Legislative authority </w:t>
      </w:r>
      <w:r>
        <w:rPr>
          <w:b/>
          <w:sz w:val="24"/>
          <w:szCs w:val="24"/>
        </w:rPr>
        <w:tab/>
      </w:r>
    </w:p>
    <w:p w:rsidR="00704543" w:rsidRPr="00704543" w:rsidRDefault="00704543" w:rsidP="00D07808">
      <w:pPr>
        <w:spacing w:after="120"/>
        <w:rPr>
          <w:sz w:val="24"/>
          <w:szCs w:val="24"/>
        </w:rPr>
      </w:pPr>
      <w:r>
        <w:rPr>
          <w:sz w:val="24"/>
          <w:szCs w:val="24"/>
        </w:rPr>
        <w:t xml:space="preserve">Item 15CC of Schedule 9 to the </w:t>
      </w:r>
      <w:r>
        <w:rPr>
          <w:i/>
          <w:sz w:val="24"/>
          <w:szCs w:val="24"/>
        </w:rPr>
        <w:t xml:space="preserve">Tribunals Amalgamation Act 2015 </w:t>
      </w:r>
      <w:r>
        <w:rPr>
          <w:sz w:val="24"/>
          <w:szCs w:val="24"/>
        </w:rPr>
        <w:t xml:space="preserve">(Amalgamation Act) provides that on and from 1 July 2015 directions of general application made by the Principal Member of the Social Security Appeals Tribunal (SSAT) or the Principal Member of the Migration Review Tribunal and Refugee Review Tribunal (MRT-RRT) operate as if they were directions </w:t>
      </w:r>
      <w:r w:rsidR="003034F5">
        <w:rPr>
          <w:sz w:val="24"/>
          <w:szCs w:val="24"/>
        </w:rPr>
        <w:t xml:space="preserve">given </w:t>
      </w:r>
      <w:r>
        <w:rPr>
          <w:sz w:val="24"/>
          <w:szCs w:val="24"/>
        </w:rPr>
        <w:t>by the President of the Administrative Appeals Tribunal (AAT) under subsection</w:t>
      </w:r>
      <w:r w:rsidR="0096348B">
        <w:rPr>
          <w:sz w:val="24"/>
          <w:szCs w:val="24"/>
        </w:rPr>
        <w:t> </w:t>
      </w:r>
      <w:r>
        <w:rPr>
          <w:sz w:val="24"/>
          <w:szCs w:val="24"/>
        </w:rPr>
        <w:t xml:space="preserve">18B(1) of the </w:t>
      </w:r>
      <w:r>
        <w:rPr>
          <w:i/>
          <w:sz w:val="24"/>
          <w:szCs w:val="24"/>
        </w:rPr>
        <w:t xml:space="preserve">Administrative Appeals Tribunal Act </w:t>
      </w:r>
      <w:r>
        <w:rPr>
          <w:sz w:val="24"/>
          <w:szCs w:val="24"/>
        </w:rPr>
        <w:t xml:space="preserve">(AAT Act). Section 18B of the AAT Act was inserted by item 27 of Schedule 1 to the Amalgamation Act. </w:t>
      </w:r>
    </w:p>
    <w:p w:rsidR="00BE3DD0" w:rsidRDefault="009D59A1" w:rsidP="00D07808">
      <w:pPr>
        <w:spacing w:after="120"/>
        <w:rPr>
          <w:sz w:val="24"/>
          <w:szCs w:val="24"/>
        </w:rPr>
      </w:pPr>
      <w:r w:rsidRPr="009D59A1">
        <w:rPr>
          <w:sz w:val="24"/>
          <w:szCs w:val="24"/>
        </w:rPr>
        <w:t xml:space="preserve">Subsection </w:t>
      </w:r>
      <w:r w:rsidR="00BE3DD0">
        <w:rPr>
          <w:sz w:val="24"/>
          <w:szCs w:val="24"/>
        </w:rPr>
        <w:t xml:space="preserve">18B(1) of the </w:t>
      </w:r>
      <w:r w:rsidR="00704543">
        <w:rPr>
          <w:sz w:val="24"/>
          <w:szCs w:val="24"/>
        </w:rPr>
        <w:t>AAT Act</w:t>
      </w:r>
      <w:r w:rsidR="00BE3DD0">
        <w:rPr>
          <w:sz w:val="24"/>
          <w:szCs w:val="24"/>
        </w:rPr>
        <w:t xml:space="preserve"> provides that the President may give written directions in relation to the operations, procedure, conduct of review</w:t>
      </w:r>
      <w:r w:rsidR="003034F5">
        <w:rPr>
          <w:sz w:val="24"/>
          <w:szCs w:val="24"/>
        </w:rPr>
        <w:t>s</w:t>
      </w:r>
      <w:r w:rsidR="00BE3DD0">
        <w:rPr>
          <w:sz w:val="24"/>
          <w:szCs w:val="24"/>
        </w:rPr>
        <w:t>, arrangement of business of the</w:t>
      </w:r>
      <w:r w:rsidR="00704543">
        <w:rPr>
          <w:sz w:val="24"/>
          <w:szCs w:val="24"/>
        </w:rPr>
        <w:t xml:space="preserve"> AAT</w:t>
      </w:r>
      <w:r w:rsidR="00BE3DD0">
        <w:rPr>
          <w:sz w:val="24"/>
          <w:szCs w:val="24"/>
        </w:rPr>
        <w:t xml:space="preserve"> and the places at which the </w:t>
      </w:r>
      <w:r w:rsidR="00704543">
        <w:rPr>
          <w:sz w:val="24"/>
          <w:szCs w:val="24"/>
        </w:rPr>
        <w:t xml:space="preserve">AAT </w:t>
      </w:r>
      <w:r w:rsidR="00BE3DD0">
        <w:rPr>
          <w:sz w:val="24"/>
          <w:szCs w:val="24"/>
        </w:rPr>
        <w:t>may sit.</w:t>
      </w:r>
    </w:p>
    <w:p w:rsidR="00BE3DD0" w:rsidRDefault="00BE3DD0" w:rsidP="00D07808">
      <w:pPr>
        <w:spacing w:after="120"/>
        <w:rPr>
          <w:sz w:val="24"/>
          <w:szCs w:val="24"/>
        </w:rPr>
      </w:pPr>
      <w:r>
        <w:rPr>
          <w:sz w:val="24"/>
          <w:szCs w:val="24"/>
        </w:rPr>
        <w:t xml:space="preserve">Subsection </w:t>
      </w:r>
      <w:proofErr w:type="gramStart"/>
      <w:r>
        <w:rPr>
          <w:sz w:val="24"/>
          <w:szCs w:val="24"/>
        </w:rPr>
        <w:t>18B(</w:t>
      </w:r>
      <w:proofErr w:type="gramEnd"/>
      <w:r>
        <w:rPr>
          <w:sz w:val="24"/>
          <w:szCs w:val="24"/>
        </w:rPr>
        <w:t xml:space="preserve">1A) of the </w:t>
      </w:r>
      <w:r w:rsidR="00704543">
        <w:rPr>
          <w:sz w:val="24"/>
          <w:szCs w:val="24"/>
        </w:rPr>
        <w:t xml:space="preserve">AAT Act </w:t>
      </w:r>
      <w:r>
        <w:rPr>
          <w:sz w:val="24"/>
          <w:szCs w:val="24"/>
        </w:rPr>
        <w:t xml:space="preserve">requires the President to consult with the head of any Division to which the direction would apply. </w:t>
      </w:r>
    </w:p>
    <w:p w:rsidR="009D59A1" w:rsidRDefault="00BE3DD0" w:rsidP="00D07808">
      <w:pPr>
        <w:spacing w:after="120"/>
        <w:rPr>
          <w:sz w:val="24"/>
          <w:szCs w:val="24"/>
        </w:rPr>
      </w:pPr>
      <w:r>
        <w:rPr>
          <w:sz w:val="24"/>
          <w:szCs w:val="24"/>
        </w:rPr>
        <w:t xml:space="preserve">Subsection 33(3) of the </w:t>
      </w:r>
      <w:r>
        <w:rPr>
          <w:i/>
          <w:sz w:val="24"/>
          <w:szCs w:val="24"/>
        </w:rPr>
        <w:t>Acts Interpretation Act 1901</w:t>
      </w:r>
      <w:r>
        <w:rPr>
          <w:sz w:val="24"/>
          <w:szCs w:val="24"/>
        </w:rPr>
        <w:t xml:space="preserve"> </w:t>
      </w:r>
      <w:r w:rsidR="00F52DCD">
        <w:rPr>
          <w:sz w:val="24"/>
          <w:szCs w:val="24"/>
        </w:rPr>
        <w:t xml:space="preserve">(AIA) </w:t>
      </w:r>
      <w:r>
        <w:rPr>
          <w:sz w:val="24"/>
          <w:szCs w:val="24"/>
        </w:rPr>
        <w:t xml:space="preserve">provides that where an Act confers a power to make, grant or issue any instrument of a legislative or administrative character, the power shall be construed as including a power to repeal, rescind, revoke, amend or vary any such instrument. </w:t>
      </w:r>
    </w:p>
    <w:p w:rsidR="009D59A1" w:rsidRPr="009D59A1" w:rsidRDefault="00BE3DD0" w:rsidP="00D07808">
      <w:pPr>
        <w:spacing w:after="120"/>
        <w:rPr>
          <w:sz w:val="24"/>
          <w:szCs w:val="24"/>
        </w:rPr>
      </w:pPr>
      <w:r>
        <w:rPr>
          <w:sz w:val="24"/>
          <w:szCs w:val="24"/>
        </w:rPr>
        <w:t xml:space="preserve">Subsection 5(3) of the </w:t>
      </w:r>
      <w:r>
        <w:rPr>
          <w:i/>
          <w:sz w:val="24"/>
          <w:szCs w:val="24"/>
        </w:rPr>
        <w:t>Legislative Instruments Act 2003</w:t>
      </w:r>
      <w:r>
        <w:rPr>
          <w:sz w:val="24"/>
          <w:szCs w:val="24"/>
        </w:rPr>
        <w:t xml:space="preserve"> </w:t>
      </w:r>
      <w:r w:rsidR="00F52DCD">
        <w:rPr>
          <w:sz w:val="24"/>
          <w:szCs w:val="24"/>
        </w:rPr>
        <w:t>(LIA</w:t>
      </w:r>
      <w:r>
        <w:rPr>
          <w:sz w:val="24"/>
          <w:szCs w:val="24"/>
        </w:rPr>
        <w:t>) provides that an instrument that is registered is taken, by virtue of that registration and despite anything else in the LI</w:t>
      </w:r>
      <w:r w:rsidR="00F52DCD">
        <w:rPr>
          <w:sz w:val="24"/>
          <w:szCs w:val="24"/>
        </w:rPr>
        <w:t>A</w:t>
      </w:r>
      <w:r w:rsidR="001E081E">
        <w:rPr>
          <w:sz w:val="24"/>
          <w:szCs w:val="24"/>
        </w:rPr>
        <w:t>,</w:t>
      </w:r>
      <w:r w:rsidR="00F52DCD">
        <w:rPr>
          <w:sz w:val="24"/>
          <w:szCs w:val="24"/>
        </w:rPr>
        <w:t xml:space="preserve"> </w:t>
      </w:r>
      <w:r>
        <w:rPr>
          <w:sz w:val="24"/>
          <w:szCs w:val="24"/>
        </w:rPr>
        <w:t>to be a legislative instrument for the purposes of the LI</w:t>
      </w:r>
      <w:r w:rsidR="00F52DCD">
        <w:rPr>
          <w:sz w:val="24"/>
          <w:szCs w:val="24"/>
        </w:rPr>
        <w:t>A</w:t>
      </w:r>
      <w:r>
        <w:rPr>
          <w:sz w:val="24"/>
          <w:szCs w:val="24"/>
        </w:rPr>
        <w:t xml:space="preserve">. </w:t>
      </w:r>
    </w:p>
    <w:p w:rsidR="00D07808" w:rsidRDefault="00D07808" w:rsidP="00D07808">
      <w:pPr>
        <w:spacing w:after="120"/>
        <w:rPr>
          <w:b/>
          <w:sz w:val="24"/>
          <w:szCs w:val="24"/>
        </w:rPr>
      </w:pPr>
    </w:p>
    <w:p w:rsidR="001B26BD" w:rsidRPr="00D07808" w:rsidRDefault="00C9524C" w:rsidP="00D07808">
      <w:pPr>
        <w:spacing w:after="120"/>
        <w:rPr>
          <w:b/>
          <w:sz w:val="24"/>
          <w:szCs w:val="24"/>
        </w:rPr>
      </w:pPr>
      <w:r w:rsidRPr="00B54E38">
        <w:rPr>
          <w:b/>
          <w:sz w:val="24"/>
          <w:szCs w:val="24"/>
        </w:rPr>
        <w:t>Purpose</w:t>
      </w:r>
    </w:p>
    <w:p w:rsidR="00F80E19" w:rsidRDefault="00F80E19" w:rsidP="00D07808">
      <w:pPr>
        <w:spacing w:after="120"/>
        <w:rPr>
          <w:sz w:val="24"/>
          <w:szCs w:val="24"/>
        </w:rPr>
      </w:pPr>
      <w:r w:rsidRPr="00693790">
        <w:rPr>
          <w:sz w:val="24"/>
          <w:szCs w:val="24"/>
        </w:rPr>
        <w:t xml:space="preserve">The purpose of the </w:t>
      </w:r>
      <w:r>
        <w:rPr>
          <w:i/>
          <w:sz w:val="24"/>
          <w:szCs w:val="24"/>
        </w:rPr>
        <w:t xml:space="preserve">SSAT Child Support Review General Directions </w:t>
      </w:r>
      <w:r w:rsidR="00054FE7">
        <w:rPr>
          <w:i/>
          <w:sz w:val="24"/>
          <w:szCs w:val="24"/>
        </w:rPr>
        <w:t>Repeal Instrument 2015</w:t>
      </w:r>
      <w:r>
        <w:rPr>
          <w:i/>
          <w:sz w:val="24"/>
          <w:szCs w:val="24"/>
        </w:rPr>
        <w:t xml:space="preserve"> </w:t>
      </w:r>
      <w:r>
        <w:rPr>
          <w:sz w:val="24"/>
          <w:szCs w:val="24"/>
        </w:rPr>
        <w:t>(</w:t>
      </w:r>
      <w:r w:rsidRPr="00693790">
        <w:rPr>
          <w:sz w:val="24"/>
          <w:szCs w:val="24"/>
        </w:rPr>
        <w:t xml:space="preserve">the </w:t>
      </w:r>
      <w:r w:rsidR="00054FE7">
        <w:rPr>
          <w:sz w:val="24"/>
          <w:szCs w:val="24"/>
        </w:rPr>
        <w:t>Repeal</w:t>
      </w:r>
      <w:r>
        <w:rPr>
          <w:sz w:val="24"/>
          <w:szCs w:val="24"/>
        </w:rPr>
        <w:t xml:space="preserve"> Instrument</w:t>
      </w:r>
      <w:r w:rsidRPr="00693790">
        <w:rPr>
          <w:sz w:val="24"/>
          <w:szCs w:val="24"/>
        </w:rPr>
        <w:t>)</w:t>
      </w:r>
      <w:r>
        <w:rPr>
          <w:sz w:val="24"/>
          <w:szCs w:val="24"/>
        </w:rPr>
        <w:t xml:space="preserve"> is to </w:t>
      </w:r>
      <w:r w:rsidR="00054FE7">
        <w:rPr>
          <w:sz w:val="24"/>
          <w:szCs w:val="24"/>
        </w:rPr>
        <w:t>repeal</w:t>
      </w:r>
      <w:r>
        <w:rPr>
          <w:sz w:val="24"/>
          <w:szCs w:val="24"/>
        </w:rPr>
        <w:t xml:space="preserve"> the </w:t>
      </w:r>
      <w:r>
        <w:rPr>
          <w:i/>
          <w:sz w:val="24"/>
          <w:szCs w:val="24"/>
        </w:rPr>
        <w:t xml:space="preserve">SSAT Child Support Review General Directions 2012 </w:t>
      </w:r>
      <w:r>
        <w:rPr>
          <w:sz w:val="24"/>
          <w:szCs w:val="24"/>
        </w:rPr>
        <w:t>(SSAT General Directions) as currently in force.</w:t>
      </w:r>
    </w:p>
    <w:p w:rsidR="00D07808" w:rsidRDefault="00D07808" w:rsidP="00D07808">
      <w:pPr>
        <w:spacing w:after="120"/>
        <w:rPr>
          <w:b/>
          <w:sz w:val="24"/>
          <w:szCs w:val="24"/>
        </w:rPr>
      </w:pPr>
    </w:p>
    <w:p w:rsidR="00F80E19" w:rsidRPr="00D07808" w:rsidRDefault="00F80E19" w:rsidP="00D07808">
      <w:pPr>
        <w:spacing w:after="120"/>
        <w:rPr>
          <w:b/>
          <w:sz w:val="24"/>
          <w:szCs w:val="24"/>
        </w:rPr>
      </w:pPr>
      <w:r>
        <w:rPr>
          <w:b/>
          <w:sz w:val="24"/>
          <w:szCs w:val="24"/>
        </w:rPr>
        <w:t>Background</w:t>
      </w:r>
    </w:p>
    <w:p w:rsidR="0089660D" w:rsidRPr="0089660D" w:rsidRDefault="0089660D" w:rsidP="00D07808">
      <w:pPr>
        <w:spacing w:after="120"/>
        <w:rPr>
          <w:sz w:val="24"/>
          <w:szCs w:val="24"/>
        </w:rPr>
      </w:pPr>
      <w:r w:rsidRPr="0089660D">
        <w:rPr>
          <w:sz w:val="24"/>
          <w:szCs w:val="24"/>
        </w:rPr>
        <w:t>The Amalgamation Act amalgamate</w:t>
      </w:r>
      <w:r w:rsidR="00472923">
        <w:rPr>
          <w:sz w:val="24"/>
          <w:szCs w:val="24"/>
        </w:rPr>
        <w:t>d</w:t>
      </w:r>
      <w:r w:rsidRPr="0089660D">
        <w:rPr>
          <w:sz w:val="24"/>
          <w:szCs w:val="24"/>
        </w:rPr>
        <w:t xml:space="preserve"> the AAT, the MRT-RRT and the </w:t>
      </w:r>
      <w:r w:rsidR="00FA0740">
        <w:rPr>
          <w:sz w:val="24"/>
          <w:szCs w:val="24"/>
        </w:rPr>
        <w:t>SSAT on 1 </w:t>
      </w:r>
      <w:r w:rsidRPr="0089660D">
        <w:rPr>
          <w:sz w:val="24"/>
          <w:szCs w:val="24"/>
        </w:rPr>
        <w:t>July 2015. The Amalgamation Act abolish</w:t>
      </w:r>
      <w:r w:rsidR="00472923">
        <w:rPr>
          <w:sz w:val="24"/>
          <w:szCs w:val="24"/>
        </w:rPr>
        <w:t>ed</w:t>
      </w:r>
      <w:r w:rsidRPr="0089660D">
        <w:rPr>
          <w:sz w:val="24"/>
          <w:szCs w:val="24"/>
        </w:rPr>
        <w:t xml:space="preserve"> the MRT</w:t>
      </w:r>
      <w:r w:rsidRPr="0089660D">
        <w:rPr>
          <w:rFonts w:ascii="MS Mincho" w:eastAsia="MS Mincho" w:hAnsi="MS Mincho" w:cs="MS Mincho" w:hint="eastAsia"/>
          <w:sz w:val="24"/>
          <w:szCs w:val="24"/>
        </w:rPr>
        <w:t>‑</w:t>
      </w:r>
      <w:r w:rsidRPr="0089660D">
        <w:rPr>
          <w:sz w:val="24"/>
          <w:szCs w:val="24"/>
        </w:rPr>
        <w:t>RRT and SSAT and transfer</w:t>
      </w:r>
      <w:r w:rsidR="00472923">
        <w:rPr>
          <w:sz w:val="24"/>
          <w:szCs w:val="24"/>
        </w:rPr>
        <w:t>red</w:t>
      </w:r>
      <w:r w:rsidRPr="0089660D">
        <w:rPr>
          <w:sz w:val="24"/>
          <w:szCs w:val="24"/>
        </w:rPr>
        <w:t xml:space="preserve"> the tribunals’ jurisdiction</w:t>
      </w:r>
      <w:r w:rsidR="003034F5">
        <w:rPr>
          <w:sz w:val="24"/>
          <w:szCs w:val="24"/>
        </w:rPr>
        <w:t>s</w:t>
      </w:r>
      <w:r w:rsidRPr="0089660D">
        <w:rPr>
          <w:sz w:val="24"/>
          <w:szCs w:val="24"/>
        </w:rPr>
        <w:t xml:space="preserve"> to the AAT. The Tribunal </w:t>
      </w:r>
      <w:r w:rsidR="00472923">
        <w:rPr>
          <w:sz w:val="24"/>
          <w:szCs w:val="24"/>
        </w:rPr>
        <w:t>is</w:t>
      </w:r>
      <w:r w:rsidRPr="0089660D">
        <w:rPr>
          <w:sz w:val="24"/>
          <w:szCs w:val="24"/>
        </w:rPr>
        <w:t xml:space="preserve"> called the AAT.</w:t>
      </w:r>
    </w:p>
    <w:p w:rsidR="0089660D" w:rsidRPr="0089660D" w:rsidRDefault="0089660D" w:rsidP="00D07808">
      <w:pPr>
        <w:spacing w:after="120"/>
        <w:rPr>
          <w:sz w:val="24"/>
          <w:szCs w:val="24"/>
        </w:rPr>
      </w:pPr>
      <w:r w:rsidRPr="0089660D">
        <w:rPr>
          <w:sz w:val="24"/>
          <w:szCs w:val="24"/>
        </w:rPr>
        <w:t xml:space="preserve">The amalgamation reflects key reform recommendations by the Administrative Review Council, the 2012 Strategic Review of Small and Medium Agencies in the Attorney–General’s portfolio and the 2014 National Commission of Audit Report, Towards Responsible Government. </w:t>
      </w:r>
    </w:p>
    <w:p w:rsidR="00F52DCD" w:rsidRDefault="00F52DCD" w:rsidP="00D07808">
      <w:pPr>
        <w:spacing w:after="120"/>
        <w:rPr>
          <w:sz w:val="24"/>
          <w:szCs w:val="24"/>
        </w:rPr>
      </w:pPr>
      <w:r>
        <w:rPr>
          <w:sz w:val="24"/>
          <w:szCs w:val="24"/>
        </w:rPr>
        <w:lastRenderedPageBreak/>
        <w:t>The SSAT General Directions provide</w:t>
      </w:r>
      <w:r w:rsidR="003034F5">
        <w:rPr>
          <w:sz w:val="24"/>
          <w:szCs w:val="24"/>
        </w:rPr>
        <w:t>d</w:t>
      </w:r>
      <w:r>
        <w:rPr>
          <w:sz w:val="24"/>
          <w:szCs w:val="24"/>
        </w:rPr>
        <w:t xml:space="preserve"> for procedures to be followed in relation to child support review</w:t>
      </w:r>
      <w:r w:rsidR="00472923">
        <w:rPr>
          <w:sz w:val="24"/>
          <w:szCs w:val="24"/>
        </w:rPr>
        <w:t>s</w:t>
      </w:r>
      <w:r w:rsidR="003034F5">
        <w:rPr>
          <w:sz w:val="24"/>
          <w:szCs w:val="24"/>
        </w:rPr>
        <w:t>,</w:t>
      </w:r>
      <w:r>
        <w:rPr>
          <w:sz w:val="24"/>
          <w:szCs w:val="24"/>
        </w:rPr>
        <w:t xml:space="preserve"> including matters such as applications for extension of time, details required for an application for review, documents to be given to the SSAT, disclosure of information by the SSAT, hearing procedures, reinstatement applications, communication with the SSAT and production of documents by the SSAT. </w:t>
      </w:r>
    </w:p>
    <w:p w:rsidR="00F52DCD" w:rsidRDefault="00F52DCD" w:rsidP="00D07808">
      <w:pPr>
        <w:spacing w:after="120"/>
        <w:rPr>
          <w:sz w:val="24"/>
          <w:szCs w:val="24"/>
        </w:rPr>
      </w:pPr>
      <w:r>
        <w:rPr>
          <w:sz w:val="24"/>
          <w:szCs w:val="24"/>
        </w:rPr>
        <w:t xml:space="preserve">The SSAT General Directions were made under paragraph </w:t>
      </w:r>
      <w:proofErr w:type="gramStart"/>
      <w:r>
        <w:rPr>
          <w:sz w:val="24"/>
          <w:szCs w:val="24"/>
        </w:rPr>
        <w:t>103ZA(</w:t>
      </w:r>
      <w:proofErr w:type="gramEnd"/>
      <w:r>
        <w:rPr>
          <w:sz w:val="24"/>
          <w:szCs w:val="24"/>
        </w:rPr>
        <w:t xml:space="preserve">1)(a) of the </w:t>
      </w:r>
      <w:r>
        <w:rPr>
          <w:i/>
          <w:sz w:val="24"/>
          <w:szCs w:val="24"/>
        </w:rPr>
        <w:t xml:space="preserve">Child Support (Registration and Collection) Act </w:t>
      </w:r>
      <w:r w:rsidRPr="00BE3DD0">
        <w:rPr>
          <w:i/>
          <w:sz w:val="24"/>
          <w:szCs w:val="24"/>
        </w:rPr>
        <w:t>1988</w:t>
      </w:r>
      <w:r>
        <w:rPr>
          <w:i/>
          <w:sz w:val="24"/>
          <w:szCs w:val="24"/>
        </w:rPr>
        <w:t xml:space="preserve"> </w:t>
      </w:r>
      <w:r>
        <w:rPr>
          <w:sz w:val="24"/>
          <w:szCs w:val="24"/>
        </w:rPr>
        <w:t xml:space="preserve">(CSRC Act) by the Principal Member of the SSAT. </w:t>
      </w:r>
      <w:r w:rsidR="00C3331F">
        <w:rPr>
          <w:sz w:val="24"/>
          <w:szCs w:val="24"/>
        </w:rPr>
        <w:t xml:space="preserve">Section 103ZA of the CSRC Act </w:t>
      </w:r>
      <w:r w:rsidR="00472923">
        <w:rPr>
          <w:sz w:val="24"/>
          <w:szCs w:val="24"/>
        </w:rPr>
        <w:t>was</w:t>
      </w:r>
      <w:r w:rsidR="00C3331F">
        <w:rPr>
          <w:sz w:val="24"/>
          <w:szCs w:val="24"/>
        </w:rPr>
        <w:t xml:space="preserve"> repealed by item 64 of Schedule 4 to the Amalgamation Act on 1 July 2015. </w:t>
      </w:r>
    </w:p>
    <w:p w:rsidR="00F52DCD" w:rsidRDefault="00C3331F" w:rsidP="00D07808">
      <w:pPr>
        <w:spacing w:after="120"/>
        <w:rPr>
          <w:sz w:val="24"/>
          <w:szCs w:val="24"/>
        </w:rPr>
      </w:pPr>
      <w:r>
        <w:rPr>
          <w:sz w:val="24"/>
          <w:szCs w:val="24"/>
        </w:rPr>
        <w:t xml:space="preserve">Item 15CC of Schedule 9 to the Amalgamation Act provides transitional arrangements that apply to the SSAT General Directions. The transitional arrangements provide that on and after 1 July 2015 the SSAT General Directions continue in effect as if they had been given by the President of the AAT under section 18B of the AAT Act as amended by the Amalgamation Act. </w:t>
      </w:r>
      <w:r w:rsidR="00F52DCD">
        <w:rPr>
          <w:sz w:val="24"/>
          <w:szCs w:val="24"/>
        </w:rPr>
        <w:t xml:space="preserve">Subsection 33(3) of the AIA empowers the President of the AAT to repeal, rescind, revoke, amend or vary the SSAT General Directions following amalgamation.  </w:t>
      </w:r>
    </w:p>
    <w:p w:rsidR="004A2AD8" w:rsidRDefault="00F52DCD" w:rsidP="00D07808">
      <w:pPr>
        <w:spacing w:after="120"/>
        <w:rPr>
          <w:sz w:val="24"/>
          <w:szCs w:val="24"/>
        </w:rPr>
      </w:pPr>
      <w:r>
        <w:rPr>
          <w:sz w:val="24"/>
          <w:szCs w:val="24"/>
        </w:rPr>
        <w:t>New directions</w:t>
      </w:r>
      <w:r w:rsidR="003034F5" w:rsidRPr="003034F5">
        <w:rPr>
          <w:sz w:val="24"/>
          <w:szCs w:val="24"/>
        </w:rPr>
        <w:t xml:space="preserve"> </w:t>
      </w:r>
      <w:r w:rsidR="003034F5">
        <w:rPr>
          <w:sz w:val="24"/>
          <w:szCs w:val="24"/>
        </w:rPr>
        <w:t xml:space="preserve">given by the President under subsection </w:t>
      </w:r>
      <w:proofErr w:type="gramStart"/>
      <w:r w:rsidR="003034F5">
        <w:rPr>
          <w:sz w:val="24"/>
          <w:szCs w:val="24"/>
        </w:rPr>
        <w:t>18B(</w:t>
      </w:r>
      <w:proofErr w:type="gramEnd"/>
      <w:r w:rsidR="003034F5">
        <w:rPr>
          <w:sz w:val="24"/>
          <w:szCs w:val="24"/>
        </w:rPr>
        <w:t>1) of the AAT Act</w:t>
      </w:r>
      <w:r w:rsidR="000D7127">
        <w:rPr>
          <w:sz w:val="24"/>
          <w:szCs w:val="24"/>
        </w:rPr>
        <w:t>, the Child Support Review Directions,</w:t>
      </w:r>
      <w:r>
        <w:rPr>
          <w:sz w:val="24"/>
          <w:szCs w:val="24"/>
        </w:rPr>
        <w:t xml:space="preserve"> </w:t>
      </w:r>
      <w:r w:rsidR="00472923">
        <w:rPr>
          <w:sz w:val="24"/>
          <w:szCs w:val="24"/>
        </w:rPr>
        <w:t>t</w:t>
      </w:r>
      <w:r w:rsidR="008717D4">
        <w:rPr>
          <w:sz w:val="24"/>
          <w:szCs w:val="24"/>
        </w:rPr>
        <w:t>ook</w:t>
      </w:r>
      <w:r w:rsidR="00472923">
        <w:rPr>
          <w:sz w:val="24"/>
          <w:szCs w:val="24"/>
        </w:rPr>
        <w:t xml:space="preserve"> effect </w:t>
      </w:r>
      <w:r>
        <w:rPr>
          <w:sz w:val="24"/>
          <w:szCs w:val="24"/>
        </w:rPr>
        <w:t>on 1 July 2015 to provide for the unique requirements and procedures of the child support jurisdiction</w:t>
      </w:r>
      <w:r w:rsidR="00472923">
        <w:rPr>
          <w:sz w:val="24"/>
          <w:szCs w:val="24"/>
        </w:rPr>
        <w:t xml:space="preserve"> in the amalgamated tribunal</w:t>
      </w:r>
      <w:r>
        <w:rPr>
          <w:sz w:val="24"/>
          <w:szCs w:val="24"/>
        </w:rPr>
        <w:t xml:space="preserve">. These directions mirror the purpose and scope of the existing SSAT General Directions. </w:t>
      </w:r>
    </w:p>
    <w:p w:rsidR="00F80E19" w:rsidRDefault="004A2AD8" w:rsidP="00D07808">
      <w:pPr>
        <w:spacing w:after="120"/>
        <w:rPr>
          <w:sz w:val="24"/>
          <w:szCs w:val="24"/>
        </w:rPr>
      </w:pPr>
      <w:r>
        <w:rPr>
          <w:sz w:val="24"/>
          <w:szCs w:val="24"/>
        </w:rPr>
        <w:t xml:space="preserve">There is no requirement for directions </w:t>
      </w:r>
      <w:r w:rsidR="00472923">
        <w:rPr>
          <w:sz w:val="24"/>
          <w:szCs w:val="24"/>
        </w:rPr>
        <w:t xml:space="preserve">given </w:t>
      </w:r>
      <w:r w:rsidR="001E081E">
        <w:rPr>
          <w:sz w:val="24"/>
          <w:szCs w:val="24"/>
        </w:rPr>
        <w:t xml:space="preserve">by </w:t>
      </w:r>
      <w:r w:rsidR="00411E1D">
        <w:rPr>
          <w:sz w:val="24"/>
          <w:szCs w:val="24"/>
        </w:rPr>
        <w:t xml:space="preserve">the President of the AAT under section 18B of the AAT Act to be registered on the Federal Register of Legislative Instruments (FRLI). In contrast, subsection </w:t>
      </w:r>
      <w:proofErr w:type="gramStart"/>
      <w:r w:rsidR="00411E1D">
        <w:rPr>
          <w:sz w:val="24"/>
          <w:szCs w:val="24"/>
        </w:rPr>
        <w:t>103ZA(</w:t>
      </w:r>
      <w:proofErr w:type="gramEnd"/>
      <w:r w:rsidR="00411E1D">
        <w:rPr>
          <w:sz w:val="24"/>
          <w:szCs w:val="24"/>
        </w:rPr>
        <w:t>8) of the CSRC Act provide</w:t>
      </w:r>
      <w:r w:rsidR="00472923">
        <w:rPr>
          <w:sz w:val="24"/>
          <w:szCs w:val="24"/>
        </w:rPr>
        <w:t>d</w:t>
      </w:r>
      <w:r w:rsidR="00411E1D">
        <w:rPr>
          <w:sz w:val="24"/>
          <w:szCs w:val="24"/>
        </w:rPr>
        <w:t xml:space="preserve"> that general directions made by the SSAT Principal Member </w:t>
      </w:r>
      <w:r w:rsidR="00472923">
        <w:rPr>
          <w:sz w:val="24"/>
          <w:szCs w:val="24"/>
        </w:rPr>
        <w:t>we</w:t>
      </w:r>
      <w:r w:rsidR="00411E1D">
        <w:rPr>
          <w:sz w:val="24"/>
          <w:szCs w:val="24"/>
        </w:rPr>
        <w:t xml:space="preserve">re legislative instruments. Notwithstanding the operation of the transitional arrangements in item 15CC of Schedule 9 to the Amalgamation Act, an instrument registered on FRLI is required to </w:t>
      </w:r>
      <w:r w:rsidR="00054FE7">
        <w:rPr>
          <w:sz w:val="24"/>
          <w:szCs w:val="24"/>
        </w:rPr>
        <w:t>repeal</w:t>
      </w:r>
      <w:r w:rsidR="00411E1D">
        <w:rPr>
          <w:sz w:val="24"/>
          <w:szCs w:val="24"/>
        </w:rPr>
        <w:t xml:space="preserve"> the SSAT General Directions to cease their effect and operation.</w:t>
      </w:r>
    </w:p>
    <w:p w:rsidR="00D07808" w:rsidRDefault="00D07808" w:rsidP="00D07808">
      <w:pPr>
        <w:pStyle w:val="BodyText2"/>
        <w:keepNext/>
        <w:spacing w:after="120"/>
        <w:rPr>
          <w:b/>
          <w:szCs w:val="24"/>
        </w:rPr>
      </w:pPr>
    </w:p>
    <w:p w:rsidR="00411E1D" w:rsidRPr="00D07808" w:rsidRDefault="00BC713C" w:rsidP="00D07808">
      <w:pPr>
        <w:pStyle w:val="BodyText2"/>
        <w:keepNext/>
        <w:spacing w:after="120"/>
        <w:rPr>
          <w:b/>
          <w:szCs w:val="24"/>
        </w:rPr>
      </w:pPr>
      <w:r>
        <w:rPr>
          <w:b/>
          <w:szCs w:val="24"/>
        </w:rPr>
        <w:t>Consultation</w:t>
      </w:r>
    </w:p>
    <w:p w:rsidR="00F80E19" w:rsidRDefault="00411E1D" w:rsidP="00D07808">
      <w:pPr>
        <w:spacing w:after="120"/>
        <w:rPr>
          <w:sz w:val="24"/>
          <w:szCs w:val="24"/>
        </w:rPr>
      </w:pPr>
      <w:r>
        <w:rPr>
          <w:sz w:val="24"/>
          <w:szCs w:val="24"/>
        </w:rPr>
        <w:t xml:space="preserve">Subsection </w:t>
      </w:r>
      <w:proofErr w:type="gramStart"/>
      <w:r>
        <w:rPr>
          <w:sz w:val="24"/>
          <w:szCs w:val="24"/>
        </w:rPr>
        <w:t>18B(</w:t>
      </w:r>
      <w:proofErr w:type="gramEnd"/>
      <w:r>
        <w:rPr>
          <w:sz w:val="24"/>
          <w:szCs w:val="24"/>
        </w:rPr>
        <w:t xml:space="preserve">1A) of the </w:t>
      </w:r>
      <w:r w:rsidR="001E081E">
        <w:rPr>
          <w:sz w:val="24"/>
          <w:szCs w:val="24"/>
        </w:rPr>
        <w:t xml:space="preserve">Amalgamation </w:t>
      </w:r>
      <w:r>
        <w:rPr>
          <w:sz w:val="24"/>
          <w:szCs w:val="24"/>
        </w:rPr>
        <w:t>Act provides that</w:t>
      </w:r>
      <w:r w:rsidR="00472923">
        <w:rPr>
          <w:sz w:val="24"/>
          <w:szCs w:val="24"/>
        </w:rPr>
        <w:t>,</w:t>
      </w:r>
      <w:r>
        <w:rPr>
          <w:sz w:val="24"/>
          <w:szCs w:val="24"/>
        </w:rPr>
        <w:t xml:space="preserve"> before making directions that would apply to a particular Division</w:t>
      </w:r>
      <w:r w:rsidR="00F80E19">
        <w:rPr>
          <w:sz w:val="24"/>
          <w:szCs w:val="24"/>
        </w:rPr>
        <w:t>,</w:t>
      </w:r>
      <w:r>
        <w:rPr>
          <w:sz w:val="24"/>
          <w:szCs w:val="24"/>
        </w:rPr>
        <w:t xml:space="preserve"> the President</w:t>
      </w:r>
      <w:r w:rsidR="00F80E19">
        <w:rPr>
          <w:sz w:val="24"/>
          <w:szCs w:val="24"/>
        </w:rPr>
        <w:t xml:space="preserve"> must consult with the head of that Division. Consistent with this requirement, the President consulted with the head of the Social Services and Child Support Divi</w:t>
      </w:r>
      <w:r w:rsidR="00054FE7">
        <w:rPr>
          <w:sz w:val="24"/>
          <w:szCs w:val="24"/>
        </w:rPr>
        <w:t>sion prior to repealing the SSAT General Directions</w:t>
      </w:r>
      <w:r w:rsidR="00F80E19">
        <w:rPr>
          <w:sz w:val="24"/>
          <w:szCs w:val="24"/>
        </w:rPr>
        <w:t xml:space="preserve">. </w:t>
      </w:r>
    </w:p>
    <w:p w:rsidR="00A52C63" w:rsidRDefault="00A52C63" w:rsidP="00D07808">
      <w:pPr>
        <w:spacing w:after="120"/>
        <w:rPr>
          <w:color w:val="000000"/>
          <w:sz w:val="24"/>
          <w:szCs w:val="24"/>
        </w:rPr>
      </w:pPr>
      <w:r w:rsidRPr="00762DF7">
        <w:rPr>
          <w:color w:val="000000"/>
          <w:sz w:val="24"/>
          <w:szCs w:val="24"/>
        </w:rPr>
        <w:t>The Office of Best Practice Regulation has advised that a regulatory impact statement is not required for th</w:t>
      </w:r>
      <w:r w:rsidR="0006361D" w:rsidRPr="00762DF7">
        <w:rPr>
          <w:color w:val="000000"/>
          <w:sz w:val="24"/>
          <w:szCs w:val="24"/>
        </w:rPr>
        <w:t xml:space="preserve">e </w:t>
      </w:r>
      <w:r w:rsidR="00054FE7" w:rsidRPr="00762DF7">
        <w:rPr>
          <w:color w:val="000000"/>
          <w:sz w:val="24"/>
          <w:szCs w:val="24"/>
        </w:rPr>
        <w:t>Repeal</w:t>
      </w:r>
      <w:r w:rsidR="007B1325" w:rsidRPr="00762DF7">
        <w:rPr>
          <w:color w:val="000000"/>
          <w:sz w:val="24"/>
          <w:szCs w:val="24"/>
        </w:rPr>
        <w:t xml:space="preserve"> Instrument</w:t>
      </w:r>
      <w:r w:rsidR="008717D4" w:rsidRPr="00762DF7">
        <w:rPr>
          <w:color w:val="000000"/>
          <w:sz w:val="24"/>
          <w:szCs w:val="24"/>
        </w:rPr>
        <w:t xml:space="preserve"> </w:t>
      </w:r>
      <w:r w:rsidR="008717D4" w:rsidRPr="00C45764">
        <w:rPr>
          <w:color w:val="000000"/>
          <w:sz w:val="24"/>
          <w:szCs w:val="24"/>
        </w:rPr>
        <w:t>(OBPR Reference 19348)</w:t>
      </w:r>
      <w:r w:rsidR="00151B89" w:rsidRPr="00762DF7">
        <w:rPr>
          <w:color w:val="000000"/>
          <w:sz w:val="24"/>
          <w:szCs w:val="24"/>
        </w:rPr>
        <w:t>.</w:t>
      </w:r>
    </w:p>
    <w:p w:rsidR="00D07808" w:rsidRDefault="00D07808" w:rsidP="00D07808">
      <w:pPr>
        <w:spacing w:after="120"/>
        <w:rPr>
          <w:b/>
          <w:sz w:val="24"/>
          <w:szCs w:val="24"/>
        </w:rPr>
      </w:pPr>
    </w:p>
    <w:p w:rsidR="005C7D57" w:rsidRPr="00D07808" w:rsidRDefault="00A03A7F" w:rsidP="00D07808">
      <w:pPr>
        <w:spacing w:after="120"/>
        <w:rPr>
          <w:b/>
          <w:sz w:val="24"/>
          <w:szCs w:val="24"/>
        </w:rPr>
      </w:pPr>
      <w:r w:rsidRPr="00BC713C">
        <w:rPr>
          <w:b/>
          <w:sz w:val="24"/>
          <w:szCs w:val="24"/>
        </w:rPr>
        <w:t xml:space="preserve">Other details </w:t>
      </w:r>
    </w:p>
    <w:p w:rsidR="00460B93" w:rsidRPr="005C7D57" w:rsidRDefault="00460B93" w:rsidP="00D07808">
      <w:pPr>
        <w:spacing w:after="120"/>
        <w:rPr>
          <w:sz w:val="24"/>
          <w:szCs w:val="24"/>
        </w:rPr>
      </w:pPr>
      <w:r w:rsidRPr="00693790">
        <w:rPr>
          <w:sz w:val="24"/>
          <w:szCs w:val="24"/>
        </w:rPr>
        <w:t xml:space="preserve">The </w:t>
      </w:r>
      <w:r w:rsidR="00054FE7">
        <w:rPr>
          <w:sz w:val="24"/>
          <w:szCs w:val="24"/>
        </w:rPr>
        <w:t>Repeal</w:t>
      </w:r>
      <w:r w:rsidR="00916B2F">
        <w:rPr>
          <w:sz w:val="24"/>
          <w:szCs w:val="24"/>
        </w:rPr>
        <w:t xml:space="preserve"> Instrument </w:t>
      </w:r>
      <w:r w:rsidRPr="00693790">
        <w:rPr>
          <w:sz w:val="24"/>
          <w:szCs w:val="24"/>
        </w:rPr>
        <w:t xml:space="preserve">is a legislative instrument for the purposes of the </w:t>
      </w:r>
      <w:r w:rsidRPr="00693790">
        <w:rPr>
          <w:i/>
          <w:sz w:val="24"/>
          <w:szCs w:val="24"/>
        </w:rPr>
        <w:t>Legislative Instruments Act 2003</w:t>
      </w:r>
      <w:r w:rsidRPr="00693790">
        <w:rPr>
          <w:sz w:val="24"/>
          <w:szCs w:val="24"/>
        </w:rPr>
        <w:t xml:space="preserve"> and shall commenc</w:t>
      </w:r>
      <w:r w:rsidRPr="00C45764">
        <w:rPr>
          <w:sz w:val="24"/>
          <w:szCs w:val="24"/>
        </w:rPr>
        <w:t xml:space="preserve">e </w:t>
      </w:r>
      <w:r w:rsidRPr="00762DF7">
        <w:rPr>
          <w:sz w:val="24"/>
          <w:szCs w:val="24"/>
        </w:rPr>
        <w:t>on</w:t>
      </w:r>
      <w:r w:rsidRPr="00762DF7">
        <w:rPr>
          <w:color w:val="0000FF"/>
          <w:sz w:val="24"/>
          <w:szCs w:val="24"/>
        </w:rPr>
        <w:t xml:space="preserve"> </w:t>
      </w:r>
      <w:r w:rsidRPr="00762DF7">
        <w:rPr>
          <w:sz w:val="24"/>
          <w:szCs w:val="24"/>
        </w:rPr>
        <w:t xml:space="preserve">the day after it is registered in the </w:t>
      </w:r>
      <w:r w:rsidR="001E081E" w:rsidRPr="00762DF7">
        <w:rPr>
          <w:sz w:val="24"/>
          <w:szCs w:val="24"/>
        </w:rPr>
        <w:t>FRLI</w:t>
      </w:r>
      <w:r w:rsidRPr="00762DF7">
        <w:rPr>
          <w:sz w:val="24"/>
          <w:szCs w:val="24"/>
        </w:rPr>
        <w:t>.</w:t>
      </w:r>
    </w:p>
    <w:p w:rsidR="004451E3" w:rsidRDefault="004451E3" w:rsidP="00D07808">
      <w:pPr>
        <w:pStyle w:val="BodyText2"/>
        <w:spacing w:after="120"/>
        <w:rPr>
          <w:szCs w:val="24"/>
          <w:u w:val="single"/>
        </w:rPr>
      </w:pPr>
      <w:r>
        <w:rPr>
          <w:szCs w:val="24"/>
        </w:rPr>
        <w:t xml:space="preserve">The </w:t>
      </w:r>
      <w:r w:rsidRPr="004451E3">
        <w:rPr>
          <w:szCs w:val="24"/>
        </w:rPr>
        <w:t>Statement of Compatibility with Human Rights</w:t>
      </w:r>
      <w:r>
        <w:rPr>
          <w:szCs w:val="24"/>
        </w:rPr>
        <w:t xml:space="preserve"> for this </w:t>
      </w:r>
      <w:r w:rsidR="00054FE7">
        <w:rPr>
          <w:szCs w:val="24"/>
        </w:rPr>
        <w:t>Repeal</w:t>
      </w:r>
      <w:r w:rsidR="00D22E20">
        <w:rPr>
          <w:szCs w:val="24"/>
        </w:rPr>
        <w:t xml:space="preserve"> Instrument </w:t>
      </w:r>
      <w:r>
        <w:rPr>
          <w:szCs w:val="24"/>
        </w:rPr>
        <w:t xml:space="preserve">is </w:t>
      </w:r>
      <w:r w:rsidRPr="00693790">
        <w:rPr>
          <w:szCs w:val="24"/>
        </w:rPr>
        <w:t xml:space="preserve">set out in </w:t>
      </w:r>
      <w:r w:rsidRPr="00693790">
        <w:rPr>
          <w:szCs w:val="24"/>
          <w:u w:val="single"/>
        </w:rPr>
        <w:t>Attachment</w:t>
      </w:r>
      <w:r>
        <w:rPr>
          <w:szCs w:val="24"/>
          <w:u w:val="single"/>
        </w:rPr>
        <w:t xml:space="preserve"> 1</w:t>
      </w:r>
      <w:r w:rsidRPr="00387977">
        <w:rPr>
          <w:szCs w:val="24"/>
        </w:rPr>
        <w:t>.</w:t>
      </w:r>
    </w:p>
    <w:p w:rsidR="00265A6F" w:rsidRPr="000916F7" w:rsidRDefault="00265A6F" w:rsidP="00D07808">
      <w:pPr>
        <w:pStyle w:val="BodyText2"/>
        <w:spacing w:after="120"/>
        <w:rPr>
          <w:szCs w:val="24"/>
        </w:rPr>
      </w:pPr>
      <w:r w:rsidRPr="00693790">
        <w:rPr>
          <w:szCs w:val="24"/>
        </w:rPr>
        <w:lastRenderedPageBreak/>
        <w:t xml:space="preserve">Details of the accompanying </w:t>
      </w:r>
      <w:r w:rsidR="00054FE7">
        <w:rPr>
          <w:szCs w:val="24"/>
        </w:rPr>
        <w:t>Repeal</w:t>
      </w:r>
      <w:r w:rsidR="00916B2F">
        <w:rPr>
          <w:szCs w:val="24"/>
        </w:rPr>
        <w:t xml:space="preserve"> Instrument </w:t>
      </w:r>
      <w:r w:rsidRPr="00693790">
        <w:rPr>
          <w:szCs w:val="24"/>
        </w:rPr>
        <w:t xml:space="preserve">are set out in </w:t>
      </w:r>
      <w:r w:rsidRPr="00693790">
        <w:rPr>
          <w:szCs w:val="24"/>
          <w:u w:val="single"/>
        </w:rPr>
        <w:t>Attachment</w:t>
      </w:r>
      <w:r w:rsidR="004451E3">
        <w:rPr>
          <w:szCs w:val="24"/>
          <w:u w:val="single"/>
        </w:rPr>
        <w:t xml:space="preserve"> 2</w:t>
      </w:r>
      <w:r w:rsidRPr="00693790">
        <w:rPr>
          <w:szCs w:val="24"/>
        </w:rPr>
        <w:t>.</w:t>
      </w:r>
    </w:p>
    <w:p w:rsidR="00265A6F" w:rsidRDefault="00265A6F" w:rsidP="00693790">
      <w:pPr>
        <w:rPr>
          <w:sz w:val="24"/>
          <w:szCs w:val="24"/>
        </w:rPr>
      </w:pPr>
    </w:p>
    <w:p w:rsidR="004451E3" w:rsidRPr="004451E3" w:rsidRDefault="00A3645B" w:rsidP="004451E3">
      <w:pPr>
        <w:ind w:left="5760" w:firstLine="720"/>
        <w:jc w:val="center"/>
        <w:rPr>
          <w:b/>
          <w:sz w:val="24"/>
          <w:szCs w:val="24"/>
          <w:u w:val="single"/>
        </w:rPr>
      </w:pPr>
      <w:r>
        <w:rPr>
          <w:b/>
          <w:i/>
          <w:sz w:val="24"/>
          <w:szCs w:val="24"/>
        </w:rPr>
        <w:br w:type="column"/>
      </w:r>
      <w:r w:rsidR="004451E3" w:rsidRPr="004451E3">
        <w:rPr>
          <w:b/>
          <w:sz w:val="24"/>
          <w:szCs w:val="24"/>
          <w:u w:val="single"/>
        </w:rPr>
        <w:lastRenderedPageBreak/>
        <w:t xml:space="preserve">Attachment 1 </w:t>
      </w:r>
    </w:p>
    <w:p w:rsidR="004451E3" w:rsidRPr="004451E3" w:rsidRDefault="004451E3" w:rsidP="004451E3">
      <w:pPr>
        <w:ind w:left="5760" w:firstLine="720"/>
        <w:jc w:val="center"/>
        <w:rPr>
          <w:sz w:val="24"/>
          <w:szCs w:val="24"/>
          <w:u w:val="single"/>
        </w:rPr>
      </w:pPr>
    </w:p>
    <w:p w:rsidR="00DB5C10" w:rsidRPr="00366326" w:rsidRDefault="00DB5C10" w:rsidP="00693790">
      <w:pPr>
        <w:jc w:val="center"/>
        <w:rPr>
          <w:b/>
          <w:i/>
          <w:sz w:val="24"/>
          <w:szCs w:val="24"/>
        </w:rPr>
      </w:pPr>
      <w:r w:rsidRPr="00366326">
        <w:rPr>
          <w:b/>
          <w:i/>
          <w:sz w:val="24"/>
          <w:szCs w:val="24"/>
        </w:rPr>
        <w:t>Statement of Compatibility with Human Rights</w:t>
      </w:r>
    </w:p>
    <w:p w:rsidR="00F10B1A" w:rsidRDefault="00F10B1A" w:rsidP="00693790">
      <w:pPr>
        <w:jc w:val="center"/>
        <w:rPr>
          <w:i/>
          <w:sz w:val="24"/>
          <w:szCs w:val="24"/>
        </w:rPr>
      </w:pPr>
    </w:p>
    <w:p w:rsidR="00DB5C10" w:rsidRPr="00366326" w:rsidRDefault="00DB5C10" w:rsidP="00693790">
      <w:pPr>
        <w:jc w:val="center"/>
        <w:rPr>
          <w:i/>
          <w:sz w:val="24"/>
          <w:szCs w:val="24"/>
        </w:rPr>
      </w:pPr>
      <w:r w:rsidRPr="00366326">
        <w:rPr>
          <w:i/>
          <w:sz w:val="24"/>
          <w:szCs w:val="24"/>
        </w:rPr>
        <w:t>Prepared in accordance with Part 3 of the Human Rights (Parliamentary Scrutiny) Act 2011</w:t>
      </w:r>
    </w:p>
    <w:p w:rsidR="00DB5C10" w:rsidRPr="00366326" w:rsidRDefault="00DB5C10" w:rsidP="00693790">
      <w:pPr>
        <w:jc w:val="center"/>
        <w:rPr>
          <w:i/>
          <w:sz w:val="24"/>
          <w:szCs w:val="24"/>
        </w:rPr>
      </w:pPr>
    </w:p>
    <w:p w:rsidR="00F80E19" w:rsidRPr="00C26E8A" w:rsidRDefault="00F80E19" w:rsidP="00F80E19">
      <w:pPr>
        <w:jc w:val="center"/>
        <w:rPr>
          <w:b/>
          <w:szCs w:val="24"/>
        </w:rPr>
      </w:pPr>
      <w:r>
        <w:rPr>
          <w:b/>
          <w:i/>
          <w:sz w:val="24"/>
        </w:rPr>
        <w:t xml:space="preserve">SSAT Child Support Review General Directions </w:t>
      </w:r>
      <w:r w:rsidR="00054FE7">
        <w:rPr>
          <w:b/>
          <w:i/>
          <w:sz w:val="24"/>
        </w:rPr>
        <w:t>Repeal Instrument 2015</w:t>
      </w:r>
    </w:p>
    <w:p w:rsidR="003549AD" w:rsidRDefault="003549AD" w:rsidP="00693790">
      <w:pPr>
        <w:jc w:val="center"/>
        <w:rPr>
          <w:b/>
          <w:i/>
          <w:sz w:val="24"/>
          <w:szCs w:val="24"/>
        </w:rPr>
      </w:pPr>
    </w:p>
    <w:p w:rsidR="00DB5C10" w:rsidRPr="00366326" w:rsidRDefault="00BC713C" w:rsidP="00693790">
      <w:pPr>
        <w:rPr>
          <w:sz w:val="24"/>
          <w:szCs w:val="24"/>
        </w:rPr>
      </w:pPr>
      <w:r w:rsidRPr="003549AD">
        <w:rPr>
          <w:sz w:val="24"/>
          <w:szCs w:val="24"/>
        </w:rPr>
        <w:t>The</w:t>
      </w:r>
      <w:r w:rsidRPr="003549AD">
        <w:rPr>
          <w:i/>
          <w:sz w:val="24"/>
          <w:szCs w:val="24"/>
        </w:rPr>
        <w:t xml:space="preserve"> </w:t>
      </w:r>
      <w:r w:rsidR="00F80E19">
        <w:rPr>
          <w:i/>
          <w:sz w:val="24"/>
          <w:szCs w:val="24"/>
        </w:rPr>
        <w:t xml:space="preserve">SSAT Child Support Review General Directions </w:t>
      </w:r>
      <w:r w:rsidR="00054FE7">
        <w:rPr>
          <w:i/>
          <w:sz w:val="24"/>
          <w:szCs w:val="24"/>
        </w:rPr>
        <w:t>Repeal Instrument</w:t>
      </w:r>
      <w:r w:rsidR="00F80E19">
        <w:rPr>
          <w:i/>
          <w:sz w:val="24"/>
          <w:szCs w:val="24"/>
        </w:rPr>
        <w:t xml:space="preserve"> 2015</w:t>
      </w:r>
      <w:r w:rsidR="00E62002">
        <w:rPr>
          <w:i/>
          <w:sz w:val="24"/>
          <w:szCs w:val="24"/>
        </w:rPr>
        <w:t xml:space="preserve"> </w:t>
      </w:r>
      <w:r w:rsidR="00E62002">
        <w:rPr>
          <w:sz w:val="24"/>
          <w:szCs w:val="24"/>
        </w:rPr>
        <w:t xml:space="preserve">(the </w:t>
      </w:r>
      <w:r w:rsidR="00054FE7">
        <w:rPr>
          <w:sz w:val="24"/>
          <w:szCs w:val="24"/>
        </w:rPr>
        <w:t>Repeal</w:t>
      </w:r>
      <w:r w:rsidR="003D59B8">
        <w:rPr>
          <w:sz w:val="24"/>
          <w:szCs w:val="24"/>
        </w:rPr>
        <w:t xml:space="preserve"> Instrument</w:t>
      </w:r>
      <w:r w:rsidR="00E62002">
        <w:rPr>
          <w:sz w:val="24"/>
          <w:szCs w:val="24"/>
        </w:rPr>
        <w:t xml:space="preserve">) </w:t>
      </w:r>
      <w:r w:rsidR="00DB5C10" w:rsidRPr="00366326">
        <w:rPr>
          <w:sz w:val="24"/>
          <w:szCs w:val="24"/>
        </w:rPr>
        <w:t xml:space="preserve">is compatible with the human rights and freedoms recognised or declared in the international instruments listed in section 3 of the </w:t>
      </w:r>
      <w:r w:rsidR="00DB5C10" w:rsidRPr="00366326">
        <w:rPr>
          <w:i/>
          <w:sz w:val="24"/>
          <w:szCs w:val="24"/>
        </w:rPr>
        <w:t>Human Rights (Parliamentary Scrutiny) Act 2011</w:t>
      </w:r>
      <w:r w:rsidR="00DB5C10" w:rsidRPr="00366326">
        <w:rPr>
          <w:sz w:val="24"/>
          <w:szCs w:val="24"/>
        </w:rPr>
        <w:t>.</w:t>
      </w:r>
    </w:p>
    <w:p w:rsidR="003729DD" w:rsidRDefault="003729DD" w:rsidP="00693790">
      <w:pPr>
        <w:rPr>
          <w:sz w:val="24"/>
          <w:szCs w:val="24"/>
        </w:rPr>
      </w:pPr>
    </w:p>
    <w:p w:rsidR="003729DD" w:rsidRDefault="00DB5C10" w:rsidP="00D07808">
      <w:pPr>
        <w:spacing w:after="120"/>
        <w:rPr>
          <w:b/>
          <w:sz w:val="24"/>
          <w:szCs w:val="24"/>
        </w:rPr>
      </w:pPr>
      <w:r w:rsidRPr="00366326">
        <w:rPr>
          <w:b/>
          <w:sz w:val="24"/>
          <w:szCs w:val="24"/>
        </w:rPr>
        <w:t xml:space="preserve">Overview of the </w:t>
      </w:r>
      <w:r w:rsidR="00054FE7">
        <w:rPr>
          <w:b/>
          <w:sz w:val="24"/>
          <w:szCs w:val="24"/>
        </w:rPr>
        <w:t>Repeal</w:t>
      </w:r>
      <w:r w:rsidR="00916B2F">
        <w:rPr>
          <w:b/>
          <w:sz w:val="24"/>
          <w:szCs w:val="24"/>
        </w:rPr>
        <w:t xml:space="preserve"> Instrument </w:t>
      </w:r>
      <w:r w:rsidR="003549AD">
        <w:rPr>
          <w:b/>
          <w:sz w:val="24"/>
          <w:szCs w:val="24"/>
        </w:rPr>
        <w:t xml:space="preserve"> </w:t>
      </w:r>
    </w:p>
    <w:p w:rsidR="00B51B25" w:rsidRDefault="00B51B25" w:rsidP="00D07808">
      <w:pPr>
        <w:spacing w:after="120"/>
        <w:rPr>
          <w:sz w:val="24"/>
          <w:szCs w:val="24"/>
        </w:rPr>
      </w:pPr>
      <w:r>
        <w:rPr>
          <w:sz w:val="24"/>
          <w:szCs w:val="24"/>
        </w:rPr>
        <w:t xml:space="preserve">The </w:t>
      </w:r>
      <w:r w:rsidR="00054FE7">
        <w:rPr>
          <w:sz w:val="24"/>
          <w:szCs w:val="24"/>
        </w:rPr>
        <w:t>Repeal</w:t>
      </w:r>
      <w:r>
        <w:rPr>
          <w:sz w:val="24"/>
          <w:szCs w:val="24"/>
        </w:rPr>
        <w:t xml:space="preserve"> Instrument </w:t>
      </w:r>
      <w:r w:rsidR="00054FE7">
        <w:rPr>
          <w:sz w:val="24"/>
          <w:szCs w:val="24"/>
        </w:rPr>
        <w:t>repeals</w:t>
      </w:r>
      <w:r>
        <w:rPr>
          <w:sz w:val="24"/>
          <w:szCs w:val="24"/>
        </w:rPr>
        <w:t xml:space="preserve"> the </w:t>
      </w:r>
      <w:r w:rsidR="00F52DCD">
        <w:rPr>
          <w:i/>
          <w:sz w:val="24"/>
          <w:szCs w:val="24"/>
        </w:rPr>
        <w:t xml:space="preserve">SSAT Child Support Review General Directions 2012 </w:t>
      </w:r>
      <w:r w:rsidR="00F52DCD">
        <w:rPr>
          <w:sz w:val="24"/>
          <w:szCs w:val="24"/>
        </w:rPr>
        <w:t>(SSAT General Directions)</w:t>
      </w:r>
      <w:r>
        <w:rPr>
          <w:sz w:val="24"/>
          <w:szCs w:val="24"/>
        </w:rPr>
        <w:t xml:space="preserve"> which will be replaced by a new set of directions </w:t>
      </w:r>
      <w:r w:rsidR="00472923">
        <w:rPr>
          <w:sz w:val="24"/>
          <w:szCs w:val="24"/>
        </w:rPr>
        <w:t xml:space="preserve">given </w:t>
      </w:r>
      <w:r>
        <w:rPr>
          <w:sz w:val="24"/>
          <w:szCs w:val="24"/>
        </w:rPr>
        <w:t xml:space="preserve">by the President of the Administrative Appeals Tribunal (AAT) under section 18B of the </w:t>
      </w:r>
      <w:r>
        <w:rPr>
          <w:i/>
          <w:sz w:val="24"/>
          <w:szCs w:val="24"/>
        </w:rPr>
        <w:t xml:space="preserve">Administrative Appeals Tribunal Act 1975 </w:t>
      </w:r>
      <w:r>
        <w:rPr>
          <w:sz w:val="24"/>
          <w:szCs w:val="24"/>
        </w:rPr>
        <w:t xml:space="preserve">(AAT Act). </w:t>
      </w:r>
      <w:r w:rsidR="00F52DCD">
        <w:rPr>
          <w:sz w:val="24"/>
          <w:szCs w:val="24"/>
        </w:rPr>
        <w:t xml:space="preserve"> </w:t>
      </w:r>
    </w:p>
    <w:p w:rsidR="00B51B25" w:rsidRDefault="00472923" w:rsidP="00D07808">
      <w:pPr>
        <w:spacing w:after="120"/>
        <w:rPr>
          <w:sz w:val="24"/>
          <w:szCs w:val="24"/>
        </w:rPr>
      </w:pPr>
      <w:r>
        <w:rPr>
          <w:sz w:val="24"/>
          <w:szCs w:val="24"/>
        </w:rPr>
        <w:t xml:space="preserve">On </w:t>
      </w:r>
      <w:r w:rsidR="00B51B25">
        <w:rPr>
          <w:sz w:val="24"/>
          <w:szCs w:val="24"/>
        </w:rPr>
        <w:t xml:space="preserve">1 July 2015, the Social Security Appeals Tribunal (SSAT) </w:t>
      </w:r>
      <w:r>
        <w:rPr>
          <w:sz w:val="24"/>
          <w:szCs w:val="24"/>
        </w:rPr>
        <w:t>was</w:t>
      </w:r>
      <w:r w:rsidR="00B51B25">
        <w:rPr>
          <w:sz w:val="24"/>
          <w:szCs w:val="24"/>
        </w:rPr>
        <w:t xml:space="preserve"> amalgamated with the AAT and the Migration Review Tribunal and Refugee Review Tribunal (MRT-RRT) by the </w:t>
      </w:r>
      <w:r w:rsidR="00B51B25">
        <w:rPr>
          <w:i/>
          <w:sz w:val="24"/>
          <w:szCs w:val="24"/>
        </w:rPr>
        <w:t xml:space="preserve">Tribunals Amalgamation Act 2015 </w:t>
      </w:r>
      <w:r w:rsidR="00B51B25">
        <w:rPr>
          <w:sz w:val="24"/>
          <w:szCs w:val="24"/>
        </w:rPr>
        <w:t xml:space="preserve">(Amalgamation Act). </w:t>
      </w:r>
    </w:p>
    <w:p w:rsidR="00B51B25" w:rsidRDefault="00B51B25" w:rsidP="00D07808">
      <w:pPr>
        <w:spacing w:after="120"/>
        <w:rPr>
          <w:sz w:val="24"/>
          <w:szCs w:val="24"/>
        </w:rPr>
      </w:pPr>
      <w:r>
        <w:rPr>
          <w:sz w:val="24"/>
          <w:szCs w:val="24"/>
        </w:rPr>
        <w:t xml:space="preserve">The SSAT General Directions were made under paragraph </w:t>
      </w:r>
      <w:proofErr w:type="gramStart"/>
      <w:r>
        <w:rPr>
          <w:sz w:val="24"/>
          <w:szCs w:val="24"/>
        </w:rPr>
        <w:t>103ZA(</w:t>
      </w:r>
      <w:proofErr w:type="gramEnd"/>
      <w:r>
        <w:rPr>
          <w:sz w:val="24"/>
          <w:szCs w:val="24"/>
        </w:rPr>
        <w:t xml:space="preserve">1)(a) of the </w:t>
      </w:r>
      <w:r>
        <w:rPr>
          <w:i/>
          <w:sz w:val="24"/>
          <w:szCs w:val="24"/>
        </w:rPr>
        <w:t xml:space="preserve">Child Support (Registration and Collection) Act </w:t>
      </w:r>
      <w:r w:rsidRPr="00BE3DD0">
        <w:rPr>
          <w:i/>
          <w:sz w:val="24"/>
          <w:szCs w:val="24"/>
        </w:rPr>
        <w:t>1988</w:t>
      </w:r>
      <w:r>
        <w:rPr>
          <w:i/>
          <w:sz w:val="24"/>
          <w:szCs w:val="24"/>
        </w:rPr>
        <w:t xml:space="preserve"> </w:t>
      </w:r>
      <w:r>
        <w:rPr>
          <w:sz w:val="24"/>
          <w:szCs w:val="24"/>
        </w:rPr>
        <w:t xml:space="preserve">(CSRC Act) by the Principal Member of the SSAT. Section 103ZA of the CSRC Act </w:t>
      </w:r>
      <w:r w:rsidR="00472923">
        <w:rPr>
          <w:sz w:val="24"/>
          <w:szCs w:val="24"/>
        </w:rPr>
        <w:t xml:space="preserve">was </w:t>
      </w:r>
      <w:r>
        <w:rPr>
          <w:sz w:val="24"/>
          <w:szCs w:val="24"/>
        </w:rPr>
        <w:t xml:space="preserve">repealed by item 64 of Schedule 4 to the Amalgamation Act on 1 July 2015. </w:t>
      </w:r>
    </w:p>
    <w:p w:rsidR="00B51B25" w:rsidRDefault="00B51B25" w:rsidP="00D07808">
      <w:pPr>
        <w:spacing w:after="120"/>
        <w:rPr>
          <w:sz w:val="24"/>
          <w:szCs w:val="24"/>
        </w:rPr>
      </w:pPr>
      <w:r>
        <w:rPr>
          <w:sz w:val="24"/>
          <w:szCs w:val="24"/>
        </w:rPr>
        <w:t>Item 15CC of Schedule 9 to the Amalgamation Act provides transitional arrangements that apply to the SSAT General Directions. The transitional arrangements provide that on and after 1 July 2015 the SSAT General Directions continue in effect as if they had been given by the President of the AAT under section 18B of the AAT Act as amended by the Amalgamation Act. Subsection 33(3) of the</w:t>
      </w:r>
      <w:r w:rsidR="000D7127">
        <w:rPr>
          <w:sz w:val="24"/>
          <w:szCs w:val="24"/>
        </w:rPr>
        <w:t xml:space="preserve"> </w:t>
      </w:r>
      <w:r w:rsidR="000D7127">
        <w:rPr>
          <w:i/>
          <w:sz w:val="24"/>
          <w:szCs w:val="24"/>
        </w:rPr>
        <w:t>Acts Interpretation Act 1901</w:t>
      </w:r>
      <w:r>
        <w:rPr>
          <w:sz w:val="24"/>
          <w:szCs w:val="24"/>
        </w:rPr>
        <w:t xml:space="preserve"> empowers the President of the AAT to repeal, rescind, revoke, amend or vary the SSAT General Directions following amalgamation.  </w:t>
      </w:r>
    </w:p>
    <w:p w:rsidR="00D07808" w:rsidRDefault="00D07808" w:rsidP="00762DF7">
      <w:pPr>
        <w:rPr>
          <w:b/>
          <w:sz w:val="24"/>
          <w:szCs w:val="24"/>
        </w:rPr>
      </w:pPr>
    </w:p>
    <w:p w:rsidR="00B51B25" w:rsidRDefault="00B51B25" w:rsidP="00D07808">
      <w:pPr>
        <w:spacing w:after="120"/>
        <w:rPr>
          <w:b/>
          <w:sz w:val="24"/>
          <w:szCs w:val="24"/>
        </w:rPr>
      </w:pPr>
      <w:r>
        <w:rPr>
          <w:b/>
          <w:sz w:val="24"/>
          <w:szCs w:val="24"/>
        </w:rPr>
        <w:t>Human rights implications</w:t>
      </w:r>
    </w:p>
    <w:p w:rsidR="00F52DCD" w:rsidRDefault="00B51B25" w:rsidP="00D07808">
      <w:pPr>
        <w:spacing w:after="120"/>
        <w:rPr>
          <w:sz w:val="24"/>
          <w:szCs w:val="24"/>
        </w:rPr>
      </w:pPr>
      <w:r>
        <w:rPr>
          <w:sz w:val="24"/>
          <w:szCs w:val="24"/>
        </w:rPr>
        <w:t xml:space="preserve">The SSAT General Directions </w:t>
      </w:r>
      <w:r w:rsidR="00F52DCD">
        <w:rPr>
          <w:sz w:val="24"/>
          <w:szCs w:val="24"/>
        </w:rPr>
        <w:t>provide</w:t>
      </w:r>
      <w:r w:rsidR="003034F5">
        <w:rPr>
          <w:sz w:val="24"/>
          <w:szCs w:val="24"/>
        </w:rPr>
        <w:t>d</w:t>
      </w:r>
      <w:r w:rsidR="00F52DCD">
        <w:rPr>
          <w:sz w:val="24"/>
          <w:szCs w:val="24"/>
        </w:rPr>
        <w:t xml:space="preserve"> for procedures to be followed in relation to child support review</w:t>
      </w:r>
      <w:r w:rsidR="000D7127">
        <w:rPr>
          <w:sz w:val="24"/>
          <w:szCs w:val="24"/>
        </w:rPr>
        <w:t>s</w:t>
      </w:r>
      <w:r w:rsidR="00F52DCD">
        <w:rPr>
          <w:sz w:val="24"/>
          <w:szCs w:val="24"/>
        </w:rPr>
        <w:t xml:space="preserve"> before the Social Security Appeals Tribunal (SSAT). These procedures include</w:t>
      </w:r>
      <w:r w:rsidR="003034F5">
        <w:rPr>
          <w:sz w:val="24"/>
          <w:szCs w:val="24"/>
        </w:rPr>
        <w:t>d</w:t>
      </w:r>
      <w:r w:rsidR="00F52DCD">
        <w:rPr>
          <w:sz w:val="24"/>
          <w:szCs w:val="24"/>
        </w:rPr>
        <w:t xml:space="preserve"> matters such as applications for extension of time, details required for an application for review, documents to be given to the SSAT, disclosure of information by the SSAT, hearing procedures, reinstatement applications, communication with the SSAT and production of documents by the SSAT. </w:t>
      </w:r>
    </w:p>
    <w:p w:rsidR="00B51B25" w:rsidRDefault="00B51B25" w:rsidP="00D07808">
      <w:pPr>
        <w:spacing w:after="120"/>
        <w:rPr>
          <w:sz w:val="24"/>
          <w:szCs w:val="24"/>
        </w:rPr>
      </w:pPr>
      <w:r>
        <w:rPr>
          <w:sz w:val="24"/>
          <w:szCs w:val="24"/>
        </w:rPr>
        <w:t xml:space="preserve">The human rights implications of the SSAT General Directions were set out in the statement of compatibility at the end of the explanatory </w:t>
      </w:r>
      <w:r w:rsidR="000D7127">
        <w:rPr>
          <w:sz w:val="24"/>
          <w:szCs w:val="24"/>
        </w:rPr>
        <w:t xml:space="preserve">statement </w:t>
      </w:r>
      <w:r>
        <w:rPr>
          <w:sz w:val="24"/>
          <w:szCs w:val="24"/>
        </w:rPr>
        <w:t>for that instrument. In that statement of compatibility, it was identified that the SSAT General Directions engages the following human rights:</w:t>
      </w:r>
    </w:p>
    <w:p w:rsidR="00B51B25" w:rsidRPr="00B51B25" w:rsidRDefault="00B51B25" w:rsidP="00D07808">
      <w:pPr>
        <w:pStyle w:val="ListParagraph"/>
        <w:numPr>
          <w:ilvl w:val="0"/>
          <w:numId w:val="11"/>
        </w:numPr>
        <w:spacing w:after="120"/>
        <w:rPr>
          <w:sz w:val="24"/>
          <w:szCs w:val="24"/>
        </w:rPr>
      </w:pPr>
      <w:r>
        <w:rPr>
          <w:sz w:val="24"/>
          <w:szCs w:val="24"/>
        </w:rPr>
        <w:t xml:space="preserve">the right to protection from exploitation, violence and abuse contained in articles of the </w:t>
      </w:r>
      <w:r>
        <w:rPr>
          <w:i/>
          <w:sz w:val="24"/>
          <w:szCs w:val="24"/>
        </w:rPr>
        <w:t xml:space="preserve">International Covenant on Civil and Political Rights </w:t>
      </w:r>
      <w:r>
        <w:rPr>
          <w:sz w:val="24"/>
          <w:szCs w:val="24"/>
        </w:rPr>
        <w:t xml:space="preserve">(ICCPR), </w:t>
      </w:r>
      <w:r>
        <w:rPr>
          <w:sz w:val="24"/>
          <w:szCs w:val="24"/>
        </w:rPr>
        <w:lastRenderedPageBreak/>
        <w:t xml:space="preserve">the </w:t>
      </w:r>
      <w:r>
        <w:rPr>
          <w:i/>
          <w:sz w:val="24"/>
          <w:szCs w:val="24"/>
        </w:rPr>
        <w:t>Convention on the Rights of the Child</w:t>
      </w:r>
      <w:r>
        <w:rPr>
          <w:sz w:val="24"/>
          <w:szCs w:val="24"/>
        </w:rPr>
        <w:t xml:space="preserve"> and the </w:t>
      </w:r>
      <w:r>
        <w:rPr>
          <w:i/>
          <w:sz w:val="24"/>
          <w:szCs w:val="24"/>
        </w:rPr>
        <w:t xml:space="preserve">Convention on the </w:t>
      </w:r>
      <w:r w:rsidR="000D7127">
        <w:rPr>
          <w:i/>
          <w:sz w:val="24"/>
          <w:szCs w:val="24"/>
        </w:rPr>
        <w:t>R</w:t>
      </w:r>
      <w:r>
        <w:rPr>
          <w:i/>
          <w:sz w:val="24"/>
          <w:szCs w:val="24"/>
        </w:rPr>
        <w:t>ights of Persons with Disabilities</w:t>
      </w:r>
    </w:p>
    <w:p w:rsidR="00B51B25" w:rsidRDefault="00B51B25" w:rsidP="00D07808">
      <w:pPr>
        <w:pStyle w:val="ListParagraph"/>
        <w:numPr>
          <w:ilvl w:val="0"/>
          <w:numId w:val="11"/>
        </w:numPr>
        <w:spacing w:after="120"/>
        <w:rPr>
          <w:sz w:val="24"/>
          <w:szCs w:val="24"/>
        </w:rPr>
      </w:pPr>
      <w:r>
        <w:rPr>
          <w:sz w:val="24"/>
          <w:szCs w:val="24"/>
        </w:rPr>
        <w:t>the right to a fair hearing in Article 14 of the ICCPR, and</w:t>
      </w:r>
    </w:p>
    <w:p w:rsidR="00B51B25" w:rsidRDefault="00B51B25" w:rsidP="00D07808">
      <w:pPr>
        <w:pStyle w:val="ListParagraph"/>
        <w:numPr>
          <w:ilvl w:val="0"/>
          <w:numId w:val="11"/>
        </w:numPr>
        <w:spacing w:after="120"/>
        <w:rPr>
          <w:sz w:val="24"/>
          <w:szCs w:val="24"/>
        </w:rPr>
      </w:pPr>
      <w:proofErr w:type="gramStart"/>
      <w:r>
        <w:rPr>
          <w:sz w:val="24"/>
          <w:szCs w:val="24"/>
        </w:rPr>
        <w:t>the</w:t>
      </w:r>
      <w:proofErr w:type="gramEnd"/>
      <w:r>
        <w:rPr>
          <w:sz w:val="24"/>
          <w:szCs w:val="24"/>
        </w:rPr>
        <w:t xml:space="preserve"> right to protection against unlawful interference with privacy in Article 17 of the ICCPR.</w:t>
      </w:r>
    </w:p>
    <w:p w:rsidR="00B51B25" w:rsidRDefault="002F3D3A" w:rsidP="00D07808">
      <w:pPr>
        <w:spacing w:after="120"/>
        <w:rPr>
          <w:sz w:val="24"/>
          <w:szCs w:val="24"/>
        </w:rPr>
      </w:pPr>
      <w:r>
        <w:rPr>
          <w:sz w:val="24"/>
          <w:szCs w:val="24"/>
        </w:rPr>
        <w:t>In the conclusion of the statement of compatibility, it was determined that the SSAT General Directions strengthen and protect all three identified rights.</w:t>
      </w:r>
    </w:p>
    <w:p w:rsidR="005A59AE" w:rsidRDefault="00B51B25" w:rsidP="00D07808">
      <w:pPr>
        <w:spacing w:after="120"/>
        <w:rPr>
          <w:sz w:val="24"/>
          <w:szCs w:val="24"/>
        </w:rPr>
      </w:pPr>
      <w:r>
        <w:rPr>
          <w:sz w:val="24"/>
          <w:szCs w:val="24"/>
        </w:rPr>
        <w:t xml:space="preserve">The new directions </w:t>
      </w:r>
      <w:r w:rsidR="000D7127">
        <w:rPr>
          <w:sz w:val="24"/>
          <w:szCs w:val="24"/>
        </w:rPr>
        <w:t xml:space="preserve">given </w:t>
      </w:r>
      <w:r w:rsidR="003034F5">
        <w:rPr>
          <w:sz w:val="24"/>
          <w:szCs w:val="24"/>
        </w:rPr>
        <w:t xml:space="preserve">by the President </w:t>
      </w:r>
      <w:r>
        <w:rPr>
          <w:sz w:val="24"/>
          <w:szCs w:val="24"/>
        </w:rPr>
        <w:t>under section 18B of the AAT Act</w:t>
      </w:r>
      <w:r w:rsidR="000D7127">
        <w:rPr>
          <w:sz w:val="24"/>
          <w:szCs w:val="24"/>
        </w:rPr>
        <w:t xml:space="preserve">, the Child Support Review </w:t>
      </w:r>
      <w:proofErr w:type="gramStart"/>
      <w:r w:rsidR="000D7127">
        <w:rPr>
          <w:sz w:val="24"/>
          <w:szCs w:val="24"/>
        </w:rPr>
        <w:t>Directions,</w:t>
      </w:r>
      <w:proofErr w:type="gramEnd"/>
      <w:r>
        <w:rPr>
          <w:sz w:val="24"/>
          <w:szCs w:val="24"/>
        </w:rPr>
        <w:t xml:space="preserve"> </w:t>
      </w:r>
      <w:r w:rsidR="000D7127">
        <w:rPr>
          <w:sz w:val="24"/>
          <w:szCs w:val="24"/>
        </w:rPr>
        <w:t xml:space="preserve">mirror </w:t>
      </w:r>
      <w:r>
        <w:rPr>
          <w:sz w:val="24"/>
          <w:szCs w:val="24"/>
        </w:rPr>
        <w:t xml:space="preserve">in substance the provisions of the SSAT General Directions. </w:t>
      </w:r>
      <w:r w:rsidR="005A59AE">
        <w:rPr>
          <w:sz w:val="24"/>
          <w:szCs w:val="24"/>
        </w:rPr>
        <w:t xml:space="preserve">Broadly, the existing human rights protections offered by the SSAT General Directions will continue to be provided under the new directions. </w:t>
      </w:r>
    </w:p>
    <w:p w:rsidR="00F349E1" w:rsidRDefault="0096348B" w:rsidP="00F349E1">
      <w:pPr>
        <w:spacing w:after="120"/>
        <w:rPr>
          <w:sz w:val="24"/>
          <w:szCs w:val="24"/>
        </w:rPr>
      </w:pPr>
      <w:r>
        <w:rPr>
          <w:sz w:val="24"/>
          <w:szCs w:val="24"/>
        </w:rPr>
        <w:t xml:space="preserve">Only </w:t>
      </w:r>
      <w:r w:rsidR="00F349E1">
        <w:rPr>
          <w:sz w:val="24"/>
          <w:szCs w:val="24"/>
        </w:rPr>
        <w:t>one</w:t>
      </w:r>
      <w:r>
        <w:rPr>
          <w:sz w:val="24"/>
          <w:szCs w:val="24"/>
        </w:rPr>
        <w:t xml:space="preserve"> policy </w:t>
      </w:r>
      <w:r w:rsidR="00F349E1">
        <w:rPr>
          <w:sz w:val="24"/>
          <w:szCs w:val="24"/>
        </w:rPr>
        <w:t>change</w:t>
      </w:r>
      <w:r>
        <w:rPr>
          <w:sz w:val="24"/>
          <w:szCs w:val="24"/>
        </w:rPr>
        <w:t xml:space="preserve"> in the new directions </w:t>
      </w:r>
      <w:r w:rsidR="003034F5">
        <w:rPr>
          <w:sz w:val="24"/>
          <w:szCs w:val="24"/>
        </w:rPr>
        <w:t xml:space="preserve">may appear to </w:t>
      </w:r>
      <w:r>
        <w:rPr>
          <w:sz w:val="24"/>
          <w:szCs w:val="24"/>
        </w:rPr>
        <w:t>engage human rights</w:t>
      </w:r>
      <w:r w:rsidR="00F349E1">
        <w:rPr>
          <w:sz w:val="24"/>
          <w:szCs w:val="24"/>
        </w:rPr>
        <w:t xml:space="preserve">. The new directions will no longer require that </w:t>
      </w:r>
      <w:r w:rsidR="003034F5">
        <w:rPr>
          <w:sz w:val="24"/>
          <w:szCs w:val="24"/>
        </w:rPr>
        <w:t xml:space="preserve">a lawyer </w:t>
      </w:r>
      <w:r w:rsidR="00F349E1">
        <w:rPr>
          <w:sz w:val="24"/>
          <w:szCs w:val="24"/>
        </w:rPr>
        <w:t>represent</w:t>
      </w:r>
      <w:r w:rsidR="003034F5">
        <w:rPr>
          <w:sz w:val="24"/>
          <w:szCs w:val="24"/>
        </w:rPr>
        <w:t>ing a party</w:t>
      </w:r>
      <w:r w:rsidR="00F349E1">
        <w:rPr>
          <w:sz w:val="24"/>
          <w:szCs w:val="24"/>
        </w:rPr>
        <w:t xml:space="preserve"> be automatically issued with a non-disclosure order (section 13 of the SSAT General Directions). </w:t>
      </w:r>
      <w:r w:rsidR="003034F5">
        <w:rPr>
          <w:sz w:val="24"/>
          <w:szCs w:val="24"/>
        </w:rPr>
        <w:t xml:space="preserve">A lawyer was defined in the SSAT General Directions as </w:t>
      </w:r>
      <w:r w:rsidR="003034F5" w:rsidRPr="003034F5">
        <w:rPr>
          <w:sz w:val="24"/>
          <w:szCs w:val="24"/>
        </w:rPr>
        <w:t>a person who has been admitted to practise law in an Australian jurisdiction and who holds a current practising certificate</w:t>
      </w:r>
      <w:r w:rsidR="003034F5">
        <w:rPr>
          <w:sz w:val="24"/>
          <w:szCs w:val="24"/>
        </w:rPr>
        <w:t>.</w:t>
      </w:r>
    </w:p>
    <w:p w:rsidR="00ED156A" w:rsidRDefault="00F349E1" w:rsidP="00D07808">
      <w:pPr>
        <w:spacing w:after="120"/>
        <w:rPr>
          <w:sz w:val="24"/>
          <w:szCs w:val="24"/>
        </w:rPr>
      </w:pPr>
      <w:r>
        <w:rPr>
          <w:sz w:val="24"/>
          <w:szCs w:val="24"/>
        </w:rPr>
        <w:t>L</w:t>
      </w:r>
      <w:r w:rsidR="00600E70">
        <w:rPr>
          <w:sz w:val="24"/>
          <w:szCs w:val="24"/>
        </w:rPr>
        <w:t xml:space="preserve">ifting the automatic requirement to issue non-disclosure orders to legal representatives </w:t>
      </w:r>
      <w:r w:rsidR="003034F5">
        <w:rPr>
          <w:sz w:val="24"/>
          <w:szCs w:val="24"/>
        </w:rPr>
        <w:t xml:space="preserve">may appear to </w:t>
      </w:r>
      <w:r>
        <w:rPr>
          <w:sz w:val="24"/>
          <w:szCs w:val="24"/>
        </w:rPr>
        <w:t xml:space="preserve">engage the right to freedom from arbitrary and unlawful interferences with privacy in Article 17 of the International Covenant on Civil and Political Rights (ICCPR). </w:t>
      </w:r>
      <w:r w:rsidR="003034F5">
        <w:rPr>
          <w:sz w:val="24"/>
          <w:szCs w:val="24"/>
        </w:rPr>
        <w:t>However, the requirement</w:t>
      </w:r>
      <w:r w:rsidR="000D7127">
        <w:rPr>
          <w:sz w:val="24"/>
          <w:szCs w:val="24"/>
        </w:rPr>
        <w:t xml:space="preserve"> is not considered necessary</w:t>
      </w:r>
      <w:r w:rsidR="003034F5">
        <w:rPr>
          <w:sz w:val="24"/>
          <w:szCs w:val="24"/>
        </w:rPr>
        <w:t xml:space="preserve"> as</w:t>
      </w:r>
      <w:r w:rsidR="000D7127">
        <w:rPr>
          <w:sz w:val="24"/>
          <w:szCs w:val="24"/>
        </w:rPr>
        <w:t xml:space="preserve"> </w:t>
      </w:r>
      <w:r w:rsidR="003034F5">
        <w:rPr>
          <w:sz w:val="24"/>
          <w:szCs w:val="24"/>
        </w:rPr>
        <w:t>Australian legal practitioners</w:t>
      </w:r>
      <w:r w:rsidR="000D7127">
        <w:rPr>
          <w:sz w:val="24"/>
          <w:szCs w:val="24"/>
        </w:rPr>
        <w:t xml:space="preserve"> are subject to legal and ethical obligations to maintain the confidentiality of matters relating to their clients.</w:t>
      </w:r>
    </w:p>
    <w:p w:rsidR="00F349E1" w:rsidRPr="00A9197A" w:rsidRDefault="003034F5" w:rsidP="00F349E1">
      <w:pPr>
        <w:spacing w:after="120"/>
        <w:rPr>
          <w:sz w:val="24"/>
          <w:szCs w:val="24"/>
        </w:rPr>
      </w:pPr>
      <w:r>
        <w:rPr>
          <w:sz w:val="24"/>
          <w:szCs w:val="24"/>
        </w:rPr>
        <w:t>Additionally, t</w:t>
      </w:r>
      <w:r w:rsidR="00ED156A">
        <w:rPr>
          <w:sz w:val="24"/>
          <w:szCs w:val="24"/>
        </w:rPr>
        <w:t xml:space="preserve">he AAT will still have strong protections in place to protect personal information and other evidence. </w:t>
      </w:r>
      <w:r w:rsidR="00F349E1" w:rsidRPr="00A9197A">
        <w:rPr>
          <w:sz w:val="24"/>
          <w:szCs w:val="24"/>
        </w:rPr>
        <w:t xml:space="preserve">These include the capacity under section 35 of the AAT Act to prohibit the publication or disclosure of personal information, and protection of members and staff of the Tribunal from being required to produce personal information in certain circumstances under section 66 of the AAT Act. The general protections of the </w:t>
      </w:r>
      <w:r w:rsidR="00F349E1" w:rsidRPr="00762DF7">
        <w:rPr>
          <w:i/>
          <w:sz w:val="24"/>
          <w:szCs w:val="24"/>
        </w:rPr>
        <w:t>Privacy Act 1988</w:t>
      </w:r>
      <w:r w:rsidR="00F349E1" w:rsidRPr="00A9197A">
        <w:rPr>
          <w:sz w:val="24"/>
          <w:szCs w:val="24"/>
        </w:rPr>
        <w:t xml:space="preserve"> will also apply to information collected, used and stored by the amalgamated Tribunal. This includes prohibiting the collection of personal information unless the information is reasonably necessary for, or directly related to, the functions of the Tribunal. </w:t>
      </w:r>
    </w:p>
    <w:p w:rsidR="00F349E1" w:rsidRPr="00A9197A" w:rsidRDefault="00F349E1" w:rsidP="00F349E1">
      <w:pPr>
        <w:spacing w:after="120"/>
        <w:rPr>
          <w:sz w:val="24"/>
          <w:szCs w:val="24"/>
        </w:rPr>
      </w:pPr>
      <w:r w:rsidRPr="00A9197A">
        <w:rPr>
          <w:sz w:val="24"/>
          <w:szCs w:val="24"/>
        </w:rPr>
        <w:t xml:space="preserve">This </w:t>
      </w:r>
      <w:r w:rsidR="003034F5">
        <w:rPr>
          <w:sz w:val="24"/>
          <w:szCs w:val="24"/>
        </w:rPr>
        <w:t xml:space="preserve">policy change does not have any practical effect on </w:t>
      </w:r>
      <w:r w:rsidRPr="00A9197A">
        <w:rPr>
          <w:sz w:val="24"/>
          <w:szCs w:val="24"/>
        </w:rPr>
        <w:t>an individual’s right to privacy and is consistent with the provisions, aims and objectives of the ICCPR.</w:t>
      </w:r>
    </w:p>
    <w:p w:rsidR="002F3D3A" w:rsidRPr="00B51B25" w:rsidRDefault="002F3D3A" w:rsidP="00D07808">
      <w:pPr>
        <w:spacing w:after="120"/>
        <w:rPr>
          <w:sz w:val="24"/>
          <w:szCs w:val="24"/>
        </w:rPr>
      </w:pPr>
      <w:r>
        <w:rPr>
          <w:sz w:val="24"/>
          <w:szCs w:val="24"/>
        </w:rPr>
        <w:t xml:space="preserve">The </w:t>
      </w:r>
      <w:r w:rsidR="00054FE7">
        <w:rPr>
          <w:sz w:val="24"/>
          <w:szCs w:val="24"/>
        </w:rPr>
        <w:t>Repeal Instrument</w:t>
      </w:r>
      <w:r>
        <w:rPr>
          <w:sz w:val="24"/>
          <w:szCs w:val="24"/>
        </w:rPr>
        <w:t xml:space="preserve"> </w:t>
      </w:r>
      <w:r w:rsidR="00ED156A">
        <w:rPr>
          <w:sz w:val="24"/>
          <w:szCs w:val="24"/>
        </w:rPr>
        <w:t xml:space="preserve">itself </w:t>
      </w:r>
      <w:r>
        <w:rPr>
          <w:sz w:val="24"/>
          <w:szCs w:val="24"/>
        </w:rPr>
        <w:t xml:space="preserve">will not diminish the human rights protections that will continue to be provided by the new directions for the child support jurisdiction. </w:t>
      </w:r>
    </w:p>
    <w:p w:rsidR="002D4DC1" w:rsidRPr="00366326" w:rsidRDefault="002D4DC1" w:rsidP="00762DF7">
      <w:pPr>
        <w:rPr>
          <w:sz w:val="24"/>
          <w:szCs w:val="24"/>
        </w:rPr>
      </w:pPr>
    </w:p>
    <w:p w:rsidR="00DB5C10" w:rsidRPr="00366326" w:rsidRDefault="00DB5C10" w:rsidP="00D07808">
      <w:pPr>
        <w:spacing w:after="120"/>
        <w:rPr>
          <w:b/>
          <w:sz w:val="24"/>
          <w:szCs w:val="24"/>
        </w:rPr>
      </w:pPr>
      <w:r w:rsidRPr="00366326">
        <w:rPr>
          <w:b/>
          <w:sz w:val="24"/>
          <w:szCs w:val="24"/>
        </w:rPr>
        <w:t>Conclusion</w:t>
      </w:r>
    </w:p>
    <w:p w:rsidR="00F10B1A" w:rsidRDefault="00DB5C10" w:rsidP="00D07808">
      <w:pPr>
        <w:spacing w:after="120"/>
        <w:rPr>
          <w:sz w:val="24"/>
          <w:szCs w:val="24"/>
        </w:rPr>
      </w:pPr>
      <w:r w:rsidRPr="00366326">
        <w:rPr>
          <w:sz w:val="24"/>
          <w:szCs w:val="24"/>
        </w:rPr>
        <w:t xml:space="preserve">This </w:t>
      </w:r>
      <w:r w:rsidR="00054FE7">
        <w:rPr>
          <w:sz w:val="24"/>
          <w:szCs w:val="24"/>
        </w:rPr>
        <w:t>Repeal</w:t>
      </w:r>
      <w:r w:rsidR="00267059" w:rsidRPr="00BD2E11">
        <w:rPr>
          <w:sz w:val="24"/>
          <w:szCs w:val="24"/>
        </w:rPr>
        <w:t xml:space="preserve"> </w:t>
      </w:r>
      <w:r w:rsidR="00916B2F" w:rsidRPr="00BD2E11">
        <w:rPr>
          <w:sz w:val="24"/>
          <w:szCs w:val="24"/>
        </w:rPr>
        <w:t>Instrument</w:t>
      </w:r>
      <w:r w:rsidR="00F80E19">
        <w:rPr>
          <w:sz w:val="24"/>
          <w:szCs w:val="24"/>
        </w:rPr>
        <w:t xml:space="preserve"> </w:t>
      </w:r>
      <w:r w:rsidRPr="00366326">
        <w:rPr>
          <w:sz w:val="24"/>
          <w:szCs w:val="24"/>
        </w:rPr>
        <w:t xml:space="preserve">is compatible with human rights </w:t>
      </w:r>
      <w:r w:rsidR="00704543">
        <w:rPr>
          <w:sz w:val="24"/>
          <w:szCs w:val="24"/>
        </w:rPr>
        <w:t xml:space="preserve">as it does not affect the operation of directions that will continue to </w:t>
      </w:r>
      <w:r w:rsidR="00055D93">
        <w:rPr>
          <w:sz w:val="24"/>
          <w:szCs w:val="24"/>
        </w:rPr>
        <w:t xml:space="preserve">maintain </w:t>
      </w:r>
      <w:r w:rsidR="00704543">
        <w:rPr>
          <w:sz w:val="24"/>
          <w:szCs w:val="24"/>
        </w:rPr>
        <w:t>and protect an individual’s right to privacy and promote</w:t>
      </w:r>
      <w:r w:rsidR="00D07808">
        <w:rPr>
          <w:sz w:val="24"/>
          <w:szCs w:val="24"/>
        </w:rPr>
        <w:t xml:space="preserve"> a person’s right to protection from exploitation, violence and abuse. </w:t>
      </w:r>
    </w:p>
    <w:p w:rsidR="0034339A" w:rsidRDefault="0034339A" w:rsidP="00D07808">
      <w:pPr>
        <w:spacing w:after="120"/>
        <w:rPr>
          <w:sz w:val="24"/>
          <w:szCs w:val="24"/>
        </w:rPr>
      </w:pPr>
    </w:p>
    <w:p w:rsidR="0034339A" w:rsidRDefault="00C45764" w:rsidP="00762DF7">
      <w:pPr>
        <w:rPr>
          <w:sz w:val="24"/>
          <w:szCs w:val="24"/>
        </w:rPr>
      </w:pPr>
      <w:r>
        <w:rPr>
          <w:sz w:val="24"/>
          <w:szCs w:val="24"/>
        </w:rPr>
        <w:t xml:space="preserve">Justice </w:t>
      </w:r>
      <w:r w:rsidR="0034339A">
        <w:rPr>
          <w:sz w:val="24"/>
          <w:szCs w:val="24"/>
        </w:rPr>
        <w:t xml:space="preserve">Duncan Kerr </w:t>
      </w:r>
      <w:proofErr w:type="spellStart"/>
      <w:r w:rsidR="0034339A" w:rsidRPr="0034339A">
        <w:rPr>
          <w:i/>
          <w:sz w:val="24"/>
          <w:szCs w:val="24"/>
        </w:rPr>
        <w:t>Chev</w:t>
      </w:r>
      <w:proofErr w:type="spellEnd"/>
      <w:r w:rsidR="0034339A" w:rsidRPr="0034339A">
        <w:rPr>
          <w:i/>
          <w:sz w:val="24"/>
          <w:szCs w:val="24"/>
        </w:rPr>
        <w:t xml:space="preserve"> LH</w:t>
      </w:r>
    </w:p>
    <w:p w:rsidR="0079130F" w:rsidRDefault="0034339A" w:rsidP="00762DF7">
      <w:pPr>
        <w:spacing w:after="120"/>
        <w:rPr>
          <w:b/>
          <w:sz w:val="24"/>
          <w:szCs w:val="24"/>
        </w:rPr>
      </w:pPr>
      <w:r>
        <w:rPr>
          <w:sz w:val="24"/>
          <w:szCs w:val="24"/>
        </w:rPr>
        <w:t>President, Administrative Appeals Tribunal</w:t>
      </w:r>
    </w:p>
    <w:p w:rsidR="001B26BD" w:rsidRPr="000916F7" w:rsidRDefault="00A2675E" w:rsidP="0079130F">
      <w:pPr>
        <w:ind w:right="91"/>
        <w:jc w:val="right"/>
        <w:rPr>
          <w:sz w:val="24"/>
          <w:szCs w:val="24"/>
          <w:u w:val="single"/>
        </w:rPr>
      </w:pPr>
      <w:r w:rsidRPr="000916F7">
        <w:rPr>
          <w:sz w:val="24"/>
          <w:szCs w:val="24"/>
        </w:rPr>
        <w:br w:type="page"/>
      </w:r>
      <w:r w:rsidR="003350A1">
        <w:rPr>
          <w:b/>
          <w:sz w:val="24"/>
          <w:szCs w:val="24"/>
          <w:u w:val="single"/>
        </w:rPr>
        <w:lastRenderedPageBreak/>
        <w:t>Attachment</w:t>
      </w:r>
      <w:r w:rsidR="004451E3">
        <w:rPr>
          <w:b/>
          <w:sz w:val="24"/>
          <w:szCs w:val="24"/>
          <w:u w:val="single"/>
        </w:rPr>
        <w:t xml:space="preserve"> 2</w:t>
      </w:r>
    </w:p>
    <w:p w:rsidR="001B26BD" w:rsidRPr="00C7721E" w:rsidRDefault="001B26BD" w:rsidP="00693790">
      <w:pPr>
        <w:ind w:right="91"/>
        <w:jc w:val="right"/>
        <w:rPr>
          <w:sz w:val="24"/>
          <w:szCs w:val="24"/>
        </w:rPr>
      </w:pPr>
    </w:p>
    <w:p w:rsidR="001B26BD" w:rsidRPr="002864F7" w:rsidRDefault="001B26BD" w:rsidP="00693790">
      <w:pPr>
        <w:ind w:right="91"/>
        <w:rPr>
          <w:sz w:val="24"/>
          <w:szCs w:val="24"/>
          <w:u w:val="single"/>
        </w:rPr>
      </w:pPr>
      <w:r w:rsidRPr="00C7721E">
        <w:rPr>
          <w:b/>
          <w:sz w:val="24"/>
          <w:szCs w:val="24"/>
          <w:u w:val="single"/>
        </w:rPr>
        <w:t xml:space="preserve">Details of the </w:t>
      </w:r>
      <w:r w:rsidR="009909B6">
        <w:rPr>
          <w:b/>
          <w:i/>
          <w:sz w:val="24"/>
          <w:szCs w:val="24"/>
          <w:u w:val="single"/>
        </w:rPr>
        <w:t xml:space="preserve">SSAT Child Support Review General Directions </w:t>
      </w:r>
      <w:r w:rsidR="00054FE7">
        <w:rPr>
          <w:b/>
          <w:i/>
          <w:sz w:val="24"/>
          <w:szCs w:val="24"/>
          <w:u w:val="single"/>
        </w:rPr>
        <w:t>Repeal Instrument 2015</w:t>
      </w:r>
    </w:p>
    <w:p w:rsidR="002864F7" w:rsidRDefault="002864F7" w:rsidP="00693790">
      <w:pPr>
        <w:pStyle w:val="Att-Sectionheading"/>
      </w:pPr>
    </w:p>
    <w:p w:rsidR="001B26BD" w:rsidRPr="00C7721E" w:rsidRDefault="00E5399F" w:rsidP="00693790">
      <w:pPr>
        <w:pStyle w:val="Att-Sectionheading"/>
      </w:pPr>
      <w:r w:rsidRPr="00C7721E">
        <w:t>Section</w:t>
      </w:r>
      <w:r w:rsidR="003350A1" w:rsidRPr="00C7721E">
        <w:t xml:space="preserve"> 1</w:t>
      </w:r>
      <w:r w:rsidR="0034339A">
        <w:t>—</w:t>
      </w:r>
      <w:r w:rsidR="003350A1" w:rsidRPr="00C7721E">
        <w:t xml:space="preserve">Name </w:t>
      </w:r>
    </w:p>
    <w:p w:rsidR="001B26BD" w:rsidRPr="00C7721E" w:rsidRDefault="001B26BD" w:rsidP="00693790">
      <w:pPr>
        <w:ind w:right="91"/>
        <w:rPr>
          <w:sz w:val="24"/>
          <w:szCs w:val="24"/>
        </w:rPr>
      </w:pPr>
    </w:p>
    <w:p w:rsidR="001B26BD" w:rsidRPr="00C7721E" w:rsidRDefault="008228A5" w:rsidP="00693790">
      <w:pPr>
        <w:pStyle w:val="BodyText1"/>
      </w:pPr>
      <w:r w:rsidRPr="00C7721E">
        <w:t>Section 1</w:t>
      </w:r>
      <w:r w:rsidR="001B26BD" w:rsidRPr="00C7721E">
        <w:t xml:space="preserve"> provides t</w:t>
      </w:r>
      <w:r w:rsidR="00433EB7" w:rsidRPr="00C7721E">
        <w:t xml:space="preserve">hat the title of the </w:t>
      </w:r>
      <w:r w:rsidR="008E60E1">
        <w:t>i</w:t>
      </w:r>
      <w:r w:rsidR="00AB02E2">
        <w:t xml:space="preserve">nstrument </w:t>
      </w:r>
      <w:r w:rsidR="001B26BD" w:rsidRPr="00C7721E">
        <w:t>is the</w:t>
      </w:r>
      <w:r w:rsidR="003549AD">
        <w:t xml:space="preserve"> </w:t>
      </w:r>
      <w:r w:rsidR="009909B6">
        <w:rPr>
          <w:i/>
        </w:rPr>
        <w:t xml:space="preserve">SSAT Child Support Review General Directions </w:t>
      </w:r>
      <w:r w:rsidR="008E60E1">
        <w:rPr>
          <w:i/>
        </w:rPr>
        <w:t>Repeal Instrument</w:t>
      </w:r>
      <w:r w:rsidR="009909B6">
        <w:rPr>
          <w:i/>
        </w:rPr>
        <w:t xml:space="preserve"> 2015</w:t>
      </w:r>
      <w:r w:rsidR="001B26BD" w:rsidRPr="002864F7">
        <w:rPr>
          <w:i/>
        </w:rPr>
        <w:t>.</w:t>
      </w:r>
    </w:p>
    <w:p w:rsidR="001B26BD" w:rsidRPr="00C7721E" w:rsidRDefault="001B26BD" w:rsidP="00693790">
      <w:pPr>
        <w:ind w:right="91"/>
        <w:rPr>
          <w:sz w:val="24"/>
          <w:szCs w:val="24"/>
        </w:rPr>
      </w:pPr>
    </w:p>
    <w:p w:rsidR="001B26BD" w:rsidRPr="00C7721E" w:rsidRDefault="00E5399F" w:rsidP="00693790">
      <w:pPr>
        <w:pStyle w:val="Att-Sectionheading"/>
      </w:pPr>
      <w:r w:rsidRPr="00C7721E">
        <w:t>Section</w:t>
      </w:r>
      <w:r w:rsidR="001B26BD" w:rsidRPr="00C7721E">
        <w:t xml:space="preserve"> 2</w:t>
      </w:r>
      <w:r w:rsidR="0034339A">
        <w:t>—</w:t>
      </w:r>
      <w:r w:rsidR="001B26BD" w:rsidRPr="00C7721E">
        <w:t>Commencement</w:t>
      </w:r>
    </w:p>
    <w:p w:rsidR="001B26BD" w:rsidRPr="00C7721E" w:rsidRDefault="001B26BD" w:rsidP="00693790">
      <w:pPr>
        <w:ind w:right="91"/>
        <w:rPr>
          <w:sz w:val="24"/>
          <w:szCs w:val="24"/>
        </w:rPr>
      </w:pPr>
    </w:p>
    <w:p w:rsidR="001B26BD" w:rsidRPr="00C7721E" w:rsidRDefault="008228A5" w:rsidP="00693790">
      <w:pPr>
        <w:pStyle w:val="BodyText1"/>
      </w:pPr>
      <w:r w:rsidRPr="00C7721E">
        <w:t>Section 2</w:t>
      </w:r>
      <w:r w:rsidR="001B26BD" w:rsidRPr="00C7721E">
        <w:t xml:space="preserve"> </w:t>
      </w:r>
      <w:r w:rsidRPr="00C7721E">
        <w:t xml:space="preserve">provides that </w:t>
      </w:r>
      <w:r w:rsidR="008E60E1">
        <w:t xml:space="preserve">the instrument </w:t>
      </w:r>
      <w:r w:rsidRPr="00C7721E">
        <w:t xml:space="preserve">commences </w:t>
      </w:r>
      <w:r w:rsidR="009909B6" w:rsidRPr="00762DF7">
        <w:t xml:space="preserve">on </w:t>
      </w:r>
      <w:r w:rsidRPr="00762DF7">
        <w:t>the day after it is registered on the Federal Register of Legislative Instruments</w:t>
      </w:r>
      <w:r w:rsidR="001B26BD" w:rsidRPr="00762DF7">
        <w:t>.</w:t>
      </w:r>
    </w:p>
    <w:p w:rsidR="001B26BD" w:rsidRPr="00C7721E" w:rsidRDefault="001B26BD" w:rsidP="00693790">
      <w:pPr>
        <w:ind w:right="91"/>
        <w:rPr>
          <w:sz w:val="24"/>
          <w:szCs w:val="24"/>
        </w:rPr>
      </w:pPr>
    </w:p>
    <w:p w:rsidR="00BD2E11" w:rsidRDefault="00E5399F" w:rsidP="00693790">
      <w:pPr>
        <w:pStyle w:val="Att-Sectionheading"/>
      </w:pPr>
      <w:r w:rsidRPr="00C7721E">
        <w:t>Section</w:t>
      </w:r>
      <w:r w:rsidR="001B26BD" w:rsidRPr="00C7721E">
        <w:t xml:space="preserve"> 3</w:t>
      </w:r>
      <w:r w:rsidR="0034339A">
        <w:t>—</w:t>
      </w:r>
      <w:r w:rsidR="008E60E1">
        <w:t>Repeal of directions</w:t>
      </w:r>
      <w:r w:rsidR="00916B2F">
        <w:t xml:space="preserve"> </w:t>
      </w:r>
    </w:p>
    <w:p w:rsidR="003549AD" w:rsidRDefault="003549AD" w:rsidP="00693790">
      <w:pPr>
        <w:pStyle w:val="Att-Sectionheading"/>
      </w:pPr>
    </w:p>
    <w:p w:rsidR="00B473ED" w:rsidRDefault="003549AD" w:rsidP="00B473ED">
      <w:pPr>
        <w:pStyle w:val="Att-Sectionheading"/>
        <w:rPr>
          <w:u w:val="none"/>
        </w:rPr>
      </w:pPr>
      <w:r w:rsidRPr="00B473ED">
        <w:rPr>
          <w:u w:val="none"/>
        </w:rPr>
        <w:t xml:space="preserve">Section 3 </w:t>
      </w:r>
      <w:r w:rsidR="009909B6">
        <w:rPr>
          <w:u w:val="none"/>
        </w:rPr>
        <w:t xml:space="preserve">provides that the </w:t>
      </w:r>
      <w:r w:rsidR="009909B6" w:rsidRPr="009909B6">
        <w:rPr>
          <w:i/>
          <w:u w:val="none"/>
        </w:rPr>
        <w:t>SSAT Child Support Review General Direction</w:t>
      </w:r>
      <w:r w:rsidR="009909B6">
        <w:rPr>
          <w:i/>
          <w:u w:val="none"/>
        </w:rPr>
        <w:t>s 2012</w:t>
      </w:r>
      <w:r w:rsidR="00F6412E">
        <w:rPr>
          <w:u w:val="none"/>
        </w:rPr>
        <w:t xml:space="preserve"> (General Directions)</w:t>
      </w:r>
      <w:r w:rsidR="009909B6">
        <w:rPr>
          <w:i/>
          <w:u w:val="none"/>
        </w:rPr>
        <w:t xml:space="preserve"> </w:t>
      </w:r>
      <w:r w:rsidR="00387977">
        <w:rPr>
          <w:u w:val="none"/>
        </w:rPr>
        <w:t>are</w:t>
      </w:r>
      <w:r w:rsidR="00B473ED" w:rsidRPr="00B473ED">
        <w:rPr>
          <w:u w:val="none"/>
        </w:rPr>
        <w:t xml:space="preserve"> </w:t>
      </w:r>
      <w:r w:rsidR="008E60E1">
        <w:rPr>
          <w:u w:val="none"/>
        </w:rPr>
        <w:t>repealed</w:t>
      </w:r>
      <w:r w:rsidR="007B1325">
        <w:rPr>
          <w:u w:val="none"/>
        </w:rPr>
        <w:t>.</w:t>
      </w:r>
      <w:r w:rsidRPr="00B473ED">
        <w:rPr>
          <w:u w:val="none"/>
        </w:rPr>
        <w:t xml:space="preserve"> </w:t>
      </w:r>
    </w:p>
    <w:p w:rsidR="00DF5043" w:rsidRDefault="00DF5043" w:rsidP="00B473ED">
      <w:pPr>
        <w:pStyle w:val="Att-Sectionheading"/>
        <w:rPr>
          <w:u w:val="none"/>
        </w:rPr>
      </w:pPr>
    </w:p>
    <w:p w:rsidR="00DF5043" w:rsidRDefault="00DF5043" w:rsidP="00B473ED">
      <w:pPr>
        <w:pStyle w:val="Att-Sectionheading"/>
        <w:rPr>
          <w:color w:val="000000"/>
        </w:rPr>
      </w:pPr>
      <w:r>
        <w:rPr>
          <w:color w:val="000000"/>
        </w:rPr>
        <w:t>Section 4</w:t>
      </w:r>
      <w:r w:rsidR="0034339A">
        <w:rPr>
          <w:color w:val="000000"/>
        </w:rPr>
        <w:t>—</w:t>
      </w:r>
      <w:r>
        <w:rPr>
          <w:color w:val="000000"/>
        </w:rPr>
        <w:t>Expiry</w:t>
      </w:r>
    </w:p>
    <w:p w:rsidR="00916B2F" w:rsidRPr="00916B2F" w:rsidRDefault="00916B2F" w:rsidP="00916B2F">
      <w:pPr>
        <w:autoSpaceDE w:val="0"/>
        <w:autoSpaceDN w:val="0"/>
        <w:rPr>
          <w:color w:val="000000"/>
          <w:sz w:val="24"/>
          <w:szCs w:val="24"/>
        </w:rPr>
      </w:pPr>
    </w:p>
    <w:p w:rsidR="00916B2F" w:rsidRDefault="00916B2F" w:rsidP="00916B2F">
      <w:pPr>
        <w:autoSpaceDE w:val="0"/>
        <w:autoSpaceDN w:val="0"/>
        <w:rPr>
          <w:color w:val="000000"/>
          <w:sz w:val="24"/>
          <w:szCs w:val="24"/>
        </w:rPr>
      </w:pPr>
      <w:r w:rsidRPr="00916B2F">
        <w:rPr>
          <w:color w:val="000000"/>
          <w:sz w:val="24"/>
          <w:szCs w:val="24"/>
        </w:rPr>
        <w:t xml:space="preserve">Once the </w:t>
      </w:r>
      <w:r w:rsidR="008E60E1">
        <w:rPr>
          <w:color w:val="000000"/>
          <w:sz w:val="24"/>
          <w:szCs w:val="24"/>
        </w:rPr>
        <w:t>instrument</w:t>
      </w:r>
      <w:r w:rsidRPr="00916B2F">
        <w:rPr>
          <w:color w:val="000000"/>
          <w:sz w:val="24"/>
          <w:szCs w:val="24"/>
        </w:rPr>
        <w:t xml:space="preserve"> comes into effect, it will have fulfilled its purpose (i.e</w:t>
      </w:r>
      <w:r w:rsidR="00884AC6">
        <w:rPr>
          <w:color w:val="000000"/>
          <w:sz w:val="24"/>
          <w:szCs w:val="24"/>
        </w:rPr>
        <w:t>.</w:t>
      </w:r>
      <w:r w:rsidRPr="00916B2F">
        <w:rPr>
          <w:color w:val="000000"/>
          <w:sz w:val="24"/>
          <w:szCs w:val="24"/>
        </w:rPr>
        <w:t xml:space="preserve"> </w:t>
      </w:r>
      <w:r w:rsidR="008E60E1">
        <w:rPr>
          <w:color w:val="000000"/>
          <w:sz w:val="24"/>
          <w:szCs w:val="24"/>
        </w:rPr>
        <w:t>repealed</w:t>
      </w:r>
      <w:r w:rsidRPr="00916B2F">
        <w:rPr>
          <w:color w:val="000000"/>
          <w:sz w:val="24"/>
          <w:szCs w:val="24"/>
        </w:rPr>
        <w:t xml:space="preserve"> the </w:t>
      </w:r>
      <w:r w:rsidR="00F6412E">
        <w:rPr>
          <w:color w:val="000000"/>
          <w:sz w:val="24"/>
          <w:szCs w:val="24"/>
        </w:rPr>
        <w:t>General Directions</w:t>
      </w:r>
      <w:r w:rsidRPr="00916B2F">
        <w:rPr>
          <w:color w:val="000000"/>
          <w:sz w:val="24"/>
          <w:szCs w:val="24"/>
        </w:rPr>
        <w:t xml:space="preserve">). Therefore, the </w:t>
      </w:r>
      <w:r w:rsidR="008E60E1">
        <w:rPr>
          <w:color w:val="000000"/>
          <w:sz w:val="24"/>
          <w:szCs w:val="24"/>
        </w:rPr>
        <w:t>instrument</w:t>
      </w:r>
      <w:r w:rsidRPr="00916B2F">
        <w:rPr>
          <w:color w:val="000000"/>
          <w:sz w:val="24"/>
          <w:szCs w:val="24"/>
        </w:rPr>
        <w:t xml:space="preserve"> itself can be removed from the Federal Register of Legislative Instruments. Accordingly, a self</w:t>
      </w:r>
      <w:r w:rsidR="001E081E">
        <w:rPr>
          <w:color w:val="000000"/>
          <w:sz w:val="24"/>
          <w:szCs w:val="24"/>
        </w:rPr>
        <w:noBreakHyphen/>
      </w:r>
      <w:r w:rsidRPr="00916B2F">
        <w:rPr>
          <w:color w:val="000000"/>
          <w:sz w:val="24"/>
          <w:szCs w:val="24"/>
        </w:rPr>
        <w:t xml:space="preserve">expiry provision has been included at clause </w:t>
      </w:r>
      <w:r>
        <w:rPr>
          <w:color w:val="000000"/>
          <w:sz w:val="24"/>
          <w:szCs w:val="24"/>
        </w:rPr>
        <w:t>4</w:t>
      </w:r>
      <w:r w:rsidRPr="00916B2F">
        <w:rPr>
          <w:color w:val="000000"/>
          <w:sz w:val="24"/>
          <w:szCs w:val="24"/>
        </w:rPr>
        <w:t xml:space="preserve">. </w:t>
      </w:r>
    </w:p>
    <w:p w:rsidR="00B473ED" w:rsidRPr="00B473ED" w:rsidRDefault="00B473ED" w:rsidP="00B473ED">
      <w:pPr>
        <w:pStyle w:val="Att-Sectionheading"/>
        <w:rPr>
          <w:u w:val="none"/>
        </w:rPr>
      </w:pPr>
    </w:p>
    <w:sectPr w:rsidR="00B473ED" w:rsidRPr="00B473ED" w:rsidSect="00B65F86">
      <w:headerReference w:type="default" r:id="rId9"/>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1E" w:rsidRDefault="001E081E">
      <w:r>
        <w:separator/>
      </w:r>
    </w:p>
  </w:endnote>
  <w:endnote w:type="continuationSeparator" w:id="0">
    <w:p w:rsidR="001E081E" w:rsidRDefault="001E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1E" w:rsidRDefault="001E081E">
      <w:r>
        <w:separator/>
      </w:r>
    </w:p>
  </w:footnote>
  <w:footnote w:type="continuationSeparator" w:id="0">
    <w:p w:rsidR="001E081E" w:rsidRDefault="001E0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1E" w:rsidRDefault="001E081E">
    <w:pPr>
      <w:pStyle w:val="Header"/>
    </w:pPr>
    <w:r>
      <w:tab/>
    </w:r>
    <w:r>
      <w:rPr>
        <w:rStyle w:val="PageNumber"/>
      </w:rPr>
      <w:fldChar w:fldCharType="begin"/>
    </w:r>
    <w:r>
      <w:rPr>
        <w:rStyle w:val="PageNumber"/>
      </w:rPr>
      <w:instrText xml:space="preserve"> PAGE </w:instrText>
    </w:r>
    <w:r>
      <w:rPr>
        <w:rStyle w:val="PageNumber"/>
      </w:rPr>
      <w:fldChar w:fldCharType="separate"/>
    </w:r>
    <w:r w:rsidR="007546E0">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5EB"/>
    <w:multiLevelType w:val="hybridMultilevel"/>
    <w:tmpl w:val="78281AF4"/>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CC4828"/>
    <w:multiLevelType w:val="hybridMultilevel"/>
    <w:tmpl w:val="CB480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BA0072E"/>
    <w:multiLevelType w:val="hybridMultilevel"/>
    <w:tmpl w:val="0F28EFA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1740E02"/>
    <w:multiLevelType w:val="hybridMultilevel"/>
    <w:tmpl w:val="05EEC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203EA9"/>
    <w:multiLevelType w:val="hybridMultilevel"/>
    <w:tmpl w:val="4CD63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A91395C"/>
    <w:multiLevelType w:val="hybridMultilevel"/>
    <w:tmpl w:val="90E4F4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AA8356F"/>
    <w:multiLevelType w:val="hybridMultilevel"/>
    <w:tmpl w:val="30C6A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060088B"/>
    <w:multiLevelType w:val="hybridMultilevel"/>
    <w:tmpl w:val="F9C6B3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62BE6D86"/>
    <w:multiLevelType w:val="hybridMultilevel"/>
    <w:tmpl w:val="4EA8D886"/>
    <w:lvl w:ilvl="0" w:tplc="FFEA4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4BF2CD2"/>
    <w:multiLevelType w:val="hybridMultilevel"/>
    <w:tmpl w:val="5FAA91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53C06A7"/>
    <w:multiLevelType w:val="hybridMultilevel"/>
    <w:tmpl w:val="F30CCA5A"/>
    <w:lvl w:ilvl="0" w:tplc="A090267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1"/>
  </w:num>
  <w:num w:numId="6">
    <w:abstractNumId w:val="3"/>
  </w:num>
  <w:num w:numId="7">
    <w:abstractNumId w:val="4"/>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F83862C-5B4A-4C17-A85D-518D944A975C}"/>
    <w:docVar w:name="dgnword-eventsink" w:val="82444712"/>
  </w:docVars>
  <w:rsids>
    <w:rsidRoot w:val="00B65F86"/>
    <w:rsid w:val="00003EAB"/>
    <w:rsid w:val="00006502"/>
    <w:rsid w:val="000315A3"/>
    <w:rsid w:val="00035EBD"/>
    <w:rsid w:val="000407D3"/>
    <w:rsid w:val="00042331"/>
    <w:rsid w:val="000432C6"/>
    <w:rsid w:val="00045ADA"/>
    <w:rsid w:val="0004709E"/>
    <w:rsid w:val="00054FE7"/>
    <w:rsid w:val="00055D93"/>
    <w:rsid w:val="00056246"/>
    <w:rsid w:val="0006361D"/>
    <w:rsid w:val="00066F22"/>
    <w:rsid w:val="00070476"/>
    <w:rsid w:val="00073AE2"/>
    <w:rsid w:val="00074F31"/>
    <w:rsid w:val="00076B18"/>
    <w:rsid w:val="000805C5"/>
    <w:rsid w:val="00081ACE"/>
    <w:rsid w:val="00081DCE"/>
    <w:rsid w:val="0008322E"/>
    <w:rsid w:val="000858F9"/>
    <w:rsid w:val="00086AB8"/>
    <w:rsid w:val="000916F7"/>
    <w:rsid w:val="000A0678"/>
    <w:rsid w:val="000B0CBA"/>
    <w:rsid w:val="000B4F29"/>
    <w:rsid w:val="000B6567"/>
    <w:rsid w:val="000C2968"/>
    <w:rsid w:val="000C2A62"/>
    <w:rsid w:val="000D0D5D"/>
    <w:rsid w:val="000D3B86"/>
    <w:rsid w:val="000D5482"/>
    <w:rsid w:val="000D7127"/>
    <w:rsid w:val="000D74E2"/>
    <w:rsid w:val="000E0BE3"/>
    <w:rsid w:val="000E5D36"/>
    <w:rsid w:val="000E68CF"/>
    <w:rsid w:val="000E6BF0"/>
    <w:rsid w:val="000F004E"/>
    <w:rsid w:val="000F3CD3"/>
    <w:rsid w:val="00101D7D"/>
    <w:rsid w:val="00105AE5"/>
    <w:rsid w:val="00124B63"/>
    <w:rsid w:val="00126AE6"/>
    <w:rsid w:val="00126EDD"/>
    <w:rsid w:val="00130AD8"/>
    <w:rsid w:val="00131DFB"/>
    <w:rsid w:val="00136C76"/>
    <w:rsid w:val="001423A9"/>
    <w:rsid w:val="00150FAC"/>
    <w:rsid w:val="00151B89"/>
    <w:rsid w:val="00153DFF"/>
    <w:rsid w:val="00155781"/>
    <w:rsid w:val="00157A8D"/>
    <w:rsid w:val="00166FDB"/>
    <w:rsid w:val="001766C6"/>
    <w:rsid w:val="00177E5B"/>
    <w:rsid w:val="00177F15"/>
    <w:rsid w:val="001829B6"/>
    <w:rsid w:val="001830C0"/>
    <w:rsid w:val="001863D1"/>
    <w:rsid w:val="001873BD"/>
    <w:rsid w:val="00192ED4"/>
    <w:rsid w:val="001972A9"/>
    <w:rsid w:val="001A4774"/>
    <w:rsid w:val="001B1465"/>
    <w:rsid w:val="001B26BD"/>
    <w:rsid w:val="001B41C0"/>
    <w:rsid w:val="001B5B31"/>
    <w:rsid w:val="001C75CE"/>
    <w:rsid w:val="001D3F42"/>
    <w:rsid w:val="001D7DEE"/>
    <w:rsid w:val="001E081E"/>
    <w:rsid w:val="001F2155"/>
    <w:rsid w:val="001F2975"/>
    <w:rsid w:val="001F5062"/>
    <w:rsid w:val="001F685D"/>
    <w:rsid w:val="00201BD3"/>
    <w:rsid w:val="0020470C"/>
    <w:rsid w:val="002222B5"/>
    <w:rsid w:val="00224076"/>
    <w:rsid w:val="002240FA"/>
    <w:rsid w:val="00237901"/>
    <w:rsid w:val="00241142"/>
    <w:rsid w:val="00244441"/>
    <w:rsid w:val="0024444C"/>
    <w:rsid w:val="00250779"/>
    <w:rsid w:val="00252F57"/>
    <w:rsid w:val="002557BC"/>
    <w:rsid w:val="002574B7"/>
    <w:rsid w:val="00265A6F"/>
    <w:rsid w:val="00267059"/>
    <w:rsid w:val="0028243F"/>
    <w:rsid w:val="0028468C"/>
    <w:rsid w:val="0028481F"/>
    <w:rsid w:val="002864F7"/>
    <w:rsid w:val="002964D1"/>
    <w:rsid w:val="002A4B83"/>
    <w:rsid w:val="002A7B8A"/>
    <w:rsid w:val="002C201E"/>
    <w:rsid w:val="002C4FC0"/>
    <w:rsid w:val="002D3E02"/>
    <w:rsid w:val="002D4DC1"/>
    <w:rsid w:val="002F3D3A"/>
    <w:rsid w:val="003034F5"/>
    <w:rsid w:val="00304AA2"/>
    <w:rsid w:val="00305C60"/>
    <w:rsid w:val="00306E49"/>
    <w:rsid w:val="00312A3C"/>
    <w:rsid w:val="0031418E"/>
    <w:rsid w:val="00320925"/>
    <w:rsid w:val="00324087"/>
    <w:rsid w:val="0033186E"/>
    <w:rsid w:val="003350A1"/>
    <w:rsid w:val="00337BE5"/>
    <w:rsid w:val="00341911"/>
    <w:rsid w:val="00342EC8"/>
    <w:rsid w:val="0034339A"/>
    <w:rsid w:val="00351C2B"/>
    <w:rsid w:val="003549AD"/>
    <w:rsid w:val="00355635"/>
    <w:rsid w:val="0035692E"/>
    <w:rsid w:val="0035743A"/>
    <w:rsid w:val="00361057"/>
    <w:rsid w:val="00363A41"/>
    <w:rsid w:val="003729DD"/>
    <w:rsid w:val="00384D31"/>
    <w:rsid w:val="00387977"/>
    <w:rsid w:val="00395C01"/>
    <w:rsid w:val="003A48A6"/>
    <w:rsid w:val="003A6EA6"/>
    <w:rsid w:val="003B380B"/>
    <w:rsid w:val="003B4183"/>
    <w:rsid w:val="003B5799"/>
    <w:rsid w:val="003B5C7F"/>
    <w:rsid w:val="003C7E05"/>
    <w:rsid w:val="003D212C"/>
    <w:rsid w:val="003D59B8"/>
    <w:rsid w:val="003E38A4"/>
    <w:rsid w:val="003E3D72"/>
    <w:rsid w:val="003E4249"/>
    <w:rsid w:val="003E44D1"/>
    <w:rsid w:val="003F4A9A"/>
    <w:rsid w:val="003F5AAC"/>
    <w:rsid w:val="00400799"/>
    <w:rsid w:val="00403B36"/>
    <w:rsid w:val="0040684B"/>
    <w:rsid w:val="00411E1D"/>
    <w:rsid w:val="00414C28"/>
    <w:rsid w:val="004236F0"/>
    <w:rsid w:val="004327E1"/>
    <w:rsid w:val="00433EB7"/>
    <w:rsid w:val="00440D2A"/>
    <w:rsid w:val="004451E3"/>
    <w:rsid w:val="00447569"/>
    <w:rsid w:val="00457B2E"/>
    <w:rsid w:val="00460B93"/>
    <w:rsid w:val="00472923"/>
    <w:rsid w:val="00473EF2"/>
    <w:rsid w:val="00474A76"/>
    <w:rsid w:val="00474B2F"/>
    <w:rsid w:val="004763C8"/>
    <w:rsid w:val="0048075D"/>
    <w:rsid w:val="00483B84"/>
    <w:rsid w:val="004923C8"/>
    <w:rsid w:val="0049542A"/>
    <w:rsid w:val="004A0985"/>
    <w:rsid w:val="004A1ECA"/>
    <w:rsid w:val="004A2AD8"/>
    <w:rsid w:val="004A2DBF"/>
    <w:rsid w:val="004B03A7"/>
    <w:rsid w:val="004C55EA"/>
    <w:rsid w:val="004C5E11"/>
    <w:rsid w:val="004C7EEF"/>
    <w:rsid w:val="004D65F8"/>
    <w:rsid w:val="004E48E7"/>
    <w:rsid w:val="004F574E"/>
    <w:rsid w:val="004F78A4"/>
    <w:rsid w:val="0050339F"/>
    <w:rsid w:val="00505955"/>
    <w:rsid w:val="00505AD5"/>
    <w:rsid w:val="0051206F"/>
    <w:rsid w:val="0052250A"/>
    <w:rsid w:val="00523A28"/>
    <w:rsid w:val="00527B11"/>
    <w:rsid w:val="0053114E"/>
    <w:rsid w:val="00537876"/>
    <w:rsid w:val="00546A75"/>
    <w:rsid w:val="00547266"/>
    <w:rsid w:val="00550F88"/>
    <w:rsid w:val="005650F7"/>
    <w:rsid w:val="00580842"/>
    <w:rsid w:val="0058407D"/>
    <w:rsid w:val="005931D8"/>
    <w:rsid w:val="0059792A"/>
    <w:rsid w:val="005A223D"/>
    <w:rsid w:val="005A3F1F"/>
    <w:rsid w:val="005A4660"/>
    <w:rsid w:val="005A59AE"/>
    <w:rsid w:val="005A7567"/>
    <w:rsid w:val="005B0D7E"/>
    <w:rsid w:val="005B2621"/>
    <w:rsid w:val="005C1CCD"/>
    <w:rsid w:val="005C1EBF"/>
    <w:rsid w:val="005C46F7"/>
    <w:rsid w:val="005C4AAE"/>
    <w:rsid w:val="005C7D57"/>
    <w:rsid w:val="005D6562"/>
    <w:rsid w:val="005E26A6"/>
    <w:rsid w:val="005E5504"/>
    <w:rsid w:val="005E78A5"/>
    <w:rsid w:val="005F1A2C"/>
    <w:rsid w:val="005F53DB"/>
    <w:rsid w:val="005F65FD"/>
    <w:rsid w:val="00600E70"/>
    <w:rsid w:val="006023B7"/>
    <w:rsid w:val="00602886"/>
    <w:rsid w:val="00612988"/>
    <w:rsid w:val="0061448A"/>
    <w:rsid w:val="00623F76"/>
    <w:rsid w:val="006340BE"/>
    <w:rsid w:val="006377EE"/>
    <w:rsid w:val="00641348"/>
    <w:rsid w:val="00647D31"/>
    <w:rsid w:val="0066628E"/>
    <w:rsid w:val="00667473"/>
    <w:rsid w:val="00667F7A"/>
    <w:rsid w:val="00676D2F"/>
    <w:rsid w:val="00680634"/>
    <w:rsid w:val="00685436"/>
    <w:rsid w:val="00687005"/>
    <w:rsid w:val="00692FE1"/>
    <w:rsid w:val="00693790"/>
    <w:rsid w:val="00696BDC"/>
    <w:rsid w:val="006A1D0D"/>
    <w:rsid w:val="006A55FE"/>
    <w:rsid w:val="006A56BA"/>
    <w:rsid w:val="006A5820"/>
    <w:rsid w:val="006B04B9"/>
    <w:rsid w:val="006B4DE9"/>
    <w:rsid w:val="006E131F"/>
    <w:rsid w:val="006E7C35"/>
    <w:rsid w:val="006F5B8F"/>
    <w:rsid w:val="00704543"/>
    <w:rsid w:val="00704CBE"/>
    <w:rsid w:val="007142F7"/>
    <w:rsid w:val="00714E16"/>
    <w:rsid w:val="007170CF"/>
    <w:rsid w:val="007217DC"/>
    <w:rsid w:val="00726385"/>
    <w:rsid w:val="007264DA"/>
    <w:rsid w:val="00731AB9"/>
    <w:rsid w:val="0073344B"/>
    <w:rsid w:val="00733491"/>
    <w:rsid w:val="00735941"/>
    <w:rsid w:val="00735BF5"/>
    <w:rsid w:val="00737318"/>
    <w:rsid w:val="00737716"/>
    <w:rsid w:val="007378B0"/>
    <w:rsid w:val="0074009A"/>
    <w:rsid w:val="007403B4"/>
    <w:rsid w:val="007546E0"/>
    <w:rsid w:val="007568B0"/>
    <w:rsid w:val="007602AF"/>
    <w:rsid w:val="00762DF7"/>
    <w:rsid w:val="00773118"/>
    <w:rsid w:val="00776446"/>
    <w:rsid w:val="0079130F"/>
    <w:rsid w:val="00793D2D"/>
    <w:rsid w:val="0079583E"/>
    <w:rsid w:val="00795AA7"/>
    <w:rsid w:val="007963D0"/>
    <w:rsid w:val="007A04C2"/>
    <w:rsid w:val="007A1D57"/>
    <w:rsid w:val="007A2B72"/>
    <w:rsid w:val="007A2C62"/>
    <w:rsid w:val="007A6C3E"/>
    <w:rsid w:val="007B0C81"/>
    <w:rsid w:val="007B1325"/>
    <w:rsid w:val="007C097D"/>
    <w:rsid w:val="007C449C"/>
    <w:rsid w:val="007C65E0"/>
    <w:rsid w:val="007D5C7A"/>
    <w:rsid w:val="007D6DCF"/>
    <w:rsid w:val="007D7B51"/>
    <w:rsid w:val="007E7DD3"/>
    <w:rsid w:val="007F3594"/>
    <w:rsid w:val="007F5CEE"/>
    <w:rsid w:val="00800B00"/>
    <w:rsid w:val="00800DB5"/>
    <w:rsid w:val="00800E5D"/>
    <w:rsid w:val="00817ED3"/>
    <w:rsid w:val="00821E8C"/>
    <w:rsid w:val="008228A5"/>
    <w:rsid w:val="00840029"/>
    <w:rsid w:val="00843561"/>
    <w:rsid w:val="00844845"/>
    <w:rsid w:val="00853629"/>
    <w:rsid w:val="00865453"/>
    <w:rsid w:val="008717D4"/>
    <w:rsid w:val="00880115"/>
    <w:rsid w:val="00884AC6"/>
    <w:rsid w:val="00887D3E"/>
    <w:rsid w:val="00892D46"/>
    <w:rsid w:val="00893321"/>
    <w:rsid w:val="0089660D"/>
    <w:rsid w:val="008B0830"/>
    <w:rsid w:val="008C1240"/>
    <w:rsid w:val="008D1181"/>
    <w:rsid w:val="008D53F7"/>
    <w:rsid w:val="008E0581"/>
    <w:rsid w:val="008E0AB2"/>
    <w:rsid w:val="008E60E1"/>
    <w:rsid w:val="008E6720"/>
    <w:rsid w:val="008F045C"/>
    <w:rsid w:val="008F1192"/>
    <w:rsid w:val="008F2800"/>
    <w:rsid w:val="008F2D1C"/>
    <w:rsid w:val="008F2E53"/>
    <w:rsid w:val="009027F5"/>
    <w:rsid w:val="009035EE"/>
    <w:rsid w:val="009138EA"/>
    <w:rsid w:val="00916B2F"/>
    <w:rsid w:val="00917571"/>
    <w:rsid w:val="00921930"/>
    <w:rsid w:val="00922162"/>
    <w:rsid w:val="00926502"/>
    <w:rsid w:val="00935360"/>
    <w:rsid w:val="00943BFF"/>
    <w:rsid w:val="00943DAA"/>
    <w:rsid w:val="0096348B"/>
    <w:rsid w:val="00975A88"/>
    <w:rsid w:val="0098041D"/>
    <w:rsid w:val="009808DA"/>
    <w:rsid w:val="0098209C"/>
    <w:rsid w:val="00984801"/>
    <w:rsid w:val="009909B6"/>
    <w:rsid w:val="00995243"/>
    <w:rsid w:val="009A02BB"/>
    <w:rsid w:val="009A162B"/>
    <w:rsid w:val="009B1021"/>
    <w:rsid w:val="009C49DC"/>
    <w:rsid w:val="009C7F5D"/>
    <w:rsid w:val="009D4940"/>
    <w:rsid w:val="009D595B"/>
    <w:rsid w:val="009D59A1"/>
    <w:rsid w:val="009F06C0"/>
    <w:rsid w:val="009F5339"/>
    <w:rsid w:val="00A03A7F"/>
    <w:rsid w:val="00A03CE2"/>
    <w:rsid w:val="00A106A0"/>
    <w:rsid w:val="00A110B3"/>
    <w:rsid w:val="00A177C4"/>
    <w:rsid w:val="00A2061A"/>
    <w:rsid w:val="00A2675E"/>
    <w:rsid w:val="00A26FC9"/>
    <w:rsid w:val="00A30DA9"/>
    <w:rsid w:val="00A33A7A"/>
    <w:rsid w:val="00A3645B"/>
    <w:rsid w:val="00A45317"/>
    <w:rsid w:val="00A4655A"/>
    <w:rsid w:val="00A52C63"/>
    <w:rsid w:val="00A608B4"/>
    <w:rsid w:val="00A62EFD"/>
    <w:rsid w:val="00A6313E"/>
    <w:rsid w:val="00A70BC9"/>
    <w:rsid w:val="00A77865"/>
    <w:rsid w:val="00A8099B"/>
    <w:rsid w:val="00A81ADB"/>
    <w:rsid w:val="00A9197A"/>
    <w:rsid w:val="00A94789"/>
    <w:rsid w:val="00AB02E2"/>
    <w:rsid w:val="00AB0A35"/>
    <w:rsid w:val="00AB2A3F"/>
    <w:rsid w:val="00AB7597"/>
    <w:rsid w:val="00AC61D5"/>
    <w:rsid w:val="00AD3E9E"/>
    <w:rsid w:val="00AD434D"/>
    <w:rsid w:val="00AD46E6"/>
    <w:rsid w:val="00AD63E3"/>
    <w:rsid w:val="00AD64FD"/>
    <w:rsid w:val="00AE2269"/>
    <w:rsid w:val="00AE6148"/>
    <w:rsid w:val="00AF0CD5"/>
    <w:rsid w:val="00AF2D77"/>
    <w:rsid w:val="00B00C30"/>
    <w:rsid w:val="00B05251"/>
    <w:rsid w:val="00B05D9A"/>
    <w:rsid w:val="00B062DA"/>
    <w:rsid w:val="00B06C57"/>
    <w:rsid w:val="00B13288"/>
    <w:rsid w:val="00B13FDD"/>
    <w:rsid w:val="00B17224"/>
    <w:rsid w:val="00B175AC"/>
    <w:rsid w:val="00B27B98"/>
    <w:rsid w:val="00B30B5F"/>
    <w:rsid w:val="00B33825"/>
    <w:rsid w:val="00B354FA"/>
    <w:rsid w:val="00B40278"/>
    <w:rsid w:val="00B402A1"/>
    <w:rsid w:val="00B459CF"/>
    <w:rsid w:val="00B473ED"/>
    <w:rsid w:val="00B51B25"/>
    <w:rsid w:val="00B5388E"/>
    <w:rsid w:val="00B54E38"/>
    <w:rsid w:val="00B54E91"/>
    <w:rsid w:val="00B57E53"/>
    <w:rsid w:val="00B64A43"/>
    <w:rsid w:val="00B65F86"/>
    <w:rsid w:val="00B66895"/>
    <w:rsid w:val="00B73C66"/>
    <w:rsid w:val="00B94B4C"/>
    <w:rsid w:val="00B94EAD"/>
    <w:rsid w:val="00BB1950"/>
    <w:rsid w:val="00BB47E4"/>
    <w:rsid w:val="00BB57F1"/>
    <w:rsid w:val="00BC2E08"/>
    <w:rsid w:val="00BC3289"/>
    <w:rsid w:val="00BC3C9A"/>
    <w:rsid w:val="00BC713C"/>
    <w:rsid w:val="00BD2E11"/>
    <w:rsid w:val="00BE3DD0"/>
    <w:rsid w:val="00BE516D"/>
    <w:rsid w:val="00BF1325"/>
    <w:rsid w:val="00C0195B"/>
    <w:rsid w:val="00C022EA"/>
    <w:rsid w:val="00C02B77"/>
    <w:rsid w:val="00C0610F"/>
    <w:rsid w:val="00C1171E"/>
    <w:rsid w:val="00C14332"/>
    <w:rsid w:val="00C2395B"/>
    <w:rsid w:val="00C2411D"/>
    <w:rsid w:val="00C26E8A"/>
    <w:rsid w:val="00C3331F"/>
    <w:rsid w:val="00C3681B"/>
    <w:rsid w:val="00C42D1A"/>
    <w:rsid w:val="00C43002"/>
    <w:rsid w:val="00C43ED5"/>
    <w:rsid w:val="00C44FBD"/>
    <w:rsid w:val="00C45764"/>
    <w:rsid w:val="00C4645C"/>
    <w:rsid w:val="00C46B95"/>
    <w:rsid w:val="00C46D96"/>
    <w:rsid w:val="00C6163E"/>
    <w:rsid w:val="00C63FB3"/>
    <w:rsid w:val="00C70FBA"/>
    <w:rsid w:val="00C71846"/>
    <w:rsid w:val="00C72261"/>
    <w:rsid w:val="00C74DE2"/>
    <w:rsid w:val="00C7721E"/>
    <w:rsid w:val="00C80012"/>
    <w:rsid w:val="00C83777"/>
    <w:rsid w:val="00C858EA"/>
    <w:rsid w:val="00C9524C"/>
    <w:rsid w:val="00CB328B"/>
    <w:rsid w:val="00CC40F3"/>
    <w:rsid w:val="00CC7BFB"/>
    <w:rsid w:val="00CE07AC"/>
    <w:rsid w:val="00CE0D2C"/>
    <w:rsid w:val="00CF29F6"/>
    <w:rsid w:val="00CF3D81"/>
    <w:rsid w:val="00D060DE"/>
    <w:rsid w:val="00D07808"/>
    <w:rsid w:val="00D2225B"/>
    <w:rsid w:val="00D22E20"/>
    <w:rsid w:val="00D23B8D"/>
    <w:rsid w:val="00D2568B"/>
    <w:rsid w:val="00D26B16"/>
    <w:rsid w:val="00D30E35"/>
    <w:rsid w:val="00D35622"/>
    <w:rsid w:val="00D35BC8"/>
    <w:rsid w:val="00D37312"/>
    <w:rsid w:val="00D602BE"/>
    <w:rsid w:val="00D60655"/>
    <w:rsid w:val="00D62EDC"/>
    <w:rsid w:val="00D63413"/>
    <w:rsid w:val="00D728EF"/>
    <w:rsid w:val="00D75A23"/>
    <w:rsid w:val="00D96271"/>
    <w:rsid w:val="00D977A0"/>
    <w:rsid w:val="00DA1AC3"/>
    <w:rsid w:val="00DA30A8"/>
    <w:rsid w:val="00DA7523"/>
    <w:rsid w:val="00DB0DF8"/>
    <w:rsid w:val="00DB5C10"/>
    <w:rsid w:val="00DC6276"/>
    <w:rsid w:val="00DD1288"/>
    <w:rsid w:val="00DE37D7"/>
    <w:rsid w:val="00DE6EA2"/>
    <w:rsid w:val="00DE713B"/>
    <w:rsid w:val="00DF5043"/>
    <w:rsid w:val="00E21C41"/>
    <w:rsid w:val="00E22575"/>
    <w:rsid w:val="00E2464B"/>
    <w:rsid w:val="00E25F21"/>
    <w:rsid w:val="00E26A37"/>
    <w:rsid w:val="00E27F3A"/>
    <w:rsid w:val="00E516D7"/>
    <w:rsid w:val="00E5399F"/>
    <w:rsid w:val="00E56CAE"/>
    <w:rsid w:val="00E57993"/>
    <w:rsid w:val="00E62002"/>
    <w:rsid w:val="00E62547"/>
    <w:rsid w:val="00E712B3"/>
    <w:rsid w:val="00E7736E"/>
    <w:rsid w:val="00E802CB"/>
    <w:rsid w:val="00E83262"/>
    <w:rsid w:val="00E865DC"/>
    <w:rsid w:val="00E91EFF"/>
    <w:rsid w:val="00EA0B74"/>
    <w:rsid w:val="00EA21BE"/>
    <w:rsid w:val="00EA47CB"/>
    <w:rsid w:val="00EA56D0"/>
    <w:rsid w:val="00EA6002"/>
    <w:rsid w:val="00EB5BCE"/>
    <w:rsid w:val="00EB6013"/>
    <w:rsid w:val="00EB761B"/>
    <w:rsid w:val="00EC2893"/>
    <w:rsid w:val="00ED156A"/>
    <w:rsid w:val="00EE596C"/>
    <w:rsid w:val="00EF373A"/>
    <w:rsid w:val="00EF5346"/>
    <w:rsid w:val="00F10B1A"/>
    <w:rsid w:val="00F111B6"/>
    <w:rsid w:val="00F11966"/>
    <w:rsid w:val="00F13AD0"/>
    <w:rsid w:val="00F14986"/>
    <w:rsid w:val="00F349E1"/>
    <w:rsid w:val="00F35B5E"/>
    <w:rsid w:val="00F37B8F"/>
    <w:rsid w:val="00F41DCC"/>
    <w:rsid w:val="00F52DCD"/>
    <w:rsid w:val="00F55169"/>
    <w:rsid w:val="00F55A84"/>
    <w:rsid w:val="00F629C6"/>
    <w:rsid w:val="00F6396C"/>
    <w:rsid w:val="00F6412E"/>
    <w:rsid w:val="00F709E1"/>
    <w:rsid w:val="00F71701"/>
    <w:rsid w:val="00F774A3"/>
    <w:rsid w:val="00F80E19"/>
    <w:rsid w:val="00F866C5"/>
    <w:rsid w:val="00F96B3A"/>
    <w:rsid w:val="00F976E6"/>
    <w:rsid w:val="00FA0740"/>
    <w:rsid w:val="00FB6134"/>
    <w:rsid w:val="00FC12F1"/>
    <w:rsid w:val="00FD0C38"/>
    <w:rsid w:val="00FE6DB6"/>
    <w:rsid w:val="00FE6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86"/>
  </w:style>
  <w:style w:type="paragraph" w:styleId="Heading1">
    <w:name w:val="heading 1"/>
    <w:basedOn w:val="Normal"/>
    <w:next w:val="Normal"/>
    <w:qFormat/>
    <w:rsid w:val="00B65F86"/>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5F86"/>
    <w:pPr>
      <w:jc w:val="center"/>
    </w:pPr>
    <w:rPr>
      <w:b/>
      <w:sz w:val="24"/>
      <w:u w:val="single"/>
      <w:lang w:val="en-GB" w:eastAsia="en-US"/>
    </w:rPr>
  </w:style>
  <w:style w:type="paragraph" w:styleId="BodyText3">
    <w:name w:val="Body Text 3"/>
    <w:basedOn w:val="Normal"/>
    <w:rsid w:val="00B65F86"/>
    <w:rPr>
      <w:sz w:val="24"/>
      <w:u w:val="single"/>
      <w:lang w:val="en-GB" w:eastAsia="en-US"/>
    </w:rPr>
  </w:style>
  <w:style w:type="paragraph" w:styleId="BodyText">
    <w:name w:val="Body Text"/>
    <w:basedOn w:val="Normal"/>
    <w:rsid w:val="00B65F86"/>
    <w:pPr>
      <w:jc w:val="center"/>
    </w:pPr>
    <w:rPr>
      <w:sz w:val="24"/>
    </w:rPr>
  </w:style>
  <w:style w:type="paragraph" w:styleId="BodyText2">
    <w:name w:val="Body Text 2"/>
    <w:basedOn w:val="Normal"/>
    <w:rsid w:val="00B65F86"/>
    <w:rPr>
      <w:snapToGrid w:val="0"/>
      <w:sz w:val="24"/>
      <w:lang w:eastAsia="en-US"/>
    </w:rPr>
  </w:style>
  <w:style w:type="paragraph" w:styleId="Header">
    <w:name w:val="header"/>
    <w:basedOn w:val="Normal"/>
    <w:rsid w:val="00B65F86"/>
    <w:pPr>
      <w:tabs>
        <w:tab w:val="center" w:pos="4320"/>
        <w:tab w:val="right" w:pos="8640"/>
      </w:tabs>
    </w:pPr>
    <w:rPr>
      <w:sz w:val="24"/>
    </w:rPr>
  </w:style>
  <w:style w:type="character" w:styleId="PageNumber">
    <w:name w:val="page number"/>
    <w:basedOn w:val="DefaultParagraphFont"/>
    <w:rsid w:val="00B65F86"/>
  </w:style>
  <w:style w:type="paragraph" w:customStyle="1" w:styleId="Att-Sectionheading">
    <w:name w:val="Att - Section heading"/>
    <w:basedOn w:val="Normal"/>
    <w:link w:val="Att-SectionheadingChar"/>
    <w:qFormat/>
    <w:rsid w:val="001863D1"/>
    <w:pPr>
      <w:ind w:right="91"/>
    </w:pPr>
    <w:rPr>
      <w:sz w:val="24"/>
      <w:szCs w:val="24"/>
      <w:u w:val="single"/>
    </w:rPr>
  </w:style>
  <w:style w:type="paragraph" w:customStyle="1" w:styleId="BodyText1">
    <w:name w:val="Body Text1"/>
    <w:basedOn w:val="Normal"/>
    <w:link w:val="BodytextChar"/>
    <w:qFormat/>
    <w:rsid w:val="001863D1"/>
    <w:pPr>
      <w:ind w:right="91"/>
    </w:pPr>
    <w:rPr>
      <w:sz w:val="24"/>
      <w:szCs w:val="24"/>
    </w:rPr>
  </w:style>
  <w:style w:type="character" w:customStyle="1" w:styleId="Att-SectionheadingChar">
    <w:name w:val="Att - Section heading Char"/>
    <w:link w:val="Att-Sectionheading"/>
    <w:rsid w:val="001863D1"/>
    <w:rPr>
      <w:sz w:val="24"/>
      <w:szCs w:val="24"/>
      <w:u w:val="single"/>
    </w:rPr>
  </w:style>
  <w:style w:type="character" w:customStyle="1" w:styleId="BodytextChar">
    <w:name w:val="Body text Char"/>
    <w:link w:val="BodyText1"/>
    <w:rsid w:val="001863D1"/>
    <w:rPr>
      <w:sz w:val="24"/>
      <w:szCs w:val="24"/>
    </w:rPr>
  </w:style>
  <w:style w:type="character" w:styleId="CommentReference">
    <w:name w:val="annotation reference"/>
    <w:rsid w:val="00250779"/>
    <w:rPr>
      <w:sz w:val="16"/>
      <w:szCs w:val="16"/>
    </w:rPr>
  </w:style>
  <w:style w:type="paragraph" w:styleId="CommentText">
    <w:name w:val="annotation text"/>
    <w:basedOn w:val="Normal"/>
    <w:link w:val="CommentTextChar"/>
    <w:rsid w:val="00250779"/>
  </w:style>
  <w:style w:type="character" w:customStyle="1" w:styleId="CommentTextChar">
    <w:name w:val="Comment Text Char"/>
    <w:basedOn w:val="DefaultParagraphFont"/>
    <w:link w:val="CommentText"/>
    <w:rsid w:val="00250779"/>
  </w:style>
  <w:style w:type="paragraph" w:styleId="CommentSubject">
    <w:name w:val="annotation subject"/>
    <w:basedOn w:val="CommentText"/>
    <w:next w:val="CommentText"/>
    <w:link w:val="CommentSubjectChar"/>
    <w:rsid w:val="00250779"/>
    <w:rPr>
      <w:b/>
      <w:bCs/>
    </w:rPr>
  </w:style>
  <w:style w:type="character" w:customStyle="1" w:styleId="CommentSubjectChar">
    <w:name w:val="Comment Subject Char"/>
    <w:link w:val="CommentSubject"/>
    <w:rsid w:val="00250779"/>
    <w:rPr>
      <w:b/>
      <w:bCs/>
    </w:rPr>
  </w:style>
  <w:style w:type="paragraph" w:styleId="BalloonText">
    <w:name w:val="Balloon Text"/>
    <w:basedOn w:val="Normal"/>
    <w:link w:val="BalloonTextChar"/>
    <w:rsid w:val="00250779"/>
    <w:rPr>
      <w:rFonts w:ascii="Tahoma" w:hAnsi="Tahoma" w:cs="Tahoma"/>
      <w:sz w:val="16"/>
      <w:szCs w:val="16"/>
    </w:rPr>
  </w:style>
  <w:style w:type="character" w:customStyle="1" w:styleId="BalloonTextChar">
    <w:name w:val="Balloon Text Char"/>
    <w:link w:val="BalloonText"/>
    <w:rsid w:val="00250779"/>
    <w:rPr>
      <w:rFonts w:ascii="Tahoma" w:hAnsi="Tahoma" w:cs="Tahoma"/>
      <w:sz w:val="16"/>
      <w:szCs w:val="16"/>
    </w:rPr>
  </w:style>
  <w:style w:type="paragraph" w:styleId="Footer">
    <w:name w:val="footer"/>
    <w:basedOn w:val="Normal"/>
    <w:link w:val="FooterChar"/>
    <w:rsid w:val="00101D7D"/>
    <w:pPr>
      <w:tabs>
        <w:tab w:val="center" w:pos="4513"/>
        <w:tab w:val="right" w:pos="9026"/>
      </w:tabs>
    </w:pPr>
  </w:style>
  <w:style w:type="character" w:customStyle="1" w:styleId="FooterChar">
    <w:name w:val="Footer Char"/>
    <w:basedOn w:val="DefaultParagraphFont"/>
    <w:link w:val="Footer"/>
    <w:rsid w:val="00101D7D"/>
  </w:style>
  <w:style w:type="paragraph" w:styleId="Revision">
    <w:name w:val="Revision"/>
    <w:hidden/>
    <w:uiPriority w:val="99"/>
    <w:semiHidden/>
    <w:rsid w:val="003729DD"/>
  </w:style>
  <w:style w:type="paragraph" w:styleId="ListParagraph">
    <w:name w:val="List Paragraph"/>
    <w:basedOn w:val="Normal"/>
    <w:uiPriority w:val="34"/>
    <w:qFormat/>
    <w:rsid w:val="00A36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86"/>
  </w:style>
  <w:style w:type="paragraph" w:styleId="Heading1">
    <w:name w:val="heading 1"/>
    <w:basedOn w:val="Normal"/>
    <w:next w:val="Normal"/>
    <w:qFormat/>
    <w:rsid w:val="00B65F86"/>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5F86"/>
    <w:pPr>
      <w:jc w:val="center"/>
    </w:pPr>
    <w:rPr>
      <w:b/>
      <w:sz w:val="24"/>
      <w:u w:val="single"/>
      <w:lang w:val="en-GB" w:eastAsia="en-US"/>
    </w:rPr>
  </w:style>
  <w:style w:type="paragraph" w:styleId="BodyText3">
    <w:name w:val="Body Text 3"/>
    <w:basedOn w:val="Normal"/>
    <w:rsid w:val="00B65F86"/>
    <w:rPr>
      <w:sz w:val="24"/>
      <w:u w:val="single"/>
      <w:lang w:val="en-GB" w:eastAsia="en-US"/>
    </w:rPr>
  </w:style>
  <w:style w:type="paragraph" w:styleId="BodyText">
    <w:name w:val="Body Text"/>
    <w:basedOn w:val="Normal"/>
    <w:rsid w:val="00B65F86"/>
    <w:pPr>
      <w:jc w:val="center"/>
    </w:pPr>
    <w:rPr>
      <w:sz w:val="24"/>
    </w:rPr>
  </w:style>
  <w:style w:type="paragraph" w:styleId="BodyText2">
    <w:name w:val="Body Text 2"/>
    <w:basedOn w:val="Normal"/>
    <w:rsid w:val="00B65F86"/>
    <w:rPr>
      <w:snapToGrid w:val="0"/>
      <w:sz w:val="24"/>
      <w:lang w:eastAsia="en-US"/>
    </w:rPr>
  </w:style>
  <w:style w:type="paragraph" w:styleId="Header">
    <w:name w:val="header"/>
    <w:basedOn w:val="Normal"/>
    <w:rsid w:val="00B65F86"/>
    <w:pPr>
      <w:tabs>
        <w:tab w:val="center" w:pos="4320"/>
        <w:tab w:val="right" w:pos="8640"/>
      </w:tabs>
    </w:pPr>
    <w:rPr>
      <w:sz w:val="24"/>
    </w:rPr>
  </w:style>
  <w:style w:type="character" w:styleId="PageNumber">
    <w:name w:val="page number"/>
    <w:basedOn w:val="DefaultParagraphFont"/>
    <w:rsid w:val="00B65F86"/>
  </w:style>
  <w:style w:type="paragraph" w:customStyle="1" w:styleId="Att-Sectionheading">
    <w:name w:val="Att - Section heading"/>
    <w:basedOn w:val="Normal"/>
    <w:link w:val="Att-SectionheadingChar"/>
    <w:qFormat/>
    <w:rsid w:val="001863D1"/>
    <w:pPr>
      <w:ind w:right="91"/>
    </w:pPr>
    <w:rPr>
      <w:sz w:val="24"/>
      <w:szCs w:val="24"/>
      <w:u w:val="single"/>
    </w:rPr>
  </w:style>
  <w:style w:type="paragraph" w:customStyle="1" w:styleId="BodyText1">
    <w:name w:val="Body Text1"/>
    <w:basedOn w:val="Normal"/>
    <w:link w:val="BodytextChar"/>
    <w:qFormat/>
    <w:rsid w:val="001863D1"/>
    <w:pPr>
      <w:ind w:right="91"/>
    </w:pPr>
    <w:rPr>
      <w:sz w:val="24"/>
      <w:szCs w:val="24"/>
    </w:rPr>
  </w:style>
  <w:style w:type="character" w:customStyle="1" w:styleId="Att-SectionheadingChar">
    <w:name w:val="Att - Section heading Char"/>
    <w:link w:val="Att-Sectionheading"/>
    <w:rsid w:val="001863D1"/>
    <w:rPr>
      <w:sz w:val="24"/>
      <w:szCs w:val="24"/>
      <w:u w:val="single"/>
    </w:rPr>
  </w:style>
  <w:style w:type="character" w:customStyle="1" w:styleId="BodytextChar">
    <w:name w:val="Body text Char"/>
    <w:link w:val="BodyText1"/>
    <w:rsid w:val="001863D1"/>
    <w:rPr>
      <w:sz w:val="24"/>
      <w:szCs w:val="24"/>
    </w:rPr>
  </w:style>
  <w:style w:type="character" w:styleId="CommentReference">
    <w:name w:val="annotation reference"/>
    <w:rsid w:val="00250779"/>
    <w:rPr>
      <w:sz w:val="16"/>
      <w:szCs w:val="16"/>
    </w:rPr>
  </w:style>
  <w:style w:type="paragraph" w:styleId="CommentText">
    <w:name w:val="annotation text"/>
    <w:basedOn w:val="Normal"/>
    <w:link w:val="CommentTextChar"/>
    <w:rsid w:val="00250779"/>
  </w:style>
  <w:style w:type="character" w:customStyle="1" w:styleId="CommentTextChar">
    <w:name w:val="Comment Text Char"/>
    <w:basedOn w:val="DefaultParagraphFont"/>
    <w:link w:val="CommentText"/>
    <w:rsid w:val="00250779"/>
  </w:style>
  <w:style w:type="paragraph" w:styleId="CommentSubject">
    <w:name w:val="annotation subject"/>
    <w:basedOn w:val="CommentText"/>
    <w:next w:val="CommentText"/>
    <w:link w:val="CommentSubjectChar"/>
    <w:rsid w:val="00250779"/>
    <w:rPr>
      <w:b/>
      <w:bCs/>
    </w:rPr>
  </w:style>
  <w:style w:type="character" w:customStyle="1" w:styleId="CommentSubjectChar">
    <w:name w:val="Comment Subject Char"/>
    <w:link w:val="CommentSubject"/>
    <w:rsid w:val="00250779"/>
    <w:rPr>
      <w:b/>
      <w:bCs/>
    </w:rPr>
  </w:style>
  <w:style w:type="paragraph" w:styleId="BalloonText">
    <w:name w:val="Balloon Text"/>
    <w:basedOn w:val="Normal"/>
    <w:link w:val="BalloonTextChar"/>
    <w:rsid w:val="00250779"/>
    <w:rPr>
      <w:rFonts w:ascii="Tahoma" w:hAnsi="Tahoma" w:cs="Tahoma"/>
      <w:sz w:val="16"/>
      <w:szCs w:val="16"/>
    </w:rPr>
  </w:style>
  <w:style w:type="character" w:customStyle="1" w:styleId="BalloonTextChar">
    <w:name w:val="Balloon Text Char"/>
    <w:link w:val="BalloonText"/>
    <w:rsid w:val="00250779"/>
    <w:rPr>
      <w:rFonts w:ascii="Tahoma" w:hAnsi="Tahoma" w:cs="Tahoma"/>
      <w:sz w:val="16"/>
      <w:szCs w:val="16"/>
    </w:rPr>
  </w:style>
  <w:style w:type="paragraph" w:styleId="Footer">
    <w:name w:val="footer"/>
    <w:basedOn w:val="Normal"/>
    <w:link w:val="FooterChar"/>
    <w:rsid w:val="00101D7D"/>
    <w:pPr>
      <w:tabs>
        <w:tab w:val="center" w:pos="4513"/>
        <w:tab w:val="right" w:pos="9026"/>
      </w:tabs>
    </w:pPr>
  </w:style>
  <w:style w:type="character" w:customStyle="1" w:styleId="FooterChar">
    <w:name w:val="Footer Char"/>
    <w:basedOn w:val="DefaultParagraphFont"/>
    <w:link w:val="Footer"/>
    <w:rsid w:val="00101D7D"/>
  </w:style>
  <w:style w:type="paragraph" w:styleId="Revision">
    <w:name w:val="Revision"/>
    <w:hidden/>
    <w:uiPriority w:val="99"/>
    <w:semiHidden/>
    <w:rsid w:val="003729DD"/>
  </w:style>
  <w:style w:type="paragraph" w:styleId="ListParagraph">
    <w:name w:val="List Paragraph"/>
    <w:basedOn w:val="Normal"/>
    <w:uiPriority w:val="34"/>
    <w:qFormat/>
    <w:rsid w:val="00A36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1975">
      <w:bodyDiv w:val="1"/>
      <w:marLeft w:val="0"/>
      <w:marRight w:val="0"/>
      <w:marTop w:val="0"/>
      <w:marBottom w:val="0"/>
      <w:divBdr>
        <w:top w:val="none" w:sz="0" w:space="0" w:color="auto"/>
        <w:left w:val="none" w:sz="0" w:space="0" w:color="auto"/>
        <w:bottom w:val="none" w:sz="0" w:space="0" w:color="auto"/>
        <w:right w:val="none" w:sz="0" w:space="0" w:color="auto"/>
      </w:divBdr>
    </w:div>
    <w:div w:id="604727323">
      <w:bodyDiv w:val="1"/>
      <w:marLeft w:val="0"/>
      <w:marRight w:val="0"/>
      <w:marTop w:val="0"/>
      <w:marBottom w:val="0"/>
      <w:divBdr>
        <w:top w:val="none" w:sz="0" w:space="0" w:color="auto"/>
        <w:left w:val="none" w:sz="0" w:space="0" w:color="auto"/>
        <w:bottom w:val="none" w:sz="0" w:space="0" w:color="auto"/>
        <w:right w:val="none" w:sz="0" w:space="0" w:color="auto"/>
      </w:divBdr>
    </w:div>
    <w:div w:id="748426718">
      <w:bodyDiv w:val="1"/>
      <w:marLeft w:val="0"/>
      <w:marRight w:val="0"/>
      <w:marTop w:val="0"/>
      <w:marBottom w:val="0"/>
      <w:divBdr>
        <w:top w:val="none" w:sz="0" w:space="0" w:color="auto"/>
        <w:left w:val="none" w:sz="0" w:space="0" w:color="auto"/>
        <w:bottom w:val="none" w:sz="0" w:space="0" w:color="auto"/>
        <w:right w:val="none" w:sz="0" w:space="0" w:color="auto"/>
      </w:divBdr>
      <w:divsChild>
        <w:div w:id="1023558428">
          <w:marLeft w:val="0"/>
          <w:marRight w:val="0"/>
          <w:marTop w:val="0"/>
          <w:marBottom w:val="0"/>
          <w:divBdr>
            <w:top w:val="none" w:sz="0" w:space="0" w:color="auto"/>
            <w:left w:val="none" w:sz="0" w:space="0" w:color="auto"/>
            <w:bottom w:val="none" w:sz="0" w:space="0" w:color="auto"/>
            <w:right w:val="none" w:sz="0" w:space="0" w:color="auto"/>
          </w:divBdr>
          <w:divsChild>
            <w:div w:id="954869477">
              <w:marLeft w:val="0"/>
              <w:marRight w:val="0"/>
              <w:marTop w:val="0"/>
              <w:marBottom w:val="0"/>
              <w:divBdr>
                <w:top w:val="none" w:sz="0" w:space="0" w:color="auto"/>
                <w:left w:val="none" w:sz="0" w:space="0" w:color="auto"/>
                <w:bottom w:val="none" w:sz="0" w:space="0" w:color="auto"/>
                <w:right w:val="none" w:sz="0" w:space="0" w:color="auto"/>
              </w:divBdr>
              <w:divsChild>
                <w:div w:id="1123041686">
                  <w:marLeft w:val="0"/>
                  <w:marRight w:val="0"/>
                  <w:marTop w:val="0"/>
                  <w:marBottom w:val="0"/>
                  <w:divBdr>
                    <w:top w:val="none" w:sz="0" w:space="0" w:color="auto"/>
                    <w:left w:val="none" w:sz="0" w:space="0" w:color="auto"/>
                    <w:bottom w:val="none" w:sz="0" w:space="0" w:color="auto"/>
                    <w:right w:val="none" w:sz="0" w:space="0" w:color="auto"/>
                  </w:divBdr>
                  <w:divsChild>
                    <w:div w:id="1559854210">
                      <w:marLeft w:val="0"/>
                      <w:marRight w:val="0"/>
                      <w:marTop w:val="0"/>
                      <w:marBottom w:val="0"/>
                      <w:divBdr>
                        <w:top w:val="none" w:sz="0" w:space="0" w:color="auto"/>
                        <w:left w:val="none" w:sz="0" w:space="0" w:color="auto"/>
                        <w:bottom w:val="none" w:sz="0" w:space="0" w:color="auto"/>
                        <w:right w:val="none" w:sz="0" w:space="0" w:color="auto"/>
                      </w:divBdr>
                      <w:divsChild>
                        <w:div w:id="922421741">
                          <w:marLeft w:val="0"/>
                          <w:marRight w:val="0"/>
                          <w:marTop w:val="0"/>
                          <w:marBottom w:val="0"/>
                          <w:divBdr>
                            <w:top w:val="single" w:sz="6" w:space="0" w:color="828282"/>
                            <w:left w:val="single" w:sz="6" w:space="0" w:color="828282"/>
                            <w:bottom w:val="single" w:sz="6" w:space="0" w:color="828282"/>
                            <w:right w:val="single" w:sz="6" w:space="0" w:color="828282"/>
                          </w:divBdr>
                          <w:divsChild>
                            <w:div w:id="1939558994">
                              <w:marLeft w:val="0"/>
                              <w:marRight w:val="0"/>
                              <w:marTop w:val="0"/>
                              <w:marBottom w:val="0"/>
                              <w:divBdr>
                                <w:top w:val="none" w:sz="0" w:space="0" w:color="auto"/>
                                <w:left w:val="none" w:sz="0" w:space="0" w:color="auto"/>
                                <w:bottom w:val="none" w:sz="0" w:space="0" w:color="auto"/>
                                <w:right w:val="none" w:sz="0" w:space="0" w:color="auto"/>
                              </w:divBdr>
                              <w:divsChild>
                                <w:div w:id="196940034">
                                  <w:marLeft w:val="0"/>
                                  <w:marRight w:val="0"/>
                                  <w:marTop w:val="0"/>
                                  <w:marBottom w:val="0"/>
                                  <w:divBdr>
                                    <w:top w:val="none" w:sz="0" w:space="0" w:color="auto"/>
                                    <w:left w:val="none" w:sz="0" w:space="0" w:color="auto"/>
                                    <w:bottom w:val="none" w:sz="0" w:space="0" w:color="auto"/>
                                    <w:right w:val="none" w:sz="0" w:space="0" w:color="auto"/>
                                  </w:divBdr>
                                  <w:divsChild>
                                    <w:div w:id="516240094">
                                      <w:marLeft w:val="0"/>
                                      <w:marRight w:val="0"/>
                                      <w:marTop w:val="0"/>
                                      <w:marBottom w:val="0"/>
                                      <w:divBdr>
                                        <w:top w:val="none" w:sz="0" w:space="0" w:color="auto"/>
                                        <w:left w:val="none" w:sz="0" w:space="0" w:color="auto"/>
                                        <w:bottom w:val="none" w:sz="0" w:space="0" w:color="auto"/>
                                        <w:right w:val="none" w:sz="0" w:space="0" w:color="auto"/>
                                      </w:divBdr>
                                      <w:divsChild>
                                        <w:div w:id="1318462587">
                                          <w:marLeft w:val="0"/>
                                          <w:marRight w:val="0"/>
                                          <w:marTop w:val="0"/>
                                          <w:marBottom w:val="0"/>
                                          <w:divBdr>
                                            <w:top w:val="none" w:sz="0" w:space="0" w:color="auto"/>
                                            <w:left w:val="none" w:sz="0" w:space="0" w:color="auto"/>
                                            <w:bottom w:val="none" w:sz="0" w:space="0" w:color="auto"/>
                                            <w:right w:val="none" w:sz="0" w:space="0" w:color="auto"/>
                                          </w:divBdr>
                                          <w:divsChild>
                                            <w:div w:id="1644696726">
                                              <w:marLeft w:val="0"/>
                                              <w:marRight w:val="0"/>
                                              <w:marTop w:val="0"/>
                                              <w:marBottom w:val="0"/>
                                              <w:divBdr>
                                                <w:top w:val="none" w:sz="0" w:space="0" w:color="auto"/>
                                                <w:left w:val="none" w:sz="0" w:space="0" w:color="auto"/>
                                                <w:bottom w:val="none" w:sz="0" w:space="0" w:color="auto"/>
                                                <w:right w:val="none" w:sz="0" w:space="0" w:color="auto"/>
                                              </w:divBdr>
                                              <w:divsChild>
                                                <w:div w:id="1943953577">
                                                  <w:marLeft w:val="0"/>
                                                  <w:marRight w:val="0"/>
                                                  <w:marTop w:val="0"/>
                                                  <w:marBottom w:val="0"/>
                                                  <w:divBdr>
                                                    <w:top w:val="none" w:sz="0" w:space="0" w:color="auto"/>
                                                    <w:left w:val="none" w:sz="0" w:space="0" w:color="auto"/>
                                                    <w:bottom w:val="none" w:sz="0" w:space="0" w:color="auto"/>
                                                    <w:right w:val="none" w:sz="0" w:space="0" w:color="auto"/>
                                                  </w:divBdr>
                                                  <w:divsChild>
                                                    <w:div w:id="96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12035">
      <w:bodyDiv w:val="1"/>
      <w:marLeft w:val="0"/>
      <w:marRight w:val="0"/>
      <w:marTop w:val="0"/>
      <w:marBottom w:val="0"/>
      <w:divBdr>
        <w:top w:val="none" w:sz="0" w:space="0" w:color="auto"/>
        <w:left w:val="none" w:sz="0" w:space="0" w:color="auto"/>
        <w:bottom w:val="none" w:sz="0" w:space="0" w:color="auto"/>
        <w:right w:val="none" w:sz="0" w:space="0" w:color="auto"/>
      </w:divBdr>
      <w:divsChild>
        <w:div w:id="855967912">
          <w:marLeft w:val="0"/>
          <w:marRight w:val="0"/>
          <w:marTop w:val="0"/>
          <w:marBottom w:val="0"/>
          <w:divBdr>
            <w:top w:val="none" w:sz="0" w:space="0" w:color="auto"/>
            <w:left w:val="none" w:sz="0" w:space="0" w:color="auto"/>
            <w:bottom w:val="none" w:sz="0" w:space="0" w:color="auto"/>
            <w:right w:val="none" w:sz="0" w:space="0" w:color="auto"/>
          </w:divBdr>
          <w:divsChild>
            <w:div w:id="1179588167">
              <w:marLeft w:val="0"/>
              <w:marRight w:val="0"/>
              <w:marTop w:val="0"/>
              <w:marBottom w:val="0"/>
              <w:divBdr>
                <w:top w:val="none" w:sz="0" w:space="0" w:color="auto"/>
                <w:left w:val="none" w:sz="0" w:space="0" w:color="auto"/>
                <w:bottom w:val="none" w:sz="0" w:space="0" w:color="auto"/>
                <w:right w:val="none" w:sz="0" w:space="0" w:color="auto"/>
              </w:divBdr>
              <w:divsChild>
                <w:div w:id="1979338229">
                  <w:marLeft w:val="0"/>
                  <w:marRight w:val="0"/>
                  <w:marTop w:val="0"/>
                  <w:marBottom w:val="0"/>
                  <w:divBdr>
                    <w:top w:val="none" w:sz="0" w:space="0" w:color="auto"/>
                    <w:left w:val="none" w:sz="0" w:space="0" w:color="auto"/>
                    <w:bottom w:val="none" w:sz="0" w:space="0" w:color="auto"/>
                    <w:right w:val="none" w:sz="0" w:space="0" w:color="auto"/>
                  </w:divBdr>
                  <w:divsChild>
                    <w:div w:id="96607641">
                      <w:marLeft w:val="0"/>
                      <w:marRight w:val="0"/>
                      <w:marTop w:val="0"/>
                      <w:marBottom w:val="0"/>
                      <w:divBdr>
                        <w:top w:val="none" w:sz="0" w:space="0" w:color="auto"/>
                        <w:left w:val="none" w:sz="0" w:space="0" w:color="auto"/>
                        <w:bottom w:val="none" w:sz="0" w:space="0" w:color="auto"/>
                        <w:right w:val="none" w:sz="0" w:space="0" w:color="auto"/>
                      </w:divBdr>
                      <w:divsChild>
                        <w:div w:id="1956474307">
                          <w:marLeft w:val="0"/>
                          <w:marRight w:val="0"/>
                          <w:marTop w:val="0"/>
                          <w:marBottom w:val="0"/>
                          <w:divBdr>
                            <w:top w:val="single" w:sz="6" w:space="0" w:color="828282"/>
                            <w:left w:val="single" w:sz="6" w:space="0" w:color="828282"/>
                            <w:bottom w:val="single" w:sz="6" w:space="0" w:color="828282"/>
                            <w:right w:val="single" w:sz="6" w:space="0" w:color="828282"/>
                          </w:divBdr>
                          <w:divsChild>
                            <w:div w:id="1656571969">
                              <w:marLeft w:val="0"/>
                              <w:marRight w:val="0"/>
                              <w:marTop w:val="0"/>
                              <w:marBottom w:val="0"/>
                              <w:divBdr>
                                <w:top w:val="none" w:sz="0" w:space="0" w:color="auto"/>
                                <w:left w:val="none" w:sz="0" w:space="0" w:color="auto"/>
                                <w:bottom w:val="none" w:sz="0" w:space="0" w:color="auto"/>
                                <w:right w:val="none" w:sz="0" w:space="0" w:color="auto"/>
                              </w:divBdr>
                              <w:divsChild>
                                <w:div w:id="1747610864">
                                  <w:marLeft w:val="0"/>
                                  <w:marRight w:val="0"/>
                                  <w:marTop w:val="0"/>
                                  <w:marBottom w:val="0"/>
                                  <w:divBdr>
                                    <w:top w:val="none" w:sz="0" w:space="0" w:color="auto"/>
                                    <w:left w:val="none" w:sz="0" w:space="0" w:color="auto"/>
                                    <w:bottom w:val="none" w:sz="0" w:space="0" w:color="auto"/>
                                    <w:right w:val="none" w:sz="0" w:space="0" w:color="auto"/>
                                  </w:divBdr>
                                  <w:divsChild>
                                    <w:div w:id="2037149845">
                                      <w:marLeft w:val="0"/>
                                      <w:marRight w:val="0"/>
                                      <w:marTop w:val="0"/>
                                      <w:marBottom w:val="0"/>
                                      <w:divBdr>
                                        <w:top w:val="none" w:sz="0" w:space="0" w:color="auto"/>
                                        <w:left w:val="none" w:sz="0" w:space="0" w:color="auto"/>
                                        <w:bottom w:val="none" w:sz="0" w:space="0" w:color="auto"/>
                                        <w:right w:val="none" w:sz="0" w:space="0" w:color="auto"/>
                                      </w:divBdr>
                                      <w:divsChild>
                                        <w:div w:id="908927198">
                                          <w:marLeft w:val="0"/>
                                          <w:marRight w:val="0"/>
                                          <w:marTop w:val="0"/>
                                          <w:marBottom w:val="0"/>
                                          <w:divBdr>
                                            <w:top w:val="none" w:sz="0" w:space="0" w:color="auto"/>
                                            <w:left w:val="none" w:sz="0" w:space="0" w:color="auto"/>
                                            <w:bottom w:val="none" w:sz="0" w:space="0" w:color="auto"/>
                                            <w:right w:val="none" w:sz="0" w:space="0" w:color="auto"/>
                                          </w:divBdr>
                                          <w:divsChild>
                                            <w:div w:id="775028777">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925517">
      <w:bodyDiv w:val="1"/>
      <w:marLeft w:val="0"/>
      <w:marRight w:val="0"/>
      <w:marTop w:val="0"/>
      <w:marBottom w:val="0"/>
      <w:divBdr>
        <w:top w:val="none" w:sz="0" w:space="0" w:color="auto"/>
        <w:left w:val="none" w:sz="0" w:space="0" w:color="auto"/>
        <w:bottom w:val="none" w:sz="0" w:space="0" w:color="auto"/>
        <w:right w:val="none" w:sz="0" w:space="0" w:color="auto"/>
      </w:divBdr>
      <w:divsChild>
        <w:div w:id="563369441">
          <w:marLeft w:val="0"/>
          <w:marRight w:val="0"/>
          <w:marTop w:val="0"/>
          <w:marBottom w:val="0"/>
          <w:divBdr>
            <w:top w:val="none" w:sz="0" w:space="0" w:color="auto"/>
            <w:left w:val="none" w:sz="0" w:space="0" w:color="auto"/>
            <w:bottom w:val="none" w:sz="0" w:space="0" w:color="auto"/>
            <w:right w:val="none" w:sz="0" w:space="0" w:color="auto"/>
          </w:divBdr>
          <w:divsChild>
            <w:div w:id="1783457340">
              <w:marLeft w:val="0"/>
              <w:marRight w:val="0"/>
              <w:marTop w:val="0"/>
              <w:marBottom w:val="0"/>
              <w:divBdr>
                <w:top w:val="none" w:sz="0" w:space="0" w:color="auto"/>
                <w:left w:val="none" w:sz="0" w:space="0" w:color="auto"/>
                <w:bottom w:val="none" w:sz="0" w:space="0" w:color="auto"/>
                <w:right w:val="none" w:sz="0" w:space="0" w:color="auto"/>
              </w:divBdr>
              <w:divsChild>
                <w:div w:id="482232805">
                  <w:marLeft w:val="0"/>
                  <w:marRight w:val="0"/>
                  <w:marTop w:val="0"/>
                  <w:marBottom w:val="0"/>
                  <w:divBdr>
                    <w:top w:val="none" w:sz="0" w:space="0" w:color="auto"/>
                    <w:left w:val="none" w:sz="0" w:space="0" w:color="auto"/>
                    <w:bottom w:val="none" w:sz="0" w:space="0" w:color="auto"/>
                    <w:right w:val="none" w:sz="0" w:space="0" w:color="auto"/>
                  </w:divBdr>
                  <w:divsChild>
                    <w:div w:id="1652707448">
                      <w:marLeft w:val="0"/>
                      <w:marRight w:val="0"/>
                      <w:marTop w:val="0"/>
                      <w:marBottom w:val="0"/>
                      <w:divBdr>
                        <w:top w:val="none" w:sz="0" w:space="0" w:color="auto"/>
                        <w:left w:val="none" w:sz="0" w:space="0" w:color="auto"/>
                        <w:bottom w:val="none" w:sz="0" w:space="0" w:color="auto"/>
                        <w:right w:val="none" w:sz="0" w:space="0" w:color="auto"/>
                      </w:divBdr>
                      <w:divsChild>
                        <w:div w:id="214778637">
                          <w:marLeft w:val="0"/>
                          <w:marRight w:val="0"/>
                          <w:marTop w:val="0"/>
                          <w:marBottom w:val="0"/>
                          <w:divBdr>
                            <w:top w:val="single" w:sz="6" w:space="0" w:color="828282"/>
                            <w:left w:val="single" w:sz="6" w:space="0" w:color="828282"/>
                            <w:bottom w:val="single" w:sz="6" w:space="0" w:color="828282"/>
                            <w:right w:val="single" w:sz="6" w:space="0" w:color="828282"/>
                          </w:divBdr>
                          <w:divsChild>
                            <w:div w:id="294145553">
                              <w:marLeft w:val="0"/>
                              <w:marRight w:val="0"/>
                              <w:marTop w:val="0"/>
                              <w:marBottom w:val="0"/>
                              <w:divBdr>
                                <w:top w:val="none" w:sz="0" w:space="0" w:color="auto"/>
                                <w:left w:val="none" w:sz="0" w:space="0" w:color="auto"/>
                                <w:bottom w:val="none" w:sz="0" w:space="0" w:color="auto"/>
                                <w:right w:val="none" w:sz="0" w:space="0" w:color="auto"/>
                              </w:divBdr>
                              <w:divsChild>
                                <w:div w:id="1122189153">
                                  <w:marLeft w:val="0"/>
                                  <w:marRight w:val="0"/>
                                  <w:marTop w:val="0"/>
                                  <w:marBottom w:val="0"/>
                                  <w:divBdr>
                                    <w:top w:val="none" w:sz="0" w:space="0" w:color="auto"/>
                                    <w:left w:val="none" w:sz="0" w:space="0" w:color="auto"/>
                                    <w:bottom w:val="none" w:sz="0" w:space="0" w:color="auto"/>
                                    <w:right w:val="none" w:sz="0" w:space="0" w:color="auto"/>
                                  </w:divBdr>
                                  <w:divsChild>
                                    <w:div w:id="1104112645">
                                      <w:marLeft w:val="0"/>
                                      <w:marRight w:val="0"/>
                                      <w:marTop w:val="0"/>
                                      <w:marBottom w:val="0"/>
                                      <w:divBdr>
                                        <w:top w:val="none" w:sz="0" w:space="0" w:color="auto"/>
                                        <w:left w:val="none" w:sz="0" w:space="0" w:color="auto"/>
                                        <w:bottom w:val="none" w:sz="0" w:space="0" w:color="auto"/>
                                        <w:right w:val="none" w:sz="0" w:space="0" w:color="auto"/>
                                      </w:divBdr>
                                      <w:divsChild>
                                        <w:div w:id="276303498">
                                          <w:marLeft w:val="0"/>
                                          <w:marRight w:val="0"/>
                                          <w:marTop w:val="0"/>
                                          <w:marBottom w:val="0"/>
                                          <w:divBdr>
                                            <w:top w:val="none" w:sz="0" w:space="0" w:color="auto"/>
                                            <w:left w:val="none" w:sz="0" w:space="0" w:color="auto"/>
                                            <w:bottom w:val="none" w:sz="0" w:space="0" w:color="auto"/>
                                            <w:right w:val="none" w:sz="0" w:space="0" w:color="auto"/>
                                          </w:divBdr>
                                          <w:divsChild>
                                            <w:div w:id="108741494">
                                              <w:marLeft w:val="0"/>
                                              <w:marRight w:val="0"/>
                                              <w:marTop w:val="0"/>
                                              <w:marBottom w:val="0"/>
                                              <w:divBdr>
                                                <w:top w:val="none" w:sz="0" w:space="0" w:color="auto"/>
                                                <w:left w:val="none" w:sz="0" w:space="0" w:color="auto"/>
                                                <w:bottom w:val="none" w:sz="0" w:space="0" w:color="auto"/>
                                                <w:right w:val="none" w:sz="0" w:space="0" w:color="auto"/>
                                              </w:divBdr>
                                              <w:divsChild>
                                                <w:div w:id="3850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1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F26F3-4C27-4E42-BCF0-B7A2D0B3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10289</Characters>
  <Application>Microsoft Office Word</Application>
  <DocSecurity>6</DocSecurity>
  <Lines>211</Lines>
  <Paragraphs>64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DBCDE</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Dept Laptop</dc:creator>
  <cp:lastModifiedBy>tehang</cp:lastModifiedBy>
  <cp:revision>2</cp:revision>
  <cp:lastPrinted>2015-07-01T02:04:00Z</cp:lastPrinted>
  <dcterms:created xsi:type="dcterms:W3CDTF">2015-07-01T04:07:00Z</dcterms:created>
  <dcterms:modified xsi:type="dcterms:W3CDTF">2015-07-01T04:07:00Z</dcterms:modified>
</cp:coreProperties>
</file>