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D1" w:rsidRPr="00493612" w:rsidRDefault="006D4618" w:rsidP="00674B00">
      <w:r>
        <w:rPr>
          <w:noProof/>
        </w:rPr>
        <w:drawing>
          <wp:inline distT="0" distB="0" distL="0" distR="0">
            <wp:extent cx="1285240" cy="983615"/>
            <wp:effectExtent l="0" t="0" r="0" b="698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61" w:rsidRPr="002E50AB" w:rsidRDefault="00FC3F61" w:rsidP="00FC3F61">
      <w:pPr>
        <w:pStyle w:val="Title"/>
        <w:pBdr>
          <w:bottom w:val="single" w:sz="4" w:space="3" w:color="auto"/>
        </w:pBdr>
        <w:rPr>
          <w:sz w:val="28"/>
          <w:szCs w:val="28"/>
        </w:rPr>
      </w:pPr>
      <w:bookmarkStart w:id="0" w:name="Citation"/>
      <w:r>
        <w:rPr>
          <w:sz w:val="28"/>
          <w:szCs w:val="28"/>
        </w:rPr>
        <w:t xml:space="preserve">PB </w:t>
      </w:r>
      <w:r w:rsidR="006A3D64">
        <w:rPr>
          <w:sz w:val="28"/>
          <w:szCs w:val="28"/>
        </w:rPr>
        <w:t>66</w:t>
      </w:r>
      <w:r w:rsidR="00904F8A" w:rsidRPr="002E50AB">
        <w:rPr>
          <w:sz w:val="28"/>
          <w:szCs w:val="28"/>
        </w:rPr>
        <w:t xml:space="preserve"> </w:t>
      </w:r>
      <w:r w:rsidRPr="002E50AB">
        <w:rPr>
          <w:sz w:val="28"/>
          <w:szCs w:val="28"/>
        </w:rPr>
        <w:t>of 201</w:t>
      </w:r>
      <w:r w:rsidR="00904F8A">
        <w:rPr>
          <w:sz w:val="28"/>
          <w:szCs w:val="28"/>
        </w:rPr>
        <w:t>5</w:t>
      </w:r>
    </w:p>
    <w:p w:rsidR="00B3354C" w:rsidRPr="00207FE6" w:rsidRDefault="00B3354C">
      <w:pPr>
        <w:pStyle w:val="Title"/>
        <w:pBdr>
          <w:bottom w:val="single" w:sz="4" w:space="3" w:color="auto"/>
        </w:pBdr>
      </w:pPr>
      <w:r w:rsidRPr="00207FE6">
        <w:t>National Health (</w:t>
      </w:r>
      <w:r w:rsidR="0035790D" w:rsidRPr="00207FE6">
        <w:t>P</w:t>
      </w:r>
      <w:r w:rsidRPr="00207FE6">
        <w:t>harmaceutical benefits</w:t>
      </w:r>
      <w:r w:rsidR="0035790D" w:rsidRPr="00207FE6">
        <w:t xml:space="preserve"> supplied by private hospitals</w:t>
      </w:r>
      <w:r w:rsidRPr="00207FE6">
        <w:t xml:space="preserve">) </w:t>
      </w:r>
      <w:r w:rsidR="008203BE" w:rsidRPr="00207FE6">
        <w:t xml:space="preserve">Amendment </w:t>
      </w:r>
      <w:r w:rsidRPr="00207FE6">
        <w:t xml:space="preserve">Determination </w:t>
      </w:r>
      <w:bookmarkEnd w:id="0"/>
      <w:r w:rsidR="008203BE" w:rsidRPr="00207FE6">
        <w:t>201</w:t>
      </w:r>
      <w:r w:rsidR="00904F8A">
        <w:t>5</w:t>
      </w:r>
      <w:r w:rsidR="00FC3F61">
        <w:t xml:space="preserve"> </w:t>
      </w:r>
      <w:r w:rsidR="00207FE6" w:rsidRPr="00207FE6">
        <w:t>(No. 1)</w:t>
      </w:r>
    </w:p>
    <w:p w:rsidR="00FC3F61" w:rsidRPr="0070453A" w:rsidRDefault="00FC3F61" w:rsidP="00FC3F61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bookmarkStart w:id="1" w:name="_Toc272329537"/>
      <w:r w:rsidRPr="0070453A">
        <w:rPr>
          <w:rFonts w:ascii="Arial" w:hAnsi="Arial" w:cs="Arial"/>
          <w:i/>
          <w:sz w:val="28"/>
          <w:szCs w:val="28"/>
          <w:lang w:val="en-US"/>
        </w:rPr>
        <w:t>National Health Act 1953</w:t>
      </w:r>
    </w:p>
    <w:p w:rsidR="00FC3F61" w:rsidRPr="003F4850" w:rsidRDefault="00904F8A" w:rsidP="00FC3F61">
      <w:pPr>
        <w:spacing w:before="360"/>
      </w:pPr>
      <w:r w:rsidRPr="00904F8A">
        <w:t xml:space="preserve">I, JULIANNE QUAINE, Assistant Secretary, Pharmaceutical Access Branch, </w:t>
      </w:r>
      <w:r w:rsidR="006A3D64">
        <w:t xml:space="preserve">Pharmaceutical Benefits Division, </w:t>
      </w:r>
      <w:r w:rsidRPr="00904F8A">
        <w:t xml:space="preserve">Department of Health, delegate of the Minister for Health, </w:t>
      </w:r>
      <w:r w:rsidR="00FC3F61" w:rsidRPr="003F4850">
        <w:t xml:space="preserve">make this </w:t>
      </w:r>
      <w:r w:rsidR="00FC3F61">
        <w:t xml:space="preserve">Determination </w:t>
      </w:r>
      <w:r w:rsidR="00FC3F61" w:rsidRPr="003F4850">
        <w:t>under s</w:t>
      </w:r>
      <w:r w:rsidR="00FC3F61">
        <w:t>ubs</w:t>
      </w:r>
      <w:r w:rsidR="00FC3F61" w:rsidRPr="003F4850">
        <w:t>ection</w:t>
      </w:r>
      <w:r w:rsidR="00FC3F61">
        <w:t> </w:t>
      </w:r>
      <w:r w:rsidR="00FC3F61" w:rsidRPr="003F4850">
        <w:t xml:space="preserve">99(4) of the </w:t>
      </w:r>
      <w:r w:rsidR="00FC3F61" w:rsidRPr="003F4850">
        <w:rPr>
          <w:i/>
        </w:rPr>
        <w:t>National Health Act 1953</w:t>
      </w:r>
      <w:r w:rsidR="00FC3F61" w:rsidRPr="003F4850">
        <w:t>.</w:t>
      </w:r>
    </w:p>
    <w:p w:rsidR="00FC3F61" w:rsidRPr="003F4850" w:rsidRDefault="00FC3F61" w:rsidP="00314CDA">
      <w:pPr>
        <w:tabs>
          <w:tab w:val="left" w:pos="1134"/>
          <w:tab w:val="left" w:pos="4536"/>
        </w:tabs>
        <w:spacing w:before="600" w:after="600" w:line="300" w:lineRule="exact"/>
      </w:pPr>
      <w:r w:rsidRPr="003F4850">
        <w:t xml:space="preserve">Dated </w:t>
      </w:r>
      <w:bookmarkStart w:id="2" w:name="MadeDate"/>
      <w:bookmarkStart w:id="3" w:name="Year"/>
      <w:bookmarkEnd w:id="2"/>
      <w:r w:rsidRPr="003F4850">
        <w:tab/>
      </w:r>
      <w:r w:rsidR="006D4618">
        <w:t>29</w:t>
      </w:r>
      <w:r w:rsidR="00904F8A">
        <w:t xml:space="preserve"> June </w:t>
      </w:r>
      <w:bookmarkStart w:id="4" w:name="_GoBack"/>
      <w:bookmarkEnd w:id="4"/>
      <w:r w:rsidRPr="003F4850">
        <w:t>201</w:t>
      </w:r>
      <w:bookmarkEnd w:id="3"/>
      <w:r w:rsidR="00904F8A">
        <w:t>5</w:t>
      </w:r>
    </w:p>
    <w:p w:rsidR="00FC3F61" w:rsidRDefault="00FC3F61" w:rsidP="003E13D2">
      <w:pPr>
        <w:spacing w:line="240" w:lineRule="exact"/>
      </w:pPr>
      <w:bookmarkStart w:id="5" w:name="Minister"/>
    </w:p>
    <w:p w:rsidR="00FC3F61" w:rsidRDefault="00FC3F61" w:rsidP="003E13D2">
      <w:pPr>
        <w:spacing w:line="240" w:lineRule="exact"/>
      </w:pPr>
    </w:p>
    <w:p w:rsidR="00FC3F61" w:rsidRDefault="00FC3F61" w:rsidP="003E13D2">
      <w:pPr>
        <w:spacing w:line="240" w:lineRule="exact"/>
      </w:pPr>
    </w:p>
    <w:p w:rsidR="00FC3F61" w:rsidRDefault="00FC3F61" w:rsidP="003E13D2">
      <w:pPr>
        <w:spacing w:line="240" w:lineRule="exact"/>
      </w:pPr>
    </w:p>
    <w:p w:rsidR="00904F8A" w:rsidRPr="00904F8A" w:rsidRDefault="00904F8A" w:rsidP="00092AB8">
      <w:pPr>
        <w:tabs>
          <w:tab w:val="left" w:pos="-120"/>
          <w:tab w:val="left" w:leader="underscore" w:pos="4560"/>
        </w:tabs>
        <w:autoSpaceDE w:val="0"/>
        <w:autoSpaceDN w:val="0"/>
        <w:spacing w:line="300" w:lineRule="atLeast"/>
        <w:ind w:right="397"/>
        <w:outlineLvl w:val="0"/>
        <w:rPr>
          <w:color w:val="000000"/>
          <w:lang w:eastAsia="en-US"/>
        </w:rPr>
      </w:pPr>
      <w:r w:rsidRPr="00904F8A">
        <w:rPr>
          <w:color w:val="000000"/>
          <w:lang w:eastAsia="en-US"/>
        </w:rPr>
        <w:tab/>
      </w:r>
    </w:p>
    <w:p w:rsidR="00904F8A" w:rsidRPr="00904F8A" w:rsidRDefault="00904F8A" w:rsidP="00092AB8">
      <w:pPr>
        <w:tabs>
          <w:tab w:val="left" w:pos="5640"/>
        </w:tabs>
        <w:autoSpaceDE w:val="0"/>
        <w:autoSpaceDN w:val="0"/>
        <w:spacing w:line="300" w:lineRule="atLeast"/>
        <w:ind w:right="397"/>
        <w:outlineLvl w:val="0"/>
        <w:rPr>
          <w:b/>
          <w:shd w:val="clear" w:color="auto" w:fill="FFFF99"/>
          <w:lang w:eastAsia="en-US"/>
        </w:rPr>
      </w:pPr>
      <w:r w:rsidRPr="00904F8A">
        <w:rPr>
          <w:b/>
          <w:lang w:eastAsia="en-US"/>
        </w:rPr>
        <w:t>JULIANNE QUAINE</w:t>
      </w:r>
    </w:p>
    <w:p w:rsidR="00904F8A" w:rsidRPr="00904F8A" w:rsidRDefault="00904F8A" w:rsidP="003E13D2">
      <w:pPr>
        <w:spacing w:line="240" w:lineRule="exact"/>
        <w:rPr>
          <w:lang w:eastAsia="en-US"/>
        </w:rPr>
      </w:pPr>
      <w:r w:rsidRPr="00904F8A">
        <w:rPr>
          <w:lang w:eastAsia="en-US"/>
        </w:rPr>
        <w:t>Assistant Secretary</w:t>
      </w:r>
    </w:p>
    <w:p w:rsidR="006A3D64" w:rsidRDefault="00904F8A" w:rsidP="003E13D2">
      <w:pPr>
        <w:spacing w:line="240" w:lineRule="exact"/>
        <w:rPr>
          <w:lang w:eastAsia="en-US"/>
        </w:rPr>
      </w:pPr>
      <w:r w:rsidRPr="009E4DB3">
        <w:rPr>
          <w:lang w:eastAsia="en-US"/>
        </w:rPr>
        <w:t>Pharmaceutical Access Branch</w:t>
      </w:r>
    </w:p>
    <w:p w:rsidR="006A3D64" w:rsidRDefault="006A3D64" w:rsidP="003E13D2">
      <w:pPr>
        <w:spacing w:line="240" w:lineRule="exact"/>
        <w:rPr>
          <w:lang w:eastAsia="en-US"/>
        </w:rPr>
      </w:pPr>
      <w:r>
        <w:rPr>
          <w:lang w:eastAsia="en-US"/>
        </w:rPr>
        <w:t>Pharmaceutical Benefits Division</w:t>
      </w:r>
    </w:p>
    <w:p w:rsidR="006A3D64" w:rsidRDefault="006A3D64" w:rsidP="003E13D2">
      <w:pPr>
        <w:spacing w:line="240" w:lineRule="exact"/>
        <w:rPr>
          <w:lang w:eastAsia="en-US"/>
        </w:rPr>
      </w:pPr>
      <w:r>
        <w:rPr>
          <w:lang w:eastAsia="en-US"/>
        </w:rPr>
        <w:t>Department of Health</w:t>
      </w:r>
    </w:p>
    <w:p w:rsidR="00904F8A" w:rsidRDefault="00904F8A" w:rsidP="00725CD8">
      <w:pPr>
        <w:sectPr w:rsidR="00904F8A" w:rsidSect="001006A8">
          <w:footerReference w:type="even" r:id="rId10"/>
          <w:footerReference w:type="default" r:id="rId11"/>
          <w:type w:val="continuous"/>
          <w:pgSz w:w="11907" w:h="16839" w:code="9"/>
          <w:pgMar w:top="1440" w:right="1797" w:bottom="1440" w:left="1797" w:header="709" w:footer="259" w:gutter="0"/>
          <w:cols w:space="708"/>
          <w:docGrid w:linePitch="360"/>
        </w:sectPr>
      </w:pPr>
    </w:p>
    <w:bookmarkEnd w:id="1"/>
    <w:bookmarkEnd w:id="5"/>
    <w:p w:rsidR="00FC3F61" w:rsidRDefault="00FC3F61" w:rsidP="00092AB8">
      <w:pPr>
        <w:pStyle w:val="A1"/>
        <w:ind w:left="567" w:hanging="567"/>
      </w:pPr>
      <w:r w:rsidRPr="00FC3F61">
        <w:rPr>
          <w:rStyle w:val="CharSectnoAm"/>
          <w:sz w:val="24"/>
        </w:rPr>
        <w:lastRenderedPageBreak/>
        <w:t>1</w:t>
      </w:r>
      <w:r w:rsidRPr="00207150">
        <w:tab/>
        <w:t>Name</w:t>
      </w:r>
      <w:r w:rsidRPr="00B65B5F">
        <w:t xml:space="preserve"> o</w:t>
      </w:r>
      <w:r>
        <w:t>f Determination</w:t>
      </w:r>
    </w:p>
    <w:p w:rsidR="00FC3F61" w:rsidRDefault="00FC3F61" w:rsidP="00FC3F61">
      <w:pPr>
        <w:pStyle w:val="A2"/>
        <w:spacing w:after="120"/>
        <w:jc w:val="left"/>
      </w:pPr>
      <w:r>
        <w:tab/>
        <w:t>(1)</w:t>
      </w:r>
      <w:r>
        <w:tab/>
      </w:r>
      <w:r w:rsidRPr="00B65B5F">
        <w:t>This</w:t>
      </w:r>
      <w:r>
        <w:t xml:space="preserve"> </w:t>
      </w:r>
      <w:r w:rsidRPr="00B65B5F">
        <w:t>Determination is the</w:t>
      </w:r>
      <w:r>
        <w:t xml:space="preserve"> </w:t>
      </w:r>
      <w:r w:rsidRPr="006613B8">
        <w:rPr>
          <w:i/>
        </w:rPr>
        <w:t xml:space="preserve">National Health (Pharmaceutical </w:t>
      </w:r>
      <w:r>
        <w:rPr>
          <w:i/>
        </w:rPr>
        <w:t>benefits s</w:t>
      </w:r>
      <w:r w:rsidRPr="006613B8">
        <w:rPr>
          <w:i/>
        </w:rPr>
        <w:t xml:space="preserve">upplied by </w:t>
      </w:r>
      <w:r>
        <w:rPr>
          <w:i/>
        </w:rPr>
        <w:t>private h</w:t>
      </w:r>
      <w:r w:rsidRPr="006613B8">
        <w:rPr>
          <w:i/>
        </w:rPr>
        <w:t>os</w:t>
      </w:r>
      <w:r>
        <w:rPr>
          <w:i/>
        </w:rPr>
        <w:t>pitals) Amendment Determination</w:t>
      </w:r>
      <w:r w:rsidRPr="006613B8">
        <w:rPr>
          <w:i/>
        </w:rPr>
        <w:t xml:space="preserve"> </w:t>
      </w:r>
      <w:r w:rsidR="00904F8A" w:rsidRPr="006613B8">
        <w:rPr>
          <w:i/>
        </w:rPr>
        <w:t>201</w:t>
      </w:r>
      <w:r w:rsidR="00904F8A">
        <w:rPr>
          <w:i/>
        </w:rPr>
        <w:t xml:space="preserve">5 </w:t>
      </w:r>
      <w:r>
        <w:rPr>
          <w:i/>
        </w:rPr>
        <w:t>(No. 1)</w:t>
      </w:r>
      <w:r>
        <w:t>.</w:t>
      </w:r>
    </w:p>
    <w:p w:rsidR="00FC3F61" w:rsidRPr="000533C3" w:rsidRDefault="00FC3F61" w:rsidP="00FC3F61">
      <w:pPr>
        <w:pStyle w:val="A2"/>
        <w:spacing w:after="120"/>
      </w:pPr>
      <w:r>
        <w:tab/>
        <w:t>(2)</w:t>
      </w:r>
      <w:r>
        <w:tab/>
        <w:t xml:space="preserve">This Determination may also be cited as PB </w:t>
      </w:r>
      <w:r w:rsidR="006A3D64">
        <w:t>66</w:t>
      </w:r>
      <w:r w:rsidR="00904F8A">
        <w:t xml:space="preserve"> </w:t>
      </w:r>
      <w:r>
        <w:t xml:space="preserve">of </w:t>
      </w:r>
      <w:r w:rsidR="00904F8A">
        <w:t>2015</w:t>
      </w:r>
      <w:r>
        <w:t>.</w:t>
      </w:r>
    </w:p>
    <w:p w:rsidR="00FC3F61" w:rsidRPr="00207150" w:rsidRDefault="00FC3F61" w:rsidP="00FC3F61">
      <w:pPr>
        <w:pStyle w:val="A1"/>
        <w:ind w:left="567" w:hanging="567"/>
      </w:pPr>
      <w:r w:rsidRPr="00FC3F61">
        <w:rPr>
          <w:rStyle w:val="CharSectnoAm"/>
          <w:sz w:val="24"/>
        </w:rPr>
        <w:t>2</w:t>
      </w:r>
      <w:r w:rsidRPr="00207150">
        <w:tab/>
        <w:t>Commencement</w:t>
      </w:r>
    </w:p>
    <w:p w:rsidR="00FC3F61" w:rsidRPr="00B65B5F" w:rsidRDefault="00FC3F61" w:rsidP="00FC3F61">
      <w:pPr>
        <w:pStyle w:val="A2"/>
        <w:ind w:left="567" w:hanging="567"/>
      </w:pPr>
      <w:r w:rsidRPr="00B65B5F">
        <w:tab/>
        <w:t xml:space="preserve">This Determination commences on </w:t>
      </w:r>
      <w:r>
        <w:t>1 </w:t>
      </w:r>
      <w:r w:rsidR="00904F8A">
        <w:t>July </w:t>
      </w:r>
      <w:r>
        <w:t>201</w:t>
      </w:r>
      <w:r w:rsidR="00904F8A">
        <w:t>5</w:t>
      </w:r>
      <w:r w:rsidRPr="00B65B5F">
        <w:t>.</w:t>
      </w:r>
    </w:p>
    <w:p w:rsidR="00FC3F61" w:rsidRPr="00207150" w:rsidRDefault="00FC3F61" w:rsidP="00FC3F61">
      <w:pPr>
        <w:pStyle w:val="A1"/>
        <w:ind w:left="567" w:hanging="567"/>
        <w:rPr>
          <w:i/>
        </w:rPr>
      </w:pPr>
      <w:r w:rsidRPr="00FC3F61">
        <w:rPr>
          <w:rStyle w:val="CharSectnoAm"/>
          <w:sz w:val="24"/>
        </w:rPr>
        <w:t>3</w:t>
      </w:r>
      <w:r w:rsidRPr="00207150">
        <w:tab/>
        <w:t xml:space="preserve">Amendment of </w:t>
      </w:r>
      <w:r w:rsidR="000137BB">
        <w:rPr>
          <w:i/>
        </w:rPr>
        <w:t xml:space="preserve">National Health </w:t>
      </w:r>
      <w:r w:rsidR="000137BB" w:rsidRPr="006613B8">
        <w:rPr>
          <w:i/>
        </w:rPr>
        <w:t xml:space="preserve">(Pharmaceutical </w:t>
      </w:r>
      <w:r w:rsidR="000137BB">
        <w:rPr>
          <w:i/>
        </w:rPr>
        <w:t>benefits s</w:t>
      </w:r>
      <w:r w:rsidR="000137BB" w:rsidRPr="006613B8">
        <w:rPr>
          <w:i/>
        </w:rPr>
        <w:t xml:space="preserve">upplied by </w:t>
      </w:r>
      <w:r w:rsidR="000137BB">
        <w:rPr>
          <w:i/>
        </w:rPr>
        <w:t>private h</w:t>
      </w:r>
      <w:r w:rsidR="000137BB" w:rsidRPr="006613B8">
        <w:rPr>
          <w:i/>
        </w:rPr>
        <w:t>os</w:t>
      </w:r>
      <w:r w:rsidR="000137BB">
        <w:rPr>
          <w:i/>
        </w:rPr>
        <w:t>pitals) Determination 2010</w:t>
      </w:r>
    </w:p>
    <w:p w:rsidR="00FC3F61" w:rsidRPr="000137BB" w:rsidRDefault="00FC3F61" w:rsidP="00FC3F61">
      <w:pPr>
        <w:pStyle w:val="A2"/>
        <w:ind w:left="567" w:hanging="567"/>
        <w:jc w:val="left"/>
      </w:pPr>
      <w:r w:rsidRPr="00B65B5F">
        <w:tab/>
        <w:t xml:space="preserve">Schedule 1 amends the </w:t>
      </w:r>
      <w:r>
        <w:rPr>
          <w:i/>
        </w:rPr>
        <w:t xml:space="preserve">National Health </w:t>
      </w:r>
      <w:r w:rsidR="000137BB" w:rsidRPr="006613B8">
        <w:rPr>
          <w:i/>
        </w:rPr>
        <w:t xml:space="preserve">(Pharmaceutical </w:t>
      </w:r>
      <w:r w:rsidR="000137BB">
        <w:rPr>
          <w:i/>
        </w:rPr>
        <w:t>benefits s</w:t>
      </w:r>
      <w:r w:rsidR="000137BB" w:rsidRPr="006613B8">
        <w:rPr>
          <w:i/>
        </w:rPr>
        <w:t xml:space="preserve">upplied by </w:t>
      </w:r>
      <w:r w:rsidR="000137BB">
        <w:rPr>
          <w:i/>
        </w:rPr>
        <w:t>private h</w:t>
      </w:r>
      <w:r w:rsidR="000137BB" w:rsidRPr="006613B8">
        <w:rPr>
          <w:i/>
        </w:rPr>
        <w:t>os</w:t>
      </w:r>
      <w:r w:rsidR="000137BB">
        <w:rPr>
          <w:i/>
        </w:rPr>
        <w:t>pitals) Determination</w:t>
      </w:r>
      <w:r w:rsidR="000137BB" w:rsidRPr="006613B8">
        <w:rPr>
          <w:i/>
        </w:rPr>
        <w:t xml:space="preserve"> 201</w:t>
      </w:r>
      <w:r w:rsidR="000137BB">
        <w:rPr>
          <w:i/>
        </w:rPr>
        <w:t xml:space="preserve">0 </w:t>
      </w:r>
      <w:r w:rsidR="000137BB">
        <w:t>made on 21 September 2010.</w:t>
      </w:r>
    </w:p>
    <w:p w:rsidR="00FC3F61" w:rsidRPr="00B65B5F" w:rsidRDefault="00FC3F61" w:rsidP="00FC3F61">
      <w:pPr>
        <w:pStyle w:val="MainBodySectionBreak"/>
        <w:sectPr w:rsidR="00FC3F61" w:rsidRPr="00B65B5F" w:rsidSect="00904F8A">
          <w:footerReference w:type="even" r:id="rId12"/>
          <w:pgSz w:w="11907" w:h="16839" w:code="9"/>
          <w:pgMar w:top="1440" w:right="1797" w:bottom="1440" w:left="1797" w:header="709" w:footer="259" w:gutter="0"/>
          <w:cols w:space="708"/>
          <w:docGrid w:linePitch="360"/>
        </w:sectPr>
      </w:pPr>
    </w:p>
    <w:p w:rsidR="000139B6" w:rsidRPr="00B65B5F" w:rsidRDefault="00362FB5" w:rsidP="000137BB">
      <w:pPr>
        <w:pStyle w:val="AS"/>
        <w:keepNext w:val="0"/>
        <w:keepLines w:val="0"/>
        <w:ind w:left="2268" w:hanging="2268"/>
      </w:pPr>
      <w:r>
        <w:rPr>
          <w:rStyle w:val="CharAmSchNo"/>
        </w:rPr>
        <w:lastRenderedPageBreak/>
        <w:br w:type="page"/>
      </w:r>
      <w:r w:rsidR="000139B6" w:rsidRPr="00B65B5F">
        <w:rPr>
          <w:rStyle w:val="CharAmSchNo"/>
        </w:rPr>
        <w:lastRenderedPageBreak/>
        <w:t>Schedule 1</w:t>
      </w:r>
      <w:r w:rsidR="000139B6" w:rsidRPr="00B65B5F">
        <w:tab/>
      </w:r>
      <w:r w:rsidR="000139B6" w:rsidRPr="00B65B5F">
        <w:rPr>
          <w:rStyle w:val="CharAmSchText"/>
        </w:rPr>
        <w:t>Amendments</w:t>
      </w:r>
    </w:p>
    <w:p w:rsidR="00E452BC" w:rsidRPr="00493612" w:rsidRDefault="000139B6" w:rsidP="000137BB">
      <w:pPr>
        <w:pStyle w:val="A1"/>
        <w:keepNext w:val="0"/>
        <w:keepLines w:val="0"/>
        <w:spacing w:before="360"/>
        <w:ind w:left="567" w:hanging="567"/>
        <w:rPr>
          <w:b w:val="0"/>
        </w:rPr>
      </w:pPr>
      <w:r w:rsidRPr="00B65B5F">
        <w:t>[</w:t>
      </w:r>
      <w:r>
        <w:t>1</w:t>
      </w:r>
      <w:r w:rsidR="00B74348">
        <w:t>]</w:t>
      </w:r>
      <w:r w:rsidR="00B74348">
        <w:tab/>
      </w:r>
      <w:r w:rsidR="00E452BC" w:rsidRPr="000139B6">
        <w:t xml:space="preserve">Section </w:t>
      </w:r>
      <w:r w:rsidR="00415DE0">
        <w:t>6</w:t>
      </w:r>
    </w:p>
    <w:p w:rsidR="00415DE0" w:rsidRPr="00493612" w:rsidRDefault="00415DE0" w:rsidP="00415DE0">
      <w:pPr>
        <w:pStyle w:val="R1"/>
        <w:keepLines w:val="0"/>
      </w:pPr>
      <w:r>
        <w:rPr>
          <w:i/>
        </w:rPr>
        <w:tab/>
      </w:r>
      <w:r>
        <w:rPr>
          <w:i/>
        </w:rPr>
        <w:tab/>
      </w:r>
      <w:r w:rsidR="00B65190">
        <w:rPr>
          <w:i/>
        </w:rPr>
        <w:t>O</w:t>
      </w:r>
      <w:r>
        <w:rPr>
          <w:i/>
        </w:rPr>
        <w:t>mit</w:t>
      </w:r>
      <w:r w:rsidR="00B65190">
        <w:rPr>
          <w:i/>
        </w:rPr>
        <w:t xml:space="preserve"> the text after the heading ‘6  Rounding up and rounding down’</w:t>
      </w:r>
    </w:p>
    <w:p w:rsidR="00415DE0" w:rsidRPr="00B74348" w:rsidRDefault="00415DE0" w:rsidP="00415DE0">
      <w:pPr>
        <w:pStyle w:val="R1"/>
        <w:keepLines w:val="0"/>
        <w:rPr>
          <w:i/>
        </w:rPr>
      </w:pPr>
      <w:r w:rsidRPr="00493612">
        <w:tab/>
      </w:r>
      <w:r w:rsidRPr="00493612">
        <w:tab/>
      </w:r>
      <w:r>
        <w:rPr>
          <w:i/>
        </w:rPr>
        <w:t>substitute</w:t>
      </w:r>
    </w:p>
    <w:p w:rsidR="00415DE0" w:rsidRPr="003E13D2" w:rsidRDefault="00415DE0" w:rsidP="003E13D2">
      <w:pPr>
        <w:pStyle w:val="R1"/>
        <w:keepLines w:val="0"/>
        <w:tabs>
          <w:tab w:val="clear" w:pos="794"/>
          <w:tab w:val="right" w:pos="1330"/>
          <w:tab w:val="left" w:pos="1418"/>
        </w:tabs>
        <w:spacing w:before="180"/>
        <w:ind w:left="1316" w:firstLine="0"/>
      </w:pPr>
      <w:r>
        <w:rPr>
          <w:i/>
        </w:rPr>
        <w:tab/>
      </w:r>
      <w:r w:rsidRPr="00415DE0">
        <w:t>If the calculation of a price under this Determination includes a fraction of a cent, the final amount calculated is to then be rounded up or down to the nearest cent, with an amount of 0.5 of a cent or more being rounded up to the next cent.</w:t>
      </w:r>
    </w:p>
    <w:p w:rsidR="00414CDD" w:rsidRPr="000137BB" w:rsidRDefault="00414CDD" w:rsidP="000137BB">
      <w:pPr>
        <w:pStyle w:val="A1"/>
        <w:keepNext w:val="0"/>
        <w:keepLines w:val="0"/>
        <w:spacing w:before="360"/>
        <w:ind w:left="567" w:hanging="567"/>
      </w:pPr>
      <w:r w:rsidRPr="000137BB">
        <w:t>[2]</w:t>
      </w:r>
      <w:r w:rsidRPr="000137BB">
        <w:tab/>
        <w:t xml:space="preserve">Section </w:t>
      </w:r>
      <w:r w:rsidR="00415DE0">
        <w:t>7</w:t>
      </w:r>
    </w:p>
    <w:p w:rsidR="00414CDD" w:rsidRDefault="00414CDD" w:rsidP="00362FB5">
      <w:pPr>
        <w:pStyle w:val="R1"/>
        <w:keepLines w:val="0"/>
        <w:rPr>
          <w:i/>
        </w:rPr>
      </w:pPr>
      <w:r w:rsidRPr="00493612">
        <w:tab/>
      </w:r>
      <w:r w:rsidRPr="00493612">
        <w:tab/>
      </w:r>
      <w:r w:rsidR="00B65190" w:rsidRPr="00B74348">
        <w:rPr>
          <w:i/>
        </w:rPr>
        <w:t>O</w:t>
      </w:r>
      <w:r w:rsidR="00B74348" w:rsidRPr="00B74348">
        <w:rPr>
          <w:i/>
        </w:rPr>
        <w:t>mit</w:t>
      </w:r>
      <w:r w:rsidR="00B65190">
        <w:rPr>
          <w:i/>
        </w:rPr>
        <w:t xml:space="preserve"> the text after the heading ‘7  Dangerous drug fee’</w:t>
      </w:r>
    </w:p>
    <w:p w:rsidR="00415DE0" w:rsidRPr="003E13D2" w:rsidRDefault="00415DE0" w:rsidP="003E13D2">
      <w:pPr>
        <w:pStyle w:val="R2"/>
        <w:rPr>
          <w:i/>
        </w:rPr>
      </w:pPr>
      <w:r>
        <w:tab/>
      </w:r>
      <w:r>
        <w:tab/>
      </w:r>
      <w:r w:rsidRPr="003E13D2">
        <w:rPr>
          <w:i/>
        </w:rPr>
        <w:t>substitute</w:t>
      </w:r>
    </w:p>
    <w:p w:rsidR="00415DE0" w:rsidRPr="003E13D2" w:rsidRDefault="00415DE0" w:rsidP="003E13D2">
      <w:pPr>
        <w:pStyle w:val="R1"/>
        <w:keepLines w:val="0"/>
        <w:tabs>
          <w:tab w:val="clear" w:pos="794"/>
          <w:tab w:val="right" w:pos="1330"/>
          <w:tab w:val="left" w:pos="1418"/>
        </w:tabs>
        <w:spacing w:before="180"/>
        <w:ind w:left="1316" w:firstLine="0"/>
      </w:pPr>
      <w:r w:rsidRPr="00415DE0">
        <w:t>If a pharmaceutical benefit is a dangerous drug, the Commonwealth must pay, in addition to any other amounts under this Determination, a dangerous drug fee where indicated in this Determination.</w:t>
      </w:r>
    </w:p>
    <w:p w:rsidR="00414CDD" w:rsidRPr="00493612" w:rsidRDefault="00414CDD" w:rsidP="003E13D2">
      <w:pPr>
        <w:pStyle w:val="R1"/>
        <w:keepLines w:val="0"/>
        <w:spacing w:before="480"/>
        <w:ind w:left="567" w:hanging="567"/>
        <w:rPr>
          <w:b/>
        </w:rPr>
      </w:pPr>
      <w:bookmarkStart w:id="6" w:name="_Toc272329541"/>
      <w:r w:rsidRPr="000139B6">
        <w:rPr>
          <w:rFonts w:ascii="Arial" w:hAnsi="Arial"/>
          <w:b/>
        </w:rPr>
        <w:t>[</w:t>
      </w:r>
      <w:r w:rsidR="00E452BC" w:rsidRPr="000139B6">
        <w:rPr>
          <w:rFonts w:ascii="Arial" w:hAnsi="Arial"/>
          <w:b/>
        </w:rPr>
        <w:t>3</w:t>
      </w:r>
      <w:r w:rsidRPr="000139B6">
        <w:rPr>
          <w:rFonts w:ascii="Arial" w:hAnsi="Arial"/>
          <w:b/>
        </w:rPr>
        <w:t>]</w:t>
      </w:r>
      <w:r w:rsidRPr="000139B6">
        <w:rPr>
          <w:rFonts w:ascii="Arial" w:hAnsi="Arial"/>
          <w:b/>
        </w:rPr>
        <w:tab/>
      </w:r>
      <w:r w:rsidR="00270462">
        <w:rPr>
          <w:rFonts w:ascii="Arial" w:hAnsi="Arial"/>
          <w:b/>
        </w:rPr>
        <w:t>Subsection 8(1)</w:t>
      </w:r>
    </w:p>
    <w:p w:rsidR="00414CDD" w:rsidRDefault="00414CDD" w:rsidP="00362FB5">
      <w:pPr>
        <w:pStyle w:val="R1"/>
        <w:keepLines w:val="0"/>
        <w:rPr>
          <w:i/>
        </w:rPr>
      </w:pPr>
      <w:r w:rsidRPr="00493612">
        <w:tab/>
      </w:r>
      <w:r w:rsidRPr="00493612">
        <w:tab/>
      </w:r>
      <w:r w:rsidR="00B74348">
        <w:rPr>
          <w:i/>
        </w:rPr>
        <w:t>omit</w:t>
      </w:r>
    </w:p>
    <w:p w:rsidR="00270462" w:rsidRPr="003E13D2" w:rsidRDefault="00270462" w:rsidP="003E13D2">
      <w:pPr>
        <w:pStyle w:val="R2"/>
        <w:rPr>
          <w:i/>
        </w:rPr>
      </w:pPr>
      <w:r>
        <w:tab/>
      </w:r>
      <w:r>
        <w:tab/>
      </w:r>
      <w:r w:rsidRPr="003E13D2">
        <w:rPr>
          <w:i/>
        </w:rPr>
        <w:t>substitute</w:t>
      </w:r>
    </w:p>
    <w:p w:rsidR="00270462" w:rsidRPr="00270462" w:rsidRDefault="00270462" w:rsidP="003E13D2">
      <w:pPr>
        <w:spacing w:before="120" w:line="260" w:lineRule="exact"/>
        <w:ind w:left="2007" w:hanging="567"/>
      </w:pPr>
      <w:r w:rsidRPr="00270462">
        <w:t>(1)</w:t>
      </w:r>
      <w:r w:rsidRPr="00270462">
        <w:tab/>
        <w:t xml:space="preserve">If, under subsection 88 (6) of the Act and regulation 24 of the Regulations, a medical practitioner, instead of directing a repeated supply of a pharmaceutical benefit, directs the supply of a quantity or number of units of the benefit on 1 occasion, not exceeding the total quantity or number of units that could be prescribed if the </w:t>
      </w:r>
      <w:r w:rsidRPr="00C13C2E">
        <w:t>medical practitioner directed</w:t>
      </w:r>
      <w:r w:rsidRPr="00270462">
        <w:t xml:space="preserve"> a repeated supply, the price for the purpose of this Determination for the supply includes:</w:t>
      </w:r>
    </w:p>
    <w:p w:rsidR="00270462" w:rsidRPr="00270462" w:rsidRDefault="00270462" w:rsidP="003E13D2">
      <w:pPr>
        <w:spacing w:before="60" w:line="260" w:lineRule="exact"/>
        <w:ind w:leftChars="235" w:left="564" w:firstLineChars="591" w:firstLine="1418"/>
        <w:jc w:val="both"/>
      </w:pPr>
      <w:r w:rsidRPr="00270462">
        <w:t>(a)</w:t>
      </w:r>
      <w:r w:rsidRPr="00270462">
        <w:tab/>
        <w:t>only 1 dispensing fee, that may be:</w:t>
      </w:r>
    </w:p>
    <w:p w:rsidR="00270462" w:rsidRPr="00270462" w:rsidRDefault="00270462" w:rsidP="003E13D2">
      <w:pPr>
        <w:spacing w:before="60" w:line="260" w:lineRule="exact"/>
        <w:ind w:leftChars="1202" w:left="3612" w:hangingChars="303" w:hanging="727"/>
        <w:jc w:val="both"/>
      </w:pPr>
      <w:r w:rsidRPr="00270462">
        <w:t>(i)</w:t>
      </w:r>
      <w:r w:rsidRPr="00270462">
        <w:tab/>
        <w:t>a ready-prepared dispensing fee; or</w:t>
      </w:r>
    </w:p>
    <w:p w:rsidR="00270462" w:rsidRPr="00270462" w:rsidRDefault="00270462" w:rsidP="003E13D2">
      <w:pPr>
        <w:spacing w:before="60" w:line="260" w:lineRule="exact"/>
        <w:ind w:leftChars="1202" w:left="3612" w:hangingChars="303" w:hanging="727"/>
        <w:jc w:val="both"/>
      </w:pPr>
      <w:r w:rsidRPr="00270462">
        <w:t>(ii)</w:t>
      </w:r>
      <w:r w:rsidRPr="00270462">
        <w:tab/>
        <w:t>an extemporaneously-prepared dispensing fee; and</w:t>
      </w:r>
    </w:p>
    <w:p w:rsidR="00270462" w:rsidRDefault="00270462" w:rsidP="003E13D2">
      <w:pPr>
        <w:spacing w:before="60" w:line="260" w:lineRule="exact"/>
        <w:ind w:leftChars="235" w:left="564" w:firstLineChars="591" w:firstLine="1418"/>
        <w:jc w:val="both"/>
      </w:pPr>
      <w:r w:rsidRPr="00270462">
        <w:t>(b)</w:t>
      </w:r>
      <w:r w:rsidRPr="00270462">
        <w:tab/>
        <w:t xml:space="preserve">the price, if any, of only 1 </w:t>
      </w:r>
      <w:r w:rsidR="00092AB8">
        <w:t>container; and</w:t>
      </w:r>
    </w:p>
    <w:p w:rsidR="00092AB8" w:rsidRPr="00092AB8" w:rsidRDefault="00092AB8" w:rsidP="003E13D2">
      <w:pPr>
        <w:spacing w:before="60" w:line="260" w:lineRule="exact"/>
        <w:ind w:leftChars="235" w:left="564" w:firstLineChars="591" w:firstLine="1418"/>
        <w:jc w:val="both"/>
      </w:pPr>
      <w:r w:rsidRPr="00092AB8">
        <w:t>(c)</w:t>
      </w:r>
      <w:r w:rsidRPr="00092AB8">
        <w:tab/>
      </w:r>
      <w:r w:rsidRPr="003E13D2">
        <w:rPr>
          <w:rFonts w:eastAsia="Calibri"/>
          <w:lang w:eastAsia="en-US"/>
        </w:rPr>
        <w:t>if a dangerous drug fee applies, only one such fee.</w:t>
      </w:r>
    </w:p>
    <w:p w:rsidR="00270462" w:rsidRPr="00092AB8" w:rsidRDefault="00270462" w:rsidP="003E13D2">
      <w:pPr>
        <w:pStyle w:val="R1"/>
        <w:keepLines w:val="0"/>
        <w:tabs>
          <w:tab w:val="clear" w:pos="794"/>
          <w:tab w:val="right" w:pos="1330"/>
          <w:tab w:val="left" w:pos="1418"/>
        </w:tabs>
        <w:spacing w:before="180"/>
        <w:ind w:left="2189" w:firstLine="0"/>
      </w:pPr>
    </w:p>
    <w:p w:rsidR="00E452BC" w:rsidRPr="000139B6" w:rsidRDefault="00E452BC" w:rsidP="003E13D2">
      <w:pPr>
        <w:keepNext/>
        <w:spacing w:before="360" w:line="260" w:lineRule="exact"/>
        <w:ind w:left="567" w:hanging="567"/>
        <w:rPr>
          <w:rFonts w:ascii="Arial" w:hAnsi="Arial"/>
          <w:b/>
        </w:rPr>
      </w:pPr>
      <w:r w:rsidRPr="000139B6">
        <w:rPr>
          <w:rFonts w:ascii="Arial" w:hAnsi="Arial"/>
          <w:b/>
        </w:rPr>
        <w:lastRenderedPageBreak/>
        <w:t>[4]</w:t>
      </w:r>
      <w:r w:rsidRPr="000139B6">
        <w:rPr>
          <w:rFonts w:ascii="Arial" w:hAnsi="Arial"/>
          <w:b/>
        </w:rPr>
        <w:tab/>
        <w:t xml:space="preserve">Section </w:t>
      </w:r>
      <w:r w:rsidR="00092AB8">
        <w:rPr>
          <w:rFonts w:ascii="Arial" w:hAnsi="Arial"/>
          <w:b/>
        </w:rPr>
        <w:t>11</w:t>
      </w:r>
    </w:p>
    <w:p w:rsidR="00E452BC" w:rsidRPr="00493612" w:rsidRDefault="00E452BC" w:rsidP="003E13D2">
      <w:pPr>
        <w:pStyle w:val="R1"/>
        <w:keepNext/>
        <w:keepLines w:val="0"/>
      </w:pPr>
      <w:r w:rsidRPr="00493612">
        <w:tab/>
      </w:r>
      <w:r w:rsidRPr="00493612">
        <w:tab/>
      </w:r>
      <w:r w:rsidR="00B65190">
        <w:rPr>
          <w:i/>
        </w:rPr>
        <w:t>O</w:t>
      </w:r>
      <w:r w:rsidR="00B74348">
        <w:rPr>
          <w:i/>
        </w:rPr>
        <w:t>mit</w:t>
      </w:r>
      <w:r w:rsidR="00B65190">
        <w:rPr>
          <w:i/>
        </w:rPr>
        <w:t xml:space="preserve"> the text after the heading </w:t>
      </w:r>
      <w:r w:rsidR="009270F3">
        <w:rPr>
          <w:i/>
        </w:rPr>
        <w:t>‘</w:t>
      </w:r>
      <w:r w:rsidR="00B65190">
        <w:rPr>
          <w:i/>
        </w:rPr>
        <w:t>11  Dispensed price’</w:t>
      </w:r>
    </w:p>
    <w:p w:rsidR="00E452BC" w:rsidRDefault="00E452BC" w:rsidP="003E13D2">
      <w:pPr>
        <w:pStyle w:val="R1"/>
        <w:keepNext/>
        <w:keepLines w:val="0"/>
        <w:rPr>
          <w:i/>
        </w:rPr>
      </w:pPr>
      <w:r w:rsidRPr="00493612">
        <w:tab/>
      </w:r>
      <w:r w:rsidRPr="00493612">
        <w:tab/>
      </w:r>
      <w:r w:rsidR="001E039E" w:rsidRPr="003E13D2">
        <w:rPr>
          <w:i/>
        </w:rPr>
        <w:t>substitute</w:t>
      </w:r>
    </w:p>
    <w:p w:rsidR="001E039E" w:rsidRPr="001E039E" w:rsidRDefault="001E039E" w:rsidP="003E13D2">
      <w:pPr>
        <w:keepNext/>
        <w:keepLines/>
        <w:spacing w:before="120" w:line="260" w:lineRule="exact"/>
        <w:ind w:left="2007" w:hanging="567"/>
      </w:pPr>
      <w:r w:rsidRPr="001E039E">
        <w:t>(1)</w:t>
      </w:r>
      <w:r w:rsidRPr="001E039E">
        <w:tab/>
        <w:t>The dispensed price for the supply of a ready-prepared pharmaceutical benefit by an approved hospital authority to a patient receiving treatment in or at a private hospital for which the authority is approved is:</w:t>
      </w:r>
    </w:p>
    <w:p w:rsidR="001E039E" w:rsidRPr="001E039E" w:rsidRDefault="001E039E" w:rsidP="003E13D2">
      <w:pPr>
        <w:tabs>
          <w:tab w:val="right" w:pos="2520"/>
        </w:tabs>
        <w:spacing w:before="60" w:line="260" w:lineRule="exact"/>
        <w:ind w:left="2574" w:hanging="567"/>
      </w:pPr>
      <w:r w:rsidRPr="001E039E">
        <w:t>(a)</w:t>
      </w:r>
      <w:r w:rsidRPr="001E039E">
        <w:tab/>
      </w:r>
      <w:r w:rsidRPr="001E039E">
        <w:tab/>
        <w:t>if a quantity of the benefit that is ordered and supplied is equal to a multiple of a pack quantity of the benefit — the sum of:</w:t>
      </w:r>
    </w:p>
    <w:p w:rsidR="001E039E" w:rsidRPr="001E039E" w:rsidRDefault="001E039E" w:rsidP="003E13D2">
      <w:pPr>
        <w:spacing w:before="60" w:line="260" w:lineRule="exact"/>
        <w:ind w:left="3141" w:hanging="567"/>
      </w:pPr>
      <w:r w:rsidRPr="001E039E">
        <w:t>(i)</w:t>
      </w:r>
      <w:r w:rsidRPr="001E039E">
        <w:tab/>
        <w:t>for each pack quantity:</w:t>
      </w:r>
    </w:p>
    <w:p w:rsidR="001E039E" w:rsidRPr="001E039E" w:rsidRDefault="001E039E" w:rsidP="003E13D2">
      <w:pPr>
        <w:tabs>
          <w:tab w:val="left" w:pos="2835"/>
        </w:tabs>
        <w:spacing w:before="60" w:line="260" w:lineRule="exact"/>
        <w:ind w:left="3708" w:hanging="567"/>
        <w:rPr>
          <w:sz w:val="23"/>
          <w:szCs w:val="23"/>
        </w:rPr>
      </w:pPr>
      <w:r w:rsidRPr="001E039E">
        <w:t>(A)</w:t>
      </w:r>
      <w:r w:rsidRPr="001E039E">
        <w:tab/>
      </w:r>
      <w:r w:rsidRPr="001E039E">
        <w:rPr>
          <w:sz w:val="23"/>
          <w:szCs w:val="23"/>
        </w:rPr>
        <w:t xml:space="preserve">the approved </w:t>
      </w:r>
      <w:r w:rsidRPr="001E039E">
        <w:t>ex-manufacturer price or the proportional ex-manufacturer price</w:t>
      </w:r>
      <w:r w:rsidRPr="001E039E">
        <w:rPr>
          <w:sz w:val="23"/>
          <w:szCs w:val="23"/>
        </w:rPr>
        <w:t xml:space="preserve"> for the pack quantity; and</w:t>
      </w:r>
    </w:p>
    <w:p w:rsidR="001E039E" w:rsidRPr="001E039E" w:rsidRDefault="001E039E" w:rsidP="003E13D2">
      <w:pPr>
        <w:tabs>
          <w:tab w:val="left" w:pos="2835"/>
        </w:tabs>
        <w:spacing w:before="60" w:line="260" w:lineRule="exact"/>
        <w:ind w:left="3708" w:hanging="567"/>
      </w:pPr>
      <w:r w:rsidRPr="001E039E">
        <w:t>(B)</w:t>
      </w:r>
      <w:r w:rsidRPr="001E039E">
        <w:tab/>
        <w:t>the storage and handling mark-up; and</w:t>
      </w:r>
    </w:p>
    <w:p w:rsidR="001E039E" w:rsidRPr="001E039E" w:rsidRDefault="001E039E" w:rsidP="003E13D2">
      <w:pPr>
        <w:tabs>
          <w:tab w:val="left" w:pos="2835"/>
        </w:tabs>
        <w:spacing w:before="60" w:line="260" w:lineRule="exact"/>
        <w:ind w:left="3708" w:hanging="567"/>
      </w:pPr>
      <w:r w:rsidRPr="001E039E">
        <w:t>(C)</w:t>
      </w:r>
      <w:r w:rsidRPr="001E039E">
        <w:tab/>
        <w:t>the mark-up, worked out under section 12; and</w:t>
      </w:r>
    </w:p>
    <w:p w:rsidR="001E039E" w:rsidRDefault="001E039E" w:rsidP="003E13D2">
      <w:pPr>
        <w:spacing w:before="60" w:line="260" w:lineRule="exact"/>
        <w:ind w:left="3141" w:hanging="567"/>
      </w:pPr>
      <w:r w:rsidRPr="001E039E">
        <w:t>(ii)</w:t>
      </w:r>
      <w:r w:rsidRPr="001E039E">
        <w:tab/>
        <w:t xml:space="preserve">a ready-prepared dispensing fee; </w:t>
      </w:r>
      <w:r>
        <w:t>and</w:t>
      </w:r>
    </w:p>
    <w:p w:rsidR="001E039E" w:rsidRPr="001E039E" w:rsidRDefault="001E039E" w:rsidP="003E13D2">
      <w:pPr>
        <w:spacing w:before="60" w:line="260" w:lineRule="exact"/>
        <w:ind w:left="3141" w:hanging="567"/>
      </w:pPr>
      <w:r>
        <w:t>(iii)</w:t>
      </w:r>
      <w:r>
        <w:tab/>
      </w:r>
      <w:r w:rsidRPr="001E039E">
        <w:t>if a dangerous drug fee applies, the dangerous drug fee;</w:t>
      </w:r>
      <w:r>
        <w:t xml:space="preserve"> </w:t>
      </w:r>
      <w:r w:rsidRPr="001E039E">
        <w:t>or</w:t>
      </w:r>
    </w:p>
    <w:p w:rsidR="001E039E" w:rsidRPr="001E039E" w:rsidRDefault="001E039E" w:rsidP="003E13D2">
      <w:pPr>
        <w:tabs>
          <w:tab w:val="right" w:pos="2520"/>
        </w:tabs>
        <w:spacing w:before="60" w:line="260" w:lineRule="exact"/>
        <w:ind w:left="2574" w:hanging="567"/>
      </w:pPr>
      <w:r w:rsidRPr="001E039E">
        <w:t>(b)</w:t>
      </w:r>
      <w:r w:rsidRPr="001E039E">
        <w:tab/>
      </w:r>
      <w:r>
        <w:tab/>
      </w:r>
      <w:r w:rsidRPr="001E039E">
        <w:t>if a quantity of the benefit that is ordered and supplied is less than a pack quantity of the benefit — the sum of:</w:t>
      </w:r>
    </w:p>
    <w:p w:rsidR="001E039E" w:rsidRPr="001E039E" w:rsidRDefault="001E039E" w:rsidP="003E13D2">
      <w:pPr>
        <w:spacing w:before="60" w:line="260" w:lineRule="exact"/>
        <w:ind w:left="3141" w:hanging="567"/>
      </w:pPr>
      <w:r w:rsidRPr="001E039E">
        <w:t>(i)</w:t>
      </w:r>
      <w:r w:rsidRPr="001E039E">
        <w:tab/>
        <w:t>the amount worked out under section 14; and</w:t>
      </w:r>
    </w:p>
    <w:p w:rsidR="001E039E" w:rsidRDefault="001E039E" w:rsidP="003E13D2">
      <w:pPr>
        <w:spacing w:before="60" w:line="260" w:lineRule="exact"/>
        <w:ind w:left="3141" w:hanging="567"/>
      </w:pPr>
      <w:r w:rsidRPr="001E039E">
        <w:t>(ii)</w:t>
      </w:r>
      <w:r w:rsidRPr="001E039E">
        <w:tab/>
        <w:t>a ready-prepared dispensing fee; and</w:t>
      </w:r>
    </w:p>
    <w:p w:rsidR="001E039E" w:rsidRPr="001E039E" w:rsidRDefault="001E039E" w:rsidP="003E13D2">
      <w:pPr>
        <w:spacing w:before="60" w:line="260" w:lineRule="exact"/>
        <w:ind w:left="3141" w:hanging="567"/>
      </w:pPr>
      <w:r>
        <w:t>(iii)</w:t>
      </w:r>
      <w:r>
        <w:tab/>
      </w:r>
      <w:r w:rsidRPr="001E039E">
        <w:t>if a dangerous drug fee applies, the dangerous drug fee;</w:t>
      </w:r>
      <w:r>
        <w:t xml:space="preserve"> and</w:t>
      </w:r>
    </w:p>
    <w:p w:rsidR="001E039E" w:rsidRPr="001E039E" w:rsidRDefault="001E039E" w:rsidP="003E13D2">
      <w:pPr>
        <w:spacing w:before="60" w:line="260" w:lineRule="exact"/>
        <w:ind w:left="3141" w:hanging="567"/>
      </w:pPr>
      <w:r w:rsidRPr="001E039E">
        <w:t>(i</w:t>
      </w:r>
      <w:r>
        <w:t>v</w:t>
      </w:r>
      <w:r w:rsidRPr="001E039E">
        <w:t>)</w:t>
      </w:r>
      <w:r w:rsidRPr="001E039E">
        <w:tab/>
        <w:t>an amount for the supply of a container, worked out under section 13; or</w:t>
      </w:r>
    </w:p>
    <w:p w:rsidR="001E039E" w:rsidRPr="001E039E" w:rsidRDefault="001E039E" w:rsidP="003E13D2">
      <w:pPr>
        <w:tabs>
          <w:tab w:val="right" w:pos="2520"/>
        </w:tabs>
        <w:spacing w:before="60" w:line="260" w:lineRule="exact"/>
        <w:ind w:left="2574" w:hanging="567"/>
      </w:pPr>
      <w:r w:rsidRPr="001E039E">
        <w:t>(c)</w:t>
      </w:r>
      <w:r>
        <w:tab/>
      </w:r>
      <w:r w:rsidRPr="001E039E">
        <w:tab/>
        <w:t>if a quantity of the benefit that is ordered and supplied is more than a multiple of a pack quantity of the benefit— the sum of:</w:t>
      </w:r>
    </w:p>
    <w:p w:rsidR="001E039E" w:rsidRPr="001E039E" w:rsidRDefault="001E039E" w:rsidP="003E13D2">
      <w:pPr>
        <w:spacing w:before="60" w:line="260" w:lineRule="exact"/>
        <w:ind w:left="3141" w:hanging="567"/>
      </w:pPr>
      <w:r w:rsidRPr="001E039E">
        <w:t>(i)</w:t>
      </w:r>
      <w:r w:rsidRPr="001E039E">
        <w:tab/>
        <w:t>for each pack quantity:</w:t>
      </w:r>
    </w:p>
    <w:p w:rsidR="001E039E" w:rsidRPr="001E039E" w:rsidRDefault="001E039E" w:rsidP="003E13D2">
      <w:pPr>
        <w:tabs>
          <w:tab w:val="left" w:pos="2835"/>
        </w:tabs>
        <w:spacing w:before="60" w:line="260" w:lineRule="exact"/>
        <w:ind w:left="3708" w:hanging="567"/>
      </w:pPr>
      <w:r w:rsidRPr="001E039E">
        <w:t>(A)</w:t>
      </w:r>
      <w:r w:rsidRPr="001E039E">
        <w:tab/>
        <w:t>the approved ex-manufacturer price or the proportional ex-manufacturer price for the pack quantity; and</w:t>
      </w:r>
    </w:p>
    <w:p w:rsidR="001E039E" w:rsidRPr="001E039E" w:rsidRDefault="001E039E" w:rsidP="003E13D2">
      <w:pPr>
        <w:tabs>
          <w:tab w:val="left" w:pos="2835"/>
        </w:tabs>
        <w:spacing w:before="60" w:line="260" w:lineRule="exact"/>
        <w:ind w:left="3708" w:hanging="567"/>
      </w:pPr>
      <w:r w:rsidRPr="001E039E">
        <w:t>(B)</w:t>
      </w:r>
      <w:r w:rsidRPr="001E039E">
        <w:tab/>
        <w:t>the storage and handling mark-up; and</w:t>
      </w:r>
    </w:p>
    <w:p w:rsidR="001E039E" w:rsidRPr="001E039E" w:rsidRDefault="001E039E" w:rsidP="003E13D2">
      <w:pPr>
        <w:tabs>
          <w:tab w:val="left" w:pos="2835"/>
        </w:tabs>
        <w:spacing w:before="60" w:line="260" w:lineRule="exact"/>
        <w:ind w:left="3708" w:hanging="567"/>
      </w:pPr>
      <w:r w:rsidRPr="001E039E">
        <w:t>(C)</w:t>
      </w:r>
      <w:r w:rsidRPr="001E039E">
        <w:tab/>
        <w:t>the mark-up worked out under section 12; and</w:t>
      </w:r>
    </w:p>
    <w:p w:rsidR="001E039E" w:rsidRPr="001E039E" w:rsidRDefault="001E039E" w:rsidP="003E13D2">
      <w:pPr>
        <w:spacing w:before="60" w:line="260" w:lineRule="exact"/>
        <w:ind w:left="3141" w:hanging="567"/>
      </w:pPr>
      <w:r w:rsidRPr="001E039E">
        <w:t>(ii)</w:t>
      </w:r>
      <w:r w:rsidRPr="001E039E">
        <w:tab/>
        <w:t>for the remainder of the quantity that is less than a pack quantity— the amount worked out under section 14; and</w:t>
      </w:r>
    </w:p>
    <w:p w:rsidR="001E039E" w:rsidRDefault="001E039E" w:rsidP="003E13D2">
      <w:pPr>
        <w:spacing w:before="60" w:line="260" w:lineRule="exact"/>
        <w:ind w:left="3141" w:hanging="567"/>
      </w:pPr>
      <w:r w:rsidRPr="001E039E">
        <w:t>(iii)</w:t>
      </w:r>
      <w:r w:rsidRPr="001E039E">
        <w:tab/>
        <w:t>a ready-prepared dispensing fee</w:t>
      </w:r>
      <w:r>
        <w:t>; and</w:t>
      </w:r>
    </w:p>
    <w:p w:rsidR="001E039E" w:rsidRDefault="001E039E" w:rsidP="003E13D2">
      <w:pPr>
        <w:spacing w:before="60" w:line="260" w:lineRule="exact"/>
        <w:ind w:left="3141" w:hanging="567"/>
      </w:pPr>
      <w:r>
        <w:t>(iv)</w:t>
      </w:r>
      <w:r>
        <w:tab/>
      </w:r>
      <w:r w:rsidRPr="003E13D2">
        <w:t xml:space="preserve">if a dangerous drug </w:t>
      </w:r>
      <w:r w:rsidR="00B035FA">
        <w:t xml:space="preserve">fee </w:t>
      </w:r>
      <w:r w:rsidRPr="003E13D2">
        <w:t>applies, the dangerous drug fee</w:t>
      </w:r>
      <w:r w:rsidRPr="001E039E">
        <w:t>.</w:t>
      </w:r>
    </w:p>
    <w:p w:rsidR="001E039E" w:rsidRPr="001E039E" w:rsidRDefault="001E039E" w:rsidP="003E13D2">
      <w:pPr>
        <w:keepNext/>
        <w:keepLines/>
        <w:spacing w:before="120" w:line="260" w:lineRule="exact"/>
        <w:ind w:left="2007" w:hanging="567"/>
      </w:pPr>
      <w:r w:rsidRPr="001E039E">
        <w:lastRenderedPageBreak/>
        <w:t>(2)</w:t>
      </w:r>
      <w:r w:rsidRPr="001E039E">
        <w:tab/>
        <w:t>However, for a ready-prepared pharmaceutical benefit that comprises</w:t>
      </w:r>
      <w:r w:rsidRPr="001E039E">
        <w:rPr>
          <w:b/>
        </w:rPr>
        <w:t xml:space="preserve"> </w:t>
      </w:r>
      <w:r w:rsidRPr="001E039E">
        <w:t xml:space="preserve">the admixture of ready-prepared ingredients and is specified in Schedule 1 to the </w:t>
      </w:r>
      <w:r w:rsidRPr="001E039E">
        <w:rPr>
          <w:i/>
        </w:rPr>
        <w:t>Determination under paragraph 98C (1) (b) of the National Health Act 1953</w:t>
      </w:r>
      <w:r w:rsidRPr="001E039E">
        <w:t>:</w:t>
      </w:r>
    </w:p>
    <w:p w:rsidR="001E039E" w:rsidRPr="001E039E" w:rsidRDefault="001E039E" w:rsidP="003E13D2">
      <w:pPr>
        <w:tabs>
          <w:tab w:val="right" w:pos="2520"/>
        </w:tabs>
        <w:spacing w:before="60" w:line="260" w:lineRule="exact"/>
        <w:ind w:left="2574" w:hanging="567"/>
      </w:pPr>
      <w:r w:rsidRPr="001E039E">
        <w:t>(a)</w:t>
      </w:r>
      <w:r>
        <w:tab/>
      </w:r>
      <w:r w:rsidRPr="001E039E">
        <w:tab/>
        <w:t>the ready-prepared dispensing fee does not apply; and</w:t>
      </w:r>
    </w:p>
    <w:p w:rsidR="001E039E" w:rsidRPr="001E039E" w:rsidRDefault="001E039E" w:rsidP="003E13D2">
      <w:pPr>
        <w:tabs>
          <w:tab w:val="right" w:pos="2520"/>
        </w:tabs>
        <w:spacing w:before="60" w:line="260" w:lineRule="exact"/>
        <w:ind w:left="2574" w:hanging="567"/>
      </w:pPr>
      <w:r w:rsidRPr="001E039E">
        <w:t>(b)</w:t>
      </w:r>
      <w:r>
        <w:tab/>
      </w:r>
      <w:r w:rsidRPr="001E039E">
        <w:tab/>
        <w:t>an extemporaneously-prepared dispensing fee must be paid by the Commonwealth; and</w:t>
      </w:r>
    </w:p>
    <w:p w:rsidR="001E039E" w:rsidRPr="001E039E" w:rsidRDefault="001E039E" w:rsidP="003E13D2">
      <w:pPr>
        <w:tabs>
          <w:tab w:val="right" w:pos="2520"/>
        </w:tabs>
        <w:spacing w:before="60" w:line="260" w:lineRule="exact"/>
        <w:ind w:left="2574" w:hanging="567"/>
      </w:pPr>
      <w:r w:rsidRPr="001E039E">
        <w:t>(c)</w:t>
      </w:r>
      <w:r w:rsidRPr="001E039E">
        <w:tab/>
      </w:r>
      <w:r>
        <w:tab/>
      </w:r>
      <w:r w:rsidRPr="001E039E">
        <w:t>no amount for the sup</w:t>
      </w:r>
      <w:r>
        <w:t>ply of the container is payable; and</w:t>
      </w:r>
    </w:p>
    <w:p w:rsidR="001E039E" w:rsidRPr="003E13D2" w:rsidRDefault="001E039E" w:rsidP="003E13D2">
      <w:pPr>
        <w:tabs>
          <w:tab w:val="right" w:pos="2520"/>
        </w:tabs>
        <w:spacing w:before="60" w:line="260" w:lineRule="exact"/>
        <w:ind w:left="2574" w:hanging="567"/>
      </w:pPr>
      <w:r w:rsidRPr="001E039E">
        <w:t>(d)</w:t>
      </w:r>
      <w:r>
        <w:tab/>
      </w:r>
      <w:r w:rsidRPr="001E039E">
        <w:tab/>
      </w:r>
      <w:r w:rsidR="00B035FA" w:rsidRPr="00257663">
        <w:t xml:space="preserve">if a dangerous drug </w:t>
      </w:r>
      <w:r w:rsidR="00B035FA">
        <w:t xml:space="preserve">fee </w:t>
      </w:r>
      <w:r w:rsidR="00B035FA" w:rsidRPr="00257663">
        <w:t>applies, the dangerous drug fee</w:t>
      </w:r>
      <w:r w:rsidR="00B035FA">
        <w:t>.</w:t>
      </w:r>
    </w:p>
    <w:p w:rsidR="005B5571" w:rsidRPr="000139B6" w:rsidRDefault="005B5571" w:rsidP="005B5571">
      <w:pPr>
        <w:spacing w:before="360" w:line="260" w:lineRule="exact"/>
        <w:ind w:left="567" w:hanging="567"/>
        <w:rPr>
          <w:rFonts w:ascii="Arial" w:hAnsi="Arial"/>
          <w:b/>
        </w:rPr>
      </w:pPr>
      <w:r w:rsidRPr="000139B6">
        <w:rPr>
          <w:rFonts w:ascii="Arial" w:hAnsi="Arial"/>
          <w:b/>
        </w:rPr>
        <w:t>[</w:t>
      </w:r>
      <w:r>
        <w:rPr>
          <w:rFonts w:ascii="Arial" w:hAnsi="Arial"/>
          <w:b/>
        </w:rPr>
        <w:t>5</w:t>
      </w:r>
      <w:r w:rsidRPr="000139B6">
        <w:rPr>
          <w:rFonts w:ascii="Arial" w:hAnsi="Arial"/>
          <w:b/>
        </w:rPr>
        <w:t>]</w:t>
      </w:r>
      <w:r w:rsidRPr="000139B6">
        <w:rPr>
          <w:rFonts w:ascii="Arial" w:hAnsi="Arial"/>
          <w:b/>
        </w:rPr>
        <w:tab/>
        <w:t>S</w:t>
      </w:r>
      <w:r>
        <w:rPr>
          <w:rFonts w:ascii="Arial" w:hAnsi="Arial"/>
          <w:b/>
        </w:rPr>
        <w:t>ubs</w:t>
      </w:r>
      <w:r w:rsidRPr="000139B6">
        <w:rPr>
          <w:rFonts w:ascii="Arial" w:hAnsi="Arial"/>
          <w:b/>
        </w:rPr>
        <w:t xml:space="preserve">ection </w:t>
      </w:r>
      <w:r>
        <w:rPr>
          <w:rFonts w:ascii="Arial" w:hAnsi="Arial"/>
          <w:b/>
        </w:rPr>
        <w:t>13(3)</w:t>
      </w:r>
    </w:p>
    <w:p w:rsidR="005B5571" w:rsidRDefault="005B5571" w:rsidP="005B5571">
      <w:pPr>
        <w:pStyle w:val="R1"/>
        <w:keepNext/>
        <w:keepLines w:val="0"/>
        <w:rPr>
          <w:i/>
        </w:rPr>
      </w:pPr>
      <w:r w:rsidRPr="00493612">
        <w:tab/>
      </w:r>
      <w:r>
        <w:tab/>
      </w:r>
      <w:r>
        <w:rPr>
          <w:i/>
        </w:rPr>
        <w:t>omit</w:t>
      </w:r>
    </w:p>
    <w:p w:rsidR="005B5571" w:rsidRPr="005B5571" w:rsidRDefault="005B5571" w:rsidP="003E13D2">
      <w:pPr>
        <w:pStyle w:val="R2"/>
        <w:tabs>
          <w:tab w:val="left" w:pos="1276"/>
        </w:tabs>
      </w:pPr>
      <w:r>
        <w:tab/>
      </w:r>
      <w:r>
        <w:tab/>
      </w:r>
      <w:r>
        <w:tab/>
        <w:t>1 May</w:t>
      </w:r>
    </w:p>
    <w:p w:rsidR="005B5571" w:rsidRDefault="005B5571" w:rsidP="003E13D2">
      <w:pPr>
        <w:pStyle w:val="R1"/>
        <w:keepNext/>
        <w:keepLines w:val="0"/>
        <w:rPr>
          <w:i/>
        </w:rPr>
      </w:pPr>
      <w:r w:rsidRPr="00493612">
        <w:tab/>
      </w:r>
      <w:r w:rsidRPr="00493612">
        <w:tab/>
      </w:r>
      <w:r>
        <w:rPr>
          <w:i/>
        </w:rPr>
        <w:t>insert</w:t>
      </w:r>
    </w:p>
    <w:p w:rsidR="005B5571" w:rsidRPr="003E13D2" w:rsidRDefault="005B5571" w:rsidP="003E13D2">
      <w:pPr>
        <w:pStyle w:val="R2"/>
        <w:tabs>
          <w:tab w:val="left" w:pos="1276"/>
        </w:tabs>
      </w:pPr>
      <w:r>
        <w:tab/>
      </w:r>
      <w:r>
        <w:tab/>
      </w:r>
      <w:r>
        <w:tab/>
        <w:t>15 June</w:t>
      </w:r>
    </w:p>
    <w:p w:rsidR="005B5571" w:rsidRPr="000139B6" w:rsidRDefault="00077553" w:rsidP="005B5571">
      <w:pPr>
        <w:spacing w:before="360" w:line="260" w:lineRule="exact"/>
        <w:ind w:left="567" w:hanging="567"/>
        <w:rPr>
          <w:rFonts w:ascii="Arial" w:hAnsi="Arial"/>
          <w:b/>
        </w:rPr>
      </w:pPr>
      <w:r w:rsidRPr="000139B6">
        <w:rPr>
          <w:rFonts w:ascii="Arial" w:hAnsi="Arial"/>
          <w:b/>
        </w:rPr>
        <w:t>[</w:t>
      </w:r>
      <w:r w:rsidR="005B5571">
        <w:rPr>
          <w:rFonts w:ascii="Arial" w:hAnsi="Arial"/>
          <w:b/>
        </w:rPr>
        <w:t>6</w:t>
      </w:r>
      <w:r w:rsidRPr="000139B6">
        <w:rPr>
          <w:rFonts w:ascii="Arial" w:hAnsi="Arial"/>
          <w:b/>
        </w:rPr>
        <w:t>]</w:t>
      </w:r>
      <w:r w:rsidRPr="000139B6">
        <w:rPr>
          <w:rFonts w:ascii="Arial" w:hAnsi="Arial"/>
          <w:b/>
        </w:rPr>
        <w:tab/>
      </w:r>
      <w:r w:rsidR="005B5571" w:rsidRPr="000139B6">
        <w:rPr>
          <w:rFonts w:ascii="Arial" w:hAnsi="Arial"/>
          <w:b/>
        </w:rPr>
        <w:t xml:space="preserve">Section 14, Step 1 </w:t>
      </w:r>
    </w:p>
    <w:p w:rsidR="005B5571" w:rsidRPr="00B74348" w:rsidRDefault="005B5571" w:rsidP="005B5571">
      <w:pPr>
        <w:pStyle w:val="R1"/>
        <w:keepLines w:val="0"/>
        <w:rPr>
          <w:i/>
        </w:rPr>
      </w:pPr>
      <w:r w:rsidRPr="00493612">
        <w:tab/>
      </w:r>
      <w:r w:rsidRPr="00493612">
        <w:tab/>
      </w:r>
      <w:r w:rsidRPr="00B74348">
        <w:rPr>
          <w:i/>
        </w:rPr>
        <w:t>omit</w:t>
      </w:r>
    </w:p>
    <w:p w:rsidR="005B5571" w:rsidRPr="00493612" w:rsidRDefault="005B5571" w:rsidP="005B5571">
      <w:pPr>
        <w:pStyle w:val="R2"/>
        <w:keepLines w:val="0"/>
      </w:pPr>
      <w:r w:rsidRPr="00493612">
        <w:tab/>
      </w:r>
      <w:r w:rsidRPr="00493612">
        <w:tab/>
      </w:r>
      <w:r w:rsidRPr="00B74348">
        <w:rPr>
          <w:i/>
        </w:rPr>
        <w:t>substitute</w:t>
      </w:r>
    </w:p>
    <w:p w:rsidR="005B5571" w:rsidRPr="00493612" w:rsidRDefault="005B5571" w:rsidP="005B5571">
      <w:pPr>
        <w:pStyle w:val="R2"/>
        <w:keepLines w:val="0"/>
        <w:spacing w:before="120"/>
        <w:ind w:left="1321" w:hanging="6"/>
        <w:jc w:val="left"/>
      </w:pPr>
      <w:r w:rsidRPr="009A58A6">
        <w:rPr>
          <w:i/>
        </w:rPr>
        <w:t>Step</w:t>
      </w:r>
      <w:r w:rsidRPr="00493612">
        <w:rPr>
          <w:i/>
        </w:rPr>
        <w:t xml:space="preserve"> 1</w:t>
      </w:r>
      <w:r w:rsidRPr="00493612">
        <w:rPr>
          <w:i/>
        </w:rPr>
        <w:tab/>
      </w:r>
      <w:r w:rsidRPr="00493612">
        <w:t>Add together, for a pack quantity:</w:t>
      </w:r>
    </w:p>
    <w:p w:rsidR="005B5571" w:rsidRDefault="005B5571" w:rsidP="005B5571">
      <w:pPr>
        <w:pStyle w:val="P1"/>
        <w:keepLines w:val="0"/>
        <w:ind w:left="2640" w:hanging="480"/>
        <w:jc w:val="left"/>
      </w:pPr>
      <w:r w:rsidRPr="00493612">
        <w:t>(a)</w:t>
      </w:r>
      <w:r w:rsidRPr="00493612">
        <w:tab/>
        <w:t xml:space="preserve">the </w:t>
      </w:r>
      <w:r w:rsidRPr="00493612">
        <w:rPr>
          <w:sz w:val="23"/>
          <w:szCs w:val="23"/>
        </w:rPr>
        <w:t xml:space="preserve">approved </w:t>
      </w:r>
      <w:r w:rsidRPr="00493612">
        <w:t>ex-manufacturer price or the proportional ex-manufacturer price</w:t>
      </w:r>
      <w:r w:rsidRPr="00493612">
        <w:rPr>
          <w:sz w:val="23"/>
          <w:szCs w:val="23"/>
        </w:rPr>
        <w:t xml:space="preserve"> for the pack quantity</w:t>
      </w:r>
      <w:r w:rsidRPr="00493612">
        <w:t>; and</w:t>
      </w:r>
    </w:p>
    <w:p w:rsidR="005B5571" w:rsidRPr="00AD13D8" w:rsidRDefault="005B5571" w:rsidP="005B5571">
      <w:pPr>
        <w:pStyle w:val="P1"/>
        <w:keepLines w:val="0"/>
        <w:ind w:left="2640" w:hanging="480"/>
        <w:jc w:val="left"/>
        <w:rPr>
          <w:sz w:val="23"/>
          <w:szCs w:val="23"/>
        </w:rPr>
      </w:pPr>
      <w:r w:rsidRPr="00AD13D8">
        <w:t>(b)</w:t>
      </w:r>
      <w:r w:rsidRPr="00AD13D8">
        <w:tab/>
      </w:r>
      <w:r w:rsidRPr="003E13D2">
        <w:t>the storage and handling mark-up; and</w:t>
      </w:r>
    </w:p>
    <w:p w:rsidR="005B5571" w:rsidRDefault="005B5571" w:rsidP="005B5571">
      <w:pPr>
        <w:pStyle w:val="P1"/>
        <w:keepLines w:val="0"/>
        <w:ind w:left="2640" w:hanging="480"/>
        <w:jc w:val="left"/>
      </w:pPr>
      <w:r w:rsidRPr="00AD13D8">
        <w:rPr>
          <w:sz w:val="23"/>
          <w:szCs w:val="23"/>
        </w:rPr>
        <w:t>(c)</w:t>
      </w:r>
      <w:r w:rsidRPr="00AD13D8">
        <w:rPr>
          <w:sz w:val="23"/>
          <w:szCs w:val="23"/>
        </w:rPr>
        <w:tab/>
      </w:r>
      <w:r w:rsidRPr="00AD13D8">
        <w:t>the mark</w:t>
      </w:r>
      <w:r>
        <w:t>-up worked out under section 12; and</w:t>
      </w:r>
    </w:p>
    <w:p w:rsidR="005B5571" w:rsidRPr="00B700F1" w:rsidRDefault="005B5571" w:rsidP="005B5571">
      <w:pPr>
        <w:pStyle w:val="P1"/>
        <w:keepLines w:val="0"/>
        <w:ind w:left="2640" w:hanging="480"/>
        <w:jc w:val="left"/>
      </w:pPr>
      <w:r>
        <w:t>(d)</w:t>
      </w:r>
      <w:r>
        <w:tab/>
      </w:r>
      <w:r w:rsidRPr="005B5571">
        <w:t>if a dangerous drug applies, the dangerous drug fee.</w:t>
      </w:r>
    </w:p>
    <w:p w:rsidR="00584BDC" w:rsidRPr="00493612" w:rsidRDefault="00584BDC" w:rsidP="003E13D2">
      <w:pPr>
        <w:pStyle w:val="R1"/>
        <w:keepLines w:val="0"/>
        <w:tabs>
          <w:tab w:val="clear" w:pos="794"/>
          <w:tab w:val="right" w:pos="2640"/>
        </w:tabs>
        <w:ind w:left="1800" w:hanging="484"/>
        <w:jc w:val="left"/>
      </w:pPr>
    </w:p>
    <w:bookmarkEnd w:id="6"/>
    <w:p w:rsidR="009B4303" w:rsidRDefault="009B4303" w:rsidP="00362FB5">
      <w:pPr>
        <w:pStyle w:val="definition"/>
        <w:ind w:left="1320"/>
      </w:pPr>
    </w:p>
    <w:sectPr w:rsidR="009B4303" w:rsidSect="003E13D2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1907" w:h="16839" w:code="9"/>
      <w:pgMar w:top="1440" w:right="1797" w:bottom="1440" w:left="1797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335" w:rsidRDefault="00B65335">
      <w:r>
        <w:separator/>
      </w:r>
    </w:p>
  </w:endnote>
  <w:endnote w:type="continuationSeparator" w:id="0">
    <w:p w:rsidR="00B65335" w:rsidRDefault="00B6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F6" w:rsidRDefault="000962F6" w:rsidP="00A409C2">
    <w:pPr>
      <w:pStyle w:val="FooterInfo"/>
      <w:tabs>
        <w:tab w:val="left" w:pos="8505"/>
      </w:tabs>
      <w:ind w:right="18"/>
      <w:rPr>
        <w:rFonts w:cs="Arial"/>
        <w:noProof/>
        <w:sz w:val="20"/>
        <w:szCs w:val="20"/>
      </w:rPr>
    </w:pPr>
    <w:r w:rsidRPr="00904F8A">
      <w:rPr>
        <w:rFonts w:cs="Arial"/>
        <w:i/>
        <w:sz w:val="16"/>
        <w:szCs w:val="16"/>
      </w:rPr>
      <w:t xml:space="preserve">Instrument Number PB </w:t>
    </w:r>
    <w:r w:rsidR="00904F8A" w:rsidRPr="00904F8A">
      <w:rPr>
        <w:rFonts w:cs="Arial"/>
        <w:i/>
        <w:sz w:val="16"/>
        <w:szCs w:val="16"/>
        <w:highlight w:val="yellow"/>
      </w:rPr>
      <w:t>##</w:t>
    </w:r>
    <w:r w:rsidRPr="00904F8A">
      <w:rPr>
        <w:rFonts w:cs="Arial"/>
        <w:i/>
        <w:sz w:val="16"/>
        <w:szCs w:val="16"/>
      </w:rPr>
      <w:t xml:space="preserve"> of 201</w:t>
    </w:r>
    <w:r w:rsidR="00904F8A">
      <w:rPr>
        <w:rFonts w:cs="Arial"/>
        <w:i/>
        <w:sz w:val="16"/>
        <w:szCs w:val="16"/>
      </w:rPr>
      <w:t>5</w:t>
    </w:r>
    <w:r>
      <w:rPr>
        <w:rFonts w:cs="Arial"/>
        <w:sz w:val="20"/>
        <w:szCs w:val="20"/>
      </w:rPr>
      <w:tab/>
    </w:r>
    <w:r w:rsidRPr="00C224AB">
      <w:rPr>
        <w:rFonts w:cs="Arial"/>
        <w:sz w:val="20"/>
        <w:szCs w:val="20"/>
      </w:rPr>
      <w:fldChar w:fldCharType="begin"/>
    </w:r>
    <w:r w:rsidRPr="00C224AB">
      <w:rPr>
        <w:rFonts w:cs="Arial"/>
        <w:sz w:val="20"/>
        <w:szCs w:val="20"/>
      </w:rPr>
      <w:instrText xml:space="preserve"> PAGE   \* MERGEFORMAT </w:instrText>
    </w:r>
    <w:r w:rsidRPr="00C224AB">
      <w:rPr>
        <w:rFonts w:cs="Arial"/>
        <w:sz w:val="20"/>
        <w:szCs w:val="20"/>
      </w:rPr>
      <w:fldChar w:fldCharType="separate"/>
    </w:r>
    <w:r w:rsidR="006A3D64">
      <w:rPr>
        <w:rFonts w:cs="Arial"/>
        <w:noProof/>
        <w:sz w:val="20"/>
        <w:szCs w:val="20"/>
      </w:rPr>
      <w:t>2</w:t>
    </w:r>
    <w:r w:rsidRPr="00C224AB">
      <w:rPr>
        <w:rFonts w:cs="Arial"/>
        <w:noProof/>
        <w:sz w:val="20"/>
        <w:szCs w:val="20"/>
      </w:rPr>
      <w:fldChar w:fldCharType="end"/>
    </w:r>
  </w:p>
  <w:p w:rsidR="00925A8B" w:rsidRPr="00C224AB" w:rsidRDefault="00925A8B" w:rsidP="00A409C2">
    <w:pPr>
      <w:pStyle w:val="FooterInfo"/>
      <w:tabs>
        <w:tab w:val="left" w:pos="8505"/>
      </w:tabs>
      <w:ind w:right="18"/>
      <w:rPr>
        <w:rFonts w:cs="Arial"/>
        <w:sz w:val="20"/>
        <w:szCs w:val="20"/>
      </w:rPr>
    </w:pPr>
  </w:p>
  <w:p w:rsidR="000962F6" w:rsidRPr="00A409C2" w:rsidRDefault="000962F6" w:rsidP="00A409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F6" w:rsidRDefault="000962F6" w:rsidP="00A409C2">
    <w:pPr>
      <w:pStyle w:val="FooterInfo"/>
      <w:tabs>
        <w:tab w:val="left" w:pos="8505"/>
      </w:tabs>
      <w:ind w:right="18"/>
      <w:rPr>
        <w:rFonts w:cs="Arial"/>
        <w:noProof/>
        <w:sz w:val="20"/>
        <w:szCs w:val="20"/>
      </w:rPr>
    </w:pPr>
  </w:p>
  <w:p w:rsidR="00925A8B" w:rsidRDefault="00925A8B" w:rsidP="00A409C2">
    <w:pPr>
      <w:pStyle w:val="FooterInfo"/>
      <w:tabs>
        <w:tab w:val="left" w:pos="8505"/>
      </w:tabs>
      <w:ind w:right="18"/>
      <w:rPr>
        <w:rFonts w:cs="Arial"/>
        <w:sz w:val="20"/>
        <w:szCs w:val="20"/>
      </w:rPr>
    </w:pPr>
  </w:p>
  <w:p w:rsidR="00904F8A" w:rsidRPr="00C224AB" w:rsidRDefault="00904F8A" w:rsidP="00A409C2">
    <w:pPr>
      <w:pStyle w:val="FooterInfo"/>
      <w:tabs>
        <w:tab w:val="left" w:pos="8505"/>
      </w:tabs>
      <w:ind w:right="18"/>
      <w:rPr>
        <w:rFonts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D64" w:rsidRDefault="006A3D64" w:rsidP="00A409C2">
    <w:pPr>
      <w:pStyle w:val="FooterInfo"/>
      <w:tabs>
        <w:tab w:val="left" w:pos="8505"/>
      </w:tabs>
      <w:ind w:right="18"/>
      <w:rPr>
        <w:rFonts w:cs="Arial"/>
        <w:noProof/>
        <w:sz w:val="20"/>
        <w:szCs w:val="20"/>
      </w:rPr>
    </w:pPr>
    <w:r w:rsidRPr="00904F8A">
      <w:rPr>
        <w:rFonts w:cs="Arial"/>
        <w:i/>
        <w:sz w:val="16"/>
        <w:szCs w:val="16"/>
      </w:rPr>
      <w:t xml:space="preserve">Instrument Number PB </w:t>
    </w:r>
    <w:r>
      <w:rPr>
        <w:rFonts w:cs="Arial"/>
        <w:i/>
        <w:sz w:val="16"/>
        <w:szCs w:val="16"/>
      </w:rPr>
      <w:t>66</w:t>
    </w:r>
    <w:r w:rsidRPr="00904F8A">
      <w:rPr>
        <w:rFonts w:cs="Arial"/>
        <w:i/>
        <w:sz w:val="16"/>
        <w:szCs w:val="16"/>
      </w:rPr>
      <w:t xml:space="preserve"> of 201</w:t>
    </w:r>
    <w:r>
      <w:rPr>
        <w:rFonts w:cs="Arial"/>
        <w:i/>
        <w:sz w:val="16"/>
        <w:szCs w:val="16"/>
      </w:rPr>
      <w:t>5</w:t>
    </w:r>
    <w:r>
      <w:rPr>
        <w:rFonts w:cs="Arial"/>
        <w:sz w:val="20"/>
        <w:szCs w:val="20"/>
      </w:rPr>
      <w:tab/>
    </w:r>
    <w:r w:rsidRPr="00C224AB">
      <w:rPr>
        <w:rFonts w:cs="Arial"/>
        <w:sz w:val="20"/>
        <w:szCs w:val="20"/>
      </w:rPr>
      <w:fldChar w:fldCharType="begin"/>
    </w:r>
    <w:r w:rsidRPr="00C224AB">
      <w:rPr>
        <w:rFonts w:cs="Arial"/>
        <w:sz w:val="20"/>
        <w:szCs w:val="20"/>
      </w:rPr>
      <w:instrText xml:space="preserve"> PAGE   \* MERGEFORMAT </w:instrText>
    </w:r>
    <w:r w:rsidRPr="00C224AB">
      <w:rPr>
        <w:rFonts w:cs="Arial"/>
        <w:sz w:val="20"/>
        <w:szCs w:val="20"/>
      </w:rPr>
      <w:fldChar w:fldCharType="separate"/>
    </w:r>
    <w:r w:rsidR="006D4618">
      <w:rPr>
        <w:rFonts w:cs="Arial"/>
        <w:noProof/>
        <w:sz w:val="20"/>
        <w:szCs w:val="20"/>
      </w:rPr>
      <w:t>2</w:t>
    </w:r>
    <w:r w:rsidRPr="00C224AB">
      <w:rPr>
        <w:rFonts w:cs="Arial"/>
        <w:noProof/>
        <w:sz w:val="20"/>
        <w:szCs w:val="20"/>
      </w:rPr>
      <w:fldChar w:fldCharType="end"/>
    </w:r>
  </w:p>
  <w:p w:rsidR="006A3D64" w:rsidRPr="00C224AB" w:rsidRDefault="006A3D64" w:rsidP="00A409C2">
    <w:pPr>
      <w:pStyle w:val="FooterInfo"/>
      <w:tabs>
        <w:tab w:val="left" w:pos="8505"/>
      </w:tabs>
      <w:ind w:right="18"/>
      <w:rPr>
        <w:rFonts w:cs="Arial"/>
        <w:sz w:val="20"/>
        <w:szCs w:val="20"/>
      </w:rPr>
    </w:pPr>
  </w:p>
  <w:p w:rsidR="006A3D64" w:rsidRPr="00A409C2" w:rsidRDefault="006A3D64" w:rsidP="00A409C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F6" w:rsidRDefault="000962F6" w:rsidP="00A409C2">
    <w:pPr>
      <w:pStyle w:val="FooterInfo"/>
      <w:tabs>
        <w:tab w:val="left" w:pos="8505"/>
      </w:tabs>
      <w:ind w:right="18"/>
      <w:rPr>
        <w:rFonts w:cs="Arial"/>
        <w:noProof/>
        <w:sz w:val="20"/>
        <w:szCs w:val="20"/>
      </w:rPr>
    </w:pPr>
    <w:r w:rsidRPr="00904F8A">
      <w:rPr>
        <w:rFonts w:cs="Arial"/>
        <w:i/>
        <w:sz w:val="16"/>
        <w:szCs w:val="16"/>
      </w:rPr>
      <w:t xml:space="preserve">Instrument Number PB </w:t>
    </w:r>
    <w:r w:rsidR="00B035FA">
      <w:rPr>
        <w:rFonts w:cs="Arial"/>
        <w:i/>
        <w:sz w:val="16"/>
        <w:szCs w:val="16"/>
      </w:rPr>
      <w:t>66</w:t>
    </w:r>
    <w:r w:rsidR="00B035FA" w:rsidRPr="00904F8A">
      <w:rPr>
        <w:rFonts w:cs="Arial"/>
        <w:i/>
        <w:sz w:val="16"/>
        <w:szCs w:val="16"/>
      </w:rPr>
      <w:t xml:space="preserve"> </w:t>
    </w:r>
    <w:r w:rsidRPr="00904F8A">
      <w:rPr>
        <w:rFonts w:cs="Arial"/>
        <w:i/>
        <w:sz w:val="16"/>
        <w:szCs w:val="16"/>
      </w:rPr>
      <w:t>of 201</w:t>
    </w:r>
    <w:r w:rsidR="00904F8A">
      <w:rPr>
        <w:rFonts w:cs="Arial"/>
        <w:i/>
        <w:sz w:val="16"/>
        <w:szCs w:val="16"/>
      </w:rPr>
      <w:t>5</w:t>
    </w:r>
    <w:r>
      <w:rPr>
        <w:rFonts w:cs="Arial"/>
        <w:sz w:val="20"/>
        <w:szCs w:val="20"/>
      </w:rPr>
      <w:tab/>
    </w:r>
    <w:r w:rsidRPr="00C224AB">
      <w:rPr>
        <w:rFonts w:cs="Arial"/>
        <w:sz w:val="20"/>
        <w:szCs w:val="20"/>
      </w:rPr>
      <w:fldChar w:fldCharType="begin"/>
    </w:r>
    <w:r w:rsidRPr="00C224AB">
      <w:rPr>
        <w:rFonts w:cs="Arial"/>
        <w:sz w:val="20"/>
        <w:szCs w:val="20"/>
      </w:rPr>
      <w:instrText xml:space="preserve"> PAGE   \* MERGEFORMAT </w:instrText>
    </w:r>
    <w:r w:rsidRPr="00C224AB">
      <w:rPr>
        <w:rFonts w:cs="Arial"/>
        <w:sz w:val="20"/>
        <w:szCs w:val="20"/>
      </w:rPr>
      <w:fldChar w:fldCharType="separate"/>
    </w:r>
    <w:r w:rsidR="006D4618">
      <w:rPr>
        <w:rFonts w:cs="Arial"/>
        <w:noProof/>
        <w:sz w:val="20"/>
        <w:szCs w:val="20"/>
      </w:rPr>
      <w:t>4</w:t>
    </w:r>
    <w:r w:rsidRPr="00C224AB">
      <w:rPr>
        <w:rFonts w:cs="Arial"/>
        <w:noProof/>
        <w:sz w:val="20"/>
        <w:szCs w:val="20"/>
      </w:rPr>
      <w:fldChar w:fldCharType="end"/>
    </w:r>
  </w:p>
  <w:p w:rsidR="00925A8B" w:rsidRPr="00C224AB" w:rsidRDefault="00925A8B" w:rsidP="00A409C2">
    <w:pPr>
      <w:pStyle w:val="FooterInfo"/>
      <w:tabs>
        <w:tab w:val="left" w:pos="8505"/>
      </w:tabs>
      <w:ind w:right="18"/>
      <w:rPr>
        <w:rFonts w:cs="Arial"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5FA" w:rsidRDefault="00B035FA" w:rsidP="00A409C2">
    <w:pPr>
      <w:pStyle w:val="FooterInfo"/>
      <w:tabs>
        <w:tab w:val="left" w:pos="8505"/>
      </w:tabs>
      <w:ind w:right="18"/>
      <w:rPr>
        <w:rFonts w:cs="Arial"/>
        <w:noProof/>
        <w:sz w:val="20"/>
        <w:szCs w:val="20"/>
      </w:rPr>
    </w:pPr>
    <w:r w:rsidRPr="003E13D2">
      <w:rPr>
        <w:rFonts w:cs="Arial"/>
        <w:i/>
        <w:sz w:val="16"/>
        <w:szCs w:val="16"/>
      </w:rPr>
      <w:t xml:space="preserve">Instrument Number PB </w:t>
    </w:r>
    <w:r w:rsidR="0097505F">
      <w:rPr>
        <w:rFonts w:cs="Arial"/>
        <w:i/>
        <w:sz w:val="16"/>
        <w:szCs w:val="16"/>
      </w:rPr>
      <w:t xml:space="preserve">66 </w:t>
    </w:r>
    <w:r w:rsidRPr="003E13D2">
      <w:rPr>
        <w:rFonts w:cs="Arial"/>
        <w:i/>
        <w:sz w:val="16"/>
        <w:szCs w:val="16"/>
      </w:rPr>
      <w:t>of 201</w:t>
    </w:r>
    <w:r>
      <w:rPr>
        <w:rFonts w:cs="Arial"/>
        <w:i/>
        <w:sz w:val="16"/>
        <w:szCs w:val="16"/>
      </w:rPr>
      <w:t>5</w:t>
    </w:r>
    <w:r>
      <w:rPr>
        <w:rFonts w:cs="Arial"/>
        <w:sz w:val="20"/>
        <w:szCs w:val="20"/>
      </w:rPr>
      <w:tab/>
    </w:r>
    <w:r w:rsidRPr="00C224AB">
      <w:rPr>
        <w:rFonts w:cs="Arial"/>
        <w:sz w:val="20"/>
        <w:szCs w:val="20"/>
      </w:rPr>
      <w:fldChar w:fldCharType="begin"/>
    </w:r>
    <w:r w:rsidRPr="00C224AB">
      <w:rPr>
        <w:rFonts w:cs="Arial"/>
        <w:sz w:val="20"/>
        <w:szCs w:val="20"/>
      </w:rPr>
      <w:instrText xml:space="preserve"> PAGE   \* MERGEFORMAT </w:instrText>
    </w:r>
    <w:r w:rsidRPr="00C224AB">
      <w:rPr>
        <w:rFonts w:cs="Arial"/>
        <w:sz w:val="20"/>
        <w:szCs w:val="20"/>
      </w:rPr>
      <w:fldChar w:fldCharType="separate"/>
    </w:r>
    <w:r w:rsidR="006D4618">
      <w:rPr>
        <w:rFonts w:cs="Arial"/>
        <w:noProof/>
        <w:sz w:val="20"/>
        <w:szCs w:val="20"/>
      </w:rPr>
      <w:t>5</w:t>
    </w:r>
    <w:r w:rsidRPr="00C224AB">
      <w:rPr>
        <w:rFonts w:cs="Arial"/>
        <w:noProof/>
        <w:sz w:val="20"/>
        <w:szCs w:val="20"/>
      </w:rPr>
      <w:fldChar w:fldCharType="end"/>
    </w:r>
  </w:p>
  <w:p w:rsidR="00B035FA" w:rsidRDefault="00B035FA" w:rsidP="00A409C2">
    <w:pPr>
      <w:pStyle w:val="FooterInfo"/>
      <w:tabs>
        <w:tab w:val="left" w:pos="8505"/>
      </w:tabs>
      <w:ind w:right="18"/>
      <w:rPr>
        <w:rFonts w:cs="Arial"/>
        <w:sz w:val="20"/>
        <w:szCs w:val="20"/>
      </w:rPr>
    </w:pPr>
  </w:p>
  <w:p w:rsidR="00B035FA" w:rsidRPr="00C224AB" w:rsidRDefault="00B035FA" w:rsidP="00A409C2">
    <w:pPr>
      <w:pStyle w:val="FooterInfo"/>
      <w:tabs>
        <w:tab w:val="left" w:pos="8505"/>
      </w:tabs>
      <w:ind w:right="18"/>
      <w:rPr>
        <w:rFonts w:cs="Arial"/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F6" w:rsidRDefault="000962F6" w:rsidP="00096070">
    <w:pPr>
      <w:pStyle w:val="Footer"/>
    </w:pPr>
  </w:p>
  <w:p w:rsidR="00F20B8D" w:rsidRPr="00F20B8D" w:rsidRDefault="00F20B8D" w:rsidP="00096070">
    <w:pPr>
      <w:pStyle w:val="Footer"/>
      <w:rPr>
        <w:rFonts w:cs="Arial"/>
        <w:sz w:val="14"/>
      </w:rPr>
    </w:pPr>
    <w:r w:rsidRPr="00F20B8D">
      <w:rPr>
        <w:rFonts w:cs="Arial"/>
        <w:sz w:val="14"/>
      </w:rPr>
      <w:t>[6447927: 15007170_1]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335" w:rsidRDefault="00B65335">
      <w:r>
        <w:separator/>
      </w:r>
    </w:p>
  </w:footnote>
  <w:footnote w:type="continuationSeparator" w:id="0">
    <w:p w:rsidR="00B65335" w:rsidRDefault="00B65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F6" w:rsidRDefault="000962F6" w:rsidP="00BD54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F6" w:rsidRDefault="000962F6" w:rsidP="00BD5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AA40BEC"/>
    <w:multiLevelType w:val="multilevel"/>
    <w:tmpl w:val="2BC6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BA0E6C"/>
    <w:multiLevelType w:val="multilevel"/>
    <w:tmpl w:val="E5A2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0BB41B3"/>
    <w:multiLevelType w:val="multilevel"/>
    <w:tmpl w:val="628A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A25FEA"/>
    <w:multiLevelType w:val="multilevel"/>
    <w:tmpl w:val="AB8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C005F8"/>
    <w:multiLevelType w:val="hybridMultilevel"/>
    <w:tmpl w:val="1ECE0E72"/>
    <w:lvl w:ilvl="0" w:tplc="D24AE768">
      <w:start w:val="1"/>
      <w:numFmt w:val="lowerLetter"/>
      <w:lvlText w:val="(%1)"/>
      <w:lvlJc w:val="left"/>
      <w:pPr>
        <w:ind w:left="1185" w:hanging="112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6016E9"/>
    <w:multiLevelType w:val="hybridMultilevel"/>
    <w:tmpl w:val="AFDE8698"/>
    <w:lvl w:ilvl="0" w:tplc="A0B846E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굤椲"/>
    <w:docVar w:name="dgnword-eventsink" w:val="³ܗĔᓣèTable List 3«嘺q혓0ఀÿఀÿ؀ÿ樀⏖푿"/>
  </w:docVars>
  <w:rsids>
    <w:rsidRoot w:val="009F3228"/>
    <w:rsid w:val="0000321E"/>
    <w:rsid w:val="000038A0"/>
    <w:rsid w:val="000058FA"/>
    <w:rsid w:val="00012F8A"/>
    <w:rsid w:val="000137BB"/>
    <w:rsid w:val="000139B6"/>
    <w:rsid w:val="0001662A"/>
    <w:rsid w:val="00020108"/>
    <w:rsid w:val="00027BE3"/>
    <w:rsid w:val="00032F2C"/>
    <w:rsid w:val="00034A38"/>
    <w:rsid w:val="00040090"/>
    <w:rsid w:val="000403D5"/>
    <w:rsid w:val="000427E4"/>
    <w:rsid w:val="0004456C"/>
    <w:rsid w:val="00045BA4"/>
    <w:rsid w:val="00045F1B"/>
    <w:rsid w:val="000521B7"/>
    <w:rsid w:val="0005339D"/>
    <w:rsid w:val="000579AC"/>
    <w:rsid w:val="00060076"/>
    <w:rsid w:val="000646EC"/>
    <w:rsid w:val="00065118"/>
    <w:rsid w:val="00065296"/>
    <w:rsid w:val="000715D1"/>
    <w:rsid w:val="00077553"/>
    <w:rsid w:val="00082916"/>
    <w:rsid w:val="00083189"/>
    <w:rsid w:val="0008560A"/>
    <w:rsid w:val="00091146"/>
    <w:rsid w:val="00092AB8"/>
    <w:rsid w:val="00095849"/>
    <w:rsid w:val="00096070"/>
    <w:rsid w:val="000962F6"/>
    <w:rsid w:val="000A0788"/>
    <w:rsid w:val="000A0CCA"/>
    <w:rsid w:val="000A1742"/>
    <w:rsid w:val="000A620C"/>
    <w:rsid w:val="000A7869"/>
    <w:rsid w:val="000B2F33"/>
    <w:rsid w:val="000B4121"/>
    <w:rsid w:val="000B51B3"/>
    <w:rsid w:val="000D1916"/>
    <w:rsid w:val="000D5EA6"/>
    <w:rsid w:val="000E16EC"/>
    <w:rsid w:val="000E27E3"/>
    <w:rsid w:val="000E48BD"/>
    <w:rsid w:val="000E7494"/>
    <w:rsid w:val="001006A8"/>
    <w:rsid w:val="001026B1"/>
    <w:rsid w:val="00105BB8"/>
    <w:rsid w:val="00111D90"/>
    <w:rsid w:val="00116989"/>
    <w:rsid w:val="001205FD"/>
    <w:rsid w:val="001207EF"/>
    <w:rsid w:val="00120EE9"/>
    <w:rsid w:val="00121F96"/>
    <w:rsid w:val="00125657"/>
    <w:rsid w:val="001272DE"/>
    <w:rsid w:val="00130EE2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542A1"/>
    <w:rsid w:val="00156551"/>
    <w:rsid w:val="00162609"/>
    <w:rsid w:val="00164935"/>
    <w:rsid w:val="00165D61"/>
    <w:rsid w:val="0017685B"/>
    <w:rsid w:val="00185F83"/>
    <w:rsid w:val="00186360"/>
    <w:rsid w:val="00187D63"/>
    <w:rsid w:val="00191FA5"/>
    <w:rsid w:val="0019218E"/>
    <w:rsid w:val="00192C10"/>
    <w:rsid w:val="00193F32"/>
    <w:rsid w:val="001953BB"/>
    <w:rsid w:val="00195639"/>
    <w:rsid w:val="001A4DD7"/>
    <w:rsid w:val="001A6C59"/>
    <w:rsid w:val="001B1223"/>
    <w:rsid w:val="001C0893"/>
    <w:rsid w:val="001C22F5"/>
    <w:rsid w:val="001C25FE"/>
    <w:rsid w:val="001C7118"/>
    <w:rsid w:val="001C769F"/>
    <w:rsid w:val="001D1609"/>
    <w:rsid w:val="001D6D71"/>
    <w:rsid w:val="001E039E"/>
    <w:rsid w:val="001E092D"/>
    <w:rsid w:val="001E1749"/>
    <w:rsid w:val="001E674B"/>
    <w:rsid w:val="001F108C"/>
    <w:rsid w:val="001F41C5"/>
    <w:rsid w:val="002015B2"/>
    <w:rsid w:val="00201952"/>
    <w:rsid w:val="00203232"/>
    <w:rsid w:val="00207FE6"/>
    <w:rsid w:val="00210652"/>
    <w:rsid w:val="00213F0C"/>
    <w:rsid w:val="00214C3B"/>
    <w:rsid w:val="00221073"/>
    <w:rsid w:val="00222FD0"/>
    <w:rsid w:val="002252C7"/>
    <w:rsid w:val="002259E4"/>
    <w:rsid w:val="00226691"/>
    <w:rsid w:val="0022734F"/>
    <w:rsid w:val="00233C57"/>
    <w:rsid w:val="0023489C"/>
    <w:rsid w:val="0024222C"/>
    <w:rsid w:val="00243601"/>
    <w:rsid w:val="00244C01"/>
    <w:rsid w:val="00246042"/>
    <w:rsid w:val="00252F17"/>
    <w:rsid w:val="00253DDD"/>
    <w:rsid w:val="00260912"/>
    <w:rsid w:val="00265BA1"/>
    <w:rsid w:val="00267225"/>
    <w:rsid w:val="00270462"/>
    <w:rsid w:val="00270A9F"/>
    <w:rsid w:val="0027348F"/>
    <w:rsid w:val="00275245"/>
    <w:rsid w:val="00281E63"/>
    <w:rsid w:val="0028604C"/>
    <w:rsid w:val="0028609E"/>
    <w:rsid w:val="00286CEA"/>
    <w:rsid w:val="002900BD"/>
    <w:rsid w:val="00291380"/>
    <w:rsid w:val="00293797"/>
    <w:rsid w:val="00293BC3"/>
    <w:rsid w:val="002A0984"/>
    <w:rsid w:val="002A19B0"/>
    <w:rsid w:val="002A37DA"/>
    <w:rsid w:val="002A6A16"/>
    <w:rsid w:val="002B104A"/>
    <w:rsid w:val="002B1EBA"/>
    <w:rsid w:val="002B265A"/>
    <w:rsid w:val="002B3023"/>
    <w:rsid w:val="002B3196"/>
    <w:rsid w:val="002B32C5"/>
    <w:rsid w:val="002B4CD4"/>
    <w:rsid w:val="002B519A"/>
    <w:rsid w:val="002B7DCF"/>
    <w:rsid w:val="002D4558"/>
    <w:rsid w:val="002D54C0"/>
    <w:rsid w:val="002D61FC"/>
    <w:rsid w:val="002D71AC"/>
    <w:rsid w:val="002D7932"/>
    <w:rsid w:val="002E4A60"/>
    <w:rsid w:val="002E5749"/>
    <w:rsid w:val="002F78D5"/>
    <w:rsid w:val="00306194"/>
    <w:rsid w:val="003072E7"/>
    <w:rsid w:val="003074DD"/>
    <w:rsid w:val="003106C7"/>
    <w:rsid w:val="00314CDA"/>
    <w:rsid w:val="003231FF"/>
    <w:rsid w:val="003234EB"/>
    <w:rsid w:val="0033573E"/>
    <w:rsid w:val="00336724"/>
    <w:rsid w:val="00336A0F"/>
    <w:rsid w:val="00343B24"/>
    <w:rsid w:val="00344DAB"/>
    <w:rsid w:val="00345BD8"/>
    <w:rsid w:val="003464E0"/>
    <w:rsid w:val="003469E3"/>
    <w:rsid w:val="0035001E"/>
    <w:rsid w:val="00353F3B"/>
    <w:rsid w:val="00357657"/>
    <w:rsid w:val="0035790D"/>
    <w:rsid w:val="0036134C"/>
    <w:rsid w:val="00362FB5"/>
    <w:rsid w:val="00367E3F"/>
    <w:rsid w:val="00370DD7"/>
    <w:rsid w:val="00371BD5"/>
    <w:rsid w:val="0037255F"/>
    <w:rsid w:val="00375A51"/>
    <w:rsid w:val="0038199B"/>
    <w:rsid w:val="00381E88"/>
    <w:rsid w:val="00387F34"/>
    <w:rsid w:val="00392557"/>
    <w:rsid w:val="0039396B"/>
    <w:rsid w:val="00397372"/>
    <w:rsid w:val="003A5AF1"/>
    <w:rsid w:val="003A63AE"/>
    <w:rsid w:val="003A77F7"/>
    <w:rsid w:val="003B0D29"/>
    <w:rsid w:val="003B7468"/>
    <w:rsid w:val="003B7E2B"/>
    <w:rsid w:val="003C1D25"/>
    <w:rsid w:val="003D1079"/>
    <w:rsid w:val="003D1FD3"/>
    <w:rsid w:val="003D5FC8"/>
    <w:rsid w:val="003D659C"/>
    <w:rsid w:val="003D6F03"/>
    <w:rsid w:val="003E13D2"/>
    <w:rsid w:val="003E1CDB"/>
    <w:rsid w:val="003E6D06"/>
    <w:rsid w:val="003F4A3B"/>
    <w:rsid w:val="003F53FF"/>
    <w:rsid w:val="003F6833"/>
    <w:rsid w:val="004005D4"/>
    <w:rsid w:val="00401A44"/>
    <w:rsid w:val="00403F78"/>
    <w:rsid w:val="00404128"/>
    <w:rsid w:val="00405B43"/>
    <w:rsid w:val="00414CDD"/>
    <w:rsid w:val="00415DE0"/>
    <w:rsid w:val="00421964"/>
    <w:rsid w:val="00422522"/>
    <w:rsid w:val="004255DD"/>
    <w:rsid w:val="004311E3"/>
    <w:rsid w:val="00431F2E"/>
    <w:rsid w:val="00433B06"/>
    <w:rsid w:val="00434445"/>
    <w:rsid w:val="0043498E"/>
    <w:rsid w:val="00435C2C"/>
    <w:rsid w:val="004361A5"/>
    <w:rsid w:val="00440996"/>
    <w:rsid w:val="00440B24"/>
    <w:rsid w:val="00442AA3"/>
    <w:rsid w:val="00443890"/>
    <w:rsid w:val="0044430D"/>
    <w:rsid w:val="004447F9"/>
    <w:rsid w:val="00444F77"/>
    <w:rsid w:val="004459DE"/>
    <w:rsid w:val="00450DE1"/>
    <w:rsid w:val="004533FC"/>
    <w:rsid w:val="00455600"/>
    <w:rsid w:val="00455863"/>
    <w:rsid w:val="004624D8"/>
    <w:rsid w:val="00464092"/>
    <w:rsid w:val="004640EA"/>
    <w:rsid w:val="00464AD1"/>
    <w:rsid w:val="00466DBA"/>
    <w:rsid w:val="00475629"/>
    <w:rsid w:val="004758D9"/>
    <w:rsid w:val="004839A4"/>
    <w:rsid w:val="004872D0"/>
    <w:rsid w:val="004879CB"/>
    <w:rsid w:val="0049172E"/>
    <w:rsid w:val="00493612"/>
    <w:rsid w:val="004A20E2"/>
    <w:rsid w:val="004A7502"/>
    <w:rsid w:val="004A7713"/>
    <w:rsid w:val="004A7AA7"/>
    <w:rsid w:val="004B1AC1"/>
    <w:rsid w:val="004B6C4F"/>
    <w:rsid w:val="004B71CE"/>
    <w:rsid w:val="004C3987"/>
    <w:rsid w:val="004D2382"/>
    <w:rsid w:val="004D32C2"/>
    <w:rsid w:val="004D5EAB"/>
    <w:rsid w:val="004D6045"/>
    <w:rsid w:val="004E0619"/>
    <w:rsid w:val="004E1C75"/>
    <w:rsid w:val="004E2FEB"/>
    <w:rsid w:val="004E7590"/>
    <w:rsid w:val="004F5D6D"/>
    <w:rsid w:val="00500513"/>
    <w:rsid w:val="00501E0C"/>
    <w:rsid w:val="005056C8"/>
    <w:rsid w:val="0051137B"/>
    <w:rsid w:val="00511776"/>
    <w:rsid w:val="00511924"/>
    <w:rsid w:val="00511DF1"/>
    <w:rsid w:val="00512974"/>
    <w:rsid w:val="00513467"/>
    <w:rsid w:val="0051511D"/>
    <w:rsid w:val="0052220C"/>
    <w:rsid w:val="005234C7"/>
    <w:rsid w:val="005238E0"/>
    <w:rsid w:val="005277E8"/>
    <w:rsid w:val="00531A0B"/>
    <w:rsid w:val="0054351E"/>
    <w:rsid w:val="005516CA"/>
    <w:rsid w:val="00561583"/>
    <w:rsid w:val="005672DE"/>
    <w:rsid w:val="005728BC"/>
    <w:rsid w:val="005749F6"/>
    <w:rsid w:val="00576569"/>
    <w:rsid w:val="00580301"/>
    <w:rsid w:val="00584BDC"/>
    <w:rsid w:val="005859FB"/>
    <w:rsid w:val="005924C4"/>
    <w:rsid w:val="005943B6"/>
    <w:rsid w:val="005A4031"/>
    <w:rsid w:val="005A6C5D"/>
    <w:rsid w:val="005B5571"/>
    <w:rsid w:val="005B5BAF"/>
    <w:rsid w:val="005B7B02"/>
    <w:rsid w:val="005C05BE"/>
    <w:rsid w:val="005C4A85"/>
    <w:rsid w:val="005D0D39"/>
    <w:rsid w:val="005D2F97"/>
    <w:rsid w:val="005D692B"/>
    <w:rsid w:val="005E43E5"/>
    <w:rsid w:val="005E51D3"/>
    <w:rsid w:val="005E563D"/>
    <w:rsid w:val="005F0DDB"/>
    <w:rsid w:val="005F21D6"/>
    <w:rsid w:val="005F31B4"/>
    <w:rsid w:val="005F3851"/>
    <w:rsid w:val="005F47D8"/>
    <w:rsid w:val="005F4E16"/>
    <w:rsid w:val="005F52A1"/>
    <w:rsid w:val="00602748"/>
    <w:rsid w:val="006047C5"/>
    <w:rsid w:val="00615988"/>
    <w:rsid w:val="0061686E"/>
    <w:rsid w:val="00621915"/>
    <w:rsid w:val="00624074"/>
    <w:rsid w:val="0062769F"/>
    <w:rsid w:val="006332FB"/>
    <w:rsid w:val="006374D8"/>
    <w:rsid w:val="00640008"/>
    <w:rsid w:val="00641664"/>
    <w:rsid w:val="0065001E"/>
    <w:rsid w:val="006533B7"/>
    <w:rsid w:val="00656BC9"/>
    <w:rsid w:val="00674B00"/>
    <w:rsid w:val="00684303"/>
    <w:rsid w:val="006936BA"/>
    <w:rsid w:val="006A3D64"/>
    <w:rsid w:val="006C2616"/>
    <w:rsid w:val="006C5742"/>
    <w:rsid w:val="006C6182"/>
    <w:rsid w:val="006D018E"/>
    <w:rsid w:val="006D3078"/>
    <w:rsid w:val="006D4034"/>
    <w:rsid w:val="006D4618"/>
    <w:rsid w:val="006E0E4B"/>
    <w:rsid w:val="006E2530"/>
    <w:rsid w:val="006E2FB2"/>
    <w:rsid w:val="006E548F"/>
    <w:rsid w:val="006E7E7A"/>
    <w:rsid w:val="006F0BD8"/>
    <w:rsid w:val="006F6CA4"/>
    <w:rsid w:val="006F73F0"/>
    <w:rsid w:val="00701CB2"/>
    <w:rsid w:val="00702998"/>
    <w:rsid w:val="00704DF1"/>
    <w:rsid w:val="0071055A"/>
    <w:rsid w:val="0071414A"/>
    <w:rsid w:val="0071514F"/>
    <w:rsid w:val="007166DC"/>
    <w:rsid w:val="00716F1E"/>
    <w:rsid w:val="00725CD8"/>
    <w:rsid w:val="00727685"/>
    <w:rsid w:val="00730AF8"/>
    <w:rsid w:val="007354A3"/>
    <w:rsid w:val="00735D7F"/>
    <w:rsid w:val="007375F7"/>
    <w:rsid w:val="00740322"/>
    <w:rsid w:val="00740916"/>
    <w:rsid w:val="00742FC6"/>
    <w:rsid w:val="007431FF"/>
    <w:rsid w:val="007448B9"/>
    <w:rsid w:val="00756F9E"/>
    <w:rsid w:val="007607E6"/>
    <w:rsid w:val="00772ADE"/>
    <w:rsid w:val="0078300B"/>
    <w:rsid w:val="007833A9"/>
    <w:rsid w:val="007844E1"/>
    <w:rsid w:val="007851E9"/>
    <w:rsid w:val="007910D2"/>
    <w:rsid w:val="00792315"/>
    <w:rsid w:val="00794754"/>
    <w:rsid w:val="007A14BB"/>
    <w:rsid w:val="007A3064"/>
    <w:rsid w:val="007A3E70"/>
    <w:rsid w:val="007C7959"/>
    <w:rsid w:val="007D1A1E"/>
    <w:rsid w:val="007E231D"/>
    <w:rsid w:val="007E3AA5"/>
    <w:rsid w:val="007F1F6B"/>
    <w:rsid w:val="007F488D"/>
    <w:rsid w:val="007F75DF"/>
    <w:rsid w:val="008002E8"/>
    <w:rsid w:val="008006D5"/>
    <w:rsid w:val="00805657"/>
    <w:rsid w:val="00811B2B"/>
    <w:rsid w:val="0081427E"/>
    <w:rsid w:val="008149B7"/>
    <w:rsid w:val="008203BE"/>
    <w:rsid w:val="00825250"/>
    <w:rsid w:val="008322B6"/>
    <w:rsid w:val="008349F1"/>
    <w:rsid w:val="00836024"/>
    <w:rsid w:val="00836392"/>
    <w:rsid w:val="00837AF4"/>
    <w:rsid w:val="008416EA"/>
    <w:rsid w:val="00844132"/>
    <w:rsid w:val="00847850"/>
    <w:rsid w:val="00851322"/>
    <w:rsid w:val="008546A9"/>
    <w:rsid w:val="00854857"/>
    <w:rsid w:val="00856EB5"/>
    <w:rsid w:val="00860297"/>
    <w:rsid w:val="0086309D"/>
    <w:rsid w:val="00863597"/>
    <w:rsid w:val="0086648B"/>
    <w:rsid w:val="008673F2"/>
    <w:rsid w:val="00867E7D"/>
    <w:rsid w:val="008711E3"/>
    <w:rsid w:val="00872EB7"/>
    <w:rsid w:val="008731F9"/>
    <w:rsid w:val="00873699"/>
    <w:rsid w:val="00873E3C"/>
    <w:rsid w:val="008750E2"/>
    <w:rsid w:val="00876486"/>
    <w:rsid w:val="00886003"/>
    <w:rsid w:val="008866E8"/>
    <w:rsid w:val="0088671C"/>
    <w:rsid w:val="00886C7C"/>
    <w:rsid w:val="00894FA3"/>
    <w:rsid w:val="008A1C28"/>
    <w:rsid w:val="008A2CE6"/>
    <w:rsid w:val="008A4808"/>
    <w:rsid w:val="008A656F"/>
    <w:rsid w:val="008A6DFE"/>
    <w:rsid w:val="008B0EFE"/>
    <w:rsid w:val="008B183C"/>
    <w:rsid w:val="008B1E93"/>
    <w:rsid w:val="008B4F9B"/>
    <w:rsid w:val="008B5981"/>
    <w:rsid w:val="008B6C52"/>
    <w:rsid w:val="008C3068"/>
    <w:rsid w:val="008C43C2"/>
    <w:rsid w:val="008C48D9"/>
    <w:rsid w:val="008D5B3D"/>
    <w:rsid w:val="008D5DD3"/>
    <w:rsid w:val="008E18BB"/>
    <w:rsid w:val="008E2235"/>
    <w:rsid w:val="008E3423"/>
    <w:rsid w:val="008E63C4"/>
    <w:rsid w:val="008F16BC"/>
    <w:rsid w:val="008F1DAB"/>
    <w:rsid w:val="008F3C01"/>
    <w:rsid w:val="009007F1"/>
    <w:rsid w:val="00904F8A"/>
    <w:rsid w:val="009078CC"/>
    <w:rsid w:val="00911F7B"/>
    <w:rsid w:val="00913281"/>
    <w:rsid w:val="00913EA5"/>
    <w:rsid w:val="009146C1"/>
    <w:rsid w:val="00915D96"/>
    <w:rsid w:val="00925A8B"/>
    <w:rsid w:val="009270F3"/>
    <w:rsid w:val="00927849"/>
    <w:rsid w:val="00930919"/>
    <w:rsid w:val="00943CEA"/>
    <w:rsid w:val="00945A5E"/>
    <w:rsid w:val="009612A7"/>
    <w:rsid w:val="00963ADB"/>
    <w:rsid w:val="00967444"/>
    <w:rsid w:val="0097505F"/>
    <w:rsid w:val="00976374"/>
    <w:rsid w:val="00983A1F"/>
    <w:rsid w:val="009851B7"/>
    <w:rsid w:val="00987485"/>
    <w:rsid w:val="0099167B"/>
    <w:rsid w:val="00993442"/>
    <w:rsid w:val="009A0CC8"/>
    <w:rsid w:val="009A207B"/>
    <w:rsid w:val="009A58A6"/>
    <w:rsid w:val="009A5A0D"/>
    <w:rsid w:val="009A679E"/>
    <w:rsid w:val="009A6D1B"/>
    <w:rsid w:val="009B303B"/>
    <w:rsid w:val="009B3BDA"/>
    <w:rsid w:val="009B4303"/>
    <w:rsid w:val="009B76D8"/>
    <w:rsid w:val="009B785F"/>
    <w:rsid w:val="009C0398"/>
    <w:rsid w:val="009C7D4C"/>
    <w:rsid w:val="009D4252"/>
    <w:rsid w:val="009D6B2A"/>
    <w:rsid w:val="009D7BDF"/>
    <w:rsid w:val="009E129A"/>
    <w:rsid w:val="009E1C06"/>
    <w:rsid w:val="009E28DB"/>
    <w:rsid w:val="009E2D2F"/>
    <w:rsid w:val="009E5210"/>
    <w:rsid w:val="009E7304"/>
    <w:rsid w:val="009F3228"/>
    <w:rsid w:val="009F3F7B"/>
    <w:rsid w:val="009F7877"/>
    <w:rsid w:val="00A00C88"/>
    <w:rsid w:val="00A046F7"/>
    <w:rsid w:val="00A04AC3"/>
    <w:rsid w:val="00A10B39"/>
    <w:rsid w:val="00A13F63"/>
    <w:rsid w:val="00A15843"/>
    <w:rsid w:val="00A15B2B"/>
    <w:rsid w:val="00A21D2D"/>
    <w:rsid w:val="00A223AA"/>
    <w:rsid w:val="00A24F06"/>
    <w:rsid w:val="00A266F5"/>
    <w:rsid w:val="00A30ABA"/>
    <w:rsid w:val="00A314B9"/>
    <w:rsid w:val="00A33D5D"/>
    <w:rsid w:val="00A34E8A"/>
    <w:rsid w:val="00A35CB2"/>
    <w:rsid w:val="00A409C2"/>
    <w:rsid w:val="00A41885"/>
    <w:rsid w:val="00A41B45"/>
    <w:rsid w:val="00A44A76"/>
    <w:rsid w:val="00A46B94"/>
    <w:rsid w:val="00A52515"/>
    <w:rsid w:val="00A54B37"/>
    <w:rsid w:val="00A56970"/>
    <w:rsid w:val="00A609DD"/>
    <w:rsid w:val="00A60B57"/>
    <w:rsid w:val="00A61815"/>
    <w:rsid w:val="00A644DE"/>
    <w:rsid w:val="00A65157"/>
    <w:rsid w:val="00A6740F"/>
    <w:rsid w:val="00A77958"/>
    <w:rsid w:val="00A90C9D"/>
    <w:rsid w:val="00A921BD"/>
    <w:rsid w:val="00A95A88"/>
    <w:rsid w:val="00A95CB3"/>
    <w:rsid w:val="00AA1B63"/>
    <w:rsid w:val="00AA3188"/>
    <w:rsid w:val="00AA420D"/>
    <w:rsid w:val="00AB2C8C"/>
    <w:rsid w:val="00AB3DCD"/>
    <w:rsid w:val="00AB444A"/>
    <w:rsid w:val="00AC0437"/>
    <w:rsid w:val="00AC111E"/>
    <w:rsid w:val="00AC2142"/>
    <w:rsid w:val="00AC405E"/>
    <w:rsid w:val="00AD13D8"/>
    <w:rsid w:val="00AD3746"/>
    <w:rsid w:val="00AD70E0"/>
    <w:rsid w:val="00AD721D"/>
    <w:rsid w:val="00AE732F"/>
    <w:rsid w:val="00AF074C"/>
    <w:rsid w:val="00AF716F"/>
    <w:rsid w:val="00AF78F9"/>
    <w:rsid w:val="00B00446"/>
    <w:rsid w:val="00B035FA"/>
    <w:rsid w:val="00B03AF0"/>
    <w:rsid w:val="00B05373"/>
    <w:rsid w:val="00B067E6"/>
    <w:rsid w:val="00B11A88"/>
    <w:rsid w:val="00B12260"/>
    <w:rsid w:val="00B12825"/>
    <w:rsid w:val="00B13F00"/>
    <w:rsid w:val="00B156E1"/>
    <w:rsid w:val="00B15AF9"/>
    <w:rsid w:val="00B15CF9"/>
    <w:rsid w:val="00B25433"/>
    <w:rsid w:val="00B2626C"/>
    <w:rsid w:val="00B3354C"/>
    <w:rsid w:val="00B3616E"/>
    <w:rsid w:val="00B3728B"/>
    <w:rsid w:val="00B408B6"/>
    <w:rsid w:val="00B40B97"/>
    <w:rsid w:val="00B531ED"/>
    <w:rsid w:val="00B53574"/>
    <w:rsid w:val="00B53D45"/>
    <w:rsid w:val="00B60027"/>
    <w:rsid w:val="00B61908"/>
    <w:rsid w:val="00B63AE9"/>
    <w:rsid w:val="00B65190"/>
    <w:rsid w:val="00B65335"/>
    <w:rsid w:val="00B662B0"/>
    <w:rsid w:val="00B66CE7"/>
    <w:rsid w:val="00B670FF"/>
    <w:rsid w:val="00B700F1"/>
    <w:rsid w:val="00B70B80"/>
    <w:rsid w:val="00B72C52"/>
    <w:rsid w:val="00B74348"/>
    <w:rsid w:val="00B76BE0"/>
    <w:rsid w:val="00B80913"/>
    <w:rsid w:val="00B8139C"/>
    <w:rsid w:val="00B85BB6"/>
    <w:rsid w:val="00B85C3D"/>
    <w:rsid w:val="00B878ED"/>
    <w:rsid w:val="00B90F49"/>
    <w:rsid w:val="00B91A8D"/>
    <w:rsid w:val="00BA0C92"/>
    <w:rsid w:val="00BA1766"/>
    <w:rsid w:val="00BA34AD"/>
    <w:rsid w:val="00BA4B2A"/>
    <w:rsid w:val="00BB4E81"/>
    <w:rsid w:val="00BB69FF"/>
    <w:rsid w:val="00BC59B9"/>
    <w:rsid w:val="00BD22BD"/>
    <w:rsid w:val="00BD545A"/>
    <w:rsid w:val="00BD7DF3"/>
    <w:rsid w:val="00BF1C2D"/>
    <w:rsid w:val="00BF2735"/>
    <w:rsid w:val="00BF42D0"/>
    <w:rsid w:val="00BF738E"/>
    <w:rsid w:val="00C0402F"/>
    <w:rsid w:val="00C11887"/>
    <w:rsid w:val="00C13C2E"/>
    <w:rsid w:val="00C14CE5"/>
    <w:rsid w:val="00C24D41"/>
    <w:rsid w:val="00C30025"/>
    <w:rsid w:val="00C3254A"/>
    <w:rsid w:val="00C329A2"/>
    <w:rsid w:val="00C35EC8"/>
    <w:rsid w:val="00C3775E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1B0E"/>
    <w:rsid w:val="00C639B5"/>
    <w:rsid w:val="00C651A6"/>
    <w:rsid w:val="00C675C7"/>
    <w:rsid w:val="00C7143B"/>
    <w:rsid w:val="00C725F3"/>
    <w:rsid w:val="00C72C99"/>
    <w:rsid w:val="00C822F8"/>
    <w:rsid w:val="00C8251B"/>
    <w:rsid w:val="00C83482"/>
    <w:rsid w:val="00C83A6F"/>
    <w:rsid w:val="00C847C6"/>
    <w:rsid w:val="00C92D6F"/>
    <w:rsid w:val="00C93DEA"/>
    <w:rsid w:val="00C97351"/>
    <w:rsid w:val="00C97D8E"/>
    <w:rsid w:val="00CA2A23"/>
    <w:rsid w:val="00CA2DC6"/>
    <w:rsid w:val="00CA752C"/>
    <w:rsid w:val="00CB009F"/>
    <w:rsid w:val="00CB221F"/>
    <w:rsid w:val="00CB64A5"/>
    <w:rsid w:val="00CC3524"/>
    <w:rsid w:val="00CC70A1"/>
    <w:rsid w:val="00CC7A7E"/>
    <w:rsid w:val="00CD3C04"/>
    <w:rsid w:val="00CD3C3C"/>
    <w:rsid w:val="00CD561C"/>
    <w:rsid w:val="00CE46AE"/>
    <w:rsid w:val="00CE662A"/>
    <w:rsid w:val="00CF73A6"/>
    <w:rsid w:val="00D0086D"/>
    <w:rsid w:val="00D03772"/>
    <w:rsid w:val="00D05575"/>
    <w:rsid w:val="00D118BD"/>
    <w:rsid w:val="00D121ED"/>
    <w:rsid w:val="00D13C76"/>
    <w:rsid w:val="00D15738"/>
    <w:rsid w:val="00D2157E"/>
    <w:rsid w:val="00D22AE7"/>
    <w:rsid w:val="00D23FEE"/>
    <w:rsid w:val="00D24F42"/>
    <w:rsid w:val="00D2550B"/>
    <w:rsid w:val="00D271FF"/>
    <w:rsid w:val="00D3367E"/>
    <w:rsid w:val="00D33956"/>
    <w:rsid w:val="00D34F1B"/>
    <w:rsid w:val="00D41229"/>
    <w:rsid w:val="00D4367A"/>
    <w:rsid w:val="00D54AD1"/>
    <w:rsid w:val="00D57D13"/>
    <w:rsid w:val="00D611B7"/>
    <w:rsid w:val="00D6243F"/>
    <w:rsid w:val="00D6403A"/>
    <w:rsid w:val="00D67C9C"/>
    <w:rsid w:val="00D70518"/>
    <w:rsid w:val="00D774C6"/>
    <w:rsid w:val="00D80163"/>
    <w:rsid w:val="00D84CCB"/>
    <w:rsid w:val="00D84E18"/>
    <w:rsid w:val="00D95125"/>
    <w:rsid w:val="00DB2470"/>
    <w:rsid w:val="00DB4680"/>
    <w:rsid w:val="00DC6821"/>
    <w:rsid w:val="00DC7FB4"/>
    <w:rsid w:val="00DE27FB"/>
    <w:rsid w:val="00DE5043"/>
    <w:rsid w:val="00DE7476"/>
    <w:rsid w:val="00DF44BE"/>
    <w:rsid w:val="00DF64FD"/>
    <w:rsid w:val="00E05AF6"/>
    <w:rsid w:val="00E10958"/>
    <w:rsid w:val="00E127AC"/>
    <w:rsid w:val="00E14318"/>
    <w:rsid w:val="00E164AE"/>
    <w:rsid w:val="00E22DF6"/>
    <w:rsid w:val="00E24EF9"/>
    <w:rsid w:val="00E24FB9"/>
    <w:rsid w:val="00E26CD1"/>
    <w:rsid w:val="00E26E31"/>
    <w:rsid w:val="00E26F82"/>
    <w:rsid w:val="00E35189"/>
    <w:rsid w:val="00E4231B"/>
    <w:rsid w:val="00E424E9"/>
    <w:rsid w:val="00E44149"/>
    <w:rsid w:val="00E44D80"/>
    <w:rsid w:val="00E44ECA"/>
    <w:rsid w:val="00E4501B"/>
    <w:rsid w:val="00E452BC"/>
    <w:rsid w:val="00E459C3"/>
    <w:rsid w:val="00E53A61"/>
    <w:rsid w:val="00E57384"/>
    <w:rsid w:val="00E5755C"/>
    <w:rsid w:val="00E5796B"/>
    <w:rsid w:val="00E6038D"/>
    <w:rsid w:val="00E6578A"/>
    <w:rsid w:val="00E678BB"/>
    <w:rsid w:val="00E726B2"/>
    <w:rsid w:val="00E7293B"/>
    <w:rsid w:val="00E74109"/>
    <w:rsid w:val="00E750F1"/>
    <w:rsid w:val="00E76062"/>
    <w:rsid w:val="00E814E3"/>
    <w:rsid w:val="00E83542"/>
    <w:rsid w:val="00EA0DE3"/>
    <w:rsid w:val="00EA0E4D"/>
    <w:rsid w:val="00EB1E0E"/>
    <w:rsid w:val="00EB77D8"/>
    <w:rsid w:val="00EB7CEA"/>
    <w:rsid w:val="00EC100A"/>
    <w:rsid w:val="00ED1C66"/>
    <w:rsid w:val="00ED1FB9"/>
    <w:rsid w:val="00EE298C"/>
    <w:rsid w:val="00EE4BF8"/>
    <w:rsid w:val="00EE739D"/>
    <w:rsid w:val="00EF15F7"/>
    <w:rsid w:val="00EF1EE8"/>
    <w:rsid w:val="00EF63BE"/>
    <w:rsid w:val="00EF69B2"/>
    <w:rsid w:val="00F02711"/>
    <w:rsid w:val="00F02993"/>
    <w:rsid w:val="00F05948"/>
    <w:rsid w:val="00F10F95"/>
    <w:rsid w:val="00F11289"/>
    <w:rsid w:val="00F11A57"/>
    <w:rsid w:val="00F16F68"/>
    <w:rsid w:val="00F172D2"/>
    <w:rsid w:val="00F20B8D"/>
    <w:rsid w:val="00F242C4"/>
    <w:rsid w:val="00F336D9"/>
    <w:rsid w:val="00F37E63"/>
    <w:rsid w:val="00F41F12"/>
    <w:rsid w:val="00F511C0"/>
    <w:rsid w:val="00F670D6"/>
    <w:rsid w:val="00F719EC"/>
    <w:rsid w:val="00F7591B"/>
    <w:rsid w:val="00F76ECD"/>
    <w:rsid w:val="00F815B1"/>
    <w:rsid w:val="00F863BB"/>
    <w:rsid w:val="00F86BD5"/>
    <w:rsid w:val="00F92D2D"/>
    <w:rsid w:val="00F9606B"/>
    <w:rsid w:val="00F96152"/>
    <w:rsid w:val="00F96711"/>
    <w:rsid w:val="00F97D20"/>
    <w:rsid w:val="00FB03BE"/>
    <w:rsid w:val="00FB1906"/>
    <w:rsid w:val="00FC3F61"/>
    <w:rsid w:val="00FC708C"/>
    <w:rsid w:val="00FD119D"/>
    <w:rsid w:val="00FD46FD"/>
    <w:rsid w:val="00FD6632"/>
    <w:rsid w:val="00FE262A"/>
    <w:rsid w:val="00FE36CF"/>
    <w:rsid w:val="00FE3A0D"/>
    <w:rsid w:val="00FF3AA5"/>
    <w:rsid w:val="00FF4830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rsid w:val="00E814E3"/>
    <w:rPr>
      <w:i/>
      <w:iCs/>
    </w:rPr>
  </w:style>
  <w:style w:type="character" w:styleId="HTMLCode">
    <w:name w:val="HTML Code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814E3"/>
    <w:rPr>
      <w:i/>
      <w:iCs/>
    </w:rPr>
  </w:style>
  <w:style w:type="character" w:styleId="HTMLKeyboard">
    <w:name w:val="HTML Keyboard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E814E3"/>
    <w:rPr>
      <w:rFonts w:ascii="Courier New" w:hAnsi="Courier New" w:cs="Courier New"/>
    </w:rPr>
  </w:style>
  <w:style w:type="character" w:styleId="HTMLTypewriter">
    <w:name w:val="HTML Typewriter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814E3"/>
    <w:rPr>
      <w:i/>
      <w:iCs/>
    </w:rPr>
  </w:style>
  <w:style w:type="character" w:styleId="Hyperlink">
    <w:name w:val="Hyperlink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uiPriority w:val="99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uiPriority w:val="99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uiPriority w:val="99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uiPriority w:val="99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uiPriority w:val="99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uiPriority w:val="99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uiPriority w:val="99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uiPriority w:val="99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uiPriority w:val="99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paragraph" w:customStyle="1" w:styleId="Default">
    <w:name w:val="Default"/>
    <w:rsid w:val="00265B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894FA3"/>
  </w:style>
  <w:style w:type="character" w:customStyle="1" w:styleId="CharSectnoAm">
    <w:name w:val="CharSectnoAm"/>
    <w:rsid w:val="00FC3F61"/>
    <w:rPr>
      <w:sz w:val="18"/>
    </w:rPr>
  </w:style>
  <w:style w:type="character" w:customStyle="1" w:styleId="FooterChar">
    <w:name w:val="Footer Char"/>
    <w:link w:val="Footer"/>
    <w:uiPriority w:val="99"/>
    <w:rsid w:val="00FC3F61"/>
    <w:rPr>
      <w:rFonts w:ascii="Arial" w:hAnsi="Arial"/>
      <w:i/>
      <w:sz w:val="18"/>
      <w:szCs w:val="18"/>
    </w:rPr>
  </w:style>
  <w:style w:type="paragraph" w:styleId="Revision">
    <w:name w:val="Revision"/>
    <w:hidden/>
    <w:uiPriority w:val="99"/>
    <w:semiHidden/>
    <w:rsid w:val="00092A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rsid w:val="00E814E3"/>
    <w:rPr>
      <w:i/>
      <w:iCs/>
    </w:rPr>
  </w:style>
  <w:style w:type="character" w:styleId="HTMLCode">
    <w:name w:val="HTML Code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814E3"/>
    <w:rPr>
      <w:i/>
      <w:iCs/>
    </w:rPr>
  </w:style>
  <w:style w:type="character" w:styleId="HTMLKeyboard">
    <w:name w:val="HTML Keyboard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E814E3"/>
    <w:rPr>
      <w:rFonts w:ascii="Courier New" w:hAnsi="Courier New" w:cs="Courier New"/>
    </w:rPr>
  </w:style>
  <w:style w:type="character" w:styleId="HTMLTypewriter">
    <w:name w:val="HTML Typewriter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814E3"/>
    <w:rPr>
      <w:i/>
      <w:iCs/>
    </w:rPr>
  </w:style>
  <w:style w:type="character" w:styleId="Hyperlink">
    <w:name w:val="Hyperlink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uiPriority w:val="99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uiPriority w:val="99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uiPriority w:val="99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uiPriority w:val="99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uiPriority w:val="99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uiPriority w:val="99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uiPriority w:val="99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uiPriority w:val="99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uiPriority w:val="99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paragraph" w:customStyle="1" w:styleId="Default">
    <w:name w:val="Default"/>
    <w:rsid w:val="00265B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894FA3"/>
  </w:style>
  <w:style w:type="character" w:customStyle="1" w:styleId="CharSectnoAm">
    <w:name w:val="CharSectnoAm"/>
    <w:rsid w:val="00FC3F61"/>
    <w:rPr>
      <w:sz w:val="18"/>
    </w:rPr>
  </w:style>
  <w:style w:type="character" w:customStyle="1" w:styleId="FooterChar">
    <w:name w:val="Footer Char"/>
    <w:link w:val="Footer"/>
    <w:uiPriority w:val="99"/>
    <w:rsid w:val="00FC3F61"/>
    <w:rPr>
      <w:rFonts w:ascii="Arial" w:hAnsi="Arial"/>
      <w:i/>
      <w:sz w:val="18"/>
      <w:szCs w:val="18"/>
    </w:rPr>
  </w:style>
  <w:style w:type="paragraph" w:styleId="Revision">
    <w:name w:val="Revision"/>
    <w:hidden/>
    <w:uiPriority w:val="99"/>
    <w:semiHidden/>
    <w:rsid w:val="00092A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698E7-837A-49F4-9176-B9CF46E8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756</Words>
  <Characters>4313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Health (Supply of pharmaceutical benefits) Determination 2010</vt:lpstr>
    </vt:vector>
  </TitlesOfParts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Health (Supply of pharmaceutical benefits) Determination 2010</dc:title>
  <dc:creator/>
  <cp:lastModifiedBy/>
  <cp:revision>1</cp:revision>
  <cp:lastPrinted>2010-09-16T02:15:00Z</cp:lastPrinted>
  <dcterms:created xsi:type="dcterms:W3CDTF">2015-06-30T03:12:00Z</dcterms:created>
  <dcterms:modified xsi:type="dcterms:W3CDTF">2015-06-30T03:12:00Z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170</vt:lpwstr>
  </property>
  <property fmtid="{D5CDD505-2E9C-101B-9397-08002B2CF9AE}" pid="3" name="IndexMatter">
    <vt:lpwstr>1008596B</vt:lpwstr>
  </property>
  <property fmtid="{D5CDD505-2E9C-101B-9397-08002B2CF9AE}" pid="4" name="Editor">
    <vt:bool>true</vt:bool>
  </property>
  <property fmtid="{D5CDD505-2E9C-101B-9397-08002B2CF9AE}" pid="5" name="Final">
    <vt:bool>true</vt:bool>
  </property>
  <property fmtid="{D5CDD505-2E9C-101B-9397-08002B2CF9AE}" pid="6" name="DMSDOCTYPE">
    <vt:lpwstr/>
  </property>
  <property fmtid="{D5CDD505-2E9C-101B-9397-08002B2CF9AE}" pid="7" name="DraftType">
    <vt:lpwstr/>
  </property>
  <property fmtid="{D5CDD505-2E9C-101B-9397-08002B2CF9AE}" pid="8" name="WPLUSServerName">
    <vt:lpwstr/>
  </property>
  <property fmtid="{D5CDD505-2E9C-101B-9397-08002B2CF9AE}" pid="9" name="WPLUSDataBaseName">
    <vt:lpwstr/>
  </property>
  <property fmtid="{D5CDD505-2E9C-101B-9397-08002B2CF9AE}" pid="10" name="WPLUSDocumentUNID">
    <vt:lpwstr/>
  </property>
  <property fmtid="{D5CDD505-2E9C-101B-9397-08002B2CF9AE}" pid="11" name="NeverSavedToNT">
    <vt:lpwstr/>
  </property>
</Properties>
</file>