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footer8.xml" ContentType="application/vnd.openxmlformats-officedocument.wordprocessingml.footer+xml"/>
  <Default Extension="jpeg" ContentType="image/jpeg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64F" w:rsidRPr="007334B6" w:rsidRDefault="00193461" w:rsidP="0020300C">
      <w:pPr>
        <w:rPr>
          <w:sz w:val="28"/>
        </w:rPr>
      </w:pPr>
      <w:r w:rsidRPr="007334B6">
        <w:rPr>
          <w:noProof/>
          <w:lang w:eastAsia="en-AU"/>
        </w:rPr>
        <w:drawing>
          <wp:inline distT="0" distB="0" distL="0" distR="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334B6" w:rsidRDefault="0048364F" w:rsidP="0048364F">
      <w:pPr>
        <w:rPr>
          <w:sz w:val="19"/>
        </w:rPr>
      </w:pPr>
    </w:p>
    <w:p w:rsidR="0048364F" w:rsidRPr="007334B6" w:rsidRDefault="00080F73" w:rsidP="0048364F">
      <w:pPr>
        <w:pStyle w:val="ShortT"/>
      </w:pPr>
      <w:r w:rsidRPr="007334B6">
        <w:t>National Greenhouse and Energy Reporting (Measurement) Amendment Determination</w:t>
      </w:r>
      <w:r w:rsidR="007334B6" w:rsidRPr="007334B6">
        <w:t> </w:t>
      </w:r>
      <w:r w:rsidRPr="007334B6">
        <w:t>2015 (No.</w:t>
      </w:r>
      <w:r w:rsidR="007334B6" w:rsidRPr="007334B6">
        <w:t> </w:t>
      </w:r>
      <w:r w:rsidRPr="007334B6">
        <w:t>2)</w:t>
      </w:r>
    </w:p>
    <w:p w:rsidR="00062862" w:rsidRPr="007334B6" w:rsidRDefault="00062862" w:rsidP="00062862">
      <w:pPr>
        <w:pStyle w:val="SignCoverPageStart"/>
        <w:rPr>
          <w:szCs w:val="22"/>
        </w:rPr>
      </w:pPr>
      <w:r w:rsidRPr="007334B6">
        <w:rPr>
          <w:szCs w:val="22"/>
        </w:rPr>
        <w:t>I, Greg Hunt, Minister for the Environment, make the following determination.</w:t>
      </w:r>
    </w:p>
    <w:p w:rsidR="00062862" w:rsidRPr="007334B6" w:rsidRDefault="00062862" w:rsidP="00062862">
      <w:pPr>
        <w:keepNext/>
        <w:spacing w:before="300" w:line="240" w:lineRule="atLeast"/>
        <w:ind w:right="397"/>
        <w:jc w:val="both"/>
        <w:rPr>
          <w:szCs w:val="22"/>
        </w:rPr>
      </w:pPr>
      <w:r w:rsidRPr="007334B6">
        <w:rPr>
          <w:szCs w:val="22"/>
        </w:rPr>
        <w:t>Dated</w:t>
      </w:r>
      <w:r w:rsidRPr="007334B6">
        <w:rPr>
          <w:szCs w:val="22"/>
        </w:rPr>
        <w:tab/>
      </w:r>
      <w:r w:rsidR="00C76883">
        <w:rPr>
          <w:szCs w:val="22"/>
        </w:rPr>
        <w:t xml:space="preserve">26 June </w:t>
      </w:r>
      <w:r w:rsidRPr="007334B6">
        <w:rPr>
          <w:szCs w:val="22"/>
        </w:rPr>
        <w:tab/>
      </w:r>
      <w:r w:rsidRPr="007334B6">
        <w:rPr>
          <w:szCs w:val="22"/>
        </w:rPr>
        <w:tab/>
      </w:r>
      <w:r w:rsidRPr="007334B6">
        <w:rPr>
          <w:szCs w:val="22"/>
        </w:rPr>
        <w:tab/>
      </w:r>
      <w:bookmarkStart w:id="0" w:name="BKCheck15B_1"/>
      <w:bookmarkEnd w:id="0"/>
      <w:r w:rsidR="00B610FE" w:rsidRPr="007334B6">
        <w:rPr>
          <w:szCs w:val="22"/>
        </w:rPr>
        <w:fldChar w:fldCharType="begin"/>
      </w:r>
      <w:r w:rsidRPr="007334B6">
        <w:rPr>
          <w:szCs w:val="22"/>
        </w:rPr>
        <w:instrText xml:space="preserve"> DOCPROPERTY  DateMade </w:instrText>
      </w:r>
      <w:r w:rsidR="00B610FE" w:rsidRPr="007334B6">
        <w:rPr>
          <w:szCs w:val="22"/>
        </w:rPr>
        <w:fldChar w:fldCharType="separate"/>
      </w:r>
      <w:r w:rsidR="00BC4767">
        <w:rPr>
          <w:szCs w:val="22"/>
        </w:rPr>
        <w:t>2015</w:t>
      </w:r>
      <w:r w:rsidR="00B610FE" w:rsidRPr="007334B6">
        <w:rPr>
          <w:szCs w:val="22"/>
        </w:rPr>
        <w:fldChar w:fldCharType="end"/>
      </w:r>
    </w:p>
    <w:p w:rsidR="00062862" w:rsidRPr="007334B6" w:rsidRDefault="00062862" w:rsidP="0006286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334B6">
        <w:rPr>
          <w:szCs w:val="22"/>
        </w:rPr>
        <w:t>Greg Hunt</w:t>
      </w:r>
    </w:p>
    <w:p w:rsidR="00062862" w:rsidRPr="007334B6" w:rsidRDefault="00062862" w:rsidP="00062862">
      <w:pPr>
        <w:pStyle w:val="SignCoverPageEnd"/>
        <w:rPr>
          <w:szCs w:val="22"/>
        </w:rPr>
      </w:pPr>
      <w:r w:rsidRPr="007334B6">
        <w:rPr>
          <w:szCs w:val="22"/>
        </w:rPr>
        <w:t>Minister for the Environment</w:t>
      </w:r>
    </w:p>
    <w:p w:rsidR="00062862" w:rsidRPr="007334B6" w:rsidRDefault="00062862" w:rsidP="00062862"/>
    <w:p w:rsidR="0048364F" w:rsidRPr="007334B6" w:rsidRDefault="0048364F" w:rsidP="0048364F">
      <w:pPr>
        <w:pStyle w:val="Header"/>
        <w:tabs>
          <w:tab w:val="clear" w:pos="4150"/>
          <w:tab w:val="clear" w:pos="8307"/>
        </w:tabs>
      </w:pPr>
      <w:r w:rsidRPr="007334B6">
        <w:rPr>
          <w:rStyle w:val="CharAmSchNo"/>
        </w:rPr>
        <w:t xml:space="preserve"> </w:t>
      </w:r>
      <w:r w:rsidRPr="007334B6">
        <w:rPr>
          <w:rStyle w:val="CharAmSchText"/>
        </w:rPr>
        <w:t xml:space="preserve"> </w:t>
      </w:r>
    </w:p>
    <w:p w:rsidR="0048364F" w:rsidRPr="007334B6" w:rsidRDefault="0048364F" w:rsidP="0048364F">
      <w:pPr>
        <w:pStyle w:val="Header"/>
        <w:tabs>
          <w:tab w:val="clear" w:pos="4150"/>
          <w:tab w:val="clear" w:pos="8307"/>
        </w:tabs>
      </w:pPr>
      <w:r w:rsidRPr="007334B6">
        <w:rPr>
          <w:rStyle w:val="CharAmPartNo"/>
        </w:rPr>
        <w:t xml:space="preserve"> </w:t>
      </w:r>
      <w:r w:rsidRPr="007334B6">
        <w:rPr>
          <w:rStyle w:val="CharAmPartText"/>
        </w:rPr>
        <w:t xml:space="preserve"> </w:t>
      </w:r>
    </w:p>
    <w:p w:rsidR="0048364F" w:rsidRPr="007334B6" w:rsidRDefault="0048364F" w:rsidP="0048364F">
      <w:pPr>
        <w:sectPr w:rsidR="0048364F" w:rsidRPr="007334B6" w:rsidSect="00BA4EC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7334B6" w:rsidRDefault="0048364F" w:rsidP="009F4AB5">
      <w:pPr>
        <w:rPr>
          <w:sz w:val="36"/>
        </w:rPr>
      </w:pPr>
      <w:r w:rsidRPr="007334B6">
        <w:rPr>
          <w:sz w:val="36"/>
        </w:rPr>
        <w:lastRenderedPageBreak/>
        <w:t>Contents</w:t>
      </w:r>
    </w:p>
    <w:bookmarkStart w:id="1" w:name="BKCheck15B_2"/>
    <w:bookmarkEnd w:id="1"/>
    <w:p w:rsidR="00EE5F9B" w:rsidRPr="007334B6" w:rsidRDefault="00B610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10FE">
        <w:fldChar w:fldCharType="begin"/>
      </w:r>
      <w:r w:rsidR="00EE5F9B" w:rsidRPr="007334B6">
        <w:instrText xml:space="preserve"> TOC \o "1-9" </w:instrText>
      </w:r>
      <w:r w:rsidRPr="00B610FE">
        <w:fldChar w:fldCharType="separate"/>
      </w:r>
      <w:r w:rsidR="00EE5F9B" w:rsidRPr="007334B6">
        <w:rPr>
          <w:noProof/>
        </w:rPr>
        <w:t>1</w:t>
      </w:r>
      <w:r w:rsidR="00EE5F9B" w:rsidRPr="007334B6">
        <w:rPr>
          <w:noProof/>
        </w:rPr>
        <w:tab/>
        <w:t>Name</w:t>
      </w:r>
      <w:r w:rsidR="00EE5F9B" w:rsidRPr="007334B6">
        <w:rPr>
          <w:noProof/>
        </w:rPr>
        <w:tab/>
      </w:r>
      <w:r w:rsidRPr="007334B6">
        <w:rPr>
          <w:noProof/>
        </w:rPr>
        <w:fldChar w:fldCharType="begin"/>
      </w:r>
      <w:r w:rsidR="00EE5F9B" w:rsidRPr="007334B6">
        <w:rPr>
          <w:noProof/>
        </w:rPr>
        <w:instrText xml:space="preserve"> PAGEREF _Toc422842667 \h </w:instrText>
      </w:r>
      <w:r w:rsidRPr="007334B6">
        <w:rPr>
          <w:noProof/>
        </w:rPr>
      </w:r>
      <w:r w:rsidRPr="007334B6">
        <w:rPr>
          <w:noProof/>
        </w:rPr>
        <w:fldChar w:fldCharType="separate"/>
      </w:r>
      <w:r w:rsidR="00BC4767">
        <w:rPr>
          <w:noProof/>
        </w:rPr>
        <w:t>1</w:t>
      </w:r>
      <w:r w:rsidRPr="007334B6">
        <w:rPr>
          <w:noProof/>
        </w:rPr>
        <w:fldChar w:fldCharType="end"/>
      </w:r>
    </w:p>
    <w:p w:rsidR="00EE5F9B" w:rsidRPr="007334B6" w:rsidRDefault="00EE5F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334B6">
        <w:rPr>
          <w:noProof/>
        </w:rPr>
        <w:t>2</w:t>
      </w:r>
      <w:r w:rsidRPr="007334B6">
        <w:rPr>
          <w:noProof/>
        </w:rPr>
        <w:tab/>
        <w:t>Commencement</w:t>
      </w:r>
      <w:r w:rsidRPr="007334B6">
        <w:rPr>
          <w:noProof/>
        </w:rPr>
        <w:tab/>
      </w:r>
      <w:r w:rsidR="00B610FE" w:rsidRPr="007334B6">
        <w:rPr>
          <w:noProof/>
        </w:rPr>
        <w:fldChar w:fldCharType="begin"/>
      </w:r>
      <w:r w:rsidRPr="007334B6">
        <w:rPr>
          <w:noProof/>
        </w:rPr>
        <w:instrText xml:space="preserve"> PAGEREF _Toc422842668 \h </w:instrText>
      </w:r>
      <w:r w:rsidR="00B610FE" w:rsidRPr="007334B6">
        <w:rPr>
          <w:noProof/>
        </w:rPr>
      </w:r>
      <w:r w:rsidR="00B610FE" w:rsidRPr="007334B6">
        <w:rPr>
          <w:noProof/>
        </w:rPr>
        <w:fldChar w:fldCharType="separate"/>
      </w:r>
      <w:r w:rsidR="00BC4767">
        <w:rPr>
          <w:noProof/>
        </w:rPr>
        <w:t>1</w:t>
      </w:r>
      <w:r w:rsidR="00B610FE" w:rsidRPr="007334B6">
        <w:rPr>
          <w:noProof/>
        </w:rPr>
        <w:fldChar w:fldCharType="end"/>
      </w:r>
    </w:p>
    <w:p w:rsidR="00EE5F9B" w:rsidRPr="007334B6" w:rsidRDefault="00EE5F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334B6">
        <w:rPr>
          <w:noProof/>
        </w:rPr>
        <w:t>3</w:t>
      </w:r>
      <w:r w:rsidRPr="007334B6">
        <w:rPr>
          <w:noProof/>
        </w:rPr>
        <w:tab/>
        <w:t>Authority</w:t>
      </w:r>
      <w:r w:rsidRPr="007334B6">
        <w:rPr>
          <w:noProof/>
        </w:rPr>
        <w:tab/>
      </w:r>
      <w:r w:rsidR="00B610FE" w:rsidRPr="007334B6">
        <w:rPr>
          <w:noProof/>
        </w:rPr>
        <w:fldChar w:fldCharType="begin"/>
      </w:r>
      <w:r w:rsidRPr="007334B6">
        <w:rPr>
          <w:noProof/>
        </w:rPr>
        <w:instrText xml:space="preserve"> PAGEREF _Toc422842669 \h </w:instrText>
      </w:r>
      <w:r w:rsidR="00B610FE" w:rsidRPr="007334B6">
        <w:rPr>
          <w:noProof/>
        </w:rPr>
      </w:r>
      <w:r w:rsidR="00B610FE" w:rsidRPr="007334B6">
        <w:rPr>
          <w:noProof/>
        </w:rPr>
        <w:fldChar w:fldCharType="separate"/>
      </w:r>
      <w:r w:rsidR="00BC4767">
        <w:rPr>
          <w:noProof/>
        </w:rPr>
        <w:t>1</w:t>
      </w:r>
      <w:r w:rsidR="00B610FE" w:rsidRPr="007334B6">
        <w:rPr>
          <w:noProof/>
        </w:rPr>
        <w:fldChar w:fldCharType="end"/>
      </w:r>
    </w:p>
    <w:p w:rsidR="00EE5F9B" w:rsidRPr="007334B6" w:rsidRDefault="00EE5F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334B6">
        <w:rPr>
          <w:noProof/>
        </w:rPr>
        <w:t>4</w:t>
      </w:r>
      <w:r w:rsidRPr="007334B6">
        <w:rPr>
          <w:noProof/>
        </w:rPr>
        <w:tab/>
        <w:t>Schedules</w:t>
      </w:r>
      <w:r w:rsidRPr="007334B6">
        <w:rPr>
          <w:noProof/>
        </w:rPr>
        <w:tab/>
      </w:r>
      <w:r w:rsidR="00B610FE" w:rsidRPr="007334B6">
        <w:rPr>
          <w:noProof/>
        </w:rPr>
        <w:fldChar w:fldCharType="begin"/>
      </w:r>
      <w:r w:rsidRPr="007334B6">
        <w:rPr>
          <w:noProof/>
        </w:rPr>
        <w:instrText xml:space="preserve"> PAGEREF _Toc422842670 \h </w:instrText>
      </w:r>
      <w:r w:rsidR="00B610FE" w:rsidRPr="007334B6">
        <w:rPr>
          <w:noProof/>
        </w:rPr>
      </w:r>
      <w:r w:rsidR="00B610FE" w:rsidRPr="007334B6">
        <w:rPr>
          <w:noProof/>
        </w:rPr>
        <w:fldChar w:fldCharType="separate"/>
      </w:r>
      <w:r w:rsidR="00BC4767">
        <w:rPr>
          <w:noProof/>
        </w:rPr>
        <w:t>1</w:t>
      </w:r>
      <w:r w:rsidR="00B610FE" w:rsidRPr="007334B6">
        <w:rPr>
          <w:noProof/>
        </w:rPr>
        <w:fldChar w:fldCharType="end"/>
      </w:r>
    </w:p>
    <w:p w:rsidR="00EE5F9B" w:rsidRPr="007334B6" w:rsidRDefault="00EE5F9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334B6">
        <w:rPr>
          <w:noProof/>
        </w:rPr>
        <w:t>Schedule</w:t>
      </w:r>
      <w:r w:rsidR="007334B6" w:rsidRPr="007334B6">
        <w:rPr>
          <w:noProof/>
        </w:rPr>
        <w:t> </w:t>
      </w:r>
      <w:r w:rsidRPr="007334B6">
        <w:rPr>
          <w:noProof/>
        </w:rPr>
        <w:t>1—Fugitive emissions and scope 2 emissions</w:t>
      </w:r>
      <w:r w:rsidRPr="007334B6">
        <w:rPr>
          <w:b w:val="0"/>
          <w:noProof/>
          <w:sz w:val="18"/>
        </w:rPr>
        <w:tab/>
      </w:r>
      <w:r w:rsidR="00B610FE" w:rsidRPr="007334B6">
        <w:rPr>
          <w:b w:val="0"/>
          <w:noProof/>
          <w:sz w:val="18"/>
        </w:rPr>
        <w:fldChar w:fldCharType="begin"/>
      </w:r>
      <w:r w:rsidRPr="007334B6">
        <w:rPr>
          <w:b w:val="0"/>
          <w:noProof/>
          <w:sz w:val="18"/>
        </w:rPr>
        <w:instrText xml:space="preserve"> PAGEREF _Toc422842671 \h </w:instrText>
      </w:r>
      <w:r w:rsidR="00B610FE" w:rsidRPr="007334B6">
        <w:rPr>
          <w:b w:val="0"/>
          <w:noProof/>
          <w:sz w:val="18"/>
        </w:rPr>
      </w:r>
      <w:r w:rsidR="00B610FE" w:rsidRPr="007334B6">
        <w:rPr>
          <w:b w:val="0"/>
          <w:noProof/>
          <w:sz w:val="18"/>
        </w:rPr>
        <w:fldChar w:fldCharType="separate"/>
      </w:r>
      <w:r w:rsidR="00BC4767">
        <w:rPr>
          <w:b w:val="0"/>
          <w:noProof/>
          <w:sz w:val="18"/>
        </w:rPr>
        <w:t>2</w:t>
      </w:r>
      <w:r w:rsidR="00B610FE" w:rsidRPr="007334B6">
        <w:rPr>
          <w:b w:val="0"/>
          <w:noProof/>
          <w:sz w:val="18"/>
        </w:rPr>
        <w:fldChar w:fldCharType="end"/>
      </w:r>
    </w:p>
    <w:p w:rsidR="00EE5F9B" w:rsidRPr="007334B6" w:rsidRDefault="00EE5F9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334B6">
        <w:rPr>
          <w:noProof/>
        </w:rPr>
        <w:t>National Greenhouse and Energy Reporting (Measurement) Determination</w:t>
      </w:r>
      <w:r w:rsidR="007334B6" w:rsidRPr="007334B6">
        <w:rPr>
          <w:noProof/>
        </w:rPr>
        <w:t> </w:t>
      </w:r>
      <w:r w:rsidRPr="007334B6">
        <w:rPr>
          <w:noProof/>
        </w:rPr>
        <w:t>2008</w:t>
      </w:r>
      <w:r w:rsidRPr="007334B6">
        <w:rPr>
          <w:i w:val="0"/>
          <w:noProof/>
          <w:sz w:val="18"/>
        </w:rPr>
        <w:tab/>
      </w:r>
      <w:r w:rsidR="00B610FE" w:rsidRPr="007334B6">
        <w:rPr>
          <w:i w:val="0"/>
          <w:noProof/>
          <w:sz w:val="18"/>
        </w:rPr>
        <w:fldChar w:fldCharType="begin"/>
      </w:r>
      <w:r w:rsidRPr="007334B6">
        <w:rPr>
          <w:i w:val="0"/>
          <w:noProof/>
          <w:sz w:val="18"/>
        </w:rPr>
        <w:instrText xml:space="preserve"> PAGEREF _Toc422842672 \h </w:instrText>
      </w:r>
      <w:r w:rsidR="00B610FE" w:rsidRPr="007334B6">
        <w:rPr>
          <w:i w:val="0"/>
          <w:noProof/>
          <w:sz w:val="18"/>
        </w:rPr>
      </w:r>
      <w:r w:rsidR="00B610FE" w:rsidRPr="007334B6">
        <w:rPr>
          <w:i w:val="0"/>
          <w:noProof/>
          <w:sz w:val="18"/>
        </w:rPr>
        <w:fldChar w:fldCharType="separate"/>
      </w:r>
      <w:r w:rsidR="00BC4767">
        <w:rPr>
          <w:i w:val="0"/>
          <w:noProof/>
          <w:sz w:val="18"/>
        </w:rPr>
        <w:t>2</w:t>
      </w:r>
      <w:r w:rsidR="00B610FE" w:rsidRPr="007334B6">
        <w:rPr>
          <w:i w:val="0"/>
          <w:noProof/>
          <w:sz w:val="18"/>
        </w:rPr>
        <w:fldChar w:fldCharType="end"/>
      </w:r>
    </w:p>
    <w:p w:rsidR="00EE5F9B" w:rsidRPr="007334B6" w:rsidRDefault="00EE5F9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334B6">
        <w:rPr>
          <w:noProof/>
        </w:rPr>
        <w:t>Schedule</w:t>
      </w:r>
      <w:r w:rsidR="007334B6" w:rsidRPr="007334B6">
        <w:rPr>
          <w:noProof/>
        </w:rPr>
        <w:t> </w:t>
      </w:r>
      <w:r w:rsidRPr="007334B6">
        <w:rPr>
          <w:noProof/>
        </w:rPr>
        <w:t>2—Biological treatment of solid waste</w:t>
      </w:r>
      <w:r w:rsidRPr="007334B6">
        <w:rPr>
          <w:b w:val="0"/>
          <w:noProof/>
          <w:sz w:val="18"/>
        </w:rPr>
        <w:tab/>
      </w:r>
      <w:r w:rsidR="00B610FE" w:rsidRPr="007334B6">
        <w:rPr>
          <w:b w:val="0"/>
          <w:noProof/>
          <w:sz w:val="18"/>
        </w:rPr>
        <w:fldChar w:fldCharType="begin"/>
      </w:r>
      <w:r w:rsidRPr="007334B6">
        <w:rPr>
          <w:b w:val="0"/>
          <w:noProof/>
          <w:sz w:val="18"/>
        </w:rPr>
        <w:instrText xml:space="preserve"> PAGEREF _Toc422842679 \h </w:instrText>
      </w:r>
      <w:r w:rsidR="00B610FE" w:rsidRPr="007334B6">
        <w:rPr>
          <w:b w:val="0"/>
          <w:noProof/>
          <w:sz w:val="18"/>
        </w:rPr>
      </w:r>
      <w:r w:rsidR="00B610FE" w:rsidRPr="007334B6">
        <w:rPr>
          <w:b w:val="0"/>
          <w:noProof/>
          <w:sz w:val="18"/>
        </w:rPr>
        <w:fldChar w:fldCharType="separate"/>
      </w:r>
      <w:r w:rsidR="00BC4767">
        <w:rPr>
          <w:b w:val="0"/>
          <w:noProof/>
          <w:sz w:val="18"/>
        </w:rPr>
        <w:t>7</w:t>
      </w:r>
      <w:r w:rsidR="00B610FE" w:rsidRPr="007334B6">
        <w:rPr>
          <w:b w:val="0"/>
          <w:noProof/>
          <w:sz w:val="18"/>
        </w:rPr>
        <w:fldChar w:fldCharType="end"/>
      </w:r>
    </w:p>
    <w:p w:rsidR="00EE5F9B" w:rsidRPr="007334B6" w:rsidRDefault="00EE5F9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334B6">
        <w:rPr>
          <w:noProof/>
        </w:rPr>
        <w:t>National Greenhouse and Energy Reporting (Measurement) Determination</w:t>
      </w:r>
      <w:r w:rsidR="007334B6" w:rsidRPr="007334B6">
        <w:rPr>
          <w:noProof/>
        </w:rPr>
        <w:t> </w:t>
      </w:r>
      <w:r w:rsidRPr="007334B6">
        <w:rPr>
          <w:noProof/>
        </w:rPr>
        <w:t>2008</w:t>
      </w:r>
      <w:r w:rsidRPr="007334B6">
        <w:rPr>
          <w:i w:val="0"/>
          <w:noProof/>
          <w:sz w:val="18"/>
        </w:rPr>
        <w:tab/>
      </w:r>
      <w:r w:rsidR="00B610FE" w:rsidRPr="007334B6">
        <w:rPr>
          <w:i w:val="0"/>
          <w:noProof/>
          <w:sz w:val="18"/>
        </w:rPr>
        <w:fldChar w:fldCharType="begin"/>
      </w:r>
      <w:r w:rsidRPr="007334B6">
        <w:rPr>
          <w:i w:val="0"/>
          <w:noProof/>
          <w:sz w:val="18"/>
        </w:rPr>
        <w:instrText xml:space="preserve"> PAGEREF _Toc422842680 \h </w:instrText>
      </w:r>
      <w:r w:rsidR="00B610FE" w:rsidRPr="007334B6">
        <w:rPr>
          <w:i w:val="0"/>
          <w:noProof/>
          <w:sz w:val="18"/>
        </w:rPr>
      </w:r>
      <w:r w:rsidR="00B610FE" w:rsidRPr="007334B6">
        <w:rPr>
          <w:i w:val="0"/>
          <w:noProof/>
          <w:sz w:val="18"/>
        </w:rPr>
        <w:fldChar w:fldCharType="separate"/>
      </w:r>
      <w:r w:rsidR="00BC4767">
        <w:rPr>
          <w:i w:val="0"/>
          <w:noProof/>
          <w:sz w:val="18"/>
        </w:rPr>
        <w:t>7</w:t>
      </w:r>
      <w:r w:rsidR="00B610FE" w:rsidRPr="007334B6">
        <w:rPr>
          <w:i w:val="0"/>
          <w:noProof/>
          <w:sz w:val="18"/>
        </w:rPr>
        <w:fldChar w:fldCharType="end"/>
      </w:r>
    </w:p>
    <w:p w:rsidR="00EE5F9B" w:rsidRPr="007334B6" w:rsidRDefault="00EE5F9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334B6">
        <w:rPr>
          <w:noProof/>
        </w:rPr>
        <w:t>Schedule</w:t>
      </w:r>
      <w:r w:rsidR="007334B6" w:rsidRPr="007334B6">
        <w:rPr>
          <w:noProof/>
        </w:rPr>
        <w:t> </w:t>
      </w:r>
      <w:r w:rsidRPr="007334B6">
        <w:rPr>
          <w:noProof/>
        </w:rPr>
        <w:t>3—Application and transitional</w:t>
      </w:r>
      <w:r w:rsidRPr="007334B6">
        <w:rPr>
          <w:b w:val="0"/>
          <w:noProof/>
          <w:sz w:val="18"/>
        </w:rPr>
        <w:tab/>
      </w:r>
      <w:r w:rsidR="00B610FE" w:rsidRPr="007334B6">
        <w:rPr>
          <w:b w:val="0"/>
          <w:noProof/>
          <w:sz w:val="18"/>
        </w:rPr>
        <w:fldChar w:fldCharType="begin"/>
      </w:r>
      <w:r w:rsidRPr="007334B6">
        <w:rPr>
          <w:b w:val="0"/>
          <w:noProof/>
          <w:sz w:val="18"/>
        </w:rPr>
        <w:instrText xml:space="preserve"> PAGEREF _Toc422842683 \h </w:instrText>
      </w:r>
      <w:r w:rsidR="00B610FE" w:rsidRPr="007334B6">
        <w:rPr>
          <w:b w:val="0"/>
          <w:noProof/>
          <w:sz w:val="18"/>
        </w:rPr>
      </w:r>
      <w:r w:rsidR="00B610FE" w:rsidRPr="007334B6">
        <w:rPr>
          <w:b w:val="0"/>
          <w:noProof/>
          <w:sz w:val="18"/>
        </w:rPr>
        <w:fldChar w:fldCharType="separate"/>
      </w:r>
      <w:r w:rsidR="00BC4767">
        <w:rPr>
          <w:b w:val="0"/>
          <w:noProof/>
          <w:sz w:val="18"/>
        </w:rPr>
        <w:t>9</w:t>
      </w:r>
      <w:r w:rsidR="00B610FE" w:rsidRPr="007334B6">
        <w:rPr>
          <w:b w:val="0"/>
          <w:noProof/>
          <w:sz w:val="18"/>
        </w:rPr>
        <w:fldChar w:fldCharType="end"/>
      </w:r>
    </w:p>
    <w:p w:rsidR="00EE5F9B" w:rsidRPr="007334B6" w:rsidRDefault="00EE5F9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334B6">
        <w:rPr>
          <w:noProof/>
        </w:rPr>
        <w:t>National Greenhouse and Energy Reporting (Measurement) Determination</w:t>
      </w:r>
      <w:r w:rsidR="007334B6" w:rsidRPr="007334B6">
        <w:rPr>
          <w:noProof/>
        </w:rPr>
        <w:t> </w:t>
      </w:r>
      <w:r w:rsidRPr="007334B6">
        <w:rPr>
          <w:noProof/>
        </w:rPr>
        <w:t>2008</w:t>
      </w:r>
      <w:r w:rsidRPr="007334B6">
        <w:rPr>
          <w:i w:val="0"/>
          <w:noProof/>
          <w:sz w:val="18"/>
        </w:rPr>
        <w:tab/>
      </w:r>
      <w:r w:rsidR="00B610FE" w:rsidRPr="007334B6">
        <w:rPr>
          <w:i w:val="0"/>
          <w:noProof/>
          <w:sz w:val="18"/>
        </w:rPr>
        <w:fldChar w:fldCharType="begin"/>
      </w:r>
      <w:r w:rsidRPr="007334B6">
        <w:rPr>
          <w:i w:val="0"/>
          <w:noProof/>
          <w:sz w:val="18"/>
        </w:rPr>
        <w:instrText xml:space="preserve"> PAGEREF _Toc422842684 \h </w:instrText>
      </w:r>
      <w:r w:rsidR="00B610FE" w:rsidRPr="007334B6">
        <w:rPr>
          <w:i w:val="0"/>
          <w:noProof/>
          <w:sz w:val="18"/>
        </w:rPr>
      </w:r>
      <w:r w:rsidR="00B610FE" w:rsidRPr="007334B6">
        <w:rPr>
          <w:i w:val="0"/>
          <w:noProof/>
          <w:sz w:val="18"/>
        </w:rPr>
        <w:fldChar w:fldCharType="separate"/>
      </w:r>
      <w:r w:rsidR="00BC4767">
        <w:rPr>
          <w:i w:val="0"/>
          <w:noProof/>
          <w:sz w:val="18"/>
        </w:rPr>
        <w:t>9</w:t>
      </w:r>
      <w:r w:rsidR="00B610FE" w:rsidRPr="007334B6">
        <w:rPr>
          <w:i w:val="0"/>
          <w:noProof/>
          <w:sz w:val="18"/>
        </w:rPr>
        <w:fldChar w:fldCharType="end"/>
      </w:r>
    </w:p>
    <w:p w:rsidR="0048364F" w:rsidRPr="007334B6" w:rsidRDefault="00B610FE" w:rsidP="0048364F">
      <w:r w:rsidRPr="007334B6">
        <w:fldChar w:fldCharType="end"/>
      </w:r>
    </w:p>
    <w:p w:rsidR="0048364F" w:rsidRPr="007334B6" w:rsidRDefault="0048364F" w:rsidP="0048364F">
      <w:pPr>
        <w:sectPr w:rsidR="0048364F" w:rsidRPr="007334B6" w:rsidSect="00BA4EC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7334B6" w:rsidRDefault="0048364F" w:rsidP="0048364F">
      <w:pPr>
        <w:pStyle w:val="ActHead5"/>
      </w:pPr>
      <w:bookmarkStart w:id="2" w:name="_Toc422842667"/>
      <w:bookmarkStart w:id="3" w:name="_GoBack"/>
      <w:proofErr w:type="gramStart"/>
      <w:r w:rsidRPr="007334B6">
        <w:rPr>
          <w:rStyle w:val="CharSectno"/>
        </w:rPr>
        <w:lastRenderedPageBreak/>
        <w:t>1</w:t>
      </w:r>
      <w:r w:rsidRPr="007334B6">
        <w:t xml:space="preserve">  </w:t>
      </w:r>
      <w:r w:rsidR="004F676E" w:rsidRPr="007334B6">
        <w:t>Name</w:t>
      </w:r>
      <w:bookmarkEnd w:id="2"/>
      <w:proofErr w:type="gramEnd"/>
    </w:p>
    <w:p w:rsidR="0048364F" w:rsidRPr="007334B6" w:rsidRDefault="0048364F" w:rsidP="0048364F">
      <w:pPr>
        <w:pStyle w:val="subsection"/>
      </w:pPr>
      <w:r w:rsidRPr="007334B6">
        <w:tab/>
      </w:r>
      <w:r w:rsidRPr="007334B6">
        <w:tab/>
        <w:t xml:space="preserve">This </w:t>
      </w:r>
      <w:r w:rsidR="00613EAD" w:rsidRPr="007334B6">
        <w:t>is</w:t>
      </w:r>
      <w:r w:rsidRPr="007334B6">
        <w:t xml:space="preserve"> the </w:t>
      </w:r>
      <w:bookmarkStart w:id="4" w:name="BKCheck15B_3"/>
      <w:bookmarkEnd w:id="4"/>
      <w:r w:rsidR="00B610FE" w:rsidRPr="007334B6">
        <w:rPr>
          <w:i/>
        </w:rPr>
        <w:fldChar w:fldCharType="begin"/>
      </w:r>
      <w:r w:rsidR="00414ADE" w:rsidRPr="007334B6">
        <w:rPr>
          <w:i/>
        </w:rPr>
        <w:instrText xml:space="preserve"> STYLEREF  ShortT </w:instrText>
      </w:r>
      <w:r w:rsidR="00B610FE" w:rsidRPr="007334B6">
        <w:rPr>
          <w:i/>
        </w:rPr>
        <w:fldChar w:fldCharType="separate"/>
      </w:r>
      <w:r w:rsidR="00BC4767">
        <w:rPr>
          <w:i/>
          <w:noProof/>
        </w:rPr>
        <w:t>National Greenhouse and Energy Reporting (Measurement) Amendment Determination 2015 (No. 2)</w:t>
      </w:r>
      <w:r w:rsidR="00B610FE" w:rsidRPr="007334B6">
        <w:rPr>
          <w:i/>
        </w:rPr>
        <w:fldChar w:fldCharType="end"/>
      </w:r>
      <w:r w:rsidRPr="007334B6">
        <w:t>.</w:t>
      </w:r>
    </w:p>
    <w:p w:rsidR="0048364F" w:rsidRPr="007334B6" w:rsidRDefault="0048364F" w:rsidP="0048364F">
      <w:pPr>
        <w:pStyle w:val="ActHead5"/>
      </w:pPr>
      <w:bookmarkStart w:id="5" w:name="_Toc422842668"/>
      <w:proofErr w:type="gramStart"/>
      <w:r w:rsidRPr="007334B6">
        <w:rPr>
          <w:rStyle w:val="CharSectno"/>
        </w:rPr>
        <w:t>2</w:t>
      </w:r>
      <w:r w:rsidRPr="007334B6">
        <w:t xml:space="preserve">  Commencement</w:t>
      </w:r>
      <w:bookmarkEnd w:id="5"/>
      <w:proofErr w:type="gramEnd"/>
    </w:p>
    <w:p w:rsidR="00080F73" w:rsidRPr="007334B6" w:rsidRDefault="00080F73" w:rsidP="008F77B6">
      <w:pPr>
        <w:pStyle w:val="subsection"/>
      </w:pPr>
      <w:r w:rsidRPr="007334B6">
        <w:tab/>
        <w:t>(1)</w:t>
      </w:r>
      <w:r w:rsidRPr="007334B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62862" w:rsidRPr="007334B6" w:rsidRDefault="00062862" w:rsidP="0006286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2127"/>
        <w:gridCol w:w="4394"/>
        <w:gridCol w:w="1843"/>
      </w:tblGrid>
      <w:tr w:rsidR="00062862" w:rsidRPr="007334B6" w:rsidTr="0006286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062862" w:rsidRPr="007334B6" w:rsidRDefault="00062862" w:rsidP="00062862">
            <w:pPr>
              <w:pStyle w:val="TableHeading"/>
            </w:pPr>
            <w:r w:rsidRPr="007334B6">
              <w:t>Commencement information</w:t>
            </w:r>
          </w:p>
        </w:tc>
      </w:tr>
      <w:tr w:rsidR="00062862" w:rsidRPr="007334B6" w:rsidTr="00062862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62862" w:rsidRPr="007334B6" w:rsidRDefault="00062862" w:rsidP="00062862">
            <w:pPr>
              <w:pStyle w:val="TableHeading"/>
            </w:pPr>
            <w:r w:rsidRPr="007334B6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62862" w:rsidRPr="007334B6" w:rsidRDefault="00062862" w:rsidP="00062862">
            <w:pPr>
              <w:pStyle w:val="TableHeading"/>
            </w:pPr>
            <w:r w:rsidRPr="007334B6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62862" w:rsidRPr="007334B6" w:rsidRDefault="00062862" w:rsidP="00062862">
            <w:pPr>
              <w:pStyle w:val="TableHeading"/>
            </w:pPr>
            <w:r w:rsidRPr="007334B6">
              <w:t>Column 3</w:t>
            </w:r>
          </w:p>
        </w:tc>
      </w:tr>
      <w:tr w:rsidR="00062862" w:rsidRPr="007334B6" w:rsidTr="00062862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62862" w:rsidRPr="007334B6" w:rsidRDefault="00062862" w:rsidP="00062862">
            <w:pPr>
              <w:pStyle w:val="TableHeading"/>
            </w:pPr>
            <w:r w:rsidRPr="007334B6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62862" w:rsidRPr="007334B6" w:rsidRDefault="00062862" w:rsidP="00062862">
            <w:pPr>
              <w:pStyle w:val="TableHeading"/>
            </w:pPr>
            <w:r w:rsidRPr="007334B6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62862" w:rsidRPr="007334B6" w:rsidRDefault="00062862" w:rsidP="00062862">
            <w:pPr>
              <w:pStyle w:val="TableHeading"/>
            </w:pPr>
            <w:r w:rsidRPr="007334B6">
              <w:t>Date/Details</w:t>
            </w:r>
          </w:p>
        </w:tc>
      </w:tr>
      <w:tr w:rsidR="00062862" w:rsidRPr="007334B6" w:rsidTr="00062862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</w:tcPr>
          <w:p w:rsidR="00062862" w:rsidRPr="007334B6" w:rsidRDefault="00062862" w:rsidP="00062862">
            <w:pPr>
              <w:pStyle w:val="Tabletext"/>
            </w:pPr>
            <w:r w:rsidRPr="007334B6">
              <w:t>1.  Sections</w:t>
            </w:r>
            <w:r w:rsidR="007334B6" w:rsidRPr="007334B6">
              <w:t> </w:t>
            </w:r>
            <w:r w:rsidRPr="007334B6">
              <w:t>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</w:tcPr>
          <w:p w:rsidR="00062862" w:rsidRPr="007334B6" w:rsidRDefault="00F163B4" w:rsidP="00062862">
            <w:pPr>
              <w:pStyle w:val="Tabletext"/>
            </w:pPr>
            <w:r w:rsidRPr="007334B6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062862" w:rsidRPr="007334B6" w:rsidRDefault="00062862" w:rsidP="00062862">
            <w:pPr>
              <w:pStyle w:val="Tabletext"/>
            </w:pPr>
          </w:p>
        </w:tc>
      </w:tr>
      <w:tr w:rsidR="00062862" w:rsidRPr="007334B6" w:rsidTr="00062862">
        <w:tc>
          <w:tcPr>
            <w:tcW w:w="2127" w:type="dxa"/>
            <w:shd w:val="clear" w:color="auto" w:fill="auto"/>
          </w:tcPr>
          <w:p w:rsidR="00062862" w:rsidRPr="007334B6" w:rsidRDefault="00062862" w:rsidP="005E340C">
            <w:pPr>
              <w:pStyle w:val="Tabletext"/>
            </w:pPr>
            <w:r w:rsidRPr="007334B6">
              <w:t>2.  Schedule</w:t>
            </w:r>
            <w:r w:rsidR="007334B6" w:rsidRPr="007334B6">
              <w:t> </w:t>
            </w:r>
            <w:r w:rsidRPr="007334B6">
              <w:t>1</w:t>
            </w:r>
          </w:p>
        </w:tc>
        <w:tc>
          <w:tcPr>
            <w:tcW w:w="4394" w:type="dxa"/>
            <w:shd w:val="clear" w:color="auto" w:fill="auto"/>
          </w:tcPr>
          <w:p w:rsidR="00062862" w:rsidRPr="007334B6" w:rsidRDefault="00062862" w:rsidP="00062862">
            <w:pPr>
              <w:pStyle w:val="Tabletext"/>
            </w:pPr>
            <w:r w:rsidRPr="007334B6">
              <w:t>1</w:t>
            </w:r>
            <w:r w:rsidR="007334B6" w:rsidRPr="007334B6">
              <w:t> </w:t>
            </w:r>
            <w:r w:rsidRPr="007334B6">
              <w:t>July 2015.</w:t>
            </w:r>
          </w:p>
        </w:tc>
        <w:tc>
          <w:tcPr>
            <w:tcW w:w="1843" w:type="dxa"/>
            <w:shd w:val="clear" w:color="auto" w:fill="auto"/>
          </w:tcPr>
          <w:p w:rsidR="00062862" w:rsidRPr="007334B6" w:rsidRDefault="00062862" w:rsidP="00062862">
            <w:pPr>
              <w:pStyle w:val="Tabletext"/>
            </w:pPr>
            <w:r w:rsidRPr="007334B6">
              <w:t>1</w:t>
            </w:r>
            <w:r w:rsidR="007334B6" w:rsidRPr="007334B6">
              <w:t> </w:t>
            </w:r>
            <w:r w:rsidRPr="007334B6">
              <w:t>July 2015</w:t>
            </w:r>
          </w:p>
        </w:tc>
      </w:tr>
      <w:tr w:rsidR="00062862" w:rsidRPr="007334B6" w:rsidTr="00062862">
        <w:tc>
          <w:tcPr>
            <w:tcW w:w="2127" w:type="dxa"/>
            <w:shd w:val="clear" w:color="auto" w:fill="auto"/>
          </w:tcPr>
          <w:p w:rsidR="00062862" w:rsidRPr="007334B6" w:rsidRDefault="00062862" w:rsidP="00062862">
            <w:pPr>
              <w:pStyle w:val="Tabletext"/>
            </w:pPr>
            <w:r w:rsidRPr="007334B6">
              <w:t>3.  Schedule</w:t>
            </w:r>
            <w:r w:rsidR="007334B6" w:rsidRPr="007334B6">
              <w:t> </w:t>
            </w:r>
            <w:r w:rsidR="005E340C" w:rsidRPr="007334B6">
              <w:t>2</w:t>
            </w:r>
          </w:p>
        </w:tc>
        <w:tc>
          <w:tcPr>
            <w:tcW w:w="4394" w:type="dxa"/>
            <w:shd w:val="clear" w:color="auto" w:fill="auto"/>
          </w:tcPr>
          <w:p w:rsidR="00062862" w:rsidRPr="007334B6" w:rsidRDefault="00062862" w:rsidP="00062862">
            <w:pPr>
              <w:pStyle w:val="Tabletext"/>
            </w:pPr>
            <w:r w:rsidRPr="007334B6">
              <w:t>1</w:t>
            </w:r>
            <w:r w:rsidR="007334B6" w:rsidRPr="007334B6">
              <w:t> </w:t>
            </w:r>
            <w:r w:rsidRPr="007334B6">
              <w:t>July 2016.</w:t>
            </w:r>
          </w:p>
        </w:tc>
        <w:tc>
          <w:tcPr>
            <w:tcW w:w="1843" w:type="dxa"/>
            <w:shd w:val="clear" w:color="auto" w:fill="auto"/>
          </w:tcPr>
          <w:p w:rsidR="00062862" w:rsidRPr="007334B6" w:rsidRDefault="00062862" w:rsidP="00062862">
            <w:pPr>
              <w:pStyle w:val="Tabletext"/>
            </w:pPr>
            <w:r w:rsidRPr="007334B6">
              <w:t>1</w:t>
            </w:r>
            <w:r w:rsidR="007334B6" w:rsidRPr="007334B6">
              <w:t> </w:t>
            </w:r>
            <w:r w:rsidRPr="007334B6">
              <w:t>July 2016</w:t>
            </w:r>
          </w:p>
        </w:tc>
      </w:tr>
      <w:tr w:rsidR="00062862" w:rsidRPr="007334B6" w:rsidTr="00062862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62862" w:rsidRPr="007334B6" w:rsidRDefault="00062862" w:rsidP="00062862">
            <w:pPr>
              <w:pStyle w:val="Tabletext"/>
            </w:pPr>
            <w:r w:rsidRPr="007334B6">
              <w:t>4.  Schedule</w:t>
            </w:r>
            <w:r w:rsidR="007334B6" w:rsidRPr="007334B6">
              <w:t> </w:t>
            </w:r>
            <w:r w:rsidR="005E340C" w:rsidRPr="007334B6">
              <w:t>3</w:t>
            </w:r>
            <w:r w:rsidRPr="007334B6">
              <w:t>, item</w:t>
            </w:r>
            <w:r w:rsidR="007334B6" w:rsidRPr="007334B6">
              <w:t> </w:t>
            </w:r>
            <w:r w:rsidRPr="007334B6"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062862" w:rsidRPr="007334B6" w:rsidRDefault="00062862" w:rsidP="00062862">
            <w:pPr>
              <w:pStyle w:val="Tabletext"/>
            </w:pPr>
            <w:r w:rsidRPr="007334B6">
              <w:t>1</w:t>
            </w:r>
            <w:r w:rsidR="007334B6" w:rsidRPr="007334B6">
              <w:t> </w:t>
            </w:r>
            <w:r w:rsidRPr="007334B6">
              <w:t>July 2015.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62862" w:rsidRPr="007334B6" w:rsidRDefault="00062862" w:rsidP="00062862">
            <w:pPr>
              <w:pStyle w:val="Tabletext"/>
            </w:pPr>
            <w:r w:rsidRPr="007334B6">
              <w:t>1</w:t>
            </w:r>
            <w:r w:rsidR="007334B6" w:rsidRPr="007334B6">
              <w:t> </w:t>
            </w:r>
            <w:r w:rsidRPr="007334B6">
              <w:t>July 2015</w:t>
            </w:r>
          </w:p>
        </w:tc>
      </w:tr>
      <w:tr w:rsidR="00062862" w:rsidRPr="007334B6" w:rsidTr="00062862"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062862" w:rsidRPr="007334B6" w:rsidRDefault="00062862" w:rsidP="00062862">
            <w:pPr>
              <w:pStyle w:val="Tabletext"/>
            </w:pPr>
            <w:r w:rsidRPr="007334B6">
              <w:t>5.  Schedule</w:t>
            </w:r>
            <w:r w:rsidR="007334B6" w:rsidRPr="007334B6">
              <w:t> </w:t>
            </w:r>
            <w:r w:rsidR="005E340C" w:rsidRPr="007334B6">
              <w:t>3</w:t>
            </w:r>
            <w:r w:rsidRPr="007334B6">
              <w:t>, item</w:t>
            </w:r>
            <w:r w:rsidR="007334B6" w:rsidRPr="007334B6">
              <w:t> </w:t>
            </w:r>
            <w:r w:rsidRPr="007334B6">
              <w:t>2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062862" w:rsidRPr="007334B6" w:rsidRDefault="00062862" w:rsidP="00062862">
            <w:pPr>
              <w:pStyle w:val="Tabletext"/>
            </w:pPr>
            <w:r w:rsidRPr="007334B6">
              <w:t>1</w:t>
            </w:r>
            <w:r w:rsidR="007334B6" w:rsidRPr="007334B6">
              <w:t> </w:t>
            </w:r>
            <w:r w:rsidRPr="007334B6">
              <w:t>July 2016.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062862" w:rsidRPr="007334B6" w:rsidRDefault="00062862" w:rsidP="00062862">
            <w:pPr>
              <w:pStyle w:val="Tabletext"/>
            </w:pPr>
            <w:r w:rsidRPr="007334B6">
              <w:t>1</w:t>
            </w:r>
            <w:r w:rsidR="007334B6" w:rsidRPr="007334B6">
              <w:t> </w:t>
            </w:r>
            <w:r w:rsidRPr="007334B6">
              <w:t>July 2016</w:t>
            </w:r>
          </w:p>
        </w:tc>
      </w:tr>
    </w:tbl>
    <w:p w:rsidR="00080F73" w:rsidRPr="007334B6" w:rsidRDefault="00080F73" w:rsidP="008F77B6">
      <w:pPr>
        <w:pStyle w:val="notetext"/>
      </w:pPr>
      <w:r w:rsidRPr="007334B6">
        <w:rPr>
          <w:snapToGrid w:val="0"/>
          <w:lang w:eastAsia="en-US"/>
        </w:rPr>
        <w:t xml:space="preserve">Note: </w:t>
      </w:r>
      <w:r w:rsidRPr="007334B6">
        <w:rPr>
          <w:snapToGrid w:val="0"/>
          <w:lang w:eastAsia="en-US"/>
        </w:rPr>
        <w:tab/>
        <w:t xml:space="preserve">This table relates only to the provisions of this </w:t>
      </w:r>
      <w:r w:rsidRPr="007334B6">
        <w:t xml:space="preserve">instrument </w:t>
      </w:r>
      <w:r w:rsidRPr="007334B6">
        <w:rPr>
          <w:snapToGrid w:val="0"/>
          <w:lang w:eastAsia="en-US"/>
        </w:rPr>
        <w:t xml:space="preserve">as originally made. It will not be amended to deal with any later amendments of this </w:t>
      </w:r>
      <w:r w:rsidRPr="007334B6">
        <w:t>instrument</w:t>
      </w:r>
      <w:r w:rsidRPr="007334B6">
        <w:rPr>
          <w:snapToGrid w:val="0"/>
          <w:lang w:eastAsia="en-US"/>
        </w:rPr>
        <w:t>.</w:t>
      </w:r>
    </w:p>
    <w:p w:rsidR="00080F73" w:rsidRPr="007334B6" w:rsidRDefault="00080F73" w:rsidP="008F77B6">
      <w:pPr>
        <w:pStyle w:val="subsection"/>
      </w:pPr>
      <w:r w:rsidRPr="007334B6">
        <w:tab/>
        <w:t>(2)</w:t>
      </w:r>
      <w:r w:rsidRPr="007334B6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7334B6" w:rsidRDefault="00BF6650" w:rsidP="00BF6650">
      <w:pPr>
        <w:pStyle w:val="ActHead5"/>
      </w:pPr>
      <w:bookmarkStart w:id="6" w:name="_Toc422842669"/>
      <w:proofErr w:type="gramStart"/>
      <w:r w:rsidRPr="007334B6">
        <w:rPr>
          <w:rStyle w:val="CharSectno"/>
        </w:rPr>
        <w:t>3</w:t>
      </w:r>
      <w:r w:rsidRPr="007334B6">
        <w:t xml:space="preserve">  Authority</w:t>
      </w:r>
      <w:bookmarkEnd w:id="6"/>
      <w:proofErr w:type="gramEnd"/>
    </w:p>
    <w:p w:rsidR="00BF6650" w:rsidRPr="007334B6" w:rsidRDefault="00BF6650" w:rsidP="00BF6650">
      <w:pPr>
        <w:pStyle w:val="subsection"/>
      </w:pPr>
      <w:r w:rsidRPr="007334B6">
        <w:tab/>
      </w:r>
      <w:r w:rsidRPr="007334B6">
        <w:tab/>
        <w:t xml:space="preserve">This </w:t>
      </w:r>
      <w:r w:rsidR="00080F73" w:rsidRPr="007334B6">
        <w:t>instrument</w:t>
      </w:r>
      <w:r w:rsidRPr="007334B6">
        <w:t xml:space="preserve"> is made under the </w:t>
      </w:r>
      <w:r w:rsidR="00080F73" w:rsidRPr="007334B6">
        <w:rPr>
          <w:i/>
        </w:rPr>
        <w:t>National Greenhouse and Energy Reporting Act 2007</w:t>
      </w:r>
      <w:r w:rsidR="00546FA3" w:rsidRPr="007334B6">
        <w:rPr>
          <w:i/>
        </w:rPr>
        <w:t>.</w:t>
      </w:r>
    </w:p>
    <w:p w:rsidR="00557C7A" w:rsidRPr="007334B6" w:rsidRDefault="00BF6650" w:rsidP="00557C7A">
      <w:pPr>
        <w:pStyle w:val="ActHead5"/>
      </w:pPr>
      <w:bookmarkStart w:id="7" w:name="_Toc422842670"/>
      <w:proofErr w:type="gramStart"/>
      <w:r w:rsidRPr="007334B6">
        <w:rPr>
          <w:rStyle w:val="CharSectno"/>
        </w:rPr>
        <w:t>4</w:t>
      </w:r>
      <w:r w:rsidR="00557C7A" w:rsidRPr="007334B6">
        <w:t xml:space="preserve">  </w:t>
      </w:r>
      <w:r w:rsidR="00083F48" w:rsidRPr="007334B6">
        <w:t>Schedules</w:t>
      </w:r>
      <w:bookmarkEnd w:id="7"/>
      <w:proofErr w:type="gramEnd"/>
    </w:p>
    <w:p w:rsidR="00557C7A" w:rsidRPr="007334B6" w:rsidRDefault="00557C7A" w:rsidP="00557C7A">
      <w:pPr>
        <w:pStyle w:val="subsection"/>
      </w:pPr>
      <w:r w:rsidRPr="007334B6">
        <w:tab/>
      </w:r>
      <w:r w:rsidRPr="007334B6">
        <w:tab/>
      </w:r>
      <w:r w:rsidR="00083F48" w:rsidRPr="007334B6">
        <w:t xml:space="preserve">Each </w:t>
      </w:r>
      <w:r w:rsidR="00160BD7" w:rsidRPr="007334B6">
        <w:t>instrument</w:t>
      </w:r>
      <w:r w:rsidR="00083F48" w:rsidRPr="007334B6">
        <w:t xml:space="preserve"> that is specified in a Schedule to this</w:t>
      </w:r>
      <w:r w:rsidR="00160BD7" w:rsidRPr="007334B6">
        <w:t xml:space="preserve"> instrument</w:t>
      </w:r>
      <w:r w:rsidR="00083F48" w:rsidRPr="007334B6">
        <w:t xml:space="preserve"> is amended or repealed as set out in the applicable items in the Schedule concerned, and any other item in a Schedule to this </w:t>
      </w:r>
      <w:r w:rsidR="00160BD7" w:rsidRPr="007334B6">
        <w:t>instrument</w:t>
      </w:r>
      <w:r w:rsidR="00083F48" w:rsidRPr="007334B6">
        <w:t xml:space="preserve"> has effect according to its terms.</w:t>
      </w:r>
    </w:p>
    <w:p w:rsidR="00567870" w:rsidRPr="007334B6" w:rsidRDefault="00567870" w:rsidP="00567870">
      <w:pPr>
        <w:pStyle w:val="ActHead6"/>
        <w:pageBreakBefore/>
      </w:pPr>
      <w:bookmarkStart w:id="8" w:name="_Toc422842671"/>
      <w:bookmarkStart w:id="9" w:name="opcAmSched"/>
      <w:r w:rsidRPr="007334B6">
        <w:rPr>
          <w:rStyle w:val="CharAmSchNo"/>
        </w:rPr>
        <w:lastRenderedPageBreak/>
        <w:t>Schedule</w:t>
      </w:r>
      <w:r w:rsidR="007334B6" w:rsidRPr="007334B6">
        <w:rPr>
          <w:rStyle w:val="CharAmSchNo"/>
        </w:rPr>
        <w:t> </w:t>
      </w:r>
      <w:r w:rsidRPr="007334B6">
        <w:rPr>
          <w:rStyle w:val="CharAmSchNo"/>
        </w:rPr>
        <w:t>1</w:t>
      </w:r>
      <w:r w:rsidRPr="007334B6">
        <w:t>—</w:t>
      </w:r>
      <w:r w:rsidRPr="007334B6">
        <w:rPr>
          <w:rStyle w:val="CharAmSchText"/>
        </w:rPr>
        <w:t>Fugitive emissions and scope 2 emissions</w:t>
      </w:r>
      <w:bookmarkEnd w:id="8"/>
    </w:p>
    <w:bookmarkEnd w:id="9"/>
    <w:p w:rsidR="00567870" w:rsidRPr="007334B6" w:rsidRDefault="00567870" w:rsidP="00567870">
      <w:pPr>
        <w:pStyle w:val="Header"/>
      </w:pPr>
      <w:r w:rsidRPr="007334B6">
        <w:rPr>
          <w:rStyle w:val="CharAmPartNo"/>
        </w:rPr>
        <w:t xml:space="preserve"> </w:t>
      </w:r>
      <w:r w:rsidRPr="007334B6">
        <w:rPr>
          <w:rStyle w:val="CharAmPartText"/>
        </w:rPr>
        <w:t xml:space="preserve"> </w:t>
      </w:r>
    </w:p>
    <w:p w:rsidR="00567870" w:rsidRPr="007334B6" w:rsidRDefault="00567870" w:rsidP="00567870">
      <w:pPr>
        <w:pStyle w:val="ActHead9"/>
      </w:pPr>
      <w:bookmarkStart w:id="10" w:name="_Toc422842672"/>
      <w:r w:rsidRPr="007334B6">
        <w:t>National Greenhouse and Energy Reporting (Measurement) Determination</w:t>
      </w:r>
      <w:r w:rsidR="007334B6" w:rsidRPr="007334B6">
        <w:t> </w:t>
      </w:r>
      <w:r w:rsidRPr="007334B6">
        <w:t>2008</w:t>
      </w:r>
      <w:bookmarkEnd w:id="10"/>
    </w:p>
    <w:p w:rsidR="00567870" w:rsidRPr="007334B6" w:rsidRDefault="005124DC" w:rsidP="00567870">
      <w:pPr>
        <w:pStyle w:val="ItemHead"/>
      </w:pPr>
      <w:proofErr w:type="gramStart"/>
      <w:r w:rsidRPr="007334B6">
        <w:t>1</w:t>
      </w:r>
      <w:r w:rsidR="00567870" w:rsidRPr="007334B6">
        <w:t xml:space="preserve">  Section</w:t>
      </w:r>
      <w:proofErr w:type="gramEnd"/>
      <w:r w:rsidR="007334B6" w:rsidRPr="007334B6">
        <w:t> </w:t>
      </w:r>
      <w:r w:rsidR="00567870" w:rsidRPr="007334B6">
        <w:t xml:space="preserve">1.8 (definition of </w:t>
      </w:r>
      <w:r w:rsidR="00567870" w:rsidRPr="007334B6">
        <w:rPr>
          <w:i/>
        </w:rPr>
        <w:t>applicable State or Territory legislation</w:t>
      </w:r>
      <w:r w:rsidR="00567870" w:rsidRPr="007334B6">
        <w:t>)</w:t>
      </w:r>
    </w:p>
    <w:p w:rsidR="00567870" w:rsidRPr="007334B6" w:rsidRDefault="00567870" w:rsidP="00567870">
      <w:pPr>
        <w:pStyle w:val="Item"/>
      </w:pPr>
      <w:r w:rsidRPr="007334B6">
        <w:t>After “coal mining health and safety</w:t>
      </w:r>
      <w:r w:rsidR="008546F5" w:rsidRPr="007334B6">
        <w:t>,</w:t>
      </w:r>
      <w:proofErr w:type="gramStart"/>
      <w:r w:rsidR="008546F5" w:rsidRPr="007334B6">
        <w:t>”,</w:t>
      </w:r>
      <w:proofErr w:type="gramEnd"/>
      <w:r w:rsidR="008546F5" w:rsidRPr="007334B6">
        <w:t xml:space="preserve"> insert “</w:t>
      </w:r>
      <w:r w:rsidRPr="007334B6">
        <w:t>including such a law that prescribes performance</w:t>
      </w:r>
      <w:r w:rsidR="007334B6">
        <w:noBreakHyphen/>
      </w:r>
      <w:proofErr w:type="spellStart"/>
      <w:r w:rsidR="001C013D" w:rsidRPr="007334B6">
        <w:t>based</w:t>
      </w:r>
      <w:proofErr w:type="spellEnd"/>
      <w:r w:rsidR="001C013D" w:rsidRPr="007334B6">
        <w:t xml:space="preserve"> objectives</w:t>
      </w:r>
      <w:r w:rsidRPr="007334B6">
        <w:t>,”.</w:t>
      </w:r>
    </w:p>
    <w:p w:rsidR="00567870" w:rsidRPr="007334B6" w:rsidRDefault="005124DC" w:rsidP="00567870">
      <w:pPr>
        <w:pStyle w:val="ItemHead"/>
      </w:pPr>
      <w:proofErr w:type="gramStart"/>
      <w:r w:rsidRPr="007334B6">
        <w:t>2</w:t>
      </w:r>
      <w:r w:rsidR="00567870" w:rsidRPr="007334B6">
        <w:t xml:space="preserve">  Paragraph</w:t>
      </w:r>
      <w:proofErr w:type="gramEnd"/>
      <w:r w:rsidR="00567870" w:rsidRPr="007334B6">
        <w:t xml:space="preserve"> 3.6(2)(b)</w:t>
      </w:r>
    </w:p>
    <w:p w:rsidR="00567870" w:rsidRPr="007334B6" w:rsidRDefault="00567870" w:rsidP="00567870">
      <w:pPr>
        <w:pStyle w:val="Item"/>
      </w:pPr>
      <w:r w:rsidRPr="007334B6">
        <w:t>Omit “3.12”, substitute “3.13”.</w:t>
      </w:r>
    </w:p>
    <w:p w:rsidR="00567870" w:rsidRPr="007334B6" w:rsidRDefault="005124DC" w:rsidP="00567870">
      <w:pPr>
        <w:pStyle w:val="ItemHead"/>
      </w:pPr>
      <w:proofErr w:type="gramStart"/>
      <w:r w:rsidRPr="007334B6">
        <w:t>3</w:t>
      </w:r>
      <w:r w:rsidR="00567870" w:rsidRPr="007334B6">
        <w:t xml:space="preserve">  At</w:t>
      </w:r>
      <w:proofErr w:type="gramEnd"/>
      <w:r w:rsidR="00567870" w:rsidRPr="007334B6">
        <w:t xml:space="preserve"> the end of subsection</w:t>
      </w:r>
      <w:r w:rsidR="007334B6" w:rsidRPr="007334B6">
        <w:t> </w:t>
      </w:r>
      <w:r w:rsidR="00567870" w:rsidRPr="007334B6">
        <w:t>3.6(2)</w:t>
      </w:r>
    </w:p>
    <w:p w:rsidR="00567870" w:rsidRPr="007334B6" w:rsidRDefault="00567870" w:rsidP="00567870">
      <w:pPr>
        <w:pStyle w:val="Item"/>
      </w:pPr>
      <w:r w:rsidRPr="007334B6">
        <w:t>Add:</w:t>
      </w:r>
    </w:p>
    <w:p w:rsidR="00567870" w:rsidRPr="007334B6" w:rsidRDefault="00567870" w:rsidP="00567870">
      <w:pPr>
        <w:pStyle w:val="notetext"/>
      </w:pPr>
      <w:r w:rsidRPr="007334B6">
        <w:t>Note:</w:t>
      </w:r>
      <w:r w:rsidRPr="007334B6">
        <w:tab/>
        <w:t>Any estimates of emissions must be consistent with the principles in section</w:t>
      </w:r>
      <w:r w:rsidR="007334B6" w:rsidRPr="007334B6">
        <w:t> </w:t>
      </w:r>
      <w:r w:rsidRPr="007334B6">
        <w:t>1.13.</w:t>
      </w:r>
    </w:p>
    <w:p w:rsidR="00567870" w:rsidRPr="007334B6" w:rsidRDefault="005124DC" w:rsidP="00567870">
      <w:pPr>
        <w:pStyle w:val="ItemHead"/>
      </w:pPr>
      <w:proofErr w:type="gramStart"/>
      <w:r w:rsidRPr="007334B6">
        <w:t>4</w:t>
      </w:r>
      <w:r w:rsidR="00567870" w:rsidRPr="007334B6">
        <w:t xml:space="preserve">  Section</w:t>
      </w:r>
      <w:proofErr w:type="gramEnd"/>
      <w:r w:rsidR="007334B6" w:rsidRPr="007334B6">
        <w:t> </w:t>
      </w:r>
      <w:r w:rsidR="00567870" w:rsidRPr="007334B6">
        <w:t>3.13</w:t>
      </w:r>
    </w:p>
    <w:p w:rsidR="00567870" w:rsidRPr="007334B6" w:rsidRDefault="00567870" w:rsidP="00567870">
      <w:pPr>
        <w:pStyle w:val="Item"/>
      </w:pPr>
      <w:r w:rsidRPr="007334B6">
        <w:t>Omit “measured in accordance with section</w:t>
      </w:r>
      <w:r w:rsidR="007334B6" w:rsidRPr="007334B6">
        <w:t> </w:t>
      </w:r>
      <w:r w:rsidRPr="007334B6">
        <w:t xml:space="preserve">1.34”, substitute “consistent with an </w:t>
      </w:r>
      <w:r w:rsidR="00B82F8C" w:rsidRPr="007334B6">
        <w:t>appropriate</w:t>
      </w:r>
      <w:r w:rsidRPr="007334B6">
        <w:t xml:space="preserve"> standard or applicable State or Territory legislation”.</w:t>
      </w:r>
    </w:p>
    <w:p w:rsidR="00B82F8C" w:rsidRPr="007334B6" w:rsidRDefault="005124DC" w:rsidP="00B82F8C">
      <w:pPr>
        <w:pStyle w:val="ItemHead"/>
      </w:pPr>
      <w:proofErr w:type="gramStart"/>
      <w:r w:rsidRPr="007334B6">
        <w:t>5</w:t>
      </w:r>
      <w:r w:rsidR="00B82F8C" w:rsidRPr="007334B6">
        <w:t xml:space="preserve">  At</w:t>
      </w:r>
      <w:proofErr w:type="gramEnd"/>
      <w:r w:rsidR="00B82F8C" w:rsidRPr="007334B6">
        <w:t xml:space="preserve"> the end of section</w:t>
      </w:r>
      <w:r w:rsidR="007334B6" w:rsidRPr="007334B6">
        <w:t> </w:t>
      </w:r>
      <w:r w:rsidR="00B82F8C" w:rsidRPr="007334B6">
        <w:t>3.13</w:t>
      </w:r>
    </w:p>
    <w:p w:rsidR="00B82F8C" w:rsidRPr="007334B6" w:rsidRDefault="00B82F8C" w:rsidP="00B82F8C">
      <w:pPr>
        <w:pStyle w:val="Item"/>
      </w:pPr>
      <w:r w:rsidRPr="007334B6">
        <w:t>Add:</w:t>
      </w:r>
    </w:p>
    <w:p w:rsidR="00B82F8C" w:rsidRPr="007334B6" w:rsidRDefault="00B82F8C" w:rsidP="00B82F8C">
      <w:pPr>
        <w:pStyle w:val="notetext"/>
      </w:pPr>
      <w:r w:rsidRPr="007334B6">
        <w:t>Note:</w:t>
      </w:r>
      <w:r w:rsidRPr="007334B6">
        <w:tab/>
        <w:t xml:space="preserve">The performance </w:t>
      </w:r>
      <w:proofErr w:type="gramStart"/>
      <w:r w:rsidRPr="007334B6">
        <w:t>characteristics of PEM equipment includes</w:t>
      </w:r>
      <w:proofErr w:type="gramEnd"/>
      <w:r w:rsidRPr="007334B6">
        <w:t xml:space="preserve"> calibration.</w:t>
      </w:r>
    </w:p>
    <w:p w:rsidR="00567870" w:rsidRPr="007334B6" w:rsidRDefault="005124DC" w:rsidP="00567870">
      <w:pPr>
        <w:pStyle w:val="ItemHead"/>
      </w:pPr>
      <w:proofErr w:type="gramStart"/>
      <w:r w:rsidRPr="007334B6">
        <w:t>6</w:t>
      </w:r>
      <w:r w:rsidR="00567870" w:rsidRPr="007334B6">
        <w:t xml:space="preserve">  Paragraphs</w:t>
      </w:r>
      <w:proofErr w:type="gramEnd"/>
      <w:r w:rsidR="00567870" w:rsidRPr="007334B6">
        <w:t xml:space="preserve"> 3.43(1)(b) and (c)</w:t>
      </w:r>
    </w:p>
    <w:p w:rsidR="00567870" w:rsidRPr="007334B6" w:rsidRDefault="00567870" w:rsidP="00567870">
      <w:pPr>
        <w:pStyle w:val="Item"/>
      </w:pPr>
      <w:r w:rsidRPr="007334B6">
        <w:t>Repeal the paragraphs, substitute:</w:t>
      </w:r>
    </w:p>
    <w:p w:rsidR="00567870" w:rsidRPr="007334B6" w:rsidRDefault="00567870" w:rsidP="00567870">
      <w:pPr>
        <w:pStyle w:val="paragraph"/>
      </w:pPr>
      <w:r w:rsidRPr="007334B6">
        <w:tab/>
        <w:t>(b)</w:t>
      </w:r>
      <w:r w:rsidRPr="007334B6">
        <w:tab/>
      </w:r>
      <w:proofErr w:type="gramStart"/>
      <w:r w:rsidRPr="007334B6">
        <w:t>if</w:t>
      </w:r>
      <w:proofErr w:type="gramEnd"/>
      <w:r w:rsidRPr="007334B6">
        <w:t xml:space="preserve"> estimating emissions of methane released—one of the following methods must be used:</w:t>
      </w:r>
    </w:p>
    <w:p w:rsidR="00567870" w:rsidRPr="007334B6" w:rsidRDefault="00567870" w:rsidP="00567870">
      <w:pPr>
        <w:pStyle w:val="paragraphsub"/>
      </w:pPr>
      <w:r w:rsidRPr="007334B6">
        <w:tab/>
        <w:t>(</w:t>
      </w:r>
      <w:proofErr w:type="spellStart"/>
      <w:r w:rsidRPr="007334B6">
        <w:t>i</w:t>
      </w:r>
      <w:proofErr w:type="spellEnd"/>
      <w:r w:rsidRPr="007334B6">
        <w:t>)</w:t>
      </w:r>
      <w:r w:rsidRPr="007334B6">
        <w:tab/>
      </w:r>
      <w:proofErr w:type="gramStart"/>
      <w:r w:rsidRPr="007334B6">
        <w:t>method</w:t>
      </w:r>
      <w:proofErr w:type="gramEnd"/>
      <w:r w:rsidRPr="007334B6">
        <w:t xml:space="preserve"> 1 under section</w:t>
      </w:r>
      <w:r w:rsidR="007334B6" w:rsidRPr="007334B6">
        <w:t> </w:t>
      </w:r>
      <w:r w:rsidRPr="007334B6">
        <w:t>3.44;</w:t>
      </w:r>
    </w:p>
    <w:p w:rsidR="00567870" w:rsidRPr="007334B6" w:rsidRDefault="00567870" w:rsidP="00567870">
      <w:pPr>
        <w:pStyle w:val="paragraphsub"/>
      </w:pPr>
      <w:r w:rsidRPr="007334B6">
        <w:tab/>
        <w:t>(ii)</w:t>
      </w:r>
      <w:r w:rsidRPr="007334B6">
        <w:tab/>
      </w:r>
      <w:proofErr w:type="gramStart"/>
      <w:r w:rsidRPr="007334B6">
        <w:t>method</w:t>
      </w:r>
      <w:proofErr w:type="gramEnd"/>
      <w:r w:rsidRPr="007334B6">
        <w:t xml:space="preserve"> 2A under section</w:t>
      </w:r>
      <w:r w:rsidR="007334B6" w:rsidRPr="007334B6">
        <w:t> </w:t>
      </w:r>
      <w:r w:rsidRPr="007334B6">
        <w:t>3.45A; and</w:t>
      </w:r>
    </w:p>
    <w:p w:rsidR="00567870" w:rsidRPr="007334B6" w:rsidRDefault="00567870" w:rsidP="00567870">
      <w:pPr>
        <w:pStyle w:val="paragraph"/>
      </w:pPr>
      <w:r w:rsidRPr="007334B6">
        <w:tab/>
        <w:t>(c)</w:t>
      </w:r>
      <w:r w:rsidRPr="007334B6">
        <w:tab/>
      </w:r>
      <w:proofErr w:type="gramStart"/>
      <w:r w:rsidRPr="007334B6">
        <w:t>if</w:t>
      </w:r>
      <w:proofErr w:type="gramEnd"/>
      <w:r w:rsidRPr="007334B6">
        <w:t xml:space="preserve"> estimating emissions of nitrous oxide released—one of the following methods must be used:</w:t>
      </w:r>
    </w:p>
    <w:p w:rsidR="00567870" w:rsidRPr="007334B6" w:rsidRDefault="00567870" w:rsidP="00567870">
      <w:pPr>
        <w:pStyle w:val="paragraphsub"/>
      </w:pPr>
      <w:r w:rsidRPr="007334B6">
        <w:tab/>
        <w:t>(</w:t>
      </w:r>
      <w:proofErr w:type="spellStart"/>
      <w:r w:rsidRPr="007334B6">
        <w:t>i</w:t>
      </w:r>
      <w:proofErr w:type="spellEnd"/>
      <w:r w:rsidRPr="007334B6">
        <w:t>)</w:t>
      </w:r>
      <w:r w:rsidRPr="007334B6">
        <w:tab/>
      </w:r>
      <w:proofErr w:type="gramStart"/>
      <w:r w:rsidRPr="007334B6">
        <w:t>method</w:t>
      </w:r>
      <w:proofErr w:type="gramEnd"/>
      <w:r w:rsidRPr="007334B6">
        <w:t xml:space="preserve"> 1 under section</w:t>
      </w:r>
      <w:r w:rsidR="007334B6" w:rsidRPr="007334B6">
        <w:t> </w:t>
      </w:r>
      <w:r w:rsidRPr="007334B6">
        <w:t>3.44;</w:t>
      </w:r>
    </w:p>
    <w:p w:rsidR="00567870" w:rsidRPr="007334B6" w:rsidRDefault="00567870" w:rsidP="00567870">
      <w:pPr>
        <w:pStyle w:val="paragraphsub"/>
      </w:pPr>
      <w:r w:rsidRPr="007334B6">
        <w:tab/>
        <w:t>(ii)</w:t>
      </w:r>
      <w:r w:rsidRPr="007334B6">
        <w:tab/>
      </w:r>
      <w:proofErr w:type="gramStart"/>
      <w:r w:rsidRPr="007334B6">
        <w:t>method</w:t>
      </w:r>
      <w:proofErr w:type="gramEnd"/>
      <w:r w:rsidRPr="007334B6">
        <w:t xml:space="preserve"> 2A under section</w:t>
      </w:r>
      <w:r w:rsidR="007334B6" w:rsidRPr="007334B6">
        <w:t> </w:t>
      </w:r>
      <w:r w:rsidRPr="007334B6">
        <w:t>3.45A.</w:t>
      </w:r>
    </w:p>
    <w:p w:rsidR="00567870" w:rsidRPr="007334B6" w:rsidRDefault="005124DC" w:rsidP="00567870">
      <w:pPr>
        <w:pStyle w:val="ItemHead"/>
      </w:pPr>
      <w:proofErr w:type="gramStart"/>
      <w:r w:rsidRPr="007334B6">
        <w:t>7</w:t>
      </w:r>
      <w:r w:rsidR="00567870" w:rsidRPr="007334B6">
        <w:t xml:space="preserve">  Section</w:t>
      </w:r>
      <w:proofErr w:type="gramEnd"/>
      <w:r w:rsidR="007334B6" w:rsidRPr="007334B6">
        <w:t> </w:t>
      </w:r>
      <w:r w:rsidR="00567870" w:rsidRPr="007334B6">
        <w:t>3.45 (heading)</w:t>
      </w:r>
    </w:p>
    <w:p w:rsidR="00567870" w:rsidRPr="007334B6" w:rsidRDefault="00567870" w:rsidP="00567870">
      <w:pPr>
        <w:pStyle w:val="Item"/>
      </w:pPr>
      <w:r w:rsidRPr="007334B6">
        <w:t>Repeal the heading, substitute:</w:t>
      </w:r>
    </w:p>
    <w:p w:rsidR="003B01AE" w:rsidRPr="007334B6" w:rsidRDefault="00567870" w:rsidP="00567870">
      <w:pPr>
        <w:pStyle w:val="ActHead5"/>
      </w:pPr>
      <w:bookmarkStart w:id="11" w:name="_Toc422842673"/>
      <w:proofErr w:type="gramStart"/>
      <w:r w:rsidRPr="007334B6">
        <w:rPr>
          <w:rStyle w:val="CharSectno"/>
        </w:rPr>
        <w:t>3.45</w:t>
      </w:r>
      <w:r w:rsidRPr="007334B6">
        <w:t xml:space="preserve">  Method</w:t>
      </w:r>
      <w:proofErr w:type="gramEnd"/>
      <w:r w:rsidRPr="007334B6">
        <w:t xml:space="preserve"> 2—oil or gas exploration (flared carbon dioxide emissions)</w:t>
      </w:r>
      <w:bookmarkEnd w:id="11"/>
    </w:p>
    <w:p w:rsidR="00567870" w:rsidRPr="007334B6" w:rsidRDefault="005124DC" w:rsidP="003B01AE">
      <w:pPr>
        <w:pStyle w:val="ItemHead"/>
      </w:pPr>
      <w:proofErr w:type="gramStart"/>
      <w:r w:rsidRPr="007334B6">
        <w:t>8</w:t>
      </w:r>
      <w:r w:rsidR="003B01AE" w:rsidRPr="007334B6">
        <w:t xml:space="preserve">  Subsection</w:t>
      </w:r>
      <w:proofErr w:type="gramEnd"/>
      <w:r w:rsidR="007334B6" w:rsidRPr="007334B6">
        <w:t> </w:t>
      </w:r>
      <w:r w:rsidR="003B01AE" w:rsidRPr="007334B6">
        <w:t>3.45(2)</w:t>
      </w:r>
    </w:p>
    <w:p w:rsidR="003B01AE" w:rsidRPr="007334B6" w:rsidRDefault="003B01AE" w:rsidP="003B01AE">
      <w:pPr>
        <w:pStyle w:val="Item"/>
      </w:pPr>
      <w:r w:rsidRPr="007334B6">
        <w:t xml:space="preserve">Omit “method 1, but the carbon dioxide emissions factor </w:t>
      </w:r>
      <w:proofErr w:type="spellStart"/>
      <w:r w:rsidRPr="007334B6">
        <w:rPr>
          <w:b/>
          <w:i/>
        </w:rPr>
        <w:t>EF</w:t>
      </w:r>
      <w:r w:rsidRPr="007334B6">
        <w:rPr>
          <w:b/>
          <w:i/>
          <w:vertAlign w:val="subscript"/>
        </w:rPr>
        <w:t>h</w:t>
      </w:r>
      <w:proofErr w:type="spellEnd"/>
      <w:r w:rsidRPr="007334B6">
        <w:t>”, substitute “method 1 under section</w:t>
      </w:r>
      <w:r w:rsidR="007334B6" w:rsidRPr="007334B6">
        <w:t> </w:t>
      </w:r>
      <w:r w:rsidRPr="007334B6">
        <w:t xml:space="preserve">3.44, but the </w:t>
      </w:r>
      <w:r w:rsidR="001937BD" w:rsidRPr="007334B6">
        <w:t xml:space="preserve">carbon dioxide </w:t>
      </w:r>
      <w:r w:rsidRPr="007334B6">
        <w:t xml:space="preserve">emissions factor </w:t>
      </w:r>
      <w:proofErr w:type="spellStart"/>
      <w:r w:rsidRPr="007334B6">
        <w:rPr>
          <w:b/>
          <w:i/>
        </w:rPr>
        <w:t>EF</w:t>
      </w:r>
      <w:r w:rsidRPr="007334B6">
        <w:rPr>
          <w:b/>
          <w:i/>
          <w:vertAlign w:val="subscript"/>
        </w:rPr>
        <w:t>i</w:t>
      </w:r>
      <w:r w:rsidR="00F0201B" w:rsidRPr="007334B6">
        <w:rPr>
          <w:b/>
          <w:i/>
          <w:vertAlign w:val="subscript"/>
        </w:rPr>
        <w:t>j</w:t>
      </w:r>
      <w:proofErr w:type="spellEnd"/>
      <w:r w:rsidRPr="007334B6">
        <w:t>”.</w:t>
      </w:r>
    </w:p>
    <w:p w:rsidR="00567870" w:rsidRPr="007334B6" w:rsidRDefault="005124DC" w:rsidP="00567870">
      <w:pPr>
        <w:pStyle w:val="ItemHead"/>
      </w:pPr>
      <w:proofErr w:type="gramStart"/>
      <w:r w:rsidRPr="007334B6">
        <w:lastRenderedPageBreak/>
        <w:t>9</w:t>
      </w:r>
      <w:r w:rsidR="00567870" w:rsidRPr="007334B6">
        <w:t xml:space="preserve">  After</w:t>
      </w:r>
      <w:proofErr w:type="gramEnd"/>
      <w:r w:rsidR="00567870" w:rsidRPr="007334B6">
        <w:t xml:space="preserve"> section</w:t>
      </w:r>
      <w:r w:rsidR="007334B6" w:rsidRPr="007334B6">
        <w:t> </w:t>
      </w:r>
      <w:r w:rsidR="00567870" w:rsidRPr="007334B6">
        <w:t>3.45</w:t>
      </w:r>
    </w:p>
    <w:p w:rsidR="00567870" w:rsidRPr="007334B6" w:rsidRDefault="00567870" w:rsidP="00567870">
      <w:pPr>
        <w:pStyle w:val="Item"/>
      </w:pPr>
      <w:r w:rsidRPr="007334B6">
        <w:t>Insert:</w:t>
      </w:r>
    </w:p>
    <w:p w:rsidR="00567870" w:rsidRPr="007334B6" w:rsidRDefault="00567870" w:rsidP="00567870">
      <w:pPr>
        <w:pStyle w:val="ActHead5"/>
      </w:pPr>
      <w:bookmarkStart w:id="12" w:name="_Toc422842674"/>
      <w:proofErr w:type="gramStart"/>
      <w:r w:rsidRPr="007334B6">
        <w:rPr>
          <w:rStyle w:val="CharSectno"/>
        </w:rPr>
        <w:t>3.45A</w:t>
      </w:r>
      <w:r w:rsidRPr="007334B6">
        <w:t xml:space="preserve">  Method</w:t>
      </w:r>
      <w:proofErr w:type="gramEnd"/>
      <w:r w:rsidRPr="007334B6">
        <w:t xml:space="preserve"> 2A—oil or gas exploration (flared methane or nitrous oxide emissions)</w:t>
      </w:r>
      <w:bookmarkEnd w:id="12"/>
    </w:p>
    <w:p w:rsidR="00567870" w:rsidRPr="007334B6" w:rsidRDefault="00567870" w:rsidP="00567870">
      <w:pPr>
        <w:pStyle w:val="subsection"/>
      </w:pPr>
      <w:r w:rsidRPr="007334B6">
        <w:tab/>
      </w:r>
      <w:r w:rsidRPr="007334B6">
        <w:tab/>
        <w:t>For subparagraph</w:t>
      </w:r>
      <w:r w:rsidR="008546F5" w:rsidRPr="007334B6">
        <w:t>s</w:t>
      </w:r>
      <w:r w:rsidR="007334B6" w:rsidRPr="007334B6">
        <w:t> </w:t>
      </w:r>
      <w:r w:rsidRPr="007334B6">
        <w:t>3.43(1</w:t>
      </w:r>
      <w:proofErr w:type="gramStart"/>
      <w:r w:rsidRPr="007334B6">
        <w:t>)(</w:t>
      </w:r>
      <w:proofErr w:type="gramEnd"/>
      <w:r w:rsidRPr="007334B6">
        <w:t>b)(ii) and (c)(ii), method 2A is:</w:t>
      </w:r>
    </w:p>
    <w:bookmarkStart w:id="13" w:name="BKCheck15B_4"/>
    <w:bookmarkEnd w:id="13"/>
    <w:p w:rsidR="00567870" w:rsidRPr="007334B6" w:rsidRDefault="004C3033" w:rsidP="00687713">
      <w:pPr>
        <w:pStyle w:val="subsection2"/>
      </w:pPr>
      <w:r w:rsidRPr="007334B6">
        <w:object w:dxaOrig="2079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pt;height:21.5pt" o:ole="">
            <v:imagedata r:id="rId19" o:title=""/>
          </v:shape>
          <o:OLEObject Type="Embed" ProgID="Equation.DSMT4" ShapeID="_x0000_i1025" DrawAspect="Content" ObjectID="_1496834172" r:id="rId20"/>
        </w:object>
      </w:r>
    </w:p>
    <w:p w:rsidR="00567870" w:rsidRPr="007334B6" w:rsidRDefault="00567870" w:rsidP="00567870">
      <w:pPr>
        <w:pStyle w:val="subsection2"/>
      </w:pPr>
      <w:proofErr w:type="gramStart"/>
      <w:r w:rsidRPr="007334B6">
        <w:t>where</w:t>
      </w:r>
      <w:proofErr w:type="gramEnd"/>
      <w:r w:rsidRPr="007334B6">
        <w:t>:</w:t>
      </w:r>
    </w:p>
    <w:p w:rsidR="00B42DFF" w:rsidRPr="007334B6" w:rsidRDefault="00B42DFF" w:rsidP="005F142A">
      <w:pPr>
        <w:pStyle w:val="Definition"/>
      </w:pPr>
      <w:proofErr w:type="spellStart"/>
      <w:r w:rsidRPr="007334B6">
        <w:rPr>
          <w:b/>
          <w:i/>
        </w:rPr>
        <w:t>EF</w:t>
      </w:r>
      <w:r w:rsidRPr="007334B6">
        <w:rPr>
          <w:b/>
          <w:i/>
          <w:vertAlign w:val="subscript"/>
        </w:rPr>
        <w:t>h</w:t>
      </w:r>
      <w:r w:rsidR="006C0275" w:rsidRPr="007334B6">
        <w:rPr>
          <w:b/>
          <w:i/>
          <w:vertAlign w:val="subscript"/>
        </w:rPr>
        <w:t>ij</w:t>
      </w:r>
      <w:proofErr w:type="spellEnd"/>
      <w:r w:rsidRPr="007334B6">
        <w:t xml:space="preserve"> is the emission factor </w:t>
      </w:r>
      <w:r w:rsidR="006C0275" w:rsidRPr="007334B6">
        <w:t>of gas type (</w:t>
      </w:r>
      <w:r w:rsidR="006C0275" w:rsidRPr="007334B6">
        <w:rPr>
          <w:b/>
          <w:i/>
        </w:rPr>
        <w:t>j</w:t>
      </w:r>
      <w:r w:rsidR="006C0275" w:rsidRPr="007334B6">
        <w:t xml:space="preserve">), being methane or nitrous oxide, </w:t>
      </w:r>
      <w:r w:rsidRPr="007334B6">
        <w:t>for the total hydrocarbons (</w:t>
      </w:r>
      <w:r w:rsidRPr="007334B6">
        <w:rPr>
          <w:b/>
          <w:i/>
        </w:rPr>
        <w:t>h</w:t>
      </w:r>
      <w:r w:rsidRPr="007334B6">
        <w:t>) within the fuel type (</w:t>
      </w:r>
      <w:proofErr w:type="spellStart"/>
      <w:r w:rsidRPr="007334B6">
        <w:rPr>
          <w:b/>
          <w:i/>
        </w:rPr>
        <w:t>i</w:t>
      </w:r>
      <w:proofErr w:type="spellEnd"/>
      <w:r w:rsidRPr="007334B6">
        <w:t>) in oil or gas exploration during the year,</w:t>
      </w:r>
      <w:r w:rsidR="00723B3C" w:rsidRPr="007334B6">
        <w:t xml:space="preserve"> mentioned </w:t>
      </w:r>
      <w:r w:rsidR="005F142A" w:rsidRPr="007334B6">
        <w:t>for the fuel type in the table in subsection</w:t>
      </w:r>
      <w:r w:rsidR="007334B6" w:rsidRPr="007334B6">
        <w:t> </w:t>
      </w:r>
      <w:r w:rsidR="005F142A" w:rsidRPr="007334B6">
        <w:t xml:space="preserve">3.44(2) and </w:t>
      </w:r>
      <w:r w:rsidR="00723B3C" w:rsidRPr="007334B6">
        <w:t xml:space="preserve">measured </w:t>
      </w:r>
      <w:r w:rsidRPr="007334B6">
        <w:t>in CO</w:t>
      </w:r>
      <w:r w:rsidRPr="007334B6">
        <w:rPr>
          <w:vertAlign w:val="subscript"/>
        </w:rPr>
        <w:t>2</w:t>
      </w:r>
      <w:r w:rsidR="007334B6">
        <w:noBreakHyphen/>
      </w:r>
      <w:r w:rsidRPr="007334B6">
        <w:t>e tonnes per tonne of the fuel type (</w:t>
      </w:r>
      <w:proofErr w:type="spellStart"/>
      <w:r w:rsidRPr="007334B6">
        <w:rPr>
          <w:b/>
          <w:i/>
        </w:rPr>
        <w:t>i</w:t>
      </w:r>
      <w:proofErr w:type="spellEnd"/>
      <w:r w:rsidRPr="007334B6">
        <w:t>) flared.</w:t>
      </w:r>
    </w:p>
    <w:p w:rsidR="00567870" w:rsidRPr="007334B6" w:rsidRDefault="00567870" w:rsidP="00567870">
      <w:pPr>
        <w:pStyle w:val="Definition"/>
      </w:pPr>
      <w:proofErr w:type="spellStart"/>
      <w:r w:rsidRPr="007334B6">
        <w:rPr>
          <w:b/>
          <w:i/>
        </w:rPr>
        <w:t>E</w:t>
      </w:r>
      <w:r w:rsidRPr="007334B6">
        <w:rPr>
          <w:b/>
          <w:i/>
          <w:vertAlign w:val="subscript"/>
        </w:rPr>
        <w:t>ij</w:t>
      </w:r>
      <w:proofErr w:type="spellEnd"/>
      <w:r w:rsidRPr="007334B6">
        <w:t xml:space="preserve"> is the </w:t>
      </w:r>
      <w:r w:rsidR="00814315" w:rsidRPr="007334B6">
        <w:t xml:space="preserve">fugitive </w:t>
      </w:r>
      <w:r w:rsidRPr="007334B6">
        <w:t>emissions of gas type (</w:t>
      </w:r>
      <w:r w:rsidRPr="007334B6">
        <w:rPr>
          <w:b/>
          <w:i/>
        </w:rPr>
        <w:t>j</w:t>
      </w:r>
      <w:r w:rsidRPr="007334B6">
        <w:t>)</w:t>
      </w:r>
      <w:r w:rsidR="005F142A" w:rsidRPr="007334B6">
        <w:t>, being methane or nitrous oxide,</w:t>
      </w:r>
      <w:r w:rsidRPr="007334B6">
        <w:t xml:space="preserve"> from </w:t>
      </w:r>
      <w:r w:rsidR="00814315" w:rsidRPr="007334B6">
        <w:t>fuel type</w:t>
      </w:r>
      <w:r w:rsidRPr="007334B6">
        <w:t xml:space="preserve"> (</w:t>
      </w:r>
      <w:proofErr w:type="spellStart"/>
      <w:r w:rsidRPr="007334B6">
        <w:rPr>
          <w:b/>
          <w:i/>
        </w:rPr>
        <w:t>i</w:t>
      </w:r>
      <w:proofErr w:type="spellEnd"/>
      <w:r w:rsidRPr="007334B6">
        <w:t>) flared</w:t>
      </w:r>
      <w:r w:rsidRPr="007334B6">
        <w:rPr>
          <w:i/>
        </w:rPr>
        <w:t xml:space="preserve"> </w:t>
      </w:r>
      <w:r w:rsidR="00814315" w:rsidRPr="007334B6">
        <w:t xml:space="preserve">from </w:t>
      </w:r>
      <w:r w:rsidRPr="007334B6">
        <w:t xml:space="preserve">oil or gas exploration during the year, measured in </w:t>
      </w:r>
      <w:r w:rsidR="00B42DFF" w:rsidRPr="007334B6">
        <w:t>CO</w:t>
      </w:r>
      <w:r w:rsidR="00B42DFF" w:rsidRPr="007334B6">
        <w:rPr>
          <w:vertAlign w:val="subscript"/>
        </w:rPr>
        <w:t>2</w:t>
      </w:r>
      <w:r w:rsidR="007334B6">
        <w:noBreakHyphen/>
      </w:r>
      <w:r w:rsidR="00B42DFF" w:rsidRPr="007334B6">
        <w:t>e</w:t>
      </w:r>
      <w:r w:rsidRPr="007334B6">
        <w:t xml:space="preserve"> tonnes.</w:t>
      </w:r>
    </w:p>
    <w:p w:rsidR="00567870" w:rsidRPr="007334B6" w:rsidRDefault="00567870" w:rsidP="00567870">
      <w:pPr>
        <w:pStyle w:val="Definition"/>
      </w:pPr>
      <w:proofErr w:type="spellStart"/>
      <w:r w:rsidRPr="007334B6">
        <w:rPr>
          <w:b/>
          <w:i/>
        </w:rPr>
        <w:t>OF</w:t>
      </w:r>
      <w:r w:rsidRPr="007334B6">
        <w:rPr>
          <w:b/>
          <w:i/>
          <w:vertAlign w:val="subscript"/>
        </w:rPr>
        <w:t>i</w:t>
      </w:r>
      <w:proofErr w:type="spellEnd"/>
      <w:r w:rsidRPr="007334B6">
        <w:t xml:space="preserve"> is 0.98, which is the destruction efficiency of </w:t>
      </w:r>
      <w:r w:rsidR="00814315" w:rsidRPr="007334B6">
        <w:t>fuel type</w:t>
      </w:r>
      <w:r w:rsidRPr="007334B6">
        <w:t xml:space="preserve"> (</w:t>
      </w:r>
      <w:proofErr w:type="spellStart"/>
      <w:r w:rsidRPr="007334B6">
        <w:rPr>
          <w:b/>
          <w:i/>
        </w:rPr>
        <w:t>i</w:t>
      </w:r>
      <w:proofErr w:type="spellEnd"/>
      <w:r w:rsidRPr="007334B6">
        <w:t>) flared.</w:t>
      </w:r>
    </w:p>
    <w:p w:rsidR="00CA1E21" w:rsidRPr="007334B6" w:rsidRDefault="00CA1E21" w:rsidP="00CA1E21">
      <w:pPr>
        <w:pStyle w:val="Definition"/>
      </w:pPr>
      <w:proofErr w:type="spellStart"/>
      <w:r w:rsidRPr="007334B6">
        <w:rPr>
          <w:b/>
          <w:i/>
        </w:rPr>
        <w:t>Q</w:t>
      </w:r>
      <w:r w:rsidRPr="007334B6">
        <w:rPr>
          <w:b/>
          <w:i/>
          <w:vertAlign w:val="subscript"/>
        </w:rPr>
        <w:t>h</w:t>
      </w:r>
      <w:proofErr w:type="spellEnd"/>
      <w:r w:rsidRPr="007334B6">
        <w:t xml:space="preserve"> is the total quantity of hydrocarbons (</w:t>
      </w:r>
      <w:r w:rsidRPr="007334B6">
        <w:rPr>
          <w:b/>
          <w:i/>
        </w:rPr>
        <w:t>h</w:t>
      </w:r>
      <w:r w:rsidRPr="007334B6">
        <w:t>) within the fuel type (</w:t>
      </w:r>
      <w:proofErr w:type="spellStart"/>
      <w:r w:rsidRPr="007334B6">
        <w:rPr>
          <w:b/>
          <w:i/>
        </w:rPr>
        <w:t>i</w:t>
      </w:r>
      <w:proofErr w:type="spellEnd"/>
      <w:r w:rsidRPr="007334B6">
        <w:t>) in oil or gas exploration during the year, measured in tonnes in accordance with Division</w:t>
      </w:r>
      <w:r w:rsidR="007334B6" w:rsidRPr="007334B6">
        <w:t> </w:t>
      </w:r>
      <w:r w:rsidRPr="007334B6">
        <w:t>2.3.3</w:t>
      </w:r>
      <w:r w:rsidR="001C5C61" w:rsidRPr="007334B6">
        <w:t xml:space="preserve"> </w:t>
      </w:r>
      <w:r w:rsidR="00693D26" w:rsidRPr="007334B6">
        <w:t>for gaseous fuels or Division</w:t>
      </w:r>
      <w:r w:rsidR="007334B6" w:rsidRPr="007334B6">
        <w:t> </w:t>
      </w:r>
      <w:r w:rsidR="001C5C61" w:rsidRPr="007334B6">
        <w:t>2.4.3</w:t>
      </w:r>
      <w:r w:rsidR="00693D26" w:rsidRPr="007334B6">
        <w:t xml:space="preserve"> for liquid fuels</w:t>
      </w:r>
      <w:r w:rsidRPr="007334B6">
        <w:t>.</w:t>
      </w:r>
    </w:p>
    <w:p w:rsidR="00567870" w:rsidRPr="007334B6" w:rsidRDefault="005124DC" w:rsidP="00567870">
      <w:pPr>
        <w:pStyle w:val="ItemHead"/>
      </w:pPr>
      <w:proofErr w:type="gramStart"/>
      <w:r w:rsidRPr="007334B6">
        <w:t>10</w:t>
      </w:r>
      <w:r w:rsidR="00567870" w:rsidRPr="007334B6">
        <w:t xml:space="preserve">  Paragraphs</w:t>
      </w:r>
      <w:proofErr w:type="gramEnd"/>
      <w:r w:rsidR="00567870" w:rsidRPr="007334B6">
        <w:t xml:space="preserve"> 3.51(1)(b) and (c)</w:t>
      </w:r>
    </w:p>
    <w:p w:rsidR="00567870" w:rsidRPr="007334B6" w:rsidRDefault="00567870" w:rsidP="00567870">
      <w:pPr>
        <w:pStyle w:val="Item"/>
      </w:pPr>
      <w:r w:rsidRPr="007334B6">
        <w:t>Repeal the paragraphs, substitute:</w:t>
      </w:r>
    </w:p>
    <w:p w:rsidR="00567870" w:rsidRPr="007334B6" w:rsidRDefault="00567870" w:rsidP="00567870">
      <w:pPr>
        <w:pStyle w:val="paragraph"/>
      </w:pPr>
      <w:r w:rsidRPr="007334B6">
        <w:tab/>
        <w:t>(b)</w:t>
      </w:r>
      <w:r w:rsidRPr="007334B6">
        <w:tab/>
      </w:r>
      <w:proofErr w:type="gramStart"/>
      <w:r w:rsidRPr="007334B6">
        <w:t>if</w:t>
      </w:r>
      <w:proofErr w:type="gramEnd"/>
      <w:r w:rsidRPr="007334B6">
        <w:t xml:space="preserve"> estimating emissions of methane released—one of the following methods must be used:</w:t>
      </w:r>
    </w:p>
    <w:p w:rsidR="00567870" w:rsidRPr="007334B6" w:rsidRDefault="00567870" w:rsidP="00567870">
      <w:pPr>
        <w:pStyle w:val="paragraphsub"/>
      </w:pPr>
      <w:r w:rsidRPr="007334B6">
        <w:tab/>
        <w:t>(</w:t>
      </w:r>
      <w:proofErr w:type="spellStart"/>
      <w:r w:rsidRPr="007334B6">
        <w:t>i</w:t>
      </w:r>
      <w:proofErr w:type="spellEnd"/>
      <w:r w:rsidRPr="007334B6">
        <w:t>)</w:t>
      </w:r>
      <w:r w:rsidRPr="007334B6">
        <w:tab/>
      </w:r>
      <w:proofErr w:type="gramStart"/>
      <w:r w:rsidRPr="007334B6">
        <w:t>method</w:t>
      </w:r>
      <w:proofErr w:type="gramEnd"/>
      <w:r w:rsidRPr="007334B6">
        <w:t xml:space="preserve"> 1 under section</w:t>
      </w:r>
      <w:r w:rsidR="007334B6" w:rsidRPr="007334B6">
        <w:t> </w:t>
      </w:r>
      <w:r w:rsidRPr="007334B6">
        <w:t>3.52;</w:t>
      </w:r>
    </w:p>
    <w:p w:rsidR="00567870" w:rsidRPr="007334B6" w:rsidRDefault="00567870" w:rsidP="00567870">
      <w:pPr>
        <w:pStyle w:val="paragraphsub"/>
      </w:pPr>
      <w:r w:rsidRPr="007334B6">
        <w:tab/>
        <w:t>(ii)</w:t>
      </w:r>
      <w:r w:rsidRPr="007334B6">
        <w:tab/>
      </w:r>
      <w:proofErr w:type="gramStart"/>
      <w:r w:rsidRPr="007334B6">
        <w:t>method</w:t>
      </w:r>
      <w:proofErr w:type="gramEnd"/>
      <w:r w:rsidRPr="007334B6">
        <w:t xml:space="preserve"> 2A under section</w:t>
      </w:r>
      <w:r w:rsidR="007334B6" w:rsidRPr="007334B6">
        <w:t> </w:t>
      </w:r>
      <w:r w:rsidRPr="007334B6">
        <w:t>3.</w:t>
      </w:r>
      <w:r w:rsidR="00DD35F7" w:rsidRPr="007334B6">
        <w:t>53A</w:t>
      </w:r>
      <w:r w:rsidRPr="007334B6">
        <w:t>; and</w:t>
      </w:r>
    </w:p>
    <w:p w:rsidR="00567870" w:rsidRPr="007334B6" w:rsidRDefault="00567870" w:rsidP="00567870">
      <w:pPr>
        <w:pStyle w:val="paragraph"/>
      </w:pPr>
      <w:r w:rsidRPr="007334B6">
        <w:tab/>
        <w:t>(c)</w:t>
      </w:r>
      <w:r w:rsidRPr="007334B6">
        <w:tab/>
      </w:r>
      <w:proofErr w:type="gramStart"/>
      <w:r w:rsidRPr="007334B6">
        <w:t>if</w:t>
      </w:r>
      <w:proofErr w:type="gramEnd"/>
      <w:r w:rsidRPr="007334B6">
        <w:t xml:space="preserve"> estimating emissions of nitrous oxide released—one of the following methods must be used:</w:t>
      </w:r>
    </w:p>
    <w:p w:rsidR="00567870" w:rsidRPr="007334B6" w:rsidRDefault="00567870" w:rsidP="00567870">
      <w:pPr>
        <w:pStyle w:val="paragraphsub"/>
      </w:pPr>
      <w:r w:rsidRPr="007334B6">
        <w:tab/>
        <w:t>(</w:t>
      </w:r>
      <w:proofErr w:type="spellStart"/>
      <w:r w:rsidRPr="007334B6">
        <w:t>i</w:t>
      </w:r>
      <w:proofErr w:type="spellEnd"/>
      <w:r w:rsidRPr="007334B6">
        <w:t>)</w:t>
      </w:r>
      <w:r w:rsidRPr="007334B6">
        <w:tab/>
      </w:r>
      <w:proofErr w:type="gramStart"/>
      <w:r w:rsidRPr="007334B6">
        <w:t>method</w:t>
      </w:r>
      <w:proofErr w:type="gramEnd"/>
      <w:r w:rsidRPr="007334B6">
        <w:t xml:space="preserve"> 1 under </w:t>
      </w:r>
      <w:r w:rsidR="0001237B" w:rsidRPr="007334B6">
        <w:t>section</w:t>
      </w:r>
      <w:r w:rsidR="007334B6" w:rsidRPr="007334B6">
        <w:t> </w:t>
      </w:r>
      <w:r w:rsidR="0001237B" w:rsidRPr="007334B6">
        <w:t>3.52</w:t>
      </w:r>
      <w:r w:rsidRPr="007334B6">
        <w:t>;</w:t>
      </w:r>
    </w:p>
    <w:p w:rsidR="00567870" w:rsidRPr="007334B6" w:rsidRDefault="00567870" w:rsidP="00567870">
      <w:pPr>
        <w:pStyle w:val="paragraphsub"/>
      </w:pPr>
      <w:r w:rsidRPr="007334B6">
        <w:tab/>
        <w:t>(ii)</w:t>
      </w:r>
      <w:r w:rsidRPr="007334B6">
        <w:tab/>
      </w:r>
      <w:proofErr w:type="gramStart"/>
      <w:r w:rsidRPr="007334B6">
        <w:t>method</w:t>
      </w:r>
      <w:proofErr w:type="gramEnd"/>
      <w:r w:rsidRPr="007334B6">
        <w:t xml:space="preserve"> 2A under section</w:t>
      </w:r>
      <w:r w:rsidR="007334B6" w:rsidRPr="007334B6">
        <w:t> </w:t>
      </w:r>
      <w:r w:rsidRPr="007334B6">
        <w:t>3.</w:t>
      </w:r>
      <w:r w:rsidR="00DD35F7" w:rsidRPr="007334B6">
        <w:t>53</w:t>
      </w:r>
      <w:r w:rsidRPr="007334B6">
        <w:t>A.</w:t>
      </w:r>
    </w:p>
    <w:p w:rsidR="00DD35F7" w:rsidRPr="007334B6" w:rsidRDefault="005124DC" w:rsidP="00567870">
      <w:pPr>
        <w:pStyle w:val="ItemHead"/>
      </w:pPr>
      <w:proofErr w:type="gramStart"/>
      <w:r w:rsidRPr="007334B6">
        <w:t>11</w:t>
      </w:r>
      <w:r w:rsidR="00DD35F7" w:rsidRPr="007334B6">
        <w:t xml:space="preserve">  After</w:t>
      </w:r>
      <w:proofErr w:type="gramEnd"/>
      <w:r w:rsidR="00DD35F7" w:rsidRPr="007334B6">
        <w:t xml:space="preserve"> section</w:t>
      </w:r>
      <w:r w:rsidR="007334B6" w:rsidRPr="007334B6">
        <w:t> </w:t>
      </w:r>
      <w:r w:rsidR="00DD35F7" w:rsidRPr="007334B6">
        <w:t>3.53</w:t>
      </w:r>
    </w:p>
    <w:p w:rsidR="00020C33" w:rsidRPr="007334B6" w:rsidRDefault="00020C33" w:rsidP="00020C33">
      <w:pPr>
        <w:pStyle w:val="Item"/>
      </w:pPr>
      <w:r w:rsidRPr="007334B6">
        <w:t>Insert:</w:t>
      </w:r>
    </w:p>
    <w:p w:rsidR="00020C33" w:rsidRPr="007334B6" w:rsidRDefault="00020C33" w:rsidP="00020C33">
      <w:pPr>
        <w:pStyle w:val="ActHead5"/>
      </w:pPr>
      <w:bookmarkStart w:id="14" w:name="_Toc422842675"/>
      <w:proofErr w:type="gramStart"/>
      <w:r w:rsidRPr="007334B6">
        <w:rPr>
          <w:rStyle w:val="CharSectno"/>
        </w:rPr>
        <w:t>3.53A</w:t>
      </w:r>
      <w:r w:rsidRPr="007334B6">
        <w:t xml:space="preserve">  Method</w:t>
      </w:r>
      <w:proofErr w:type="gramEnd"/>
      <w:r w:rsidRPr="007334B6">
        <w:t xml:space="preserve"> 2A—crude oil production (flared methane or nitrous oxide emissions)</w:t>
      </w:r>
      <w:bookmarkEnd w:id="14"/>
    </w:p>
    <w:p w:rsidR="00020C33" w:rsidRPr="007334B6" w:rsidRDefault="00020C33" w:rsidP="00020C33">
      <w:pPr>
        <w:pStyle w:val="subsection"/>
      </w:pPr>
      <w:r w:rsidRPr="007334B6">
        <w:tab/>
      </w:r>
      <w:r w:rsidRPr="007334B6">
        <w:tab/>
        <w:t>For subparagraphs</w:t>
      </w:r>
      <w:r w:rsidR="007334B6" w:rsidRPr="007334B6">
        <w:t> </w:t>
      </w:r>
      <w:r w:rsidRPr="007334B6">
        <w:t>3.51(1</w:t>
      </w:r>
      <w:proofErr w:type="gramStart"/>
      <w:r w:rsidRPr="007334B6">
        <w:t>)(</w:t>
      </w:r>
      <w:proofErr w:type="gramEnd"/>
      <w:r w:rsidRPr="007334B6">
        <w:t>b)(ii) and (c)(ii), method 2A is:</w:t>
      </w:r>
    </w:p>
    <w:bookmarkStart w:id="15" w:name="BKCheck15B_5"/>
    <w:bookmarkEnd w:id="15"/>
    <w:p w:rsidR="00020C33" w:rsidRPr="007334B6" w:rsidRDefault="004C3033" w:rsidP="00687713">
      <w:pPr>
        <w:pStyle w:val="subsection2"/>
      </w:pPr>
      <w:r w:rsidRPr="007334B6">
        <w:object w:dxaOrig="2079" w:dyaOrig="440">
          <v:shape id="_x0000_i1026" type="#_x0000_t75" style="width:104.75pt;height:21.5pt" o:ole="">
            <v:imagedata r:id="rId21" o:title=""/>
          </v:shape>
          <o:OLEObject Type="Embed" ProgID="Equation.DSMT4" ShapeID="_x0000_i1026" DrawAspect="Content" ObjectID="_1496834173" r:id="rId22"/>
        </w:object>
      </w:r>
    </w:p>
    <w:p w:rsidR="00561BDC" w:rsidRPr="007334B6" w:rsidRDefault="00561BDC" w:rsidP="00561BDC">
      <w:pPr>
        <w:pStyle w:val="subsection2"/>
      </w:pPr>
      <w:proofErr w:type="gramStart"/>
      <w:r w:rsidRPr="007334B6">
        <w:t>where</w:t>
      </w:r>
      <w:proofErr w:type="gramEnd"/>
      <w:r w:rsidRPr="007334B6">
        <w:t>:</w:t>
      </w:r>
    </w:p>
    <w:p w:rsidR="00561BDC" w:rsidRPr="007334B6" w:rsidRDefault="00561BDC" w:rsidP="00561BDC">
      <w:pPr>
        <w:pStyle w:val="Definition"/>
      </w:pPr>
      <w:proofErr w:type="spellStart"/>
      <w:r w:rsidRPr="007334B6">
        <w:rPr>
          <w:b/>
          <w:i/>
        </w:rPr>
        <w:t>EF</w:t>
      </w:r>
      <w:r w:rsidRPr="007334B6">
        <w:rPr>
          <w:b/>
          <w:i/>
          <w:vertAlign w:val="subscript"/>
        </w:rPr>
        <w:t>hij</w:t>
      </w:r>
      <w:proofErr w:type="spellEnd"/>
      <w:r w:rsidRPr="007334B6">
        <w:t xml:space="preserve"> is the emission factor of gas type (</w:t>
      </w:r>
      <w:r w:rsidRPr="007334B6">
        <w:rPr>
          <w:b/>
          <w:i/>
        </w:rPr>
        <w:t>j</w:t>
      </w:r>
      <w:r w:rsidRPr="007334B6">
        <w:t>), being methane or nitrous oxide, for the total hydrocarbons (</w:t>
      </w:r>
      <w:r w:rsidRPr="007334B6">
        <w:rPr>
          <w:b/>
          <w:i/>
        </w:rPr>
        <w:t>h</w:t>
      </w:r>
      <w:r w:rsidRPr="007334B6">
        <w:t>) within the fuel type (</w:t>
      </w:r>
      <w:proofErr w:type="spellStart"/>
      <w:r w:rsidRPr="007334B6">
        <w:rPr>
          <w:b/>
          <w:i/>
        </w:rPr>
        <w:t>i</w:t>
      </w:r>
      <w:proofErr w:type="spellEnd"/>
      <w:r w:rsidRPr="007334B6">
        <w:t>) in crude oil production during the year, mentioned for the fuel type in the table in subsection</w:t>
      </w:r>
      <w:r w:rsidR="007334B6" w:rsidRPr="007334B6">
        <w:t> </w:t>
      </w:r>
      <w:r w:rsidRPr="007334B6">
        <w:t>3.52(2) and measured in CO</w:t>
      </w:r>
      <w:r w:rsidRPr="007334B6">
        <w:rPr>
          <w:vertAlign w:val="subscript"/>
        </w:rPr>
        <w:t>2</w:t>
      </w:r>
      <w:r w:rsidR="007334B6">
        <w:noBreakHyphen/>
      </w:r>
      <w:r w:rsidRPr="007334B6">
        <w:t>e tonnes per tonne of the fuel type (</w:t>
      </w:r>
      <w:proofErr w:type="spellStart"/>
      <w:r w:rsidRPr="007334B6">
        <w:rPr>
          <w:b/>
          <w:i/>
        </w:rPr>
        <w:t>i</w:t>
      </w:r>
      <w:proofErr w:type="spellEnd"/>
      <w:r w:rsidRPr="007334B6">
        <w:t>) flared.</w:t>
      </w:r>
    </w:p>
    <w:p w:rsidR="00561BDC" w:rsidRPr="007334B6" w:rsidRDefault="00561BDC" w:rsidP="00561BDC">
      <w:pPr>
        <w:pStyle w:val="Definition"/>
      </w:pPr>
      <w:proofErr w:type="spellStart"/>
      <w:r w:rsidRPr="007334B6">
        <w:rPr>
          <w:b/>
          <w:i/>
        </w:rPr>
        <w:lastRenderedPageBreak/>
        <w:t>E</w:t>
      </w:r>
      <w:r w:rsidRPr="007334B6">
        <w:rPr>
          <w:b/>
          <w:i/>
          <w:vertAlign w:val="subscript"/>
        </w:rPr>
        <w:t>ij</w:t>
      </w:r>
      <w:proofErr w:type="spellEnd"/>
      <w:r w:rsidRPr="007334B6">
        <w:t xml:space="preserve"> is the fugitive emissions of gas type (</w:t>
      </w:r>
      <w:r w:rsidRPr="007334B6">
        <w:rPr>
          <w:b/>
          <w:i/>
        </w:rPr>
        <w:t>j</w:t>
      </w:r>
      <w:r w:rsidRPr="007334B6">
        <w:t>), being methane or nitrous oxide, from fuel type (</w:t>
      </w:r>
      <w:proofErr w:type="spellStart"/>
      <w:r w:rsidRPr="007334B6">
        <w:rPr>
          <w:b/>
          <w:i/>
        </w:rPr>
        <w:t>i</w:t>
      </w:r>
      <w:proofErr w:type="spellEnd"/>
      <w:r w:rsidRPr="007334B6">
        <w:t>) flared</w:t>
      </w:r>
      <w:r w:rsidRPr="007334B6">
        <w:rPr>
          <w:i/>
        </w:rPr>
        <w:t xml:space="preserve"> </w:t>
      </w:r>
      <w:r w:rsidRPr="007334B6">
        <w:t>from crude oil production during the year, measured in CO</w:t>
      </w:r>
      <w:r w:rsidRPr="007334B6">
        <w:rPr>
          <w:vertAlign w:val="subscript"/>
        </w:rPr>
        <w:t>2</w:t>
      </w:r>
      <w:r w:rsidR="007334B6">
        <w:noBreakHyphen/>
      </w:r>
      <w:r w:rsidRPr="007334B6">
        <w:t>e tonnes.</w:t>
      </w:r>
    </w:p>
    <w:p w:rsidR="00561BDC" w:rsidRPr="007334B6" w:rsidRDefault="00561BDC" w:rsidP="00561BDC">
      <w:pPr>
        <w:pStyle w:val="Definition"/>
      </w:pPr>
      <w:proofErr w:type="spellStart"/>
      <w:r w:rsidRPr="007334B6">
        <w:rPr>
          <w:b/>
          <w:i/>
        </w:rPr>
        <w:t>OF</w:t>
      </w:r>
      <w:r w:rsidRPr="007334B6">
        <w:rPr>
          <w:b/>
          <w:i/>
          <w:vertAlign w:val="subscript"/>
        </w:rPr>
        <w:t>i</w:t>
      </w:r>
      <w:proofErr w:type="spellEnd"/>
      <w:r w:rsidRPr="007334B6">
        <w:t xml:space="preserve"> is 0.98, which is the destruction efficiency of fuel type (</w:t>
      </w:r>
      <w:proofErr w:type="spellStart"/>
      <w:r w:rsidRPr="007334B6">
        <w:rPr>
          <w:b/>
          <w:i/>
        </w:rPr>
        <w:t>i</w:t>
      </w:r>
      <w:proofErr w:type="spellEnd"/>
      <w:r w:rsidRPr="007334B6">
        <w:t>) flared.</w:t>
      </w:r>
    </w:p>
    <w:p w:rsidR="00561BDC" w:rsidRPr="007334B6" w:rsidRDefault="00561BDC" w:rsidP="00561BDC">
      <w:pPr>
        <w:pStyle w:val="Definition"/>
      </w:pPr>
      <w:proofErr w:type="spellStart"/>
      <w:r w:rsidRPr="007334B6">
        <w:rPr>
          <w:b/>
          <w:i/>
        </w:rPr>
        <w:t>Q</w:t>
      </w:r>
      <w:r w:rsidRPr="007334B6">
        <w:rPr>
          <w:b/>
          <w:i/>
          <w:vertAlign w:val="subscript"/>
        </w:rPr>
        <w:t>h</w:t>
      </w:r>
      <w:proofErr w:type="spellEnd"/>
      <w:r w:rsidRPr="007334B6">
        <w:t xml:space="preserve"> is the total quantity of hydrocarbons (</w:t>
      </w:r>
      <w:r w:rsidRPr="007334B6">
        <w:rPr>
          <w:b/>
          <w:i/>
        </w:rPr>
        <w:t>h</w:t>
      </w:r>
      <w:r w:rsidRPr="007334B6">
        <w:t>) within the fuel type (</w:t>
      </w:r>
      <w:proofErr w:type="spellStart"/>
      <w:r w:rsidRPr="007334B6">
        <w:rPr>
          <w:b/>
          <w:i/>
        </w:rPr>
        <w:t>i</w:t>
      </w:r>
      <w:proofErr w:type="spellEnd"/>
      <w:r w:rsidRPr="007334B6">
        <w:t>) in crude oil production during the year, measured in tonnes in accordance with Division</w:t>
      </w:r>
      <w:r w:rsidR="007334B6" w:rsidRPr="007334B6">
        <w:t> </w:t>
      </w:r>
      <w:r w:rsidRPr="007334B6">
        <w:t>2.3.3 for gaseous fuels or Division</w:t>
      </w:r>
      <w:r w:rsidR="007334B6" w:rsidRPr="007334B6">
        <w:t> </w:t>
      </w:r>
      <w:r w:rsidRPr="007334B6">
        <w:t>2.4.3 for liquid fuels.</w:t>
      </w:r>
    </w:p>
    <w:p w:rsidR="00567870" w:rsidRPr="007334B6" w:rsidRDefault="005124DC" w:rsidP="00567870">
      <w:pPr>
        <w:pStyle w:val="ItemHead"/>
      </w:pPr>
      <w:proofErr w:type="gramStart"/>
      <w:r w:rsidRPr="007334B6">
        <w:t>12</w:t>
      </w:r>
      <w:r w:rsidR="00567870" w:rsidRPr="007334B6">
        <w:t xml:space="preserve">  Section</w:t>
      </w:r>
      <w:proofErr w:type="gramEnd"/>
      <w:r w:rsidR="007334B6" w:rsidRPr="007334B6">
        <w:t> </w:t>
      </w:r>
      <w:r w:rsidR="00567870" w:rsidRPr="007334B6">
        <w:t>3.55</w:t>
      </w:r>
    </w:p>
    <w:p w:rsidR="00567870" w:rsidRPr="007334B6" w:rsidRDefault="00567870" w:rsidP="00567870">
      <w:pPr>
        <w:pStyle w:val="Item"/>
      </w:pPr>
      <w:r w:rsidRPr="007334B6">
        <w:t>Repeal the section.</w:t>
      </w:r>
    </w:p>
    <w:p w:rsidR="00567870" w:rsidRPr="007334B6" w:rsidRDefault="005124DC" w:rsidP="00567870">
      <w:pPr>
        <w:pStyle w:val="ItemHead"/>
      </w:pPr>
      <w:proofErr w:type="gramStart"/>
      <w:r w:rsidRPr="007334B6">
        <w:t>13</w:t>
      </w:r>
      <w:r w:rsidR="00567870" w:rsidRPr="007334B6">
        <w:t xml:space="preserve">  Paragraphs</w:t>
      </w:r>
      <w:proofErr w:type="gramEnd"/>
      <w:r w:rsidR="00567870" w:rsidRPr="007334B6">
        <w:t xml:space="preserve"> 3.62(4)(b) and (c)</w:t>
      </w:r>
    </w:p>
    <w:p w:rsidR="00567870" w:rsidRPr="007334B6" w:rsidRDefault="00567870" w:rsidP="00567870">
      <w:pPr>
        <w:pStyle w:val="Item"/>
      </w:pPr>
      <w:r w:rsidRPr="007334B6">
        <w:t>Repeal the paragraphs, substitute:</w:t>
      </w:r>
    </w:p>
    <w:p w:rsidR="00567870" w:rsidRPr="007334B6" w:rsidRDefault="00567870" w:rsidP="00567870">
      <w:pPr>
        <w:pStyle w:val="paragraph"/>
      </w:pPr>
      <w:r w:rsidRPr="007334B6">
        <w:tab/>
        <w:t>(b)</w:t>
      </w:r>
      <w:r w:rsidRPr="007334B6">
        <w:tab/>
      </w:r>
      <w:proofErr w:type="gramStart"/>
      <w:r w:rsidRPr="007334B6">
        <w:t>if</w:t>
      </w:r>
      <w:proofErr w:type="gramEnd"/>
      <w:r w:rsidRPr="007334B6">
        <w:t xml:space="preserve"> estimating emissions of methane released—one of the following methods must be used:</w:t>
      </w:r>
    </w:p>
    <w:p w:rsidR="00567870" w:rsidRPr="007334B6" w:rsidRDefault="00567870" w:rsidP="00567870">
      <w:pPr>
        <w:pStyle w:val="paragraphsub"/>
      </w:pPr>
      <w:r w:rsidRPr="007334B6">
        <w:tab/>
        <w:t>(</w:t>
      </w:r>
      <w:proofErr w:type="spellStart"/>
      <w:r w:rsidRPr="007334B6">
        <w:t>i</w:t>
      </w:r>
      <w:proofErr w:type="spellEnd"/>
      <w:r w:rsidRPr="007334B6">
        <w:t>)</w:t>
      </w:r>
      <w:r w:rsidRPr="007334B6">
        <w:tab/>
      </w:r>
      <w:proofErr w:type="gramStart"/>
      <w:r w:rsidRPr="007334B6">
        <w:t>method</w:t>
      </w:r>
      <w:proofErr w:type="gramEnd"/>
      <w:r w:rsidRPr="007334B6">
        <w:t xml:space="preserve"> 1 under section</w:t>
      </w:r>
      <w:r w:rsidR="007334B6" w:rsidRPr="007334B6">
        <w:t> </w:t>
      </w:r>
      <w:r w:rsidRPr="007334B6">
        <w:t>3.67;</w:t>
      </w:r>
    </w:p>
    <w:p w:rsidR="00567870" w:rsidRPr="007334B6" w:rsidRDefault="00567870" w:rsidP="00567870">
      <w:pPr>
        <w:pStyle w:val="paragraphsub"/>
      </w:pPr>
      <w:r w:rsidRPr="007334B6">
        <w:tab/>
        <w:t>(ii)</w:t>
      </w:r>
      <w:r w:rsidRPr="007334B6">
        <w:tab/>
      </w:r>
      <w:proofErr w:type="gramStart"/>
      <w:r w:rsidRPr="007334B6">
        <w:t>method</w:t>
      </w:r>
      <w:proofErr w:type="gramEnd"/>
      <w:r w:rsidRPr="007334B6">
        <w:t xml:space="preserve"> 2A under section</w:t>
      </w:r>
      <w:r w:rsidR="007334B6" w:rsidRPr="007334B6">
        <w:t> </w:t>
      </w:r>
      <w:r w:rsidRPr="007334B6">
        <w:t>3.</w:t>
      </w:r>
      <w:r w:rsidR="00EF58A4" w:rsidRPr="007334B6">
        <w:t>68A</w:t>
      </w:r>
      <w:r w:rsidRPr="007334B6">
        <w:t>; and</w:t>
      </w:r>
    </w:p>
    <w:p w:rsidR="00567870" w:rsidRPr="007334B6" w:rsidRDefault="00567870" w:rsidP="00567870">
      <w:pPr>
        <w:pStyle w:val="paragraph"/>
      </w:pPr>
      <w:r w:rsidRPr="007334B6">
        <w:tab/>
        <w:t>(c)</w:t>
      </w:r>
      <w:r w:rsidRPr="007334B6">
        <w:tab/>
      </w:r>
      <w:proofErr w:type="gramStart"/>
      <w:r w:rsidRPr="007334B6">
        <w:t>if</w:t>
      </w:r>
      <w:proofErr w:type="gramEnd"/>
      <w:r w:rsidRPr="007334B6">
        <w:t xml:space="preserve"> estimating emissions of nitrous oxide released—one of the following methods must be used:</w:t>
      </w:r>
    </w:p>
    <w:p w:rsidR="00567870" w:rsidRPr="007334B6" w:rsidRDefault="00567870" w:rsidP="00567870">
      <w:pPr>
        <w:pStyle w:val="paragraphsub"/>
      </w:pPr>
      <w:r w:rsidRPr="007334B6">
        <w:tab/>
        <w:t>(</w:t>
      </w:r>
      <w:proofErr w:type="spellStart"/>
      <w:r w:rsidRPr="007334B6">
        <w:t>i</w:t>
      </w:r>
      <w:proofErr w:type="spellEnd"/>
      <w:r w:rsidRPr="007334B6">
        <w:t>)</w:t>
      </w:r>
      <w:r w:rsidRPr="007334B6">
        <w:tab/>
      </w:r>
      <w:proofErr w:type="gramStart"/>
      <w:r w:rsidRPr="007334B6">
        <w:t>method</w:t>
      </w:r>
      <w:proofErr w:type="gramEnd"/>
      <w:r w:rsidRPr="007334B6">
        <w:t xml:space="preserve"> 1 under section</w:t>
      </w:r>
      <w:r w:rsidR="007334B6" w:rsidRPr="007334B6">
        <w:t> </w:t>
      </w:r>
      <w:r w:rsidRPr="007334B6">
        <w:t>3.67;</w:t>
      </w:r>
    </w:p>
    <w:p w:rsidR="00567870" w:rsidRPr="007334B6" w:rsidRDefault="00567870" w:rsidP="00567870">
      <w:pPr>
        <w:pStyle w:val="paragraphsub"/>
      </w:pPr>
      <w:r w:rsidRPr="007334B6">
        <w:tab/>
        <w:t>(ii)</w:t>
      </w:r>
      <w:r w:rsidRPr="007334B6">
        <w:tab/>
      </w:r>
      <w:proofErr w:type="gramStart"/>
      <w:r w:rsidRPr="007334B6">
        <w:t>method</w:t>
      </w:r>
      <w:proofErr w:type="gramEnd"/>
      <w:r w:rsidRPr="007334B6">
        <w:t xml:space="preserve"> 2A under section</w:t>
      </w:r>
      <w:r w:rsidR="007334B6" w:rsidRPr="007334B6">
        <w:t> </w:t>
      </w:r>
      <w:r w:rsidRPr="007334B6">
        <w:t>3.</w:t>
      </w:r>
      <w:r w:rsidR="00EF58A4" w:rsidRPr="007334B6">
        <w:t>68A</w:t>
      </w:r>
      <w:r w:rsidRPr="007334B6">
        <w:t>.</w:t>
      </w:r>
    </w:p>
    <w:p w:rsidR="00EF58A4" w:rsidRPr="007334B6" w:rsidRDefault="005124DC" w:rsidP="00EF58A4">
      <w:pPr>
        <w:pStyle w:val="ItemHead"/>
      </w:pPr>
      <w:proofErr w:type="gramStart"/>
      <w:r w:rsidRPr="007334B6">
        <w:t>14</w:t>
      </w:r>
      <w:r w:rsidR="00EF58A4" w:rsidRPr="007334B6">
        <w:t xml:space="preserve">  After</w:t>
      </w:r>
      <w:proofErr w:type="gramEnd"/>
      <w:r w:rsidR="00EF58A4" w:rsidRPr="007334B6">
        <w:t xml:space="preserve"> section</w:t>
      </w:r>
      <w:r w:rsidR="007334B6" w:rsidRPr="007334B6">
        <w:t> </w:t>
      </w:r>
      <w:r w:rsidR="00EF58A4" w:rsidRPr="007334B6">
        <w:t>3.68</w:t>
      </w:r>
    </w:p>
    <w:p w:rsidR="00EF58A4" w:rsidRPr="007334B6" w:rsidRDefault="00EF58A4" w:rsidP="00EF58A4">
      <w:pPr>
        <w:pStyle w:val="Item"/>
      </w:pPr>
      <w:r w:rsidRPr="007334B6">
        <w:t>Insert:</w:t>
      </w:r>
    </w:p>
    <w:p w:rsidR="00EF58A4" w:rsidRPr="007334B6" w:rsidRDefault="00EF58A4" w:rsidP="00EF58A4">
      <w:pPr>
        <w:pStyle w:val="ActHead5"/>
      </w:pPr>
      <w:bookmarkStart w:id="16" w:name="_Toc422842676"/>
      <w:r w:rsidRPr="007334B6">
        <w:rPr>
          <w:rStyle w:val="CharSectno"/>
        </w:rPr>
        <w:t>3.68A</w:t>
      </w:r>
      <w:r w:rsidRPr="007334B6">
        <w:t xml:space="preserve">   Method 2A—crude oil refining (flared methane or nitrous oxide emissions)</w:t>
      </w:r>
      <w:bookmarkEnd w:id="16"/>
    </w:p>
    <w:p w:rsidR="00EF58A4" w:rsidRPr="007334B6" w:rsidRDefault="00EF58A4" w:rsidP="00EF58A4">
      <w:pPr>
        <w:pStyle w:val="subsection"/>
      </w:pPr>
      <w:r w:rsidRPr="007334B6">
        <w:tab/>
      </w:r>
      <w:r w:rsidRPr="007334B6">
        <w:tab/>
        <w:t>For subparagraphs</w:t>
      </w:r>
      <w:r w:rsidR="007334B6" w:rsidRPr="007334B6">
        <w:t> </w:t>
      </w:r>
      <w:r w:rsidRPr="007334B6">
        <w:t>3.62(4</w:t>
      </w:r>
      <w:proofErr w:type="gramStart"/>
      <w:r w:rsidRPr="007334B6">
        <w:t>)(</w:t>
      </w:r>
      <w:proofErr w:type="gramEnd"/>
      <w:r w:rsidRPr="007334B6">
        <w:t>b)(ii) and (c)(ii), method 2A is:</w:t>
      </w:r>
    </w:p>
    <w:bookmarkStart w:id="17" w:name="BKCheck15B_6"/>
    <w:bookmarkEnd w:id="17"/>
    <w:p w:rsidR="00EF58A4" w:rsidRPr="007334B6" w:rsidRDefault="004C3033" w:rsidP="00687713">
      <w:pPr>
        <w:pStyle w:val="subsection2"/>
      </w:pPr>
      <w:r w:rsidRPr="007334B6">
        <w:object w:dxaOrig="2079" w:dyaOrig="440">
          <v:shape id="_x0000_i1027" type="#_x0000_t75" style="width:104.75pt;height:21.5pt" o:ole="">
            <v:imagedata r:id="rId23" o:title=""/>
          </v:shape>
          <o:OLEObject Type="Embed" ProgID="Equation.DSMT4" ShapeID="_x0000_i1027" DrawAspect="Content" ObjectID="_1496834174" r:id="rId24"/>
        </w:object>
      </w:r>
    </w:p>
    <w:p w:rsidR="00EF58A4" w:rsidRPr="007334B6" w:rsidRDefault="00EF58A4" w:rsidP="00EF58A4">
      <w:pPr>
        <w:pStyle w:val="subsection2"/>
      </w:pPr>
      <w:proofErr w:type="gramStart"/>
      <w:r w:rsidRPr="007334B6">
        <w:t>where</w:t>
      </w:r>
      <w:proofErr w:type="gramEnd"/>
      <w:r w:rsidRPr="007334B6">
        <w:t>:</w:t>
      </w:r>
    </w:p>
    <w:p w:rsidR="00EF58A4" w:rsidRPr="007334B6" w:rsidRDefault="00EF58A4" w:rsidP="00EF58A4">
      <w:pPr>
        <w:pStyle w:val="Definition"/>
      </w:pPr>
      <w:proofErr w:type="spellStart"/>
      <w:r w:rsidRPr="007334B6">
        <w:rPr>
          <w:b/>
          <w:i/>
        </w:rPr>
        <w:t>EF</w:t>
      </w:r>
      <w:r w:rsidRPr="007334B6">
        <w:rPr>
          <w:b/>
          <w:i/>
          <w:vertAlign w:val="subscript"/>
        </w:rPr>
        <w:t>hij</w:t>
      </w:r>
      <w:proofErr w:type="spellEnd"/>
      <w:r w:rsidRPr="007334B6">
        <w:t xml:space="preserve"> is the emission factor of gas type (</w:t>
      </w:r>
      <w:r w:rsidRPr="007334B6">
        <w:rPr>
          <w:b/>
          <w:i/>
        </w:rPr>
        <w:t>j</w:t>
      </w:r>
      <w:r w:rsidRPr="007334B6">
        <w:t>), being methane or nitrous oxide, for the total hydrocarbons (</w:t>
      </w:r>
      <w:r w:rsidRPr="007334B6">
        <w:rPr>
          <w:b/>
          <w:i/>
        </w:rPr>
        <w:t>h</w:t>
      </w:r>
      <w:r w:rsidRPr="007334B6">
        <w:t>) within the fuel type (</w:t>
      </w:r>
      <w:proofErr w:type="spellStart"/>
      <w:r w:rsidRPr="007334B6">
        <w:rPr>
          <w:b/>
          <w:i/>
        </w:rPr>
        <w:t>i</w:t>
      </w:r>
      <w:proofErr w:type="spellEnd"/>
      <w:r w:rsidRPr="007334B6">
        <w:t>) in crude oil refining during the year, mentioned for the fuel type in the table in subsection</w:t>
      </w:r>
      <w:r w:rsidR="007334B6" w:rsidRPr="007334B6">
        <w:t> </w:t>
      </w:r>
      <w:r w:rsidRPr="007334B6">
        <w:t>3.67(2) and measured in CO</w:t>
      </w:r>
      <w:r w:rsidRPr="007334B6">
        <w:rPr>
          <w:vertAlign w:val="subscript"/>
        </w:rPr>
        <w:t>2</w:t>
      </w:r>
      <w:r w:rsidR="007334B6">
        <w:noBreakHyphen/>
      </w:r>
      <w:r w:rsidRPr="007334B6">
        <w:t>e tonnes per tonne of the fuel type (</w:t>
      </w:r>
      <w:proofErr w:type="spellStart"/>
      <w:r w:rsidRPr="007334B6">
        <w:rPr>
          <w:b/>
          <w:i/>
        </w:rPr>
        <w:t>i</w:t>
      </w:r>
      <w:proofErr w:type="spellEnd"/>
      <w:r w:rsidRPr="007334B6">
        <w:t>) flared.</w:t>
      </w:r>
    </w:p>
    <w:p w:rsidR="00EF58A4" w:rsidRPr="007334B6" w:rsidRDefault="00EF58A4" w:rsidP="00EF58A4">
      <w:pPr>
        <w:pStyle w:val="Definition"/>
      </w:pPr>
      <w:proofErr w:type="spellStart"/>
      <w:r w:rsidRPr="007334B6">
        <w:rPr>
          <w:b/>
          <w:i/>
        </w:rPr>
        <w:t>E</w:t>
      </w:r>
      <w:r w:rsidRPr="007334B6">
        <w:rPr>
          <w:b/>
          <w:i/>
          <w:vertAlign w:val="subscript"/>
        </w:rPr>
        <w:t>ij</w:t>
      </w:r>
      <w:proofErr w:type="spellEnd"/>
      <w:r w:rsidRPr="007334B6">
        <w:t xml:space="preserve"> is the fugitive emissions of gas type (</w:t>
      </w:r>
      <w:r w:rsidRPr="007334B6">
        <w:rPr>
          <w:b/>
          <w:i/>
        </w:rPr>
        <w:t>j</w:t>
      </w:r>
      <w:r w:rsidRPr="007334B6">
        <w:t>), being methane or nitrous oxide, from fuel type (</w:t>
      </w:r>
      <w:proofErr w:type="spellStart"/>
      <w:r w:rsidRPr="007334B6">
        <w:rPr>
          <w:b/>
          <w:i/>
        </w:rPr>
        <w:t>i</w:t>
      </w:r>
      <w:proofErr w:type="spellEnd"/>
      <w:r w:rsidRPr="007334B6">
        <w:t>) flared</w:t>
      </w:r>
      <w:r w:rsidRPr="007334B6">
        <w:rPr>
          <w:i/>
        </w:rPr>
        <w:t xml:space="preserve"> </w:t>
      </w:r>
      <w:r w:rsidRPr="007334B6">
        <w:t>from crude oil refining during the year, measured in CO</w:t>
      </w:r>
      <w:r w:rsidRPr="007334B6">
        <w:rPr>
          <w:vertAlign w:val="subscript"/>
        </w:rPr>
        <w:t>2</w:t>
      </w:r>
      <w:r w:rsidR="007334B6">
        <w:noBreakHyphen/>
      </w:r>
      <w:r w:rsidRPr="007334B6">
        <w:t>e tonnes.</w:t>
      </w:r>
    </w:p>
    <w:p w:rsidR="00EF58A4" w:rsidRPr="007334B6" w:rsidRDefault="00EF58A4" w:rsidP="00EF58A4">
      <w:pPr>
        <w:pStyle w:val="Definition"/>
      </w:pPr>
      <w:proofErr w:type="spellStart"/>
      <w:r w:rsidRPr="007334B6">
        <w:rPr>
          <w:b/>
          <w:i/>
        </w:rPr>
        <w:t>OF</w:t>
      </w:r>
      <w:r w:rsidRPr="007334B6">
        <w:rPr>
          <w:b/>
          <w:i/>
          <w:vertAlign w:val="subscript"/>
        </w:rPr>
        <w:t>i</w:t>
      </w:r>
      <w:proofErr w:type="spellEnd"/>
      <w:r w:rsidRPr="007334B6">
        <w:t xml:space="preserve"> is 0.98, which is the destruction efficiency of fuel type (</w:t>
      </w:r>
      <w:proofErr w:type="spellStart"/>
      <w:r w:rsidRPr="007334B6">
        <w:rPr>
          <w:b/>
          <w:i/>
        </w:rPr>
        <w:t>i</w:t>
      </w:r>
      <w:proofErr w:type="spellEnd"/>
      <w:r w:rsidRPr="007334B6">
        <w:t>) flared.</w:t>
      </w:r>
    </w:p>
    <w:p w:rsidR="00EF58A4" w:rsidRPr="007334B6" w:rsidRDefault="00EF58A4" w:rsidP="00EF58A4">
      <w:pPr>
        <w:pStyle w:val="Definition"/>
      </w:pPr>
      <w:proofErr w:type="spellStart"/>
      <w:r w:rsidRPr="007334B6">
        <w:rPr>
          <w:b/>
          <w:i/>
        </w:rPr>
        <w:t>Q</w:t>
      </w:r>
      <w:r w:rsidRPr="007334B6">
        <w:rPr>
          <w:b/>
          <w:i/>
          <w:vertAlign w:val="subscript"/>
        </w:rPr>
        <w:t>h</w:t>
      </w:r>
      <w:proofErr w:type="spellEnd"/>
      <w:r w:rsidRPr="007334B6">
        <w:t xml:space="preserve"> is the total quantity of hydrocarbons (</w:t>
      </w:r>
      <w:r w:rsidRPr="007334B6">
        <w:rPr>
          <w:b/>
          <w:i/>
        </w:rPr>
        <w:t>h</w:t>
      </w:r>
      <w:r w:rsidRPr="007334B6">
        <w:t>) within the fuel type (</w:t>
      </w:r>
      <w:proofErr w:type="spellStart"/>
      <w:r w:rsidRPr="007334B6">
        <w:rPr>
          <w:b/>
          <w:i/>
        </w:rPr>
        <w:t>i</w:t>
      </w:r>
      <w:proofErr w:type="spellEnd"/>
      <w:r w:rsidRPr="007334B6">
        <w:t xml:space="preserve">) in crude oil </w:t>
      </w:r>
      <w:r w:rsidR="00201033" w:rsidRPr="007334B6">
        <w:t>refining</w:t>
      </w:r>
      <w:r w:rsidRPr="007334B6">
        <w:t xml:space="preserve"> during the year, measured in tonnes in accordance with Division</w:t>
      </w:r>
      <w:r w:rsidR="007334B6" w:rsidRPr="007334B6">
        <w:t> </w:t>
      </w:r>
      <w:r w:rsidRPr="007334B6">
        <w:t>2.3.3</w:t>
      </w:r>
      <w:r w:rsidR="00087CAE" w:rsidRPr="007334B6">
        <w:t>.</w:t>
      </w:r>
    </w:p>
    <w:p w:rsidR="00567870" w:rsidRPr="007334B6" w:rsidRDefault="005124DC" w:rsidP="00567870">
      <w:pPr>
        <w:pStyle w:val="ItemHead"/>
      </w:pPr>
      <w:proofErr w:type="gramStart"/>
      <w:r w:rsidRPr="007334B6">
        <w:t>15</w:t>
      </w:r>
      <w:r w:rsidR="00567870" w:rsidRPr="007334B6">
        <w:t xml:space="preserve">  Paragraphs</w:t>
      </w:r>
      <w:proofErr w:type="gramEnd"/>
      <w:r w:rsidR="00567870" w:rsidRPr="007334B6">
        <w:t xml:space="preserve"> 3.83(3)(b) and (c)</w:t>
      </w:r>
    </w:p>
    <w:p w:rsidR="00567870" w:rsidRPr="007334B6" w:rsidRDefault="00567870" w:rsidP="00567870">
      <w:pPr>
        <w:pStyle w:val="Item"/>
      </w:pPr>
      <w:r w:rsidRPr="007334B6">
        <w:t>Repeal the paragraphs, substitute:</w:t>
      </w:r>
    </w:p>
    <w:p w:rsidR="00567870" w:rsidRPr="007334B6" w:rsidRDefault="00567870" w:rsidP="00567870">
      <w:pPr>
        <w:pStyle w:val="paragraph"/>
      </w:pPr>
      <w:r w:rsidRPr="007334B6">
        <w:lastRenderedPageBreak/>
        <w:tab/>
        <w:t>(b)</w:t>
      </w:r>
      <w:r w:rsidRPr="007334B6">
        <w:tab/>
      </w:r>
      <w:proofErr w:type="gramStart"/>
      <w:r w:rsidRPr="007334B6">
        <w:t>if</w:t>
      </w:r>
      <w:proofErr w:type="gramEnd"/>
      <w:r w:rsidRPr="007334B6">
        <w:t xml:space="preserve"> estimating emissions of methane released—one of the following methods must be used:</w:t>
      </w:r>
    </w:p>
    <w:p w:rsidR="00567870" w:rsidRPr="007334B6" w:rsidRDefault="00567870" w:rsidP="00567870">
      <w:pPr>
        <w:pStyle w:val="paragraphsub"/>
      </w:pPr>
      <w:r w:rsidRPr="007334B6">
        <w:tab/>
        <w:t>(</w:t>
      </w:r>
      <w:proofErr w:type="spellStart"/>
      <w:r w:rsidRPr="007334B6">
        <w:t>i</w:t>
      </w:r>
      <w:proofErr w:type="spellEnd"/>
      <w:r w:rsidRPr="007334B6">
        <w:t>)</w:t>
      </w:r>
      <w:r w:rsidRPr="007334B6">
        <w:tab/>
      </w:r>
      <w:proofErr w:type="gramStart"/>
      <w:r w:rsidRPr="007334B6">
        <w:t>method</w:t>
      </w:r>
      <w:proofErr w:type="gramEnd"/>
      <w:r w:rsidRPr="007334B6">
        <w:t xml:space="preserve"> 1 under section</w:t>
      </w:r>
      <w:r w:rsidR="007334B6" w:rsidRPr="007334B6">
        <w:t> </w:t>
      </w:r>
      <w:r w:rsidRPr="007334B6">
        <w:t>3.85;</w:t>
      </w:r>
    </w:p>
    <w:p w:rsidR="00567870" w:rsidRPr="007334B6" w:rsidRDefault="00567870" w:rsidP="00567870">
      <w:pPr>
        <w:pStyle w:val="paragraphsub"/>
      </w:pPr>
      <w:r w:rsidRPr="007334B6">
        <w:tab/>
        <w:t>(ii)</w:t>
      </w:r>
      <w:r w:rsidRPr="007334B6">
        <w:tab/>
      </w:r>
      <w:proofErr w:type="gramStart"/>
      <w:r w:rsidRPr="007334B6">
        <w:t>method</w:t>
      </w:r>
      <w:proofErr w:type="gramEnd"/>
      <w:r w:rsidRPr="007334B6">
        <w:t xml:space="preserve"> 2A under section</w:t>
      </w:r>
      <w:r w:rsidR="007334B6" w:rsidRPr="007334B6">
        <w:t> </w:t>
      </w:r>
      <w:r w:rsidRPr="007334B6">
        <w:t>3.</w:t>
      </w:r>
      <w:r w:rsidR="00260525" w:rsidRPr="007334B6">
        <w:t>86</w:t>
      </w:r>
      <w:r w:rsidRPr="007334B6">
        <w:t>A; and</w:t>
      </w:r>
    </w:p>
    <w:p w:rsidR="00567870" w:rsidRPr="007334B6" w:rsidRDefault="00567870" w:rsidP="00567870">
      <w:pPr>
        <w:pStyle w:val="paragraph"/>
      </w:pPr>
      <w:r w:rsidRPr="007334B6">
        <w:tab/>
        <w:t>(c)</w:t>
      </w:r>
      <w:r w:rsidRPr="007334B6">
        <w:tab/>
      </w:r>
      <w:proofErr w:type="gramStart"/>
      <w:r w:rsidRPr="007334B6">
        <w:t>if</w:t>
      </w:r>
      <w:proofErr w:type="gramEnd"/>
      <w:r w:rsidRPr="007334B6">
        <w:t xml:space="preserve"> estimating emissions of nitrous oxide released—one of the following methods must be used:</w:t>
      </w:r>
    </w:p>
    <w:p w:rsidR="00567870" w:rsidRPr="007334B6" w:rsidRDefault="00567870" w:rsidP="00567870">
      <w:pPr>
        <w:pStyle w:val="paragraphsub"/>
      </w:pPr>
      <w:r w:rsidRPr="007334B6">
        <w:tab/>
        <w:t>(</w:t>
      </w:r>
      <w:proofErr w:type="spellStart"/>
      <w:r w:rsidRPr="007334B6">
        <w:t>i</w:t>
      </w:r>
      <w:proofErr w:type="spellEnd"/>
      <w:r w:rsidRPr="007334B6">
        <w:t>)</w:t>
      </w:r>
      <w:r w:rsidRPr="007334B6">
        <w:tab/>
      </w:r>
      <w:proofErr w:type="gramStart"/>
      <w:r w:rsidRPr="007334B6">
        <w:t>method</w:t>
      </w:r>
      <w:proofErr w:type="gramEnd"/>
      <w:r w:rsidRPr="007334B6">
        <w:t xml:space="preserve"> 1 under section</w:t>
      </w:r>
      <w:r w:rsidR="007334B6" w:rsidRPr="007334B6">
        <w:t> </w:t>
      </w:r>
      <w:r w:rsidRPr="007334B6">
        <w:t>3.85;</w:t>
      </w:r>
    </w:p>
    <w:p w:rsidR="00567870" w:rsidRPr="007334B6" w:rsidRDefault="00567870" w:rsidP="00567870">
      <w:pPr>
        <w:pStyle w:val="paragraphsub"/>
      </w:pPr>
      <w:r w:rsidRPr="007334B6">
        <w:tab/>
        <w:t>(ii)</w:t>
      </w:r>
      <w:r w:rsidRPr="007334B6">
        <w:tab/>
      </w:r>
      <w:proofErr w:type="gramStart"/>
      <w:r w:rsidRPr="007334B6">
        <w:t>method</w:t>
      </w:r>
      <w:proofErr w:type="gramEnd"/>
      <w:r w:rsidRPr="007334B6">
        <w:t xml:space="preserve"> 2A under section</w:t>
      </w:r>
      <w:r w:rsidR="007334B6" w:rsidRPr="007334B6">
        <w:t> </w:t>
      </w:r>
      <w:r w:rsidR="00260525" w:rsidRPr="007334B6">
        <w:t>3.86</w:t>
      </w:r>
      <w:r w:rsidRPr="007334B6">
        <w:t>A.</w:t>
      </w:r>
    </w:p>
    <w:p w:rsidR="00201033" w:rsidRPr="007334B6" w:rsidRDefault="005124DC" w:rsidP="00201033">
      <w:pPr>
        <w:pStyle w:val="ItemHead"/>
      </w:pPr>
      <w:proofErr w:type="gramStart"/>
      <w:r w:rsidRPr="007334B6">
        <w:t>16</w:t>
      </w:r>
      <w:r w:rsidR="00201033" w:rsidRPr="007334B6">
        <w:t xml:space="preserve">  Section</w:t>
      </w:r>
      <w:proofErr w:type="gramEnd"/>
      <w:r w:rsidR="007334B6" w:rsidRPr="007334B6">
        <w:t> </w:t>
      </w:r>
      <w:r w:rsidR="00201033" w:rsidRPr="007334B6">
        <w:t>3.86 (formula)</w:t>
      </w:r>
    </w:p>
    <w:p w:rsidR="00201033" w:rsidRPr="007334B6" w:rsidRDefault="00201033" w:rsidP="00201033">
      <w:pPr>
        <w:pStyle w:val="Item"/>
      </w:pPr>
      <w:r w:rsidRPr="007334B6">
        <w:t>Repeal the formula, substitute:</w:t>
      </w:r>
    </w:p>
    <w:bookmarkStart w:id="18" w:name="BKCheck15B_7"/>
    <w:bookmarkEnd w:id="18"/>
    <w:p w:rsidR="00201033" w:rsidRPr="007334B6" w:rsidRDefault="005124DC" w:rsidP="00687713">
      <w:pPr>
        <w:pStyle w:val="subsection2"/>
      </w:pPr>
      <w:r w:rsidRPr="007334B6">
        <w:object w:dxaOrig="3019" w:dyaOrig="460">
          <v:shape id="_x0000_i1028" type="#_x0000_t75" style="width:150.55pt;height:23.4pt" o:ole="">
            <v:imagedata r:id="rId25" o:title=""/>
          </v:shape>
          <o:OLEObject Type="Embed" ProgID="Equation.DSMT4" ShapeID="_x0000_i1028" DrawAspect="Content" ObjectID="_1496834175" r:id="rId26"/>
        </w:object>
      </w:r>
    </w:p>
    <w:p w:rsidR="00201033" w:rsidRPr="007334B6" w:rsidRDefault="005124DC" w:rsidP="00567870">
      <w:pPr>
        <w:pStyle w:val="ItemHead"/>
      </w:pPr>
      <w:proofErr w:type="gramStart"/>
      <w:r w:rsidRPr="007334B6">
        <w:t>17</w:t>
      </w:r>
      <w:r w:rsidR="00201033" w:rsidRPr="007334B6">
        <w:t xml:space="preserve">  Section</w:t>
      </w:r>
      <w:proofErr w:type="gramEnd"/>
      <w:r w:rsidR="007334B6" w:rsidRPr="007334B6">
        <w:t> </w:t>
      </w:r>
      <w:r w:rsidR="00201033" w:rsidRPr="007334B6">
        <w:t xml:space="preserve">3.86 (definition of </w:t>
      </w:r>
      <w:proofErr w:type="spellStart"/>
      <w:r w:rsidR="00201033" w:rsidRPr="007334B6">
        <w:rPr>
          <w:i/>
        </w:rPr>
        <w:t>EF</w:t>
      </w:r>
      <w:r w:rsidR="00201033" w:rsidRPr="007334B6">
        <w:rPr>
          <w:i/>
          <w:vertAlign w:val="subscript"/>
        </w:rPr>
        <w:t>h</w:t>
      </w:r>
      <w:proofErr w:type="spellEnd"/>
      <w:r w:rsidR="00201033" w:rsidRPr="007334B6">
        <w:t>)</w:t>
      </w:r>
    </w:p>
    <w:p w:rsidR="00F91276" w:rsidRPr="007334B6" w:rsidRDefault="00201033" w:rsidP="00201033">
      <w:pPr>
        <w:pStyle w:val="Item"/>
      </w:pPr>
      <w:r w:rsidRPr="007334B6">
        <w:t>Repeal the definition</w:t>
      </w:r>
      <w:r w:rsidR="00F91276" w:rsidRPr="007334B6">
        <w:t>.</w:t>
      </w:r>
    </w:p>
    <w:p w:rsidR="00F91276" w:rsidRPr="007334B6" w:rsidRDefault="005124DC" w:rsidP="00F91276">
      <w:pPr>
        <w:pStyle w:val="ItemHead"/>
      </w:pPr>
      <w:proofErr w:type="gramStart"/>
      <w:r w:rsidRPr="007334B6">
        <w:t>18</w:t>
      </w:r>
      <w:r w:rsidR="00F91276" w:rsidRPr="007334B6">
        <w:t xml:space="preserve">  Section</w:t>
      </w:r>
      <w:proofErr w:type="gramEnd"/>
      <w:r w:rsidR="007334B6" w:rsidRPr="007334B6">
        <w:t> </w:t>
      </w:r>
      <w:r w:rsidR="00F91276" w:rsidRPr="007334B6">
        <w:t xml:space="preserve">3.86 (after the definition of </w:t>
      </w:r>
      <w:proofErr w:type="spellStart"/>
      <w:r w:rsidR="00F91276" w:rsidRPr="007334B6">
        <w:rPr>
          <w:i/>
        </w:rPr>
        <w:t>Q</w:t>
      </w:r>
      <w:r w:rsidR="00F91276" w:rsidRPr="007334B6">
        <w:rPr>
          <w:i/>
          <w:vertAlign w:val="subscript"/>
        </w:rPr>
        <w:t>h</w:t>
      </w:r>
      <w:proofErr w:type="spellEnd"/>
      <w:r w:rsidR="00F91276" w:rsidRPr="007334B6">
        <w:t>)</w:t>
      </w:r>
    </w:p>
    <w:p w:rsidR="00201033" w:rsidRPr="007334B6" w:rsidRDefault="00F91276" w:rsidP="00201033">
      <w:pPr>
        <w:pStyle w:val="Item"/>
      </w:pPr>
      <w:r w:rsidRPr="007334B6">
        <w:t>Insert:</w:t>
      </w:r>
    </w:p>
    <w:p w:rsidR="00201033" w:rsidRPr="007334B6" w:rsidRDefault="00201033" w:rsidP="00201033">
      <w:pPr>
        <w:pStyle w:val="Definition"/>
      </w:pPr>
      <w:proofErr w:type="spellStart"/>
      <w:r w:rsidRPr="007334B6">
        <w:rPr>
          <w:b/>
          <w:i/>
        </w:rPr>
        <w:t>EF</w:t>
      </w:r>
      <w:r w:rsidRPr="007334B6">
        <w:rPr>
          <w:b/>
          <w:i/>
          <w:vertAlign w:val="subscript"/>
        </w:rPr>
        <w:t>hi</w:t>
      </w:r>
      <w:proofErr w:type="spellEnd"/>
      <w:r w:rsidRPr="007334B6">
        <w:t xml:space="preserve"> </w:t>
      </w:r>
      <w:r w:rsidR="0091683A" w:rsidRPr="007334B6">
        <w:t>is the carbon dioxide emission factor for the total hydrocarbons (</w:t>
      </w:r>
      <w:r w:rsidR="0091683A" w:rsidRPr="007334B6">
        <w:rPr>
          <w:b/>
          <w:i/>
        </w:rPr>
        <w:t>h</w:t>
      </w:r>
      <w:r w:rsidR="0091683A" w:rsidRPr="007334B6">
        <w:t>) within the fuel type (</w:t>
      </w:r>
      <w:proofErr w:type="spellStart"/>
      <w:r w:rsidR="0091683A" w:rsidRPr="007334B6">
        <w:rPr>
          <w:b/>
          <w:i/>
        </w:rPr>
        <w:t>i</w:t>
      </w:r>
      <w:proofErr w:type="spellEnd"/>
      <w:r w:rsidR="0091683A" w:rsidRPr="007334B6">
        <w:t>) in the natural gas production and processing during the year, measured in CO</w:t>
      </w:r>
      <w:r w:rsidR="0091683A" w:rsidRPr="007334B6">
        <w:rPr>
          <w:vertAlign w:val="subscript"/>
        </w:rPr>
        <w:t>2</w:t>
      </w:r>
      <w:r w:rsidR="007334B6">
        <w:noBreakHyphen/>
      </w:r>
      <w:r w:rsidR="0091683A" w:rsidRPr="007334B6">
        <w:t>e tonnes per tonne of fuel type (</w:t>
      </w:r>
      <w:proofErr w:type="spellStart"/>
      <w:r w:rsidR="0091683A" w:rsidRPr="007334B6">
        <w:rPr>
          <w:b/>
          <w:i/>
        </w:rPr>
        <w:t>i</w:t>
      </w:r>
      <w:proofErr w:type="spellEnd"/>
      <w:r w:rsidR="0091683A" w:rsidRPr="007334B6">
        <w:t>) flared,</w:t>
      </w:r>
      <w:r w:rsidR="0091683A" w:rsidRPr="007334B6">
        <w:rPr>
          <w:i/>
        </w:rPr>
        <w:t xml:space="preserve"> </w:t>
      </w:r>
      <w:r w:rsidR="0091683A" w:rsidRPr="007334B6">
        <w:t>estimated in accordance with Division</w:t>
      </w:r>
      <w:r w:rsidR="007334B6" w:rsidRPr="007334B6">
        <w:t> </w:t>
      </w:r>
      <w:r w:rsidR="0091683A" w:rsidRPr="007334B6">
        <w:t>2.3.3.</w:t>
      </w:r>
    </w:p>
    <w:p w:rsidR="00260525" w:rsidRPr="007334B6" w:rsidRDefault="005124DC" w:rsidP="00260525">
      <w:pPr>
        <w:pStyle w:val="ItemHead"/>
      </w:pPr>
      <w:proofErr w:type="gramStart"/>
      <w:r w:rsidRPr="007334B6">
        <w:t>19</w:t>
      </w:r>
      <w:r w:rsidR="00260525" w:rsidRPr="007334B6">
        <w:t xml:space="preserve">  After</w:t>
      </w:r>
      <w:proofErr w:type="gramEnd"/>
      <w:r w:rsidR="00260525" w:rsidRPr="007334B6">
        <w:t xml:space="preserve"> section</w:t>
      </w:r>
      <w:r w:rsidR="007334B6" w:rsidRPr="007334B6">
        <w:t> </w:t>
      </w:r>
      <w:r w:rsidR="00A92C8F" w:rsidRPr="007334B6">
        <w:t>3.86</w:t>
      </w:r>
    </w:p>
    <w:p w:rsidR="00260525" w:rsidRPr="007334B6" w:rsidRDefault="00260525" w:rsidP="00260525">
      <w:pPr>
        <w:pStyle w:val="Item"/>
      </w:pPr>
      <w:r w:rsidRPr="007334B6">
        <w:t>Insert:</w:t>
      </w:r>
    </w:p>
    <w:p w:rsidR="00260525" w:rsidRPr="007334B6" w:rsidRDefault="00260525" w:rsidP="00260525">
      <w:pPr>
        <w:pStyle w:val="ActHead5"/>
      </w:pPr>
      <w:bookmarkStart w:id="19" w:name="_Toc422842677"/>
      <w:proofErr w:type="gramStart"/>
      <w:r w:rsidRPr="007334B6">
        <w:rPr>
          <w:rStyle w:val="CharSectno"/>
        </w:rPr>
        <w:t>3.86A</w:t>
      </w:r>
      <w:r w:rsidR="00A92C8F" w:rsidRPr="007334B6">
        <w:t xml:space="preserve">  </w:t>
      </w:r>
      <w:r w:rsidRPr="007334B6">
        <w:t>Method</w:t>
      </w:r>
      <w:proofErr w:type="gramEnd"/>
      <w:r w:rsidRPr="007334B6">
        <w:t xml:space="preserve"> 2A—natural gas production and processing (flared methane or nitrous oxide emissions)</w:t>
      </w:r>
      <w:bookmarkEnd w:id="19"/>
    </w:p>
    <w:p w:rsidR="00260525" w:rsidRPr="007334B6" w:rsidRDefault="00260525" w:rsidP="00260525">
      <w:pPr>
        <w:pStyle w:val="subsection"/>
      </w:pPr>
      <w:r w:rsidRPr="007334B6">
        <w:tab/>
      </w:r>
      <w:r w:rsidRPr="007334B6">
        <w:tab/>
        <w:t>For subparagraphs</w:t>
      </w:r>
      <w:r w:rsidR="007334B6" w:rsidRPr="007334B6">
        <w:t> </w:t>
      </w:r>
      <w:r w:rsidRPr="007334B6">
        <w:t>3.83(3</w:t>
      </w:r>
      <w:proofErr w:type="gramStart"/>
      <w:r w:rsidRPr="007334B6">
        <w:t>)(</w:t>
      </w:r>
      <w:proofErr w:type="gramEnd"/>
      <w:r w:rsidRPr="007334B6">
        <w:t>b)(ii) and (c)(ii), method 2A is:</w:t>
      </w:r>
    </w:p>
    <w:bookmarkStart w:id="20" w:name="BKCheck15B_8"/>
    <w:bookmarkEnd w:id="20"/>
    <w:p w:rsidR="00260525" w:rsidRPr="007334B6" w:rsidRDefault="00260525" w:rsidP="00687713">
      <w:pPr>
        <w:pStyle w:val="subsection2"/>
      </w:pPr>
      <w:r w:rsidRPr="007334B6">
        <w:object w:dxaOrig="2079" w:dyaOrig="440">
          <v:shape id="_x0000_i1029" type="#_x0000_t75" style="width:104.75pt;height:21.5pt" o:ole="">
            <v:imagedata r:id="rId23" o:title=""/>
          </v:shape>
          <o:OLEObject Type="Embed" ProgID="Equation.DSMT4" ShapeID="_x0000_i1029" DrawAspect="Content" ObjectID="_1496834176" r:id="rId27"/>
        </w:object>
      </w:r>
    </w:p>
    <w:p w:rsidR="00260525" w:rsidRPr="007334B6" w:rsidRDefault="00260525" w:rsidP="00260525">
      <w:pPr>
        <w:pStyle w:val="subsection2"/>
      </w:pPr>
      <w:proofErr w:type="gramStart"/>
      <w:r w:rsidRPr="007334B6">
        <w:t>where</w:t>
      </w:r>
      <w:proofErr w:type="gramEnd"/>
      <w:r w:rsidRPr="007334B6">
        <w:t>:</w:t>
      </w:r>
    </w:p>
    <w:p w:rsidR="00260525" w:rsidRPr="007334B6" w:rsidRDefault="00260525" w:rsidP="00260525">
      <w:pPr>
        <w:pStyle w:val="Definition"/>
      </w:pPr>
      <w:proofErr w:type="spellStart"/>
      <w:r w:rsidRPr="007334B6">
        <w:rPr>
          <w:b/>
          <w:i/>
        </w:rPr>
        <w:t>EF</w:t>
      </w:r>
      <w:r w:rsidRPr="007334B6">
        <w:rPr>
          <w:b/>
          <w:i/>
          <w:vertAlign w:val="subscript"/>
        </w:rPr>
        <w:t>hij</w:t>
      </w:r>
      <w:proofErr w:type="spellEnd"/>
      <w:r w:rsidRPr="007334B6">
        <w:t xml:space="preserve"> is the emission factor of gas type (</w:t>
      </w:r>
      <w:r w:rsidRPr="007334B6">
        <w:rPr>
          <w:b/>
          <w:i/>
        </w:rPr>
        <w:t>j</w:t>
      </w:r>
      <w:r w:rsidRPr="007334B6">
        <w:t>), being methane or nitrous oxide, for the total hydrocarbons (</w:t>
      </w:r>
      <w:r w:rsidRPr="007334B6">
        <w:rPr>
          <w:b/>
          <w:i/>
        </w:rPr>
        <w:t>h</w:t>
      </w:r>
      <w:r w:rsidRPr="007334B6">
        <w:t>) within the fuel type (</w:t>
      </w:r>
      <w:proofErr w:type="spellStart"/>
      <w:r w:rsidRPr="007334B6">
        <w:rPr>
          <w:b/>
          <w:i/>
        </w:rPr>
        <w:t>i</w:t>
      </w:r>
      <w:proofErr w:type="spellEnd"/>
      <w:r w:rsidRPr="007334B6">
        <w:t>) in natural gas production and processing during the year, mentioned for the fuel type in the table in subsection</w:t>
      </w:r>
      <w:r w:rsidR="007334B6" w:rsidRPr="007334B6">
        <w:t> </w:t>
      </w:r>
      <w:r w:rsidRPr="007334B6">
        <w:t>3.85(2) and measured in CO</w:t>
      </w:r>
      <w:r w:rsidRPr="007334B6">
        <w:rPr>
          <w:vertAlign w:val="subscript"/>
        </w:rPr>
        <w:t>2</w:t>
      </w:r>
      <w:r w:rsidR="007334B6">
        <w:noBreakHyphen/>
      </w:r>
      <w:r w:rsidRPr="007334B6">
        <w:t>e tonnes per tonne of the fuel type (</w:t>
      </w:r>
      <w:proofErr w:type="spellStart"/>
      <w:r w:rsidRPr="007334B6">
        <w:rPr>
          <w:b/>
          <w:i/>
        </w:rPr>
        <w:t>i</w:t>
      </w:r>
      <w:proofErr w:type="spellEnd"/>
      <w:r w:rsidRPr="007334B6">
        <w:t>) flared.</w:t>
      </w:r>
    </w:p>
    <w:p w:rsidR="00260525" w:rsidRPr="007334B6" w:rsidRDefault="00260525" w:rsidP="00260525">
      <w:pPr>
        <w:pStyle w:val="Definition"/>
      </w:pPr>
      <w:proofErr w:type="spellStart"/>
      <w:r w:rsidRPr="007334B6">
        <w:rPr>
          <w:b/>
          <w:i/>
        </w:rPr>
        <w:t>E</w:t>
      </w:r>
      <w:r w:rsidRPr="007334B6">
        <w:rPr>
          <w:b/>
          <w:i/>
          <w:vertAlign w:val="subscript"/>
        </w:rPr>
        <w:t>ij</w:t>
      </w:r>
      <w:proofErr w:type="spellEnd"/>
      <w:r w:rsidRPr="007334B6">
        <w:t xml:space="preserve"> is the fugitive emissions of gas type (</w:t>
      </w:r>
      <w:r w:rsidRPr="007334B6">
        <w:rPr>
          <w:b/>
          <w:i/>
        </w:rPr>
        <w:t>j</w:t>
      </w:r>
      <w:r w:rsidRPr="007334B6">
        <w:t>), being methane or nitrous oxide, from fuel type (</w:t>
      </w:r>
      <w:proofErr w:type="spellStart"/>
      <w:r w:rsidRPr="007334B6">
        <w:rPr>
          <w:b/>
          <w:i/>
        </w:rPr>
        <w:t>i</w:t>
      </w:r>
      <w:proofErr w:type="spellEnd"/>
      <w:r w:rsidRPr="007334B6">
        <w:t>) flared</w:t>
      </w:r>
      <w:r w:rsidRPr="007334B6">
        <w:rPr>
          <w:i/>
        </w:rPr>
        <w:t xml:space="preserve"> </w:t>
      </w:r>
      <w:r w:rsidRPr="007334B6">
        <w:t>from natural gas production and processing during the year, measured in CO</w:t>
      </w:r>
      <w:r w:rsidRPr="007334B6">
        <w:rPr>
          <w:vertAlign w:val="subscript"/>
        </w:rPr>
        <w:t>2</w:t>
      </w:r>
      <w:r w:rsidR="007334B6">
        <w:noBreakHyphen/>
      </w:r>
      <w:r w:rsidRPr="007334B6">
        <w:t>e tonnes.</w:t>
      </w:r>
    </w:p>
    <w:p w:rsidR="00260525" w:rsidRPr="007334B6" w:rsidRDefault="00260525" w:rsidP="00260525">
      <w:pPr>
        <w:pStyle w:val="Definition"/>
      </w:pPr>
      <w:proofErr w:type="spellStart"/>
      <w:r w:rsidRPr="007334B6">
        <w:rPr>
          <w:b/>
          <w:i/>
        </w:rPr>
        <w:t>OF</w:t>
      </w:r>
      <w:r w:rsidRPr="007334B6">
        <w:rPr>
          <w:b/>
          <w:i/>
          <w:vertAlign w:val="subscript"/>
        </w:rPr>
        <w:t>i</w:t>
      </w:r>
      <w:proofErr w:type="spellEnd"/>
      <w:r w:rsidRPr="007334B6">
        <w:t xml:space="preserve"> is 0.98, which is the destruction efficiency of fuel type (</w:t>
      </w:r>
      <w:proofErr w:type="spellStart"/>
      <w:r w:rsidRPr="007334B6">
        <w:rPr>
          <w:b/>
          <w:i/>
        </w:rPr>
        <w:t>i</w:t>
      </w:r>
      <w:proofErr w:type="spellEnd"/>
      <w:r w:rsidRPr="007334B6">
        <w:t>) flared.</w:t>
      </w:r>
    </w:p>
    <w:p w:rsidR="00260525" w:rsidRPr="007334B6" w:rsidRDefault="00260525" w:rsidP="00260525">
      <w:pPr>
        <w:pStyle w:val="Definition"/>
      </w:pPr>
      <w:proofErr w:type="spellStart"/>
      <w:r w:rsidRPr="007334B6">
        <w:rPr>
          <w:b/>
          <w:i/>
        </w:rPr>
        <w:t>Q</w:t>
      </w:r>
      <w:r w:rsidRPr="007334B6">
        <w:rPr>
          <w:b/>
          <w:i/>
          <w:vertAlign w:val="subscript"/>
        </w:rPr>
        <w:t>h</w:t>
      </w:r>
      <w:proofErr w:type="spellEnd"/>
      <w:r w:rsidRPr="007334B6">
        <w:t xml:space="preserve"> is the total quantity of hydrocarbons (</w:t>
      </w:r>
      <w:r w:rsidRPr="007334B6">
        <w:rPr>
          <w:b/>
          <w:i/>
        </w:rPr>
        <w:t>h</w:t>
      </w:r>
      <w:r w:rsidRPr="007334B6">
        <w:t>) within the fuel type (</w:t>
      </w:r>
      <w:proofErr w:type="spellStart"/>
      <w:r w:rsidRPr="007334B6">
        <w:rPr>
          <w:b/>
          <w:i/>
        </w:rPr>
        <w:t>i</w:t>
      </w:r>
      <w:proofErr w:type="spellEnd"/>
      <w:r w:rsidRPr="007334B6">
        <w:t>) in natural gas production and processing during the year, measured in tonnes in accordance with Division</w:t>
      </w:r>
      <w:r w:rsidR="007334B6" w:rsidRPr="007334B6">
        <w:t> </w:t>
      </w:r>
      <w:r w:rsidRPr="007334B6">
        <w:t>2.3.3.</w:t>
      </w:r>
    </w:p>
    <w:p w:rsidR="00567870" w:rsidRPr="007334B6" w:rsidRDefault="005124DC" w:rsidP="00567870">
      <w:pPr>
        <w:pStyle w:val="ItemHead"/>
      </w:pPr>
      <w:proofErr w:type="gramStart"/>
      <w:r w:rsidRPr="007334B6">
        <w:lastRenderedPageBreak/>
        <w:t>20</w:t>
      </w:r>
      <w:r w:rsidR="00567870" w:rsidRPr="007334B6">
        <w:t xml:space="preserve">  After</w:t>
      </w:r>
      <w:proofErr w:type="gramEnd"/>
      <w:r w:rsidR="00567870" w:rsidRPr="007334B6">
        <w:t xml:space="preserve"> subsection</w:t>
      </w:r>
      <w:r w:rsidR="007334B6" w:rsidRPr="007334B6">
        <w:t> </w:t>
      </w:r>
      <w:r w:rsidR="00567870" w:rsidRPr="007334B6">
        <w:t>7.1(2) (before the note)</w:t>
      </w:r>
    </w:p>
    <w:p w:rsidR="00567870" w:rsidRPr="007334B6" w:rsidRDefault="00567870" w:rsidP="00567870">
      <w:pPr>
        <w:pStyle w:val="Item"/>
      </w:pPr>
      <w:r w:rsidRPr="007334B6">
        <w:t>Insert:</w:t>
      </w:r>
    </w:p>
    <w:p w:rsidR="00567870" w:rsidRPr="007334B6" w:rsidRDefault="00567870" w:rsidP="00567870">
      <w:pPr>
        <w:pStyle w:val="subsection"/>
      </w:pPr>
      <w:r w:rsidRPr="007334B6">
        <w:tab/>
        <w:t>(3)</w:t>
      </w:r>
      <w:r w:rsidRPr="007334B6">
        <w:tab/>
        <w:t>The facilities to which this Chapter applies include a facility the operation of which is constituted by an electricity transmission network or distribution network that consumes electricity through electricity losses.</w:t>
      </w:r>
    </w:p>
    <w:p w:rsidR="00567870" w:rsidRPr="007334B6" w:rsidRDefault="005124DC" w:rsidP="00567870">
      <w:pPr>
        <w:pStyle w:val="ItemHead"/>
      </w:pPr>
      <w:proofErr w:type="gramStart"/>
      <w:r w:rsidRPr="007334B6">
        <w:t>21</w:t>
      </w:r>
      <w:r w:rsidR="00567870" w:rsidRPr="007334B6">
        <w:t xml:space="preserve">  Subsections</w:t>
      </w:r>
      <w:proofErr w:type="gramEnd"/>
      <w:r w:rsidR="007334B6" w:rsidRPr="007334B6">
        <w:t> </w:t>
      </w:r>
      <w:r w:rsidR="00567870" w:rsidRPr="007334B6">
        <w:t>7.2(3) and 7.3(3)</w:t>
      </w:r>
    </w:p>
    <w:p w:rsidR="00567870" w:rsidRPr="007334B6" w:rsidRDefault="00567870" w:rsidP="00567870">
      <w:pPr>
        <w:pStyle w:val="Item"/>
      </w:pPr>
      <w:r w:rsidRPr="007334B6">
        <w:t>After “purchased”, insert “(or lost)”.</w:t>
      </w:r>
    </w:p>
    <w:p w:rsidR="005E2CE0" w:rsidRPr="007334B6" w:rsidRDefault="005124DC" w:rsidP="005E2CE0">
      <w:pPr>
        <w:pStyle w:val="ItemHead"/>
      </w:pPr>
      <w:proofErr w:type="gramStart"/>
      <w:r w:rsidRPr="007334B6">
        <w:t>22</w:t>
      </w:r>
      <w:r w:rsidR="005E2CE0" w:rsidRPr="007334B6">
        <w:t xml:space="preserve">  Part</w:t>
      </w:r>
      <w:proofErr w:type="gramEnd"/>
      <w:r w:rsidR="007334B6" w:rsidRPr="007334B6">
        <w:t> </w:t>
      </w:r>
      <w:r w:rsidR="0007252F" w:rsidRPr="007334B6">
        <w:t>6</w:t>
      </w:r>
      <w:r w:rsidR="005E2CE0" w:rsidRPr="007334B6">
        <w:t xml:space="preserve"> of Schedule</w:t>
      </w:r>
      <w:r w:rsidR="007334B6" w:rsidRPr="007334B6">
        <w:t> </w:t>
      </w:r>
      <w:r w:rsidR="0007252F" w:rsidRPr="007334B6">
        <w:t>1</w:t>
      </w:r>
    </w:p>
    <w:p w:rsidR="005E2CE0" w:rsidRPr="007334B6" w:rsidRDefault="005E2CE0" w:rsidP="005E2CE0">
      <w:pPr>
        <w:pStyle w:val="Item"/>
      </w:pPr>
      <w:r w:rsidRPr="007334B6">
        <w:t>Repeal the Part, substitute:</w:t>
      </w:r>
    </w:p>
    <w:p w:rsidR="005E2CE0" w:rsidRPr="007334B6" w:rsidRDefault="005E2CE0" w:rsidP="00AD5568">
      <w:pPr>
        <w:pStyle w:val="ActHead2"/>
      </w:pPr>
      <w:bookmarkStart w:id="21" w:name="f_Check_Lines_above"/>
      <w:bookmarkStart w:id="22" w:name="_Toc422842678"/>
      <w:bookmarkEnd w:id="21"/>
      <w:r w:rsidRPr="007334B6">
        <w:rPr>
          <w:rStyle w:val="CharPartNo"/>
        </w:rPr>
        <w:t>Part</w:t>
      </w:r>
      <w:r w:rsidR="007334B6" w:rsidRPr="007334B6">
        <w:rPr>
          <w:rStyle w:val="CharPartNo"/>
        </w:rPr>
        <w:t> </w:t>
      </w:r>
      <w:r w:rsidRPr="007334B6">
        <w:rPr>
          <w:rStyle w:val="CharPartNo"/>
        </w:rPr>
        <w:t>6</w:t>
      </w:r>
      <w:r w:rsidRPr="007334B6">
        <w:t>—</w:t>
      </w:r>
      <w:r w:rsidRPr="007334B6">
        <w:rPr>
          <w:rStyle w:val="CharPartText"/>
        </w:rPr>
        <w:t>Indirect (scope 2) emission factors from consumption of purchased electricity from grid</w:t>
      </w:r>
      <w:bookmarkEnd w:id="22"/>
    </w:p>
    <w:p w:rsidR="005E2CE0" w:rsidRPr="007334B6" w:rsidRDefault="005E2CE0" w:rsidP="005E2CE0">
      <w:pPr>
        <w:pStyle w:val="Tabletext"/>
      </w:pPr>
    </w:p>
    <w:tbl>
      <w:tblPr>
        <w:tblW w:w="8415" w:type="dxa"/>
        <w:tblInd w:w="10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/>
      </w:tblPr>
      <w:tblGrid>
        <w:gridCol w:w="723"/>
        <w:gridCol w:w="5874"/>
        <w:gridCol w:w="1818"/>
      </w:tblGrid>
      <w:tr w:rsidR="005E2CE0" w:rsidRPr="007334B6" w:rsidTr="00062862">
        <w:trPr>
          <w:tblHeader/>
        </w:trPr>
        <w:tc>
          <w:tcPr>
            <w:tcW w:w="8415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E2CE0" w:rsidRPr="007334B6" w:rsidRDefault="005E2CE0" w:rsidP="00062862">
            <w:pPr>
              <w:pStyle w:val="TableHeading"/>
            </w:pPr>
            <w:r w:rsidRPr="007334B6">
              <w:t>Indirect (Scope 2) Emissions Factors from Consumption of Purchased Electricity from Grid</w:t>
            </w:r>
          </w:p>
        </w:tc>
      </w:tr>
      <w:tr w:rsidR="005E2CE0" w:rsidRPr="007334B6" w:rsidTr="00062862">
        <w:trPr>
          <w:tblHeader/>
        </w:trPr>
        <w:tc>
          <w:tcPr>
            <w:tcW w:w="72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E2CE0" w:rsidRPr="007334B6" w:rsidRDefault="005E2CE0" w:rsidP="00062862">
            <w:pPr>
              <w:pStyle w:val="TableHeading"/>
            </w:pPr>
            <w:r w:rsidRPr="007334B6">
              <w:t>Item</w:t>
            </w:r>
          </w:p>
        </w:tc>
        <w:tc>
          <w:tcPr>
            <w:tcW w:w="587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E2CE0" w:rsidRPr="007334B6" w:rsidRDefault="005E2CE0" w:rsidP="00062862">
            <w:pPr>
              <w:pStyle w:val="TableHeading"/>
            </w:pPr>
            <w:r w:rsidRPr="007334B6">
              <w:t>State, Territory or grid description</w:t>
            </w:r>
          </w:p>
        </w:tc>
        <w:tc>
          <w:tcPr>
            <w:tcW w:w="18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E2CE0" w:rsidRPr="007334B6" w:rsidRDefault="005E2CE0" w:rsidP="008546F5">
            <w:pPr>
              <w:pStyle w:val="TableHeading"/>
              <w:jc w:val="right"/>
            </w:pPr>
            <w:r w:rsidRPr="007334B6">
              <w:t>Emission factor kg CO</w:t>
            </w:r>
            <w:r w:rsidRPr="007334B6">
              <w:rPr>
                <w:vertAlign w:val="subscript"/>
              </w:rPr>
              <w:t>2</w:t>
            </w:r>
            <w:r w:rsidR="007334B6">
              <w:noBreakHyphen/>
            </w:r>
            <w:r w:rsidRPr="007334B6">
              <w:t>e/kWh</w:t>
            </w:r>
          </w:p>
        </w:tc>
      </w:tr>
      <w:tr w:rsidR="005E2CE0" w:rsidRPr="007334B6" w:rsidTr="00062862"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5E2CE0" w:rsidRPr="007334B6" w:rsidRDefault="005E2CE0" w:rsidP="00062862">
            <w:pPr>
              <w:pStyle w:val="Tabletext"/>
            </w:pPr>
            <w:r w:rsidRPr="007334B6">
              <w:t>77</w:t>
            </w:r>
          </w:p>
        </w:tc>
        <w:tc>
          <w:tcPr>
            <w:tcW w:w="5874" w:type="dxa"/>
            <w:tcBorders>
              <w:top w:val="single" w:sz="12" w:space="0" w:color="auto"/>
            </w:tcBorders>
            <w:shd w:val="clear" w:color="auto" w:fill="auto"/>
          </w:tcPr>
          <w:p w:rsidR="005E2CE0" w:rsidRPr="007334B6" w:rsidRDefault="005E2CE0" w:rsidP="00062862">
            <w:pPr>
              <w:pStyle w:val="Tabletext"/>
            </w:pPr>
            <w:r w:rsidRPr="007334B6">
              <w:t>New South Wales and Australian Capital Territory</w:t>
            </w:r>
          </w:p>
        </w:tc>
        <w:tc>
          <w:tcPr>
            <w:tcW w:w="1818" w:type="dxa"/>
            <w:tcBorders>
              <w:top w:val="single" w:sz="12" w:space="0" w:color="auto"/>
            </w:tcBorders>
            <w:shd w:val="clear" w:color="auto" w:fill="auto"/>
          </w:tcPr>
          <w:p w:rsidR="005E2CE0" w:rsidRPr="007334B6" w:rsidRDefault="005E2CE0" w:rsidP="008546F5">
            <w:pPr>
              <w:pStyle w:val="Tabletext"/>
              <w:jc w:val="right"/>
            </w:pPr>
            <w:r w:rsidRPr="007334B6">
              <w:t>0.84</w:t>
            </w:r>
          </w:p>
        </w:tc>
      </w:tr>
      <w:tr w:rsidR="005E2CE0" w:rsidRPr="007334B6" w:rsidTr="00062862">
        <w:tc>
          <w:tcPr>
            <w:tcW w:w="723" w:type="dxa"/>
            <w:shd w:val="clear" w:color="auto" w:fill="auto"/>
          </w:tcPr>
          <w:p w:rsidR="005E2CE0" w:rsidRPr="007334B6" w:rsidRDefault="005E2CE0" w:rsidP="00062862">
            <w:pPr>
              <w:pStyle w:val="Tabletext"/>
            </w:pPr>
            <w:r w:rsidRPr="007334B6">
              <w:t>78</w:t>
            </w:r>
          </w:p>
        </w:tc>
        <w:tc>
          <w:tcPr>
            <w:tcW w:w="5874" w:type="dxa"/>
            <w:shd w:val="clear" w:color="auto" w:fill="auto"/>
          </w:tcPr>
          <w:p w:rsidR="005E2CE0" w:rsidRPr="007334B6" w:rsidRDefault="005E2CE0" w:rsidP="00062862">
            <w:pPr>
              <w:pStyle w:val="Tabletext"/>
            </w:pPr>
            <w:r w:rsidRPr="007334B6">
              <w:t>Victoria</w:t>
            </w:r>
          </w:p>
        </w:tc>
        <w:tc>
          <w:tcPr>
            <w:tcW w:w="1818" w:type="dxa"/>
            <w:shd w:val="clear" w:color="auto" w:fill="auto"/>
          </w:tcPr>
          <w:p w:rsidR="005E2CE0" w:rsidRPr="007334B6" w:rsidRDefault="005E2CE0" w:rsidP="008546F5">
            <w:pPr>
              <w:pStyle w:val="Tabletext"/>
              <w:jc w:val="right"/>
            </w:pPr>
            <w:r w:rsidRPr="007334B6">
              <w:t>1.13</w:t>
            </w:r>
          </w:p>
        </w:tc>
      </w:tr>
      <w:tr w:rsidR="005E2CE0" w:rsidRPr="007334B6" w:rsidTr="00062862">
        <w:tc>
          <w:tcPr>
            <w:tcW w:w="723" w:type="dxa"/>
            <w:shd w:val="clear" w:color="auto" w:fill="auto"/>
          </w:tcPr>
          <w:p w:rsidR="005E2CE0" w:rsidRPr="007334B6" w:rsidRDefault="005E2CE0" w:rsidP="00062862">
            <w:pPr>
              <w:pStyle w:val="Tabletext"/>
            </w:pPr>
            <w:r w:rsidRPr="007334B6">
              <w:t>79</w:t>
            </w:r>
          </w:p>
        </w:tc>
        <w:tc>
          <w:tcPr>
            <w:tcW w:w="5874" w:type="dxa"/>
            <w:shd w:val="clear" w:color="auto" w:fill="auto"/>
          </w:tcPr>
          <w:p w:rsidR="005E2CE0" w:rsidRPr="007334B6" w:rsidRDefault="005E2CE0" w:rsidP="00062862">
            <w:pPr>
              <w:pStyle w:val="Tabletext"/>
            </w:pPr>
            <w:r w:rsidRPr="007334B6">
              <w:t>Queensland</w:t>
            </w:r>
          </w:p>
        </w:tc>
        <w:tc>
          <w:tcPr>
            <w:tcW w:w="1818" w:type="dxa"/>
            <w:shd w:val="clear" w:color="auto" w:fill="auto"/>
          </w:tcPr>
          <w:p w:rsidR="005E2CE0" w:rsidRPr="007334B6" w:rsidRDefault="005E2CE0" w:rsidP="008546F5">
            <w:pPr>
              <w:pStyle w:val="Tabletext"/>
              <w:jc w:val="right"/>
            </w:pPr>
            <w:r w:rsidRPr="007334B6">
              <w:t>0.79</w:t>
            </w:r>
          </w:p>
        </w:tc>
      </w:tr>
      <w:tr w:rsidR="005E2CE0" w:rsidRPr="007334B6" w:rsidTr="00062862">
        <w:tc>
          <w:tcPr>
            <w:tcW w:w="723" w:type="dxa"/>
            <w:shd w:val="clear" w:color="auto" w:fill="auto"/>
          </w:tcPr>
          <w:p w:rsidR="005E2CE0" w:rsidRPr="007334B6" w:rsidRDefault="005E2CE0" w:rsidP="00062862">
            <w:pPr>
              <w:pStyle w:val="Tabletext"/>
            </w:pPr>
            <w:r w:rsidRPr="007334B6">
              <w:t>80</w:t>
            </w:r>
          </w:p>
        </w:tc>
        <w:tc>
          <w:tcPr>
            <w:tcW w:w="5874" w:type="dxa"/>
            <w:shd w:val="clear" w:color="auto" w:fill="auto"/>
          </w:tcPr>
          <w:p w:rsidR="005E2CE0" w:rsidRPr="007334B6" w:rsidRDefault="005E2CE0" w:rsidP="00062862">
            <w:pPr>
              <w:pStyle w:val="Tabletext"/>
            </w:pPr>
            <w:r w:rsidRPr="007334B6">
              <w:t>South Australia</w:t>
            </w:r>
          </w:p>
        </w:tc>
        <w:tc>
          <w:tcPr>
            <w:tcW w:w="1818" w:type="dxa"/>
            <w:shd w:val="clear" w:color="auto" w:fill="auto"/>
          </w:tcPr>
          <w:p w:rsidR="005E2CE0" w:rsidRPr="007334B6" w:rsidRDefault="005E2CE0" w:rsidP="008546F5">
            <w:pPr>
              <w:pStyle w:val="Tabletext"/>
              <w:jc w:val="right"/>
            </w:pPr>
            <w:r w:rsidRPr="007334B6">
              <w:t>0.56</w:t>
            </w:r>
          </w:p>
        </w:tc>
      </w:tr>
      <w:tr w:rsidR="005E2CE0" w:rsidRPr="007334B6" w:rsidTr="00062862">
        <w:tc>
          <w:tcPr>
            <w:tcW w:w="723" w:type="dxa"/>
            <w:shd w:val="clear" w:color="auto" w:fill="auto"/>
          </w:tcPr>
          <w:p w:rsidR="005E2CE0" w:rsidRPr="007334B6" w:rsidRDefault="005E2CE0" w:rsidP="00062862">
            <w:pPr>
              <w:pStyle w:val="Tabletext"/>
            </w:pPr>
            <w:r w:rsidRPr="007334B6">
              <w:t>81</w:t>
            </w:r>
          </w:p>
        </w:tc>
        <w:tc>
          <w:tcPr>
            <w:tcW w:w="5874" w:type="dxa"/>
            <w:shd w:val="clear" w:color="auto" w:fill="auto"/>
          </w:tcPr>
          <w:p w:rsidR="005E2CE0" w:rsidRPr="007334B6" w:rsidRDefault="005E2CE0" w:rsidP="00062862">
            <w:pPr>
              <w:pStyle w:val="Tabletext"/>
            </w:pPr>
            <w:r w:rsidRPr="007334B6">
              <w:t>South West Interconnected System in Western Australia</w:t>
            </w:r>
          </w:p>
        </w:tc>
        <w:tc>
          <w:tcPr>
            <w:tcW w:w="1818" w:type="dxa"/>
            <w:shd w:val="clear" w:color="auto" w:fill="auto"/>
          </w:tcPr>
          <w:p w:rsidR="005E2CE0" w:rsidRPr="007334B6" w:rsidRDefault="005E2CE0" w:rsidP="008546F5">
            <w:pPr>
              <w:pStyle w:val="Tabletext"/>
              <w:jc w:val="right"/>
            </w:pPr>
            <w:r w:rsidRPr="007334B6">
              <w:t>0.76</w:t>
            </w:r>
          </w:p>
        </w:tc>
      </w:tr>
      <w:tr w:rsidR="005E2CE0" w:rsidRPr="007334B6" w:rsidTr="00062862"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</w:tcPr>
          <w:p w:rsidR="005E2CE0" w:rsidRPr="007334B6" w:rsidRDefault="005E2CE0" w:rsidP="00062862">
            <w:pPr>
              <w:pStyle w:val="Tabletext"/>
            </w:pPr>
            <w:r w:rsidRPr="007334B6">
              <w:t>82</w:t>
            </w:r>
          </w:p>
        </w:tc>
        <w:tc>
          <w:tcPr>
            <w:tcW w:w="5874" w:type="dxa"/>
            <w:tcBorders>
              <w:bottom w:val="single" w:sz="4" w:space="0" w:color="auto"/>
            </w:tcBorders>
            <w:shd w:val="clear" w:color="auto" w:fill="auto"/>
          </w:tcPr>
          <w:p w:rsidR="005E2CE0" w:rsidRPr="007334B6" w:rsidRDefault="005E2CE0" w:rsidP="00BD0F46">
            <w:pPr>
              <w:pStyle w:val="Tabletext"/>
            </w:pPr>
            <w:r w:rsidRPr="007334B6">
              <w:t>Tasmania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:rsidR="005E2CE0" w:rsidRPr="007334B6" w:rsidRDefault="005E2CE0" w:rsidP="008546F5">
            <w:pPr>
              <w:pStyle w:val="Tabletext"/>
              <w:jc w:val="right"/>
            </w:pPr>
            <w:r w:rsidRPr="007334B6">
              <w:t>0.12</w:t>
            </w:r>
          </w:p>
        </w:tc>
      </w:tr>
      <w:tr w:rsidR="005E2CE0" w:rsidRPr="007334B6" w:rsidTr="00062862"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</w:tcPr>
          <w:p w:rsidR="005E2CE0" w:rsidRPr="007334B6" w:rsidRDefault="005E2CE0" w:rsidP="00062862">
            <w:pPr>
              <w:pStyle w:val="Tabletext"/>
            </w:pPr>
            <w:r w:rsidRPr="007334B6">
              <w:t>83</w:t>
            </w:r>
          </w:p>
        </w:tc>
        <w:tc>
          <w:tcPr>
            <w:tcW w:w="5874" w:type="dxa"/>
            <w:tcBorders>
              <w:bottom w:val="single" w:sz="12" w:space="0" w:color="auto"/>
            </w:tcBorders>
            <w:shd w:val="clear" w:color="auto" w:fill="auto"/>
          </w:tcPr>
          <w:p w:rsidR="005E2CE0" w:rsidRPr="007334B6" w:rsidRDefault="005E2CE0" w:rsidP="00062862">
            <w:pPr>
              <w:pStyle w:val="Tabletext"/>
            </w:pPr>
            <w:r w:rsidRPr="007334B6">
              <w:t>Northern Territory</w:t>
            </w:r>
          </w:p>
        </w:tc>
        <w:tc>
          <w:tcPr>
            <w:tcW w:w="1818" w:type="dxa"/>
            <w:tcBorders>
              <w:bottom w:val="single" w:sz="12" w:space="0" w:color="auto"/>
            </w:tcBorders>
            <w:shd w:val="clear" w:color="auto" w:fill="auto"/>
          </w:tcPr>
          <w:p w:rsidR="005E2CE0" w:rsidRPr="007334B6" w:rsidRDefault="005E2CE0" w:rsidP="008546F5">
            <w:pPr>
              <w:pStyle w:val="Tabletext"/>
              <w:jc w:val="right"/>
            </w:pPr>
            <w:r w:rsidRPr="007334B6">
              <w:t>0.67</w:t>
            </w:r>
          </w:p>
        </w:tc>
      </w:tr>
    </w:tbl>
    <w:p w:rsidR="005E2CE0" w:rsidRPr="007334B6" w:rsidRDefault="005E2CE0" w:rsidP="000F6C29">
      <w:pPr>
        <w:pStyle w:val="Tabletext"/>
      </w:pPr>
    </w:p>
    <w:p w:rsidR="00AD7A39" w:rsidRPr="007334B6" w:rsidRDefault="00AD7A39" w:rsidP="00AD7A39">
      <w:pPr>
        <w:pStyle w:val="ActHead6"/>
        <w:pageBreakBefore/>
      </w:pPr>
      <w:bookmarkStart w:id="23" w:name="_Toc422842679"/>
      <w:r w:rsidRPr="007334B6">
        <w:rPr>
          <w:rStyle w:val="CharAmSchNo"/>
        </w:rPr>
        <w:lastRenderedPageBreak/>
        <w:t>Schedule</w:t>
      </w:r>
      <w:r w:rsidR="007334B6" w:rsidRPr="007334B6">
        <w:rPr>
          <w:rStyle w:val="CharAmSchNo"/>
        </w:rPr>
        <w:t> </w:t>
      </w:r>
      <w:r w:rsidR="005E340C" w:rsidRPr="007334B6">
        <w:rPr>
          <w:rStyle w:val="CharAmSchNo"/>
        </w:rPr>
        <w:t>2</w:t>
      </w:r>
      <w:r w:rsidRPr="007334B6">
        <w:t>—</w:t>
      </w:r>
      <w:r w:rsidRPr="007334B6">
        <w:rPr>
          <w:rStyle w:val="CharAmSchText"/>
        </w:rPr>
        <w:t>Biological treatment of solid waste</w:t>
      </w:r>
      <w:bookmarkEnd w:id="23"/>
    </w:p>
    <w:p w:rsidR="00CA1E21" w:rsidRPr="007334B6" w:rsidRDefault="00CA1E21" w:rsidP="00CA1E21">
      <w:pPr>
        <w:pStyle w:val="Header"/>
      </w:pPr>
      <w:r w:rsidRPr="007334B6">
        <w:rPr>
          <w:rStyle w:val="CharAmPartNo"/>
        </w:rPr>
        <w:t xml:space="preserve"> </w:t>
      </w:r>
      <w:r w:rsidRPr="007334B6">
        <w:rPr>
          <w:rStyle w:val="CharAmPartText"/>
        </w:rPr>
        <w:t xml:space="preserve"> </w:t>
      </w:r>
    </w:p>
    <w:p w:rsidR="00AD7A39" w:rsidRPr="007334B6" w:rsidRDefault="00AD7A39" w:rsidP="00AD7A39">
      <w:pPr>
        <w:pStyle w:val="ActHead9"/>
      </w:pPr>
      <w:bookmarkStart w:id="24" w:name="_Toc422842680"/>
      <w:r w:rsidRPr="007334B6">
        <w:t>National Greenhouse and Energy Reporting (Measurement) Determination</w:t>
      </w:r>
      <w:r w:rsidR="007334B6" w:rsidRPr="007334B6">
        <w:t> </w:t>
      </w:r>
      <w:r w:rsidRPr="007334B6">
        <w:t>2008</w:t>
      </w:r>
      <w:bookmarkEnd w:id="24"/>
    </w:p>
    <w:p w:rsidR="004C3033" w:rsidRPr="007334B6" w:rsidRDefault="004C3033" w:rsidP="004C3033">
      <w:pPr>
        <w:pStyle w:val="ItemHead"/>
      </w:pPr>
      <w:proofErr w:type="gramStart"/>
      <w:r w:rsidRPr="007334B6">
        <w:t>1  Paragraph</w:t>
      </w:r>
      <w:proofErr w:type="gramEnd"/>
      <w:r w:rsidRPr="007334B6">
        <w:t xml:space="preserve"> 1.3(4)(d)</w:t>
      </w:r>
    </w:p>
    <w:p w:rsidR="004C3033" w:rsidRPr="007334B6" w:rsidRDefault="004C3033" w:rsidP="004C3033">
      <w:pPr>
        <w:pStyle w:val="Item"/>
      </w:pPr>
      <w:r w:rsidRPr="007334B6">
        <w:t>After “landfill”, insert “or other facilities,</w:t>
      </w:r>
      <w:proofErr w:type="gramStart"/>
      <w:r w:rsidRPr="007334B6">
        <w:t>”.</w:t>
      </w:r>
      <w:proofErr w:type="gramEnd"/>
    </w:p>
    <w:p w:rsidR="00D8653B" w:rsidRPr="007334B6" w:rsidRDefault="004C3033" w:rsidP="00D8653B">
      <w:pPr>
        <w:pStyle w:val="ItemHead"/>
      </w:pPr>
      <w:proofErr w:type="gramStart"/>
      <w:r w:rsidRPr="007334B6">
        <w:t>2</w:t>
      </w:r>
      <w:r w:rsidR="00D8653B" w:rsidRPr="007334B6">
        <w:t xml:space="preserve">  Section</w:t>
      </w:r>
      <w:proofErr w:type="gramEnd"/>
      <w:r w:rsidR="007334B6" w:rsidRPr="007334B6">
        <w:t> </w:t>
      </w:r>
      <w:r w:rsidR="00D8653B" w:rsidRPr="007334B6">
        <w:t>1.8</w:t>
      </w:r>
    </w:p>
    <w:p w:rsidR="00D8653B" w:rsidRPr="007334B6" w:rsidRDefault="00D8653B" w:rsidP="00D8653B">
      <w:pPr>
        <w:pStyle w:val="Item"/>
      </w:pPr>
      <w:r w:rsidRPr="007334B6">
        <w:t>Insert:</w:t>
      </w:r>
    </w:p>
    <w:p w:rsidR="00221574" w:rsidRPr="007334B6" w:rsidRDefault="00D8653B" w:rsidP="00D8653B">
      <w:pPr>
        <w:pStyle w:val="Definition"/>
      </w:pPr>
      <w:proofErr w:type="gramStart"/>
      <w:r w:rsidRPr="007334B6">
        <w:rPr>
          <w:b/>
          <w:i/>
        </w:rPr>
        <w:t>biological</w:t>
      </w:r>
      <w:proofErr w:type="gramEnd"/>
      <w:r w:rsidRPr="007334B6">
        <w:rPr>
          <w:b/>
          <w:i/>
        </w:rPr>
        <w:t xml:space="preserve"> treatment</w:t>
      </w:r>
      <w:r w:rsidR="00352B66" w:rsidRPr="007334B6">
        <w:rPr>
          <w:b/>
          <w:i/>
        </w:rPr>
        <w:t xml:space="preserve"> of solid waste</w:t>
      </w:r>
      <w:r w:rsidR="00221574" w:rsidRPr="007334B6">
        <w:t>:</w:t>
      </w:r>
    </w:p>
    <w:p w:rsidR="00352B66" w:rsidRPr="007334B6" w:rsidRDefault="00221574" w:rsidP="00221574">
      <w:pPr>
        <w:pStyle w:val="paragraph"/>
      </w:pPr>
      <w:r w:rsidRPr="007334B6">
        <w:tab/>
        <w:t>(a)</w:t>
      </w:r>
      <w:r w:rsidRPr="007334B6">
        <w:tab/>
      </w:r>
      <w:proofErr w:type="gramStart"/>
      <w:r w:rsidRPr="007334B6">
        <w:t>means</w:t>
      </w:r>
      <w:proofErr w:type="gramEnd"/>
      <w:r w:rsidRPr="007334B6">
        <w:t xml:space="preserve"> an alternative waste treatment activity consisting of a composting</w:t>
      </w:r>
      <w:r w:rsidR="00135341" w:rsidRPr="007334B6">
        <w:t xml:space="preserve"> or anaerobic digestion process in which</w:t>
      </w:r>
      <w:r w:rsidRPr="007334B6">
        <w:t xml:space="preserve"> organic matter in solid waste i</w:t>
      </w:r>
      <w:r w:rsidR="00135341" w:rsidRPr="007334B6">
        <w:t>s broken down by microorganisms</w:t>
      </w:r>
      <w:r w:rsidRPr="007334B6">
        <w:t>; but</w:t>
      </w:r>
    </w:p>
    <w:p w:rsidR="00352B66" w:rsidRPr="007334B6" w:rsidRDefault="00352B66" w:rsidP="00352B66">
      <w:pPr>
        <w:pStyle w:val="paragraph"/>
      </w:pPr>
      <w:r w:rsidRPr="007334B6">
        <w:tab/>
        <w:t>(b)</w:t>
      </w:r>
      <w:r w:rsidRPr="007334B6">
        <w:tab/>
      </w:r>
      <w:proofErr w:type="gramStart"/>
      <w:r w:rsidRPr="007334B6">
        <w:t>does</w:t>
      </w:r>
      <w:proofErr w:type="gramEnd"/>
      <w:r w:rsidRPr="007334B6">
        <w:t xml:space="preserve"> not include solid waste disposal </w:t>
      </w:r>
      <w:r w:rsidR="00135341" w:rsidRPr="007334B6">
        <w:t>in</w:t>
      </w:r>
      <w:r w:rsidRPr="007334B6">
        <w:t xml:space="preserve"> a landfill.</w:t>
      </w:r>
    </w:p>
    <w:p w:rsidR="00352B66" w:rsidRPr="007334B6" w:rsidRDefault="00352B66" w:rsidP="00352B66">
      <w:pPr>
        <w:pStyle w:val="notetext"/>
      </w:pPr>
      <w:r w:rsidRPr="007334B6">
        <w:t>Note:</w:t>
      </w:r>
      <w:r w:rsidRPr="007334B6">
        <w:tab/>
        <w:t>Chapter</w:t>
      </w:r>
      <w:r w:rsidR="007334B6" w:rsidRPr="007334B6">
        <w:t> </w:t>
      </w:r>
      <w:r w:rsidRPr="007334B6">
        <w:t xml:space="preserve">5 </w:t>
      </w:r>
      <w:r w:rsidR="00221574" w:rsidRPr="007334B6">
        <w:t xml:space="preserve">(waste) </w:t>
      </w:r>
      <w:r w:rsidRPr="007334B6">
        <w:t>deals with soli</w:t>
      </w:r>
      <w:r w:rsidR="00221574" w:rsidRPr="007334B6">
        <w:t xml:space="preserve">d waste disposal </w:t>
      </w:r>
      <w:r w:rsidR="00135341" w:rsidRPr="007334B6">
        <w:t>in</w:t>
      </w:r>
      <w:r w:rsidR="00221574" w:rsidRPr="007334B6">
        <w:t xml:space="preserve"> a landfill as well as </w:t>
      </w:r>
      <w:r w:rsidRPr="007334B6">
        <w:t xml:space="preserve">the biological treatment of solid waste (whether at a landfill or </w:t>
      </w:r>
      <w:r w:rsidR="00221574" w:rsidRPr="007334B6">
        <w:t>at a</w:t>
      </w:r>
      <w:r w:rsidRPr="007334B6">
        <w:t xml:space="preserve"> facility</w:t>
      </w:r>
      <w:r w:rsidR="00221574" w:rsidRPr="007334B6">
        <w:t xml:space="preserve"> elsewhere</w:t>
      </w:r>
      <w:r w:rsidRPr="007334B6">
        <w:t>).</w:t>
      </w:r>
    </w:p>
    <w:p w:rsidR="00221574" w:rsidRPr="007334B6" w:rsidRDefault="00221574" w:rsidP="00221574">
      <w:pPr>
        <w:pStyle w:val="ItemHead"/>
      </w:pPr>
      <w:proofErr w:type="gramStart"/>
      <w:r w:rsidRPr="007334B6">
        <w:t>3  Subsection</w:t>
      </w:r>
      <w:proofErr w:type="gramEnd"/>
      <w:r w:rsidR="007334B6" w:rsidRPr="007334B6">
        <w:t> </w:t>
      </w:r>
      <w:r w:rsidRPr="007334B6">
        <w:t>1.10(1)</w:t>
      </w:r>
    </w:p>
    <w:p w:rsidR="00221574" w:rsidRPr="007334B6" w:rsidRDefault="00221574" w:rsidP="00221574">
      <w:pPr>
        <w:pStyle w:val="Item"/>
      </w:pPr>
      <w:r w:rsidRPr="007334B6">
        <w:t>Omit “column 3”,</w:t>
      </w:r>
      <w:r w:rsidR="00E3574C" w:rsidRPr="007334B6">
        <w:t xml:space="preserve"> substitute “the column headed ‘Source of emissions’</w:t>
      </w:r>
      <w:r w:rsidRPr="007334B6">
        <w:t>”.</w:t>
      </w:r>
    </w:p>
    <w:p w:rsidR="00221574" w:rsidRPr="007334B6" w:rsidRDefault="00221574" w:rsidP="00221574">
      <w:pPr>
        <w:pStyle w:val="ItemHead"/>
      </w:pPr>
      <w:proofErr w:type="gramStart"/>
      <w:r w:rsidRPr="007334B6">
        <w:t>4  Subsection</w:t>
      </w:r>
      <w:proofErr w:type="gramEnd"/>
      <w:r w:rsidR="007334B6" w:rsidRPr="007334B6">
        <w:t> </w:t>
      </w:r>
      <w:r w:rsidRPr="007334B6">
        <w:t>1.10(1) (after table item</w:t>
      </w:r>
      <w:r w:rsidR="007334B6" w:rsidRPr="007334B6">
        <w:t> </w:t>
      </w:r>
      <w:r w:rsidRPr="007334B6">
        <w:t>4A)</w:t>
      </w:r>
    </w:p>
    <w:p w:rsidR="00221574" w:rsidRPr="007334B6" w:rsidRDefault="00221574" w:rsidP="00221574">
      <w:pPr>
        <w:pStyle w:val="Item"/>
      </w:pPr>
      <w:r w:rsidRPr="007334B6">
        <w:t>Insert</w:t>
      </w:r>
      <w:r w:rsidR="008414A8" w:rsidRPr="007334B6">
        <w:t>:</w:t>
      </w:r>
    </w:p>
    <w:p w:rsidR="008414A8" w:rsidRPr="007334B6" w:rsidRDefault="008414A8" w:rsidP="008414A8">
      <w:pPr>
        <w:pStyle w:val="Tabletext"/>
      </w:pPr>
    </w:p>
    <w:tbl>
      <w:tblPr>
        <w:tblW w:w="0" w:type="auto"/>
        <w:tblInd w:w="720" w:type="dxa"/>
        <w:tblLayout w:type="fixed"/>
        <w:tblLook w:val="0000"/>
      </w:tblPr>
      <w:tblGrid>
        <w:gridCol w:w="741"/>
        <w:gridCol w:w="2019"/>
        <w:gridCol w:w="4560"/>
      </w:tblGrid>
      <w:tr w:rsidR="00221574" w:rsidRPr="007334B6" w:rsidTr="00EE5F9B">
        <w:tc>
          <w:tcPr>
            <w:tcW w:w="741" w:type="dxa"/>
            <w:shd w:val="clear" w:color="auto" w:fill="auto"/>
          </w:tcPr>
          <w:p w:rsidR="00221574" w:rsidRPr="007334B6" w:rsidRDefault="00221574" w:rsidP="008546F5">
            <w:pPr>
              <w:pStyle w:val="Tabletext"/>
            </w:pPr>
            <w:r w:rsidRPr="007334B6">
              <w:t>4AA</w:t>
            </w:r>
          </w:p>
        </w:tc>
        <w:tc>
          <w:tcPr>
            <w:tcW w:w="2019" w:type="dxa"/>
            <w:shd w:val="clear" w:color="auto" w:fill="auto"/>
          </w:tcPr>
          <w:p w:rsidR="00221574" w:rsidRPr="007334B6" w:rsidRDefault="00221574" w:rsidP="008546F5">
            <w:pPr>
              <w:pStyle w:val="Tabletext"/>
            </w:pPr>
          </w:p>
        </w:tc>
        <w:tc>
          <w:tcPr>
            <w:tcW w:w="4560" w:type="dxa"/>
            <w:shd w:val="clear" w:color="auto" w:fill="auto"/>
          </w:tcPr>
          <w:p w:rsidR="00221574" w:rsidRPr="007334B6" w:rsidRDefault="00221574" w:rsidP="00E3574C">
            <w:pPr>
              <w:pStyle w:val="Tabletext"/>
            </w:pPr>
            <w:r w:rsidRPr="007334B6">
              <w:t>Biological treatment of solid waste</w:t>
            </w:r>
          </w:p>
        </w:tc>
      </w:tr>
    </w:tbl>
    <w:p w:rsidR="00AD7A39" w:rsidRPr="007334B6" w:rsidRDefault="00221574" w:rsidP="00AD7A39">
      <w:pPr>
        <w:pStyle w:val="ItemHead"/>
      </w:pPr>
      <w:proofErr w:type="gramStart"/>
      <w:r w:rsidRPr="007334B6">
        <w:t>5</w:t>
      </w:r>
      <w:r w:rsidR="00AD7A39" w:rsidRPr="007334B6">
        <w:t xml:space="preserve">  </w:t>
      </w:r>
      <w:r w:rsidR="00156F99" w:rsidRPr="007334B6">
        <w:t>Section</w:t>
      </w:r>
      <w:proofErr w:type="gramEnd"/>
      <w:r w:rsidR="007334B6" w:rsidRPr="007334B6">
        <w:t> </w:t>
      </w:r>
      <w:r w:rsidR="00156F99" w:rsidRPr="007334B6">
        <w:t>5.2</w:t>
      </w:r>
    </w:p>
    <w:p w:rsidR="00156F99" w:rsidRPr="007334B6" w:rsidRDefault="00156F99" w:rsidP="00156F99">
      <w:pPr>
        <w:pStyle w:val="Item"/>
      </w:pPr>
      <w:r w:rsidRPr="007334B6">
        <w:t>Repeal the section, substitute:</w:t>
      </w:r>
    </w:p>
    <w:p w:rsidR="00156F99" w:rsidRPr="007334B6" w:rsidRDefault="00156F99" w:rsidP="000A59C6">
      <w:pPr>
        <w:pStyle w:val="ActHead5"/>
      </w:pPr>
      <w:proofErr w:type="gramStart"/>
      <w:r w:rsidRPr="007334B6">
        <w:rPr>
          <w:rStyle w:val="CharSectno"/>
        </w:rPr>
        <w:t>5.2</w:t>
      </w:r>
      <w:r w:rsidRPr="007334B6">
        <w:t xml:space="preserve">  Application</w:t>
      </w:r>
      <w:proofErr w:type="gramEnd"/>
    </w:p>
    <w:p w:rsidR="00156F99" w:rsidRPr="007334B6" w:rsidRDefault="00156F99" w:rsidP="00156F99">
      <w:pPr>
        <w:pStyle w:val="subsection"/>
      </w:pPr>
      <w:r w:rsidRPr="007334B6">
        <w:tab/>
        <w:t>(1)</w:t>
      </w:r>
      <w:r w:rsidRPr="007334B6">
        <w:tab/>
        <w:t>This Part applies to emissions released from:</w:t>
      </w:r>
    </w:p>
    <w:p w:rsidR="00AD7A39" w:rsidRPr="007334B6" w:rsidRDefault="00AD7A39" w:rsidP="00AD7A39">
      <w:pPr>
        <w:pStyle w:val="paragraph"/>
      </w:pPr>
      <w:r w:rsidRPr="007334B6">
        <w:tab/>
        <w:t>(a)</w:t>
      </w:r>
      <w:r w:rsidRPr="007334B6">
        <w:tab/>
      </w:r>
      <w:proofErr w:type="gramStart"/>
      <w:r w:rsidRPr="007334B6">
        <w:t>the</w:t>
      </w:r>
      <w:proofErr w:type="gramEnd"/>
      <w:r w:rsidRPr="007334B6">
        <w:t xml:space="preserve"> decomposition of organic material from:</w:t>
      </w:r>
    </w:p>
    <w:p w:rsidR="00AD7A39" w:rsidRPr="007334B6" w:rsidRDefault="00AD7A39" w:rsidP="00AD7A39">
      <w:pPr>
        <w:pStyle w:val="paragraphsub"/>
      </w:pPr>
      <w:r w:rsidRPr="007334B6">
        <w:tab/>
        <w:t>(</w:t>
      </w:r>
      <w:proofErr w:type="spellStart"/>
      <w:r w:rsidRPr="007334B6">
        <w:t>i</w:t>
      </w:r>
      <w:proofErr w:type="spellEnd"/>
      <w:r w:rsidRPr="007334B6">
        <w:t>)</w:t>
      </w:r>
      <w:r w:rsidRPr="007334B6">
        <w:tab/>
      </w:r>
      <w:proofErr w:type="gramStart"/>
      <w:r w:rsidRPr="007334B6">
        <w:t>solid</w:t>
      </w:r>
      <w:proofErr w:type="gramEnd"/>
      <w:r w:rsidRPr="007334B6">
        <w:t xml:space="preserve"> waste disposal in a landfill; or</w:t>
      </w:r>
    </w:p>
    <w:p w:rsidR="00AD7A39" w:rsidRPr="007334B6" w:rsidRDefault="00AD7A39" w:rsidP="00AD7A39">
      <w:pPr>
        <w:pStyle w:val="paragraphsub"/>
      </w:pPr>
      <w:r w:rsidRPr="007334B6">
        <w:tab/>
        <w:t>(ii)</w:t>
      </w:r>
      <w:r w:rsidRPr="007334B6">
        <w:tab/>
      </w:r>
      <w:proofErr w:type="gramStart"/>
      <w:r w:rsidRPr="007334B6">
        <w:t>the</w:t>
      </w:r>
      <w:proofErr w:type="gramEnd"/>
      <w:r w:rsidRPr="007334B6">
        <w:t xml:space="preserve"> biological treatment of solid waste </w:t>
      </w:r>
      <w:r w:rsidR="00221574" w:rsidRPr="007334B6">
        <w:t>at</w:t>
      </w:r>
      <w:r w:rsidRPr="007334B6">
        <w:t xml:space="preserve"> a landfill or at a facility elsewhere; and</w:t>
      </w:r>
    </w:p>
    <w:p w:rsidR="00156F99" w:rsidRPr="007334B6" w:rsidRDefault="00156F99" w:rsidP="00156F99">
      <w:pPr>
        <w:pStyle w:val="paragraph"/>
      </w:pPr>
      <w:r w:rsidRPr="007334B6">
        <w:tab/>
        <w:t>(b)</w:t>
      </w:r>
      <w:r w:rsidRPr="007334B6">
        <w:tab/>
      </w:r>
      <w:proofErr w:type="gramStart"/>
      <w:r w:rsidRPr="007334B6">
        <w:t>flaring</w:t>
      </w:r>
      <w:proofErr w:type="gramEnd"/>
      <w:r w:rsidRPr="007334B6">
        <w:t xml:space="preserve"> of landfill gas.</w:t>
      </w:r>
    </w:p>
    <w:p w:rsidR="003B7C31" w:rsidRPr="007334B6" w:rsidRDefault="00156F99" w:rsidP="00156F99">
      <w:pPr>
        <w:pStyle w:val="subsection"/>
      </w:pPr>
      <w:r w:rsidRPr="007334B6">
        <w:tab/>
        <w:t>(2)</w:t>
      </w:r>
      <w:r w:rsidRPr="007334B6">
        <w:tab/>
        <w:t xml:space="preserve">This Part does not apply </w:t>
      </w:r>
      <w:r w:rsidR="003B7C31" w:rsidRPr="007334B6">
        <w:t>to</w:t>
      </w:r>
      <w:r w:rsidRPr="007334B6">
        <w:t xml:space="preserve"> </w:t>
      </w:r>
      <w:r w:rsidR="00221574" w:rsidRPr="007334B6">
        <w:t xml:space="preserve">solid waste disposal in </w:t>
      </w:r>
      <w:r w:rsidRPr="007334B6">
        <w:t>a landfill</w:t>
      </w:r>
      <w:r w:rsidR="00221574" w:rsidRPr="007334B6">
        <w:t xml:space="preserve"> </w:t>
      </w:r>
      <w:r w:rsidR="003B7C31" w:rsidRPr="007334B6">
        <w:t>unless:</w:t>
      </w:r>
    </w:p>
    <w:p w:rsidR="003B7C31" w:rsidRPr="007334B6" w:rsidRDefault="003B7C31" w:rsidP="003B7C31">
      <w:pPr>
        <w:pStyle w:val="paragraph"/>
      </w:pPr>
      <w:r w:rsidRPr="007334B6">
        <w:tab/>
        <w:t>(a)</w:t>
      </w:r>
      <w:r w:rsidRPr="007334B6">
        <w:tab/>
      </w:r>
      <w:proofErr w:type="gramStart"/>
      <w:r w:rsidRPr="007334B6">
        <w:t>the</w:t>
      </w:r>
      <w:proofErr w:type="gramEnd"/>
      <w:r w:rsidRPr="007334B6">
        <w:t xml:space="preserve"> landfill was open for the acceptance of waste on and after 1</w:t>
      </w:r>
      <w:r w:rsidR="007334B6" w:rsidRPr="007334B6">
        <w:t> </w:t>
      </w:r>
      <w:r w:rsidRPr="007334B6">
        <w:t>July 2012; and</w:t>
      </w:r>
    </w:p>
    <w:p w:rsidR="00156F99" w:rsidRPr="007334B6" w:rsidRDefault="003B7C31" w:rsidP="003B7C31">
      <w:pPr>
        <w:pStyle w:val="paragraph"/>
      </w:pPr>
      <w:r w:rsidRPr="007334B6">
        <w:tab/>
        <w:t>(b)</w:t>
      </w:r>
      <w:r w:rsidRPr="007334B6">
        <w:tab/>
      </w:r>
      <w:proofErr w:type="gramStart"/>
      <w:r w:rsidR="00156F99" w:rsidRPr="007334B6">
        <w:t>during</w:t>
      </w:r>
      <w:proofErr w:type="gramEnd"/>
      <w:r w:rsidR="00156F99" w:rsidRPr="007334B6">
        <w:t xml:space="preserve"> a year, the landfill emits more than 10</w:t>
      </w:r>
      <w:r w:rsidR="007334B6" w:rsidRPr="007334B6">
        <w:t> </w:t>
      </w:r>
      <w:r w:rsidR="00156F99" w:rsidRPr="007334B6">
        <w:t xml:space="preserve">000 tonnes of </w:t>
      </w:r>
      <w:r w:rsidR="00B42DFF" w:rsidRPr="007334B6">
        <w:t>CO</w:t>
      </w:r>
      <w:r w:rsidR="00B42DFF" w:rsidRPr="007334B6">
        <w:rPr>
          <w:vertAlign w:val="subscript"/>
        </w:rPr>
        <w:t>2</w:t>
      </w:r>
      <w:r w:rsidR="007334B6">
        <w:noBreakHyphen/>
      </w:r>
      <w:r w:rsidR="00B42DFF" w:rsidRPr="007334B6">
        <w:t>e</w:t>
      </w:r>
      <w:r w:rsidR="00156F99" w:rsidRPr="007334B6">
        <w:t xml:space="preserve"> </w:t>
      </w:r>
      <w:r w:rsidRPr="007334B6">
        <w:t xml:space="preserve">from </w:t>
      </w:r>
      <w:r w:rsidR="00221574" w:rsidRPr="007334B6">
        <w:t>solid waste disposal</w:t>
      </w:r>
      <w:r w:rsidR="007B1939" w:rsidRPr="007334B6">
        <w:t xml:space="preserve"> in the landfill.</w:t>
      </w:r>
    </w:p>
    <w:p w:rsidR="003B7C31" w:rsidRPr="007334B6" w:rsidRDefault="003B7C31" w:rsidP="00156F99">
      <w:pPr>
        <w:pStyle w:val="subsection"/>
      </w:pPr>
      <w:r w:rsidRPr="007334B6">
        <w:tab/>
        <w:t>(3)</w:t>
      </w:r>
      <w:r w:rsidRPr="007334B6">
        <w:tab/>
        <w:t>This P</w:t>
      </w:r>
      <w:r w:rsidR="00221574" w:rsidRPr="007334B6">
        <w:t xml:space="preserve">art does not apply to </w:t>
      </w:r>
      <w:r w:rsidR="00143C01" w:rsidRPr="007334B6">
        <w:t>the biological treatment of solid waste at a facility (whether at a landfill or at a facility elsewhere)</w:t>
      </w:r>
      <w:r w:rsidR="00221574" w:rsidRPr="007334B6">
        <w:t xml:space="preserve"> </w:t>
      </w:r>
      <w:r w:rsidRPr="007334B6">
        <w:t xml:space="preserve">unless, during a year, the </w:t>
      </w:r>
      <w:r w:rsidR="007B1939" w:rsidRPr="007334B6">
        <w:t>facility</w:t>
      </w:r>
      <w:r w:rsidRPr="007334B6">
        <w:t xml:space="preserve"> emits more than 10</w:t>
      </w:r>
      <w:r w:rsidR="007334B6" w:rsidRPr="007334B6">
        <w:t> </w:t>
      </w:r>
      <w:r w:rsidRPr="007334B6">
        <w:t>000 tonnes of CO</w:t>
      </w:r>
      <w:r w:rsidRPr="007334B6">
        <w:rPr>
          <w:vertAlign w:val="subscript"/>
        </w:rPr>
        <w:t>2</w:t>
      </w:r>
      <w:r w:rsidR="007334B6">
        <w:noBreakHyphen/>
      </w:r>
      <w:r w:rsidRPr="007334B6">
        <w:t>e from the biological treatment of solid waste at the facility.</w:t>
      </w:r>
    </w:p>
    <w:p w:rsidR="00AD7A39" w:rsidRPr="007334B6" w:rsidRDefault="00143C01" w:rsidP="00AD7A39">
      <w:pPr>
        <w:pStyle w:val="ItemHead"/>
      </w:pPr>
      <w:proofErr w:type="gramStart"/>
      <w:r w:rsidRPr="007334B6">
        <w:lastRenderedPageBreak/>
        <w:t>6</w:t>
      </w:r>
      <w:r w:rsidR="00AD7A39" w:rsidRPr="007334B6">
        <w:t xml:space="preserve">  Subsection</w:t>
      </w:r>
      <w:proofErr w:type="gramEnd"/>
      <w:r w:rsidR="007334B6" w:rsidRPr="007334B6">
        <w:t> </w:t>
      </w:r>
      <w:r w:rsidR="00AD7A39" w:rsidRPr="007334B6">
        <w:t>5.3(1)</w:t>
      </w:r>
    </w:p>
    <w:p w:rsidR="00AD7A39" w:rsidRPr="007334B6" w:rsidRDefault="00AD7A39" w:rsidP="00AD7A39">
      <w:pPr>
        <w:pStyle w:val="Item"/>
      </w:pPr>
      <w:r w:rsidRPr="007334B6">
        <w:t>Omit “Subject to section</w:t>
      </w:r>
      <w:r w:rsidR="007334B6" w:rsidRPr="007334B6">
        <w:t> </w:t>
      </w:r>
      <w:r w:rsidRPr="007334B6">
        <w:t>1.18 for emissions released from the operation of a facility that is constituted by a landfill during a year:”, substitute “For the purposes of this Part, subject to section</w:t>
      </w:r>
      <w:r w:rsidR="007334B6" w:rsidRPr="007334B6">
        <w:t> </w:t>
      </w:r>
      <w:r w:rsidRPr="007334B6">
        <w:t xml:space="preserve">1.18, for estimating emissions released from the operation of a facility (including a facility </w:t>
      </w:r>
      <w:r w:rsidR="007B1939" w:rsidRPr="007334B6">
        <w:t>that is</w:t>
      </w:r>
      <w:r w:rsidRPr="007334B6">
        <w:t xml:space="preserve"> a landfill) during a year:”.</w:t>
      </w:r>
    </w:p>
    <w:p w:rsidR="00AD7A39" w:rsidRPr="007334B6" w:rsidRDefault="00143C01" w:rsidP="00AD7A39">
      <w:pPr>
        <w:pStyle w:val="ItemHead"/>
      </w:pPr>
      <w:proofErr w:type="gramStart"/>
      <w:r w:rsidRPr="007334B6">
        <w:t>7</w:t>
      </w:r>
      <w:r w:rsidR="00AD7A39" w:rsidRPr="007334B6">
        <w:t xml:space="preserve">  Paragraphs</w:t>
      </w:r>
      <w:proofErr w:type="gramEnd"/>
      <w:r w:rsidR="00AD7A39" w:rsidRPr="007334B6">
        <w:t xml:space="preserve"> 5.3(a) and (b)</w:t>
      </w:r>
    </w:p>
    <w:p w:rsidR="00AD7A39" w:rsidRPr="007334B6" w:rsidRDefault="00AD7A39" w:rsidP="00AD7A39">
      <w:pPr>
        <w:pStyle w:val="Item"/>
      </w:pPr>
      <w:r w:rsidRPr="007334B6">
        <w:t>Omit “the landfill”, substitute “a landfill”.</w:t>
      </w:r>
    </w:p>
    <w:p w:rsidR="00AD7A39" w:rsidRPr="007334B6" w:rsidRDefault="00143C01" w:rsidP="00AD7A39">
      <w:pPr>
        <w:pStyle w:val="ItemHead"/>
      </w:pPr>
      <w:proofErr w:type="gramStart"/>
      <w:r w:rsidRPr="007334B6">
        <w:t>8</w:t>
      </w:r>
      <w:r w:rsidR="00AD7A39" w:rsidRPr="007334B6">
        <w:t xml:space="preserve">  Paragraphs</w:t>
      </w:r>
      <w:proofErr w:type="gramEnd"/>
      <w:r w:rsidR="00AD7A39" w:rsidRPr="007334B6">
        <w:t xml:space="preserve"> 5.3(1)(c) and (d)</w:t>
      </w:r>
    </w:p>
    <w:p w:rsidR="00AD7A39" w:rsidRPr="007334B6" w:rsidRDefault="00AD7A39" w:rsidP="00AD7A39">
      <w:pPr>
        <w:pStyle w:val="Item"/>
      </w:pPr>
      <w:r w:rsidRPr="007334B6">
        <w:t>Omit “at the landfill”, substitute “at the facility”.</w:t>
      </w:r>
    </w:p>
    <w:p w:rsidR="00AD7A39" w:rsidRPr="007334B6" w:rsidRDefault="00143C01" w:rsidP="00AD7A39">
      <w:pPr>
        <w:pStyle w:val="ItemHead"/>
      </w:pPr>
      <w:proofErr w:type="gramStart"/>
      <w:r w:rsidRPr="007334B6">
        <w:t>9</w:t>
      </w:r>
      <w:r w:rsidR="00AD7A39" w:rsidRPr="007334B6">
        <w:t xml:space="preserve">  Section</w:t>
      </w:r>
      <w:proofErr w:type="gramEnd"/>
      <w:r w:rsidR="007334B6" w:rsidRPr="007334B6">
        <w:t> </w:t>
      </w:r>
      <w:r w:rsidR="00AD7A39" w:rsidRPr="007334B6">
        <w:t>5.22 (heading)</w:t>
      </w:r>
    </w:p>
    <w:p w:rsidR="00AD7A39" w:rsidRPr="007334B6" w:rsidRDefault="00AD7A39" w:rsidP="00AD7A39">
      <w:pPr>
        <w:pStyle w:val="Item"/>
      </w:pPr>
      <w:r w:rsidRPr="007334B6">
        <w:t>Repeal the heading, substitute:</w:t>
      </w:r>
    </w:p>
    <w:p w:rsidR="00AD7A39" w:rsidRPr="007334B6" w:rsidRDefault="00AD7A39" w:rsidP="00AD7A39">
      <w:pPr>
        <w:pStyle w:val="ActHead5"/>
      </w:pPr>
      <w:bookmarkStart w:id="25" w:name="_Toc422842681"/>
      <w:proofErr w:type="gramStart"/>
      <w:r w:rsidRPr="007334B6">
        <w:rPr>
          <w:rStyle w:val="CharSectno"/>
        </w:rPr>
        <w:t>5.22</w:t>
      </w:r>
      <w:r w:rsidRPr="007334B6">
        <w:t xml:space="preserve">  Method</w:t>
      </w:r>
      <w:proofErr w:type="gramEnd"/>
      <w:r w:rsidRPr="007334B6">
        <w:t xml:space="preserve"> 1—emissions of methane and nitrous oxide from biological treatment of solid waste</w:t>
      </w:r>
      <w:bookmarkEnd w:id="25"/>
    </w:p>
    <w:p w:rsidR="00AD7A39" w:rsidRPr="007334B6" w:rsidRDefault="00143C01" w:rsidP="00AD7A39">
      <w:pPr>
        <w:pStyle w:val="ItemHead"/>
      </w:pPr>
      <w:proofErr w:type="gramStart"/>
      <w:r w:rsidRPr="007334B6">
        <w:t>10</w:t>
      </w:r>
      <w:r w:rsidR="00AD7A39" w:rsidRPr="007334B6">
        <w:t xml:space="preserve">  Subsections</w:t>
      </w:r>
      <w:proofErr w:type="gramEnd"/>
      <w:r w:rsidR="007334B6" w:rsidRPr="007334B6">
        <w:t> </w:t>
      </w:r>
      <w:r w:rsidR="00AD7A39" w:rsidRPr="007334B6">
        <w:t>5.22(1) and (2)</w:t>
      </w:r>
    </w:p>
    <w:p w:rsidR="00AD7A39" w:rsidRPr="007334B6" w:rsidRDefault="00AD7A39" w:rsidP="00AD7A39">
      <w:pPr>
        <w:pStyle w:val="Item"/>
      </w:pPr>
      <w:r w:rsidRPr="007334B6">
        <w:t>Omit “landfill” (wherever occurring), substitute “facility”.</w:t>
      </w:r>
    </w:p>
    <w:p w:rsidR="00AD7A39" w:rsidRPr="007334B6" w:rsidRDefault="00143C01" w:rsidP="00AD7A39">
      <w:pPr>
        <w:pStyle w:val="ItemHead"/>
      </w:pPr>
      <w:proofErr w:type="gramStart"/>
      <w:r w:rsidRPr="007334B6">
        <w:t>11</w:t>
      </w:r>
      <w:r w:rsidR="00AD7A39" w:rsidRPr="007334B6">
        <w:t xml:space="preserve">  Section</w:t>
      </w:r>
      <w:proofErr w:type="gramEnd"/>
      <w:r w:rsidR="007334B6" w:rsidRPr="007334B6">
        <w:t> </w:t>
      </w:r>
      <w:r w:rsidR="00AD7A39" w:rsidRPr="007334B6">
        <w:t>5.22AA (heading)</w:t>
      </w:r>
    </w:p>
    <w:p w:rsidR="00AD7A39" w:rsidRPr="007334B6" w:rsidRDefault="00AD7A39" w:rsidP="00AD7A39">
      <w:pPr>
        <w:pStyle w:val="Item"/>
      </w:pPr>
      <w:r w:rsidRPr="007334B6">
        <w:t>Repeal the heading, substitute:</w:t>
      </w:r>
    </w:p>
    <w:p w:rsidR="00BD7C55" w:rsidRPr="007334B6" w:rsidRDefault="00AD7A39" w:rsidP="007B1939">
      <w:pPr>
        <w:pStyle w:val="ActHead5"/>
      </w:pPr>
      <w:bookmarkStart w:id="26" w:name="_Toc422842682"/>
      <w:proofErr w:type="gramStart"/>
      <w:r w:rsidRPr="007334B6">
        <w:rPr>
          <w:rStyle w:val="CharSectno"/>
        </w:rPr>
        <w:t>5.22AA</w:t>
      </w:r>
      <w:r w:rsidRPr="007334B6">
        <w:t xml:space="preserve">  Method</w:t>
      </w:r>
      <w:proofErr w:type="gramEnd"/>
      <w:r w:rsidRPr="007334B6">
        <w:t xml:space="preserve"> 4—emissions of methane and nitrous oxide from biological treatment of solid waste</w:t>
      </w:r>
      <w:bookmarkEnd w:id="26"/>
    </w:p>
    <w:p w:rsidR="00841C51" w:rsidRPr="007334B6" w:rsidRDefault="00841C51" w:rsidP="00841C51">
      <w:pPr>
        <w:pStyle w:val="ActHead6"/>
        <w:pageBreakBefore/>
      </w:pPr>
      <w:bookmarkStart w:id="27" w:name="_Toc422842683"/>
      <w:bookmarkStart w:id="28" w:name="opcCurrentFind"/>
      <w:r w:rsidRPr="007334B6">
        <w:rPr>
          <w:rStyle w:val="CharAmSchNo"/>
        </w:rPr>
        <w:lastRenderedPageBreak/>
        <w:t>Schedule</w:t>
      </w:r>
      <w:r w:rsidR="007334B6" w:rsidRPr="007334B6">
        <w:rPr>
          <w:rStyle w:val="CharAmSchNo"/>
        </w:rPr>
        <w:t> </w:t>
      </w:r>
      <w:r w:rsidR="005E340C" w:rsidRPr="007334B6">
        <w:rPr>
          <w:rStyle w:val="CharAmSchNo"/>
        </w:rPr>
        <w:t>3</w:t>
      </w:r>
      <w:r w:rsidRPr="007334B6">
        <w:t>—</w:t>
      </w:r>
      <w:r w:rsidRPr="007334B6">
        <w:rPr>
          <w:rStyle w:val="CharAmSchText"/>
        </w:rPr>
        <w:t>Application and transitional</w:t>
      </w:r>
      <w:bookmarkEnd w:id="27"/>
    </w:p>
    <w:bookmarkEnd w:id="28"/>
    <w:p w:rsidR="00841C51" w:rsidRPr="007334B6" w:rsidRDefault="00841C51" w:rsidP="00841C51">
      <w:pPr>
        <w:pStyle w:val="Header"/>
      </w:pPr>
      <w:r w:rsidRPr="007334B6">
        <w:rPr>
          <w:rStyle w:val="CharAmPartNo"/>
        </w:rPr>
        <w:t xml:space="preserve"> </w:t>
      </w:r>
      <w:r w:rsidRPr="007334B6">
        <w:rPr>
          <w:rStyle w:val="CharAmPartText"/>
        </w:rPr>
        <w:t xml:space="preserve"> </w:t>
      </w:r>
    </w:p>
    <w:p w:rsidR="005634B5" w:rsidRPr="007334B6" w:rsidRDefault="005634B5" w:rsidP="005634B5">
      <w:pPr>
        <w:pStyle w:val="ActHead9"/>
      </w:pPr>
      <w:bookmarkStart w:id="29" w:name="_Toc422842684"/>
      <w:r w:rsidRPr="007334B6">
        <w:t>National Greenhouse and Energy Reporting (Measurement) Determination</w:t>
      </w:r>
      <w:r w:rsidR="007334B6" w:rsidRPr="007334B6">
        <w:t> </w:t>
      </w:r>
      <w:r w:rsidRPr="007334B6">
        <w:t>2008</w:t>
      </w:r>
      <w:bookmarkEnd w:id="29"/>
    </w:p>
    <w:p w:rsidR="00841C51" w:rsidRPr="007334B6" w:rsidRDefault="00841C51" w:rsidP="004F5E63">
      <w:pPr>
        <w:pStyle w:val="ItemHead"/>
      </w:pPr>
      <w:proofErr w:type="gramStart"/>
      <w:r w:rsidRPr="007334B6">
        <w:t xml:space="preserve">1  </w:t>
      </w:r>
      <w:r w:rsidR="00CA618D" w:rsidRPr="007334B6">
        <w:t>Chapter</w:t>
      </w:r>
      <w:proofErr w:type="gramEnd"/>
      <w:r w:rsidR="007334B6" w:rsidRPr="007334B6">
        <w:t> </w:t>
      </w:r>
      <w:r w:rsidR="00CA618D" w:rsidRPr="007334B6">
        <w:t>9</w:t>
      </w:r>
    </w:p>
    <w:p w:rsidR="004F5E63" w:rsidRPr="007334B6" w:rsidRDefault="00CA618D" w:rsidP="004F5E63">
      <w:pPr>
        <w:pStyle w:val="Item"/>
      </w:pPr>
      <w:r w:rsidRPr="007334B6">
        <w:t>Insert in their appropriate numerical positions</w:t>
      </w:r>
      <w:r w:rsidR="004F5E63" w:rsidRPr="007334B6">
        <w:t>:</w:t>
      </w:r>
    </w:p>
    <w:p w:rsidR="00841C51" w:rsidRPr="007334B6" w:rsidRDefault="00841C51" w:rsidP="00841C51">
      <w:pPr>
        <w:pStyle w:val="ActHead5"/>
      </w:pPr>
      <w:bookmarkStart w:id="30" w:name="_Toc422842685"/>
      <w:proofErr w:type="gramStart"/>
      <w:r w:rsidRPr="007334B6">
        <w:rPr>
          <w:rStyle w:val="CharSectno"/>
        </w:rPr>
        <w:t>9.</w:t>
      </w:r>
      <w:r w:rsidR="004F5E63" w:rsidRPr="007334B6">
        <w:rPr>
          <w:rStyle w:val="CharSectno"/>
        </w:rPr>
        <w:t>3</w:t>
      </w:r>
      <w:r w:rsidRPr="007334B6">
        <w:t xml:space="preserve">  Amendments</w:t>
      </w:r>
      <w:proofErr w:type="gramEnd"/>
      <w:r w:rsidRPr="007334B6">
        <w:t xml:space="preserve"> made by the </w:t>
      </w:r>
      <w:r w:rsidRPr="007334B6">
        <w:rPr>
          <w:i/>
        </w:rPr>
        <w:t>National Greenhouse and Energy Reporting (Measurement) Amendment Determination</w:t>
      </w:r>
      <w:r w:rsidR="007334B6" w:rsidRPr="007334B6">
        <w:rPr>
          <w:i/>
        </w:rPr>
        <w:t> </w:t>
      </w:r>
      <w:r w:rsidRPr="007334B6">
        <w:rPr>
          <w:i/>
        </w:rPr>
        <w:t>2015 (No.</w:t>
      </w:r>
      <w:r w:rsidR="007334B6" w:rsidRPr="007334B6">
        <w:rPr>
          <w:i/>
        </w:rPr>
        <w:t> </w:t>
      </w:r>
      <w:r w:rsidRPr="007334B6">
        <w:rPr>
          <w:i/>
        </w:rPr>
        <w:t>1)</w:t>
      </w:r>
      <w:bookmarkEnd w:id="30"/>
    </w:p>
    <w:p w:rsidR="00841C51" w:rsidRPr="007334B6" w:rsidRDefault="00841C51" w:rsidP="00841C51">
      <w:pPr>
        <w:pStyle w:val="subsection"/>
      </w:pPr>
      <w:r w:rsidRPr="007334B6">
        <w:tab/>
      </w:r>
      <w:r w:rsidR="004F5E63" w:rsidRPr="007334B6">
        <w:t>(1)</w:t>
      </w:r>
      <w:r w:rsidR="004F5E63" w:rsidRPr="007334B6">
        <w:tab/>
      </w:r>
      <w:r w:rsidRPr="007334B6">
        <w:t>The amendments made by Schedule</w:t>
      </w:r>
      <w:r w:rsidR="007334B6" w:rsidRPr="007334B6">
        <w:t> </w:t>
      </w:r>
      <w:r w:rsidRPr="007334B6">
        <w:t xml:space="preserve">1 to the </w:t>
      </w:r>
      <w:r w:rsidRPr="007334B6">
        <w:rPr>
          <w:i/>
        </w:rPr>
        <w:t>National Greenhouse and Energy Reporting (Measurement) Amendment Determination</w:t>
      </w:r>
      <w:r w:rsidR="007334B6" w:rsidRPr="007334B6">
        <w:rPr>
          <w:i/>
        </w:rPr>
        <w:t> </w:t>
      </w:r>
      <w:r w:rsidRPr="007334B6">
        <w:rPr>
          <w:i/>
        </w:rPr>
        <w:t>201</w:t>
      </w:r>
      <w:r w:rsidR="004F5E63" w:rsidRPr="007334B6">
        <w:rPr>
          <w:i/>
        </w:rPr>
        <w:t>5</w:t>
      </w:r>
      <w:r w:rsidRPr="007334B6">
        <w:rPr>
          <w:i/>
        </w:rPr>
        <w:t xml:space="preserve"> (No.</w:t>
      </w:r>
      <w:r w:rsidR="007334B6" w:rsidRPr="007334B6">
        <w:rPr>
          <w:i/>
        </w:rPr>
        <w:t> </w:t>
      </w:r>
      <w:r w:rsidRPr="007334B6">
        <w:rPr>
          <w:i/>
        </w:rPr>
        <w:t>1)</w:t>
      </w:r>
      <w:r w:rsidRPr="007334B6">
        <w:t xml:space="preserve"> apply in relation to the financial year starting on 1</w:t>
      </w:r>
      <w:r w:rsidR="007334B6" w:rsidRPr="007334B6">
        <w:t> </w:t>
      </w:r>
      <w:r w:rsidRPr="007334B6">
        <w:t>July 201</w:t>
      </w:r>
      <w:r w:rsidR="004F5E63" w:rsidRPr="007334B6">
        <w:t>5</w:t>
      </w:r>
      <w:r w:rsidRPr="007334B6">
        <w:t xml:space="preserve"> and later financial years.</w:t>
      </w:r>
    </w:p>
    <w:p w:rsidR="004F5E63" w:rsidRPr="007334B6" w:rsidRDefault="004F5E63" w:rsidP="00841C51">
      <w:pPr>
        <w:pStyle w:val="subsection"/>
      </w:pPr>
      <w:r w:rsidRPr="007334B6">
        <w:tab/>
        <w:t>(2)</w:t>
      </w:r>
      <w:r w:rsidRPr="007334B6">
        <w:tab/>
        <w:t>This section is repealed on 1</w:t>
      </w:r>
      <w:r w:rsidR="007334B6" w:rsidRPr="007334B6">
        <w:t> </w:t>
      </w:r>
      <w:r w:rsidRPr="007334B6">
        <w:t>November 2015.</w:t>
      </w:r>
    </w:p>
    <w:p w:rsidR="004F5E63" w:rsidRPr="007334B6" w:rsidRDefault="004F5E63" w:rsidP="004F5E63">
      <w:pPr>
        <w:pStyle w:val="ActHead5"/>
        <w:rPr>
          <w:i/>
        </w:rPr>
      </w:pPr>
      <w:bookmarkStart w:id="31" w:name="_Toc422842686"/>
      <w:proofErr w:type="gramStart"/>
      <w:r w:rsidRPr="007334B6">
        <w:rPr>
          <w:rStyle w:val="CharSectno"/>
        </w:rPr>
        <w:t>9.4</w:t>
      </w:r>
      <w:r w:rsidRPr="007334B6">
        <w:t xml:space="preserve">  Amendments</w:t>
      </w:r>
      <w:proofErr w:type="gramEnd"/>
      <w:r w:rsidRPr="007334B6">
        <w:t xml:space="preserve"> made by the </w:t>
      </w:r>
      <w:r w:rsidRPr="007334B6">
        <w:rPr>
          <w:i/>
        </w:rPr>
        <w:t>National Greenhouse and Energy Reporting (Measurement) Amendment Determination</w:t>
      </w:r>
      <w:r w:rsidR="007334B6" w:rsidRPr="007334B6">
        <w:rPr>
          <w:i/>
        </w:rPr>
        <w:t> </w:t>
      </w:r>
      <w:r w:rsidRPr="007334B6">
        <w:rPr>
          <w:i/>
        </w:rPr>
        <w:t>2015 (No.</w:t>
      </w:r>
      <w:r w:rsidR="007334B6" w:rsidRPr="007334B6">
        <w:rPr>
          <w:i/>
        </w:rPr>
        <w:t> </w:t>
      </w:r>
      <w:r w:rsidRPr="007334B6">
        <w:rPr>
          <w:i/>
        </w:rPr>
        <w:t>2)</w:t>
      </w:r>
      <w:bookmarkEnd w:id="31"/>
    </w:p>
    <w:p w:rsidR="004F5E63" w:rsidRPr="007334B6" w:rsidRDefault="004F5E63" w:rsidP="004F5E63">
      <w:pPr>
        <w:pStyle w:val="subsection"/>
      </w:pPr>
      <w:r w:rsidRPr="007334B6">
        <w:tab/>
        <w:t>(1)</w:t>
      </w:r>
      <w:r w:rsidRPr="007334B6">
        <w:tab/>
        <w:t>The amendments made by Schedule</w:t>
      </w:r>
      <w:r w:rsidR="007334B6" w:rsidRPr="007334B6">
        <w:t> </w:t>
      </w:r>
      <w:r w:rsidRPr="007334B6">
        <w:t xml:space="preserve">1 to the </w:t>
      </w:r>
      <w:r w:rsidRPr="007334B6">
        <w:rPr>
          <w:i/>
        </w:rPr>
        <w:t>National Greenhouse and Energy Reporting (Measurement) Amendment Determination</w:t>
      </w:r>
      <w:r w:rsidR="007334B6" w:rsidRPr="007334B6">
        <w:rPr>
          <w:i/>
        </w:rPr>
        <w:t> </w:t>
      </w:r>
      <w:r w:rsidRPr="007334B6">
        <w:rPr>
          <w:i/>
        </w:rPr>
        <w:t>2015 (No.</w:t>
      </w:r>
      <w:r w:rsidR="007334B6" w:rsidRPr="007334B6">
        <w:rPr>
          <w:i/>
        </w:rPr>
        <w:t> </w:t>
      </w:r>
      <w:r w:rsidRPr="007334B6">
        <w:rPr>
          <w:i/>
        </w:rPr>
        <w:t>2)</w:t>
      </w:r>
      <w:r w:rsidRPr="007334B6">
        <w:t xml:space="preserve"> apply in relation to the financial year starting on 1</w:t>
      </w:r>
      <w:r w:rsidR="007334B6" w:rsidRPr="007334B6">
        <w:t> </w:t>
      </w:r>
      <w:r w:rsidRPr="007334B6">
        <w:t>July 2015 and later financial years.</w:t>
      </w:r>
    </w:p>
    <w:p w:rsidR="004F5E63" w:rsidRPr="007334B6" w:rsidRDefault="004F5E63" w:rsidP="004F5E63">
      <w:pPr>
        <w:pStyle w:val="subsection"/>
      </w:pPr>
      <w:r w:rsidRPr="007334B6">
        <w:tab/>
        <w:t>(2)</w:t>
      </w:r>
      <w:r w:rsidRPr="007334B6">
        <w:tab/>
        <w:t>This section is repealed on 1</w:t>
      </w:r>
      <w:r w:rsidR="007334B6" w:rsidRPr="007334B6">
        <w:t> </w:t>
      </w:r>
      <w:r w:rsidRPr="007334B6">
        <w:t>November 2015.</w:t>
      </w:r>
    </w:p>
    <w:p w:rsidR="001D4C9F" w:rsidRPr="007334B6" w:rsidRDefault="001D4C9F" w:rsidP="001D4C9F">
      <w:pPr>
        <w:pStyle w:val="ItemHead"/>
      </w:pPr>
      <w:proofErr w:type="gramStart"/>
      <w:r w:rsidRPr="007334B6">
        <w:t>2  Chapter</w:t>
      </w:r>
      <w:proofErr w:type="gramEnd"/>
      <w:r w:rsidR="007334B6" w:rsidRPr="007334B6">
        <w:t> </w:t>
      </w:r>
      <w:r w:rsidRPr="007334B6">
        <w:t>9</w:t>
      </w:r>
    </w:p>
    <w:p w:rsidR="001D4C9F" w:rsidRPr="007334B6" w:rsidRDefault="00CA618D" w:rsidP="001D4C9F">
      <w:pPr>
        <w:pStyle w:val="Item"/>
      </w:pPr>
      <w:r w:rsidRPr="007334B6">
        <w:t>Insert in its appropriate numerical position</w:t>
      </w:r>
      <w:r w:rsidR="001D4C9F" w:rsidRPr="007334B6">
        <w:t>:</w:t>
      </w:r>
    </w:p>
    <w:p w:rsidR="004F5E63" w:rsidRPr="007334B6" w:rsidRDefault="004F5E63" w:rsidP="004F5E63">
      <w:pPr>
        <w:pStyle w:val="ActHead5"/>
        <w:rPr>
          <w:i/>
        </w:rPr>
      </w:pPr>
      <w:bookmarkStart w:id="32" w:name="_Toc422842687"/>
      <w:proofErr w:type="gramStart"/>
      <w:r w:rsidRPr="007334B6">
        <w:rPr>
          <w:rStyle w:val="CharSectno"/>
        </w:rPr>
        <w:t>9.5</w:t>
      </w:r>
      <w:r w:rsidRPr="007334B6">
        <w:t xml:space="preserve">  Amendments</w:t>
      </w:r>
      <w:proofErr w:type="gramEnd"/>
      <w:r w:rsidRPr="007334B6">
        <w:t xml:space="preserve"> made by the </w:t>
      </w:r>
      <w:r w:rsidRPr="007334B6">
        <w:rPr>
          <w:i/>
        </w:rPr>
        <w:t>National Greenhouse and Energy Reporting (Measurement) Amendment Determination</w:t>
      </w:r>
      <w:r w:rsidR="007334B6" w:rsidRPr="007334B6">
        <w:rPr>
          <w:i/>
        </w:rPr>
        <w:t> </w:t>
      </w:r>
      <w:r w:rsidRPr="007334B6">
        <w:rPr>
          <w:i/>
        </w:rPr>
        <w:t>2015 (No.</w:t>
      </w:r>
      <w:r w:rsidR="007334B6" w:rsidRPr="007334B6">
        <w:rPr>
          <w:i/>
        </w:rPr>
        <w:t> </w:t>
      </w:r>
      <w:r w:rsidRPr="007334B6">
        <w:rPr>
          <w:i/>
        </w:rPr>
        <w:t>2)</w:t>
      </w:r>
      <w:bookmarkEnd w:id="32"/>
    </w:p>
    <w:p w:rsidR="004F5E63" w:rsidRPr="007334B6" w:rsidRDefault="004F5E63" w:rsidP="004F5E63">
      <w:pPr>
        <w:pStyle w:val="subsection"/>
      </w:pPr>
      <w:r w:rsidRPr="007334B6">
        <w:tab/>
        <w:t>(1)</w:t>
      </w:r>
      <w:r w:rsidRPr="007334B6">
        <w:tab/>
        <w:t>The amendments made by Schedule</w:t>
      </w:r>
      <w:r w:rsidR="007334B6" w:rsidRPr="007334B6">
        <w:t> </w:t>
      </w:r>
      <w:r w:rsidR="005E340C" w:rsidRPr="007334B6">
        <w:t>2</w:t>
      </w:r>
      <w:r w:rsidRPr="007334B6">
        <w:t xml:space="preserve"> to the </w:t>
      </w:r>
      <w:r w:rsidRPr="007334B6">
        <w:rPr>
          <w:i/>
        </w:rPr>
        <w:t>National Greenhouse and Energy Reporting (Measurement) Amendment Determination</w:t>
      </w:r>
      <w:r w:rsidR="007334B6" w:rsidRPr="007334B6">
        <w:rPr>
          <w:i/>
        </w:rPr>
        <w:t> </w:t>
      </w:r>
      <w:r w:rsidRPr="007334B6">
        <w:rPr>
          <w:i/>
        </w:rPr>
        <w:t>2015 (No.</w:t>
      </w:r>
      <w:r w:rsidR="007334B6" w:rsidRPr="007334B6">
        <w:rPr>
          <w:i/>
        </w:rPr>
        <w:t> </w:t>
      </w:r>
      <w:r w:rsidRPr="007334B6">
        <w:rPr>
          <w:i/>
        </w:rPr>
        <w:t>2)</w:t>
      </w:r>
      <w:r w:rsidRPr="007334B6">
        <w:t xml:space="preserve"> apply in relation to the financial year starting on 1</w:t>
      </w:r>
      <w:r w:rsidR="007334B6" w:rsidRPr="007334B6">
        <w:t> </w:t>
      </w:r>
      <w:r w:rsidRPr="007334B6">
        <w:t>July 2016 and later financial years.</w:t>
      </w:r>
    </w:p>
    <w:p w:rsidR="004F5E63" w:rsidRPr="007334B6" w:rsidRDefault="004F5E63" w:rsidP="00143C01">
      <w:pPr>
        <w:pStyle w:val="subsection"/>
      </w:pPr>
      <w:r w:rsidRPr="007334B6">
        <w:tab/>
        <w:t>(2)</w:t>
      </w:r>
      <w:r w:rsidRPr="007334B6">
        <w:tab/>
        <w:t>This section is repealed on 1</w:t>
      </w:r>
      <w:r w:rsidR="007334B6" w:rsidRPr="007334B6">
        <w:t> </w:t>
      </w:r>
      <w:r w:rsidR="00143C01" w:rsidRPr="007334B6">
        <w:t>November 2016.</w:t>
      </w:r>
      <w:bookmarkEnd w:id="3"/>
    </w:p>
    <w:sectPr w:rsidR="004F5E63" w:rsidRPr="007334B6" w:rsidSect="00BA4EC2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8F0" w:rsidRDefault="002058F0" w:rsidP="0048364F">
      <w:pPr>
        <w:spacing w:line="240" w:lineRule="auto"/>
      </w:pPr>
      <w:r>
        <w:separator/>
      </w:r>
    </w:p>
  </w:endnote>
  <w:endnote w:type="continuationSeparator" w:id="0">
    <w:p w:rsidR="002058F0" w:rsidRDefault="002058F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8F0" w:rsidRPr="00BA4EC2" w:rsidRDefault="002058F0" w:rsidP="00BA4EC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A4EC2">
      <w:rPr>
        <w:i/>
        <w:sz w:val="18"/>
      </w:rPr>
      <w:t xml:space="preserve"> </w:t>
    </w:r>
    <w:r w:rsidR="00BA4EC2" w:rsidRPr="00BA4EC2">
      <w:rPr>
        <w:i/>
        <w:sz w:val="18"/>
      </w:rPr>
      <w:t>OPC60859 - C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8F0" w:rsidRDefault="002058F0" w:rsidP="00E97334"/>
  <w:p w:rsidR="002058F0" w:rsidRPr="00E97334" w:rsidRDefault="00BA4EC2" w:rsidP="00BA4EC2">
    <w:r w:rsidRPr="00BA4EC2">
      <w:rPr>
        <w:rFonts w:cs="Times New Roman"/>
        <w:i/>
        <w:sz w:val="18"/>
      </w:rPr>
      <w:t>OPC60859 - C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8F0" w:rsidRPr="00ED79B6" w:rsidRDefault="002058F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8F0" w:rsidRPr="00BA4EC2" w:rsidRDefault="002058F0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/>
    </w:tblPr>
    <w:tblGrid>
      <w:gridCol w:w="709"/>
      <w:gridCol w:w="6379"/>
      <w:gridCol w:w="1384"/>
    </w:tblGrid>
    <w:tr w:rsidR="002058F0" w:rsidRPr="00BA4EC2" w:rsidTr="000C4BE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058F0" w:rsidRPr="00BA4EC2" w:rsidRDefault="00B610FE" w:rsidP="008F77B6">
          <w:pPr>
            <w:spacing w:line="0" w:lineRule="atLeast"/>
            <w:rPr>
              <w:rFonts w:cs="Times New Roman"/>
              <w:i/>
              <w:sz w:val="18"/>
            </w:rPr>
          </w:pPr>
          <w:r w:rsidRPr="00BA4EC2">
            <w:rPr>
              <w:rFonts w:cs="Times New Roman"/>
              <w:i/>
              <w:sz w:val="18"/>
            </w:rPr>
            <w:fldChar w:fldCharType="begin"/>
          </w:r>
          <w:r w:rsidR="002058F0" w:rsidRPr="00BA4EC2">
            <w:rPr>
              <w:rFonts w:cs="Times New Roman"/>
              <w:i/>
              <w:sz w:val="18"/>
            </w:rPr>
            <w:instrText xml:space="preserve"> PAGE </w:instrText>
          </w:r>
          <w:r w:rsidRPr="00BA4EC2">
            <w:rPr>
              <w:rFonts w:cs="Times New Roman"/>
              <w:i/>
              <w:sz w:val="18"/>
            </w:rPr>
            <w:fldChar w:fldCharType="separate"/>
          </w:r>
          <w:r w:rsidR="00BC4767">
            <w:rPr>
              <w:rFonts w:cs="Times New Roman"/>
              <w:i/>
              <w:noProof/>
              <w:sz w:val="18"/>
            </w:rPr>
            <w:t>ix</w:t>
          </w:r>
          <w:r w:rsidRPr="00BA4EC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058F0" w:rsidRPr="00BA4EC2" w:rsidRDefault="00B610FE" w:rsidP="008F77B6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A4EC2">
            <w:rPr>
              <w:rFonts w:cs="Times New Roman"/>
              <w:i/>
              <w:sz w:val="18"/>
            </w:rPr>
            <w:fldChar w:fldCharType="begin"/>
          </w:r>
          <w:r w:rsidR="002058F0" w:rsidRPr="00BA4EC2">
            <w:rPr>
              <w:rFonts w:cs="Times New Roman"/>
              <w:i/>
              <w:sz w:val="18"/>
            </w:rPr>
            <w:instrText xml:space="preserve"> DOCPROPERTY ShortT </w:instrText>
          </w:r>
          <w:r w:rsidRPr="00BA4EC2">
            <w:rPr>
              <w:rFonts w:cs="Times New Roman"/>
              <w:i/>
              <w:sz w:val="18"/>
            </w:rPr>
            <w:fldChar w:fldCharType="separate"/>
          </w:r>
          <w:r w:rsidR="00BC4767">
            <w:rPr>
              <w:rFonts w:cs="Times New Roman"/>
              <w:i/>
              <w:sz w:val="18"/>
            </w:rPr>
            <w:t>National Greenhouse and Energy Reporting (Measurement) Amendment Determination 2015 (No. 2)</w:t>
          </w:r>
          <w:r w:rsidRPr="00BA4EC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058F0" w:rsidRPr="00BA4EC2" w:rsidRDefault="002058F0" w:rsidP="008F77B6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2058F0" w:rsidRPr="00BA4EC2" w:rsidRDefault="00BA4EC2" w:rsidP="00BA4EC2">
    <w:pPr>
      <w:rPr>
        <w:rFonts w:cs="Times New Roman"/>
        <w:i/>
        <w:sz w:val="18"/>
      </w:rPr>
    </w:pPr>
    <w:r w:rsidRPr="00BA4EC2">
      <w:rPr>
        <w:rFonts w:cs="Times New Roman"/>
        <w:i/>
        <w:sz w:val="18"/>
      </w:rPr>
      <w:t>OPC60859 - C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8F0" w:rsidRPr="00E33C1C" w:rsidRDefault="002058F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/>
    </w:tblPr>
    <w:tblGrid>
      <w:gridCol w:w="1383"/>
      <w:gridCol w:w="6379"/>
      <w:gridCol w:w="710"/>
    </w:tblGrid>
    <w:tr w:rsidR="002058F0" w:rsidTr="000C4BE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058F0" w:rsidRDefault="002058F0" w:rsidP="008F77B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058F0" w:rsidRDefault="00B610FE" w:rsidP="008F77B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="002058F0"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4767">
            <w:rPr>
              <w:i/>
              <w:sz w:val="18"/>
            </w:rPr>
            <w:t>National Greenhouse and Energy Reporting (Measurement) Amendment Determination 2015 (No. 2)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2058F0" w:rsidRDefault="00B610FE" w:rsidP="008F77B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="002058F0"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688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058F0" w:rsidRPr="00ED79B6" w:rsidRDefault="00BA4EC2" w:rsidP="00BA4EC2">
    <w:pPr>
      <w:rPr>
        <w:i/>
        <w:sz w:val="18"/>
      </w:rPr>
    </w:pPr>
    <w:r w:rsidRPr="00BA4EC2">
      <w:rPr>
        <w:rFonts w:cs="Times New Roman"/>
        <w:i/>
        <w:sz w:val="18"/>
      </w:rPr>
      <w:t>OPC60859 - C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8F0" w:rsidRPr="00BA4EC2" w:rsidRDefault="002058F0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/>
    </w:tblPr>
    <w:tblGrid>
      <w:gridCol w:w="709"/>
      <w:gridCol w:w="6379"/>
      <w:gridCol w:w="1384"/>
    </w:tblGrid>
    <w:tr w:rsidR="002058F0" w:rsidRPr="00BA4EC2" w:rsidTr="000C4BE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058F0" w:rsidRPr="00BA4EC2" w:rsidRDefault="00B610FE" w:rsidP="008F77B6">
          <w:pPr>
            <w:spacing w:line="0" w:lineRule="atLeast"/>
            <w:rPr>
              <w:rFonts w:cs="Times New Roman"/>
              <w:i/>
              <w:sz w:val="18"/>
            </w:rPr>
          </w:pPr>
          <w:r w:rsidRPr="00BA4EC2">
            <w:rPr>
              <w:rFonts w:cs="Times New Roman"/>
              <w:i/>
              <w:sz w:val="18"/>
            </w:rPr>
            <w:fldChar w:fldCharType="begin"/>
          </w:r>
          <w:r w:rsidR="002058F0" w:rsidRPr="00BA4EC2">
            <w:rPr>
              <w:rFonts w:cs="Times New Roman"/>
              <w:i/>
              <w:sz w:val="18"/>
            </w:rPr>
            <w:instrText xml:space="preserve"> PAGE </w:instrText>
          </w:r>
          <w:r w:rsidRPr="00BA4EC2">
            <w:rPr>
              <w:rFonts w:cs="Times New Roman"/>
              <w:i/>
              <w:sz w:val="18"/>
            </w:rPr>
            <w:fldChar w:fldCharType="separate"/>
          </w:r>
          <w:r w:rsidR="00C76883">
            <w:rPr>
              <w:rFonts w:cs="Times New Roman"/>
              <w:i/>
              <w:noProof/>
              <w:sz w:val="18"/>
            </w:rPr>
            <w:t>8</w:t>
          </w:r>
          <w:r w:rsidRPr="00BA4EC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058F0" w:rsidRPr="00BA4EC2" w:rsidRDefault="00B610FE" w:rsidP="008F77B6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A4EC2">
            <w:rPr>
              <w:rFonts w:cs="Times New Roman"/>
              <w:i/>
              <w:sz w:val="18"/>
            </w:rPr>
            <w:fldChar w:fldCharType="begin"/>
          </w:r>
          <w:r w:rsidR="002058F0" w:rsidRPr="00BA4EC2">
            <w:rPr>
              <w:rFonts w:cs="Times New Roman"/>
              <w:i/>
              <w:sz w:val="18"/>
            </w:rPr>
            <w:instrText xml:space="preserve"> DOCPROPERTY ShortT </w:instrText>
          </w:r>
          <w:r w:rsidRPr="00BA4EC2">
            <w:rPr>
              <w:rFonts w:cs="Times New Roman"/>
              <w:i/>
              <w:sz w:val="18"/>
            </w:rPr>
            <w:fldChar w:fldCharType="separate"/>
          </w:r>
          <w:r w:rsidR="00BC4767">
            <w:rPr>
              <w:rFonts w:cs="Times New Roman"/>
              <w:i/>
              <w:sz w:val="18"/>
            </w:rPr>
            <w:t>National Greenhouse and Energy Reporting (Measurement) Amendment Determination 2015 (No. 2)</w:t>
          </w:r>
          <w:r w:rsidRPr="00BA4EC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058F0" w:rsidRPr="00BA4EC2" w:rsidRDefault="002058F0" w:rsidP="008F77B6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2058F0" w:rsidRPr="00BA4EC2" w:rsidRDefault="00BA4EC2" w:rsidP="00BA4EC2">
    <w:pPr>
      <w:rPr>
        <w:rFonts w:cs="Times New Roman"/>
        <w:i/>
        <w:sz w:val="18"/>
      </w:rPr>
    </w:pPr>
    <w:r w:rsidRPr="00BA4EC2">
      <w:rPr>
        <w:rFonts w:cs="Times New Roman"/>
        <w:i/>
        <w:sz w:val="18"/>
      </w:rPr>
      <w:t>OPC60859 - 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8F0" w:rsidRPr="00E33C1C" w:rsidRDefault="002058F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/>
    </w:tblPr>
    <w:tblGrid>
      <w:gridCol w:w="1384"/>
      <w:gridCol w:w="6379"/>
      <w:gridCol w:w="709"/>
    </w:tblGrid>
    <w:tr w:rsidR="002058F0" w:rsidTr="008F77B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058F0" w:rsidRDefault="002058F0" w:rsidP="008F77B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058F0" w:rsidRDefault="00B610FE" w:rsidP="008F77B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="002058F0"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4767">
            <w:rPr>
              <w:i/>
              <w:sz w:val="18"/>
            </w:rPr>
            <w:t>National Greenhouse and Energy Reporting (Measurement) Amendment Determination 2015 (No. 2)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058F0" w:rsidRDefault="00B610FE" w:rsidP="008F77B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="002058F0"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688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058F0" w:rsidRPr="00ED79B6" w:rsidRDefault="00BA4EC2" w:rsidP="00BA4EC2">
    <w:pPr>
      <w:rPr>
        <w:i/>
        <w:sz w:val="18"/>
      </w:rPr>
    </w:pPr>
    <w:r w:rsidRPr="00BA4EC2">
      <w:rPr>
        <w:rFonts w:cs="Times New Roman"/>
        <w:i/>
        <w:sz w:val="18"/>
      </w:rPr>
      <w:t>OPC60859 - C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8F0" w:rsidRPr="00E33C1C" w:rsidRDefault="002058F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/>
    </w:tblPr>
    <w:tblGrid>
      <w:gridCol w:w="1384"/>
      <w:gridCol w:w="6379"/>
      <w:gridCol w:w="709"/>
    </w:tblGrid>
    <w:tr w:rsidR="002058F0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058F0" w:rsidRDefault="002058F0" w:rsidP="008F77B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058F0" w:rsidRDefault="00B610FE" w:rsidP="008F77B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="002058F0"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4767">
            <w:rPr>
              <w:i/>
              <w:sz w:val="18"/>
            </w:rPr>
            <w:t>National Greenhouse and Energy Reporting (Measurement) Amendment Determination 2015 (No. 2)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058F0" w:rsidRDefault="00B610FE" w:rsidP="008F77B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="002058F0"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C4767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058F0" w:rsidRPr="00ED79B6" w:rsidRDefault="002058F0" w:rsidP="00A136F5">
    <w:pPr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8F0" w:rsidRDefault="002058F0" w:rsidP="0048364F">
      <w:pPr>
        <w:spacing w:line="240" w:lineRule="auto"/>
      </w:pPr>
      <w:r>
        <w:separator/>
      </w:r>
    </w:p>
  </w:footnote>
  <w:footnote w:type="continuationSeparator" w:id="0">
    <w:p w:rsidR="002058F0" w:rsidRDefault="002058F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8F0" w:rsidRPr="005F1388" w:rsidRDefault="002058F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8F0" w:rsidRPr="005F1388" w:rsidRDefault="002058F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8F0" w:rsidRPr="005F1388" w:rsidRDefault="002058F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8F0" w:rsidRPr="00ED79B6" w:rsidRDefault="002058F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8F0" w:rsidRPr="00ED79B6" w:rsidRDefault="002058F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8F0" w:rsidRPr="00ED79B6" w:rsidRDefault="002058F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8F0" w:rsidRPr="00A961C4" w:rsidRDefault="00B610FE" w:rsidP="0048364F">
    <w:pPr>
      <w:rPr>
        <w:b/>
        <w:sz w:val="20"/>
      </w:rPr>
    </w:pPr>
    <w:r>
      <w:rPr>
        <w:b/>
        <w:sz w:val="20"/>
      </w:rPr>
      <w:fldChar w:fldCharType="begin"/>
    </w:r>
    <w:r w:rsidR="002058F0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76883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="002058F0" w:rsidRPr="00A961C4">
      <w:rPr>
        <w:sz w:val="20"/>
      </w:rPr>
      <w:t xml:space="preserve">  </w:t>
    </w:r>
    <w:r>
      <w:rPr>
        <w:sz w:val="20"/>
      </w:rPr>
      <w:fldChar w:fldCharType="begin"/>
    </w:r>
    <w:r w:rsidR="002058F0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76883">
      <w:rPr>
        <w:noProof/>
        <w:sz w:val="20"/>
      </w:rPr>
      <w:t>Biological treatment of solid waste</w:t>
    </w:r>
    <w:r>
      <w:rPr>
        <w:sz w:val="20"/>
      </w:rPr>
      <w:fldChar w:fldCharType="end"/>
    </w:r>
  </w:p>
  <w:p w:rsidR="002058F0" w:rsidRPr="00A961C4" w:rsidRDefault="00B610FE" w:rsidP="0048364F">
    <w:pPr>
      <w:rPr>
        <w:b/>
        <w:sz w:val="20"/>
      </w:rPr>
    </w:pPr>
    <w:r>
      <w:rPr>
        <w:b/>
        <w:sz w:val="20"/>
      </w:rPr>
      <w:fldChar w:fldCharType="begin"/>
    </w:r>
    <w:r w:rsidR="002058F0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2058F0" w:rsidRPr="00A961C4">
      <w:rPr>
        <w:sz w:val="20"/>
      </w:rPr>
      <w:t xml:space="preserve">  </w:t>
    </w:r>
    <w:r>
      <w:rPr>
        <w:sz w:val="20"/>
      </w:rPr>
      <w:fldChar w:fldCharType="begin"/>
    </w:r>
    <w:r w:rsidR="002058F0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2058F0" w:rsidRPr="00A961C4" w:rsidRDefault="002058F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8F0" w:rsidRPr="00A961C4" w:rsidRDefault="00B610F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2058F0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2058F0" w:rsidRPr="00A961C4">
      <w:rPr>
        <w:sz w:val="20"/>
      </w:rPr>
      <w:t xml:space="preserve"> </w:t>
    </w:r>
    <w:r w:rsidR="002058F0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2058F0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2058F0" w:rsidRPr="00A961C4" w:rsidRDefault="00B610F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2058F0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2058F0" w:rsidRPr="00A961C4">
      <w:rPr>
        <w:sz w:val="20"/>
      </w:rPr>
      <w:t xml:space="preserve"> </w:t>
    </w:r>
    <w:r w:rsidR="002058F0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2058F0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2058F0" w:rsidRPr="00A961C4" w:rsidRDefault="002058F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8F0" w:rsidRPr="00A961C4" w:rsidRDefault="002058F0" w:rsidP="004836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751ED7"/>
    <w:multiLevelType w:val="hybridMultilevel"/>
    <w:tmpl w:val="959AB45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15174112"/>
    <w:multiLevelType w:val="hybridMultilevel"/>
    <w:tmpl w:val="0A0CAD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55225"/>
    <w:multiLevelType w:val="hybridMultilevel"/>
    <w:tmpl w:val="405EE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3722C"/>
    <w:multiLevelType w:val="hybridMultilevel"/>
    <w:tmpl w:val="C33458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A76F0E"/>
    <w:multiLevelType w:val="hybridMultilevel"/>
    <w:tmpl w:val="9438B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2A46BC"/>
    <w:multiLevelType w:val="hybridMultilevel"/>
    <w:tmpl w:val="BAAC0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855D28"/>
    <w:multiLevelType w:val="hybridMultilevel"/>
    <w:tmpl w:val="03B45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43FA0E56"/>
    <w:multiLevelType w:val="hybridMultilevel"/>
    <w:tmpl w:val="D06421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697D3D"/>
    <w:multiLevelType w:val="hybridMultilevel"/>
    <w:tmpl w:val="9FF88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087A13"/>
    <w:multiLevelType w:val="hybridMultilevel"/>
    <w:tmpl w:val="01C0A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0C7746"/>
    <w:multiLevelType w:val="hybridMultilevel"/>
    <w:tmpl w:val="140ED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732C4C"/>
    <w:multiLevelType w:val="hybridMultilevel"/>
    <w:tmpl w:val="40F0BA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8F5FBF"/>
    <w:multiLevelType w:val="hybridMultilevel"/>
    <w:tmpl w:val="DC6C9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0"/>
  </w:num>
  <w:num w:numId="13">
    <w:abstractNumId w:val="24"/>
  </w:num>
  <w:num w:numId="14">
    <w:abstractNumId w:val="19"/>
  </w:num>
  <w:num w:numId="15">
    <w:abstractNumId w:val="13"/>
  </w:num>
  <w:num w:numId="16">
    <w:abstractNumId w:val="13"/>
  </w:num>
  <w:num w:numId="17">
    <w:abstractNumId w:val="12"/>
  </w:num>
  <w:num w:numId="18">
    <w:abstractNumId w:val="15"/>
  </w:num>
  <w:num w:numId="19">
    <w:abstractNumId w:val="14"/>
  </w:num>
  <w:num w:numId="20">
    <w:abstractNumId w:val="21"/>
  </w:num>
  <w:num w:numId="21">
    <w:abstractNumId w:val="23"/>
  </w:num>
  <w:num w:numId="22">
    <w:abstractNumId w:val="11"/>
  </w:num>
  <w:num w:numId="23">
    <w:abstractNumId w:val="17"/>
  </w:num>
  <w:num w:numId="24">
    <w:abstractNumId w:val="20"/>
  </w:num>
  <w:num w:numId="25">
    <w:abstractNumId w:val="16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embedTrueTypeFonts/>
  <w:saveSubsetFonts/>
  <w:proofState w:spelling="clean" w:grammar="clean"/>
  <w:attachedTemplate r:id="rId1"/>
  <w:stylePaneFormatFilter w:val="1024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080F73"/>
    <w:rsid w:val="00000263"/>
    <w:rsid w:val="000113BC"/>
    <w:rsid w:val="0001237B"/>
    <w:rsid w:val="000130BE"/>
    <w:rsid w:val="000136AF"/>
    <w:rsid w:val="000148A4"/>
    <w:rsid w:val="00020C33"/>
    <w:rsid w:val="0004044E"/>
    <w:rsid w:val="0005066A"/>
    <w:rsid w:val="0005120E"/>
    <w:rsid w:val="00054577"/>
    <w:rsid w:val="000614BF"/>
    <w:rsid w:val="00062862"/>
    <w:rsid w:val="0007169C"/>
    <w:rsid w:val="0007252F"/>
    <w:rsid w:val="00077593"/>
    <w:rsid w:val="000805DD"/>
    <w:rsid w:val="00080F73"/>
    <w:rsid w:val="00083F48"/>
    <w:rsid w:val="00087CAE"/>
    <w:rsid w:val="00096CD7"/>
    <w:rsid w:val="000A59C6"/>
    <w:rsid w:val="000A7DF9"/>
    <w:rsid w:val="000C4BE9"/>
    <w:rsid w:val="000C7417"/>
    <w:rsid w:val="000D05EF"/>
    <w:rsid w:val="000D28EB"/>
    <w:rsid w:val="000D5485"/>
    <w:rsid w:val="000D72CF"/>
    <w:rsid w:val="000F21C1"/>
    <w:rsid w:val="000F4A79"/>
    <w:rsid w:val="000F6C29"/>
    <w:rsid w:val="00105D72"/>
    <w:rsid w:val="0010745C"/>
    <w:rsid w:val="00117277"/>
    <w:rsid w:val="001206B2"/>
    <w:rsid w:val="001223B4"/>
    <w:rsid w:val="001321ED"/>
    <w:rsid w:val="00135341"/>
    <w:rsid w:val="00143C01"/>
    <w:rsid w:val="00145780"/>
    <w:rsid w:val="001543A4"/>
    <w:rsid w:val="00156F99"/>
    <w:rsid w:val="00160BD7"/>
    <w:rsid w:val="001643C9"/>
    <w:rsid w:val="00165568"/>
    <w:rsid w:val="00166082"/>
    <w:rsid w:val="00166C2F"/>
    <w:rsid w:val="001716C9"/>
    <w:rsid w:val="00173463"/>
    <w:rsid w:val="00184261"/>
    <w:rsid w:val="0018603A"/>
    <w:rsid w:val="00193461"/>
    <w:rsid w:val="001937BD"/>
    <w:rsid w:val="001939E1"/>
    <w:rsid w:val="00195382"/>
    <w:rsid w:val="001A3B9F"/>
    <w:rsid w:val="001A551F"/>
    <w:rsid w:val="001A65C0"/>
    <w:rsid w:val="001B2779"/>
    <w:rsid w:val="001B6456"/>
    <w:rsid w:val="001B7A5D"/>
    <w:rsid w:val="001C013D"/>
    <w:rsid w:val="001C5C61"/>
    <w:rsid w:val="001C69C4"/>
    <w:rsid w:val="001D3512"/>
    <w:rsid w:val="001D4C9F"/>
    <w:rsid w:val="001D6D6E"/>
    <w:rsid w:val="001E0A8D"/>
    <w:rsid w:val="001E0DE4"/>
    <w:rsid w:val="001E3590"/>
    <w:rsid w:val="001E7407"/>
    <w:rsid w:val="00201033"/>
    <w:rsid w:val="002017D8"/>
    <w:rsid w:val="00201D27"/>
    <w:rsid w:val="00202876"/>
    <w:rsid w:val="0020300C"/>
    <w:rsid w:val="002058F0"/>
    <w:rsid w:val="00207AD0"/>
    <w:rsid w:val="00220A0C"/>
    <w:rsid w:val="00221574"/>
    <w:rsid w:val="00223E4A"/>
    <w:rsid w:val="002302EA"/>
    <w:rsid w:val="002310F1"/>
    <w:rsid w:val="00240749"/>
    <w:rsid w:val="002468D7"/>
    <w:rsid w:val="00252CCF"/>
    <w:rsid w:val="00255598"/>
    <w:rsid w:val="00257344"/>
    <w:rsid w:val="00260525"/>
    <w:rsid w:val="0027750C"/>
    <w:rsid w:val="00285CDD"/>
    <w:rsid w:val="00291167"/>
    <w:rsid w:val="00295009"/>
    <w:rsid w:val="00297ECB"/>
    <w:rsid w:val="002A08C6"/>
    <w:rsid w:val="002A0BF5"/>
    <w:rsid w:val="002C152A"/>
    <w:rsid w:val="002D043A"/>
    <w:rsid w:val="002E3723"/>
    <w:rsid w:val="0031713F"/>
    <w:rsid w:val="00321320"/>
    <w:rsid w:val="00325E2F"/>
    <w:rsid w:val="00326F66"/>
    <w:rsid w:val="00332E0D"/>
    <w:rsid w:val="003415D3"/>
    <w:rsid w:val="00342575"/>
    <w:rsid w:val="00345BE8"/>
    <w:rsid w:val="00346335"/>
    <w:rsid w:val="00352B0F"/>
    <w:rsid w:val="00352B66"/>
    <w:rsid w:val="003561B0"/>
    <w:rsid w:val="00390929"/>
    <w:rsid w:val="00396B92"/>
    <w:rsid w:val="003A15AC"/>
    <w:rsid w:val="003A56EB"/>
    <w:rsid w:val="003B01AE"/>
    <w:rsid w:val="003B0627"/>
    <w:rsid w:val="003B7C31"/>
    <w:rsid w:val="003C5F2B"/>
    <w:rsid w:val="003D0BFE"/>
    <w:rsid w:val="003D5700"/>
    <w:rsid w:val="003F0F5A"/>
    <w:rsid w:val="00400A30"/>
    <w:rsid w:val="004022CA"/>
    <w:rsid w:val="004100FF"/>
    <w:rsid w:val="004116CD"/>
    <w:rsid w:val="00414454"/>
    <w:rsid w:val="00414ADE"/>
    <w:rsid w:val="00424CA9"/>
    <w:rsid w:val="004257BB"/>
    <w:rsid w:val="004261D9"/>
    <w:rsid w:val="0044291A"/>
    <w:rsid w:val="004476AF"/>
    <w:rsid w:val="00450642"/>
    <w:rsid w:val="00460499"/>
    <w:rsid w:val="00474835"/>
    <w:rsid w:val="004819C7"/>
    <w:rsid w:val="0048364F"/>
    <w:rsid w:val="00490F2E"/>
    <w:rsid w:val="00496DB3"/>
    <w:rsid w:val="00496F97"/>
    <w:rsid w:val="004A53EA"/>
    <w:rsid w:val="004B171A"/>
    <w:rsid w:val="004B7CC4"/>
    <w:rsid w:val="004C3033"/>
    <w:rsid w:val="004E354F"/>
    <w:rsid w:val="004F1FAC"/>
    <w:rsid w:val="004F3CEC"/>
    <w:rsid w:val="004F5E63"/>
    <w:rsid w:val="004F676E"/>
    <w:rsid w:val="005121BE"/>
    <w:rsid w:val="005124DC"/>
    <w:rsid w:val="00516B8D"/>
    <w:rsid w:val="0052686F"/>
    <w:rsid w:val="0052756C"/>
    <w:rsid w:val="00530230"/>
    <w:rsid w:val="00530CC9"/>
    <w:rsid w:val="0053226B"/>
    <w:rsid w:val="00537FBC"/>
    <w:rsid w:val="00541D73"/>
    <w:rsid w:val="00543469"/>
    <w:rsid w:val="00546FA3"/>
    <w:rsid w:val="00554243"/>
    <w:rsid w:val="00557C7A"/>
    <w:rsid w:val="00561220"/>
    <w:rsid w:val="00561B02"/>
    <w:rsid w:val="00561BDC"/>
    <w:rsid w:val="00562A58"/>
    <w:rsid w:val="005634B5"/>
    <w:rsid w:val="00567870"/>
    <w:rsid w:val="00581211"/>
    <w:rsid w:val="00584811"/>
    <w:rsid w:val="00593AA6"/>
    <w:rsid w:val="00594161"/>
    <w:rsid w:val="00594749"/>
    <w:rsid w:val="005A482B"/>
    <w:rsid w:val="005B369E"/>
    <w:rsid w:val="005B4067"/>
    <w:rsid w:val="005B66B4"/>
    <w:rsid w:val="005C3F41"/>
    <w:rsid w:val="005C7C88"/>
    <w:rsid w:val="005D168D"/>
    <w:rsid w:val="005D5EA1"/>
    <w:rsid w:val="005E2CE0"/>
    <w:rsid w:val="005E340C"/>
    <w:rsid w:val="005E61D3"/>
    <w:rsid w:val="005E6CDF"/>
    <w:rsid w:val="005F142A"/>
    <w:rsid w:val="005F5B85"/>
    <w:rsid w:val="005F7738"/>
    <w:rsid w:val="00600219"/>
    <w:rsid w:val="00613AFD"/>
    <w:rsid w:val="00613EAD"/>
    <w:rsid w:val="006158AC"/>
    <w:rsid w:val="006375AE"/>
    <w:rsid w:val="00640402"/>
    <w:rsid w:val="00640F78"/>
    <w:rsid w:val="00646E7B"/>
    <w:rsid w:val="00653110"/>
    <w:rsid w:val="00655D6A"/>
    <w:rsid w:val="00656DE9"/>
    <w:rsid w:val="0066421A"/>
    <w:rsid w:val="00670F39"/>
    <w:rsid w:val="00677CC2"/>
    <w:rsid w:val="00685F42"/>
    <w:rsid w:val="006866A1"/>
    <w:rsid w:val="00687713"/>
    <w:rsid w:val="0069207B"/>
    <w:rsid w:val="00693D26"/>
    <w:rsid w:val="006A4309"/>
    <w:rsid w:val="006B7006"/>
    <w:rsid w:val="006C0275"/>
    <w:rsid w:val="006C3BE9"/>
    <w:rsid w:val="006C7F8C"/>
    <w:rsid w:val="006D684F"/>
    <w:rsid w:val="006D7AB9"/>
    <w:rsid w:val="00700B2C"/>
    <w:rsid w:val="00705DA5"/>
    <w:rsid w:val="0071188C"/>
    <w:rsid w:val="00713084"/>
    <w:rsid w:val="00720FC2"/>
    <w:rsid w:val="00723B3C"/>
    <w:rsid w:val="007260CC"/>
    <w:rsid w:val="00731E00"/>
    <w:rsid w:val="00732E9D"/>
    <w:rsid w:val="007334B6"/>
    <w:rsid w:val="0073380D"/>
    <w:rsid w:val="0073491A"/>
    <w:rsid w:val="007440B7"/>
    <w:rsid w:val="00747993"/>
    <w:rsid w:val="0075694A"/>
    <w:rsid w:val="007634AD"/>
    <w:rsid w:val="007662BD"/>
    <w:rsid w:val="00767503"/>
    <w:rsid w:val="007715C9"/>
    <w:rsid w:val="00774EDD"/>
    <w:rsid w:val="007757EC"/>
    <w:rsid w:val="00780C3E"/>
    <w:rsid w:val="00783C4C"/>
    <w:rsid w:val="00796A68"/>
    <w:rsid w:val="007A0F9B"/>
    <w:rsid w:val="007A35E6"/>
    <w:rsid w:val="007A6863"/>
    <w:rsid w:val="007B06F6"/>
    <w:rsid w:val="007B1939"/>
    <w:rsid w:val="007C25D2"/>
    <w:rsid w:val="007D3CF0"/>
    <w:rsid w:val="007D45C1"/>
    <w:rsid w:val="007E7D4A"/>
    <w:rsid w:val="007F48ED"/>
    <w:rsid w:val="007F7947"/>
    <w:rsid w:val="00810138"/>
    <w:rsid w:val="00811B5A"/>
    <w:rsid w:val="00812F45"/>
    <w:rsid w:val="00814315"/>
    <w:rsid w:val="00817FFB"/>
    <w:rsid w:val="008414A8"/>
    <w:rsid w:val="0084172C"/>
    <w:rsid w:val="00841C51"/>
    <w:rsid w:val="008474BE"/>
    <w:rsid w:val="008546F5"/>
    <w:rsid w:val="00856A31"/>
    <w:rsid w:val="008754D0"/>
    <w:rsid w:val="00877D48"/>
    <w:rsid w:val="0088345B"/>
    <w:rsid w:val="008A16A5"/>
    <w:rsid w:val="008C2B5D"/>
    <w:rsid w:val="008D0EE0"/>
    <w:rsid w:val="008D1D8E"/>
    <w:rsid w:val="008D5B99"/>
    <w:rsid w:val="008D7A27"/>
    <w:rsid w:val="008E3013"/>
    <w:rsid w:val="008E4702"/>
    <w:rsid w:val="008E69AA"/>
    <w:rsid w:val="008F4F1C"/>
    <w:rsid w:val="008F77B6"/>
    <w:rsid w:val="0090199E"/>
    <w:rsid w:val="0091683A"/>
    <w:rsid w:val="00922764"/>
    <w:rsid w:val="00932377"/>
    <w:rsid w:val="00943102"/>
    <w:rsid w:val="0094523D"/>
    <w:rsid w:val="009544B2"/>
    <w:rsid w:val="00976295"/>
    <w:rsid w:val="00976A63"/>
    <w:rsid w:val="00983419"/>
    <w:rsid w:val="00986052"/>
    <w:rsid w:val="009869AF"/>
    <w:rsid w:val="009A48AD"/>
    <w:rsid w:val="009C10AF"/>
    <w:rsid w:val="009C1940"/>
    <w:rsid w:val="009C3431"/>
    <w:rsid w:val="009C5989"/>
    <w:rsid w:val="009D08DA"/>
    <w:rsid w:val="009E6852"/>
    <w:rsid w:val="009F4AB5"/>
    <w:rsid w:val="00A053F6"/>
    <w:rsid w:val="00A06860"/>
    <w:rsid w:val="00A136F5"/>
    <w:rsid w:val="00A14353"/>
    <w:rsid w:val="00A231E2"/>
    <w:rsid w:val="00A253E1"/>
    <w:rsid w:val="00A2550D"/>
    <w:rsid w:val="00A4169B"/>
    <w:rsid w:val="00A43A31"/>
    <w:rsid w:val="00A50D55"/>
    <w:rsid w:val="00A5165B"/>
    <w:rsid w:val="00A52FDA"/>
    <w:rsid w:val="00A53086"/>
    <w:rsid w:val="00A64912"/>
    <w:rsid w:val="00A70A74"/>
    <w:rsid w:val="00A82605"/>
    <w:rsid w:val="00A92C8F"/>
    <w:rsid w:val="00AA0343"/>
    <w:rsid w:val="00AA2A5C"/>
    <w:rsid w:val="00AB2AB2"/>
    <w:rsid w:val="00AB7120"/>
    <w:rsid w:val="00AC6B25"/>
    <w:rsid w:val="00AD00BA"/>
    <w:rsid w:val="00AD1880"/>
    <w:rsid w:val="00AD2F90"/>
    <w:rsid w:val="00AD3467"/>
    <w:rsid w:val="00AD35C8"/>
    <w:rsid w:val="00AD5568"/>
    <w:rsid w:val="00AD5641"/>
    <w:rsid w:val="00AD7A39"/>
    <w:rsid w:val="00AE0F9B"/>
    <w:rsid w:val="00AF55FF"/>
    <w:rsid w:val="00AF6AF9"/>
    <w:rsid w:val="00B012D9"/>
    <w:rsid w:val="00B032D8"/>
    <w:rsid w:val="00B13BB9"/>
    <w:rsid w:val="00B16245"/>
    <w:rsid w:val="00B33B3C"/>
    <w:rsid w:val="00B40D74"/>
    <w:rsid w:val="00B42DFF"/>
    <w:rsid w:val="00B449A5"/>
    <w:rsid w:val="00B51BA7"/>
    <w:rsid w:val="00B52663"/>
    <w:rsid w:val="00B56DCB"/>
    <w:rsid w:val="00B610FE"/>
    <w:rsid w:val="00B73974"/>
    <w:rsid w:val="00B770D2"/>
    <w:rsid w:val="00B82F8C"/>
    <w:rsid w:val="00B90ABC"/>
    <w:rsid w:val="00BA092C"/>
    <w:rsid w:val="00BA47A3"/>
    <w:rsid w:val="00BA4EC2"/>
    <w:rsid w:val="00BA5026"/>
    <w:rsid w:val="00BB6E79"/>
    <w:rsid w:val="00BC2F45"/>
    <w:rsid w:val="00BC4767"/>
    <w:rsid w:val="00BD0E3C"/>
    <w:rsid w:val="00BD0F46"/>
    <w:rsid w:val="00BD7C55"/>
    <w:rsid w:val="00BE1EB8"/>
    <w:rsid w:val="00BE3B31"/>
    <w:rsid w:val="00BE719A"/>
    <w:rsid w:val="00BE720A"/>
    <w:rsid w:val="00BF6650"/>
    <w:rsid w:val="00C0180A"/>
    <w:rsid w:val="00C067E5"/>
    <w:rsid w:val="00C164CA"/>
    <w:rsid w:val="00C31F9C"/>
    <w:rsid w:val="00C42BF8"/>
    <w:rsid w:val="00C460AE"/>
    <w:rsid w:val="00C50043"/>
    <w:rsid w:val="00C50A0F"/>
    <w:rsid w:val="00C718F0"/>
    <w:rsid w:val="00C7573B"/>
    <w:rsid w:val="00C76883"/>
    <w:rsid w:val="00C76CF3"/>
    <w:rsid w:val="00C95FD6"/>
    <w:rsid w:val="00CA1E21"/>
    <w:rsid w:val="00CA498A"/>
    <w:rsid w:val="00CA4A0C"/>
    <w:rsid w:val="00CA618D"/>
    <w:rsid w:val="00CA7844"/>
    <w:rsid w:val="00CB58EF"/>
    <w:rsid w:val="00CC5A3B"/>
    <w:rsid w:val="00CC7EA7"/>
    <w:rsid w:val="00CE19F2"/>
    <w:rsid w:val="00CE27CB"/>
    <w:rsid w:val="00CE7D64"/>
    <w:rsid w:val="00CF0BB2"/>
    <w:rsid w:val="00D02828"/>
    <w:rsid w:val="00D0383F"/>
    <w:rsid w:val="00D13441"/>
    <w:rsid w:val="00D14ABE"/>
    <w:rsid w:val="00D243A3"/>
    <w:rsid w:val="00D25CB6"/>
    <w:rsid w:val="00D3200B"/>
    <w:rsid w:val="00D33440"/>
    <w:rsid w:val="00D5112C"/>
    <w:rsid w:val="00D52EFE"/>
    <w:rsid w:val="00D56A0D"/>
    <w:rsid w:val="00D63EF6"/>
    <w:rsid w:val="00D66518"/>
    <w:rsid w:val="00D70DFB"/>
    <w:rsid w:val="00D71EEA"/>
    <w:rsid w:val="00D735CD"/>
    <w:rsid w:val="00D766DF"/>
    <w:rsid w:val="00D8653B"/>
    <w:rsid w:val="00D86C3F"/>
    <w:rsid w:val="00D87B1B"/>
    <w:rsid w:val="00D95891"/>
    <w:rsid w:val="00DB02D4"/>
    <w:rsid w:val="00DB28B2"/>
    <w:rsid w:val="00DB2E27"/>
    <w:rsid w:val="00DB5CB4"/>
    <w:rsid w:val="00DD1CA0"/>
    <w:rsid w:val="00DD35F7"/>
    <w:rsid w:val="00DE149E"/>
    <w:rsid w:val="00DE3862"/>
    <w:rsid w:val="00E04C3E"/>
    <w:rsid w:val="00E05704"/>
    <w:rsid w:val="00E06FE2"/>
    <w:rsid w:val="00E12F1A"/>
    <w:rsid w:val="00E21CFB"/>
    <w:rsid w:val="00E22935"/>
    <w:rsid w:val="00E34E3F"/>
    <w:rsid w:val="00E3574C"/>
    <w:rsid w:val="00E42B15"/>
    <w:rsid w:val="00E54292"/>
    <w:rsid w:val="00E60191"/>
    <w:rsid w:val="00E74DC7"/>
    <w:rsid w:val="00E87699"/>
    <w:rsid w:val="00E92E27"/>
    <w:rsid w:val="00E9586B"/>
    <w:rsid w:val="00E97334"/>
    <w:rsid w:val="00EB12D3"/>
    <w:rsid w:val="00EB5D3E"/>
    <w:rsid w:val="00EB739D"/>
    <w:rsid w:val="00EC3CAF"/>
    <w:rsid w:val="00ED3DBA"/>
    <w:rsid w:val="00ED4928"/>
    <w:rsid w:val="00EE5F9B"/>
    <w:rsid w:val="00EE6190"/>
    <w:rsid w:val="00EF2E3A"/>
    <w:rsid w:val="00EF58A4"/>
    <w:rsid w:val="00EF6402"/>
    <w:rsid w:val="00F0201B"/>
    <w:rsid w:val="00F047E2"/>
    <w:rsid w:val="00F04D57"/>
    <w:rsid w:val="00F078DC"/>
    <w:rsid w:val="00F13E86"/>
    <w:rsid w:val="00F163B4"/>
    <w:rsid w:val="00F240D9"/>
    <w:rsid w:val="00F2735A"/>
    <w:rsid w:val="00F32FCB"/>
    <w:rsid w:val="00F342C3"/>
    <w:rsid w:val="00F650DE"/>
    <w:rsid w:val="00F6709F"/>
    <w:rsid w:val="00F677A9"/>
    <w:rsid w:val="00F732EA"/>
    <w:rsid w:val="00F74846"/>
    <w:rsid w:val="00F84CF5"/>
    <w:rsid w:val="00F8612E"/>
    <w:rsid w:val="00F91276"/>
    <w:rsid w:val="00FA420B"/>
    <w:rsid w:val="00FC7138"/>
    <w:rsid w:val="00FD7A5C"/>
    <w:rsid w:val="00FE0338"/>
    <w:rsid w:val="00FE0781"/>
    <w:rsid w:val="00FF3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334B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F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F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F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F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F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F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F7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F7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F7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334B6"/>
  </w:style>
  <w:style w:type="paragraph" w:customStyle="1" w:styleId="OPCParaBase">
    <w:name w:val="OPCParaBase"/>
    <w:qFormat/>
    <w:rsid w:val="007334B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334B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334B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334B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334B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334B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334B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334B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334B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334B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334B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334B6"/>
  </w:style>
  <w:style w:type="paragraph" w:customStyle="1" w:styleId="Blocks">
    <w:name w:val="Blocks"/>
    <w:aliases w:val="bb"/>
    <w:basedOn w:val="OPCParaBase"/>
    <w:qFormat/>
    <w:rsid w:val="007334B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334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334B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334B6"/>
    <w:rPr>
      <w:i/>
    </w:rPr>
  </w:style>
  <w:style w:type="paragraph" w:customStyle="1" w:styleId="BoxList">
    <w:name w:val="BoxList"/>
    <w:aliases w:val="bl"/>
    <w:basedOn w:val="BoxText"/>
    <w:qFormat/>
    <w:rsid w:val="007334B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334B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334B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334B6"/>
    <w:pPr>
      <w:ind w:left="1985" w:hanging="851"/>
    </w:pPr>
  </w:style>
  <w:style w:type="character" w:customStyle="1" w:styleId="CharAmPartNo">
    <w:name w:val="CharAmPartNo"/>
    <w:basedOn w:val="OPCCharBase"/>
    <w:qFormat/>
    <w:rsid w:val="007334B6"/>
  </w:style>
  <w:style w:type="character" w:customStyle="1" w:styleId="CharAmPartText">
    <w:name w:val="CharAmPartText"/>
    <w:basedOn w:val="OPCCharBase"/>
    <w:qFormat/>
    <w:rsid w:val="007334B6"/>
  </w:style>
  <w:style w:type="character" w:customStyle="1" w:styleId="CharAmSchNo">
    <w:name w:val="CharAmSchNo"/>
    <w:basedOn w:val="OPCCharBase"/>
    <w:qFormat/>
    <w:rsid w:val="007334B6"/>
  </w:style>
  <w:style w:type="character" w:customStyle="1" w:styleId="CharAmSchText">
    <w:name w:val="CharAmSchText"/>
    <w:basedOn w:val="OPCCharBase"/>
    <w:qFormat/>
    <w:rsid w:val="007334B6"/>
  </w:style>
  <w:style w:type="character" w:customStyle="1" w:styleId="CharBoldItalic">
    <w:name w:val="CharBoldItalic"/>
    <w:basedOn w:val="OPCCharBase"/>
    <w:uiPriority w:val="1"/>
    <w:qFormat/>
    <w:rsid w:val="007334B6"/>
    <w:rPr>
      <w:b/>
      <w:i/>
    </w:rPr>
  </w:style>
  <w:style w:type="character" w:customStyle="1" w:styleId="CharChapNo">
    <w:name w:val="CharChapNo"/>
    <w:basedOn w:val="OPCCharBase"/>
    <w:uiPriority w:val="1"/>
    <w:qFormat/>
    <w:rsid w:val="007334B6"/>
  </w:style>
  <w:style w:type="character" w:customStyle="1" w:styleId="CharChapText">
    <w:name w:val="CharChapText"/>
    <w:basedOn w:val="OPCCharBase"/>
    <w:uiPriority w:val="1"/>
    <w:qFormat/>
    <w:rsid w:val="007334B6"/>
  </w:style>
  <w:style w:type="character" w:customStyle="1" w:styleId="CharDivNo">
    <w:name w:val="CharDivNo"/>
    <w:basedOn w:val="OPCCharBase"/>
    <w:uiPriority w:val="1"/>
    <w:qFormat/>
    <w:rsid w:val="007334B6"/>
  </w:style>
  <w:style w:type="character" w:customStyle="1" w:styleId="CharDivText">
    <w:name w:val="CharDivText"/>
    <w:basedOn w:val="OPCCharBase"/>
    <w:uiPriority w:val="1"/>
    <w:qFormat/>
    <w:rsid w:val="007334B6"/>
  </w:style>
  <w:style w:type="character" w:customStyle="1" w:styleId="CharItalic">
    <w:name w:val="CharItalic"/>
    <w:basedOn w:val="OPCCharBase"/>
    <w:uiPriority w:val="1"/>
    <w:qFormat/>
    <w:rsid w:val="007334B6"/>
    <w:rPr>
      <w:i/>
    </w:rPr>
  </w:style>
  <w:style w:type="character" w:customStyle="1" w:styleId="CharPartNo">
    <w:name w:val="CharPartNo"/>
    <w:basedOn w:val="OPCCharBase"/>
    <w:uiPriority w:val="1"/>
    <w:qFormat/>
    <w:rsid w:val="007334B6"/>
  </w:style>
  <w:style w:type="character" w:customStyle="1" w:styleId="CharPartText">
    <w:name w:val="CharPartText"/>
    <w:basedOn w:val="OPCCharBase"/>
    <w:uiPriority w:val="1"/>
    <w:qFormat/>
    <w:rsid w:val="007334B6"/>
  </w:style>
  <w:style w:type="character" w:customStyle="1" w:styleId="CharSectno">
    <w:name w:val="CharSectno"/>
    <w:basedOn w:val="OPCCharBase"/>
    <w:qFormat/>
    <w:rsid w:val="007334B6"/>
  </w:style>
  <w:style w:type="character" w:customStyle="1" w:styleId="CharSubdNo">
    <w:name w:val="CharSubdNo"/>
    <w:basedOn w:val="OPCCharBase"/>
    <w:uiPriority w:val="1"/>
    <w:qFormat/>
    <w:rsid w:val="007334B6"/>
  </w:style>
  <w:style w:type="character" w:customStyle="1" w:styleId="CharSubdText">
    <w:name w:val="CharSubdText"/>
    <w:basedOn w:val="OPCCharBase"/>
    <w:uiPriority w:val="1"/>
    <w:qFormat/>
    <w:rsid w:val="007334B6"/>
  </w:style>
  <w:style w:type="paragraph" w:customStyle="1" w:styleId="CTA--">
    <w:name w:val="CTA --"/>
    <w:basedOn w:val="OPCParaBase"/>
    <w:next w:val="Normal"/>
    <w:rsid w:val="007334B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334B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334B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334B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334B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334B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334B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334B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334B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334B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334B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334B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334B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334B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334B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334B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334B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334B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334B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334B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334B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334B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334B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334B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334B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334B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334B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334B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334B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334B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334B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334B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334B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334B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334B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334B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334B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334B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334B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334B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334B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334B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334B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334B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334B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334B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334B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334B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334B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334B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334B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34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334B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334B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334B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334B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334B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7334B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7334B6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334B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334B6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334B6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334B6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334B6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334B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334B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334B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334B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334B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334B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334B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334B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334B6"/>
    <w:rPr>
      <w:sz w:val="16"/>
    </w:rPr>
  </w:style>
  <w:style w:type="table" w:customStyle="1" w:styleId="CFlag">
    <w:name w:val="CFlag"/>
    <w:basedOn w:val="TableNormal"/>
    <w:uiPriority w:val="99"/>
    <w:rsid w:val="007334B6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4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4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34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7334B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334B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334B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334B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334B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334B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334B6"/>
    <w:pPr>
      <w:spacing w:before="120"/>
    </w:pPr>
  </w:style>
  <w:style w:type="paragraph" w:customStyle="1" w:styleId="CompiledActNo">
    <w:name w:val="CompiledActNo"/>
    <w:basedOn w:val="OPCParaBase"/>
    <w:next w:val="Normal"/>
    <w:rsid w:val="007334B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334B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334B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334B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334B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334B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334B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334B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334B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334B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334B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334B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334B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334B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334B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334B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334B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334B6"/>
  </w:style>
  <w:style w:type="character" w:customStyle="1" w:styleId="CharSubPartNoCASA">
    <w:name w:val="CharSubPartNo(CASA)"/>
    <w:basedOn w:val="OPCCharBase"/>
    <w:uiPriority w:val="1"/>
    <w:rsid w:val="007334B6"/>
  </w:style>
  <w:style w:type="paragraph" w:customStyle="1" w:styleId="ENoteTTIndentHeadingSub">
    <w:name w:val="ENoteTTIndentHeadingSub"/>
    <w:aliases w:val="enTTHis"/>
    <w:basedOn w:val="OPCParaBase"/>
    <w:rsid w:val="007334B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334B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334B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334B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334B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334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334B6"/>
    <w:rPr>
      <w:sz w:val="22"/>
    </w:rPr>
  </w:style>
  <w:style w:type="paragraph" w:customStyle="1" w:styleId="SOTextNote">
    <w:name w:val="SO TextNote"/>
    <w:aliases w:val="sont"/>
    <w:basedOn w:val="SOText"/>
    <w:qFormat/>
    <w:rsid w:val="007334B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334B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334B6"/>
    <w:rPr>
      <w:sz w:val="22"/>
    </w:rPr>
  </w:style>
  <w:style w:type="paragraph" w:customStyle="1" w:styleId="FileName">
    <w:name w:val="FileName"/>
    <w:basedOn w:val="Normal"/>
    <w:rsid w:val="007334B6"/>
  </w:style>
  <w:style w:type="paragraph" w:customStyle="1" w:styleId="TableHeading">
    <w:name w:val="TableHeading"/>
    <w:aliases w:val="th"/>
    <w:basedOn w:val="OPCParaBase"/>
    <w:next w:val="Tabletext"/>
    <w:rsid w:val="007334B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334B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334B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334B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334B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334B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334B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334B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334B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334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334B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334B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80F7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80F7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80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F7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F7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F7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F7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F7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F7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F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Subscript">
    <w:name w:val="charSubscript"/>
    <w:rsid w:val="00AD2F90"/>
    <w:rPr>
      <w:color w:val="auto"/>
      <w:sz w:val="20"/>
      <w:vertAlign w:val="subscript"/>
    </w:rPr>
  </w:style>
  <w:style w:type="character" w:customStyle="1" w:styleId="charsubscript0">
    <w:name w:val="charsubscript"/>
    <w:basedOn w:val="DefaultParagraphFont"/>
    <w:rsid w:val="00767503"/>
    <w:rPr>
      <w:color w:val="auto"/>
      <w:vertAlign w:val="subscript"/>
    </w:rPr>
  </w:style>
  <w:style w:type="paragraph" w:styleId="ListNumber4">
    <w:name w:val="List Number 4"/>
    <w:basedOn w:val="Normal"/>
    <w:uiPriority w:val="99"/>
    <w:semiHidden/>
    <w:unhideWhenUsed/>
    <w:rsid w:val="005B66B4"/>
    <w:pPr>
      <w:numPr>
        <w:numId w:val="9"/>
      </w:numPr>
      <w:contextualSpacing/>
    </w:pPr>
  </w:style>
  <w:style w:type="character" w:customStyle="1" w:styleId="paragraphChar">
    <w:name w:val="paragraph Char"/>
    <w:aliases w:val="a Char"/>
    <w:basedOn w:val="DefaultParagraphFont"/>
    <w:link w:val="paragraph"/>
    <w:locked/>
    <w:rsid w:val="00396B92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334B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F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F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F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F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F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F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F7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F7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F7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unhideWhenUsed/>
    <w:rsid w:val="007334B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334B6"/>
  </w:style>
  <w:style w:type="character" w:customStyle="1" w:styleId="OPCCharBase">
    <w:name w:val="OPCCharBase"/>
    <w:uiPriority w:val="1"/>
    <w:qFormat/>
    <w:rsid w:val="007334B6"/>
  </w:style>
  <w:style w:type="paragraph" w:customStyle="1" w:styleId="OPCParaBase">
    <w:name w:val="OPCParaBase"/>
    <w:qFormat/>
    <w:rsid w:val="007334B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334B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334B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334B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334B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334B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334B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334B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334B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334B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334B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334B6"/>
  </w:style>
  <w:style w:type="paragraph" w:customStyle="1" w:styleId="Blocks">
    <w:name w:val="Blocks"/>
    <w:aliases w:val="bb"/>
    <w:basedOn w:val="OPCParaBase"/>
    <w:qFormat/>
    <w:rsid w:val="007334B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334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334B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334B6"/>
    <w:rPr>
      <w:i/>
    </w:rPr>
  </w:style>
  <w:style w:type="paragraph" w:customStyle="1" w:styleId="BoxList">
    <w:name w:val="BoxList"/>
    <w:aliases w:val="bl"/>
    <w:basedOn w:val="BoxText"/>
    <w:qFormat/>
    <w:rsid w:val="007334B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334B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334B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334B6"/>
    <w:pPr>
      <w:ind w:left="1985" w:hanging="851"/>
    </w:pPr>
  </w:style>
  <w:style w:type="character" w:customStyle="1" w:styleId="CharAmPartNo">
    <w:name w:val="CharAmPartNo"/>
    <w:basedOn w:val="OPCCharBase"/>
    <w:qFormat/>
    <w:rsid w:val="007334B6"/>
  </w:style>
  <w:style w:type="character" w:customStyle="1" w:styleId="CharAmPartText">
    <w:name w:val="CharAmPartText"/>
    <w:basedOn w:val="OPCCharBase"/>
    <w:qFormat/>
    <w:rsid w:val="007334B6"/>
  </w:style>
  <w:style w:type="character" w:customStyle="1" w:styleId="CharAmSchNo">
    <w:name w:val="CharAmSchNo"/>
    <w:basedOn w:val="OPCCharBase"/>
    <w:qFormat/>
    <w:rsid w:val="007334B6"/>
  </w:style>
  <w:style w:type="character" w:customStyle="1" w:styleId="CharAmSchText">
    <w:name w:val="CharAmSchText"/>
    <w:basedOn w:val="OPCCharBase"/>
    <w:qFormat/>
    <w:rsid w:val="007334B6"/>
  </w:style>
  <w:style w:type="character" w:customStyle="1" w:styleId="CharBoldItalic">
    <w:name w:val="CharBoldItalic"/>
    <w:basedOn w:val="OPCCharBase"/>
    <w:uiPriority w:val="1"/>
    <w:qFormat/>
    <w:rsid w:val="007334B6"/>
    <w:rPr>
      <w:b/>
      <w:i/>
    </w:rPr>
  </w:style>
  <w:style w:type="character" w:customStyle="1" w:styleId="CharChapNo">
    <w:name w:val="CharChapNo"/>
    <w:basedOn w:val="OPCCharBase"/>
    <w:uiPriority w:val="1"/>
    <w:qFormat/>
    <w:rsid w:val="007334B6"/>
  </w:style>
  <w:style w:type="character" w:customStyle="1" w:styleId="CharChapText">
    <w:name w:val="CharChapText"/>
    <w:basedOn w:val="OPCCharBase"/>
    <w:uiPriority w:val="1"/>
    <w:qFormat/>
    <w:rsid w:val="007334B6"/>
  </w:style>
  <w:style w:type="character" w:customStyle="1" w:styleId="CharDivNo">
    <w:name w:val="CharDivNo"/>
    <w:basedOn w:val="OPCCharBase"/>
    <w:uiPriority w:val="1"/>
    <w:qFormat/>
    <w:rsid w:val="007334B6"/>
  </w:style>
  <w:style w:type="character" w:customStyle="1" w:styleId="CharDivText">
    <w:name w:val="CharDivText"/>
    <w:basedOn w:val="OPCCharBase"/>
    <w:uiPriority w:val="1"/>
    <w:qFormat/>
    <w:rsid w:val="007334B6"/>
  </w:style>
  <w:style w:type="character" w:customStyle="1" w:styleId="CharItalic">
    <w:name w:val="CharItalic"/>
    <w:basedOn w:val="OPCCharBase"/>
    <w:uiPriority w:val="1"/>
    <w:qFormat/>
    <w:rsid w:val="007334B6"/>
    <w:rPr>
      <w:i/>
    </w:rPr>
  </w:style>
  <w:style w:type="character" w:customStyle="1" w:styleId="CharPartNo">
    <w:name w:val="CharPartNo"/>
    <w:basedOn w:val="OPCCharBase"/>
    <w:uiPriority w:val="1"/>
    <w:qFormat/>
    <w:rsid w:val="007334B6"/>
  </w:style>
  <w:style w:type="character" w:customStyle="1" w:styleId="CharPartText">
    <w:name w:val="CharPartText"/>
    <w:basedOn w:val="OPCCharBase"/>
    <w:uiPriority w:val="1"/>
    <w:qFormat/>
    <w:rsid w:val="007334B6"/>
  </w:style>
  <w:style w:type="character" w:customStyle="1" w:styleId="CharSectno">
    <w:name w:val="CharSectno"/>
    <w:basedOn w:val="OPCCharBase"/>
    <w:qFormat/>
    <w:rsid w:val="007334B6"/>
  </w:style>
  <w:style w:type="character" w:customStyle="1" w:styleId="CharSubdNo">
    <w:name w:val="CharSubdNo"/>
    <w:basedOn w:val="OPCCharBase"/>
    <w:uiPriority w:val="1"/>
    <w:qFormat/>
    <w:rsid w:val="007334B6"/>
  </w:style>
  <w:style w:type="character" w:customStyle="1" w:styleId="CharSubdText">
    <w:name w:val="CharSubdText"/>
    <w:basedOn w:val="OPCCharBase"/>
    <w:uiPriority w:val="1"/>
    <w:qFormat/>
    <w:rsid w:val="007334B6"/>
  </w:style>
  <w:style w:type="paragraph" w:customStyle="1" w:styleId="CTA--">
    <w:name w:val="CTA --"/>
    <w:basedOn w:val="OPCParaBase"/>
    <w:next w:val="Normal"/>
    <w:rsid w:val="007334B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334B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334B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334B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334B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334B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334B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334B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334B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334B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334B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334B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334B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334B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334B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334B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334B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334B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334B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334B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334B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334B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334B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334B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334B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334B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334B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334B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334B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334B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334B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334B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334B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334B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334B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334B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334B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334B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334B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334B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334B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334B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334B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334B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334B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334B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334B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334B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334B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334B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334B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34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334B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334B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334B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334B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334B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7334B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7334B6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334B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334B6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334B6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334B6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334B6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334B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334B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334B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334B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334B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334B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334B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334B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334B6"/>
    <w:rPr>
      <w:sz w:val="16"/>
    </w:rPr>
  </w:style>
  <w:style w:type="table" w:customStyle="1" w:styleId="CFlag">
    <w:name w:val="CFlag"/>
    <w:basedOn w:val="TableNormal"/>
    <w:uiPriority w:val="99"/>
    <w:rsid w:val="007334B6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4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4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34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7334B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334B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334B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334B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334B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334B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334B6"/>
    <w:pPr>
      <w:spacing w:before="120"/>
    </w:pPr>
  </w:style>
  <w:style w:type="paragraph" w:customStyle="1" w:styleId="CompiledActNo">
    <w:name w:val="CompiledActNo"/>
    <w:basedOn w:val="OPCParaBase"/>
    <w:next w:val="Normal"/>
    <w:rsid w:val="007334B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334B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334B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334B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334B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334B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334B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334B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334B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334B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334B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334B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334B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334B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334B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334B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334B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334B6"/>
  </w:style>
  <w:style w:type="character" w:customStyle="1" w:styleId="CharSubPartNoCASA">
    <w:name w:val="CharSubPartNo(CASA)"/>
    <w:basedOn w:val="OPCCharBase"/>
    <w:uiPriority w:val="1"/>
    <w:rsid w:val="007334B6"/>
  </w:style>
  <w:style w:type="paragraph" w:customStyle="1" w:styleId="ENoteTTIndentHeadingSub">
    <w:name w:val="ENoteTTIndentHeadingSub"/>
    <w:aliases w:val="enTTHis"/>
    <w:basedOn w:val="OPCParaBase"/>
    <w:rsid w:val="007334B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334B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334B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334B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334B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334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334B6"/>
    <w:rPr>
      <w:sz w:val="22"/>
    </w:rPr>
  </w:style>
  <w:style w:type="paragraph" w:customStyle="1" w:styleId="SOTextNote">
    <w:name w:val="SO TextNote"/>
    <w:aliases w:val="sont"/>
    <w:basedOn w:val="SOText"/>
    <w:qFormat/>
    <w:rsid w:val="007334B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334B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334B6"/>
    <w:rPr>
      <w:sz w:val="22"/>
    </w:rPr>
  </w:style>
  <w:style w:type="paragraph" w:customStyle="1" w:styleId="FileName">
    <w:name w:val="FileName"/>
    <w:basedOn w:val="Normal"/>
    <w:rsid w:val="007334B6"/>
  </w:style>
  <w:style w:type="paragraph" w:customStyle="1" w:styleId="TableHeading">
    <w:name w:val="TableHeading"/>
    <w:aliases w:val="th"/>
    <w:basedOn w:val="OPCParaBase"/>
    <w:next w:val="Tabletext"/>
    <w:rsid w:val="007334B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334B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334B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334B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334B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334B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334B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334B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334B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334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334B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334B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80F7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80F7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80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F7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F7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F7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F7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F7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F7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F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Subscript">
    <w:name w:val="charSubscript"/>
    <w:rsid w:val="00AD2F90"/>
    <w:rPr>
      <w:color w:val="auto"/>
      <w:sz w:val="20"/>
      <w:vertAlign w:val="subscript"/>
    </w:rPr>
  </w:style>
  <w:style w:type="character" w:customStyle="1" w:styleId="charsubscript0">
    <w:name w:val="charsubscript"/>
    <w:basedOn w:val="DefaultParagraphFont"/>
    <w:rsid w:val="00767503"/>
    <w:rPr>
      <w:color w:val="auto"/>
      <w:vertAlign w:val="subscript"/>
    </w:rPr>
  </w:style>
  <w:style w:type="paragraph" w:styleId="ListNumber4">
    <w:name w:val="List Number 4"/>
    <w:basedOn w:val="Normal"/>
    <w:uiPriority w:val="99"/>
    <w:semiHidden/>
    <w:unhideWhenUsed/>
    <w:rsid w:val="005B66B4"/>
    <w:pPr>
      <w:numPr>
        <w:numId w:val="9"/>
      </w:numPr>
      <w:contextualSpacing/>
    </w:pPr>
  </w:style>
  <w:style w:type="character" w:customStyle="1" w:styleId="paragraphChar">
    <w:name w:val="paragraph Char"/>
    <w:aliases w:val="a Char"/>
    <w:basedOn w:val="DefaultParagraphFont"/>
    <w:link w:val="paragraph"/>
    <w:locked/>
    <w:rsid w:val="00396B92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06710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52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31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36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25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534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image" Target="media/image3.wmf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image" Target="media/image5.wmf"/><Relationship Id="rId33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oleObject" Target="embeddings/oleObject1.bin"/><Relationship Id="rId29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oleObject" Target="embeddings/oleObject3.bin"/><Relationship Id="rId32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image" Target="media/image4.wmf"/><Relationship Id="rId28" Type="http://schemas.openxmlformats.org/officeDocument/2006/relationships/header" Target="header7.xml"/><Relationship Id="rId36" Type="http://schemas.microsoft.com/office/2007/relationships/stylesWithEffects" Target="stylesWithEffects.xml"/><Relationship Id="rId10" Type="http://schemas.openxmlformats.org/officeDocument/2006/relationships/footer" Target="footer1.xml"/><Relationship Id="rId19" Type="http://schemas.openxmlformats.org/officeDocument/2006/relationships/image" Target="media/image2.wmf"/><Relationship Id="rId31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oleObject" Target="embeddings/oleObject2.bin"/><Relationship Id="rId27" Type="http://schemas.openxmlformats.org/officeDocument/2006/relationships/oleObject" Target="embeddings/oleObject5.bin"/><Relationship Id="rId30" Type="http://schemas.openxmlformats.org/officeDocument/2006/relationships/footer" Target="footer6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13</Pages>
  <Words>2180</Words>
  <Characters>12427</Characters>
  <Application>Microsoft Office Word</Application>
  <DocSecurity>0</DocSecurity>
  <PresentationFormat/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Greenhouse and Energy Reporting (Measurement) Amendment Determination 2015 (No. 2)</vt:lpstr>
    </vt:vector>
  </TitlesOfParts>
  <Manager/>
  <Company/>
  <LinksUpToDate>false</LinksUpToDate>
  <CharactersWithSpaces>14578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2015-06-22T04:11:00Z</cp:lastPrinted>
  <dcterms:created xsi:type="dcterms:W3CDTF">2015-06-23T08:08:00Z</dcterms:created>
  <dcterms:modified xsi:type="dcterms:W3CDTF">2015-06-26T04:30:00Z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Greenhouse and Energy Reporting (Measurement) Amendment Determination 2015 (No. 2)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DateMade">
    <vt:lpwstr>2015</vt:lpwstr>
  </property>
  <property fmtid="{D5CDD505-2E9C-101B-9397-08002B2CF9AE}" pid="10" name="ID">
    <vt:lpwstr>OPC60859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National Greenhouse and Energy Reporting Act 2007</vt:lpwstr>
  </property>
  <property fmtid="{D5CDD505-2E9C-101B-9397-08002B2CF9AE}" pid="14" name="NonLegInst">
    <vt:lpwstr>0</vt:lpwstr>
  </property>
  <property fmtid="{D5CDD505-2E9C-101B-9397-08002B2CF9AE}" pid="15" name="DoNotAsk">
    <vt:lpwstr>1</vt:lpwstr>
  </property>
  <property fmtid="{D5CDD505-2E9C-101B-9397-08002B2CF9AE}" pid="16" name="ChangedTitle">
    <vt:lpwstr>National Greenhouse and Energy Reporting (Measurement) Amendment Determination 2015 (No. 2)</vt:lpwstr>
  </property>
  <property fmtid="{D5CDD505-2E9C-101B-9397-08002B2CF9AE}" pid="17" name="Number">
    <vt:lpwstr>C</vt:lpwstr>
  </property>
  <property fmtid="{D5CDD505-2E9C-101B-9397-08002B2CF9AE}" pid="18" name="CounterSign">
    <vt:lpwstr/>
  </property>
</Properties>
</file>